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493" w:rsidRPr="003C080F" w:rsidRDefault="00271D07" w:rsidP="003C080F">
      <w:pPr>
        <w:spacing w:before="120" w:line="360" w:lineRule="auto"/>
        <w:jc w:val="center"/>
      </w:pPr>
      <w:bookmarkStart w:id="0" w:name="_GoBack"/>
      <w:bookmarkEnd w:id="0"/>
      <w:r w:rsidRPr="003C080F">
        <w:t>UZASADNIENIE</w:t>
      </w:r>
    </w:p>
    <w:p w:rsidR="00271D07" w:rsidRPr="00175C36" w:rsidRDefault="003C080F" w:rsidP="003C080F">
      <w:pPr>
        <w:tabs>
          <w:tab w:val="left" w:pos="350"/>
        </w:tabs>
        <w:spacing w:before="240" w:line="360" w:lineRule="auto"/>
        <w:rPr>
          <w:b/>
        </w:rPr>
      </w:pPr>
      <w:r>
        <w:rPr>
          <w:b/>
        </w:rPr>
        <w:t>1.</w:t>
      </w:r>
      <w:r>
        <w:rPr>
          <w:b/>
        </w:rPr>
        <w:tab/>
      </w:r>
      <w:r w:rsidR="00271D07" w:rsidRPr="00175C36">
        <w:rPr>
          <w:b/>
        </w:rPr>
        <w:t xml:space="preserve">Potrzeba i cel </w:t>
      </w:r>
      <w:r w:rsidR="003B27A2">
        <w:rPr>
          <w:b/>
        </w:rPr>
        <w:t>wypowiedzenia Umowy</w:t>
      </w:r>
    </w:p>
    <w:p w:rsidR="00EE5D1E" w:rsidRPr="00175C36" w:rsidRDefault="00EE5D1E" w:rsidP="003C080F">
      <w:pPr>
        <w:spacing w:before="120" w:line="360" w:lineRule="auto"/>
        <w:jc w:val="both"/>
        <w:rPr>
          <w:color w:val="000000"/>
        </w:rPr>
      </w:pPr>
      <w:r w:rsidRPr="00EE5D1E">
        <w:rPr>
          <w:color w:val="000000"/>
        </w:rPr>
        <w:t xml:space="preserve">Obowiązywanie </w:t>
      </w:r>
      <w:r w:rsidR="00476721" w:rsidRPr="00783B7D">
        <w:rPr>
          <w:i/>
        </w:rPr>
        <w:t>Umow</w:t>
      </w:r>
      <w:r w:rsidR="00476721">
        <w:rPr>
          <w:i/>
        </w:rPr>
        <w:t>y</w:t>
      </w:r>
      <w:r w:rsidR="00476721" w:rsidRPr="00783B7D">
        <w:rPr>
          <w:i/>
        </w:rPr>
        <w:t xml:space="preserve"> </w:t>
      </w:r>
      <w:r w:rsidR="00476721" w:rsidRPr="00783B7D">
        <w:rPr>
          <w:i/>
          <w:szCs w:val="26"/>
        </w:rPr>
        <w:t>między Rzecząpospolitą Polską a Królestwem Hiszpanii w</w:t>
      </w:r>
      <w:r w:rsidR="003C080F">
        <w:rPr>
          <w:i/>
          <w:szCs w:val="26"/>
        </w:rPr>
        <w:t> </w:t>
      </w:r>
      <w:r w:rsidR="00476721" w:rsidRPr="00783B7D">
        <w:rPr>
          <w:i/>
          <w:szCs w:val="26"/>
        </w:rPr>
        <w:t>sprawie wzajemnego popierania i ochron</w:t>
      </w:r>
      <w:r w:rsidR="00476721">
        <w:rPr>
          <w:i/>
          <w:szCs w:val="26"/>
        </w:rPr>
        <w:t xml:space="preserve">y </w:t>
      </w:r>
      <w:r w:rsidR="00476721" w:rsidRPr="00783B7D">
        <w:rPr>
          <w:i/>
          <w:szCs w:val="26"/>
        </w:rPr>
        <w:t>inwestycji, sporządzon</w:t>
      </w:r>
      <w:r w:rsidR="00476721">
        <w:rPr>
          <w:i/>
          <w:szCs w:val="26"/>
        </w:rPr>
        <w:t xml:space="preserve">ej </w:t>
      </w:r>
      <w:r w:rsidR="00476721" w:rsidRPr="00783B7D">
        <w:rPr>
          <w:i/>
          <w:szCs w:val="26"/>
        </w:rPr>
        <w:t>w Madrycie dnia 30 lipca 1992 r.</w:t>
      </w:r>
      <w:r w:rsidR="00476721" w:rsidRPr="00783B7D">
        <w:rPr>
          <w:b/>
          <w:szCs w:val="26"/>
        </w:rPr>
        <w:t xml:space="preserve"> </w:t>
      </w:r>
      <w:r w:rsidR="00476721" w:rsidRPr="00783B7D">
        <w:rPr>
          <w:szCs w:val="26"/>
        </w:rPr>
        <w:t>(Dz. U. z 1993 r. poz. 563)</w:t>
      </w:r>
      <w:r w:rsidR="00476721">
        <w:rPr>
          <w:szCs w:val="26"/>
        </w:rPr>
        <w:t xml:space="preserve">, dalej jako „Umowa”, </w:t>
      </w:r>
      <w:r w:rsidRPr="00EE5D1E">
        <w:rPr>
          <w:color w:val="000000"/>
        </w:rPr>
        <w:t>jest kwestionowane przez Komisję Europejską z uwagi na niezgodność Umowy z prawem UE, podobnie jak kwestionowane jest obowiązywanie wszystkich pozostałych umów o popieraniu i</w:t>
      </w:r>
      <w:r w:rsidR="003C080F">
        <w:rPr>
          <w:color w:val="000000"/>
        </w:rPr>
        <w:t> </w:t>
      </w:r>
      <w:r w:rsidRPr="00EE5D1E">
        <w:rPr>
          <w:color w:val="000000"/>
        </w:rPr>
        <w:t>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ws. niezgodności m.in. tej Umowy z prawem UE. Takie formalne postępowania Komisji Europejskiej toczą się już przeciwko Austrii, Holandii, Słowacji, Szwecji i Rumunii.</w:t>
      </w:r>
    </w:p>
    <w:p w:rsidR="00175C36" w:rsidRPr="00175C36" w:rsidRDefault="002A3914" w:rsidP="003C080F">
      <w:pPr>
        <w:spacing w:before="120" w:line="360" w:lineRule="auto"/>
        <w:jc w:val="both"/>
        <w:rPr>
          <w:color w:val="000000"/>
        </w:rPr>
      </w:pPr>
      <w:r w:rsidRPr="00175C36">
        <w:rPr>
          <w:color w:val="000000"/>
        </w:rPr>
        <w:t xml:space="preserve">RP jest </w:t>
      </w:r>
      <w:r w:rsidR="00F25736" w:rsidRPr="00175C36">
        <w:rPr>
          <w:color w:val="000000"/>
        </w:rPr>
        <w:t xml:space="preserve">obecnie </w:t>
      </w:r>
      <w:r w:rsidRPr="00175C36">
        <w:rPr>
          <w:color w:val="000000"/>
        </w:rPr>
        <w:t>stroną umów intra-EU BIT zawartych z prawie wszystkimi państwami członkowskimi UE, z wyjątkiem Irlandii</w:t>
      </w:r>
      <w:r w:rsidR="00F25736" w:rsidRPr="00175C36">
        <w:rPr>
          <w:color w:val="000000"/>
        </w:rPr>
        <w:t xml:space="preserve"> i </w:t>
      </w:r>
      <w:r w:rsidRPr="00175C36">
        <w:rPr>
          <w:color w:val="000000"/>
        </w:rPr>
        <w:t>Malty</w:t>
      </w:r>
      <w:r w:rsidR="00F25736" w:rsidRPr="00175C36">
        <w:rPr>
          <w:color w:val="000000"/>
        </w:rPr>
        <w:t xml:space="preserve">, z którymi </w:t>
      </w:r>
      <w:r w:rsidRPr="00175C36">
        <w:rPr>
          <w:color w:val="000000"/>
        </w:rPr>
        <w:t>R</w:t>
      </w:r>
      <w:r w:rsidR="00C60C98" w:rsidRPr="00175C36">
        <w:rPr>
          <w:color w:val="000000"/>
        </w:rPr>
        <w:t xml:space="preserve">P </w:t>
      </w:r>
      <w:r w:rsidRPr="00175C36">
        <w:rPr>
          <w:color w:val="000000"/>
        </w:rPr>
        <w:t>nigdy nie zawarła tego typu umów</w:t>
      </w:r>
      <w:r w:rsidR="00F25736" w:rsidRPr="00175C36">
        <w:rPr>
          <w:color w:val="000000"/>
        </w:rPr>
        <w:t xml:space="preserve">, oraz Włoch, z którymi </w:t>
      </w:r>
      <w:r w:rsidRPr="00175C36">
        <w:rPr>
          <w:color w:val="000000"/>
        </w:rPr>
        <w:t>umowa wygasła w dniu 9 stycznia 2013 r. na skutek wypowiedzenia przez Włochy</w:t>
      </w:r>
      <w:r w:rsidR="00476721">
        <w:rPr>
          <w:color w:val="000000"/>
        </w:rPr>
        <w:t xml:space="preserve">. </w:t>
      </w:r>
      <w:r w:rsidR="00CA02C0">
        <w:rPr>
          <w:color w:val="000000"/>
        </w:rPr>
        <w:t xml:space="preserve">Ponadto </w:t>
      </w:r>
      <w:r w:rsidR="00476721" w:rsidRPr="00476721">
        <w:rPr>
          <w:color w:val="000000"/>
        </w:rPr>
        <w:t>RP wypowiedziała</w:t>
      </w:r>
      <w:r w:rsidR="001657A4">
        <w:rPr>
          <w:color w:val="000000"/>
        </w:rPr>
        <w:t xml:space="preserve">, z uwagi na prawo UE, </w:t>
      </w:r>
      <w:r w:rsidR="00476721" w:rsidRPr="00476721">
        <w:rPr>
          <w:color w:val="000000"/>
        </w:rPr>
        <w:t>umowę intra-EU BIT zawartą z Portugalią (umow</w:t>
      </w:r>
      <w:r w:rsidR="00375952">
        <w:rPr>
          <w:color w:val="000000"/>
        </w:rPr>
        <w:t xml:space="preserve">a wygaśnie </w:t>
      </w:r>
      <w:r w:rsidR="00476721" w:rsidRPr="00476721">
        <w:rPr>
          <w:color w:val="000000"/>
        </w:rPr>
        <w:t xml:space="preserve">w dniu </w:t>
      </w:r>
      <w:r w:rsidR="00375952">
        <w:rPr>
          <w:color w:val="000000"/>
        </w:rPr>
        <w:t>3</w:t>
      </w:r>
      <w:r w:rsidR="00476721" w:rsidRPr="00476721">
        <w:rPr>
          <w:color w:val="000000"/>
        </w:rPr>
        <w:t xml:space="preserve"> sierpnia 2019 r.).</w:t>
      </w:r>
    </w:p>
    <w:p w:rsidR="00EE5D1E" w:rsidRDefault="00EE5D1E" w:rsidP="003C080F">
      <w:pPr>
        <w:spacing w:before="120" w:line="360" w:lineRule="auto"/>
        <w:jc w:val="both"/>
      </w:pPr>
      <w:r>
        <w:t>Stanowisko RP wobec umów intra-EU BIT zostało przyjęte przez Komitet do Spraw Europejskich w dniu 3 czerwca 2011 r. Zgodnie z nim umowy intra-EU BIT powinny zostać wypowiedziane przez wszystkie państwa członkowskie UE</w:t>
      </w:r>
      <w:r w:rsidR="00D81204">
        <w:t>,</w:t>
      </w:r>
      <w:r>
        <w:t xml:space="preserve"> a najlepszym rozwiązaniem dla RP byłoby, aby wszystkie państwa członkowskie UE podjęły jednocześnie wspólną decyzję o rozwiązaniu umów intra-EU BIT za obopólną zgodą na mocy </w:t>
      </w:r>
      <w:r w:rsidRPr="00EE5D1E">
        <w:rPr>
          <w:i/>
        </w:rPr>
        <w:t>Konwencji wiedeńskiej o prawie traktatów</w:t>
      </w:r>
      <w:r w:rsidR="00476721">
        <w:rPr>
          <w:i/>
        </w:rPr>
        <w:t>,</w:t>
      </w:r>
      <w:r w:rsidRPr="00EE5D1E">
        <w:rPr>
          <w:i/>
        </w:rPr>
        <w:t xml:space="preserve"> sporządzonej w Wiedniu dnia 23 maja 1969 r.</w:t>
      </w:r>
      <w:r>
        <w:t xml:space="preserve"> (Dz. U. z 1990 r.</w:t>
      </w:r>
      <w:r w:rsidR="00C4096F">
        <w:t xml:space="preserve"> poz. 439</w:t>
      </w:r>
      <w:r>
        <w:t>). Alternatywnie, w przypadku braku możliwości osiągnięcia wśród państw członkowskich UE takiej jednomyślności RP, zgodnie z</w:t>
      </w:r>
      <w:r w:rsidR="003C080F">
        <w:t> </w:t>
      </w:r>
      <w:r>
        <w:t>powyższym stanowiskiem, miała rozwiązać umowy intra-EU BIT zawarte z innymi państwami członkowskimi UE albo poprzez ich wypowiedzenie na warunkach określonych w tych umowach</w:t>
      </w:r>
      <w:r w:rsidR="00476721">
        <w:t>,</w:t>
      </w:r>
      <w:r>
        <w:t xml:space="preserve"> albo na podstawie porozumienia stron. </w:t>
      </w:r>
    </w:p>
    <w:p w:rsidR="00EE5D1E" w:rsidRPr="003C080F" w:rsidRDefault="00EE5D1E" w:rsidP="003C080F">
      <w:pPr>
        <w:spacing w:before="120" w:line="360" w:lineRule="auto"/>
        <w:jc w:val="both"/>
        <w:rPr>
          <w:i/>
        </w:rPr>
      </w:pPr>
      <w:r>
        <w:t xml:space="preserve">W odpowiedzi RP skierowanej do Komisji Europejskiej we wrześniu 2015 r. w ramach ww. postępowania EU Pilot, RP podtrzymała gotowość do zakończenia obowiązywania </w:t>
      </w:r>
      <w:r>
        <w:lastRenderedPageBreak/>
        <w:t xml:space="preserve">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C4096F">
        <w:t xml:space="preserve">klauzula </w:t>
      </w:r>
      <w:r w:rsidR="00476721">
        <w:t xml:space="preserve">przedłużonego obowiązywania umowy, </w:t>
      </w:r>
      <w:r w:rsidRPr="00EE5D1E">
        <w:rPr>
          <w:i/>
        </w:rPr>
        <w:t>sunset clause</w:t>
      </w:r>
      <w:r>
        <w:t xml:space="preserve">). O wiele lepszym sposobem, jak Polska wskazała, byłoby rozwiązanie umów intra-EU BIT na podstawie porozumień dwustronnych, które przewidywałyby rezygnację z </w:t>
      </w:r>
      <w:r w:rsidR="00C4096F">
        <w:t xml:space="preserve">klauzuli </w:t>
      </w:r>
      <w:r w:rsidR="00476721">
        <w:t xml:space="preserve">przedłużonego obowiązywania umowy. </w:t>
      </w:r>
      <w: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C4096F">
        <w:t>klauzul</w:t>
      </w:r>
      <w:r w:rsidR="00476721">
        <w:t xml:space="preserve"> przedłużonego obowiązywania umowy, </w:t>
      </w:r>
      <w:r>
        <w:t xml:space="preserve">w oparciu o porozumienie wielostronne, zawarte zgodnie z </w:t>
      </w:r>
      <w:r w:rsidRPr="00EE5D1E">
        <w:rPr>
          <w:i/>
        </w:rPr>
        <w:t>Konwencją wiedeńską o prawie traktatów</w:t>
      </w:r>
      <w:r w:rsidR="00476721">
        <w:rPr>
          <w:i/>
        </w:rPr>
        <w:t>,</w:t>
      </w:r>
      <w:r w:rsidRPr="00EE5D1E">
        <w:rPr>
          <w:i/>
        </w:rPr>
        <w:t xml:space="preserve"> sporządzoną w Wiedniu dnia 23 maja 1969 r.</w:t>
      </w:r>
    </w:p>
    <w:p w:rsidR="00476721" w:rsidRDefault="00476721" w:rsidP="003C080F">
      <w:pPr>
        <w:spacing w:before="120" w:line="360" w:lineRule="auto"/>
        <w:jc w:val="both"/>
      </w:pPr>
      <w:r>
        <w:t>Obecnie jednak z uwagi na brak konsensusu państw członkowskich UE co do celowości i sposobu rozwiązania umów intra-EU BIT zasadne jest przystąpienie RP do realizacji opcji rozwiązania tych umów na podstawie porozumień dwustronnych, które przewidywałyby rezygnację z klauzul przedłużonego obowiązywania umowy. Królestwo Hiszpanii nie jest obecnie zainteresowane rozwiązaniem z RP ww. Umowy, łącznie z ww. klauzulą. Zatem w ocenie RP zasadne jest wypowiedzenie Umowy. Zgodnie z art. 12 ust. 2 Umowa może być wypowiedziana w każdym czasie przez każdą z Umawiających się Stron z zachowaniem dwunastomiesięcznego wypowiedzenia po upływie początkowego okresu dziesięciu lat, który upłynął w dniu 1 maja 2003 r. Na podstawie art. 12 ust. 3 inwestycje dokonane przed wejściem w życie wypowiedzenia Umowy będą chronione na mocy tej Umowy przez dziesięć lat</w:t>
      </w:r>
      <w:r w:rsidR="00572AD5">
        <w:t xml:space="preserve"> od czasu wygaśnięcia </w:t>
      </w:r>
      <w:r w:rsidR="00572AD5">
        <w:lastRenderedPageBreak/>
        <w:t>Umowy</w:t>
      </w:r>
      <w:r>
        <w:t>. Jednocześnie RP będzie kontynuowała konsultacje z Królestwem Hiszpanii mające na celu doprowadzenie do rozwiązania Umowy, łącznie z klauzulą przedłużonego obowiązywania umowy. W przypadku uzyskania takiej zgody przed wejściem w życie wypowiedzenia Umowy RP podejmie działania mające na celu zakończenie obowiązywania Umowy, łącznie z ww. klauzulą.</w:t>
      </w:r>
    </w:p>
    <w:p w:rsidR="00271D07" w:rsidRPr="00175C36" w:rsidRDefault="00271D07" w:rsidP="003C080F">
      <w:pPr>
        <w:tabs>
          <w:tab w:val="left" w:pos="350"/>
        </w:tabs>
        <w:spacing w:before="240" w:line="360" w:lineRule="auto"/>
        <w:rPr>
          <w:rFonts w:cs="Arial"/>
          <w:b/>
          <w:color w:val="000000"/>
        </w:rPr>
      </w:pPr>
      <w:r w:rsidRPr="00175C36">
        <w:rPr>
          <w:rFonts w:cs="Arial"/>
          <w:b/>
          <w:color w:val="000000"/>
        </w:rPr>
        <w:t>2.</w:t>
      </w:r>
      <w:r w:rsidR="003C080F">
        <w:rPr>
          <w:rFonts w:cs="Arial"/>
          <w:b/>
          <w:color w:val="000000"/>
        </w:rPr>
        <w:tab/>
      </w:r>
      <w:r w:rsidRPr="003C080F">
        <w:rPr>
          <w:b/>
        </w:rPr>
        <w:t>Dotychczasowy</w:t>
      </w:r>
      <w:r w:rsidRPr="00175C36">
        <w:rPr>
          <w:rFonts w:cs="Arial"/>
          <w:b/>
          <w:color w:val="000000"/>
        </w:rPr>
        <w:t xml:space="preserve"> a projektowany stan prawny</w:t>
      </w:r>
    </w:p>
    <w:p w:rsidR="00EE5D1E" w:rsidRPr="00175C36" w:rsidRDefault="003C080F" w:rsidP="003C080F">
      <w:pPr>
        <w:tabs>
          <w:tab w:val="left" w:pos="540"/>
        </w:tabs>
        <w:spacing w:before="120" w:line="360" w:lineRule="auto"/>
        <w:jc w:val="both"/>
      </w:pPr>
      <w:r>
        <w:t>W polsko-</w:t>
      </w:r>
      <w:r w:rsidR="00783B7D" w:rsidRPr="00783B7D">
        <w:t xml:space="preserve">hiszpańskich </w:t>
      </w:r>
      <w:r w:rsidR="00322249" w:rsidRPr="00783B7D">
        <w:t>stosunkach prawno</w:t>
      </w:r>
      <w:r>
        <w:t>-</w:t>
      </w:r>
      <w:r w:rsidR="00322249" w:rsidRPr="00783B7D">
        <w:t xml:space="preserve">traktatowych w zakresie współpracy gospodarczej obowiązuje </w:t>
      </w:r>
      <w:r w:rsidR="00C4096F">
        <w:t xml:space="preserve">m.in. </w:t>
      </w:r>
      <w:r w:rsidR="00FC0C80" w:rsidRPr="00783B7D">
        <w:t xml:space="preserve">ww. </w:t>
      </w:r>
      <w:r w:rsidR="00E8386A" w:rsidRPr="00783B7D">
        <w:rPr>
          <w:i/>
        </w:rPr>
        <w:t xml:space="preserve">Umowa </w:t>
      </w:r>
      <w:r w:rsidR="00783B7D" w:rsidRPr="00783B7D">
        <w:rPr>
          <w:i/>
          <w:szCs w:val="26"/>
        </w:rPr>
        <w:t>między Rzecząpospolitą Polską a</w:t>
      </w:r>
      <w:r>
        <w:rPr>
          <w:i/>
          <w:szCs w:val="26"/>
        </w:rPr>
        <w:t> </w:t>
      </w:r>
      <w:r w:rsidR="00783B7D" w:rsidRPr="00783B7D">
        <w:rPr>
          <w:i/>
          <w:szCs w:val="26"/>
        </w:rPr>
        <w:t>Królestwem Hiszpanii w sprawie wzajemnego popierania i ochron</w:t>
      </w:r>
      <w:r w:rsidR="00984345">
        <w:rPr>
          <w:i/>
          <w:szCs w:val="26"/>
        </w:rPr>
        <w:t xml:space="preserve">y </w:t>
      </w:r>
      <w:r w:rsidR="00783B7D" w:rsidRPr="00783B7D">
        <w:rPr>
          <w:i/>
          <w:szCs w:val="26"/>
        </w:rPr>
        <w:t>inwestycji, sporządzona w Madrycie dnia 30 lipca 1992 r.</w:t>
      </w:r>
      <w:r w:rsidR="00783B7D" w:rsidRPr="00783B7D">
        <w:rPr>
          <w:b/>
          <w:szCs w:val="26"/>
        </w:rPr>
        <w:t xml:space="preserve"> </w:t>
      </w:r>
      <w:r w:rsidR="00C60C98" w:rsidRPr="00783B7D">
        <w:rPr>
          <w:szCs w:val="26"/>
        </w:rPr>
        <w:t xml:space="preserve">Zapewnia ona inwestorowi i jego inwestycjom </w:t>
      </w:r>
      <w:r w:rsidR="004053DE" w:rsidRPr="00783B7D">
        <w:rPr>
          <w:szCs w:val="26"/>
        </w:rPr>
        <w:t xml:space="preserve">z państwa – </w:t>
      </w:r>
      <w:r w:rsidR="00EE5D1E">
        <w:rPr>
          <w:szCs w:val="26"/>
        </w:rPr>
        <w:t>S</w:t>
      </w:r>
      <w:r w:rsidR="004053DE" w:rsidRPr="00783B7D">
        <w:rPr>
          <w:szCs w:val="26"/>
        </w:rPr>
        <w:t xml:space="preserve">trony </w:t>
      </w:r>
      <w:r w:rsidR="00175C36" w:rsidRPr="00783B7D">
        <w:rPr>
          <w:szCs w:val="26"/>
        </w:rPr>
        <w:t>U</w:t>
      </w:r>
      <w:r w:rsidR="004053DE" w:rsidRPr="00783B7D">
        <w:rPr>
          <w:szCs w:val="26"/>
        </w:rPr>
        <w:t xml:space="preserve">mowy na terytorium państwa – drugiej </w:t>
      </w:r>
      <w:r w:rsidR="00EE5D1E">
        <w:rPr>
          <w:szCs w:val="26"/>
        </w:rPr>
        <w:t>S</w:t>
      </w:r>
      <w:r w:rsidR="004053DE" w:rsidRPr="00783B7D">
        <w:rPr>
          <w:szCs w:val="26"/>
        </w:rPr>
        <w:t xml:space="preserve">trony </w:t>
      </w:r>
      <w:r w:rsidR="00175C36" w:rsidRPr="00783B7D">
        <w:rPr>
          <w:szCs w:val="26"/>
        </w:rPr>
        <w:t xml:space="preserve">Umowy </w:t>
      </w:r>
      <w:r w:rsidR="00FC4D37" w:rsidRPr="00783B7D">
        <w:rPr>
          <w:szCs w:val="26"/>
        </w:rPr>
        <w:t xml:space="preserve">pełną ochronę </w:t>
      </w:r>
      <w:r w:rsidR="009456A4" w:rsidRPr="00783B7D">
        <w:rPr>
          <w:szCs w:val="26"/>
        </w:rPr>
        <w:t xml:space="preserve">oraz możliwość dochodzenia roszczeń przed </w:t>
      </w:r>
      <w:r w:rsidR="00783B7D" w:rsidRPr="00783B7D">
        <w:rPr>
          <w:szCs w:val="26"/>
        </w:rPr>
        <w:t>m</w:t>
      </w:r>
      <w:r w:rsidR="009456A4" w:rsidRPr="00783B7D">
        <w:rPr>
          <w:szCs w:val="26"/>
        </w:rPr>
        <w:t xml:space="preserve">iędzynarodowym trybunałem inwestycyjnym. Komisja Europejska </w:t>
      </w:r>
      <w:r w:rsidR="00C60C98" w:rsidRPr="00783B7D">
        <w:t xml:space="preserve">ma poważne obawy, że </w:t>
      </w:r>
      <w:r w:rsidR="00FC4D37" w:rsidRPr="00783B7D">
        <w:t xml:space="preserve">umowy intra-EU BIT jako takie, w tym </w:t>
      </w:r>
      <w:r w:rsidR="00FC0C80" w:rsidRPr="00783B7D">
        <w:t xml:space="preserve">ww. </w:t>
      </w:r>
      <w:r w:rsidR="00FC4D37" w:rsidRPr="00783B7D">
        <w:t>Umowa</w:t>
      </w:r>
      <w:r w:rsidR="00FC0C80" w:rsidRPr="00783B7D">
        <w:t>,</w:t>
      </w:r>
      <w:r w:rsidR="00D24B98" w:rsidRPr="00783B7D">
        <w:t xml:space="preserve"> </w:t>
      </w:r>
      <w:r w:rsidR="00C60C98" w:rsidRPr="00783B7D">
        <w:t>a także ich poszczególne postanowienia</w:t>
      </w:r>
      <w:r w:rsidR="00FC4D37" w:rsidRPr="00783B7D">
        <w:t xml:space="preserve"> </w:t>
      </w:r>
      <w:r w:rsidR="00C60C98" w:rsidRPr="00783B7D">
        <w:t xml:space="preserve">pokrywają się z postanowieniami Traktatu o funkcjonowaniu Unii Europejskiej </w:t>
      </w:r>
      <w:r w:rsidR="00C4096F">
        <w:t>lub</w:t>
      </w:r>
      <w:r w:rsidR="00C4096F" w:rsidRPr="00783B7D">
        <w:t xml:space="preserve"> </w:t>
      </w:r>
      <w:r w:rsidR="00C60C98" w:rsidRPr="00783B7D">
        <w:t>mogą być z nimi sprzeczne, w szczególności z zasadami swobody przepływu kapitału, swobody przedsiębiorczości i swobody świadczenia usług oraz z podstawowymi zasadami prawa U</w:t>
      </w:r>
      <w:r w:rsidR="00FC4D37" w:rsidRPr="00783B7D">
        <w:t xml:space="preserve">E </w:t>
      </w:r>
      <w:r w:rsidR="00C60C98" w:rsidRPr="00783B7D">
        <w:t>takimi jak</w:t>
      </w:r>
      <w:r w:rsidR="0059545F" w:rsidRPr="00783B7D">
        <w:t>:</w:t>
      </w:r>
      <w:r w:rsidR="00C60C98" w:rsidRPr="00783B7D">
        <w:t xml:space="preserve"> zasad</w:t>
      </w:r>
      <w:r w:rsidR="0059545F" w:rsidRPr="00783B7D">
        <w:t>a</w:t>
      </w:r>
      <w:r w:rsidR="00C60C98" w:rsidRPr="00783B7D">
        <w:t xml:space="preserve"> nadrzędności, jedności</w:t>
      </w:r>
      <w:r w:rsidR="0059545F" w:rsidRPr="00783B7D">
        <w:t xml:space="preserve">, </w:t>
      </w:r>
      <w:r w:rsidR="00C60C98" w:rsidRPr="00783B7D">
        <w:t xml:space="preserve">skuteczności </w:t>
      </w:r>
      <w:r w:rsidR="0059545F" w:rsidRPr="00783B7D">
        <w:t xml:space="preserve">i pewności </w:t>
      </w:r>
      <w:r w:rsidR="00C60C98" w:rsidRPr="00783B7D">
        <w:t>prawa U</w:t>
      </w:r>
      <w:r w:rsidR="00FC4D37" w:rsidRPr="00783B7D">
        <w:t>E</w:t>
      </w:r>
      <w:r w:rsidR="0059545F" w:rsidRPr="00783B7D">
        <w:t xml:space="preserve">. </w:t>
      </w:r>
      <w:r w:rsidR="00C60C98" w:rsidRPr="00783B7D">
        <w:t>Komisj</w:t>
      </w:r>
      <w:r w:rsidR="00C4096F">
        <w:t>a</w:t>
      </w:r>
      <w:r w:rsidR="00C60C98" w:rsidRPr="00783B7D">
        <w:t xml:space="preserve"> </w:t>
      </w:r>
      <w:r w:rsidR="00FC4D37" w:rsidRPr="00783B7D">
        <w:t>Europejsk</w:t>
      </w:r>
      <w:r w:rsidR="00C4096F">
        <w:t>a</w:t>
      </w:r>
      <w:r w:rsidR="00FC4D37" w:rsidRPr="00783B7D">
        <w:t xml:space="preserve"> </w:t>
      </w:r>
      <w:r w:rsidR="00C4096F">
        <w:t xml:space="preserve">ma </w:t>
      </w:r>
      <w:r w:rsidR="00C60C98" w:rsidRPr="00783B7D">
        <w:t xml:space="preserve">również </w:t>
      </w:r>
      <w:r w:rsidR="00C4096F">
        <w:t xml:space="preserve">zastrzeżenia dotyczące </w:t>
      </w:r>
      <w:r w:rsidR="00C60C98" w:rsidRPr="00783B7D">
        <w:t xml:space="preserve">kwestii rozstrzygania sporów inwestycyjnych uregulowanej w dwustronnych umowach inwestycyjnych, </w:t>
      </w:r>
      <w:r w:rsidR="0059545F" w:rsidRPr="00783B7D">
        <w:t xml:space="preserve">w tym w ww. Umowie, </w:t>
      </w:r>
      <w:r w:rsidR="00C60C98" w:rsidRPr="00783B7D">
        <w:t>co</w:t>
      </w:r>
      <w:r w:rsidR="00C4096F">
        <w:t>, zdaniem Komisji Europejskiej, „</w:t>
      </w:r>
      <w:r w:rsidR="00C60C98" w:rsidRPr="00783B7D">
        <w:t>wydaje się być sprzeczne z wyłączną kompetencją sądów UE</w:t>
      </w:r>
      <w:r w:rsidR="00C4096F">
        <w:t>”</w:t>
      </w:r>
      <w:r w:rsidR="00C60C98" w:rsidRPr="00783B7D">
        <w:t>.</w:t>
      </w:r>
      <w:r w:rsidR="00FC4D37" w:rsidRPr="00783B7D">
        <w:t xml:space="preserve"> </w:t>
      </w:r>
      <w:r w:rsidR="00476721">
        <w:t>Wypowiedzenie Umowy</w:t>
      </w:r>
      <w:r w:rsidR="00FC4D37" w:rsidRPr="00783B7D">
        <w:t xml:space="preserve"> pozwoli doprowadzić do zgodnośc</w:t>
      </w:r>
      <w:r>
        <w:t>i z prawem UE stosunki polsko-</w:t>
      </w:r>
      <w:r w:rsidR="00783B7D" w:rsidRPr="00783B7D">
        <w:t xml:space="preserve">hiszpańskie </w:t>
      </w:r>
      <w:r w:rsidR="00FC4D37" w:rsidRPr="00783B7D">
        <w:t>w zakresie współpracy gospodarczej.</w:t>
      </w:r>
      <w:r w:rsidR="00FC4D37" w:rsidRPr="00175C36">
        <w:t xml:space="preserve"> </w:t>
      </w:r>
    </w:p>
    <w:p w:rsidR="008E01E0" w:rsidRPr="00175C36" w:rsidRDefault="008E01E0" w:rsidP="003C080F">
      <w:pPr>
        <w:widowControl w:val="0"/>
        <w:autoSpaceDE w:val="0"/>
        <w:autoSpaceDN w:val="0"/>
        <w:adjustRightInd w:val="0"/>
        <w:spacing w:before="120" w:line="360" w:lineRule="auto"/>
        <w:jc w:val="both"/>
      </w:pPr>
      <w:r w:rsidRPr="008E01E0">
        <w:t xml:space="preserve">Należy też zaznaczyć, że jednocześnie przed Trybunałem Sprawiedliwości UE </w:t>
      </w:r>
      <w:r w:rsidR="00EE5D1E" w:rsidRPr="008E01E0">
        <w:t xml:space="preserve">toczy się </w:t>
      </w:r>
      <w:r w:rsidRPr="008E01E0">
        <w:t>postępowanie z wniosku sądu niemieckiego o wydanie orzeczenia w trybie prejudycjalnym, sformułowan</w:t>
      </w:r>
      <w:r w:rsidR="00753DAE">
        <w:t>ego</w:t>
      </w:r>
      <w:r w:rsidRPr="008E01E0">
        <w:t xml:space="preserve"> w toku postępowania ze skargi Republiki Słowackiej o uchylenie wyroku sądu arbitrażowego wydanego na podstawie umowy intra-EU BIT zawartej pomiędzy Czechosłowacją i Królestwem Niderlandów w 1991 r.</w:t>
      </w:r>
      <w:r w:rsidR="00D81204">
        <w:t>,</w:t>
      </w:r>
      <w:r w:rsidRPr="008E01E0">
        <w:t xml:space="preserve"> z powództwa Achmea B.V. przeciwko Republice Słowacji (postępowanie PCA Case No. 2008-13). W tej sprawie sąd niemiecki zwrócił się do TSUE z pytaniem prejudycjalnym dotyczącym tego, czy wykonanie wyroku wydanego na podstawie tej umowy nie </w:t>
      </w:r>
      <w:r w:rsidRPr="008E01E0">
        <w:lastRenderedPageBreak/>
        <w:t>naruszałoby postanowień Traktatów dotyczących: zakazu dyskryminacji z art. 18 TFUE (poprzez uprzywilejowanie inwestora z państwa – 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w:t>
      </w:r>
      <w:r w:rsidR="00476721">
        <w:t xml:space="preserve">jska i wiele państw regionu. </w:t>
      </w:r>
      <w:r w:rsidR="005C658B" w:rsidRPr="005C658B">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w:t>
      </w:r>
      <w:r w:rsidR="002920E4">
        <w:t xml:space="preserve">Podnoszona jest także kwestia możliwego wygaśnięcia tych umów na podstawie art. 59 </w:t>
      </w:r>
      <w:r w:rsidR="002920E4">
        <w:rPr>
          <w:i/>
          <w:color w:val="000000"/>
        </w:rPr>
        <w:t xml:space="preserve">Konwencji wiedeńskiej o prawie traktatów, sporządzonej w Wiedniu dnia 23 maja 1969 r. </w:t>
      </w:r>
      <w:r w:rsidR="002920E4">
        <w:t>w związku z zawarciem przez RP Traktatu Akcesyjnego do UE w zakresie, w którym umowy te są niezgodne z</w:t>
      </w:r>
      <w:r w:rsidR="003C080F">
        <w:t> </w:t>
      </w:r>
      <w:r w:rsidR="002920E4">
        <w:t>prawem UE.</w:t>
      </w:r>
    </w:p>
    <w:p w:rsidR="00271D07" w:rsidRPr="00175C36" w:rsidRDefault="003C080F" w:rsidP="003C080F">
      <w:pPr>
        <w:tabs>
          <w:tab w:val="left" w:pos="350"/>
        </w:tabs>
        <w:spacing w:before="240" w:line="360" w:lineRule="auto"/>
        <w:rPr>
          <w:b/>
        </w:rPr>
      </w:pPr>
      <w:r>
        <w:rPr>
          <w:b/>
        </w:rPr>
        <w:t>3.</w:t>
      </w:r>
      <w:r>
        <w:rPr>
          <w:b/>
        </w:rPr>
        <w:tab/>
      </w:r>
      <w:r w:rsidR="00271D07" w:rsidRPr="00175C36">
        <w:rPr>
          <w:b/>
        </w:rPr>
        <w:t>Przewidywane skutki społeczne, gospodarcze, finansowe, polityczne i prawne</w:t>
      </w:r>
    </w:p>
    <w:p w:rsidR="00FC4D37" w:rsidRPr="003C080F" w:rsidRDefault="00476721" w:rsidP="003C080F">
      <w:pPr>
        <w:spacing w:before="120" w:line="360" w:lineRule="auto"/>
        <w:jc w:val="both"/>
        <w:rPr>
          <w:b/>
          <w:sz w:val="20"/>
          <w:szCs w:val="20"/>
        </w:rPr>
      </w:pPr>
      <w:r>
        <w:t xml:space="preserve">Wypowiedzenie Umowy </w:t>
      </w:r>
      <w:r w:rsidR="00684F29" w:rsidRPr="00783B7D">
        <w:t>nie powinno mieć konsekwencji politycznych. Państwa członkowskie UE, w tym RP</w:t>
      </w:r>
      <w:r w:rsidR="00C452DE">
        <w:t>,</w:t>
      </w:r>
      <w:r w:rsidR="00684F29" w:rsidRPr="00783B7D">
        <w:t xml:space="preserve"> jak i </w:t>
      </w:r>
      <w:r w:rsidR="00783B7D" w:rsidRPr="00783B7D">
        <w:t xml:space="preserve">Królestwo Hiszpanii, </w:t>
      </w:r>
      <w:r w:rsidR="00684F29" w:rsidRPr="00783B7D">
        <w:t xml:space="preserve">zostały wezwane przez Komisję Europejską do </w:t>
      </w:r>
      <w:r w:rsidR="00671318" w:rsidRPr="00783B7D">
        <w:t xml:space="preserve">zakończenia obowiązywania </w:t>
      </w:r>
      <w:r w:rsidR="00684F29" w:rsidRPr="00783B7D">
        <w:t>umów intra-EU BIT.</w:t>
      </w:r>
      <w:r w:rsidR="00684F29">
        <w:t xml:space="preserve"> </w:t>
      </w:r>
    </w:p>
    <w:p w:rsidR="00BD2EA8" w:rsidRDefault="00C452DE" w:rsidP="003C080F">
      <w:pPr>
        <w:pStyle w:val="Tekstpodstawowy"/>
        <w:spacing w:before="120" w:after="0" w:line="360" w:lineRule="auto"/>
        <w:jc w:val="both"/>
      </w:pPr>
      <w:r>
        <w:t>Wypowiedzenie Umowy</w:t>
      </w:r>
      <w:r w:rsidR="00366190" w:rsidRPr="00175C36">
        <w:t xml:space="preserve"> nie będzie miało </w:t>
      </w:r>
      <w:r w:rsidR="00FC4D37" w:rsidRPr="00175C36">
        <w:t xml:space="preserve">negatywnych </w:t>
      </w:r>
      <w:r w:rsidR="00366190" w:rsidRPr="00175C36">
        <w:t xml:space="preserve">skutków </w:t>
      </w:r>
      <w:r w:rsidR="00271D07" w:rsidRPr="00175C36">
        <w:t>społecznych</w:t>
      </w:r>
      <w:r w:rsidR="00FC4D37" w:rsidRPr="00175C36">
        <w:t>, wręcz przeciwnie</w:t>
      </w:r>
      <w:r w:rsidR="00FC0C80" w:rsidRPr="00175C36">
        <w:t>,</w:t>
      </w:r>
      <w:r w:rsidR="00FC4D37" w:rsidRPr="00175C36">
        <w:t xml:space="preserve"> należy oczekiwać, że zostanie ono życzliwie przyjęte z uwagi na publiczną krytykę w Polsce umów intra-EU BIT i międzynarodowego arbitrażu inwestycyjnego. </w:t>
      </w:r>
    </w:p>
    <w:p w:rsidR="00F570ED" w:rsidRDefault="00C452DE" w:rsidP="003C080F">
      <w:pPr>
        <w:tabs>
          <w:tab w:val="left" w:pos="720"/>
        </w:tabs>
        <w:autoSpaceDE w:val="0"/>
        <w:autoSpaceDN w:val="0"/>
        <w:adjustRightInd w:val="0"/>
        <w:spacing w:before="120" w:line="360" w:lineRule="auto"/>
        <w:jc w:val="both"/>
      </w:pPr>
      <w:r>
        <w:t>Wypowiedzenie Umowy</w:t>
      </w:r>
      <w:r w:rsidR="000643E1" w:rsidRPr="00783B7D">
        <w:t xml:space="preserve"> nie </w:t>
      </w:r>
      <w:r w:rsidR="007B5F79" w:rsidRPr="00783B7D">
        <w:t xml:space="preserve">powinno </w:t>
      </w:r>
      <w:r w:rsidR="000643E1" w:rsidRPr="00783B7D">
        <w:t>wpłyn</w:t>
      </w:r>
      <w:r w:rsidR="007B5F79" w:rsidRPr="00783B7D">
        <w:t xml:space="preserve">ąć </w:t>
      </w:r>
      <w:r w:rsidR="000643E1" w:rsidRPr="00783B7D">
        <w:t xml:space="preserve">na stosunki gospodarcze między </w:t>
      </w:r>
      <w:r w:rsidR="00FC4D37" w:rsidRPr="00783B7D">
        <w:t xml:space="preserve">RP </w:t>
      </w:r>
      <w:r w:rsidR="000643E1" w:rsidRPr="00783B7D">
        <w:t>a</w:t>
      </w:r>
      <w:r w:rsidR="003C080F">
        <w:t> </w:t>
      </w:r>
      <w:r w:rsidR="00783B7D" w:rsidRPr="00783B7D">
        <w:t>Królestwem Hiszpanii. Umowę zawarto w czasie, kiedy RP nie była członkiem UE, a</w:t>
      </w:r>
      <w:r w:rsidR="003C080F">
        <w:t> </w:t>
      </w:r>
      <w:r w:rsidR="00783B7D" w:rsidRPr="00783B7D">
        <w:t>ww. Umowa miała na celu przyciągnięcie inwestycji hiszpańskich do Polski. Obecnie poziom</w:t>
      </w:r>
      <w:r w:rsidR="00783B7D" w:rsidRPr="00175C36">
        <w:t xml:space="preserve"> prawodawstwa oraz dostęp do powszechnego sądownictwa</w:t>
      </w:r>
      <w:r w:rsidR="00783B7D">
        <w:t xml:space="preserve"> w RP </w:t>
      </w:r>
      <w:r w:rsidR="00586FBA">
        <w:t xml:space="preserve">dają </w:t>
      </w:r>
      <w:r w:rsidR="00783B7D" w:rsidRPr="00175C36">
        <w:t xml:space="preserve">inwestorom zagranicznym gwarancję ochrony inwestycji z możliwością dochodzenia swoich praw na drodze sądowej. </w:t>
      </w:r>
    </w:p>
    <w:p w:rsidR="00C452DE" w:rsidRPr="00EE5D1E" w:rsidRDefault="00783B7D" w:rsidP="003C080F">
      <w:pPr>
        <w:spacing w:before="120" w:line="360" w:lineRule="auto"/>
        <w:jc w:val="both"/>
      </w:pPr>
      <w:r w:rsidRPr="00EE5D1E">
        <w:t xml:space="preserve">Łączna wartość kapitału zainwestowanego przez firmy hiszpańskie w </w:t>
      </w:r>
      <w:r w:rsidR="00C452DE">
        <w:t>RP</w:t>
      </w:r>
      <w:r w:rsidRPr="00EE5D1E">
        <w:t xml:space="preserve"> wyniosła w</w:t>
      </w:r>
      <w:r w:rsidR="00EE1071" w:rsidRPr="00EE5D1E">
        <w:t>edłu</w:t>
      </w:r>
      <w:r w:rsidRPr="00EE5D1E">
        <w:t>g NBP na koniec 201</w:t>
      </w:r>
      <w:r w:rsidR="009E5A9A">
        <w:t>6</w:t>
      </w:r>
      <w:r w:rsidRPr="00EE5D1E">
        <w:t xml:space="preserve"> r. 10,</w:t>
      </w:r>
      <w:r w:rsidR="009C7F7B">
        <w:t>3</w:t>
      </w:r>
      <w:r w:rsidRPr="00EE5D1E">
        <w:t xml:space="preserve"> mld EUR, co daje Hiszpanii </w:t>
      </w:r>
      <w:r w:rsidR="009C7F7B">
        <w:t>piąte</w:t>
      </w:r>
      <w:r w:rsidRPr="00EE5D1E">
        <w:t xml:space="preserve"> miejsce pod względem wartości dotychczas zainwestowanego kapitału w naszym kraju</w:t>
      </w:r>
      <w:r w:rsidR="009C7F7B">
        <w:t xml:space="preserve"> </w:t>
      </w:r>
      <w:r w:rsidR="009E5A9A">
        <w:t xml:space="preserve">(na koniec </w:t>
      </w:r>
      <w:r w:rsidR="009E5A9A">
        <w:lastRenderedPageBreak/>
        <w:t>2015 r.: 10,3 mld EUR)</w:t>
      </w:r>
      <w:r w:rsidRPr="00EE5D1E">
        <w:t xml:space="preserve">. W </w:t>
      </w:r>
      <w:r w:rsidR="00EE1071" w:rsidRPr="00EE5D1E">
        <w:t>R</w:t>
      </w:r>
      <w:r w:rsidRPr="00EE5D1E">
        <w:t>P</w:t>
      </w:r>
      <w:r w:rsidR="00EE1071" w:rsidRPr="00EE5D1E">
        <w:t xml:space="preserve"> </w:t>
      </w:r>
      <w:r w:rsidRPr="00EE5D1E">
        <w:t xml:space="preserve">swoje inwestycje ulokowało wiele znaczących hiszpańskich firm. Według danych GUS w </w:t>
      </w:r>
      <w:r w:rsidR="00EE1071" w:rsidRPr="00EE5D1E">
        <w:t xml:space="preserve">RP </w:t>
      </w:r>
      <w:r w:rsidRPr="00EE5D1E">
        <w:t>funkcjonuje obecnie ponad 700 spółek z</w:t>
      </w:r>
      <w:r w:rsidR="003C080F">
        <w:t> </w:t>
      </w:r>
      <w:r w:rsidRPr="00EE5D1E">
        <w:t xml:space="preserve">udziałem hiszpańskiego kapitału, które wypracowują około </w:t>
      </w:r>
      <w:r w:rsidR="009E5A9A">
        <w:t>1</w:t>
      </w:r>
      <w:r w:rsidRPr="00EE5D1E">
        <w:t xml:space="preserve">% polskiego PKB. Inwestycje hiszpańskie w </w:t>
      </w:r>
      <w:r w:rsidR="00C452DE">
        <w:t>RP</w:t>
      </w:r>
      <w:r w:rsidRPr="00EE5D1E">
        <w:t xml:space="preserve"> to w przeważającej części inwestycje o</w:t>
      </w:r>
      <w:r w:rsidR="00C452DE">
        <w:t xml:space="preserve"> </w:t>
      </w:r>
      <w:r w:rsidRPr="00EE5D1E">
        <w:t xml:space="preserve">charakterze giełdowym, prywatyzacyjnym oraz typu </w:t>
      </w:r>
      <w:r w:rsidRPr="00EE5D1E">
        <w:rPr>
          <w:i/>
        </w:rPr>
        <w:t>greenfield</w:t>
      </w:r>
      <w:r w:rsidRPr="00EE5D1E">
        <w:t xml:space="preserve">. Firmy hiszpańskie zainwestowały dotychczas w </w:t>
      </w:r>
      <w:r w:rsidR="00EE1071" w:rsidRPr="00EE5D1E">
        <w:t>R</w:t>
      </w:r>
      <w:r w:rsidRPr="00EE5D1E">
        <w:t>P</w:t>
      </w:r>
      <w:r w:rsidR="00EE1071" w:rsidRPr="00EE5D1E">
        <w:t xml:space="preserve"> </w:t>
      </w:r>
      <w:r w:rsidRPr="00EE5D1E">
        <w:t>praktycznie we wszystkich kluczowych dla rozwoju gospodarki sektorach:</w:t>
      </w:r>
      <w:r w:rsidR="00EE1071" w:rsidRPr="00EE5D1E">
        <w:t xml:space="preserve"> </w:t>
      </w:r>
      <w:r w:rsidRPr="00EE5D1E">
        <w:t>budowlany</w:t>
      </w:r>
      <w:r w:rsidR="00EE1071" w:rsidRPr="00EE5D1E">
        <w:t>m</w:t>
      </w:r>
      <w:r w:rsidRPr="00EE5D1E">
        <w:t xml:space="preserve"> (m.in. Ferrovial/Budimex, Acciona/Mostostal, OHL),</w:t>
      </w:r>
      <w:r w:rsidR="00EE1071" w:rsidRPr="00EE5D1E">
        <w:t xml:space="preserve"> </w:t>
      </w:r>
      <w:r w:rsidRPr="00EE5D1E">
        <w:t>finansowy</w:t>
      </w:r>
      <w:r w:rsidR="00EE1071" w:rsidRPr="00EE5D1E">
        <w:t>m</w:t>
      </w:r>
      <w:r w:rsidRPr="00EE5D1E">
        <w:t xml:space="preserve"> (udziały w BZ WBK hiszpańskiego banku detalicznego Santander Consumer)</w:t>
      </w:r>
      <w:r w:rsidR="00EE1071" w:rsidRPr="00EE5D1E">
        <w:t xml:space="preserve">, </w:t>
      </w:r>
      <w:r w:rsidRPr="00EE5D1E">
        <w:t>nieruchomości (m.in. Ferrovial Inmobiliaria, Fadesa-Prokom, Acciona, Rial, Sando, Lubasa)</w:t>
      </w:r>
      <w:r w:rsidR="00EE1071" w:rsidRPr="00EE5D1E">
        <w:t xml:space="preserve">, </w:t>
      </w:r>
      <w:r w:rsidRPr="00EE5D1E">
        <w:t>motoryzacyjny</w:t>
      </w:r>
      <w:r w:rsidR="00EE1071" w:rsidRPr="00EE5D1E">
        <w:t>m</w:t>
      </w:r>
      <w:r w:rsidRPr="00EE5D1E">
        <w:t xml:space="preserve"> (m.in. Grupo Antolin, Gestamp, SEAT, Ficosa, Faurecia Automotive Espana S.A.,</w:t>
      </w:r>
      <w:r w:rsidR="00EE1071" w:rsidRPr="00EE5D1E">
        <w:t xml:space="preserve"> </w:t>
      </w:r>
      <w:r w:rsidRPr="00EE5D1E">
        <w:t>Gonvarri Corporación Financiera S.L., Cropu S.A., Industrias Tajos)</w:t>
      </w:r>
      <w:r w:rsidR="00EE1071" w:rsidRPr="00EE5D1E">
        <w:t xml:space="preserve">, </w:t>
      </w:r>
      <w:r w:rsidRPr="00EE5D1E">
        <w:t>metalowy</w:t>
      </w:r>
      <w:r w:rsidR="00EE1071" w:rsidRPr="00EE5D1E">
        <w:t>m</w:t>
      </w:r>
      <w:r w:rsidRPr="00EE5D1E">
        <w:t xml:space="preserve"> (m.in. Mecalux S.A., Nemak Exterior S.A.)</w:t>
      </w:r>
      <w:r w:rsidR="00EE1071" w:rsidRPr="00EE5D1E">
        <w:t xml:space="preserve">, </w:t>
      </w:r>
      <w:r w:rsidRPr="00EE5D1E">
        <w:t>transportowy</w:t>
      </w:r>
      <w:r w:rsidR="00EE1071" w:rsidRPr="00EE5D1E">
        <w:t>m</w:t>
      </w:r>
      <w:r w:rsidRPr="00EE5D1E">
        <w:t xml:space="preserve"> i komunikacyjny</w:t>
      </w:r>
      <w:r w:rsidR="00EE1071" w:rsidRPr="00EE5D1E">
        <w:t>m</w:t>
      </w:r>
      <w:r w:rsidRPr="00EE5D1E">
        <w:t xml:space="preserve"> (m.in. EADS CASA)</w:t>
      </w:r>
      <w:r w:rsidR="00EE1071" w:rsidRPr="00EE5D1E">
        <w:t xml:space="preserve">, </w:t>
      </w:r>
      <w:r w:rsidRPr="00EE5D1E">
        <w:t>meblow</w:t>
      </w:r>
      <w:r w:rsidR="00EE1071" w:rsidRPr="00EE5D1E">
        <w:t>ym</w:t>
      </w:r>
      <w:r w:rsidRPr="00EE5D1E">
        <w:t xml:space="preserve"> (m.in. Grupo Ureta Maderas, Lami-Flex)</w:t>
      </w:r>
      <w:r w:rsidR="00EE1071" w:rsidRPr="00EE5D1E">
        <w:t xml:space="preserve">, odzieżowym </w:t>
      </w:r>
      <w:r w:rsidRPr="00EE5D1E">
        <w:t>i wyposażani</w:t>
      </w:r>
      <w:r w:rsidR="00EE1071" w:rsidRPr="00EE5D1E">
        <w:t>u</w:t>
      </w:r>
      <w:r w:rsidRPr="00EE5D1E">
        <w:t xml:space="preserve"> wnętrz (m.in. Mango, Grupa Inditex z markami: ZARA, Massimo Dutti, Stradivarius, Bershka, itp., ROCA Sanitario)</w:t>
      </w:r>
      <w:r w:rsidR="00EE1071" w:rsidRPr="00EE5D1E">
        <w:t xml:space="preserve">, </w:t>
      </w:r>
      <w:r w:rsidRPr="00EE5D1E">
        <w:t>energetyczny</w:t>
      </w:r>
      <w:r w:rsidR="00EE1071" w:rsidRPr="00EE5D1E">
        <w:t>m</w:t>
      </w:r>
      <w:r w:rsidRPr="00EE5D1E">
        <w:t>, w tym głównie w sektorze energii odnawialnych (m.in. ENDESA,</w:t>
      </w:r>
      <w:r w:rsidR="00EE1071" w:rsidRPr="00EE5D1E">
        <w:t xml:space="preserve"> </w:t>
      </w:r>
      <w:r w:rsidRPr="00EE5D1E">
        <w:t>GAMESA Eólica, Eólica NAVARRA &amp; FERSA, Taiga Mistral, Green Source Poland).</w:t>
      </w:r>
      <w:r w:rsidR="008E01E0" w:rsidRPr="00EE5D1E">
        <w:t xml:space="preserve"> </w:t>
      </w:r>
      <w:r w:rsidRPr="00EE5D1E">
        <w:t>W ostatnich latach było widoczne zainteresowanie firm hiszpańskich kontraktami związanymi z infrastrukturą kolejową, energią odnawialną,</w:t>
      </w:r>
      <w:r w:rsidR="008E01E0" w:rsidRPr="00EE5D1E">
        <w:t xml:space="preserve"> </w:t>
      </w:r>
      <w:r w:rsidRPr="00EE5D1E">
        <w:t>szpitalnictwem (zwłaszcza w formule PPP), gospodarką wodną, czy reutilizacją odpadów.</w:t>
      </w:r>
    </w:p>
    <w:p w:rsidR="00783B7D" w:rsidRPr="008D051C" w:rsidRDefault="00783B7D" w:rsidP="003C080F">
      <w:pPr>
        <w:spacing w:before="120" w:line="360" w:lineRule="auto"/>
        <w:jc w:val="both"/>
        <w:rPr>
          <w:lang w:val="de-DE"/>
        </w:rPr>
      </w:pPr>
      <w:r w:rsidRPr="00EE5D1E">
        <w:t xml:space="preserve">Wartość polskich inwestycji w </w:t>
      </w:r>
      <w:r w:rsidR="00EE1071" w:rsidRPr="00EE5D1E">
        <w:t xml:space="preserve">Królestwie </w:t>
      </w:r>
      <w:r w:rsidRPr="00EE5D1E">
        <w:t>Hiszpanii nie jest zbyt wielka (-</w:t>
      </w:r>
      <w:r w:rsidR="009E5A9A">
        <w:t>45,1</w:t>
      </w:r>
      <w:r w:rsidRPr="00EE5D1E">
        <w:t xml:space="preserve"> mln EUR</w:t>
      </w:r>
      <w:r w:rsidRPr="00EE5D1E">
        <w:rPr>
          <w:rStyle w:val="Odwoanieprzypisudolnego"/>
        </w:rPr>
        <w:footnoteReference w:id="1"/>
      </w:r>
      <w:r w:rsidR="003C080F">
        <w:rPr>
          <w:vertAlign w:val="superscript"/>
        </w:rPr>
        <w:t>)</w:t>
      </w:r>
      <w:r w:rsidRPr="00EE5D1E">
        <w:t xml:space="preserve"> w 201</w:t>
      </w:r>
      <w:r w:rsidR="009E5A9A">
        <w:t>6</w:t>
      </w:r>
      <w:r w:rsidRPr="00EE5D1E">
        <w:t xml:space="preserve"> r.), jednak polscy inwestorzy wykazują coraz większe zainteresowanie tym rynkiem (w 201</w:t>
      </w:r>
      <w:r w:rsidR="009E5A9A">
        <w:t xml:space="preserve">6 </w:t>
      </w:r>
      <w:r w:rsidRPr="00EE5D1E">
        <w:t xml:space="preserve">r. polskie firmy zainwestowały w </w:t>
      </w:r>
      <w:r w:rsidR="00EE1071" w:rsidRPr="00EE5D1E">
        <w:t xml:space="preserve">Królestwie </w:t>
      </w:r>
      <w:r w:rsidRPr="00EE5D1E">
        <w:t xml:space="preserve">Hiszpanii </w:t>
      </w:r>
      <w:r w:rsidR="009E5A9A">
        <w:t>30,9</w:t>
      </w:r>
      <w:r w:rsidR="003C080F">
        <w:t> </w:t>
      </w:r>
      <w:r w:rsidRPr="00EE5D1E">
        <w:t>mln</w:t>
      </w:r>
      <w:r w:rsidR="003C080F">
        <w:t> </w:t>
      </w:r>
      <w:r w:rsidRPr="00EE5D1E">
        <w:t>EUR, w 201</w:t>
      </w:r>
      <w:r w:rsidR="009E5A9A">
        <w:t>5</w:t>
      </w:r>
      <w:r w:rsidRPr="00EE5D1E">
        <w:t xml:space="preserve"> r. 5</w:t>
      </w:r>
      <w:r w:rsidR="009E5A9A">
        <w:t>8,8</w:t>
      </w:r>
      <w:r w:rsidRPr="00EE5D1E">
        <w:t xml:space="preserve"> mln EUR).</w:t>
      </w:r>
      <w:r w:rsidR="00EE1071" w:rsidRPr="00EE5D1E">
        <w:t xml:space="preserve"> </w:t>
      </w:r>
      <w:r w:rsidRPr="00EE5D1E">
        <w:t xml:space="preserve">Do największych </w:t>
      </w:r>
      <w:r w:rsidR="00EE1071" w:rsidRPr="00EE5D1E">
        <w:t xml:space="preserve">polskich </w:t>
      </w:r>
      <w:r w:rsidRPr="00EE5D1E">
        <w:t>inwestorów na rynku hiszpańskim w</w:t>
      </w:r>
      <w:r w:rsidR="00EE1071" w:rsidRPr="00EE5D1E">
        <w:t>edłu</w:t>
      </w:r>
      <w:r w:rsidRPr="00EE5D1E">
        <w:t>g sektorów</w:t>
      </w:r>
      <w:r w:rsidRPr="008D051C">
        <w:t xml:space="preserve"> należą </w:t>
      </w:r>
      <w:r w:rsidRPr="008D051C">
        <w:rPr>
          <w:lang w:val="de-DE"/>
        </w:rPr>
        <w:t>(dane za 2016 r.):</w:t>
      </w:r>
      <w:r>
        <w:rPr>
          <w:lang w:val="de-DE"/>
        </w:rPr>
        <w:t xml:space="preserve"> </w:t>
      </w:r>
      <w:r w:rsidRPr="008D051C">
        <w:rPr>
          <w:lang w:val="de-DE"/>
        </w:rPr>
        <w:t>IT (</w:t>
      </w:r>
      <w:r w:rsidRPr="00DD64FC">
        <w:t>X-Trade Brokers, Asseco Pol</w:t>
      </w:r>
      <w:r w:rsidRPr="00197508">
        <w:t xml:space="preserve">and S.A, Comarch), </w:t>
      </w:r>
      <w:r w:rsidR="009E5A9A">
        <w:t>f</w:t>
      </w:r>
      <w:r w:rsidRPr="008D051C">
        <w:rPr>
          <w:lang w:val="de-DE"/>
        </w:rPr>
        <w:t>inanse (XTB,</w:t>
      </w:r>
      <w:r w:rsidR="003C080F">
        <w:rPr>
          <w:lang w:val="de-DE"/>
        </w:rPr>
        <w:t xml:space="preserve"> </w:t>
      </w:r>
      <w:r w:rsidRPr="008D051C">
        <w:rPr>
          <w:lang w:val="de-DE"/>
        </w:rPr>
        <w:t>Kruk S.A.)</w:t>
      </w:r>
      <w:r>
        <w:rPr>
          <w:lang w:val="de-DE"/>
        </w:rPr>
        <w:t xml:space="preserve">, </w:t>
      </w:r>
      <w:r w:rsidR="009E5A9A">
        <w:rPr>
          <w:lang w:val="de-DE"/>
        </w:rPr>
        <w:t>c</w:t>
      </w:r>
      <w:r w:rsidRPr="008D051C">
        <w:rPr>
          <w:lang w:val="de-DE"/>
        </w:rPr>
        <w:t>hemia (Selena Co S.A.)</w:t>
      </w:r>
      <w:r>
        <w:rPr>
          <w:lang w:val="de-DE"/>
        </w:rPr>
        <w:t xml:space="preserve">, </w:t>
      </w:r>
      <w:r w:rsidR="009E5A9A">
        <w:rPr>
          <w:lang w:val="de-DE"/>
        </w:rPr>
        <w:t>m</w:t>
      </w:r>
      <w:r w:rsidRPr="008D051C">
        <w:rPr>
          <w:lang w:val="de-DE"/>
        </w:rPr>
        <w:t>otoryzacja (Boryszew S.A., Solaris Bus &amp; Coach)</w:t>
      </w:r>
      <w:r>
        <w:rPr>
          <w:lang w:val="de-DE"/>
        </w:rPr>
        <w:t xml:space="preserve">, </w:t>
      </w:r>
      <w:r w:rsidR="009E5A9A">
        <w:rPr>
          <w:lang w:val="de-DE"/>
        </w:rPr>
        <w:t>o</w:t>
      </w:r>
      <w:r w:rsidRPr="008D051C">
        <w:rPr>
          <w:lang w:val="de-DE"/>
        </w:rPr>
        <w:t>chrona (Point A)</w:t>
      </w:r>
      <w:r>
        <w:rPr>
          <w:lang w:val="de-DE"/>
        </w:rPr>
        <w:t xml:space="preserve">, </w:t>
      </w:r>
      <w:r w:rsidR="009E5A9A">
        <w:rPr>
          <w:lang w:val="de-DE"/>
        </w:rPr>
        <w:t>w</w:t>
      </w:r>
      <w:r w:rsidRPr="008D051C">
        <w:rPr>
          <w:lang w:val="de-DE"/>
        </w:rPr>
        <w:t>yposażenie wnętrz (Amica Electrodomesticos S.L., Fakro Spain S.L.)</w:t>
      </w:r>
      <w:r>
        <w:rPr>
          <w:lang w:val="de-DE"/>
        </w:rPr>
        <w:t xml:space="preserve">, </w:t>
      </w:r>
      <w:r w:rsidR="009E5A9A">
        <w:rPr>
          <w:lang w:val="de-DE"/>
        </w:rPr>
        <w:t>f</w:t>
      </w:r>
      <w:r w:rsidRPr="008D051C">
        <w:rPr>
          <w:lang w:val="de-DE"/>
        </w:rPr>
        <w:t>armacja i medycyna (Adamed Laboratorios S.L., Farmaprojects S.A., Docplanner)</w:t>
      </w:r>
      <w:r>
        <w:rPr>
          <w:lang w:val="de-DE"/>
        </w:rPr>
        <w:t xml:space="preserve">, </w:t>
      </w:r>
      <w:r w:rsidR="009E5A9A">
        <w:rPr>
          <w:lang w:val="de-DE"/>
        </w:rPr>
        <w:t>b</w:t>
      </w:r>
      <w:r w:rsidRPr="008D051C">
        <w:rPr>
          <w:lang w:val="de-DE"/>
        </w:rPr>
        <w:t xml:space="preserve">ranża spożywcza </w:t>
      </w:r>
      <w:r w:rsidR="003C080F">
        <w:rPr>
          <w:lang w:val="de-DE"/>
        </w:rPr>
        <w:br/>
      </w:r>
      <w:r w:rsidRPr="008D051C">
        <w:rPr>
          <w:lang w:val="de-DE"/>
        </w:rPr>
        <w:t>(Can-</w:t>
      </w:r>
      <w:r w:rsidR="00F22CFC">
        <w:rPr>
          <w:lang w:val="de-DE"/>
        </w:rPr>
        <w:t>P</w:t>
      </w:r>
      <w:r w:rsidRPr="008D051C">
        <w:rPr>
          <w:lang w:val="de-DE"/>
        </w:rPr>
        <w:t>ack S.A., Frutadores S.L., AmRest Sp. z o.o.)</w:t>
      </w:r>
      <w:r>
        <w:rPr>
          <w:lang w:val="de-DE"/>
        </w:rPr>
        <w:t>.</w:t>
      </w:r>
    </w:p>
    <w:p w:rsidR="00783B7D" w:rsidRDefault="00783B7D" w:rsidP="003C080F">
      <w:pPr>
        <w:spacing w:before="120" w:line="360" w:lineRule="auto"/>
        <w:jc w:val="both"/>
        <w:rPr>
          <w:b/>
          <w:u w:val="single"/>
        </w:rPr>
      </w:pPr>
    </w:p>
    <w:p w:rsidR="0037701E" w:rsidRPr="00175C36" w:rsidRDefault="003D1799" w:rsidP="003C080F">
      <w:pPr>
        <w:spacing w:before="120" w:line="360" w:lineRule="auto"/>
        <w:jc w:val="both"/>
      </w:pPr>
      <w:r>
        <w:lastRenderedPageBreak/>
        <w:t xml:space="preserve">Ówczesne </w:t>
      </w:r>
      <w:r w:rsidR="0037701E" w:rsidRPr="00175C36">
        <w:t xml:space="preserve">Ministerstwo Rozwoju poinformowało samorządy gospodarcze (Konfederacja Lewiatan, Pracodawcy RP, Krajowa </w:t>
      </w:r>
      <w:r w:rsidR="00C4096F" w:rsidRPr="00175C36">
        <w:t>Izb</w:t>
      </w:r>
      <w:r w:rsidR="00C4096F">
        <w:t>a</w:t>
      </w:r>
      <w:r w:rsidR="00C4096F" w:rsidRPr="00175C36">
        <w:t xml:space="preserve"> </w:t>
      </w:r>
      <w:r w:rsidR="0037701E" w:rsidRPr="00175C36">
        <w:t>Gospodarcza, Polska Rada Bi</w:t>
      </w:r>
      <w:r w:rsidR="00FC0C80" w:rsidRPr="00175C36">
        <w:t>znesu, Business Centr</w:t>
      </w:r>
      <w:r w:rsidR="00C452DE">
        <w:t>e</w:t>
      </w:r>
      <w:r w:rsidR="00FC0C80" w:rsidRPr="00175C36">
        <w:t xml:space="preserve"> Club) o </w:t>
      </w:r>
      <w:r w:rsidR="005761D9" w:rsidRPr="00175C36">
        <w:t xml:space="preserve">planach </w:t>
      </w:r>
      <w:r w:rsidR="00FC0C80" w:rsidRPr="00175C36">
        <w:t>ro</w:t>
      </w:r>
      <w:r w:rsidR="0037701E" w:rsidRPr="00175C36">
        <w:t>związani</w:t>
      </w:r>
      <w:r w:rsidR="00FC0C80" w:rsidRPr="00175C36">
        <w:t xml:space="preserve">a Umowy </w:t>
      </w:r>
      <w:r w:rsidR="0037701E" w:rsidRPr="00175C36">
        <w:t>i zwrócił</w:t>
      </w:r>
      <w:r w:rsidR="000473AE" w:rsidRPr="00175C36">
        <w:t>o</w:t>
      </w:r>
      <w:r w:rsidR="0037701E" w:rsidRPr="00175C36">
        <w:t xml:space="preserve"> się do nich o</w:t>
      </w:r>
      <w:r w:rsidR="003C080F">
        <w:t> </w:t>
      </w:r>
      <w:r w:rsidR="0037701E" w:rsidRPr="00175C36">
        <w:t>przekazanie odpowiedzi na następujące pytania:</w:t>
      </w:r>
      <w:r w:rsidR="003C080F">
        <w:t xml:space="preserve"> </w:t>
      </w:r>
    </w:p>
    <w:p w:rsidR="0037701E" w:rsidRPr="00EE1071" w:rsidRDefault="003C080F" w:rsidP="003C080F">
      <w:pPr>
        <w:spacing w:line="360" w:lineRule="auto"/>
        <w:ind w:left="210" w:hanging="210"/>
        <w:jc w:val="both"/>
        <w:rPr>
          <w:spacing w:val="4"/>
        </w:rPr>
      </w:pPr>
      <w:r>
        <w:rPr>
          <w:spacing w:val="4"/>
        </w:rPr>
        <w:t>–</w:t>
      </w:r>
      <w:r>
        <w:rPr>
          <w:spacing w:val="4"/>
        </w:rPr>
        <w:tab/>
      </w:r>
      <w:r w:rsidR="0037701E" w:rsidRPr="00EE1071">
        <w:rPr>
          <w:spacing w:val="4"/>
        </w:rPr>
        <w:t xml:space="preserve">czy inwestorzy polscy na rynku </w:t>
      </w:r>
      <w:r w:rsidR="00EE1071" w:rsidRPr="00EE1071">
        <w:rPr>
          <w:spacing w:val="4"/>
        </w:rPr>
        <w:t xml:space="preserve">hiszpańskim </w:t>
      </w:r>
      <w:r w:rsidR="0037701E" w:rsidRPr="00EE1071">
        <w:rPr>
          <w:spacing w:val="4"/>
        </w:rPr>
        <w:t xml:space="preserve">w przypadku ewentualnych działań dyskryminujących ich inwestycje korzystali lub rozważali możliwość wniesienia sporu przeciwko </w:t>
      </w:r>
      <w:r w:rsidR="00EE1071" w:rsidRPr="00EE1071">
        <w:rPr>
          <w:spacing w:val="4"/>
        </w:rPr>
        <w:t>Królestwu Hiszpanii</w:t>
      </w:r>
      <w:r w:rsidR="001F7DEF" w:rsidRPr="00EE1071">
        <w:rPr>
          <w:spacing w:val="4"/>
        </w:rPr>
        <w:t>?</w:t>
      </w:r>
      <w:r w:rsidR="0037701E" w:rsidRPr="00EE1071">
        <w:rPr>
          <w:spacing w:val="4"/>
        </w:rPr>
        <w:t xml:space="preserve"> Czy w takim wypadku korzystali/korzystaliby z postępowania przed sądem powszechnym czy też przed międzynarodowym arbitrażem inwestycyjnym?</w:t>
      </w:r>
    </w:p>
    <w:p w:rsidR="0037701E" w:rsidRPr="00EE1071" w:rsidRDefault="003C080F" w:rsidP="003C080F">
      <w:pPr>
        <w:spacing w:line="360" w:lineRule="auto"/>
        <w:ind w:left="210" w:hanging="210"/>
        <w:jc w:val="both"/>
        <w:rPr>
          <w:spacing w:val="4"/>
        </w:rPr>
      </w:pPr>
      <w:r>
        <w:rPr>
          <w:spacing w:val="4"/>
        </w:rPr>
        <w:t>–</w:t>
      </w:r>
      <w:r>
        <w:rPr>
          <w:spacing w:val="4"/>
        </w:rPr>
        <w:tab/>
      </w:r>
      <w:r w:rsidR="0037701E" w:rsidRPr="00EE1071">
        <w:rPr>
          <w:spacing w:val="4"/>
        </w:rPr>
        <w:t xml:space="preserve">czy zdaniem polskich inwestorów ochrona ich inwestycji w regulacjach </w:t>
      </w:r>
      <w:r w:rsidR="00EE1071" w:rsidRPr="00EE1071">
        <w:rPr>
          <w:spacing w:val="4"/>
        </w:rPr>
        <w:t xml:space="preserve">Królestwa Hiszpanii </w:t>
      </w:r>
      <w:r w:rsidR="0037701E" w:rsidRPr="00EE1071">
        <w:rPr>
          <w:spacing w:val="4"/>
        </w:rPr>
        <w:t>oraz w prawie UE jest niewystarczająca? Jeżeli tak, to w jakim zakresie?</w:t>
      </w:r>
    </w:p>
    <w:p w:rsidR="00EE5D1E" w:rsidRPr="00175C36" w:rsidRDefault="003C080F" w:rsidP="003C080F">
      <w:pPr>
        <w:spacing w:line="360" w:lineRule="auto"/>
        <w:ind w:left="210" w:hanging="210"/>
        <w:jc w:val="both"/>
        <w:rPr>
          <w:spacing w:val="4"/>
        </w:rPr>
      </w:pPr>
      <w:r>
        <w:rPr>
          <w:spacing w:val="4"/>
        </w:rPr>
        <w:t>–</w:t>
      </w:r>
      <w:r>
        <w:rPr>
          <w:spacing w:val="4"/>
        </w:rPr>
        <w:tab/>
      </w:r>
      <w:r w:rsidR="0037701E" w:rsidRPr="00EE1071">
        <w:rPr>
          <w:spacing w:val="4"/>
        </w:rPr>
        <w:t xml:space="preserve">czy wygaśnięcie </w:t>
      </w:r>
      <w:r w:rsidR="00535BA2" w:rsidRPr="00EE1071">
        <w:rPr>
          <w:spacing w:val="4"/>
        </w:rPr>
        <w:t>Umowy p</w:t>
      </w:r>
      <w:r w:rsidR="0037701E" w:rsidRPr="00EE1071">
        <w:rPr>
          <w:spacing w:val="4"/>
        </w:rPr>
        <w:t xml:space="preserve">ogorszyłoby warunki prowadzenia działalności gospodarczej </w:t>
      </w:r>
      <w:r w:rsidR="0020279C" w:rsidRPr="00EE1071">
        <w:rPr>
          <w:spacing w:val="4"/>
        </w:rPr>
        <w:t xml:space="preserve">w </w:t>
      </w:r>
      <w:r w:rsidR="00EE1071" w:rsidRPr="00EE1071">
        <w:rPr>
          <w:spacing w:val="4"/>
        </w:rPr>
        <w:t xml:space="preserve">Królestwie Hiszpanii </w:t>
      </w:r>
      <w:r w:rsidR="0037701E" w:rsidRPr="00EE1071">
        <w:rPr>
          <w:spacing w:val="4"/>
        </w:rPr>
        <w:t>i ochrony pr</w:t>
      </w:r>
      <w:r>
        <w:rPr>
          <w:spacing w:val="4"/>
        </w:rPr>
        <w:t>aw inwestorów? Jeżeli tak, to w </w:t>
      </w:r>
      <w:r w:rsidR="0037701E" w:rsidRPr="00EE1071">
        <w:rPr>
          <w:spacing w:val="4"/>
        </w:rPr>
        <w:t>jaki sposób i w jakim stopniu?</w:t>
      </w:r>
    </w:p>
    <w:p w:rsidR="000473AE" w:rsidRPr="003C080F" w:rsidRDefault="001F7DEF" w:rsidP="003C080F">
      <w:pPr>
        <w:autoSpaceDE w:val="0"/>
        <w:autoSpaceDN w:val="0"/>
        <w:adjustRightInd w:val="0"/>
        <w:spacing w:before="120" w:line="360" w:lineRule="auto"/>
        <w:jc w:val="both"/>
        <w:rPr>
          <w:color w:val="000000"/>
        </w:rPr>
      </w:pPr>
      <w:r>
        <w:t>Samorządy gospodarcze u</w:t>
      </w:r>
      <w:r w:rsidR="00FF43E9" w:rsidRPr="00175C36">
        <w:t>dziel</w:t>
      </w:r>
      <w:r>
        <w:t xml:space="preserve">iły </w:t>
      </w:r>
      <w:r w:rsidR="007F3CB8" w:rsidRPr="00175C36">
        <w:t xml:space="preserve">ogólnej </w:t>
      </w:r>
      <w:r w:rsidR="00FF43E9" w:rsidRPr="00175C36">
        <w:t xml:space="preserve">odpowiedzi, iż </w:t>
      </w:r>
      <w:r w:rsidR="00FF43E9" w:rsidRPr="00175C36">
        <w:rPr>
          <w:color w:val="000000"/>
        </w:rPr>
        <w:t xml:space="preserve">mimo że inwestorzy nie korzystają z ochrony </w:t>
      </w:r>
      <w:r w:rsidR="007F3CB8" w:rsidRPr="00175C36">
        <w:rPr>
          <w:color w:val="000000"/>
        </w:rPr>
        <w:t xml:space="preserve">przewidzianej </w:t>
      </w:r>
      <w:r w:rsidR="00FF43E9" w:rsidRPr="00175C36">
        <w:rPr>
          <w:color w:val="000000"/>
        </w:rPr>
        <w:t>um</w:t>
      </w:r>
      <w:r w:rsidR="007F3CB8" w:rsidRPr="00175C36">
        <w:rPr>
          <w:color w:val="000000"/>
        </w:rPr>
        <w:t xml:space="preserve">owami </w:t>
      </w:r>
      <w:r w:rsidR="00FF43E9" w:rsidRPr="00175C36">
        <w:rPr>
          <w:color w:val="000000"/>
        </w:rPr>
        <w:t>intra-EU BIT (pozywają państwa przed sądami powszechnymi)</w:t>
      </w:r>
      <w:r w:rsidR="005108B0" w:rsidRPr="00175C36">
        <w:rPr>
          <w:color w:val="000000"/>
        </w:rPr>
        <w:t>,</w:t>
      </w:r>
      <w:r w:rsidR="00FF43E9" w:rsidRPr="00175C36">
        <w:rPr>
          <w:color w:val="000000"/>
        </w:rPr>
        <w:t xml:space="preserve"> powołują się na ich </w:t>
      </w:r>
      <w:r w:rsidR="005108B0" w:rsidRPr="00175C36">
        <w:rPr>
          <w:color w:val="000000"/>
        </w:rPr>
        <w:t xml:space="preserve">obowiązywanie </w:t>
      </w:r>
      <w:r w:rsidR="00FF43E9" w:rsidRPr="00175C36">
        <w:rPr>
          <w:color w:val="000000"/>
        </w:rPr>
        <w:t>w dyskusjach z organami danego kraju przy zaistnieniu sporu. Jeżeli musieliby aktywnie dochodzić swoich roszczeń</w:t>
      </w:r>
      <w:r w:rsidR="00C452DE">
        <w:rPr>
          <w:color w:val="000000"/>
        </w:rPr>
        <w:t>,</w:t>
      </w:r>
      <w:r w:rsidR="00C4096F">
        <w:rPr>
          <w:color w:val="000000"/>
        </w:rPr>
        <w:t xml:space="preserve"> powołując się na umowy intra-EU BIT</w:t>
      </w:r>
      <w:r w:rsidR="00FF43E9" w:rsidRPr="00175C36">
        <w:rPr>
          <w:color w:val="000000"/>
        </w:rPr>
        <w:t xml:space="preserve">, wybraliby procedurę arbitrażu </w:t>
      </w:r>
      <w:r w:rsidR="00884296" w:rsidRPr="00175C36">
        <w:rPr>
          <w:color w:val="000000"/>
        </w:rPr>
        <w:t xml:space="preserve">na podstawie </w:t>
      </w:r>
      <w:r w:rsidR="00FF43E9" w:rsidRPr="00175C36">
        <w:rPr>
          <w:color w:val="000000"/>
        </w:rPr>
        <w:t>umowy intra-EU BIT</w:t>
      </w:r>
      <w:r w:rsidR="00884296" w:rsidRPr="00175C36">
        <w:rPr>
          <w:color w:val="000000"/>
        </w:rPr>
        <w:t xml:space="preserve"> (</w:t>
      </w:r>
      <w:r w:rsidR="00FF43E9" w:rsidRPr="00175C36">
        <w:rPr>
          <w:color w:val="000000"/>
        </w:rPr>
        <w:t xml:space="preserve">szczególnie </w:t>
      </w:r>
      <w:r w:rsidR="00C908C3" w:rsidRPr="00175C36">
        <w:rPr>
          <w:color w:val="000000"/>
        </w:rPr>
        <w:t xml:space="preserve">fundusze inwestycyjne lokujące aktywa </w:t>
      </w:r>
      <w:r w:rsidR="00FF43E9" w:rsidRPr="00175C36">
        <w:rPr>
          <w:color w:val="000000"/>
        </w:rPr>
        <w:t>w</w:t>
      </w:r>
      <w:r w:rsidR="003C080F">
        <w:rPr>
          <w:color w:val="000000"/>
        </w:rPr>
        <w:t> </w:t>
      </w:r>
      <w:r w:rsidR="00FF43E9" w:rsidRPr="00175C36">
        <w:rPr>
          <w:color w:val="000000"/>
        </w:rPr>
        <w:t>instrumenty udziałowe polskich przedsiębiorstw inwestujących w państwa</w:t>
      </w:r>
      <w:r w:rsidR="005070F1" w:rsidRPr="00175C36">
        <w:rPr>
          <w:color w:val="000000"/>
        </w:rPr>
        <w:t>ch</w:t>
      </w:r>
      <w:r w:rsidR="00FF43E9" w:rsidRPr="00175C36">
        <w:rPr>
          <w:color w:val="000000"/>
        </w:rPr>
        <w:t xml:space="preserve"> członkowskich UE</w:t>
      </w:r>
      <w:r w:rsidR="00864D7E" w:rsidRPr="00175C36">
        <w:rPr>
          <w:color w:val="000000"/>
        </w:rPr>
        <w:t>,</w:t>
      </w:r>
      <w:r w:rsidR="00884296" w:rsidRPr="00175C36">
        <w:rPr>
          <w:color w:val="000000"/>
        </w:rPr>
        <w:t xml:space="preserve"> dla których r</w:t>
      </w:r>
      <w:r w:rsidR="00FF43E9" w:rsidRPr="00175C36">
        <w:rPr>
          <w:color w:val="000000"/>
        </w:rPr>
        <w:t xml:space="preserve">ozwiązanie umów mogłoby mieć bezpośredni wpływ na ocenę ryzyka związaną z inwestowaniem). </w:t>
      </w:r>
      <w:r w:rsidR="00FB30CC" w:rsidRPr="00175C36">
        <w:rPr>
          <w:color w:val="000000"/>
        </w:rPr>
        <w:t>Główną b</w:t>
      </w:r>
      <w:r w:rsidR="00FF43E9" w:rsidRPr="00175C36">
        <w:rPr>
          <w:color w:val="000000"/>
        </w:rPr>
        <w:t>arierą w korzystaniu z arbitrażu są jego wysokie koszty</w:t>
      </w:r>
      <w:r w:rsidR="00FB30CC" w:rsidRPr="00175C36">
        <w:rPr>
          <w:color w:val="000000"/>
        </w:rPr>
        <w:t xml:space="preserve">. </w:t>
      </w:r>
      <w:r w:rsidR="00FF43E9" w:rsidRPr="00175C36">
        <w:rPr>
          <w:color w:val="000000"/>
        </w:rPr>
        <w:t xml:space="preserve">Prawo materialne w </w:t>
      </w:r>
      <w:r w:rsidR="00A873F2" w:rsidRPr="00175C36">
        <w:rPr>
          <w:color w:val="000000"/>
        </w:rPr>
        <w:t>państwach członkowskich UE o</w:t>
      </w:r>
      <w:r w:rsidR="00FF43E9" w:rsidRPr="00175C36">
        <w:rPr>
          <w:color w:val="000000"/>
        </w:rPr>
        <w:t xml:space="preserve">raz na poziomie UE zawiera niezbędne standardy gwarantujące zagranicznym inwestorom równe i sprawiedliwe traktowanie, </w:t>
      </w:r>
      <w:r w:rsidR="00A873F2" w:rsidRPr="00175C36">
        <w:rPr>
          <w:color w:val="000000"/>
        </w:rPr>
        <w:t xml:space="preserve">natomiast </w:t>
      </w:r>
      <w:r w:rsidR="00FF43E9" w:rsidRPr="00175C36">
        <w:rPr>
          <w:color w:val="000000"/>
        </w:rPr>
        <w:t>problemem jest egzekwowanie tego prawa. Wskazywano na czasochłonność procedur, brak profesjonalizmu i obiektywizmu w podejmowaniu decyzji przez właściwe organy</w:t>
      </w:r>
      <w:r w:rsidR="00A873F2" w:rsidRPr="00175C36">
        <w:rPr>
          <w:color w:val="000000"/>
        </w:rPr>
        <w:t xml:space="preserve">. </w:t>
      </w:r>
      <w:r w:rsidR="00FF43E9" w:rsidRPr="00175C36">
        <w:rPr>
          <w:color w:val="000000"/>
        </w:rPr>
        <w:t>Zdaniem polskich inwestorów międzyn</w:t>
      </w:r>
      <w:r w:rsidR="00A873F2" w:rsidRPr="00175C36">
        <w:rPr>
          <w:color w:val="000000"/>
        </w:rPr>
        <w:t>a</w:t>
      </w:r>
      <w:r w:rsidR="00FF43E9" w:rsidRPr="00175C36">
        <w:rPr>
          <w:color w:val="000000"/>
        </w:rPr>
        <w:t>rod</w:t>
      </w:r>
      <w:r w:rsidR="00A873F2" w:rsidRPr="00175C36">
        <w:rPr>
          <w:color w:val="000000"/>
        </w:rPr>
        <w:t>o</w:t>
      </w:r>
      <w:r w:rsidR="00FF43E9" w:rsidRPr="00175C36">
        <w:rPr>
          <w:color w:val="000000"/>
        </w:rPr>
        <w:t xml:space="preserve">wy arbitraż inwestycyjny pozwala prowadzić </w:t>
      </w:r>
      <w:r w:rsidR="00A873F2" w:rsidRPr="00175C36">
        <w:rPr>
          <w:color w:val="000000"/>
        </w:rPr>
        <w:t>postępowanie</w:t>
      </w:r>
      <w:r w:rsidR="00FF43E9" w:rsidRPr="00175C36">
        <w:rPr>
          <w:color w:val="000000"/>
        </w:rPr>
        <w:t xml:space="preserve"> w sposób odformalizowany, elasty</w:t>
      </w:r>
      <w:r w:rsidR="00C908C3" w:rsidRPr="00175C36">
        <w:rPr>
          <w:color w:val="000000"/>
        </w:rPr>
        <w:t>czny i neutralny</w:t>
      </w:r>
      <w:r w:rsidR="00A873F2" w:rsidRPr="00175C36">
        <w:rPr>
          <w:color w:val="000000"/>
        </w:rPr>
        <w:t xml:space="preserve">. </w:t>
      </w:r>
      <w:r w:rsidR="00FF43E9" w:rsidRPr="00175C36">
        <w:rPr>
          <w:color w:val="000000"/>
        </w:rPr>
        <w:t xml:space="preserve">Generalnie zdaniem </w:t>
      </w:r>
      <w:r w:rsidR="00864D7E" w:rsidRPr="00175C36">
        <w:rPr>
          <w:color w:val="000000"/>
        </w:rPr>
        <w:t xml:space="preserve">samorządów gospodarczych i </w:t>
      </w:r>
      <w:r w:rsidR="00FF43E9" w:rsidRPr="00175C36">
        <w:rPr>
          <w:color w:val="000000"/>
        </w:rPr>
        <w:t xml:space="preserve">polskich przedsiębiorców dla ich bezpieczeństwa i ekspansji umowy intra-EU </w:t>
      </w:r>
      <w:r w:rsidR="00F570ED">
        <w:rPr>
          <w:color w:val="000000"/>
        </w:rPr>
        <w:t xml:space="preserve">BIT </w:t>
      </w:r>
      <w:r w:rsidR="00FF43E9" w:rsidRPr="00175C36">
        <w:rPr>
          <w:color w:val="000000"/>
        </w:rPr>
        <w:t xml:space="preserve">są </w:t>
      </w:r>
      <w:r w:rsidR="00F13BB2" w:rsidRPr="00175C36">
        <w:rPr>
          <w:color w:val="000000"/>
        </w:rPr>
        <w:t xml:space="preserve">pożądane. </w:t>
      </w:r>
      <w:r w:rsidR="00864D7E" w:rsidRPr="00175C36">
        <w:rPr>
          <w:color w:val="000000"/>
        </w:rPr>
        <w:t xml:space="preserve">Tym niemniej </w:t>
      </w:r>
      <w:r w:rsidR="00FB30CC" w:rsidRPr="00175C36">
        <w:rPr>
          <w:color w:val="000000"/>
        </w:rPr>
        <w:t xml:space="preserve">samorządy gospodarcze </w:t>
      </w:r>
      <w:r w:rsidR="00F13BB2" w:rsidRPr="00175C36">
        <w:rPr>
          <w:color w:val="000000"/>
        </w:rPr>
        <w:t xml:space="preserve">odnotowują </w:t>
      </w:r>
      <w:r w:rsidR="00F13BB2" w:rsidRPr="00175C36">
        <w:rPr>
          <w:color w:val="000000"/>
        </w:rPr>
        <w:lastRenderedPageBreak/>
        <w:t>stanowisko K</w:t>
      </w:r>
      <w:r w:rsidR="00C4096F">
        <w:rPr>
          <w:color w:val="000000"/>
        </w:rPr>
        <w:t xml:space="preserve">omisji </w:t>
      </w:r>
      <w:r w:rsidR="00F13BB2" w:rsidRPr="00175C36">
        <w:rPr>
          <w:color w:val="000000"/>
        </w:rPr>
        <w:t>E</w:t>
      </w:r>
      <w:r w:rsidR="00C4096F">
        <w:rPr>
          <w:color w:val="000000"/>
        </w:rPr>
        <w:t>uropejskiej</w:t>
      </w:r>
      <w:r w:rsidR="00F13BB2" w:rsidRPr="00175C36">
        <w:rPr>
          <w:color w:val="000000"/>
        </w:rPr>
        <w:t xml:space="preserve"> wobec umów intra-EU BIT i ws</w:t>
      </w:r>
      <w:r w:rsidR="009324CD">
        <w:rPr>
          <w:color w:val="000000"/>
        </w:rPr>
        <w:t>zczęte przez nią postępowania.</w:t>
      </w:r>
    </w:p>
    <w:p w:rsidR="00EE5D1E" w:rsidRPr="00EE5D1E" w:rsidRDefault="00F13BB2" w:rsidP="003C080F">
      <w:pPr>
        <w:spacing w:before="120" w:line="360" w:lineRule="auto"/>
        <w:jc w:val="both"/>
        <w:rPr>
          <w:spacing w:val="4"/>
        </w:rPr>
      </w:pPr>
      <w:r w:rsidRPr="0067730B">
        <w:t xml:space="preserve">Z informacji posiadanych przez Ministerstwo </w:t>
      </w:r>
      <w:r w:rsidR="003D1799">
        <w:t>Przedsiębiorczości i Technologii w</w:t>
      </w:r>
      <w:r w:rsidRPr="0067730B">
        <w:t xml:space="preserve">ynika, że </w:t>
      </w:r>
      <w:r w:rsidR="00EE1071" w:rsidRPr="0067730B">
        <w:t>zarówno hiszpańscy inwestorzy w RP</w:t>
      </w:r>
      <w:r w:rsidR="009324CD">
        <w:t>,</w:t>
      </w:r>
      <w:r w:rsidR="00EE1071" w:rsidRPr="0067730B">
        <w:t xml:space="preserve"> jak i polscy inwestorzy w Królestwie Hiszpanii</w:t>
      </w:r>
      <w:r w:rsidR="0067730B">
        <w:t>,</w:t>
      </w:r>
      <w:r w:rsidR="00EE1071" w:rsidRPr="0067730B">
        <w:t xml:space="preserve"> nie </w:t>
      </w:r>
      <w:r w:rsidR="0067730B">
        <w:t xml:space="preserve">składali </w:t>
      </w:r>
      <w:r w:rsidR="0067730B" w:rsidRPr="0067730B">
        <w:t>do międzynarodowych trybunałów arbitrażowych</w:t>
      </w:r>
      <w:r w:rsidR="0067730B">
        <w:t xml:space="preserve"> na podstawie ww. Umowy roszczeń p</w:t>
      </w:r>
      <w:r w:rsidR="00EE1071" w:rsidRPr="0067730B">
        <w:t>rzeciwko państwu goszczącemu ich inwestycje</w:t>
      </w:r>
      <w:r w:rsidR="0067730B">
        <w:t xml:space="preserve">. </w:t>
      </w:r>
      <w:r w:rsidR="00535BA2" w:rsidRPr="0067730B">
        <w:t>Generalnie o</w:t>
      </w:r>
      <w:r w:rsidRPr="0067730B">
        <w:t xml:space="preserve">dnotowano tylko </w:t>
      </w:r>
      <w:r w:rsidR="00684F29" w:rsidRPr="0067730B">
        <w:t>trzy</w:t>
      </w:r>
      <w:r w:rsidRPr="0067730B">
        <w:t xml:space="preserve"> przypadki skorzystania przez polskich inwestorów z ochrony przewidzianej umowami intra-EU BIT</w:t>
      </w:r>
      <w:r w:rsidR="0077398D" w:rsidRPr="0067730B">
        <w:t xml:space="preserve"> </w:t>
      </w:r>
      <w:r w:rsidR="00EE5D1E">
        <w:t xml:space="preserve">przed międzynarodowymi trybunałami arbitrażowymi </w:t>
      </w:r>
      <w:r w:rsidR="0077398D" w:rsidRPr="0067730B">
        <w:t>(</w:t>
      </w:r>
      <w:r w:rsidR="00684F29" w:rsidRPr="0067730B">
        <w:t xml:space="preserve">na podstawie umów intra-EU BIT z Rumunią – przed przystąpieniem Rumunii do UE, Słowacją i Cyprem). </w:t>
      </w:r>
      <w:r w:rsidR="0077398D" w:rsidRPr="0067730B">
        <w:rPr>
          <w:color w:val="000000"/>
        </w:rPr>
        <w:t>Zgodnie z informacjami przekazanymi przez P</w:t>
      </w:r>
      <w:r w:rsidR="003D1799">
        <w:rPr>
          <w:color w:val="000000"/>
        </w:rPr>
        <w:t xml:space="preserve">rokuratorię </w:t>
      </w:r>
      <w:r w:rsidR="0077398D" w:rsidRPr="0067730B">
        <w:rPr>
          <w:color w:val="000000"/>
        </w:rPr>
        <w:t>G</w:t>
      </w:r>
      <w:r w:rsidR="003D1799">
        <w:rPr>
          <w:color w:val="000000"/>
        </w:rPr>
        <w:t xml:space="preserve">eneralną </w:t>
      </w:r>
      <w:r w:rsidR="0077398D" w:rsidRPr="0067730B">
        <w:rPr>
          <w:color w:val="000000"/>
        </w:rPr>
        <w:t xml:space="preserve">RP na dwadzieścia </w:t>
      </w:r>
      <w:r w:rsidR="003D1799">
        <w:rPr>
          <w:color w:val="000000"/>
        </w:rPr>
        <w:t xml:space="preserve">sześć </w:t>
      </w:r>
      <w:r w:rsidR="0077398D" w:rsidRPr="0067730B">
        <w:t>postępowa</w:t>
      </w:r>
      <w:r w:rsidR="003D1799">
        <w:t xml:space="preserve">ń </w:t>
      </w:r>
      <w:r w:rsidR="0077398D" w:rsidRPr="0067730B">
        <w:t>arbitrażow</w:t>
      </w:r>
      <w:r w:rsidR="003D1799">
        <w:t>ych</w:t>
      </w:r>
      <w:r w:rsidR="0077398D" w:rsidRPr="0067730B">
        <w:t>, w</w:t>
      </w:r>
      <w:r w:rsidR="0077398D" w:rsidRPr="00175C36">
        <w:t xml:space="preserve"> których P</w:t>
      </w:r>
      <w:r w:rsidR="003D1799">
        <w:t xml:space="preserve">rokuratoria </w:t>
      </w:r>
      <w:r w:rsidR="0077398D" w:rsidRPr="00175C36">
        <w:t>G</w:t>
      </w:r>
      <w:r w:rsidR="003D1799">
        <w:t xml:space="preserve">eneralna </w:t>
      </w:r>
      <w:r w:rsidR="0077398D" w:rsidRPr="00175C36">
        <w:t xml:space="preserve">RP </w:t>
      </w:r>
      <w:r w:rsidR="00C34B45" w:rsidRPr="00175C36">
        <w:t xml:space="preserve">od 2006 r. </w:t>
      </w:r>
      <w:r w:rsidR="0077398D" w:rsidRPr="00175C36">
        <w:t xml:space="preserve">wykonywała lub wykonuje zastępstwo procesowe RP, </w:t>
      </w:r>
      <w:r w:rsidR="003D1799">
        <w:t>szes</w:t>
      </w:r>
      <w:r w:rsidR="0077398D" w:rsidRPr="00175C36">
        <w:t>naście dotyczyło lub dotyczy sporów wniesionych przez inwestorów zagranicznych na podstawie umów intra-EU BIT (zawartych z Austrią, Francją, Niemcami, Cyprem, Holandią, Belgią i Luksemburgiem, Republiką Czeską</w:t>
      </w:r>
      <w:r w:rsidR="00FC2A42">
        <w:t>, Wielką Brytanią</w:t>
      </w:r>
      <w:r w:rsidR="0077398D" w:rsidRPr="00175C36">
        <w:t xml:space="preserve">). Mimo dużego odsetka wygrywanych spraw </w:t>
      </w:r>
      <w:r w:rsidR="001F7DEF">
        <w:t xml:space="preserve">(w </w:t>
      </w:r>
      <w:r w:rsidR="0077398D" w:rsidRPr="00175C36">
        <w:t xml:space="preserve">tym ugody) Polska ponosi </w:t>
      </w:r>
      <w:r w:rsidR="00C34B45" w:rsidRPr="00175C36">
        <w:t xml:space="preserve">wysokie </w:t>
      </w:r>
      <w:r w:rsidR="0077398D" w:rsidRPr="00175C36">
        <w:t>koszty postępowań arbitrażowych</w:t>
      </w:r>
      <w:r w:rsidR="00864D7E" w:rsidRPr="00175C36">
        <w:t xml:space="preserve">: </w:t>
      </w:r>
      <w:r w:rsidR="00864D7E" w:rsidRPr="00175C36">
        <w:rPr>
          <w:spacing w:val="4"/>
        </w:rPr>
        <w:t xml:space="preserve">zaliczki na koszty postępowania (w tym wynagrodzenie arbitrów), opinie biegłych, zorganizowanie rozpraw, tłumaczenia, udział świadków oraz koszty zastępstwa procesowego. </w:t>
      </w:r>
      <w:r w:rsidR="00EE5D1E" w:rsidRPr="00EE5D1E">
        <w:rPr>
          <w:spacing w:val="4"/>
        </w:rPr>
        <w:t>Zgodnie z informacjami byłego M</w:t>
      </w:r>
      <w:r w:rsidR="003D1799">
        <w:rPr>
          <w:spacing w:val="4"/>
        </w:rPr>
        <w:t xml:space="preserve">inisterstwa </w:t>
      </w:r>
      <w:r w:rsidR="00EE5D1E" w:rsidRPr="00EE5D1E">
        <w:rPr>
          <w:spacing w:val="4"/>
        </w:rPr>
        <w:t>S</w:t>
      </w:r>
      <w:r w:rsidR="003D1799">
        <w:rPr>
          <w:spacing w:val="4"/>
        </w:rPr>
        <w:t xml:space="preserve">karbu </w:t>
      </w:r>
      <w:r w:rsidR="00EE5D1E" w:rsidRPr="00EE5D1E">
        <w:rPr>
          <w:spacing w:val="4"/>
        </w:rPr>
        <w:t>P</w:t>
      </w:r>
      <w:r w:rsidR="003D1799">
        <w:rPr>
          <w:spacing w:val="4"/>
        </w:rPr>
        <w:t>aństwa</w:t>
      </w:r>
      <w:r w:rsidR="00EE5D1E" w:rsidRPr="00EE5D1E">
        <w:rPr>
          <w:spacing w:val="4"/>
        </w:rPr>
        <w:t xml:space="preserve">, RP w związku z postępowaniami arbitrażowymi poniosła od 2006 r. koszty w wysokości ok. 53 mln PLN. </w:t>
      </w:r>
      <w:r w:rsidR="00C452DE">
        <w:rPr>
          <w:spacing w:val="4"/>
        </w:rPr>
        <w:t>Wypowiedzenie Umowy</w:t>
      </w:r>
      <w:r w:rsidR="00EE5D1E">
        <w:rPr>
          <w:spacing w:val="4"/>
        </w:rPr>
        <w:t xml:space="preserve"> </w:t>
      </w:r>
      <w:r w:rsidR="00EE5D1E" w:rsidRPr="00EE5D1E">
        <w:rPr>
          <w:spacing w:val="4"/>
        </w:rPr>
        <w:t xml:space="preserve">może </w:t>
      </w:r>
      <w:r w:rsidR="00C4096F">
        <w:rPr>
          <w:spacing w:val="4"/>
        </w:rPr>
        <w:t xml:space="preserve">więc </w:t>
      </w:r>
      <w:r w:rsidR="00EE5D1E" w:rsidRPr="00EE5D1E">
        <w:rPr>
          <w:spacing w:val="4"/>
        </w:rPr>
        <w:t xml:space="preserve">potencjalnie istotnie zmniejszyć obciążenie państwa pod względem finansowym, ponieważ </w:t>
      </w:r>
      <w:r w:rsidR="00C4096F">
        <w:rPr>
          <w:spacing w:val="4"/>
        </w:rPr>
        <w:t xml:space="preserve">nie będzie zachodzić konieczność ponoszenia znaczących kosztów, o których mowa w zdaniu poprzedzającym. </w:t>
      </w:r>
    </w:p>
    <w:p w:rsidR="00271D07" w:rsidRPr="003C080F" w:rsidRDefault="00C452DE" w:rsidP="003C080F">
      <w:pPr>
        <w:spacing w:before="120" w:line="360" w:lineRule="auto"/>
        <w:jc w:val="both"/>
        <w:rPr>
          <w:spacing w:val="4"/>
        </w:rPr>
      </w:pPr>
      <w:r w:rsidRPr="00C452DE">
        <w:rPr>
          <w:spacing w:val="4"/>
        </w:rPr>
        <w:t xml:space="preserve">Wypowiedzenie Umowy nie naruszy polskiego porządku prawnego i doprowadzi do usunięcia niezgodności Umowy z prawem UE po dziesięciu latach od daty wejścia w życie wypowiedzenia Umowy. </w:t>
      </w:r>
    </w:p>
    <w:p w:rsidR="00271D07" w:rsidRPr="00175C36" w:rsidRDefault="003C080F" w:rsidP="003C080F">
      <w:pPr>
        <w:tabs>
          <w:tab w:val="left" w:pos="350"/>
        </w:tabs>
        <w:spacing w:before="240" w:line="360" w:lineRule="auto"/>
        <w:rPr>
          <w:b/>
        </w:rPr>
      </w:pPr>
      <w:r>
        <w:rPr>
          <w:b/>
        </w:rPr>
        <w:t>4.</w:t>
      </w:r>
      <w:r>
        <w:rPr>
          <w:b/>
        </w:rPr>
        <w:tab/>
      </w:r>
      <w:r w:rsidR="00271D07" w:rsidRPr="00175C36">
        <w:rPr>
          <w:b/>
        </w:rPr>
        <w:t xml:space="preserve">Tryb </w:t>
      </w:r>
      <w:r w:rsidR="00C452DE">
        <w:rPr>
          <w:b/>
        </w:rPr>
        <w:t>wypowiedzenia Umowy</w:t>
      </w:r>
      <w:r w:rsidR="00C4096F">
        <w:rPr>
          <w:b/>
        </w:rPr>
        <w:t xml:space="preserve"> </w:t>
      </w:r>
    </w:p>
    <w:p w:rsidR="00F65D05" w:rsidRDefault="00C452DE" w:rsidP="003C080F">
      <w:pPr>
        <w:spacing w:before="120" w:line="360" w:lineRule="auto"/>
        <w:jc w:val="both"/>
      </w:pPr>
      <w:r>
        <w:t>Wypowi</w:t>
      </w:r>
      <w:r w:rsidR="00B84ECB">
        <w:t>a</w:t>
      </w:r>
      <w:r>
        <w:t>d</w:t>
      </w:r>
      <w:r w:rsidR="00B84ECB">
        <w:t xml:space="preserve">ana </w:t>
      </w:r>
      <w:r>
        <w:t>Umow</w:t>
      </w:r>
      <w:r w:rsidR="00D81204">
        <w:t>a</w:t>
      </w:r>
      <w:r w:rsidR="00EE5D1E">
        <w:t xml:space="preserve"> ma rangę umowy międzypaństwowej. </w:t>
      </w:r>
      <w:r>
        <w:t>Wypowiadana</w:t>
      </w:r>
      <w:r w:rsidR="00EE5D1E">
        <w:t xml:space="preserve"> Umowa jest traktowana w polskim porządku prawnym jako umowa ratyfikowana za uprzednią zgodą wyrażoną w ustawie, stosownie do art. 241 ust. </w:t>
      </w:r>
      <w:r w:rsidR="003C080F">
        <w:t>1 ustawy z dnia 2 kwietnia 1997 </w:t>
      </w:r>
      <w:r w:rsidR="00EE5D1E">
        <w:t xml:space="preserve">r. </w:t>
      </w:r>
      <w:r w:rsidR="003C080F">
        <w:t>–</w:t>
      </w:r>
      <w:r w:rsidR="00EE5D1E">
        <w:t xml:space="preserve"> Konstytucja Rzeczypospolitej Polskiej (Dz. U. poz. 483, z późn. zm.). </w:t>
      </w:r>
      <w:r w:rsidR="0080243B" w:rsidRPr="0080243B">
        <w:t xml:space="preserve">Dlatego </w:t>
      </w:r>
      <w:r w:rsidR="0080243B" w:rsidRPr="0080243B">
        <w:lastRenderedPageBreak/>
        <w:t xml:space="preserve">też </w:t>
      </w:r>
      <w:r>
        <w:t>wypowiedzenie Umowy</w:t>
      </w:r>
      <w:r w:rsidR="0080243B" w:rsidRPr="0080243B">
        <w:t xml:space="preserve"> nastąpi również za uprzednią zgodą wyrażoną w ustawie, tym bardziej że </w:t>
      </w:r>
      <w:r>
        <w:t>Umowa</w:t>
      </w:r>
      <w:r w:rsidR="0080243B" w:rsidRPr="0080243B">
        <w:t xml:space="preserve"> dotyczy wolności, praw i obowiązkó</w:t>
      </w:r>
      <w:r w:rsidR="003C080F">
        <w:t>w obywatelskich (w </w:t>
      </w:r>
      <w:r w:rsidR="0080243B" w:rsidRPr="0080243B">
        <w:t xml:space="preserve">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DA61F7">
        <w:t xml:space="preserve">1 </w:t>
      </w:r>
      <w:r w:rsidR="0080243B" w:rsidRPr="0080243B">
        <w:t>pkt 2 i 5 Konstytucji RP.</w:t>
      </w:r>
    </w:p>
    <w:sectPr w:rsidR="00F65D05" w:rsidSect="003C080F">
      <w:footerReference w:type="even" r:id="rId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34F" w:rsidRDefault="0098634F">
      <w:r>
        <w:separator/>
      </w:r>
    </w:p>
  </w:endnote>
  <w:endnote w:type="continuationSeparator" w:id="0">
    <w:p w:rsidR="0098634F" w:rsidRDefault="00986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F" w:rsidRDefault="001F7DEF"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1F7DEF" w:rsidRDefault="001F7DE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6228677"/>
      <w:docPartObj>
        <w:docPartGallery w:val="Page Numbers (Bottom of Page)"/>
        <w:docPartUnique/>
      </w:docPartObj>
    </w:sdtPr>
    <w:sdtEndPr/>
    <w:sdtContent>
      <w:p w:rsidR="001F7DEF" w:rsidRDefault="003C080F" w:rsidP="003C080F">
        <w:pPr>
          <w:pStyle w:val="Stopka"/>
          <w:jc w:val="center"/>
        </w:pPr>
        <w:r>
          <w:fldChar w:fldCharType="begin"/>
        </w:r>
        <w:r>
          <w:instrText>PAGE   \* MERGEFORMAT</w:instrText>
        </w:r>
        <w:r>
          <w:fldChar w:fldCharType="separate"/>
        </w:r>
        <w:r w:rsidR="005D7BDD">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34F" w:rsidRDefault="0098634F">
      <w:r>
        <w:separator/>
      </w:r>
    </w:p>
  </w:footnote>
  <w:footnote w:type="continuationSeparator" w:id="0">
    <w:p w:rsidR="0098634F" w:rsidRDefault="0098634F">
      <w:r>
        <w:continuationSeparator/>
      </w:r>
    </w:p>
  </w:footnote>
  <w:footnote w:id="1">
    <w:p w:rsidR="00BA6F64" w:rsidRPr="00BA6F64" w:rsidRDefault="00783B7D" w:rsidP="003C080F">
      <w:pPr>
        <w:pStyle w:val="Tekstprzypisudolnego"/>
        <w:ind w:left="196" w:hanging="196"/>
        <w:jc w:val="both"/>
        <w:rPr>
          <w:sz w:val="18"/>
          <w:szCs w:val="18"/>
        </w:rPr>
      </w:pPr>
      <w:r w:rsidRPr="0032193D">
        <w:rPr>
          <w:rStyle w:val="Odwoanieprzypisudolnego"/>
          <w:sz w:val="18"/>
          <w:szCs w:val="18"/>
        </w:rPr>
        <w:footnoteRef/>
      </w:r>
      <w:r w:rsidR="003C080F">
        <w:rPr>
          <w:sz w:val="18"/>
          <w:szCs w:val="18"/>
          <w:vertAlign w:val="superscript"/>
        </w:rPr>
        <w:t>)</w:t>
      </w:r>
      <w:r w:rsidR="003C080F">
        <w:rPr>
          <w:sz w:val="18"/>
          <w:szCs w:val="18"/>
        </w:rPr>
        <w:tab/>
      </w:r>
      <w:r w:rsidRPr="00BA6F64">
        <w:rPr>
          <w:sz w:val="18"/>
          <w:szCs w:val="18"/>
        </w:rPr>
        <w:t xml:space="preserve">Ujemne należności wynikają z faktu, że polskie firmy mają zobowiązania względem swoich spółek „córek” mających siedziby </w:t>
      </w:r>
      <w:r w:rsidR="00BA6F64" w:rsidRPr="00BA6F64">
        <w:rPr>
          <w:sz w:val="18"/>
          <w:szCs w:val="18"/>
        </w:rPr>
        <w:t xml:space="preserve">w Królestwie Hiszpanii, </w:t>
      </w:r>
      <w:r w:rsidRPr="00BA6F64">
        <w:rPr>
          <w:sz w:val="18"/>
          <w:szCs w:val="18"/>
        </w:rPr>
        <w:t>za pośrednictwem których pozyskują kapitał z emisji obligacji na rynku europejskim</w:t>
      </w:r>
      <w:r w:rsidR="00BA6F64" w:rsidRPr="00BA6F64">
        <w:rPr>
          <w:sz w:val="18"/>
          <w:szCs w:val="18"/>
        </w:rPr>
        <w:t>, które przewyższają kwotę zainwestowanego w te podmioty kapitału.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6DC84F98"/>
    <w:multiLevelType w:val="hybridMultilevel"/>
    <w:tmpl w:val="631A4DBE"/>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10C00"/>
    <w:rsid w:val="00012A9C"/>
    <w:rsid w:val="00015AE9"/>
    <w:rsid w:val="00017829"/>
    <w:rsid w:val="00017AE9"/>
    <w:rsid w:val="00036B27"/>
    <w:rsid w:val="00037C3F"/>
    <w:rsid w:val="0004502C"/>
    <w:rsid w:val="00045606"/>
    <w:rsid w:val="000473AE"/>
    <w:rsid w:val="00050884"/>
    <w:rsid w:val="00060C35"/>
    <w:rsid w:val="000643E1"/>
    <w:rsid w:val="00082329"/>
    <w:rsid w:val="00082D2F"/>
    <w:rsid w:val="00086877"/>
    <w:rsid w:val="00094F33"/>
    <w:rsid w:val="000954BF"/>
    <w:rsid w:val="000A0AA5"/>
    <w:rsid w:val="000B1110"/>
    <w:rsid w:val="000B331A"/>
    <w:rsid w:val="000D7C4E"/>
    <w:rsid w:val="000E683B"/>
    <w:rsid w:val="00107358"/>
    <w:rsid w:val="0011060B"/>
    <w:rsid w:val="001138E4"/>
    <w:rsid w:val="001248C7"/>
    <w:rsid w:val="00125D7C"/>
    <w:rsid w:val="00127C02"/>
    <w:rsid w:val="0013047C"/>
    <w:rsid w:val="00140622"/>
    <w:rsid w:val="00140F10"/>
    <w:rsid w:val="00140F6C"/>
    <w:rsid w:val="00152821"/>
    <w:rsid w:val="00152837"/>
    <w:rsid w:val="00156DEB"/>
    <w:rsid w:val="00162E74"/>
    <w:rsid w:val="00164CC3"/>
    <w:rsid w:val="001657A4"/>
    <w:rsid w:val="00172177"/>
    <w:rsid w:val="00175C36"/>
    <w:rsid w:val="0017658C"/>
    <w:rsid w:val="001860AE"/>
    <w:rsid w:val="001864BC"/>
    <w:rsid w:val="00191981"/>
    <w:rsid w:val="00192B92"/>
    <w:rsid w:val="0019797D"/>
    <w:rsid w:val="00197DC1"/>
    <w:rsid w:val="001A31F6"/>
    <w:rsid w:val="001A3DB2"/>
    <w:rsid w:val="001A4A2E"/>
    <w:rsid w:val="001C767B"/>
    <w:rsid w:val="001D13D7"/>
    <w:rsid w:val="001D5910"/>
    <w:rsid w:val="001E0BD4"/>
    <w:rsid w:val="001E33B5"/>
    <w:rsid w:val="001E7CFC"/>
    <w:rsid w:val="001F7B0A"/>
    <w:rsid w:val="001F7DEF"/>
    <w:rsid w:val="002004B3"/>
    <w:rsid w:val="00200589"/>
    <w:rsid w:val="00200CA1"/>
    <w:rsid w:val="0020279C"/>
    <w:rsid w:val="00221E1A"/>
    <w:rsid w:val="002247DC"/>
    <w:rsid w:val="00234DB2"/>
    <w:rsid w:val="00241EB4"/>
    <w:rsid w:val="0024237D"/>
    <w:rsid w:val="00245F53"/>
    <w:rsid w:val="002628A8"/>
    <w:rsid w:val="002641D0"/>
    <w:rsid w:val="00271D07"/>
    <w:rsid w:val="002722FD"/>
    <w:rsid w:val="0027483C"/>
    <w:rsid w:val="00277B9A"/>
    <w:rsid w:val="0028025F"/>
    <w:rsid w:val="00291494"/>
    <w:rsid w:val="0029159A"/>
    <w:rsid w:val="002920E4"/>
    <w:rsid w:val="00295963"/>
    <w:rsid w:val="00296719"/>
    <w:rsid w:val="002A2465"/>
    <w:rsid w:val="002A3914"/>
    <w:rsid w:val="002A69BD"/>
    <w:rsid w:val="002A6C35"/>
    <w:rsid w:val="002A7BF3"/>
    <w:rsid w:val="002B05BD"/>
    <w:rsid w:val="002B310C"/>
    <w:rsid w:val="002D358F"/>
    <w:rsid w:val="002F3FD9"/>
    <w:rsid w:val="002F7EE1"/>
    <w:rsid w:val="003022A2"/>
    <w:rsid w:val="00307171"/>
    <w:rsid w:val="003100F1"/>
    <w:rsid w:val="003103A7"/>
    <w:rsid w:val="0031504F"/>
    <w:rsid w:val="0032053C"/>
    <w:rsid w:val="00322191"/>
    <w:rsid w:val="00322249"/>
    <w:rsid w:val="00324A89"/>
    <w:rsid w:val="003276CD"/>
    <w:rsid w:val="00332A17"/>
    <w:rsid w:val="003369CC"/>
    <w:rsid w:val="00342BCE"/>
    <w:rsid w:val="00350180"/>
    <w:rsid w:val="00350D1D"/>
    <w:rsid w:val="00361C8D"/>
    <w:rsid w:val="00366190"/>
    <w:rsid w:val="00367DA4"/>
    <w:rsid w:val="003706D6"/>
    <w:rsid w:val="00375952"/>
    <w:rsid w:val="0037701E"/>
    <w:rsid w:val="0038005A"/>
    <w:rsid w:val="003855D6"/>
    <w:rsid w:val="0039157D"/>
    <w:rsid w:val="0039229C"/>
    <w:rsid w:val="003943A9"/>
    <w:rsid w:val="0039744C"/>
    <w:rsid w:val="00397D36"/>
    <w:rsid w:val="003A085C"/>
    <w:rsid w:val="003A46CE"/>
    <w:rsid w:val="003A638B"/>
    <w:rsid w:val="003B0D22"/>
    <w:rsid w:val="003B1FE1"/>
    <w:rsid w:val="003B27A2"/>
    <w:rsid w:val="003B4027"/>
    <w:rsid w:val="003B5232"/>
    <w:rsid w:val="003B5D85"/>
    <w:rsid w:val="003C080F"/>
    <w:rsid w:val="003C6A68"/>
    <w:rsid w:val="003C7275"/>
    <w:rsid w:val="003D1799"/>
    <w:rsid w:val="003D2583"/>
    <w:rsid w:val="003F3394"/>
    <w:rsid w:val="004009BB"/>
    <w:rsid w:val="00403B11"/>
    <w:rsid w:val="004053DE"/>
    <w:rsid w:val="0041042E"/>
    <w:rsid w:val="00413517"/>
    <w:rsid w:val="00417C92"/>
    <w:rsid w:val="004200BB"/>
    <w:rsid w:val="004219CB"/>
    <w:rsid w:val="0042575A"/>
    <w:rsid w:val="00430FDB"/>
    <w:rsid w:val="00431BEE"/>
    <w:rsid w:val="00433976"/>
    <w:rsid w:val="00435ED0"/>
    <w:rsid w:val="004364A1"/>
    <w:rsid w:val="0044180C"/>
    <w:rsid w:val="004457AA"/>
    <w:rsid w:val="004459F2"/>
    <w:rsid w:val="00454D41"/>
    <w:rsid w:val="00457DDC"/>
    <w:rsid w:val="004652D2"/>
    <w:rsid w:val="00472716"/>
    <w:rsid w:val="004737DF"/>
    <w:rsid w:val="00476721"/>
    <w:rsid w:val="00486CDF"/>
    <w:rsid w:val="00491C31"/>
    <w:rsid w:val="004A3ACE"/>
    <w:rsid w:val="004B1473"/>
    <w:rsid w:val="004B1AB4"/>
    <w:rsid w:val="004B1AD2"/>
    <w:rsid w:val="004B5876"/>
    <w:rsid w:val="004C2923"/>
    <w:rsid w:val="004C4BF4"/>
    <w:rsid w:val="004D142E"/>
    <w:rsid w:val="004D387B"/>
    <w:rsid w:val="004E04F1"/>
    <w:rsid w:val="004E6BFB"/>
    <w:rsid w:val="004E6FCA"/>
    <w:rsid w:val="004F0D41"/>
    <w:rsid w:val="004F1171"/>
    <w:rsid w:val="004F5FFB"/>
    <w:rsid w:val="0050575C"/>
    <w:rsid w:val="005070F1"/>
    <w:rsid w:val="005108B0"/>
    <w:rsid w:val="005118FA"/>
    <w:rsid w:val="00535BA2"/>
    <w:rsid w:val="005364EC"/>
    <w:rsid w:val="00540BDD"/>
    <w:rsid w:val="00541ADE"/>
    <w:rsid w:val="005548A7"/>
    <w:rsid w:val="0057230B"/>
    <w:rsid w:val="00572AD5"/>
    <w:rsid w:val="005761D9"/>
    <w:rsid w:val="005812AD"/>
    <w:rsid w:val="005837FF"/>
    <w:rsid w:val="0058433A"/>
    <w:rsid w:val="00586FBA"/>
    <w:rsid w:val="005911AE"/>
    <w:rsid w:val="00594B77"/>
    <w:rsid w:val="0059545F"/>
    <w:rsid w:val="005A1AA5"/>
    <w:rsid w:val="005A1C73"/>
    <w:rsid w:val="005A6884"/>
    <w:rsid w:val="005B0268"/>
    <w:rsid w:val="005B5132"/>
    <w:rsid w:val="005C658B"/>
    <w:rsid w:val="005C6697"/>
    <w:rsid w:val="005D043F"/>
    <w:rsid w:val="005D0C01"/>
    <w:rsid w:val="005D50DC"/>
    <w:rsid w:val="005D564E"/>
    <w:rsid w:val="005D7459"/>
    <w:rsid w:val="005D7BDD"/>
    <w:rsid w:val="005F1FBE"/>
    <w:rsid w:val="005F20E6"/>
    <w:rsid w:val="005F2461"/>
    <w:rsid w:val="005F545D"/>
    <w:rsid w:val="00603909"/>
    <w:rsid w:val="00604312"/>
    <w:rsid w:val="0061225C"/>
    <w:rsid w:val="006220DE"/>
    <w:rsid w:val="006260AB"/>
    <w:rsid w:val="00632BA3"/>
    <w:rsid w:val="00634310"/>
    <w:rsid w:val="00635D6D"/>
    <w:rsid w:val="0064455F"/>
    <w:rsid w:val="00653A6D"/>
    <w:rsid w:val="00654D95"/>
    <w:rsid w:val="0065599E"/>
    <w:rsid w:val="00661205"/>
    <w:rsid w:val="00663ABB"/>
    <w:rsid w:val="00663BB6"/>
    <w:rsid w:val="00664038"/>
    <w:rsid w:val="00664306"/>
    <w:rsid w:val="00671318"/>
    <w:rsid w:val="00671EEC"/>
    <w:rsid w:val="0067730B"/>
    <w:rsid w:val="00677391"/>
    <w:rsid w:val="00682922"/>
    <w:rsid w:val="00684F29"/>
    <w:rsid w:val="006965A4"/>
    <w:rsid w:val="006B0124"/>
    <w:rsid w:val="006B324B"/>
    <w:rsid w:val="006C2CA7"/>
    <w:rsid w:val="006C5493"/>
    <w:rsid w:val="006D157D"/>
    <w:rsid w:val="006E19B4"/>
    <w:rsid w:val="006E2DC4"/>
    <w:rsid w:val="006F4FFD"/>
    <w:rsid w:val="007102BD"/>
    <w:rsid w:val="007170C6"/>
    <w:rsid w:val="007273C9"/>
    <w:rsid w:val="0074436B"/>
    <w:rsid w:val="007462CE"/>
    <w:rsid w:val="00751C3D"/>
    <w:rsid w:val="00753DAE"/>
    <w:rsid w:val="00756C22"/>
    <w:rsid w:val="0076674E"/>
    <w:rsid w:val="0076785E"/>
    <w:rsid w:val="007718D6"/>
    <w:rsid w:val="0077398D"/>
    <w:rsid w:val="00777023"/>
    <w:rsid w:val="00777D28"/>
    <w:rsid w:val="00783B7D"/>
    <w:rsid w:val="007915AE"/>
    <w:rsid w:val="007A40A8"/>
    <w:rsid w:val="007A6BE1"/>
    <w:rsid w:val="007B3E1D"/>
    <w:rsid w:val="007B5F79"/>
    <w:rsid w:val="007C0B25"/>
    <w:rsid w:val="007F1AE0"/>
    <w:rsid w:val="007F1C28"/>
    <w:rsid w:val="007F3CB8"/>
    <w:rsid w:val="007F78B9"/>
    <w:rsid w:val="0080243B"/>
    <w:rsid w:val="00802798"/>
    <w:rsid w:val="00810FB5"/>
    <w:rsid w:val="00810FE4"/>
    <w:rsid w:val="008221F9"/>
    <w:rsid w:val="00822E61"/>
    <w:rsid w:val="0082564B"/>
    <w:rsid w:val="00831142"/>
    <w:rsid w:val="0083213A"/>
    <w:rsid w:val="00833D63"/>
    <w:rsid w:val="00837D67"/>
    <w:rsid w:val="0084281A"/>
    <w:rsid w:val="00844670"/>
    <w:rsid w:val="0084502C"/>
    <w:rsid w:val="00862C14"/>
    <w:rsid w:val="00864D7E"/>
    <w:rsid w:val="0086691B"/>
    <w:rsid w:val="00867210"/>
    <w:rsid w:val="00877749"/>
    <w:rsid w:val="00884296"/>
    <w:rsid w:val="008855DE"/>
    <w:rsid w:val="00894C26"/>
    <w:rsid w:val="008A15E4"/>
    <w:rsid w:val="008A247C"/>
    <w:rsid w:val="008A5707"/>
    <w:rsid w:val="008B20EC"/>
    <w:rsid w:val="008B3131"/>
    <w:rsid w:val="008B4F25"/>
    <w:rsid w:val="008B67FC"/>
    <w:rsid w:val="008E01E0"/>
    <w:rsid w:val="008E1A3E"/>
    <w:rsid w:val="008F4354"/>
    <w:rsid w:val="008F588C"/>
    <w:rsid w:val="008F763F"/>
    <w:rsid w:val="0090353A"/>
    <w:rsid w:val="00904194"/>
    <w:rsid w:val="0091022A"/>
    <w:rsid w:val="00911447"/>
    <w:rsid w:val="00911E1D"/>
    <w:rsid w:val="00915A04"/>
    <w:rsid w:val="00915DFD"/>
    <w:rsid w:val="00921002"/>
    <w:rsid w:val="00926540"/>
    <w:rsid w:val="0092666B"/>
    <w:rsid w:val="009324CD"/>
    <w:rsid w:val="0093709B"/>
    <w:rsid w:val="00944727"/>
    <w:rsid w:val="009456A4"/>
    <w:rsid w:val="00947D1E"/>
    <w:rsid w:val="00953B27"/>
    <w:rsid w:val="009577A3"/>
    <w:rsid w:val="00960ECB"/>
    <w:rsid w:val="009643F7"/>
    <w:rsid w:val="00964F2F"/>
    <w:rsid w:val="009729EA"/>
    <w:rsid w:val="009741AF"/>
    <w:rsid w:val="00976FBE"/>
    <w:rsid w:val="00984345"/>
    <w:rsid w:val="0098634F"/>
    <w:rsid w:val="00990454"/>
    <w:rsid w:val="00990970"/>
    <w:rsid w:val="0099616C"/>
    <w:rsid w:val="009A28FC"/>
    <w:rsid w:val="009A7878"/>
    <w:rsid w:val="009B2C3A"/>
    <w:rsid w:val="009C0881"/>
    <w:rsid w:val="009C6392"/>
    <w:rsid w:val="009C6661"/>
    <w:rsid w:val="009C6C78"/>
    <w:rsid w:val="009C7F7B"/>
    <w:rsid w:val="009D6AC4"/>
    <w:rsid w:val="009E0C2A"/>
    <w:rsid w:val="009E27A0"/>
    <w:rsid w:val="009E5A9A"/>
    <w:rsid w:val="009E7528"/>
    <w:rsid w:val="00A04BFB"/>
    <w:rsid w:val="00A0577F"/>
    <w:rsid w:val="00A17675"/>
    <w:rsid w:val="00A202C9"/>
    <w:rsid w:val="00A25964"/>
    <w:rsid w:val="00A27CCC"/>
    <w:rsid w:val="00A312DD"/>
    <w:rsid w:val="00A32BC4"/>
    <w:rsid w:val="00A431F1"/>
    <w:rsid w:val="00A438D4"/>
    <w:rsid w:val="00A50440"/>
    <w:rsid w:val="00A873F2"/>
    <w:rsid w:val="00A90415"/>
    <w:rsid w:val="00A96533"/>
    <w:rsid w:val="00AA00DA"/>
    <w:rsid w:val="00AA4CAC"/>
    <w:rsid w:val="00AB1E2F"/>
    <w:rsid w:val="00AB33E1"/>
    <w:rsid w:val="00AB3A52"/>
    <w:rsid w:val="00AB5BC7"/>
    <w:rsid w:val="00AB75E7"/>
    <w:rsid w:val="00AC1F7E"/>
    <w:rsid w:val="00AC5E84"/>
    <w:rsid w:val="00AD292D"/>
    <w:rsid w:val="00AD679B"/>
    <w:rsid w:val="00AE5314"/>
    <w:rsid w:val="00AE592E"/>
    <w:rsid w:val="00AE7350"/>
    <w:rsid w:val="00AE7C3A"/>
    <w:rsid w:val="00AF5BB6"/>
    <w:rsid w:val="00AF62DE"/>
    <w:rsid w:val="00AF6749"/>
    <w:rsid w:val="00B00549"/>
    <w:rsid w:val="00B01E8F"/>
    <w:rsid w:val="00B02A84"/>
    <w:rsid w:val="00B02C6C"/>
    <w:rsid w:val="00B0446E"/>
    <w:rsid w:val="00B04B71"/>
    <w:rsid w:val="00B3672D"/>
    <w:rsid w:val="00B402AE"/>
    <w:rsid w:val="00B40635"/>
    <w:rsid w:val="00B430FB"/>
    <w:rsid w:val="00B45550"/>
    <w:rsid w:val="00B609F3"/>
    <w:rsid w:val="00B60DAF"/>
    <w:rsid w:val="00B65B3E"/>
    <w:rsid w:val="00B728D6"/>
    <w:rsid w:val="00B72BE9"/>
    <w:rsid w:val="00B74BBF"/>
    <w:rsid w:val="00B84ECB"/>
    <w:rsid w:val="00B8715E"/>
    <w:rsid w:val="00B952EA"/>
    <w:rsid w:val="00BA379E"/>
    <w:rsid w:val="00BA6F64"/>
    <w:rsid w:val="00BB0D8D"/>
    <w:rsid w:val="00BC05C6"/>
    <w:rsid w:val="00BC17AA"/>
    <w:rsid w:val="00BC2A26"/>
    <w:rsid w:val="00BC6D3E"/>
    <w:rsid w:val="00BD13E6"/>
    <w:rsid w:val="00BD2EA8"/>
    <w:rsid w:val="00BE1A91"/>
    <w:rsid w:val="00BE2F1C"/>
    <w:rsid w:val="00BE3FCC"/>
    <w:rsid w:val="00BF1BF6"/>
    <w:rsid w:val="00BF6F8F"/>
    <w:rsid w:val="00C04BA9"/>
    <w:rsid w:val="00C07458"/>
    <w:rsid w:val="00C10954"/>
    <w:rsid w:val="00C11D05"/>
    <w:rsid w:val="00C12D4B"/>
    <w:rsid w:val="00C14506"/>
    <w:rsid w:val="00C1457C"/>
    <w:rsid w:val="00C17CF4"/>
    <w:rsid w:val="00C2411A"/>
    <w:rsid w:val="00C33EA1"/>
    <w:rsid w:val="00C34B45"/>
    <w:rsid w:val="00C35684"/>
    <w:rsid w:val="00C37AF2"/>
    <w:rsid w:val="00C4096F"/>
    <w:rsid w:val="00C452DE"/>
    <w:rsid w:val="00C502BD"/>
    <w:rsid w:val="00C526F9"/>
    <w:rsid w:val="00C528D5"/>
    <w:rsid w:val="00C53967"/>
    <w:rsid w:val="00C60C98"/>
    <w:rsid w:val="00C72B6B"/>
    <w:rsid w:val="00C87054"/>
    <w:rsid w:val="00C908C3"/>
    <w:rsid w:val="00C90FB4"/>
    <w:rsid w:val="00C940D0"/>
    <w:rsid w:val="00CA02C0"/>
    <w:rsid w:val="00CB1AB7"/>
    <w:rsid w:val="00CB67DB"/>
    <w:rsid w:val="00CC0377"/>
    <w:rsid w:val="00CC56B3"/>
    <w:rsid w:val="00CD6110"/>
    <w:rsid w:val="00CF02F6"/>
    <w:rsid w:val="00CF3806"/>
    <w:rsid w:val="00D00C70"/>
    <w:rsid w:val="00D01DAD"/>
    <w:rsid w:val="00D03F11"/>
    <w:rsid w:val="00D13D21"/>
    <w:rsid w:val="00D167DC"/>
    <w:rsid w:val="00D20D79"/>
    <w:rsid w:val="00D24B98"/>
    <w:rsid w:val="00D33F74"/>
    <w:rsid w:val="00D362B2"/>
    <w:rsid w:val="00D367A6"/>
    <w:rsid w:val="00D6335F"/>
    <w:rsid w:val="00D700F6"/>
    <w:rsid w:val="00D717E0"/>
    <w:rsid w:val="00D7403C"/>
    <w:rsid w:val="00D81204"/>
    <w:rsid w:val="00D819AB"/>
    <w:rsid w:val="00D857D6"/>
    <w:rsid w:val="00D86B25"/>
    <w:rsid w:val="00D86BEF"/>
    <w:rsid w:val="00D871E6"/>
    <w:rsid w:val="00DA061A"/>
    <w:rsid w:val="00DA61F7"/>
    <w:rsid w:val="00DB5BDF"/>
    <w:rsid w:val="00DC732E"/>
    <w:rsid w:val="00DD4BA7"/>
    <w:rsid w:val="00DE18EC"/>
    <w:rsid w:val="00DF117C"/>
    <w:rsid w:val="00E00360"/>
    <w:rsid w:val="00E02CAC"/>
    <w:rsid w:val="00E04A89"/>
    <w:rsid w:val="00E125B3"/>
    <w:rsid w:val="00E31A60"/>
    <w:rsid w:val="00E31B81"/>
    <w:rsid w:val="00E36964"/>
    <w:rsid w:val="00E36DF5"/>
    <w:rsid w:val="00E40D04"/>
    <w:rsid w:val="00E44188"/>
    <w:rsid w:val="00E45387"/>
    <w:rsid w:val="00E54E7E"/>
    <w:rsid w:val="00E63FAA"/>
    <w:rsid w:val="00E67832"/>
    <w:rsid w:val="00E71442"/>
    <w:rsid w:val="00E77E1D"/>
    <w:rsid w:val="00E80B7E"/>
    <w:rsid w:val="00E81D40"/>
    <w:rsid w:val="00E826F3"/>
    <w:rsid w:val="00E8386A"/>
    <w:rsid w:val="00E8604C"/>
    <w:rsid w:val="00E86EB6"/>
    <w:rsid w:val="00E91614"/>
    <w:rsid w:val="00E9264A"/>
    <w:rsid w:val="00E96856"/>
    <w:rsid w:val="00EA2B48"/>
    <w:rsid w:val="00EB32C0"/>
    <w:rsid w:val="00EC14A0"/>
    <w:rsid w:val="00EC2408"/>
    <w:rsid w:val="00EC5427"/>
    <w:rsid w:val="00EC63DA"/>
    <w:rsid w:val="00EE1071"/>
    <w:rsid w:val="00EE5D1E"/>
    <w:rsid w:val="00EE643D"/>
    <w:rsid w:val="00EF3B60"/>
    <w:rsid w:val="00EF3C2F"/>
    <w:rsid w:val="00F0211F"/>
    <w:rsid w:val="00F02B72"/>
    <w:rsid w:val="00F13BB2"/>
    <w:rsid w:val="00F16513"/>
    <w:rsid w:val="00F22CFC"/>
    <w:rsid w:val="00F24A78"/>
    <w:rsid w:val="00F25736"/>
    <w:rsid w:val="00F3747A"/>
    <w:rsid w:val="00F570ED"/>
    <w:rsid w:val="00F60096"/>
    <w:rsid w:val="00F61A42"/>
    <w:rsid w:val="00F65D05"/>
    <w:rsid w:val="00F66E79"/>
    <w:rsid w:val="00F83E30"/>
    <w:rsid w:val="00F9242E"/>
    <w:rsid w:val="00F92DBE"/>
    <w:rsid w:val="00F968A6"/>
    <w:rsid w:val="00FB30CC"/>
    <w:rsid w:val="00FB5122"/>
    <w:rsid w:val="00FC0C80"/>
    <w:rsid w:val="00FC1E97"/>
    <w:rsid w:val="00FC1FA6"/>
    <w:rsid w:val="00FC2A42"/>
    <w:rsid w:val="00FC3B63"/>
    <w:rsid w:val="00FC4D37"/>
    <w:rsid w:val="00FD1C80"/>
    <w:rsid w:val="00FD30AB"/>
    <w:rsid w:val="00FD48BA"/>
    <w:rsid w:val="00FE4B9E"/>
    <w:rsid w:val="00FE4F66"/>
    <w:rsid w:val="00FF43E9"/>
    <w:rsid w:val="00FF5785"/>
    <w:rsid w:val="00FF69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link w:val="TekstprzypisudolnegoZnak"/>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character" w:customStyle="1" w:styleId="TekstprzypisudolnegoZnak">
    <w:name w:val="Tekst przypisu dolnego Znak"/>
    <w:link w:val="Tekstprzypisudolnego"/>
    <w:semiHidden/>
    <w:locked/>
    <w:rsid w:val="00783B7D"/>
    <w:rPr>
      <w:lang w:val="pl-PL" w:eastAsia="pl-PL" w:bidi="ar-SA"/>
    </w:rPr>
  </w:style>
  <w:style w:type="paragraph" w:styleId="Nagwek">
    <w:name w:val="header"/>
    <w:basedOn w:val="Normalny"/>
    <w:link w:val="NagwekZnak"/>
    <w:rsid w:val="003C080F"/>
    <w:pPr>
      <w:tabs>
        <w:tab w:val="center" w:pos="4536"/>
        <w:tab w:val="right" w:pos="9072"/>
      </w:tabs>
    </w:pPr>
  </w:style>
  <w:style w:type="character" w:customStyle="1" w:styleId="NagwekZnak">
    <w:name w:val="Nagłówek Znak"/>
    <w:basedOn w:val="Domylnaczcionkaakapitu"/>
    <w:link w:val="Nagwek"/>
    <w:rsid w:val="003C080F"/>
    <w:rPr>
      <w:sz w:val="24"/>
      <w:szCs w:val="24"/>
    </w:rPr>
  </w:style>
  <w:style w:type="character" w:customStyle="1" w:styleId="StopkaZnak">
    <w:name w:val="Stopka Znak"/>
    <w:basedOn w:val="Domylnaczcionkaakapitu"/>
    <w:link w:val="Stopka"/>
    <w:uiPriority w:val="99"/>
    <w:rsid w:val="003C080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link w:val="TekstprzypisudolnegoZnak"/>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character" w:customStyle="1" w:styleId="TekstprzypisudolnegoZnak">
    <w:name w:val="Tekst przypisu dolnego Znak"/>
    <w:link w:val="Tekstprzypisudolnego"/>
    <w:semiHidden/>
    <w:locked/>
    <w:rsid w:val="00783B7D"/>
    <w:rPr>
      <w:lang w:val="pl-PL" w:eastAsia="pl-PL" w:bidi="ar-SA"/>
    </w:rPr>
  </w:style>
  <w:style w:type="paragraph" w:styleId="Nagwek">
    <w:name w:val="header"/>
    <w:basedOn w:val="Normalny"/>
    <w:link w:val="NagwekZnak"/>
    <w:rsid w:val="003C080F"/>
    <w:pPr>
      <w:tabs>
        <w:tab w:val="center" w:pos="4536"/>
        <w:tab w:val="right" w:pos="9072"/>
      </w:tabs>
    </w:pPr>
  </w:style>
  <w:style w:type="character" w:customStyle="1" w:styleId="NagwekZnak">
    <w:name w:val="Nagłówek Znak"/>
    <w:basedOn w:val="Domylnaczcionkaakapitu"/>
    <w:link w:val="Nagwek"/>
    <w:rsid w:val="003C080F"/>
    <w:rPr>
      <w:sz w:val="24"/>
      <w:szCs w:val="24"/>
    </w:rPr>
  </w:style>
  <w:style w:type="character" w:customStyle="1" w:styleId="StopkaZnak">
    <w:name w:val="Stopka Znak"/>
    <w:basedOn w:val="Domylnaczcionkaakapitu"/>
    <w:link w:val="Stopka"/>
    <w:uiPriority w:val="99"/>
    <w:rsid w:val="003C08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93313">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2273</Words>
  <Characters>14771</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17010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2018-01-29T12:54:00Z</cp:lastPrinted>
  <dcterms:created xsi:type="dcterms:W3CDTF">2018-03-20T11:41:00Z</dcterms:created>
  <dcterms:modified xsi:type="dcterms:W3CDTF">2018-03-20T11:41:00Z</dcterms:modified>
</cp:coreProperties>
</file>