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6AC" w:rsidRDefault="007E26CA" w:rsidP="00DF5F5A">
      <w:pPr>
        <w:spacing w:after="240" w:line="360" w:lineRule="auto"/>
        <w:ind w:firstLine="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rsidR="00AB6079" w:rsidRPr="00AB6079" w:rsidRDefault="00AB6079" w:rsidP="00AB6079">
      <w:pPr>
        <w:spacing w:line="360" w:lineRule="auto"/>
        <w:jc w:val="both"/>
        <w:rPr>
          <w:rFonts w:ascii="Times New Roman" w:hAnsi="Times New Roman" w:cs="Times New Roman"/>
          <w:b/>
          <w:sz w:val="24"/>
          <w:szCs w:val="24"/>
        </w:rPr>
      </w:pPr>
      <w:r w:rsidRPr="00AB6079">
        <w:rPr>
          <w:rFonts w:ascii="Times New Roman" w:hAnsi="Times New Roman" w:cs="Times New Roman"/>
          <w:b/>
          <w:sz w:val="24"/>
          <w:szCs w:val="24"/>
        </w:rPr>
        <w:t>1. Potrzeba i cel wypowiedzenia Umowy</w:t>
      </w:r>
    </w:p>
    <w:p w:rsidR="00AB6079" w:rsidRPr="00AB6079" w:rsidRDefault="00AB6079" w:rsidP="00AB6079">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Obowiązywanie Umowy między Rządem Rzeczypospolitej Polskiej a Rządem Republiki Finlandii o popieraniu i ochronie inwestycji, sporządzonej w Helsinkach dnia 25 listopada 1996 r. (Dz. U. z 1998 r. poz. 342), dalej jako „Umowa”, jest kwestionowane przez Komisję Europejską z uwagi na niezgodność Umowy z prawem UE, podobnie jak jest kwestionowane obowiązywanie wszystkich pozostałych umów o popieraniu i wzajemnej ochronie inwestycji zawartych pomiędzy państwami członkowskimi UE</w:t>
      </w:r>
      <w:r>
        <w:rPr>
          <w:rFonts w:ascii="Times New Roman" w:hAnsi="Times New Roman" w:cs="Times New Roman"/>
          <w:sz w:val="24"/>
          <w:szCs w:val="24"/>
        </w:rPr>
        <w:t>,</w:t>
      </w:r>
      <w:r w:rsidRPr="00AB6079">
        <w:rPr>
          <w:rFonts w:ascii="Times New Roman" w:hAnsi="Times New Roman" w:cs="Times New Roman"/>
          <w:sz w:val="24"/>
          <w:szCs w:val="24"/>
        </w:rPr>
        <w:t xml:space="preserve"> </w:t>
      </w:r>
      <w:r>
        <w:rPr>
          <w:rFonts w:ascii="Times New Roman" w:hAnsi="Times New Roman" w:cs="Times New Roman"/>
          <w:sz w:val="24"/>
          <w:szCs w:val="24"/>
        </w:rPr>
        <w:t>dalej jako „umowy intra-EU BIT”</w:t>
      </w:r>
      <w:r w:rsidRPr="00AB6079">
        <w:rPr>
          <w:rFonts w:ascii="Times New Roman" w:hAnsi="Times New Roman" w:cs="Times New Roman"/>
          <w:sz w:val="24"/>
          <w:szCs w:val="24"/>
        </w:rPr>
        <w:t xml:space="preserve">. </w:t>
      </w:r>
      <w:r>
        <w:rPr>
          <w:rFonts w:ascii="Times New Roman" w:hAnsi="Times New Roman" w:cs="Times New Roman"/>
          <w:sz w:val="24"/>
          <w:szCs w:val="24"/>
        </w:rPr>
        <w:t>W </w:t>
      </w:r>
      <w:r w:rsidRPr="00AB6079">
        <w:rPr>
          <w:rFonts w:ascii="Times New Roman" w:hAnsi="Times New Roman" w:cs="Times New Roman"/>
          <w:sz w:val="24"/>
          <w:szCs w:val="24"/>
        </w:rPr>
        <w:t xml:space="preserve">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 </w:t>
      </w:r>
    </w:p>
    <w:p w:rsidR="00AB6079" w:rsidRPr="00AB6079" w:rsidRDefault="00AB6079" w:rsidP="00AB6079">
      <w:pPr>
        <w:spacing w:line="360" w:lineRule="auto"/>
        <w:jc w:val="both"/>
        <w:rPr>
          <w:rFonts w:ascii="Times New Roman" w:hAnsi="Times New Roman" w:cs="Times New Roman"/>
          <w:color w:val="000000"/>
          <w:sz w:val="24"/>
          <w:szCs w:val="24"/>
        </w:rPr>
      </w:pPr>
      <w:r w:rsidRPr="00AB6079">
        <w:rPr>
          <w:rFonts w:ascii="Times New Roman" w:hAnsi="Times New Roman" w:cs="Times New Roman"/>
          <w:color w:val="000000"/>
          <w:sz w:val="24"/>
          <w:szCs w:val="24"/>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 Ponadto RP wypowiedziała, z uwagi na prawo UE, umowę intra-EU BIT zawartą z Portugalią (umowa wygaśn</w:t>
      </w:r>
      <w:r>
        <w:rPr>
          <w:rFonts w:ascii="Times New Roman" w:hAnsi="Times New Roman" w:cs="Times New Roman"/>
          <w:color w:val="000000"/>
          <w:sz w:val="24"/>
          <w:szCs w:val="24"/>
        </w:rPr>
        <w:t>ie w dniu 3 sierpnia 2019 r.).</w:t>
      </w:r>
    </w:p>
    <w:p w:rsidR="00AB6079" w:rsidRPr="00AB6079" w:rsidRDefault="00AB6079" w:rsidP="00AB6079">
      <w:pPr>
        <w:widowControl w:val="0"/>
        <w:autoSpaceDE w:val="0"/>
        <w:autoSpaceDN w:val="0"/>
        <w:adjustRightInd w:val="0"/>
        <w:spacing w:line="360" w:lineRule="auto"/>
        <w:jc w:val="both"/>
        <w:rPr>
          <w:rFonts w:ascii="Times New Roman" w:hAnsi="Times New Roman" w:cs="Times New Roman"/>
          <w:color w:val="000000"/>
          <w:sz w:val="24"/>
          <w:szCs w:val="24"/>
        </w:rPr>
      </w:pPr>
      <w:r w:rsidRPr="00AB6079">
        <w:rPr>
          <w:rFonts w:ascii="Times New Roman" w:hAnsi="Times New Roman" w:cs="Times New Roman"/>
          <w:color w:val="000000"/>
          <w:sz w:val="24"/>
          <w:szCs w:val="24"/>
        </w:rPr>
        <w:t>Stanowisko RP wobec umów intra-EU BIT zostało przyjęte przez Komitet do Spraw Europejskich w dniu 3 czerwca 2011 r. Zgodnie z nim umowy intra-EU BIT powinny zostać wypowiedziane przez wszystkie państwa członkowskie UE</w:t>
      </w:r>
      <w:r>
        <w:rPr>
          <w:rFonts w:ascii="Times New Roman" w:hAnsi="Times New Roman" w:cs="Times New Roman"/>
          <w:color w:val="000000"/>
          <w:sz w:val="24"/>
          <w:szCs w:val="24"/>
        </w:rPr>
        <w:t>,</w:t>
      </w:r>
      <w:r w:rsidRPr="00AB6079">
        <w:rPr>
          <w:rFonts w:ascii="Times New Roman" w:hAnsi="Times New Roman" w:cs="Times New Roman"/>
          <w:color w:val="000000"/>
          <w:sz w:val="24"/>
          <w:szCs w:val="24"/>
        </w:rPr>
        <w:t xml:space="preserve"> a najlepszym rozwiązaniem dla RP byłoby, aby wszystkie państwa członkowskie UE podjęł</w:t>
      </w:r>
      <w:r>
        <w:rPr>
          <w:rFonts w:ascii="Times New Roman" w:hAnsi="Times New Roman" w:cs="Times New Roman"/>
          <w:color w:val="000000"/>
          <w:sz w:val="24"/>
          <w:szCs w:val="24"/>
        </w:rPr>
        <w:t xml:space="preserve">y jednocześnie wspólną decyzję </w:t>
      </w:r>
      <w:r w:rsidRPr="00AB6079">
        <w:rPr>
          <w:rFonts w:ascii="Times New Roman" w:hAnsi="Times New Roman" w:cs="Times New Roman"/>
          <w:color w:val="000000"/>
          <w:sz w:val="24"/>
          <w:szCs w:val="24"/>
        </w:rPr>
        <w:t>o</w:t>
      </w:r>
      <w:r>
        <w:rPr>
          <w:rFonts w:ascii="Times New Roman" w:hAnsi="Times New Roman" w:cs="Times New Roman"/>
          <w:color w:val="000000"/>
          <w:sz w:val="24"/>
          <w:szCs w:val="24"/>
        </w:rPr>
        <w:t> </w:t>
      </w:r>
      <w:r w:rsidRPr="00AB6079">
        <w:rPr>
          <w:rFonts w:ascii="Times New Roman" w:hAnsi="Times New Roman" w:cs="Times New Roman"/>
          <w:color w:val="000000"/>
          <w:sz w:val="24"/>
          <w:szCs w:val="24"/>
        </w:rPr>
        <w:t>rozwiązaniu umów intra-EU BIT za obopólną zgodą na mocy Konwencji wiedeńskiej o</w:t>
      </w:r>
      <w:r>
        <w:rPr>
          <w:rFonts w:ascii="Times New Roman" w:hAnsi="Times New Roman" w:cs="Times New Roman"/>
          <w:color w:val="000000"/>
          <w:sz w:val="24"/>
          <w:szCs w:val="24"/>
        </w:rPr>
        <w:t> </w:t>
      </w:r>
      <w:r w:rsidRPr="00AB6079">
        <w:rPr>
          <w:rFonts w:ascii="Times New Roman" w:hAnsi="Times New Roman" w:cs="Times New Roman"/>
          <w:color w:val="000000"/>
          <w:sz w:val="24"/>
          <w:szCs w:val="24"/>
        </w:rPr>
        <w:t xml:space="preserve">prawie traktatów, sporządzonej w Wiedniu dnia 23 maja 1969 r. (Dz. U. z 1990 r. poz. 439). Alternatywnie, w przypadku braku możliwości osiągnięcia wśród państw członkowskich UE takiej jednomyślności RP, zgodnie z powyższym stanowiskiem, miała rozwiązać umowy intra-EU BIT zawarte z innymi państwami członkowskimi UE albo przez ich wypowiedzenie na warunkach określonych w tych umowach, albo na podstawie porozumienia stron. </w:t>
      </w:r>
    </w:p>
    <w:p w:rsidR="00AB6079" w:rsidRPr="00AB6079" w:rsidRDefault="00AB6079" w:rsidP="00AB6079">
      <w:pPr>
        <w:widowControl w:val="0"/>
        <w:autoSpaceDE w:val="0"/>
        <w:autoSpaceDN w:val="0"/>
        <w:adjustRightInd w:val="0"/>
        <w:spacing w:line="360" w:lineRule="auto"/>
        <w:jc w:val="both"/>
        <w:rPr>
          <w:rFonts w:ascii="Times New Roman" w:hAnsi="Times New Roman" w:cs="Times New Roman"/>
          <w:i/>
          <w:color w:val="000000"/>
          <w:sz w:val="24"/>
          <w:szCs w:val="24"/>
        </w:rPr>
      </w:pPr>
      <w:r w:rsidRPr="00AB6079">
        <w:rPr>
          <w:rFonts w:ascii="Times New Roman" w:hAnsi="Times New Roman" w:cs="Times New Roman"/>
          <w:color w:val="000000"/>
          <w:sz w:val="24"/>
          <w:szCs w:val="24"/>
        </w:rPr>
        <w:t xml:space="preserve">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w:t>
      </w:r>
      <w:r w:rsidRPr="00AB6079">
        <w:rPr>
          <w:rFonts w:ascii="Times New Roman" w:hAnsi="Times New Roman" w:cs="Times New Roman"/>
          <w:color w:val="000000"/>
          <w:sz w:val="24"/>
          <w:szCs w:val="24"/>
        </w:rPr>
        <w:lastRenderedPageBreak/>
        <w:t>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w:t>
      </w:r>
      <w:r>
        <w:rPr>
          <w:rFonts w:ascii="Times New Roman" w:hAnsi="Times New Roman" w:cs="Times New Roman"/>
          <w:color w:val="000000"/>
          <w:sz w:val="24"/>
          <w:szCs w:val="24"/>
        </w:rPr>
        <w:t> </w:t>
      </w:r>
      <w:r w:rsidRPr="00AB6079">
        <w:rPr>
          <w:rFonts w:ascii="Times New Roman" w:hAnsi="Times New Roman" w:cs="Times New Roman"/>
          <w:color w:val="000000"/>
          <w:sz w:val="24"/>
          <w:szCs w:val="24"/>
        </w:rPr>
        <w:t xml:space="preserve">ciągu kolejnych lat po wypowiedzeniu umowy (tzw. klauzula przedłużonego obowiązywania umowy, </w:t>
      </w:r>
      <w:r w:rsidRPr="00AB6079">
        <w:rPr>
          <w:rFonts w:ascii="Times New Roman" w:hAnsi="Times New Roman" w:cs="Times New Roman"/>
          <w:i/>
          <w:color w:val="000000"/>
          <w:sz w:val="24"/>
          <w:szCs w:val="24"/>
        </w:rPr>
        <w:t>sunset clause</w:t>
      </w:r>
      <w:r w:rsidRPr="00AB6079">
        <w:rPr>
          <w:rFonts w:ascii="Times New Roman" w:hAnsi="Times New Roman" w:cs="Times New Roman"/>
          <w:color w:val="000000"/>
          <w:sz w:val="24"/>
          <w:szCs w:val="24"/>
        </w:rPr>
        <w:t>). O wiele lepszym sposobem, jak Polska wskazała, byłoby rozwiązanie umów intra-EU BIT na podstawie porozumień dwustronnych, które przewidywałyby rezygnację z klauzuli przedłużonego obowiązywania umowy. 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klauzul przedłużonego o</w:t>
      </w:r>
      <w:r>
        <w:rPr>
          <w:rFonts w:ascii="Times New Roman" w:hAnsi="Times New Roman" w:cs="Times New Roman"/>
          <w:color w:val="000000"/>
          <w:sz w:val="24"/>
          <w:szCs w:val="24"/>
        </w:rPr>
        <w:t>bowiązywania umowy, w </w:t>
      </w:r>
      <w:r w:rsidRPr="00AB6079">
        <w:rPr>
          <w:rFonts w:ascii="Times New Roman" w:hAnsi="Times New Roman" w:cs="Times New Roman"/>
          <w:color w:val="000000"/>
          <w:sz w:val="24"/>
          <w:szCs w:val="24"/>
        </w:rPr>
        <w:t>oparciu o porozumienie wielostronne, zawarte zgodnie z Konwencją wiedeńską o prawie traktatów, sporządzoną w Wiedniu dnia 23 maja 1969 r.</w:t>
      </w:r>
    </w:p>
    <w:p w:rsidR="00AB6079" w:rsidRPr="00AB6079" w:rsidRDefault="00AB6079" w:rsidP="00AB6079">
      <w:pPr>
        <w:spacing w:line="360" w:lineRule="auto"/>
        <w:jc w:val="both"/>
        <w:rPr>
          <w:rFonts w:ascii="Times New Roman" w:hAnsi="Times New Roman" w:cs="Times New Roman"/>
          <w:sz w:val="24"/>
          <w:szCs w:val="24"/>
        </w:rPr>
      </w:pPr>
      <w:r w:rsidRPr="00AB6079">
        <w:rPr>
          <w:rFonts w:ascii="Times New Roman" w:eastAsia="Calibri" w:hAnsi="Times New Roman" w:cs="Times New Roman"/>
          <w:sz w:val="24"/>
          <w:szCs w:val="24"/>
        </w:rPr>
        <w:t>Obecnie jednak z uwagi na brak konsensusu państw członkowskich UE co do celowości i</w:t>
      </w:r>
      <w:r>
        <w:rPr>
          <w:rFonts w:ascii="Times New Roman" w:eastAsia="Calibri" w:hAnsi="Times New Roman" w:cs="Times New Roman"/>
          <w:sz w:val="24"/>
          <w:szCs w:val="24"/>
        </w:rPr>
        <w:t> </w:t>
      </w:r>
      <w:r w:rsidRPr="00AB6079">
        <w:rPr>
          <w:rFonts w:ascii="Times New Roman" w:eastAsia="Calibri" w:hAnsi="Times New Roman" w:cs="Times New Roman"/>
          <w:sz w:val="24"/>
          <w:szCs w:val="24"/>
        </w:rPr>
        <w:t xml:space="preserve">sposobu rozwiązania umów intra-EU BIT jest zasadne przystąpienie RP do realizacji opcji </w:t>
      </w:r>
      <w:r w:rsidRPr="00AB6079">
        <w:rPr>
          <w:rFonts w:ascii="Times New Roman" w:hAnsi="Times New Roman" w:cs="Times New Roman"/>
          <w:sz w:val="24"/>
          <w:szCs w:val="24"/>
        </w:rPr>
        <w:t>rozwiązania tych umów na podstawie porozumień dwustronnych, które przewidywałyby rezygnację z klauzul przedłużonego obowiązywania umowy. Republika Finlandii nie jest obecnie zainteresowana rozwiązaniem z RP ww. Umowy, łącznie z ww. klauzulą. Zatem w</w:t>
      </w:r>
      <w:r>
        <w:rPr>
          <w:rFonts w:ascii="Times New Roman" w:hAnsi="Times New Roman" w:cs="Times New Roman"/>
          <w:sz w:val="24"/>
          <w:szCs w:val="24"/>
        </w:rPr>
        <w:t> </w:t>
      </w:r>
      <w:r w:rsidRPr="00AB6079">
        <w:rPr>
          <w:rFonts w:ascii="Times New Roman" w:hAnsi="Times New Roman" w:cs="Times New Roman"/>
          <w:sz w:val="24"/>
          <w:szCs w:val="24"/>
        </w:rPr>
        <w:t xml:space="preserve">ocenie RP jest zasadne wypowiedzenie Umowy. Zgodnie z art. 11 ust. 2 Umowa może być wypowiedziana w każdym czasie przez każdą z Umawiających się Stron z zachowaniem dwunastomiesięcznego okresu wypowiedzenia po upływie początkowego okresu dwudziestu lat, który minie w dniu 13 marca 2018 r. Na podstawie art. 11 ust. 3 inwestycje dokonane przed wejściem w życie wypowiedzenia Umowy będą chronione na mocy tej Umowy przez dwadzieścia lat od czasu wygaśnięcia Umowy. Jednocześnie RP będzie kontynuowała konsultacje z Republiką Finlandii mające na celu doprowadzenie do rozwiązania Umowy, łącznie z klauzulą przedłużonego obowiązywania umowy. W przypadku uzyskania takiej zgody przed wejściem w życie wypowiedzenia Umowy, RP podejmie działania mające na celu zakończenie obowiązywania Umowy, łącznie z ww. klauzulą. </w:t>
      </w:r>
    </w:p>
    <w:p w:rsidR="00AB6079" w:rsidRPr="00AB6079" w:rsidRDefault="00AB6079" w:rsidP="00AB6079">
      <w:pPr>
        <w:spacing w:line="360" w:lineRule="auto"/>
        <w:jc w:val="both"/>
        <w:rPr>
          <w:rFonts w:ascii="Times New Roman" w:hAnsi="Times New Roman" w:cs="Times New Roman"/>
          <w:b/>
          <w:color w:val="000000"/>
          <w:sz w:val="24"/>
          <w:szCs w:val="24"/>
        </w:rPr>
      </w:pPr>
      <w:r w:rsidRPr="00AB6079">
        <w:rPr>
          <w:rFonts w:ascii="Times New Roman" w:hAnsi="Times New Roman" w:cs="Times New Roman"/>
          <w:b/>
          <w:color w:val="000000"/>
          <w:sz w:val="24"/>
          <w:szCs w:val="24"/>
        </w:rPr>
        <w:lastRenderedPageBreak/>
        <w:t>2. Dotychczasowy a projektowany stan prawny</w:t>
      </w:r>
    </w:p>
    <w:p w:rsidR="00AB6079" w:rsidRPr="00AB6079" w:rsidRDefault="00AB6079" w:rsidP="00AB6079">
      <w:pPr>
        <w:tabs>
          <w:tab w:val="left" w:pos="540"/>
        </w:tabs>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W polsko</w:t>
      </w:r>
      <w:r>
        <w:rPr>
          <w:rFonts w:ascii="Times New Roman" w:hAnsi="Times New Roman" w:cs="Times New Roman"/>
          <w:sz w:val="24"/>
          <w:szCs w:val="24"/>
        </w:rPr>
        <w:t>-fińskich stosunkach prawno</w:t>
      </w:r>
      <w:r w:rsidRPr="00AB6079">
        <w:rPr>
          <w:rFonts w:ascii="Times New Roman" w:hAnsi="Times New Roman" w:cs="Times New Roman"/>
          <w:sz w:val="24"/>
          <w:szCs w:val="24"/>
        </w:rPr>
        <w:t>-traktatowych w zakresie współpracy gospodarczej obowiązuje m.in. ww. Umowa między Rządem Rzeczypospolitej Polskiej a Rządem Republiki Finlandii o popieraniu i ochronie inwestycji, s</w:t>
      </w:r>
      <w:r>
        <w:rPr>
          <w:rFonts w:ascii="Times New Roman" w:hAnsi="Times New Roman" w:cs="Times New Roman"/>
          <w:sz w:val="24"/>
          <w:szCs w:val="24"/>
        </w:rPr>
        <w:t>porządzona w Helsinkach dnia 25 </w:t>
      </w:r>
      <w:r w:rsidRPr="00AB6079">
        <w:rPr>
          <w:rFonts w:ascii="Times New Roman" w:hAnsi="Times New Roman" w:cs="Times New Roman"/>
          <w:sz w:val="24"/>
          <w:szCs w:val="24"/>
        </w:rPr>
        <w:t>listopada 1996 r.</w:t>
      </w:r>
      <w:r w:rsidRPr="00AB6079">
        <w:rPr>
          <w:rFonts w:ascii="Times New Roman" w:hAnsi="Times New Roman" w:cs="Times New Roman"/>
          <w:i/>
          <w:sz w:val="24"/>
          <w:szCs w:val="24"/>
        </w:rPr>
        <w:t xml:space="preserve"> </w:t>
      </w:r>
      <w:r w:rsidRPr="00AB6079">
        <w:rPr>
          <w:rFonts w:ascii="Times New Roman" w:hAnsi="Times New Roman" w:cs="Times New Roman"/>
          <w:sz w:val="24"/>
          <w:szCs w:val="24"/>
        </w:rPr>
        <w:t>Zapewnia ona inwestorowi i jego inwestycjom z państwa</w:t>
      </w:r>
      <w:r>
        <w:rPr>
          <w:rFonts w:ascii="Times New Roman" w:hAnsi="Times New Roman" w:cs="Times New Roman"/>
          <w:sz w:val="24"/>
          <w:szCs w:val="24"/>
        </w:rPr>
        <w:t>-</w:t>
      </w:r>
      <w:r w:rsidRPr="00AB6079">
        <w:rPr>
          <w:rFonts w:ascii="Times New Roman" w:hAnsi="Times New Roman" w:cs="Times New Roman"/>
          <w:sz w:val="24"/>
          <w:szCs w:val="24"/>
        </w:rPr>
        <w:t>Strony Umowy na terytorium państwa</w:t>
      </w:r>
      <w:r>
        <w:rPr>
          <w:rFonts w:ascii="Times New Roman" w:hAnsi="Times New Roman" w:cs="Times New Roman"/>
          <w:sz w:val="24"/>
          <w:szCs w:val="24"/>
        </w:rPr>
        <w:t>-</w:t>
      </w:r>
      <w:r w:rsidRPr="00AB6079">
        <w:rPr>
          <w:rFonts w:ascii="Times New Roman" w:hAnsi="Times New Roman" w:cs="Times New Roman"/>
          <w:sz w:val="24"/>
          <w:szCs w:val="24"/>
        </w:rPr>
        <w:t>drugiej Strony Umowy pełną ochronę oraz możliwość dochodzenia roszczeń przed międzynarodowym trybunałem inwestycyjnym (arbitrażowym). Komisja Europejska ma poważne obawy, że umowy intra-EU BIT jako takie, w tym ww. Umowa, a</w:t>
      </w:r>
      <w:r>
        <w:rPr>
          <w:rFonts w:ascii="Times New Roman" w:hAnsi="Times New Roman" w:cs="Times New Roman"/>
          <w:sz w:val="24"/>
          <w:szCs w:val="24"/>
        </w:rPr>
        <w:t> </w:t>
      </w:r>
      <w:r w:rsidRPr="00AB6079">
        <w:rPr>
          <w:rFonts w:ascii="Times New Roman" w:hAnsi="Times New Roman" w:cs="Times New Roman"/>
          <w:sz w:val="24"/>
          <w:szCs w:val="24"/>
        </w:rPr>
        <w:t xml:space="preserve">także ich poszczególne postanowienia pokrywają się z postanowieniami Traktatu </w:t>
      </w:r>
      <w:r w:rsidRPr="00AB6079">
        <w:rPr>
          <w:rFonts w:ascii="Times New Roman" w:hAnsi="Times New Roman" w:cs="Times New Roman"/>
          <w:sz w:val="24"/>
          <w:szCs w:val="24"/>
        </w:rPr>
        <w:br/>
        <w:t xml:space="preserve">o funkcjonowaniu Unii Europejskiej lub mogą być z nimi sprzeczne, w szczególności </w:t>
      </w:r>
      <w:r w:rsidRPr="00AB6079">
        <w:rPr>
          <w:rFonts w:ascii="Times New Roman" w:hAnsi="Times New Roman" w:cs="Times New Roman"/>
          <w:sz w:val="24"/>
          <w:szCs w:val="24"/>
        </w:rPr>
        <w:br/>
        <w:t>z zasadami swobody przepływu kapitału, swobody przedsiębiorczości i swobody świadczenia usług oraz z podstawowymi zasadami prawa UE takimi jak: zasada nadrzędności, jedności, skuteczności i pewności prawa UE. Komisja Europejska ma również zastrzeżenia dotyczące kwestii rozstrzygania sporów inwestycyjnych uregulowanej w dwustronnych umowach inwestycyjnych, w tym w ww. Umowie, co, zdaniem Komisji Europejskiej, „wydaje się być sprzeczne z wyłączną kompetencją sądów UE”. Wypowiedzenie Umowy pozwoli doprowadzić do zgodności z prawem UE stosunki polsko</w:t>
      </w:r>
      <w:r>
        <w:rPr>
          <w:rFonts w:ascii="Times New Roman" w:hAnsi="Times New Roman" w:cs="Times New Roman"/>
          <w:sz w:val="24"/>
          <w:szCs w:val="24"/>
        </w:rPr>
        <w:t>-</w:t>
      </w:r>
      <w:r w:rsidRPr="00AB6079">
        <w:rPr>
          <w:rFonts w:ascii="Times New Roman" w:hAnsi="Times New Roman" w:cs="Times New Roman"/>
          <w:sz w:val="24"/>
          <w:szCs w:val="24"/>
        </w:rPr>
        <w:t xml:space="preserve">fińskie w zakresie współpracy gospodarczej. </w:t>
      </w:r>
    </w:p>
    <w:p w:rsidR="00AB6079" w:rsidRPr="00AB6079" w:rsidRDefault="00AB6079" w:rsidP="00AB6079">
      <w:pPr>
        <w:widowControl w:val="0"/>
        <w:autoSpaceDE w:val="0"/>
        <w:autoSpaceDN w:val="0"/>
        <w:adjustRightInd w:val="0"/>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Należy też zaznaczyć, że jednocześnie przed Trybunałem Sprawiedliwości UE toczy się postępowanie z wniosku sądu niemieckiego o wydanie orzeczenia w trybie prejudycjalnym, sformułowanego w toku postępowania ze skargi Republiki Słowackiej o uchylenie wyroku sądu arbitrażowego wydanego na podstawie umowy intra-EU BIT zawartej pomiędzy Czechosłowacją i Królestwem Niderlandów w 1991 r.</w:t>
      </w:r>
      <w:r w:rsidR="005B67F8">
        <w:rPr>
          <w:rFonts w:ascii="Times New Roman" w:hAnsi="Times New Roman" w:cs="Times New Roman"/>
          <w:sz w:val="24"/>
          <w:szCs w:val="24"/>
        </w:rPr>
        <w:t>,</w:t>
      </w:r>
      <w:r w:rsidRPr="00AB6079">
        <w:rPr>
          <w:rFonts w:ascii="Times New Roman" w:hAnsi="Times New Roman" w:cs="Times New Roman"/>
          <w:sz w:val="24"/>
          <w:szCs w:val="24"/>
        </w:rPr>
        <w:t xml:space="preserve"> z powództwa Achmea B.V. przeciwko Republice Słowacji (postępowanie PCA Case No. 2008-13). W tej sprawie sąd niemiecki zwrócił się do TSUE z pytaniem prejudycjalnym dotyczącym tego, czy wykonanie wyroku wydanego na podstawie tej umowy nie naruszałoby postanowień Traktatów dotyczących: zakazu dyskryminacji z art. 18 TFUE (przez uprzywilejowanie inwestora z państwa</w:t>
      </w:r>
      <w:r>
        <w:rPr>
          <w:rFonts w:ascii="Times New Roman" w:hAnsi="Times New Roman" w:cs="Times New Roman"/>
          <w:sz w:val="24"/>
          <w:szCs w:val="24"/>
        </w:rPr>
        <w:t>-</w:t>
      </w:r>
      <w:r w:rsidRPr="00AB6079">
        <w:rPr>
          <w:rFonts w:ascii="Times New Roman" w:hAnsi="Times New Roman" w:cs="Times New Roman"/>
          <w:sz w:val="24"/>
          <w:szCs w:val="24"/>
        </w:rPr>
        <w:t xml:space="preserve">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Europejska i wiele państw regionu. Niezależnie od tego należy </w:t>
      </w:r>
      <w:r w:rsidRPr="00AB6079">
        <w:rPr>
          <w:rFonts w:ascii="Times New Roman" w:hAnsi="Times New Roman" w:cs="Times New Roman"/>
          <w:sz w:val="24"/>
          <w:szCs w:val="24"/>
        </w:rPr>
        <w:lastRenderedPageBreak/>
        <w:t xml:space="preserve">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Pr="00AB6079">
        <w:rPr>
          <w:rFonts w:ascii="Times New Roman" w:hAnsi="Times New Roman" w:cs="Times New Roman"/>
          <w:color w:val="000000"/>
          <w:sz w:val="24"/>
          <w:szCs w:val="24"/>
        </w:rPr>
        <w:t xml:space="preserve">Konwencji wiedeńskiej o prawie traktatów, sporządzonej w Wiedniu dnia 23 maja 1969 r. </w:t>
      </w:r>
      <w:r w:rsidRPr="00AB6079">
        <w:rPr>
          <w:rFonts w:ascii="Times New Roman" w:hAnsi="Times New Roman" w:cs="Times New Roman"/>
          <w:sz w:val="24"/>
          <w:szCs w:val="24"/>
        </w:rPr>
        <w:t>w związku z zawarciem przez RP Traktatu Akcesyjnego do UE w zakresie, w którym umowy te są niezgodne z prawem UE.</w:t>
      </w:r>
    </w:p>
    <w:p w:rsidR="00AB6079" w:rsidRPr="00AB6079" w:rsidRDefault="00AB6079" w:rsidP="00AB6079">
      <w:pPr>
        <w:spacing w:line="360" w:lineRule="auto"/>
        <w:jc w:val="both"/>
        <w:rPr>
          <w:rFonts w:ascii="Times New Roman" w:hAnsi="Times New Roman" w:cs="Times New Roman"/>
          <w:b/>
          <w:sz w:val="24"/>
          <w:szCs w:val="24"/>
        </w:rPr>
      </w:pPr>
      <w:r w:rsidRPr="00AB6079">
        <w:rPr>
          <w:rFonts w:ascii="Times New Roman" w:hAnsi="Times New Roman" w:cs="Times New Roman"/>
          <w:b/>
          <w:sz w:val="24"/>
          <w:szCs w:val="24"/>
        </w:rPr>
        <w:t>3. Przewidywane skutki społeczne, gospodarcze, finansowe, polityczne i prawne</w:t>
      </w:r>
    </w:p>
    <w:p w:rsidR="004441F2" w:rsidRDefault="00AB6079" w:rsidP="004441F2">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Wypowiedzenie Umowy nie powinno mieć konsekwencji politycznych. Państwa członkowskie UE, w tym RP, jak i Republika Finlandii, zostały wezwane przez Komisję Europejską do zakończenia obo</w:t>
      </w:r>
      <w:r w:rsidR="004441F2">
        <w:rPr>
          <w:rFonts w:ascii="Times New Roman" w:hAnsi="Times New Roman" w:cs="Times New Roman"/>
          <w:sz w:val="24"/>
          <w:szCs w:val="24"/>
        </w:rPr>
        <w:t>wiązywania umów intra-EU BIT.</w:t>
      </w:r>
    </w:p>
    <w:p w:rsidR="004441F2" w:rsidRDefault="00AB6079" w:rsidP="004441F2">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 xml:space="preserve">Wypowiedzenie Umowy nie będzie miało negatywnych skutków społecznych, wręcz przeciwnie, należy oczekiwać, że zostanie ono życzliwie przyjęte z uwagi na publiczną krytykę w Polsce umów intra-EU BIT i międzynarodowego arbitrażu inwestycyjnego. </w:t>
      </w:r>
    </w:p>
    <w:p w:rsidR="004441F2" w:rsidRDefault="00AB6079" w:rsidP="004441F2">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Wypowiedzenie Umowy nie powinno wpłynąć na stosunki gospodarcze między RP a</w:t>
      </w:r>
      <w:r w:rsidR="004441F2">
        <w:t> </w:t>
      </w:r>
      <w:r w:rsidRPr="00AB6079">
        <w:rPr>
          <w:rFonts w:ascii="Times New Roman" w:hAnsi="Times New Roman" w:cs="Times New Roman"/>
          <w:sz w:val="24"/>
          <w:szCs w:val="24"/>
        </w:rPr>
        <w:t xml:space="preserve">Republiką Finlandii. Umowę zawarto w czasie, kiedy RP nie była członkiem UE, a ww. Umowa miała na celu przyciągnięcie inwestycji fińskich do Polski. Obecnie poziom prawodawstwa oraz dostęp do powszechnego sądownictwa w RP dają inwestorom zagranicznym gwarancję ochrony inwestycji z możliwością dochodzenia swoich praw na drodze sądowej. </w:t>
      </w:r>
    </w:p>
    <w:p w:rsidR="00AB6079" w:rsidRPr="00AB6079" w:rsidRDefault="00AB6079" w:rsidP="004441F2">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 xml:space="preserve">Według NBP Republika Finlandii zainwestowała w RP do końca 2016 r. w formie inwestycji bezpośrednich 1,3 mld EUR. Zajmuje 13 pozycję wśród krajów inwestujących w RP </w:t>
      </w:r>
      <w:r w:rsidRPr="00AB6079">
        <w:rPr>
          <w:rFonts w:ascii="Times New Roman" w:hAnsi="Times New Roman" w:cs="Times New Roman"/>
          <w:sz w:val="24"/>
          <w:szCs w:val="24"/>
        </w:rPr>
        <w:br/>
        <w:t>z udziałem ok. 0,8% w inwestycjach bezpośrednich ogółem. W 2016 r. odpłynęły z RP inwestycje fińskie o wartości 38,5 mln EUR. Według danych GUS, pod koniec 2016 r. w RP zarejestrowano było 201 podmiotów z udziałem kapitału fińskiego. Wartość kapitału podstawowego podmiotów z udziałem kapitału fińskiego wyn</w:t>
      </w:r>
      <w:r w:rsidR="004441F2">
        <w:rPr>
          <w:rFonts w:ascii="Times New Roman" w:hAnsi="Times New Roman" w:cs="Times New Roman"/>
          <w:sz w:val="24"/>
          <w:szCs w:val="24"/>
        </w:rPr>
        <w:t>iosła na koniec 2016 r. 1,5 mld </w:t>
      </w:r>
      <w:r w:rsidRPr="00AB6079">
        <w:rPr>
          <w:rFonts w:ascii="Times New Roman" w:hAnsi="Times New Roman" w:cs="Times New Roman"/>
          <w:sz w:val="24"/>
          <w:szCs w:val="24"/>
        </w:rPr>
        <w:t xml:space="preserve">PLN, co stanowiło 0,8% podstawowego kapitału zagranicznego ogółem. Pod koniec 2017 r. PAIiH odnotowała 57 dużych inwestorów fińskich. W RP jest obecnych ponadto szereg znaczących spółek fińskich nieujętych na tej liście, m.in. Eltel Network – koncern międzynarodowy z siedzibą w Finlandii, który przewodzi w budowie sieci telekomunikacyjnych i energetycznych oraz kontroluje 20% rynku instalacji sieci telekomunikacyjnych, czy Huhtamäki – koncern działający w branży opakowań, posiadający </w:t>
      </w:r>
      <w:r w:rsidRPr="00AB6079">
        <w:rPr>
          <w:rFonts w:ascii="Times New Roman" w:hAnsi="Times New Roman" w:cs="Times New Roman"/>
          <w:sz w:val="24"/>
          <w:szCs w:val="24"/>
        </w:rPr>
        <w:lastRenderedPageBreak/>
        <w:t xml:space="preserve">na Śląsku dwie fabryki. Do największych inwestorów fińskich należy koncern energetyczny Fortum, który prowadzi swoją działalność w RP od 2003 r. Obecnie jest właścicielem trzech elektrociepłowni zlokalizowanych w Częstochowie, Zabrzu i Bytomiu. Strategia Fortum </w:t>
      </w:r>
      <w:r w:rsidRPr="00AB6079">
        <w:rPr>
          <w:rFonts w:ascii="Times New Roman" w:hAnsi="Times New Roman" w:cs="Times New Roman"/>
          <w:sz w:val="24"/>
          <w:szCs w:val="24"/>
        </w:rPr>
        <w:br/>
        <w:t xml:space="preserve">w RP zakłada rozwój lokalnych źródeł wytwarzania energii elektrycznej i ciepła, opartych </w:t>
      </w:r>
      <w:r w:rsidRPr="00AB6079">
        <w:rPr>
          <w:rFonts w:ascii="Times New Roman" w:hAnsi="Times New Roman" w:cs="Times New Roman"/>
          <w:sz w:val="24"/>
          <w:szCs w:val="24"/>
        </w:rPr>
        <w:br/>
        <w:t xml:space="preserve">o paliwa dostępne w regionie, w tym paliwa alternatywne. Uruchomiona w 2010 r. nowoczesna elektrociepłownia w Częstochowie należy do najbardziej ekologicznych </w:t>
      </w:r>
      <w:r w:rsidRPr="00AB6079">
        <w:rPr>
          <w:rFonts w:ascii="Times New Roman" w:hAnsi="Times New Roman" w:cs="Times New Roman"/>
          <w:sz w:val="24"/>
          <w:szCs w:val="24"/>
        </w:rPr>
        <w:br/>
        <w:t xml:space="preserve">w Europie Środkowo-Wschodniej. Wiosną 2016 r. Fortum rozpoczęło budowę nowej elektrociepłowni w Zabrzu o wartości 870 mln PLN, która zostanie uruchomiona pod koniec 2018 r. i będzie zaopatrywała w ciepło sieciowe Zabrze i Bytom. Fortum posiada również ponad 800 km sieci ciepłowniczych, dostarczających ciepło do mieszkańców Częstochowy, Płocka i Wrocławia. W 2016 r. Fortum przejęło spółkę Grupa Duon S.A. i rozpoczęło działalność na polskim rynku detalicznej sprzedaży energii elektrycznej i gazu. Firma chce wykorzystać międzynarodowe doświadczenia w tym zakresie do budowy silnej pozycji </w:t>
      </w:r>
      <w:r w:rsidRPr="00AB6079">
        <w:rPr>
          <w:rFonts w:ascii="Times New Roman" w:hAnsi="Times New Roman" w:cs="Times New Roman"/>
          <w:sz w:val="24"/>
          <w:szCs w:val="24"/>
        </w:rPr>
        <w:br/>
        <w:t xml:space="preserve">w Polsce. W maju 2013 r. fińsko-szwedzki koncern Stora Enso otworzył w Ostrołęce nowoczesny zakład produkcyjny papieru opakowaniowego za 420 mln EUR. W październiku 2013 r. uruchomiono nową linię produkcyjną koncernu papierniczego Metsä Tissue </w:t>
      </w:r>
      <w:r w:rsidRPr="00AB6079">
        <w:rPr>
          <w:rFonts w:ascii="Times New Roman" w:hAnsi="Times New Roman" w:cs="Times New Roman"/>
          <w:sz w:val="24"/>
          <w:szCs w:val="24"/>
        </w:rPr>
        <w:br/>
        <w:t>w Krapkowicach, wartość tej inwestycji wyniosła ok. 60 mln EUR. Stora Enso w RP posiada cztery zakłady: w Ostrołęce, Tychach, Łodzi i w Mosinie koło Poznania.</w:t>
      </w:r>
    </w:p>
    <w:p w:rsidR="00AB6079" w:rsidRPr="00AB6079" w:rsidRDefault="00AB6079" w:rsidP="00AB6079">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 xml:space="preserve">Dotychczas niewielkie polskie inwestycje bezpośrednie w Republice Finlandii zostały znacząco powiększone w 2011 r. do kwoty 162 mln EUR przez inwestycję polskiej firmy Can-Pack S.A. w miejscowości Hämeenlinna (ok. 100 km na północ od Helsinek). Fabryka </w:t>
      </w:r>
      <w:r w:rsidRPr="00AB6079">
        <w:rPr>
          <w:rFonts w:ascii="Times New Roman" w:hAnsi="Times New Roman" w:cs="Times New Roman"/>
          <w:sz w:val="24"/>
          <w:szCs w:val="24"/>
        </w:rPr>
        <w:br/>
        <w:t>w Hämeenlinna o docelowej zdolności produkcyjnej 1,8 mld puszek do napojów podjęła produkcję pod koniec marca 2012 r. Według NBP w 2016 r. stan polskich inwestycji bezpośrednich w Republice Finlandii wynosił 37,5 mln EUR.</w:t>
      </w:r>
    </w:p>
    <w:p w:rsidR="00AB6079" w:rsidRPr="00AB6079" w:rsidRDefault="00AB6079" w:rsidP="00AB6079">
      <w:pPr>
        <w:pStyle w:val="Tekstpodstawowy"/>
        <w:spacing w:after="0" w:line="360" w:lineRule="auto"/>
        <w:jc w:val="both"/>
      </w:pPr>
      <w:r w:rsidRPr="00AB6079">
        <w:t>Ówczesne Ministerstwo Rozwoju poinformowało samorządy gospodarcze (Konfederacja Lewiatan, Pracodawcy RP, Krajowa Izba Gospodarcza, Polska Rada Biznesu, Business Centre Club) o planach rozwiązania Umowy i zwróciło się do nich o przekazanie odpo</w:t>
      </w:r>
      <w:r w:rsidR="004441F2">
        <w:t>wiedzi na następujące pytania:</w:t>
      </w:r>
    </w:p>
    <w:p w:rsidR="00AB6079" w:rsidRPr="00AB6079" w:rsidRDefault="00AB6079" w:rsidP="004441F2">
      <w:pPr>
        <w:pStyle w:val="Tekstpodstawowy"/>
        <w:numPr>
          <w:ilvl w:val="0"/>
          <w:numId w:val="33"/>
        </w:numPr>
        <w:spacing w:after="0" w:line="360" w:lineRule="auto"/>
        <w:ind w:left="426" w:hanging="426"/>
        <w:jc w:val="both"/>
        <w:rPr>
          <w:spacing w:val="4"/>
        </w:rPr>
      </w:pPr>
      <w:r w:rsidRPr="00AB6079">
        <w:rPr>
          <w:spacing w:val="4"/>
        </w:rPr>
        <w:t xml:space="preserve">czy inwestorzy polscy na rynku fińskim w przypadku ewentualnych działań dyskryminujących ich inwestycje korzystali lub rozważali możliwość wniesienia sporu przeciwko Republice Finlandii? Czy w takim wypadku korzystali/korzystaliby </w:t>
      </w:r>
      <w:r w:rsidR="004441F2">
        <w:rPr>
          <w:spacing w:val="4"/>
        </w:rPr>
        <w:t>z </w:t>
      </w:r>
      <w:r w:rsidRPr="00AB6079">
        <w:rPr>
          <w:spacing w:val="4"/>
        </w:rPr>
        <w:t>postępowania przed sądem powszechnym czy też przed międzynarodowym arbitrażem inwestycyjnym?</w:t>
      </w:r>
    </w:p>
    <w:p w:rsidR="00AB6079" w:rsidRPr="00AB6079" w:rsidRDefault="00AB6079" w:rsidP="004441F2">
      <w:pPr>
        <w:pStyle w:val="Tekstpodstawowy"/>
        <w:numPr>
          <w:ilvl w:val="0"/>
          <w:numId w:val="33"/>
        </w:numPr>
        <w:spacing w:after="0" w:line="360" w:lineRule="auto"/>
        <w:ind w:left="426" w:hanging="426"/>
        <w:jc w:val="both"/>
        <w:rPr>
          <w:spacing w:val="4"/>
        </w:rPr>
      </w:pPr>
      <w:r w:rsidRPr="00AB6079">
        <w:rPr>
          <w:spacing w:val="4"/>
        </w:rPr>
        <w:lastRenderedPageBreak/>
        <w:t>czy zdaniem polskich inwestorów ochrona ich inwestycji w regulacjach Republiki Finlandii oraz w prawie UE jest niewystarczająca? Jeżeli tak, to w jakim zakresie?</w:t>
      </w:r>
    </w:p>
    <w:p w:rsidR="00AB6079" w:rsidRPr="00AB6079" w:rsidRDefault="00AB6079" w:rsidP="004441F2">
      <w:pPr>
        <w:pStyle w:val="Tekstpodstawowy"/>
        <w:numPr>
          <w:ilvl w:val="0"/>
          <w:numId w:val="33"/>
        </w:numPr>
        <w:spacing w:after="0" w:line="360" w:lineRule="auto"/>
        <w:ind w:left="426" w:hanging="426"/>
        <w:jc w:val="both"/>
        <w:rPr>
          <w:spacing w:val="4"/>
        </w:rPr>
      </w:pPr>
      <w:r w:rsidRPr="00AB6079">
        <w:rPr>
          <w:spacing w:val="4"/>
        </w:rPr>
        <w:t>czy wygaśnięcie Umowy pogorszyłoby warunki prowadzenia działalności gospodarczej w Republice Finlandii i ochrony praw inwestorów? Jeżeli tak, to w jaki sposób i w jakim stopniu?</w:t>
      </w:r>
    </w:p>
    <w:p w:rsidR="00AB6079" w:rsidRPr="00AB6079" w:rsidRDefault="00AB6079" w:rsidP="004441F2">
      <w:pPr>
        <w:autoSpaceDE w:val="0"/>
        <w:autoSpaceDN w:val="0"/>
        <w:adjustRightInd w:val="0"/>
        <w:spacing w:before="200" w:line="360" w:lineRule="auto"/>
        <w:jc w:val="both"/>
        <w:rPr>
          <w:rFonts w:ascii="Times New Roman" w:hAnsi="Times New Roman" w:cs="Times New Roman"/>
          <w:color w:val="000000"/>
          <w:sz w:val="24"/>
          <w:szCs w:val="24"/>
        </w:rPr>
      </w:pPr>
      <w:r w:rsidRPr="00AB6079">
        <w:rPr>
          <w:rFonts w:ascii="Times New Roman" w:hAnsi="Times New Roman" w:cs="Times New Roman"/>
          <w:sz w:val="24"/>
          <w:szCs w:val="24"/>
        </w:rPr>
        <w:t xml:space="preserve">Samorządy gospodarcze udzieliły ogólnej odpowiedzi, iż </w:t>
      </w:r>
      <w:r w:rsidRPr="00AB6079">
        <w:rPr>
          <w:rFonts w:ascii="Times New Roman" w:hAnsi="Times New Roman" w:cs="Times New Roman"/>
          <w:color w:val="000000"/>
          <w:sz w:val="24"/>
          <w:szCs w:val="24"/>
        </w:rPr>
        <w:t>mimo</w:t>
      </w:r>
      <w:r w:rsidR="004441F2">
        <w:rPr>
          <w:rFonts w:ascii="Times New Roman" w:hAnsi="Times New Roman" w:cs="Times New Roman"/>
          <w:color w:val="000000"/>
          <w:sz w:val="24"/>
          <w:szCs w:val="24"/>
        </w:rPr>
        <w:t xml:space="preserve"> że inwestorzy nie korzystają z </w:t>
      </w:r>
      <w:r w:rsidRPr="00AB6079">
        <w:rPr>
          <w:rFonts w:ascii="Times New Roman" w:hAnsi="Times New Roman" w:cs="Times New Roman"/>
          <w:color w:val="000000"/>
          <w:sz w:val="24"/>
          <w:szCs w:val="24"/>
        </w:rPr>
        <w:t xml:space="preserve">ochrony przewidzianej umowami intra-EU BIT (pozywają państwa przed sądami powszechnymi), powołują się na ich obowiązywanie w dyskusjach z organami danego kraju przy zaistnieniu sporu. Jeżeli musieliby aktywnie dochodzić swoich roszczeń, powołując się na umowy intra-EU BIT, wybraliby procedurę arbitrażu na podstawie umowy intra-EU BIT (szczególnie fundusze inwestycyjne lokujące aktywa w instrumenty udziałowe polskich przedsiębiorstw inwestujących w państwach członkowskich UE, dla których rozwiązanie umów mogłoby mieć bezpośredni wpływ na ocenę ryzyka związaną z inwestowaniem). Główną barierą w korzystaniu z arbitrażu są jego wysokie koszty. Prawo materialne </w:t>
      </w:r>
      <w:r w:rsidRPr="00AB6079">
        <w:rPr>
          <w:rFonts w:ascii="Times New Roman" w:hAnsi="Times New Roman" w:cs="Times New Roman"/>
          <w:color w:val="000000"/>
          <w:sz w:val="24"/>
          <w:szCs w:val="24"/>
        </w:rPr>
        <w:br/>
        <w:t xml:space="preserve">w państwach członkowskich UE oraz na poziomie UE zawiera niezbędne standardy gwarantujące zagranicznym inwestorom równe i sprawiedliwe traktowanie, natomiast problemem jest egzekwowanie tego prawa. Wskazywano na czasochłonność procedur, brak profesjonalizmu i obiektywizmu w podejmowaniu decyzji przez właściwe organy. Zdaniem polskich inwestorów międzynarodowy arbitraż inwestycyjny pozwala prowadzić postępowanie w sposób odformalizowany, elastyczny i neutralny. Generalnie, zdaniem samorządów gospodarczych i polskich przedsiębiorców dla ich bezpieczeństwa i ekspansji umowy intra-EU BIT są pożądane. Tym niemniej samorządy gospodarcze odnotowują stanowisko Komisji Europejskiej wobec umów intra-EU BIT i wszczęte </w:t>
      </w:r>
      <w:r w:rsidR="004441F2">
        <w:rPr>
          <w:rFonts w:ascii="Times New Roman" w:hAnsi="Times New Roman" w:cs="Times New Roman"/>
          <w:color w:val="000000"/>
          <w:sz w:val="24"/>
          <w:szCs w:val="24"/>
        </w:rPr>
        <w:t>przez nią postępowania.</w:t>
      </w:r>
    </w:p>
    <w:p w:rsidR="00AB6079" w:rsidRPr="00AB6079" w:rsidRDefault="00AB6079" w:rsidP="00AB6079">
      <w:pPr>
        <w:spacing w:line="360" w:lineRule="auto"/>
        <w:jc w:val="both"/>
        <w:rPr>
          <w:rFonts w:ascii="Times New Roman" w:hAnsi="Times New Roman" w:cs="Times New Roman"/>
          <w:spacing w:val="4"/>
          <w:sz w:val="24"/>
          <w:szCs w:val="24"/>
        </w:rPr>
      </w:pPr>
      <w:r w:rsidRPr="00AB6079">
        <w:rPr>
          <w:rFonts w:ascii="Times New Roman" w:hAnsi="Times New Roman" w:cs="Times New Roman"/>
          <w:sz w:val="24"/>
          <w:szCs w:val="24"/>
        </w:rPr>
        <w:t xml:space="preserve">Z informacji posiadanych przez Ministerstwo Przedsiębiorczości i Technologii wynika, że zarówno polscy jak i fińscy inwestorzy nie kierowali, na podstawie ww. Umowy, roszczeń do międzynarodowych trybunałów arbitrażowych przeciwko, odpowiednio, Republice Finlandii </w:t>
      </w:r>
      <w:r w:rsidRPr="00AB6079">
        <w:rPr>
          <w:rFonts w:ascii="Times New Roman" w:hAnsi="Times New Roman" w:cs="Times New Roman"/>
          <w:sz w:val="24"/>
          <w:szCs w:val="24"/>
        </w:rPr>
        <w:br/>
        <w:t xml:space="preserve">i RP. Generalnie odnotowano tylko trzy przypadki skorzystania przez polskich inwestorów </w:t>
      </w:r>
      <w:r w:rsidRPr="00AB6079">
        <w:rPr>
          <w:rFonts w:ascii="Times New Roman" w:hAnsi="Times New Roman" w:cs="Times New Roman"/>
          <w:sz w:val="24"/>
          <w:szCs w:val="24"/>
        </w:rPr>
        <w:br/>
        <w:t xml:space="preserve">z ochrony przewidzianej umowami intra-EU BIT przed międzynarodowymi trybunałami arbitrażowymi (na podstawie umów intra-EU BIT z Rumunią – przed przystąpieniem Rumunii do UE, Słowacją i Cyprem). </w:t>
      </w:r>
      <w:r w:rsidRPr="00AB6079">
        <w:rPr>
          <w:rFonts w:ascii="Times New Roman" w:hAnsi="Times New Roman" w:cs="Times New Roman"/>
          <w:color w:val="000000"/>
          <w:sz w:val="24"/>
          <w:szCs w:val="24"/>
        </w:rPr>
        <w:t xml:space="preserve">Zgodnie z informacjami przekazanymi przez Prokuratorię Generalną RP na dwadzieścia sześć </w:t>
      </w:r>
      <w:r w:rsidRPr="00AB6079">
        <w:rPr>
          <w:rFonts w:ascii="Times New Roman" w:hAnsi="Times New Roman" w:cs="Times New Roman"/>
          <w:sz w:val="24"/>
          <w:szCs w:val="24"/>
        </w:rPr>
        <w:t xml:space="preserve">postępowań arbitrażowych, w których Prokuratoria Generalna RP od 2006 r. wykonywała lub wykonuje zastępstwo procesowe RP, </w:t>
      </w:r>
      <w:r w:rsidRPr="00AB6079">
        <w:rPr>
          <w:rFonts w:ascii="Times New Roman" w:hAnsi="Times New Roman" w:cs="Times New Roman"/>
          <w:sz w:val="24"/>
          <w:szCs w:val="24"/>
        </w:rPr>
        <w:lastRenderedPageBreak/>
        <w:t xml:space="preserve">szesnaście dotyczyło lub dotyczy sporów wniesionych przez inwestorów zagranicznych na podstawie umów intra-EU BIT (zawartych z Austrią, Francją, Niemcami, Cyprem, Holandią, Belgią i Luksemburgiem, Republiką Czeską, Wielką Brytanią). Mimo dużego odsetka wygrywanych spraw (w tym ugody) Polska ponosi wysokie koszty postępowań arbitrażowych: </w:t>
      </w:r>
      <w:r w:rsidRPr="00AB6079">
        <w:rPr>
          <w:rFonts w:ascii="Times New Roman" w:hAnsi="Times New Roman" w:cs="Times New Roman"/>
          <w:spacing w:val="4"/>
          <w:sz w:val="24"/>
          <w:szCs w:val="24"/>
        </w:rPr>
        <w:t>zaliczki na koszty postępowania (w tym wynagrodzenie arbitrów), opinie biegłych, zorganizowanie rozpraw, tłumaczenia, udział świadków oraz koszty zastępstwa procesowego. Zgodnie z informacjami byłego Ministerstwa Skarbu Państw</w:t>
      </w:r>
      <w:r w:rsidR="004441F2">
        <w:rPr>
          <w:rFonts w:ascii="Times New Roman" w:hAnsi="Times New Roman" w:cs="Times New Roman"/>
          <w:spacing w:val="4"/>
          <w:sz w:val="24"/>
          <w:szCs w:val="24"/>
        </w:rPr>
        <w:t>a, RP w </w:t>
      </w:r>
      <w:r w:rsidRPr="00AB6079">
        <w:rPr>
          <w:rFonts w:ascii="Times New Roman" w:hAnsi="Times New Roman" w:cs="Times New Roman"/>
          <w:spacing w:val="4"/>
          <w:sz w:val="24"/>
          <w:szCs w:val="24"/>
        </w:rPr>
        <w:t>związku z postępowaniami arbitrażowymi poniosła od</w:t>
      </w:r>
      <w:r w:rsidR="004441F2">
        <w:rPr>
          <w:rFonts w:ascii="Times New Roman" w:hAnsi="Times New Roman" w:cs="Times New Roman"/>
          <w:spacing w:val="4"/>
          <w:sz w:val="24"/>
          <w:szCs w:val="24"/>
        </w:rPr>
        <w:t xml:space="preserve"> 2006 r. koszty w wysokości ok. </w:t>
      </w:r>
      <w:r w:rsidRPr="00AB6079">
        <w:rPr>
          <w:rFonts w:ascii="Times New Roman" w:hAnsi="Times New Roman" w:cs="Times New Roman"/>
          <w:spacing w:val="4"/>
          <w:sz w:val="24"/>
          <w:szCs w:val="24"/>
        </w:rPr>
        <w:t xml:space="preserve">53 mln PLN. Wypowiedzenie Umowy może więc potencjalnie istotnie zmniejszyć obciążenie państwa pod względem finansowym, ponieważ nie będzie zachodzić konieczność ponoszenia znaczących kosztów, o których mowa w zdaniu poprzedzającym. </w:t>
      </w:r>
    </w:p>
    <w:p w:rsidR="00AB6079" w:rsidRPr="00AB6079" w:rsidRDefault="00AB6079" w:rsidP="00AB6079">
      <w:pPr>
        <w:pStyle w:val="Tekstpodstawowy"/>
        <w:spacing w:line="360" w:lineRule="auto"/>
        <w:jc w:val="both"/>
      </w:pPr>
      <w:r w:rsidRPr="00AB6079">
        <w:t>Wypowiedzenie Umowy nie naruszy polskiego porządku prawnego i doprowadzi do usunięcia niezgodności Umowy z prawem UE po dwudziestu latach od daty wejścia w życie wypowiedzenia Umowy.</w:t>
      </w:r>
    </w:p>
    <w:p w:rsidR="00AB6079" w:rsidRPr="00AB6079" w:rsidRDefault="00AB6079" w:rsidP="00AB6079">
      <w:pPr>
        <w:spacing w:line="360" w:lineRule="auto"/>
        <w:jc w:val="both"/>
        <w:rPr>
          <w:rFonts w:ascii="Times New Roman" w:hAnsi="Times New Roman" w:cs="Times New Roman"/>
          <w:b/>
          <w:sz w:val="24"/>
          <w:szCs w:val="24"/>
        </w:rPr>
      </w:pPr>
      <w:r w:rsidRPr="00AB6079">
        <w:rPr>
          <w:rFonts w:ascii="Times New Roman" w:hAnsi="Times New Roman" w:cs="Times New Roman"/>
          <w:b/>
          <w:sz w:val="24"/>
          <w:szCs w:val="24"/>
        </w:rPr>
        <w:t xml:space="preserve">4. Tryb wypowiedzenia Umowy </w:t>
      </w:r>
    </w:p>
    <w:p w:rsidR="00236955" w:rsidRPr="00AB6079" w:rsidRDefault="00AB6079" w:rsidP="00AB6079">
      <w:pPr>
        <w:spacing w:line="360" w:lineRule="auto"/>
        <w:jc w:val="both"/>
        <w:rPr>
          <w:rFonts w:ascii="Times New Roman" w:hAnsi="Times New Roman" w:cs="Times New Roman"/>
          <w:sz w:val="24"/>
          <w:szCs w:val="24"/>
        </w:rPr>
      </w:pPr>
      <w:r w:rsidRPr="00AB6079">
        <w:rPr>
          <w:rFonts w:ascii="Times New Roman" w:hAnsi="Times New Roman" w:cs="Times New Roman"/>
          <w:sz w:val="24"/>
          <w:szCs w:val="24"/>
        </w:rPr>
        <w:t>Wypowiadana Umowa ma rangę umowy międzyrządowej. Wypowiadana Umowa jest traktowana w polskim porządku prawnym jako umowa ratyfikowana za uprzednią zgodą wyrażoną w ustawie, stosownie do art. 241 ust. 1 us</w:t>
      </w:r>
      <w:r w:rsidR="004441F2">
        <w:rPr>
          <w:rFonts w:ascii="Times New Roman" w:hAnsi="Times New Roman" w:cs="Times New Roman"/>
          <w:sz w:val="24"/>
          <w:szCs w:val="24"/>
        </w:rPr>
        <w:t>tawy z dnia 2 kwietnia 1997 r. –</w:t>
      </w:r>
      <w:r w:rsidRPr="00AB6079">
        <w:rPr>
          <w:rFonts w:ascii="Times New Roman" w:hAnsi="Times New Roman" w:cs="Times New Roman"/>
          <w:sz w:val="24"/>
          <w:szCs w:val="24"/>
        </w:rPr>
        <w:t xml:space="preserve"> Konstytucja Rzeczypospolitej Polskiej (Dz. U. poz. 483, z późn. zm.). Dlatego też wypowiedzenie Umowy nastąpi również za uprzednią zgodą wyrażoną w ustawie, tym bardziej</w:t>
      </w:r>
      <w:r w:rsidR="004441F2">
        <w:rPr>
          <w:rFonts w:ascii="Times New Roman" w:hAnsi="Times New Roman" w:cs="Times New Roman"/>
          <w:sz w:val="24"/>
          <w:szCs w:val="24"/>
        </w:rPr>
        <w:t>,</w:t>
      </w:r>
      <w:r w:rsidRPr="00AB6079">
        <w:rPr>
          <w:rFonts w:ascii="Times New Roman" w:hAnsi="Times New Roman" w:cs="Times New Roman"/>
          <w:sz w:val="24"/>
          <w:szCs w:val="24"/>
        </w:rPr>
        <w:t xml:space="preserve"> że Umowa dotyczy wolności, praw i obowiązków obywatelskich (w 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1 pkt 2 i 5 Konstytucji RP.</w:t>
      </w:r>
    </w:p>
    <w:sectPr w:rsidR="00236955" w:rsidRPr="00AB6079"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EA0161">
          <w:rPr>
            <w:rFonts w:ascii="Times New Roman" w:hAnsi="Times New Roman" w:cs="Times New Roman"/>
            <w:noProof/>
            <w:sz w:val="24"/>
            <w:szCs w:val="24"/>
          </w:rPr>
          <w:t>7</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nsid w:val="3DEA0092"/>
    <w:multiLevelType w:val="hybridMultilevel"/>
    <w:tmpl w:val="01765862"/>
    <w:lvl w:ilvl="0" w:tplc="7D1E65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2">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3">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5">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6">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3"/>
  </w:num>
  <w:num w:numId="2">
    <w:abstractNumId w:val="14"/>
  </w:num>
  <w:num w:numId="3">
    <w:abstractNumId w:val="7"/>
  </w:num>
  <w:num w:numId="4">
    <w:abstractNumId w:val="1"/>
  </w:num>
  <w:num w:numId="5">
    <w:abstractNumId w:val="28"/>
  </w:num>
  <w:num w:numId="6">
    <w:abstractNumId w:val="2"/>
  </w:num>
  <w:num w:numId="7">
    <w:abstractNumId w:val="12"/>
  </w:num>
  <w:num w:numId="8">
    <w:abstractNumId w:val="20"/>
  </w:num>
  <w:num w:numId="9">
    <w:abstractNumId w:val="8"/>
  </w:num>
  <w:num w:numId="10">
    <w:abstractNumId w:val="22"/>
  </w:num>
  <w:num w:numId="11">
    <w:abstractNumId w:val="16"/>
  </w:num>
  <w:num w:numId="12">
    <w:abstractNumId w:val="21"/>
  </w:num>
  <w:num w:numId="13">
    <w:abstractNumId w:val="5"/>
  </w:num>
  <w:num w:numId="14">
    <w:abstractNumId w:val="15"/>
  </w:num>
  <w:num w:numId="15">
    <w:abstractNumId w:val="29"/>
  </w:num>
  <w:num w:numId="16">
    <w:abstractNumId w:val="24"/>
  </w:num>
  <w:num w:numId="17">
    <w:abstractNumId w:val="26"/>
  </w:num>
  <w:num w:numId="18">
    <w:abstractNumId w:val="9"/>
  </w:num>
  <w:num w:numId="19">
    <w:abstractNumId w:val="30"/>
  </w:num>
  <w:num w:numId="20">
    <w:abstractNumId w:val="32"/>
  </w:num>
  <w:num w:numId="21">
    <w:abstractNumId w:val="25"/>
  </w:num>
  <w:num w:numId="22">
    <w:abstractNumId w:val="10"/>
  </w:num>
  <w:num w:numId="23">
    <w:abstractNumId w:val="18"/>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1"/>
  </w:num>
  <w:num w:numId="28">
    <w:abstractNumId w:val="27"/>
  </w:num>
  <w:num w:numId="29">
    <w:abstractNumId w:val="4"/>
  </w:num>
  <w:num w:numId="30">
    <w:abstractNumId w:val="6"/>
  </w:num>
  <w:num w:numId="31">
    <w:abstractNumId w:val="31"/>
  </w:num>
  <w:num w:numId="32">
    <w:abstractNumId w:val="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236955"/>
    <w:rsid w:val="002D3299"/>
    <w:rsid w:val="00392C21"/>
    <w:rsid w:val="003938F7"/>
    <w:rsid w:val="003F6C95"/>
    <w:rsid w:val="004441F2"/>
    <w:rsid w:val="00453BA3"/>
    <w:rsid w:val="004A37A6"/>
    <w:rsid w:val="004E0A95"/>
    <w:rsid w:val="004F3862"/>
    <w:rsid w:val="005B67F8"/>
    <w:rsid w:val="005F249D"/>
    <w:rsid w:val="005F4005"/>
    <w:rsid w:val="006466AC"/>
    <w:rsid w:val="00725B90"/>
    <w:rsid w:val="00726F0A"/>
    <w:rsid w:val="00727934"/>
    <w:rsid w:val="007455B5"/>
    <w:rsid w:val="007E26CA"/>
    <w:rsid w:val="00874676"/>
    <w:rsid w:val="00882207"/>
    <w:rsid w:val="008D1573"/>
    <w:rsid w:val="008F6235"/>
    <w:rsid w:val="009D78F9"/>
    <w:rsid w:val="009E788D"/>
    <w:rsid w:val="009F03C5"/>
    <w:rsid w:val="00AB053F"/>
    <w:rsid w:val="00AB6079"/>
    <w:rsid w:val="00CF08F2"/>
    <w:rsid w:val="00D033A0"/>
    <w:rsid w:val="00D03895"/>
    <w:rsid w:val="00DF4048"/>
    <w:rsid w:val="00DF5F5A"/>
    <w:rsid w:val="00E138B5"/>
    <w:rsid w:val="00EA0161"/>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styleId="Tekstpodstawowy">
    <w:name w:val="Body Text"/>
    <w:basedOn w:val="Normalny"/>
    <w:link w:val="TekstpodstawowyZnak"/>
    <w:unhideWhenUsed/>
    <w:rsid w:val="00AB6079"/>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AB6079"/>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semiHidden/>
    <w:unhideWhenUsed/>
    <w:rsid w:val="00AB6079"/>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semiHidden/>
    <w:rsid w:val="00AB6079"/>
    <w:rPr>
      <w:rFonts w:ascii="Times New Roman" w:eastAsia="Times New Roman" w:hAnsi="Times New Roman" w:cs="Times New Roman"/>
      <w:sz w:val="16"/>
      <w:szCs w:val="16"/>
      <w:lang w:eastAsia="pl-PL"/>
    </w:rPr>
  </w:style>
  <w:style w:type="character" w:customStyle="1" w:styleId="trescpismaZnak">
    <w:name w:val="tresc.pisma Znak"/>
    <w:link w:val="trescpisma"/>
    <w:locked/>
    <w:rsid w:val="00AB6079"/>
    <w:rPr>
      <w:rFonts w:ascii="Calibri" w:eastAsia="Calibri" w:hAnsi="Calibri"/>
      <w:sz w:val="24"/>
      <w:szCs w:val="24"/>
      <w:lang w:val="en-US"/>
    </w:rPr>
  </w:style>
  <w:style w:type="paragraph" w:customStyle="1" w:styleId="trescpisma">
    <w:name w:val="tresc.pisma"/>
    <w:basedOn w:val="Normalny"/>
    <w:link w:val="trescpismaZnak"/>
    <w:qFormat/>
    <w:rsid w:val="00AB6079"/>
    <w:pPr>
      <w:spacing w:after="0" w:line="360" w:lineRule="auto"/>
      <w:ind w:firstLine="709"/>
      <w:jc w:val="both"/>
    </w:pPr>
    <w:rPr>
      <w:rFonts w:ascii="Calibri" w:eastAsia="Calibri" w:hAnsi="Calibri"/>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styleId="Tekstpodstawowy">
    <w:name w:val="Body Text"/>
    <w:basedOn w:val="Normalny"/>
    <w:link w:val="TekstpodstawowyZnak"/>
    <w:unhideWhenUsed/>
    <w:rsid w:val="00AB6079"/>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AB6079"/>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semiHidden/>
    <w:unhideWhenUsed/>
    <w:rsid w:val="00AB6079"/>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semiHidden/>
    <w:rsid w:val="00AB6079"/>
    <w:rPr>
      <w:rFonts w:ascii="Times New Roman" w:eastAsia="Times New Roman" w:hAnsi="Times New Roman" w:cs="Times New Roman"/>
      <w:sz w:val="16"/>
      <w:szCs w:val="16"/>
      <w:lang w:eastAsia="pl-PL"/>
    </w:rPr>
  </w:style>
  <w:style w:type="character" w:customStyle="1" w:styleId="trescpismaZnak">
    <w:name w:val="tresc.pisma Znak"/>
    <w:link w:val="trescpisma"/>
    <w:locked/>
    <w:rsid w:val="00AB6079"/>
    <w:rPr>
      <w:rFonts w:ascii="Calibri" w:eastAsia="Calibri" w:hAnsi="Calibri"/>
      <w:sz w:val="24"/>
      <w:szCs w:val="24"/>
      <w:lang w:val="en-US"/>
    </w:rPr>
  </w:style>
  <w:style w:type="paragraph" w:customStyle="1" w:styleId="trescpisma">
    <w:name w:val="tresc.pisma"/>
    <w:basedOn w:val="Normalny"/>
    <w:link w:val="trescpismaZnak"/>
    <w:qFormat/>
    <w:rsid w:val="00AB6079"/>
    <w:pPr>
      <w:spacing w:after="0" w:line="360" w:lineRule="auto"/>
      <w:ind w:firstLine="709"/>
      <w:jc w:val="both"/>
    </w:pPr>
    <w:rPr>
      <w:rFonts w:ascii="Calibri" w:eastAsia="Calibri" w:hAnsi="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36282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2492</Words>
  <Characters>14953</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cp:lastPrinted>2018-03-02T12:59:00Z</cp:lastPrinted>
  <dcterms:created xsi:type="dcterms:W3CDTF">2018-03-20T11:45:00Z</dcterms:created>
  <dcterms:modified xsi:type="dcterms:W3CDTF">2018-03-20T11:45:00Z</dcterms:modified>
</cp:coreProperties>
</file>