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A9E" w:rsidRPr="00064A9E" w:rsidRDefault="00064A9E" w:rsidP="00064A9E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  <w:r w:rsidRPr="00064A9E">
        <w:rPr>
          <w:rFonts w:ascii="Times New Roman" w:hAnsi="Times New Roman" w:cs="Times New Roman"/>
          <w:b/>
          <w:i/>
          <w:sz w:val="24"/>
          <w:szCs w:val="24"/>
        </w:rPr>
        <w:t>Projekt</w:t>
      </w:r>
    </w:p>
    <w:p w:rsidR="00064A9E" w:rsidRPr="00064A9E" w:rsidRDefault="00064A9E" w:rsidP="00064A9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64A9E" w:rsidRPr="00064A9E" w:rsidRDefault="00064A9E" w:rsidP="00064A9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64A9E" w:rsidRDefault="00064A9E" w:rsidP="00064A9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4A9E">
        <w:rPr>
          <w:rFonts w:ascii="Times New Roman" w:hAnsi="Times New Roman" w:cs="Times New Roman"/>
          <w:b/>
          <w:sz w:val="24"/>
          <w:szCs w:val="24"/>
        </w:rPr>
        <w:t>Ustawa</w:t>
      </w:r>
    </w:p>
    <w:p w:rsidR="00064A9E" w:rsidRDefault="00064A9E" w:rsidP="00064A9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4A9E">
        <w:rPr>
          <w:rFonts w:ascii="Times New Roman" w:hAnsi="Times New Roman" w:cs="Times New Roman"/>
          <w:b/>
          <w:sz w:val="24"/>
          <w:szCs w:val="24"/>
        </w:rPr>
        <w:t>z dnia ………… 2018</w:t>
      </w:r>
      <w:r>
        <w:rPr>
          <w:rFonts w:ascii="Times New Roman" w:hAnsi="Times New Roman" w:cs="Times New Roman"/>
          <w:b/>
          <w:sz w:val="24"/>
          <w:szCs w:val="24"/>
        </w:rPr>
        <w:t xml:space="preserve"> r</w:t>
      </w:r>
      <w:r w:rsidRPr="00064A9E">
        <w:rPr>
          <w:rFonts w:ascii="Times New Roman" w:hAnsi="Times New Roman" w:cs="Times New Roman"/>
          <w:b/>
          <w:sz w:val="24"/>
          <w:szCs w:val="24"/>
        </w:rPr>
        <w:t>.</w:t>
      </w:r>
    </w:p>
    <w:p w:rsidR="00064A9E" w:rsidRPr="00064A9E" w:rsidRDefault="00064A9E" w:rsidP="00064A9E">
      <w:pPr>
        <w:pStyle w:val="Nagwek2"/>
        <w:spacing w:before="0" w:beforeAutospacing="0" w:after="0" w:afterAutospacing="0" w:line="360" w:lineRule="auto"/>
        <w:jc w:val="center"/>
        <w:rPr>
          <w:sz w:val="24"/>
          <w:szCs w:val="24"/>
        </w:rPr>
      </w:pPr>
      <w:r w:rsidRPr="00064A9E">
        <w:rPr>
          <w:sz w:val="24"/>
          <w:szCs w:val="24"/>
        </w:rPr>
        <w:t>o zmianie ustawy o Krajowej Radzie Sądownictwa</w:t>
      </w:r>
    </w:p>
    <w:p w:rsidR="00064A9E" w:rsidRPr="00064A9E" w:rsidRDefault="00064A9E" w:rsidP="00064A9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64A9E" w:rsidRPr="00FF3486" w:rsidRDefault="00064A9E" w:rsidP="00064A9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64A9E" w:rsidRPr="00B84F8A" w:rsidRDefault="00064A9E" w:rsidP="00064A9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4F8A">
        <w:rPr>
          <w:rFonts w:ascii="Times New Roman" w:hAnsi="Times New Roman" w:cs="Times New Roman"/>
          <w:b/>
          <w:sz w:val="24"/>
          <w:szCs w:val="24"/>
        </w:rPr>
        <w:t>Art. 1</w:t>
      </w:r>
    </w:p>
    <w:p w:rsidR="00AA6844" w:rsidRDefault="00064A9E" w:rsidP="00AA68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F8A">
        <w:rPr>
          <w:rFonts w:ascii="Times New Roman" w:hAnsi="Times New Roman" w:cs="Times New Roman"/>
          <w:sz w:val="24"/>
          <w:szCs w:val="24"/>
        </w:rPr>
        <w:t xml:space="preserve">Dotychczasowy art. 11c oznacza się jako </w:t>
      </w:r>
      <w:r w:rsidR="00AA6844">
        <w:rPr>
          <w:rFonts w:ascii="Times New Roman" w:hAnsi="Times New Roman" w:cs="Times New Roman"/>
          <w:sz w:val="24"/>
          <w:szCs w:val="24"/>
        </w:rPr>
        <w:t xml:space="preserve">art. 11c </w:t>
      </w:r>
      <w:r w:rsidRPr="00B84F8A">
        <w:rPr>
          <w:rFonts w:ascii="Times New Roman" w:hAnsi="Times New Roman" w:cs="Times New Roman"/>
          <w:sz w:val="24"/>
          <w:szCs w:val="24"/>
        </w:rPr>
        <w:t>ust. 1, po ust. 1 dodaje się ust. 2 w brzmieniu:</w:t>
      </w:r>
    </w:p>
    <w:p w:rsidR="00AA6844" w:rsidRDefault="00AA6844" w:rsidP="00AA68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4A9E" w:rsidRPr="00B84F8A" w:rsidRDefault="00064A9E" w:rsidP="00AA684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4F8A">
        <w:rPr>
          <w:rFonts w:ascii="Times New Roman" w:hAnsi="Times New Roman" w:cs="Times New Roman"/>
          <w:sz w:val="24"/>
          <w:szCs w:val="24"/>
        </w:rPr>
        <w:t>„2. Wyłączenie, o którym mowa w ust. 1 nie dotyczy w</w:t>
      </w:r>
      <w:r w:rsidRPr="00B84F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ykazu </w:t>
      </w:r>
      <w:r w:rsidRPr="00FF3486">
        <w:rPr>
          <w:rFonts w:ascii="Times New Roman" w:eastAsia="Times New Roman" w:hAnsi="Times New Roman" w:cs="Times New Roman"/>
          <w:sz w:val="24"/>
          <w:szCs w:val="24"/>
          <w:lang w:eastAsia="pl-PL"/>
        </w:rPr>
        <w:t>sędziów popierających zgłosz</w:t>
      </w:r>
      <w:r w:rsidR="00AA6844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Pr="00FF3486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AA6844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FF34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kandydat</w:t>
      </w:r>
      <w:r w:rsidR="00AA6844">
        <w:rPr>
          <w:rFonts w:ascii="Times New Roman" w:eastAsia="Times New Roman" w:hAnsi="Times New Roman" w:cs="Times New Roman"/>
          <w:sz w:val="24"/>
          <w:szCs w:val="24"/>
          <w:lang w:eastAsia="pl-PL"/>
        </w:rPr>
        <w:t>ury</w:t>
      </w:r>
      <w:r w:rsidRPr="00FF34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członka Rady</w:t>
      </w:r>
      <w:r w:rsidRPr="00B84F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których mowa w art. 11a ust. 2 pkt 2</w:t>
      </w:r>
      <w:r w:rsidR="00AA684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B84F8A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</w:p>
    <w:p w:rsidR="00064A9E" w:rsidRPr="00B84F8A" w:rsidRDefault="00064A9E" w:rsidP="00AA684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64A9E" w:rsidRPr="00B84F8A" w:rsidRDefault="00064A9E" w:rsidP="00AA684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84F8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Art. 2</w:t>
      </w:r>
    </w:p>
    <w:p w:rsidR="00064A9E" w:rsidRPr="00B84F8A" w:rsidRDefault="00064A9E" w:rsidP="00AA68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F8A">
        <w:rPr>
          <w:rStyle w:val="Uwydatnienie"/>
          <w:rFonts w:ascii="Times New Roman" w:hAnsi="Times New Roman" w:cs="Times New Roman"/>
          <w:i w:val="0"/>
          <w:sz w:val="24"/>
          <w:szCs w:val="24"/>
        </w:rPr>
        <w:t xml:space="preserve">Ustawa wchodzi </w:t>
      </w:r>
      <w:r w:rsidRPr="00B84F8A">
        <w:rPr>
          <w:rStyle w:val="Pogrubienie"/>
          <w:rFonts w:ascii="Times New Roman" w:hAnsi="Times New Roman" w:cs="Times New Roman"/>
          <w:b w:val="0"/>
          <w:iCs/>
          <w:sz w:val="24"/>
          <w:szCs w:val="24"/>
        </w:rPr>
        <w:t>w życie z dniem ogłoszenia, z mocą od dnia 17 stycznia 2018 r.</w:t>
      </w:r>
    </w:p>
    <w:p w:rsidR="009D272F" w:rsidRDefault="009D272F" w:rsidP="00064A9E">
      <w:pPr>
        <w:spacing w:after="0" w:line="360" w:lineRule="auto"/>
      </w:pPr>
    </w:p>
    <w:p w:rsidR="002570CB" w:rsidRDefault="002570CB" w:rsidP="00064A9E">
      <w:pPr>
        <w:spacing w:after="0" w:line="360" w:lineRule="auto"/>
      </w:pPr>
    </w:p>
    <w:p w:rsidR="002570CB" w:rsidRDefault="002570CB" w:rsidP="00064A9E">
      <w:pPr>
        <w:spacing w:after="0" w:line="360" w:lineRule="auto"/>
      </w:pPr>
    </w:p>
    <w:p w:rsidR="002570CB" w:rsidRDefault="002570CB" w:rsidP="00064A9E">
      <w:pPr>
        <w:spacing w:after="0" w:line="360" w:lineRule="auto"/>
      </w:pPr>
    </w:p>
    <w:p w:rsidR="002570CB" w:rsidRDefault="002570CB" w:rsidP="00064A9E">
      <w:pPr>
        <w:spacing w:after="0" w:line="360" w:lineRule="auto"/>
      </w:pPr>
    </w:p>
    <w:p w:rsidR="002570CB" w:rsidRDefault="002570CB" w:rsidP="00064A9E">
      <w:pPr>
        <w:spacing w:after="0" w:line="360" w:lineRule="auto"/>
      </w:pPr>
    </w:p>
    <w:p w:rsidR="002570CB" w:rsidRDefault="002570CB" w:rsidP="00064A9E">
      <w:pPr>
        <w:spacing w:after="0" w:line="360" w:lineRule="auto"/>
      </w:pPr>
    </w:p>
    <w:p w:rsidR="002570CB" w:rsidRDefault="002570CB" w:rsidP="00064A9E">
      <w:pPr>
        <w:spacing w:after="0" w:line="360" w:lineRule="auto"/>
      </w:pPr>
    </w:p>
    <w:p w:rsidR="002570CB" w:rsidRDefault="002570CB" w:rsidP="00064A9E">
      <w:pPr>
        <w:spacing w:after="0" w:line="360" w:lineRule="auto"/>
      </w:pPr>
    </w:p>
    <w:p w:rsidR="002570CB" w:rsidRDefault="002570CB" w:rsidP="00064A9E">
      <w:pPr>
        <w:spacing w:after="0" w:line="360" w:lineRule="auto"/>
      </w:pPr>
    </w:p>
    <w:p w:rsidR="002570CB" w:rsidRDefault="002570CB" w:rsidP="00064A9E">
      <w:pPr>
        <w:spacing w:after="0" w:line="360" w:lineRule="auto"/>
      </w:pPr>
    </w:p>
    <w:p w:rsidR="002570CB" w:rsidRDefault="002570CB" w:rsidP="00064A9E">
      <w:pPr>
        <w:spacing w:after="0" w:line="360" w:lineRule="auto"/>
      </w:pPr>
    </w:p>
    <w:p w:rsidR="002570CB" w:rsidRDefault="002570CB" w:rsidP="00064A9E">
      <w:pPr>
        <w:spacing w:after="0" w:line="360" w:lineRule="auto"/>
      </w:pPr>
    </w:p>
    <w:p w:rsidR="002570CB" w:rsidRDefault="002570CB" w:rsidP="00064A9E">
      <w:pPr>
        <w:spacing w:after="0" w:line="360" w:lineRule="auto"/>
      </w:pPr>
    </w:p>
    <w:p w:rsidR="002570CB" w:rsidRDefault="002570CB" w:rsidP="00064A9E">
      <w:pPr>
        <w:spacing w:after="0" w:line="360" w:lineRule="auto"/>
      </w:pPr>
    </w:p>
    <w:p w:rsidR="002570CB" w:rsidRPr="00064A9E" w:rsidRDefault="002570CB" w:rsidP="00064A9E">
      <w:pPr>
        <w:spacing w:after="0" w:line="360" w:lineRule="auto"/>
      </w:pPr>
    </w:p>
    <w:p w:rsidR="00064A9E" w:rsidRDefault="00064A9E">
      <w:pPr>
        <w:spacing w:after="0" w:line="360" w:lineRule="auto"/>
      </w:pPr>
    </w:p>
    <w:p w:rsidR="002570CB" w:rsidRDefault="002570CB">
      <w:pPr>
        <w:spacing w:after="0" w:line="360" w:lineRule="auto"/>
      </w:pPr>
    </w:p>
    <w:p w:rsidR="002570CB" w:rsidRPr="00FD4BD0" w:rsidRDefault="002570CB" w:rsidP="00D30767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4BD0">
        <w:rPr>
          <w:rFonts w:ascii="Times New Roman" w:hAnsi="Times New Roman" w:cs="Times New Roman"/>
          <w:b/>
          <w:sz w:val="26"/>
          <w:szCs w:val="26"/>
        </w:rPr>
        <w:t>Uzasadnienie</w:t>
      </w:r>
    </w:p>
    <w:p w:rsidR="00BD44AD" w:rsidRPr="00FD4BD0" w:rsidRDefault="00BD44AD" w:rsidP="00D30767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44AD" w:rsidRPr="00FD4BD0" w:rsidRDefault="00BD44AD" w:rsidP="00D30767">
      <w:pPr>
        <w:pStyle w:val="Default"/>
        <w:spacing w:line="360" w:lineRule="auto"/>
        <w:ind w:firstLine="708"/>
        <w:jc w:val="both"/>
        <w:rPr>
          <w:b/>
          <w:bCs/>
          <w:sz w:val="26"/>
          <w:szCs w:val="26"/>
        </w:rPr>
      </w:pPr>
      <w:r w:rsidRPr="00FD4BD0">
        <w:rPr>
          <w:sz w:val="26"/>
          <w:szCs w:val="26"/>
        </w:rPr>
        <w:t xml:space="preserve">Ustawa z dnia 8 grudnia 2017 r. </w:t>
      </w:r>
      <w:r w:rsidRPr="00FD4BD0">
        <w:rPr>
          <w:bCs/>
          <w:sz w:val="26"/>
          <w:szCs w:val="26"/>
        </w:rPr>
        <w:t xml:space="preserve">o zmianie ustawy o Krajowej Radzie Sądownictwa oraz niektórych innych ustaw (Dz.U. 2018 poz. 3) wprowadza m.in. wybór 15 członków Krajowej Rady Sądownictwa - sędziów na wspólną czteroletnią kadencję </w:t>
      </w:r>
      <w:r w:rsidR="00D30767" w:rsidRPr="00FD4BD0">
        <w:rPr>
          <w:bCs/>
          <w:sz w:val="26"/>
          <w:szCs w:val="26"/>
        </w:rPr>
        <w:t xml:space="preserve">wybieranych </w:t>
      </w:r>
      <w:r w:rsidRPr="00FD4BD0">
        <w:rPr>
          <w:bCs/>
          <w:sz w:val="26"/>
          <w:szCs w:val="26"/>
        </w:rPr>
        <w:t>przez Sejm.</w:t>
      </w:r>
      <w:r w:rsidRPr="00FD4BD0">
        <w:rPr>
          <w:b/>
          <w:bCs/>
          <w:sz w:val="26"/>
          <w:szCs w:val="26"/>
        </w:rPr>
        <w:t xml:space="preserve"> </w:t>
      </w:r>
    </w:p>
    <w:p w:rsidR="00BD44AD" w:rsidRPr="00FD4BD0" w:rsidRDefault="00BD44AD" w:rsidP="00D30767">
      <w:pPr>
        <w:pStyle w:val="Default"/>
        <w:spacing w:line="360" w:lineRule="auto"/>
        <w:ind w:firstLine="708"/>
        <w:jc w:val="both"/>
        <w:rPr>
          <w:sz w:val="26"/>
          <w:szCs w:val="26"/>
        </w:rPr>
      </w:pPr>
      <w:r w:rsidRPr="00FD4BD0">
        <w:rPr>
          <w:sz w:val="26"/>
          <w:szCs w:val="26"/>
        </w:rPr>
        <w:t xml:space="preserve"> Podmiotami uprawnionymi do zgłoszenia kandydata na członka Krajowej Rady Sądownictwa jest grupa co najmniej:  </w:t>
      </w:r>
    </w:p>
    <w:p w:rsidR="00BD44AD" w:rsidRPr="00FD4BD0" w:rsidRDefault="00BD44AD" w:rsidP="00D30767">
      <w:pPr>
        <w:pStyle w:val="Default"/>
        <w:spacing w:line="360" w:lineRule="auto"/>
        <w:ind w:firstLine="708"/>
        <w:jc w:val="both"/>
        <w:rPr>
          <w:sz w:val="26"/>
          <w:szCs w:val="26"/>
        </w:rPr>
      </w:pPr>
      <w:r w:rsidRPr="00FD4BD0">
        <w:rPr>
          <w:sz w:val="26"/>
          <w:szCs w:val="26"/>
        </w:rPr>
        <w:t xml:space="preserve">1) dwóch tysięcy obywateli Rzeczypospolitej Polskiej, którzy ukończyli osiemnaście lat, mają pełną zdolność do czynności prawnych i korzystają z pełni praw publicznych, oraz </w:t>
      </w:r>
    </w:p>
    <w:p w:rsidR="00BD44AD" w:rsidRPr="00FD4BD0" w:rsidRDefault="00BD44AD" w:rsidP="00D30767">
      <w:pPr>
        <w:pStyle w:val="Default"/>
        <w:spacing w:line="360" w:lineRule="auto"/>
        <w:ind w:firstLine="708"/>
        <w:jc w:val="both"/>
        <w:rPr>
          <w:b/>
          <w:bCs/>
          <w:sz w:val="26"/>
          <w:szCs w:val="26"/>
        </w:rPr>
      </w:pPr>
      <w:r w:rsidRPr="00FD4BD0">
        <w:rPr>
          <w:sz w:val="26"/>
          <w:szCs w:val="26"/>
        </w:rPr>
        <w:t>2) dwudziestu pięciu sędziów, z wyłączeniem sędziów w stanie spoczynku.</w:t>
      </w:r>
    </w:p>
    <w:p w:rsidR="00D30767" w:rsidRPr="00FD4BD0" w:rsidRDefault="00D30767" w:rsidP="00D30767">
      <w:pPr>
        <w:pStyle w:val="Default"/>
        <w:spacing w:line="360" w:lineRule="auto"/>
        <w:ind w:firstLine="708"/>
        <w:jc w:val="both"/>
        <w:rPr>
          <w:sz w:val="26"/>
          <w:szCs w:val="26"/>
        </w:rPr>
      </w:pPr>
    </w:p>
    <w:p w:rsidR="00D30767" w:rsidRPr="00FD4BD0" w:rsidRDefault="00BD44AD" w:rsidP="00D30767">
      <w:pPr>
        <w:pStyle w:val="Default"/>
        <w:spacing w:line="360" w:lineRule="auto"/>
        <w:ind w:firstLine="708"/>
        <w:jc w:val="both"/>
        <w:rPr>
          <w:sz w:val="26"/>
          <w:szCs w:val="26"/>
        </w:rPr>
      </w:pPr>
      <w:r w:rsidRPr="00FD4BD0">
        <w:rPr>
          <w:sz w:val="26"/>
          <w:szCs w:val="26"/>
        </w:rPr>
        <w:t xml:space="preserve">Zgodnie z art. 11c. ustawy o KRS,  zgłoszenia kandydatów dokonane na członków KRS Marszałek Sejmu niezwłocznie przekazuje posłom i podaje do publicznej wiadomości, z wyłączeniem załączników. Ustawodawca na podstawie ww. przepisu świadomie ogranicza prawo dostępu do informacji publicznej, uniemożliwiając podanie opinii publicznej nazwisk sędziów, którzy na podstawie art. 11a ust. 2 pkt 2 </w:t>
      </w:r>
      <w:r w:rsidR="00D30767" w:rsidRPr="00FD4BD0">
        <w:rPr>
          <w:sz w:val="26"/>
          <w:szCs w:val="26"/>
        </w:rPr>
        <w:t>zgłosili kandydatury sędziów do Krajowej Rady Sądownictwa. Powyższe rozwiązanie uniemożliwia zweryfikowanie, czy dana grupa 25 sędziów zgłosiła jedną</w:t>
      </w:r>
      <w:r w:rsidR="00FD4BD0">
        <w:rPr>
          <w:sz w:val="26"/>
          <w:szCs w:val="26"/>
        </w:rPr>
        <w:t xml:space="preserve">, dwie czy może większość </w:t>
      </w:r>
      <w:r w:rsidR="00D30767" w:rsidRPr="00FD4BD0">
        <w:rPr>
          <w:sz w:val="26"/>
          <w:szCs w:val="26"/>
        </w:rPr>
        <w:t>kandydatur</w:t>
      </w:r>
      <w:r w:rsidR="00FD4BD0">
        <w:rPr>
          <w:sz w:val="26"/>
          <w:szCs w:val="26"/>
        </w:rPr>
        <w:t>.</w:t>
      </w:r>
    </w:p>
    <w:p w:rsidR="00D30767" w:rsidRPr="00FD4BD0" w:rsidRDefault="00D30767" w:rsidP="00D30767">
      <w:pPr>
        <w:pStyle w:val="Default"/>
        <w:spacing w:line="360" w:lineRule="auto"/>
        <w:ind w:firstLine="708"/>
        <w:jc w:val="both"/>
        <w:rPr>
          <w:sz w:val="26"/>
          <w:szCs w:val="26"/>
        </w:rPr>
      </w:pPr>
      <w:r w:rsidRPr="00FD4BD0">
        <w:rPr>
          <w:sz w:val="26"/>
          <w:szCs w:val="26"/>
        </w:rPr>
        <w:t>Należy ponadto zauważyć, że intencją Prezydent RP była pełna jawność</w:t>
      </w:r>
      <w:r w:rsidR="00FD4BD0">
        <w:rPr>
          <w:sz w:val="26"/>
          <w:szCs w:val="26"/>
        </w:rPr>
        <w:br/>
      </w:r>
      <w:r w:rsidRPr="00FD4BD0">
        <w:rPr>
          <w:sz w:val="26"/>
          <w:szCs w:val="26"/>
        </w:rPr>
        <w:t>i transparentność. Wszystkie dokumenty kandydatów, łącznie z listami poparcia, zgodnie z przedłożeniem Prezydenta podlegały poda</w:t>
      </w:r>
      <w:r w:rsidR="00FD4BD0" w:rsidRPr="00FD4BD0">
        <w:rPr>
          <w:sz w:val="26"/>
          <w:szCs w:val="26"/>
        </w:rPr>
        <w:t xml:space="preserve">niu </w:t>
      </w:r>
      <w:r w:rsidRPr="00FD4BD0">
        <w:rPr>
          <w:sz w:val="26"/>
          <w:szCs w:val="26"/>
        </w:rPr>
        <w:t xml:space="preserve"> do publicznej wiadomości. "</w:t>
      </w:r>
      <w:r w:rsidR="00FD4BD0" w:rsidRPr="00FD4BD0">
        <w:rPr>
          <w:sz w:val="26"/>
          <w:szCs w:val="26"/>
        </w:rPr>
        <w:t>Z</w:t>
      </w:r>
      <w:r w:rsidRPr="00FD4BD0">
        <w:rPr>
          <w:sz w:val="26"/>
          <w:szCs w:val="26"/>
        </w:rPr>
        <w:t>głoszenia Marszałek Sejmu niezwłocznie przekazuje posłom i podaje do publicznej wiadomości"</w:t>
      </w:r>
      <w:r w:rsidR="00FD4BD0" w:rsidRPr="00FD4BD0">
        <w:rPr>
          <w:sz w:val="26"/>
          <w:szCs w:val="26"/>
        </w:rPr>
        <w:t xml:space="preserve">, a poprawka ograniczająca prawo </w:t>
      </w:r>
      <w:r w:rsidR="00FD4BD0">
        <w:rPr>
          <w:sz w:val="26"/>
          <w:szCs w:val="26"/>
        </w:rPr>
        <w:t>do informacji publicznej została</w:t>
      </w:r>
      <w:r w:rsidR="00FD4BD0" w:rsidRPr="00FD4BD0">
        <w:rPr>
          <w:sz w:val="26"/>
          <w:szCs w:val="26"/>
        </w:rPr>
        <w:t xml:space="preserve"> wniesiona podczas prac w komisji. </w:t>
      </w:r>
    </w:p>
    <w:p w:rsidR="00BD44AD" w:rsidRPr="00FD4BD0" w:rsidRDefault="00FD4BD0" w:rsidP="00D30767">
      <w:pPr>
        <w:pStyle w:val="Default"/>
        <w:spacing w:line="360" w:lineRule="auto"/>
        <w:ind w:firstLine="708"/>
        <w:jc w:val="both"/>
        <w:rPr>
          <w:b/>
          <w:bCs/>
          <w:sz w:val="26"/>
          <w:szCs w:val="26"/>
        </w:rPr>
      </w:pPr>
      <w:r w:rsidRPr="00FD4BD0">
        <w:rPr>
          <w:sz w:val="26"/>
          <w:szCs w:val="26"/>
        </w:rPr>
        <w:t>Intencją projektodawców jest przywrócenie pełnej transparentności wyboru</w:t>
      </w:r>
      <w:r>
        <w:rPr>
          <w:sz w:val="26"/>
          <w:szCs w:val="26"/>
        </w:rPr>
        <w:br/>
      </w:r>
      <w:r w:rsidRPr="00FD4BD0">
        <w:rPr>
          <w:sz w:val="26"/>
          <w:szCs w:val="26"/>
        </w:rPr>
        <w:t xml:space="preserve">i zgłaszania kandydatów do Krajowej Rady Sądownictwa poprzez podanie do opinii </w:t>
      </w:r>
      <w:r w:rsidRPr="00FD4BD0">
        <w:rPr>
          <w:sz w:val="26"/>
          <w:szCs w:val="26"/>
        </w:rPr>
        <w:lastRenderedPageBreak/>
        <w:t>publicznej wszelkich materiałów dotyczących procesu wyłaniania kandydatów na członków do KRS.</w:t>
      </w:r>
    </w:p>
    <w:p w:rsidR="00BD44AD" w:rsidRPr="00FD4BD0" w:rsidRDefault="00BD44AD" w:rsidP="00D3076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FD4BD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Projekt ustawy nie obciąża </w:t>
      </w:r>
      <w:r w:rsidRPr="00BD44AD">
        <w:rPr>
          <w:rFonts w:ascii="Times New Roman" w:eastAsia="Times New Roman" w:hAnsi="Times New Roman" w:cs="Times New Roman"/>
          <w:sz w:val="26"/>
          <w:szCs w:val="26"/>
          <w:lang w:eastAsia="pl-PL"/>
        </w:rPr>
        <w:t>budżetu państwa</w:t>
      </w:r>
      <w:r w:rsidRPr="00FD4BD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ani </w:t>
      </w:r>
      <w:r w:rsidRPr="00BD44AD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budżetów jednostek samorządu </w:t>
      </w:r>
      <w:r w:rsidRPr="00FD4BD0">
        <w:rPr>
          <w:rFonts w:ascii="Times New Roman" w:eastAsia="Times New Roman" w:hAnsi="Times New Roman" w:cs="Times New Roman"/>
          <w:sz w:val="26"/>
          <w:szCs w:val="26"/>
          <w:lang w:eastAsia="pl-PL"/>
        </w:rPr>
        <w:t>terytorialnego.</w:t>
      </w:r>
    </w:p>
    <w:p w:rsidR="00BD44AD" w:rsidRPr="00BD44AD" w:rsidRDefault="00BD44AD" w:rsidP="00D3076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FD4BD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Projekt nie wymaga wydania </w:t>
      </w:r>
      <w:r w:rsidRPr="00BD44AD">
        <w:rPr>
          <w:rFonts w:ascii="Times New Roman" w:eastAsia="Times New Roman" w:hAnsi="Times New Roman" w:cs="Times New Roman"/>
          <w:sz w:val="26"/>
          <w:szCs w:val="26"/>
          <w:lang w:eastAsia="pl-PL"/>
        </w:rPr>
        <w:t>aktów wykonawczych</w:t>
      </w:r>
    </w:p>
    <w:p w:rsidR="00BD44AD" w:rsidRPr="00FD4BD0" w:rsidRDefault="00BD44AD" w:rsidP="00D30767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FD4BD0">
        <w:rPr>
          <w:rFonts w:ascii="Times New Roman" w:eastAsia="Times New Roman" w:hAnsi="Times New Roman" w:cs="Times New Roman"/>
          <w:sz w:val="26"/>
          <w:szCs w:val="26"/>
          <w:lang w:eastAsia="pl-PL"/>
        </w:rPr>
        <w:tab/>
        <w:t>Projekt ustawy nie jest objęty prawem Unii Europejskiej.</w:t>
      </w:r>
    </w:p>
    <w:sectPr w:rsidR="00BD44AD" w:rsidRPr="00FD4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A9E"/>
    <w:rsid w:val="00064A9E"/>
    <w:rsid w:val="002570CB"/>
    <w:rsid w:val="0050019D"/>
    <w:rsid w:val="00887002"/>
    <w:rsid w:val="009D272F"/>
    <w:rsid w:val="00AA6844"/>
    <w:rsid w:val="00BD44AD"/>
    <w:rsid w:val="00D30767"/>
    <w:rsid w:val="00FD4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4A9E"/>
  </w:style>
  <w:style w:type="paragraph" w:styleId="Nagwek2">
    <w:name w:val="heading 2"/>
    <w:basedOn w:val="Normalny"/>
    <w:link w:val="Nagwek2Znak"/>
    <w:uiPriority w:val="9"/>
    <w:qFormat/>
    <w:rsid w:val="00064A9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064A9E"/>
    <w:rPr>
      <w:i/>
      <w:iCs/>
    </w:rPr>
  </w:style>
  <w:style w:type="character" w:styleId="Pogrubienie">
    <w:name w:val="Strong"/>
    <w:basedOn w:val="Domylnaczcionkaakapitu"/>
    <w:uiPriority w:val="22"/>
    <w:qFormat/>
    <w:rsid w:val="00064A9E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64A9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BD44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01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019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4A9E"/>
  </w:style>
  <w:style w:type="paragraph" w:styleId="Nagwek2">
    <w:name w:val="heading 2"/>
    <w:basedOn w:val="Normalny"/>
    <w:link w:val="Nagwek2Znak"/>
    <w:uiPriority w:val="9"/>
    <w:qFormat/>
    <w:rsid w:val="00064A9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064A9E"/>
    <w:rPr>
      <w:i/>
      <w:iCs/>
    </w:rPr>
  </w:style>
  <w:style w:type="character" w:styleId="Pogrubienie">
    <w:name w:val="Strong"/>
    <w:basedOn w:val="Domylnaczcionkaakapitu"/>
    <w:uiPriority w:val="22"/>
    <w:qFormat/>
    <w:rsid w:val="00064A9E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64A9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BD44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01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01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2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3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2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1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2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1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Pawlak</dc:creator>
  <cp:lastModifiedBy>Ewa A. Genert</cp:lastModifiedBy>
  <cp:revision>2</cp:revision>
  <cp:lastPrinted>2018-03-01T10:32:00Z</cp:lastPrinted>
  <dcterms:created xsi:type="dcterms:W3CDTF">2018-03-20T11:54:00Z</dcterms:created>
  <dcterms:modified xsi:type="dcterms:W3CDTF">2018-03-20T11:54:00Z</dcterms:modified>
</cp:coreProperties>
</file>