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7E2" w:rsidRPr="006A57E2" w:rsidRDefault="006A57E2" w:rsidP="006A57E2">
      <w:pPr>
        <w:spacing w:line="36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bookmarkEnd w:id="0"/>
    </w:p>
    <w:p w:rsidR="00423FDD" w:rsidRPr="00A700E9" w:rsidRDefault="00A96667" w:rsidP="00A96667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00E9">
        <w:rPr>
          <w:rFonts w:ascii="Times New Roman" w:hAnsi="Times New Roman" w:cs="Times New Roman"/>
          <w:b/>
          <w:sz w:val="26"/>
          <w:szCs w:val="26"/>
        </w:rPr>
        <w:t>Stanowisko Rządu do poselskiego projektu ustawy o zmianie ustawy – Prawo                        o notariacie (druk sejmowy nr 2356)</w:t>
      </w:r>
    </w:p>
    <w:p w:rsidR="00A96667" w:rsidRDefault="00A96667" w:rsidP="00A96667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150CD" w:rsidRDefault="009E7F2A" w:rsidP="00282F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7F2A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6569">
        <w:rPr>
          <w:rFonts w:ascii="Times New Roman" w:hAnsi="Times New Roman" w:cs="Times New Roman"/>
          <w:sz w:val="24"/>
          <w:szCs w:val="24"/>
        </w:rPr>
        <w:t>Poselski p</w:t>
      </w:r>
      <w:r w:rsidR="005D36EB">
        <w:rPr>
          <w:rFonts w:ascii="Times New Roman" w:hAnsi="Times New Roman" w:cs="Times New Roman"/>
          <w:sz w:val="24"/>
          <w:szCs w:val="24"/>
        </w:rPr>
        <w:t xml:space="preserve">rojekt ustawy o zmianie ustawy – Prawo o notariacie zakłada </w:t>
      </w:r>
      <w:r w:rsidR="007E6569">
        <w:rPr>
          <w:rFonts w:ascii="Times New Roman" w:hAnsi="Times New Roman" w:cs="Times New Roman"/>
          <w:sz w:val="24"/>
          <w:szCs w:val="24"/>
        </w:rPr>
        <w:t xml:space="preserve">uchylenie przepisów </w:t>
      </w:r>
      <w:r w:rsidR="005D36EB">
        <w:rPr>
          <w:rFonts w:ascii="Times New Roman" w:hAnsi="Times New Roman" w:cs="Times New Roman"/>
          <w:sz w:val="24"/>
          <w:szCs w:val="24"/>
        </w:rPr>
        <w:t xml:space="preserve">art. 102 i art. 103 ustawy z dnia </w:t>
      </w:r>
      <w:r w:rsidR="00D4457C">
        <w:rPr>
          <w:rFonts w:ascii="Times New Roman" w:hAnsi="Times New Roman" w:cs="Times New Roman"/>
          <w:sz w:val="24"/>
          <w:szCs w:val="24"/>
        </w:rPr>
        <w:t>1</w:t>
      </w:r>
      <w:r w:rsidR="002500EE">
        <w:rPr>
          <w:rFonts w:ascii="Times New Roman" w:hAnsi="Times New Roman" w:cs="Times New Roman"/>
          <w:sz w:val="24"/>
          <w:szCs w:val="24"/>
        </w:rPr>
        <w:t xml:space="preserve">4 lutego 1991 r. </w:t>
      </w:r>
      <w:r w:rsidR="00BC5D25">
        <w:rPr>
          <w:rFonts w:ascii="Times New Roman" w:hAnsi="Times New Roman" w:cs="Times New Roman"/>
          <w:sz w:val="24"/>
          <w:szCs w:val="24"/>
        </w:rPr>
        <w:t>–</w:t>
      </w:r>
      <w:r w:rsidR="002500EE">
        <w:rPr>
          <w:rFonts w:ascii="Times New Roman" w:hAnsi="Times New Roman" w:cs="Times New Roman"/>
          <w:sz w:val="24"/>
          <w:szCs w:val="24"/>
        </w:rPr>
        <w:t xml:space="preserve"> Prawo</w:t>
      </w:r>
      <w:r w:rsidR="00BC5D25">
        <w:rPr>
          <w:rFonts w:ascii="Times New Roman" w:hAnsi="Times New Roman" w:cs="Times New Roman"/>
          <w:sz w:val="24"/>
          <w:szCs w:val="24"/>
        </w:rPr>
        <w:t xml:space="preserve"> o</w:t>
      </w:r>
      <w:r w:rsidR="002500EE">
        <w:rPr>
          <w:rFonts w:ascii="Times New Roman" w:hAnsi="Times New Roman" w:cs="Times New Roman"/>
          <w:sz w:val="24"/>
          <w:szCs w:val="24"/>
        </w:rPr>
        <w:t xml:space="preserve"> notariacie </w:t>
      </w:r>
      <w:r w:rsidR="00EC139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A4765">
        <w:rPr>
          <w:rFonts w:ascii="Times New Roman" w:hAnsi="Times New Roman" w:cs="Times New Roman"/>
          <w:sz w:val="24"/>
          <w:szCs w:val="24"/>
        </w:rPr>
        <w:t>(Dz. U. z 2017 r.</w:t>
      </w:r>
      <w:r w:rsidR="007E6569">
        <w:rPr>
          <w:rFonts w:ascii="Times New Roman" w:hAnsi="Times New Roman" w:cs="Times New Roman"/>
          <w:sz w:val="24"/>
          <w:szCs w:val="24"/>
        </w:rPr>
        <w:t xml:space="preserve"> </w:t>
      </w:r>
      <w:r w:rsidR="000A4765">
        <w:rPr>
          <w:rFonts w:ascii="Times New Roman" w:hAnsi="Times New Roman" w:cs="Times New Roman"/>
          <w:sz w:val="24"/>
          <w:szCs w:val="24"/>
        </w:rPr>
        <w:t>poz. 2291</w:t>
      </w:r>
      <w:r w:rsidR="00EC1393">
        <w:rPr>
          <w:rFonts w:ascii="Times New Roman" w:hAnsi="Times New Roman" w:cs="Times New Roman"/>
          <w:sz w:val="24"/>
          <w:szCs w:val="24"/>
        </w:rPr>
        <w:t>, z późn. zm.</w:t>
      </w:r>
      <w:r w:rsidR="000A4765">
        <w:rPr>
          <w:rFonts w:ascii="Times New Roman" w:hAnsi="Times New Roman" w:cs="Times New Roman"/>
          <w:sz w:val="24"/>
          <w:szCs w:val="24"/>
        </w:rPr>
        <w:t xml:space="preserve">). </w:t>
      </w:r>
      <w:r w:rsidR="001150CD">
        <w:rPr>
          <w:rFonts w:ascii="Times New Roman" w:hAnsi="Times New Roman" w:cs="Times New Roman"/>
          <w:sz w:val="24"/>
          <w:szCs w:val="24"/>
        </w:rPr>
        <w:t xml:space="preserve"> Projektowana ustawa ma na celu – zdaniem projektodawcy – usunięcie z treści ustawy – Prawo o notariacie </w:t>
      </w:r>
      <w:r w:rsidR="006F6027">
        <w:rPr>
          <w:rFonts w:ascii="Times New Roman" w:hAnsi="Times New Roman" w:cs="Times New Roman"/>
          <w:sz w:val="24"/>
          <w:szCs w:val="24"/>
        </w:rPr>
        <w:t>przepisów o znikomej wartości praktycznej, w zasadzie całkowicie zbytecznych pod względem pra</w:t>
      </w:r>
      <w:r w:rsidR="007804B3">
        <w:rPr>
          <w:rFonts w:ascii="Times New Roman" w:hAnsi="Times New Roman" w:cs="Times New Roman"/>
          <w:sz w:val="24"/>
          <w:szCs w:val="24"/>
        </w:rPr>
        <w:t>wnym wobec powszechnego użycia w</w:t>
      </w:r>
      <w:r w:rsidR="006F6027">
        <w:rPr>
          <w:rFonts w:ascii="Times New Roman" w:hAnsi="Times New Roman" w:cs="Times New Roman"/>
          <w:sz w:val="24"/>
          <w:szCs w:val="24"/>
        </w:rPr>
        <w:t xml:space="preserve"> praktyce innych skuteczni</w:t>
      </w:r>
      <w:r w:rsidR="00D4457C">
        <w:rPr>
          <w:rFonts w:ascii="Times New Roman" w:hAnsi="Times New Roman" w:cs="Times New Roman"/>
          <w:sz w:val="24"/>
          <w:szCs w:val="24"/>
        </w:rPr>
        <w:t>ejszych</w:t>
      </w:r>
      <w:r w:rsidR="008E5DA6">
        <w:rPr>
          <w:rFonts w:ascii="Times New Roman" w:hAnsi="Times New Roman" w:cs="Times New Roman"/>
          <w:sz w:val="24"/>
          <w:szCs w:val="24"/>
        </w:rPr>
        <w:t>,</w:t>
      </w:r>
      <w:r w:rsidR="00D4457C">
        <w:rPr>
          <w:rFonts w:ascii="Times New Roman" w:hAnsi="Times New Roman" w:cs="Times New Roman"/>
          <w:sz w:val="24"/>
          <w:szCs w:val="24"/>
        </w:rPr>
        <w:t xml:space="preserve"> </w:t>
      </w:r>
      <w:r w:rsidR="006F6027">
        <w:rPr>
          <w:rFonts w:ascii="Times New Roman" w:hAnsi="Times New Roman" w:cs="Times New Roman"/>
          <w:sz w:val="24"/>
          <w:szCs w:val="24"/>
        </w:rPr>
        <w:t>altern</w:t>
      </w:r>
      <w:r w:rsidR="007804B3">
        <w:rPr>
          <w:rFonts w:ascii="Times New Roman" w:hAnsi="Times New Roman" w:cs="Times New Roman"/>
          <w:sz w:val="24"/>
          <w:szCs w:val="24"/>
        </w:rPr>
        <w:t xml:space="preserve">atywnych trybów doręczeń </w:t>
      </w:r>
      <w:r w:rsidR="00440A68">
        <w:rPr>
          <w:rFonts w:ascii="Times New Roman" w:hAnsi="Times New Roman" w:cs="Times New Roman"/>
          <w:sz w:val="24"/>
          <w:szCs w:val="24"/>
        </w:rPr>
        <w:t xml:space="preserve">       </w:t>
      </w:r>
      <w:r w:rsidR="007804B3">
        <w:rPr>
          <w:rFonts w:ascii="Times New Roman" w:hAnsi="Times New Roman" w:cs="Times New Roman"/>
          <w:sz w:val="24"/>
          <w:szCs w:val="24"/>
        </w:rPr>
        <w:t>w postę</w:t>
      </w:r>
      <w:r w:rsidR="006F6027">
        <w:rPr>
          <w:rFonts w:ascii="Times New Roman" w:hAnsi="Times New Roman" w:cs="Times New Roman"/>
          <w:sz w:val="24"/>
          <w:szCs w:val="24"/>
        </w:rPr>
        <w:t xml:space="preserve">powaniu cywilnym. </w:t>
      </w:r>
    </w:p>
    <w:p w:rsidR="00A801A6" w:rsidRDefault="009E7F2A" w:rsidP="00C80E5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7F2A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C4378">
        <w:rPr>
          <w:rFonts w:ascii="Times New Roman" w:hAnsi="Times New Roman" w:cs="Times New Roman"/>
          <w:sz w:val="24"/>
          <w:szCs w:val="24"/>
        </w:rPr>
        <w:t>Zgodnie z art. 102 § 1 ustawy – Prawo o notariacie, na żądanie strony notariusz doręcza na piśmie jej oświadczenie, mogące mieć skutki prawne, wskazanej przez nią stronie przeciwnej.</w:t>
      </w:r>
      <w:r w:rsidR="00CC4378">
        <w:rPr>
          <w:rFonts w:ascii="Times New Roman" w:hAnsi="Times New Roman" w:cs="Times New Roman"/>
          <w:sz w:val="24"/>
          <w:szCs w:val="24"/>
        </w:rPr>
        <w:t xml:space="preserve"> </w:t>
      </w:r>
      <w:r w:rsidR="00F12F81" w:rsidRPr="00CC4378">
        <w:rPr>
          <w:rFonts w:ascii="Times New Roman" w:hAnsi="Times New Roman" w:cs="Times New Roman"/>
          <w:sz w:val="24"/>
          <w:szCs w:val="24"/>
        </w:rPr>
        <w:t>Żądający doręczenia wnosi ustnie do protokołu, wręcza lub przesyła notariuszowi podpisaną przez siebie treść oświadczenia (§ 2 ww. artykułu). Doręczenie oświadczenia następuje w miejscu wskazanym, przy odpowiednim zastosowaniu przepisów Kodeksu postępowania cywilnego dotyczących doręczania pism procesowych (zob. art. 102 §</w:t>
      </w:r>
      <w:r w:rsidR="00CC4378" w:rsidRPr="00CC4378">
        <w:rPr>
          <w:rFonts w:ascii="Times New Roman" w:hAnsi="Times New Roman" w:cs="Times New Roman"/>
          <w:sz w:val="24"/>
          <w:szCs w:val="24"/>
        </w:rPr>
        <w:t xml:space="preserve"> 3 ustawy – Prawo o notariacie).</w:t>
      </w:r>
      <w:r w:rsidR="00483F0F">
        <w:rPr>
          <w:rFonts w:ascii="Times New Roman" w:hAnsi="Times New Roman" w:cs="Times New Roman"/>
          <w:sz w:val="24"/>
          <w:szCs w:val="24"/>
        </w:rPr>
        <w:t xml:space="preserve"> </w:t>
      </w:r>
      <w:r w:rsidR="00D4457C">
        <w:rPr>
          <w:rFonts w:ascii="Times New Roman" w:hAnsi="Times New Roman" w:cs="Times New Roman"/>
          <w:sz w:val="24"/>
          <w:szCs w:val="24"/>
        </w:rPr>
        <w:t>Na wyraźne żądanie osoby</w:t>
      </w:r>
      <w:r w:rsidR="00CC4378" w:rsidRPr="00CC4378">
        <w:rPr>
          <w:rFonts w:ascii="Times New Roman" w:hAnsi="Times New Roman" w:cs="Times New Roman"/>
          <w:sz w:val="24"/>
          <w:szCs w:val="24"/>
        </w:rPr>
        <w:t xml:space="preserve"> żą</w:t>
      </w:r>
      <w:r w:rsidR="00D4457C">
        <w:rPr>
          <w:rFonts w:ascii="Times New Roman" w:hAnsi="Times New Roman" w:cs="Times New Roman"/>
          <w:sz w:val="24"/>
          <w:szCs w:val="24"/>
        </w:rPr>
        <w:t>dającej doręczenia oświadczenia</w:t>
      </w:r>
      <w:r w:rsidR="00CC4378" w:rsidRPr="00CC4378">
        <w:rPr>
          <w:rFonts w:ascii="Times New Roman" w:hAnsi="Times New Roman" w:cs="Times New Roman"/>
          <w:sz w:val="24"/>
          <w:szCs w:val="24"/>
        </w:rPr>
        <w:t xml:space="preserve"> notariusz może również dokonać doręczenia listem poleconym. W tym przypadku </w:t>
      </w:r>
      <w:r w:rsidR="00E76BA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CC4378" w:rsidRPr="00CC4378">
        <w:rPr>
          <w:rFonts w:ascii="Times New Roman" w:hAnsi="Times New Roman" w:cs="Times New Roman"/>
          <w:sz w:val="24"/>
          <w:szCs w:val="24"/>
        </w:rPr>
        <w:t>w protokole zamieszcza się treść doręczonego oświadczenia i wzmiankę o przesłaniu go</w:t>
      </w:r>
      <w:r w:rsidR="007D0725">
        <w:rPr>
          <w:rFonts w:ascii="Times New Roman" w:hAnsi="Times New Roman" w:cs="Times New Roman"/>
          <w:sz w:val="24"/>
          <w:szCs w:val="24"/>
        </w:rPr>
        <w:t> </w:t>
      </w:r>
      <w:r w:rsidR="00CC4378" w:rsidRPr="00CC4378">
        <w:rPr>
          <w:rFonts w:ascii="Times New Roman" w:hAnsi="Times New Roman" w:cs="Times New Roman"/>
          <w:sz w:val="24"/>
          <w:szCs w:val="24"/>
        </w:rPr>
        <w:t>listem poleconym (§ 6 ww. artykułu).</w:t>
      </w:r>
      <w:r w:rsidR="00483F0F">
        <w:rPr>
          <w:rFonts w:ascii="Times New Roman" w:hAnsi="Times New Roman" w:cs="Times New Roman"/>
          <w:sz w:val="24"/>
          <w:szCs w:val="24"/>
        </w:rPr>
        <w:t xml:space="preserve"> Nadto, w myśl art. 103 </w:t>
      </w:r>
      <w:r w:rsidR="00483F0F" w:rsidRPr="00CC4378">
        <w:rPr>
          <w:rFonts w:ascii="Times New Roman" w:hAnsi="Times New Roman" w:cs="Times New Roman"/>
          <w:sz w:val="24"/>
          <w:szCs w:val="24"/>
        </w:rPr>
        <w:t xml:space="preserve">ustawy – Prawo </w:t>
      </w:r>
      <w:r w:rsidR="00E76BA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83F0F" w:rsidRPr="00CC4378">
        <w:rPr>
          <w:rFonts w:ascii="Times New Roman" w:hAnsi="Times New Roman" w:cs="Times New Roman"/>
          <w:sz w:val="24"/>
          <w:szCs w:val="24"/>
        </w:rPr>
        <w:t>o notariacie</w:t>
      </w:r>
      <w:r w:rsidR="00483F0F">
        <w:rPr>
          <w:rFonts w:ascii="Times New Roman" w:hAnsi="Times New Roman" w:cs="Times New Roman"/>
          <w:sz w:val="24"/>
          <w:szCs w:val="24"/>
        </w:rPr>
        <w:t xml:space="preserve">, doręczenia notariusz może dokonywać przez zatrudnionych w kancelarii pracowników. </w:t>
      </w:r>
    </w:p>
    <w:p w:rsidR="00282FA1" w:rsidRDefault="005079A2" w:rsidP="00282F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tym</w:t>
      </w:r>
      <w:r w:rsidR="00CD33BD">
        <w:rPr>
          <w:rFonts w:ascii="Times New Roman" w:hAnsi="Times New Roman" w:cs="Times New Roman"/>
          <w:sz w:val="24"/>
          <w:szCs w:val="24"/>
        </w:rPr>
        <w:t xml:space="preserve"> miejscu</w:t>
      </w:r>
      <w:r w:rsidR="00C30C87">
        <w:rPr>
          <w:rFonts w:ascii="Times New Roman" w:hAnsi="Times New Roman" w:cs="Times New Roman"/>
          <w:sz w:val="24"/>
          <w:szCs w:val="24"/>
        </w:rPr>
        <w:t xml:space="preserve"> trzeba jednak zwrócić uwagę na to</w:t>
      </w:r>
      <w:r w:rsidR="0086029E">
        <w:rPr>
          <w:rFonts w:ascii="Times New Roman" w:hAnsi="Times New Roman" w:cs="Times New Roman"/>
          <w:sz w:val="24"/>
          <w:szCs w:val="24"/>
        </w:rPr>
        <w:t xml:space="preserve">, że przepis art. 15 w zw. z art. 16 rozporządzenia nr </w:t>
      </w:r>
      <w:r w:rsidR="00D01503">
        <w:rPr>
          <w:rFonts w:ascii="Times New Roman" w:hAnsi="Times New Roman" w:cs="Times New Roman"/>
          <w:sz w:val="24"/>
          <w:szCs w:val="24"/>
        </w:rPr>
        <w:t>1393/2</w:t>
      </w:r>
      <w:r w:rsidR="003E4975">
        <w:rPr>
          <w:rFonts w:ascii="Times New Roman" w:hAnsi="Times New Roman" w:cs="Times New Roman"/>
          <w:sz w:val="24"/>
          <w:szCs w:val="24"/>
        </w:rPr>
        <w:t>007 Parlamentu Europejskiego i R</w:t>
      </w:r>
      <w:r w:rsidR="00D01503">
        <w:rPr>
          <w:rFonts w:ascii="Times New Roman" w:hAnsi="Times New Roman" w:cs="Times New Roman"/>
          <w:sz w:val="24"/>
          <w:szCs w:val="24"/>
        </w:rPr>
        <w:t xml:space="preserve">ady z dnia 13 listopada 2007 r. dotyczącego doręczania w państwach członkowskich dokumentów sądowych i pozasądowych w sprawach cywilnych i handlowych </w:t>
      </w:r>
      <w:r w:rsidR="0004308D">
        <w:rPr>
          <w:rFonts w:ascii="Times New Roman" w:hAnsi="Times New Roman" w:cs="Times New Roman"/>
          <w:sz w:val="24"/>
          <w:szCs w:val="24"/>
        </w:rPr>
        <w:t xml:space="preserve">(„doręczenie dokumentów”) oraz uchylającego rozporządzenie Rady (WE) </w:t>
      </w:r>
      <w:r w:rsidR="003E4975">
        <w:rPr>
          <w:rFonts w:ascii="Times New Roman" w:hAnsi="Times New Roman" w:cs="Times New Roman"/>
          <w:sz w:val="24"/>
          <w:szCs w:val="24"/>
        </w:rPr>
        <w:t>nr 1348/2000 (Dz. Urz. UE z 10.</w:t>
      </w:r>
      <w:r w:rsidR="0004308D">
        <w:rPr>
          <w:rFonts w:ascii="Times New Roman" w:hAnsi="Times New Roman" w:cs="Times New Roman"/>
          <w:sz w:val="24"/>
          <w:szCs w:val="24"/>
        </w:rPr>
        <w:t xml:space="preserve">12.2007, nr L 324, s. 79-120) </w:t>
      </w:r>
      <w:r w:rsidR="00B754CC">
        <w:rPr>
          <w:rFonts w:ascii="Times New Roman" w:hAnsi="Times New Roman" w:cs="Times New Roman"/>
          <w:sz w:val="24"/>
          <w:szCs w:val="24"/>
        </w:rPr>
        <w:t>przewiduje możliwość dokonywania przez wszystkie osoby mające interes prawn</w:t>
      </w:r>
      <w:r w:rsidR="008F3AC6">
        <w:rPr>
          <w:rFonts w:ascii="Times New Roman" w:hAnsi="Times New Roman" w:cs="Times New Roman"/>
          <w:sz w:val="24"/>
          <w:szCs w:val="24"/>
        </w:rPr>
        <w:t xml:space="preserve">y doręczeń dokumentów sądowych </w:t>
      </w:r>
      <w:r w:rsidR="00B706B3">
        <w:rPr>
          <w:rFonts w:ascii="Times New Roman" w:hAnsi="Times New Roman" w:cs="Times New Roman"/>
          <w:sz w:val="24"/>
          <w:szCs w:val="24"/>
        </w:rPr>
        <w:t>(</w:t>
      </w:r>
      <w:r w:rsidR="008F3AC6">
        <w:rPr>
          <w:rFonts w:ascii="Times New Roman" w:hAnsi="Times New Roman" w:cs="Times New Roman"/>
          <w:sz w:val="24"/>
          <w:szCs w:val="24"/>
        </w:rPr>
        <w:t>i pozasądowych</w:t>
      </w:r>
      <w:r w:rsidR="00B706B3">
        <w:rPr>
          <w:rFonts w:ascii="Times New Roman" w:hAnsi="Times New Roman" w:cs="Times New Roman"/>
          <w:sz w:val="24"/>
          <w:szCs w:val="24"/>
        </w:rPr>
        <w:t>)</w:t>
      </w:r>
      <w:r w:rsidR="008F3AC6">
        <w:rPr>
          <w:rFonts w:ascii="Times New Roman" w:hAnsi="Times New Roman" w:cs="Times New Roman"/>
          <w:sz w:val="24"/>
          <w:szCs w:val="24"/>
        </w:rPr>
        <w:t xml:space="preserve"> bezpośrednio przez właściwe osoby w państwie członkowskim, jeżeli prawo tego państwa zezwala na tego typu bezpo</w:t>
      </w:r>
      <w:r w:rsidR="00440A68">
        <w:rPr>
          <w:rFonts w:ascii="Times New Roman" w:hAnsi="Times New Roman" w:cs="Times New Roman"/>
          <w:sz w:val="24"/>
          <w:szCs w:val="24"/>
        </w:rPr>
        <w:t xml:space="preserve">średni sposób doręczania. </w:t>
      </w:r>
      <w:r>
        <w:rPr>
          <w:rFonts w:ascii="Times New Roman" w:hAnsi="Times New Roman" w:cs="Times New Roman"/>
          <w:sz w:val="24"/>
          <w:szCs w:val="24"/>
        </w:rPr>
        <w:t>W świetle brzmienia tyc</w:t>
      </w:r>
      <w:r w:rsidR="00B706B3">
        <w:rPr>
          <w:rFonts w:ascii="Times New Roman" w:hAnsi="Times New Roman" w:cs="Times New Roman"/>
          <w:sz w:val="24"/>
          <w:szCs w:val="24"/>
        </w:rPr>
        <w:t>h przepisów dalsze istnienie</w:t>
      </w:r>
      <w:r>
        <w:rPr>
          <w:rFonts w:ascii="Times New Roman" w:hAnsi="Times New Roman" w:cs="Times New Roman"/>
          <w:sz w:val="24"/>
          <w:szCs w:val="24"/>
        </w:rPr>
        <w:t xml:space="preserve"> w polskim systemie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prawnym instytucji doręczenia notarialnego unormowanego w art. 102 i art. 103 </w:t>
      </w:r>
      <w:r w:rsidR="00826CF8">
        <w:rPr>
          <w:rFonts w:ascii="Times New Roman" w:hAnsi="Times New Roman" w:cs="Times New Roman"/>
          <w:sz w:val="24"/>
          <w:szCs w:val="24"/>
        </w:rPr>
        <w:t>ust</w:t>
      </w:r>
      <w:r w:rsidR="008E5DA6">
        <w:rPr>
          <w:rFonts w:ascii="Times New Roman" w:hAnsi="Times New Roman" w:cs="Times New Roman"/>
          <w:sz w:val="24"/>
          <w:szCs w:val="24"/>
        </w:rPr>
        <w:t xml:space="preserve">awy – Prawo o notariacie może </w:t>
      </w:r>
      <w:r w:rsidR="00826CF8">
        <w:rPr>
          <w:rFonts w:ascii="Times New Roman" w:hAnsi="Times New Roman" w:cs="Times New Roman"/>
          <w:sz w:val="24"/>
          <w:szCs w:val="24"/>
        </w:rPr>
        <w:t xml:space="preserve">prowadzić do niewłaściwej interpretacji zakresu funkcji polskiego notariusza. </w:t>
      </w:r>
      <w:r w:rsidR="00B706B3">
        <w:rPr>
          <w:rFonts w:ascii="Times New Roman" w:hAnsi="Times New Roman" w:cs="Times New Roman"/>
          <w:sz w:val="24"/>
          <w:szCs w:val="24"/>
        </w:rPr>
        <w:t>Taka sytuacja może wprowadza</w:t>
      </w:r>
      <w:r w:rsidR="009C3FE0">
        <w:rPr>
          <w:rFonts w:ascii="Times New Roman" w:hAnsi="Times New Roman" w:cs="Times New Roman"/>
          <w:sz w:val="24"/>
          <w:szCs w:val="24"/>
        </w:rPr>
        <w:t xml:space="preserve">ć w błąd zarówno obywateli polskich, jak i organy zagraniczne, co do rzeczywistego charakteru doręczenia dokonywanego przez notariusza. </w:t>
      </w:r>
    </w:p>
    <w:p w:rsidR="009C3FE0" w:rsidRPr="00C708AE" w:rsidRDefault="009C3FE0" w:rsidP="00282FA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3FE0"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Kolejno należy podkreślić, że </w:t>
      </w:r>
      <w:r w:rsidR="001B5FB3">
        <w:rPr>
          <w:rFonts w:ascii="Times New Roman" w:hAnsi="Times New Roman" w:cs="Times New Roman"/>
          <w:sz w:val="24"/>
          <w:szCs w:val="24"/>
        </w:rPr>
        <w:t xml:space="preserve">instytucja doręczenia notarialnego znajduje nikłe zastosowanie w praktyce. </w:t>
      </w:r>
      <w:r w:rsidR="000A5D6D">
        <w:rPr>
          <w:rFonts w:ascii="Times New Roman" w:hAnsi="Times New Roman" w:cs="Times New Roman"/>
          <w:sz w:val="24"/>
          <w:szCs w:val="24"/>
        </w:rPr>
        <w:t>Tytułem przykładu w</w:t>
      </w:r>
      <w:r w:rsidR="00FE2437">
        <w:rPr>
          <w:rFonts w:ascii="Times New Roman" w:hAnsi="Times New Roman" w:cs="Times New Roman"/>
          <w:sz w:val="24"/>
          <w:szCs w:val="24"/>
        </w:rPr>
        <w:t xml:space="preserve"> 2017 r. w skali całego kraju doko</w:t>
      </w:r>
      <w:r w:rsidR="000A5D6D">
        <w:rPr>
          <w:rFonts w:ascii="Times New Roman" w:hAnsi="Times New Roman" w:cs="Times New Roman"/>
          <w:sz w:val="24"/>
          <w:szCs w:val="24"/>
        </w:rPr>
        <w:t>nano zaledwie 157 doręczeń oś</w:t>
      </w:r>
      <w:r w:rsidR="00FB55F0">
        <w:rPr>
          <w:rFonts w:ascii="Times New Roman" w:hAnsi="Times New Roman" w:cs="Times New Roman"/>
          <w:sz w:val="24"/>
          <w:szCs w:val="24"/>
        </w:rPr>
        <w:t>wiadczeń</w:t>
      </w:r>
      <w:r w:rsidR="006C6A31">
        <w:rPr>
          <w:rFonts w:ascii="Times New Roman" w:hAnsi="Times New Roman" w:cs="Times New Roman"/>
          <w:sz w:val="24"/>
          <w:szCs w:val="24"/>
        </w:rPr>
        <w:t xml:space="preserve"> przez notariuszy</w:t>
      </w:r>
      <w:r w:rsidR="008E5DA6">
        <w:rPr>
          <w:rFonts w:ascii="Times New Roman" w:hAnsi="Times New Roman" w:cs="Times New Roman"/>
          <w:sz w:val="24"/>
          <w:szCs w:val="24"/>
        </w:rPr>
        <w:t xml:space="preserve">. </w:t>
      </w:r>
      <w:r w:rsidR="00B06F4B">
        <w:rPr>
          <w:rFonts w:ascii="Times New Roman" w:hAnsi="Times New Roman" w:cs="Times New Roman"/>
          <w:sz w:val="24"/>
          <w:szCs w:val="24"/>
        </w:rPr>
        <w:t>Tym samym</w:t>
      </w:r>
      <w:r w:rsidR="0001468C">
        <w:rPr>
          <w:rFonts w:ascii="Times New Roman" w:hAnsi="Times New Roman" w:cs="Times New Roman"/>
          <w:sz w:val="24"/>
          <w:szCs w:val="24"/>
        </w:rPr>
        <w:t xml:space="preserve"> ewentualne wyeliminowanie z porządku pra</w:t>
      </w:r>
      <w:r w:rsidR="001E10C2">
        <w:rPr>
          <w:rFonts w:ascii="Times New Roman" w:hAnsi="Times New Roman" w:cs="Times New Roman"/>
          <w:sz w:val="24"/>
          <w:szCs w:val="24"/>
        </w:rPr>
        <w:t>w</w:t>
      </w:r>
      <w:r w:rsidR="0001468C">
        <w:rPr>
          <w:rFonts w:ascii="Times New Roman" w:hAnsi="Times New Roman" w:cs="Times New Roman"/>
          <w:sz w:val="24"/>
          <w:szCs w:val="24"/>
        </w:rPr>
        <w:t>nego</w:t>
      </w:r>
      <w:r w:rsidR="00B06F4B">
        <w:rPr>
          <w:rFonts w:ascii="Times New Roman" w:hAnsi="Times New Roman" w:cs="Times New Roman"/>
          <w:sz w:val="24"/>
          <w:szCs w:val="24"/>
        </w:rPr>
        <w:t xml:space="preserve"> tej instytucji</w:t>
      </w:r>
      <w:r w:rsidR="0001468C">
        <w:rPr>
          <w:rFonts w:ascii="Times New Roman" w:hAnsi="Times New Roman" w:cs="Times New Roman"/>
          <w:sz w:val="24"/>
          <w:szCs w:val="24"/>
        </w:rPr>
        <w:t xml:space="preserve"> będzie </w:t>
      </w:r>
      <w:r w:rsidR="00B06F4B">
        <w:rPr>
          <w:rFonts w:ascii="Times New Roman" w:hAnsi="Times New Roman" w:cs="Times New Roman"/>
          <w:sz w:val="24"/>
          <w:szCs w:val="24"/>
        </w:rPr>
        <w:t>miało</w:t>
      </w:r>
      <w:r w:rsidR="001E10C2">
        <w:rPr>
          <w:rFonts w:ascii="Times New Roman" w:hAnsi="Times New Roman" w:cs="Times New Roman"/>
          <w:sz w:val="24"/>
          <w:szCs w:val="24"/>
        </w:rPr>
        <w:t xml:space="preserve"> minimalny </w:t>
      </w:r>
      <w:r w:rsidR="0001468C">
        <w:rPr>
          <w:rFonts w:ascii="Times New Roman" w:hAnsi="Times New Roman" w:cs="Times New Roman"/>
          <w:sz w:val="24"/>
          <w:szCs w:val="24"/>
        </w:rPr>
        <w:t xml:space="preserve">wpływ na notariuszy, obywateli, jak i na gospodarkę. </w:t>
      </w:r>
    </w:p>
    <w:p w:rsidR="00CF1D98" w:rsidRDefault="007B7C13" w:rsidP="009C3FE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B7C13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6B44A9">
        <w:rPr>
          <w:rFonts w:ascii="Times New Roman" w:hAnsi="Times New Roman" w:cs="Times New Roman"/>
          <w:sz w:val="24"/>
          <w:szCs w:val="24"/>
        </w:rPr>
        <w:t>W związku z proponowanym uchyleniem art. 102</w:t>
      </w:r>
      <w:r w:rsidR="00A173A6">
        <w:rPr>
          <w:rFonts w:ascii="Times New Roman" w:hAnsi="Times New Roman" w:cs="Times New Roman"/>
          <w:sz w:val="24"/>
          <w:szCs w:val="24"/>
        </w:rPr>
        <w:t xml:space="preserve"> </w:t>
      </w:r>
      <w:r w:rsidR="006B44A9">
        <w:rPr>
          <w:rFonts w:ascii="Times New Roman" w:hAnsi="Times New Roman" w:cs="Times New Roman"/>
          <w:sz w:val="24"/>
          <w:szCs w:val="24"/>
        </w:rPr>
        <w:t>i art. 103 ustawy – Prawo                       o notariacie p</w:t>
      </w:r>
      <w:r>
        <w:rPr>
          <w:rFonts w:ascii="Times New Roman" w:hAnsi="Times New Roman" w:cs="Times New Roman"/>
          <w:sz w:val="24"/>
          <w:szCs w:val="24"/>
        </w:rPr>
        <w:t xml:space="preserve">rojekt ustawy należałoby uzupełnić o zmianę art. 79 </w:t>
      </w:r>
      <w:r w:rsidR="005F101F">
        <w:rPr>
          <w:rFonts w:ascii="Times New Roman" w:hAnsi="Times New Roman" w:cs="Times New Roman"/>
          <w:sz w:val="24"/>
          <w:szCs w:val="24"/>
        </w:rPr>
        <w:t xml:space="preserve">ww. </w:t>
      </w:r>
      <w:r w:rsidR="00B06F4B">
        <w:rPr>
          <w:rFonts w:ascii="Times New Roman" w:hAnsi="Times New Roman" w:cs="Times New Roman"/>
          <w:sz w:val="24"/>
          <w:szCs w:val="24"/>
        </w:rPr>
        <w:t>ustawy</w:t>
      </w:r>
      <w:r>
        <w:rPr>
          <w:rFonts w:ascii="Times New Roman" w:hAnsi="Times New Roman" w:cs="Times New Roman"/>
          <w:sz w:val="24"/>
          <w:szCs w:val="24"/>
        </w:rPr>
        <w:t xml:space="preserve"> polegającą </w:t>
      </w:r>
      <w:r w:rsidR="00A04095">
        <w:rPr>
          <w:rFonts w:ascii="Times New Roman" w:hAnsi="Times New Roman" w:cs="Times New Roman"/>
          <w:sz w:val="24"/>
          <w:szCs w:val="24"/>
        </w:rPr>
        <w:t>na uchyleniu jego pkt 3, zgodnie z którym n</w:t>
      </w:r>
      <w:r w:rsidR="00A04095" w:rsidRPr="00A04095">
        <w:rPr>
          <w:rFonts w:ascii="Times New Roman" w:hAnsi="Times New Roman" w:cs="Times New Roman"/>
          <w:sz w:val="24"/>
          <w:szCs w:val="24"/>
        </w:rPr>
        <w:t>otariusz dokonuje</w:t>
      </w:r>
      <w:r w:rsidR="00D202A0">
        <w:rPr>
          <w:rFonts w:ascii="Times New Roman" w:hAnsi="Times New Roman" w:cs="Times New Roman"/>
          <w:sz w:val="24"/>
          <w:szCs w:val="24"/>
        </w:rPr>
        <w:t xml:space="preserve"> doręczeń oświadczeń.</w:t>
      </w:r>
      <w:r w:rsidR="00B96B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44A9" w:rsidRPr="00CF1D98" w:rsidRDefault="006B44A9" w:rsidP="009C3FE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594D" w:rsidRPr="00B3594D" w:rsidRDefault="00B3594D" w:rsidP="00A801A6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Konkludując,</w:t>
      </w:r>
      <w:r w:rsidR="00B07414">
        <w:rPr>
          <w:rFonts w:ascii="Times New Roman" w:hAnsi="Times New Roman" w:cs="Times New Roman"/>
          <w:sz w:val="24"/>
          <w:szCs w:val="24"/>
        </w:rPr>
        <w:t xml:space="preserve"> </w:t>
      </w:r>
      <w:r w:rsidR="00A173A6">
        <w:rPr>
          <w:rFonts w:ascii="Times New Roman" w:hAnsi="Times New Roman" w:cs="Times New Roman"/>
          <w:sz w:val="24"/>
          <w:szCs w:val="24"/>
        </w:rPr>
        <w:t>z powyższym zastrzeżeniem,</w:t>
      </w:r>
      <w:r>
        <w:rPr>
          <w:rFonts w:ascii="Times New Roman" w:hAnsi="Times New Roman" w:cs="Times New Roman"/>
          <w:sz w:val="24"/>
          <w:szCs w:val="24"/>
        </w:rPr>
        <w:t xml:space="preserve"> Rada Ministrów </w:t>
      </w:r>
      <w:r w:rsidR="00E959C6">
        <w:rPr>
          <w:rFonts w:ascii="Times New Roman" w:hAnsi="Times New Roman" w:cs="Times New Roman"/>
          <w:sz w:val="24"/>
          <w:szCs w:val="24"/>
        </w:rPr>
        <w:t xml:space="preserve">pozytywnie </w:t>
      </w:r>
      <w:r w:rsidR="006B6455">
        <w:rPr>
          <w:rFonts w:ascii="Times New Roman" w:hAnsi="Times New Roman" w:cs="Times New Roman"/>
          <w:sz w:val="24"/>
          <w:szCs w:val="24"/>
        </w:rPr>
        <w:t>opiniuje projektowaną ustawę</w:t>
      </w:r>
      <w:r w:rsidR="00A173A6">
        <w:rPr>
          <w:rFonts w:ascii="Times New Roman" w:hAnsi="Times New Roman" w:cs="Times New Roman"/>
          <w:sz w:val="24"/>
          <w:szCs w:val="24"/>
        </w:rPr>
        <w:t xml:space="preserve"> i </w:t>
      </w:r>
      <w:r w:rsidR="00513B36">
        <w:rPr>
          <w:rFonts w:ascii="Times New Roman" w:hAnsi="Times New Roman" w:cs="Times New Roman"/>
          <w:sz w:val="24"/>
          <w:szCs w:val="24"/>
        </w:rPr>
        <w:t>opowiada się za skierowaniem jej</w:t>
      </w:r>
      <w:r w:rsidR="00B44038">
        <w:rPr>
          <w:rFonts w:ascii="Times New Roman" w:hAnsi="Times New Roman" w:cs="Times New Roman"/>
          <w:sz w:val="24"/>
          <w:szCs w:val="24"/>
        </w:rPr>
        <w:t xml:space="preserve"> do dalszych prac legislacyjnych</w:t>
      </w:r>
      <w:r w:rsidR="00E959C6">
        <w:rPr>
          <w:rFonts w:ascii="Times New Roman" w:hAnsi="Times New Roman" w:cs="Times New Roman"/>
          <w:sz w:val="24"/>
          <w:szCs w:val="24"/>
        </w:rPr>
        <w:t xml:space="preserve">.  </w:t>
      </w:r>
    </w:p>
    <w:sectPr w:rsidR="00B3594D" w:rsidRPr="00B3594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569" w:rsidRDefault="007E6569" w:rsidP="007E6569">
      <w:pPr>
        <w:spacing w:after="0" w:line="240" w:lineRule="auto"/>
      </w:pPr>
      <w:r>
        <w:separator/>
      </w:r>
    </w:p>
  </w:endnote>
  <w:endnote w:type="continuationSeparator" w:id="0">
    <w:p w:rsidR="007E6569" w:rsidRDefault="007E6569" w:rsidP="007E6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7970426"/>
      <w:docPartObj>
        <w:docPartGallery w:val="Page Numbers (Bottom of Page)"/>
        <w:docPartUnique/>
      </w:docPartObj>
    </w:sdtPr>
    <w:sdtEndPr/>
    <w:sdtContent>
      <w:p w:rsidR="007E6569" w:rsidRDefault="007E656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F13">
          <w:rPr>
            <w:noProof/>
          </w:rPr>
          <w:t>1</w:t>
        </w:r>
        <w:r>
          <w:fldChar w:fldCharType="end"/>
        </w:r>
      </w:p>
    </w:sdtContent>
  </w:sdt>
  <w:p w:rsidR="007E6569" w:rsidRDefault="007E65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569" w:rsidRDefault="007E6569" w:rsidP="007E6569">
      <w:pPr>
        <w:spacing w:after="0" w:line="240" w:lineRule="auto"/>
      </w:pPr>
      <w:r>
        <w:separator/>
      </w:r>
    </w:p>
  </w:footnote>
  <w:footnote w:type="continuationSeparator" w:id="0">
    <w:p w:rsidR="007E6569" w:rsidRDefault="007E6569" w:rsidP="007E65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C9D"/>
    <w:rsid w:val="0001468C"/>
    <w:rsid w:val="00015226"/>
    <w:rsid w:val="000174BC"/>
    <w:rsid w:val="00023070"/>
    <w:rsid w:val="00027202"/>
    <w:rsid w:val="00033227"/>
    <w:rsid w:val="0004308D"/>
    <w:rsid w:val="000722C2"/>
    <w:rsid w:val="0009463B"/>
    <w:rsid w:val="00095130"/>
    <w:rsid w:val="00095A69"/>
    <w:rsid w:val="000A4765"/>
    <w:rsid w:val="000A5D6D"/>
    <w:rsid w:val="000B2E70"/>
    <w:rsid w:val="000B6B9E"/>
    <w:rsid w:val="000C6027"/>
    <w:rsid w:val="000E40F8"/>
    <w:rsid w:val="000F7987"/>
    <w:rsid w:val="0011210D"/>
    <w:rsid w:val="001150CD"/>
    <w:rsid w:val="001237E3"/>
    <w:rsid w:val="0016596D"/>
    <w:rsid w:val="00173AFE"/>
    <w:rsid w:val="001B4AF2"/>
    <w:rsid w:val="001B5FB3"/>
    <w:rsid w:val="001D2828"/>
    <w:rsid w:val="001D4D12"/>
    <w:rsid w:val="001E10C2"/>
    <w:rsid w:val="001E1BF3"/>
    <w:rsid w:val="001F1363"/>
    <w:rsid w:val="00227A0C"/>
    <w:rsid w:val="00234E99"/>
    <w:rsid w:val="002477EE"/>
    <w:rsid w:val="002500EE"/>
    <w:rsid w:val="00257DD0"/>
    <w:rsid w:val="00277AB1"/>
    <w:rsid w:val="00282FA1"/>
    <w:rsid w:val="002C29A2"/>
    <w:rsid w:val="003053A4"/>
    <w:rsid w:val="00314EFA"/>
    <w:rsid w:val="00324E99"/>
    <w:rsid w:val="003C11E2"/>
    <w:rsid w:val="003E4975"/>
    <w:rsid w:val="003E59C0"/>
    <w:rsid w:val="003F5280"/>
    <w:rsid w:val="004055D4"/>
    <w:rsid w:val="00414AF2"/>
    <w:rsid w:val="00415EB9"/>
    <w:rsid w:val="00423FDD"/>
    <w:rsid w:val="00427C2A"/>
    <w:rsid w:val="00440A68"/>
    <w:rsid w:val="00446119"/>
    <w:rsid w:val="00483F0F"/>
    <w:rsid w:val="004B3C4E"/>
    <w:rsid w:val="004E09AB"/>
    <w:rsid w:val="004E614C"/>
    <w:rsid w:val="005079A2"/>
    <w:rsid w:val="00513B36"/>
    <w:rsid w:val="005174A6"/>
    <w:rsid w:val="005279D9"/>
    <w:rsid w:val="00561074"/>
    <w:rsid w:val="00562738"/>
    <w:rsid w:val="00563F48"/>
    <w:rsid w:val="00563FBB"/>
    <w:rsid w:val="00593D6E"/>
    <w:rsid w:val="00597FF0"/>
    <w:rsid w:val="005C509B"/>
    <w:rsid w:val="005D0507"/>
    <w:rsid w:val="005D36EB"/>
    <w:rsid w:val="005D5E06"/>
    <w:rsid w:val="005E13E6"/>
    <w:rsid w:val="005F101F"/>
    <w:rsid w:val="00621E7E"/>
    <w:rsid w:val="006252B8"/>
    <w:rsid w:val="006413C9"/>
    <w:rsid w:val="006674C3"/>
    <w:rsid w:val="0067592B"/>
    <w:rsid w:val="00677ADE"/>
    <w:rsid w:val="00697973"/>
    <w:rsid w:val="006A57E2"/>
    <w:rsid w:val="006B0F13"/>
    <w:rsid w:val="006B44A9"/>
    <w:rsid w:val="006B52B7"/>
    <w:rsid w:val="006B6455"/>
    <w:rsid w:val="006B7107"/>
    <w:rsid w:val="006C3460"/>
    <w:rsid w:val="006C38BD"/>
    <w:rsid w:val="006C6A31"/>
    <w:rsid w:val="006E07C7"/>
    <w:rsid w:val="006F6027"/>
    <w:rsid w:val="006F687E"/>
    <w:rsid w:val="007039C2"/>
    <w:rsid w:val="0070596C"/>
    <w:rsid w:val="0071327D"/>
    <w:rsid w:val="00730BC1"/>
    <w:rsid w:val="007407FA"/>
    <w:rsid w:val="00764E89"/>
    <w:rsid w:val="0077489C"/>
    <w:rsid w:val="007804B3"/>
    <w:rsid w:val="00785876"/>
    <w:rsid w:val="00797461"/>
    <w:rsid w:val="007B7C13"/>
    <w:rsid w:val="007D0725"/>
    <w:rsid w:val="007D647A"/>
    <w:rsid w:val="007E6569"/>
    <w:rsid w:val="00826CF8"/>
    <w:rsid w:val="008338DC"/>
    <w:rsid w:val="0083588A"/>
    <w:rsid w:val="00852655"/>
    <w:rsid w:val="0086029E"/>
    <w:rsid w:val="00863D26"/>
    <w:rsid w:val="00867526"/>
    <w:rsid w:val="00880F7D"/>
    <w:rsid w:val="00886E9E"/>
    <w:rsid w:val="00887334"/>
    <w:rsid w:val="008E5DA6"/>
    <w:rsid w:val="008F3AC6"/>
    <w:rsid w:val="009077D5"/>
    <w:rsid w:val="0092254F"/>
    <w:rsid w:val="00993BCF"/>
    <w:rsid w:val="0099600C"/>
    <w:rsid w:val="009A32C6"/>
    <w:rsid w:val="009C3FE0"/>
    <w:rsid w:val="009C5C9D"/>
    <w:rsid w:val="009E4A38"/>
    <w:rsid w:val="009E7F2A"/>
    <w:rsid w:val="00A04095"/>
    <w:rsid w:val="00A119C5"/>
    <w:rsid w:val="00A173A6"/>
    <w:rsid w:val="00A258C6"/>
    <w:rsid w:val="00A700E9"/>
    <w:rsid w:val="00A760DC"/>
    <w:rsid w:val="00A801A6"/>
    <w:rsid w:val="00A8281C"/>
    <w:rsid w:val="00A855E7"/>
    <w:rsid w:val="00A95524"/>
    <w:rsid w:val="00A96667"/>
    <w:rsid w:val="00AA3002"/>
    <w:rsid w:val="00AA7385"/>
    <w:rsid w:val="00AE5609"/>
    <w:rsid w:val="00AF4C3A"/>
    <w:rsid w:val="00B06F4B"/>
    <w:rsid w:val="00B07414"/>
    <w:rsid w:val="00B14A0F"/>
    <w:rsid w:val="00B17527"/>
    <w:rsid w:val="00B23422"/>
    <w:rsid w:val="00B3490A"/>
    <w:rsid w:val="00B3594D"/>
    <w:rsid w:val="00B44038"/>
    <w:rsid w:val="00B706B3"/>
    <w:rsid w:val="00B754CC"/>
    <w:rsid w:val="00B77A00"/>
    <w:rsid w:val="00B96BD4"/>
    <w:rsid w:val="00BB08E5"/>
    <w:rsid w:val="00BC12D4"/>
    <w:rsid w:val="00BC5D25"/>
    <w:rsid w:val="00BD65FD"/>
    <w:rsid w:val="00BE1608"/>
    <w:rsid w:val="00BF2E49"/>
    <w:rsid w:val="00C30C87"/>
    <w:rsid w:val="00C4043D"/>
    <w:rsid w:val="00C44F4A"/>
    <w:rsid w:val="00C708AE"/>
    <w:rsid w:val="00C80E57"/>
    <w:rsid w:val="00CB5D85"/>
    <w:rsid w:val="00CC29E3"/>
    <w:rsid w:val="00CC40B3"/>
    <w:rsid w:val="00CC4378"/>
    <w:rsid w:val="00CD33BD"/>
    <w:rsid w:val="00CF1D98"/>
    <w:rsid w:val="00CF24E2"/>
    <w:rsid w:val="00D01503"/>
    <w:rsid w:val="00D02619"/>
    <w:rsid w:val="00D02D17"/>
    <w:rsid w:val="00D130DC"/>
    <w:rsid w:val="00D202A0"/>
    <w:rsid w:val="00D24A8A"/>
    <w:rsid w:val="00D4457C"/>
    <w:rsid w:val="00D60822"/>
    <w:rsid w:val="00D72C42"/>
    <w:rsid w:val="00D87F0B"/>
    <w:rsid w:val="00DB6DBF"/>
    <w:rsid w:val="00DC531B"/>
    <w:rsid w:val="00DF1002"/>
    <w:rsid w:val="00E06553"/>
    <w:rsid w:val="00E7077B"/>
    <w:rsid w:val="00E76BA1"/>
    <w:rsid w:val="00E87C39"/>
    <w:rsid w:val="00E9189B"/>
    <w:rsid w:val="00E959C6"/>
    <w:rsid w:val="00EC1393"/>
    <w:rsid w:val="00EC3634"/>
    <w:rsid w:val="00EC48EC"/>
    <w:rsid w:val="00F12F81"/>
    <w:rsid w:val="00F15601"/>
    <w:rsid w:val="00F25491"/>
    <w:rsid w:val="00F50192"/>
    <w:rsid w:val="00F54B3F"/>
    <w:rsid w:val="00F54C03"/>
    <w:rsid w:val="00F65104"/>
    <w:rsid w:val="00F8077E"/>
    <w:rsid w:val="00FB55F0"/>
    <w:rsid w:val="00FE2437"/>
    <w:rsid w:val="00FE672D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4DB611-E91E-461A-8AAF-A888C1463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E6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6569"/>
  </w:style>
  <w:style w:type="paragraph" w:styleId="Stopka">
    <w:name w:val="footer"/>
    <w:basedOn w:val="Normalny"/>
    <w:link w:val="StopkaZnak"/>
    <w:uiPriority w:val="99"/>
    <w:unhideWhenUsed/>
    <w:rsid w:val="007E65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6569"/>
  </w:style>
  <w:style w:type="paragraph" w:styleId="Tekstdymka">
    <w:name w:val="Balloon Text"/>
    <w:basedOn w:val="Normalny"/>
    <w:link w:val="TekstdymkaZnak"/>
    <w:uiPriority w:val="99"/>
    <w:semiHidden/>
    <w:unhideWhenUsed/>
    <w:rsid w:val="00B06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F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FB9E1-AEDA-463E-A204-00D8DA905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Kaczocha Mateusz</dc:creator>
  <cp:lastModifiedBy>Grażyna D. Grabowska</cp:lastModifiedBy>
  <cp:revision>2</cp:revision>
  <cp:lastPrinted>2018-05-17T11:32:00Z</cp:lastPrinted>
  <dcterms:created xsi:type="dcterms:W3CDTF">2018-07-03T06:59:00Z</dcterms:created>
  <dcterms:modified xsi:type="dcterms:W3CDTF">2018-07-03T06:59:00Z</dcterms:modified>
</cp:coreProperties>
</file>