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0D7" w:rsidRPr="002A3811" w:rsidRDefault="002A3811" w:rsidP="002F50D7">
      <w:pPr>
        <w:pStyle w:val="Bezodstpw"/>
        <w:jc w:val="right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  <w:r w:rsidRPr="002A3811">
        <w:rPr>
          <w:rFonts w:ascii="Times New Roman" w:hAnsi="Times New Roman"/>
          <w:i/>
          <w:sz w:val="24"/>
          <w:szCs w:val="24"/>
        </w:rPr>
        <w:t xml:space="preserve">Projekt </w:t>
      </w:r>
    </w:p>
    <w:p w:rsidR="002F50D7" w:rsidRDefault="002F50D7" w:rsidP="002F50D7">
      <w:pPr>
        <w:pStyle w:val="Bezodstpw"/>
        <w:jc w:val="center"/>
        <w:rPr>
          <w:rFonts w:ascii="Times New Roman" w:hAnsi="Times New Roman"/>
          <w:sz w:val="24"/>
          <w:szCs w:val="24"/>
        </w:rPr>
      </w:pPr>
    </w:p>
    <w:p w:rsidR="002A3811" w:rsidRDefault="002F50D7" w:rsidP="002F50D7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C97908">
        <w:rPr>
          <w:rFonts w:ascii="Times New Roman" w:hAnsi="Times New Roman"/>
          <w:b/>
          <w:sz w:val="24"/>
          <w:szCs w:val="24"/>
        </w:rPr>
        <w:t xml:space="preserve">Ustawa </w:t>
      </w:r>
    </w:p>
    <w:p w:rsidR="002F50D7" w:rsidRPr="00C97908" w:rsidRDefault="002F50D7" w:rsidP="002F50D7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C97908">
        <w:rPr>
          <w:rFonts w:ascii="Times New Roman" w:hAnsi="Times New Roman"/>
          <w:b/>
          <w:sz w:val="24"/>
          <w:szCs w:val="24"/>
        </w:rPr>
        <w:t>z dnia …</w:t>
      </w:r>
      <w:r w:rsidR="002A3811">
        <w:rPr>
          <w:rFonts w:ascii="Times New Roman" w:hAnsi="Times New Roman"/>
          <w:b/>
          <w:sz w:val="24"/>
          <w:szCs w:val="24"/>
        </w:rPr>
        <w:t xml:space="preserve"> 2018 r.</w:t>
      </w:r>
    </w:p>
    <w:p w:rsidR="002F50D7" w:rsidRPr="00C97908" w:rsidRDefault="002F50D7" w:rsidP="002F50D7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C97908">
        <w:rPr>
          <w:rFonts w:ascii="Times New Roman" w:hAnsi="Times New Roman"/>
          <w:b/>
          <w:sz w:val="24"/>
          <w:szCs w:val="24"/>
        </w:rPr>
        <w:t>o zmianie ustawy z dnia 14 lutego 1991 r. Prawo o notariacie</w:t>
      </w:r>
    </w:p>
    <w:p w:rsidR="002F50D7" w:rsidRPr="00C97908" w:rsidRDefault="002F50D7" w:rsidP="002F50D7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C97908">
        <w:rPr>
          <w:rFonts w:ascii="Times New Roman" w:hAnsi="Times New Roman"/>
          <w:b/>
          <w:sz w:val="24"/>
          <w:szCs w:val="24"/>
        </w:rPr>
        <w:t>(</w:t>
      </w:r>
      <w:r w:rsidR="00C97908">
        <w:rPr>
          <w:rFonts w:ascii="Times New Roman" w:hAnsi="Times New Roman"/>
          <w:b/>
          <w:sz w:val="24"/>
          <w:szCs w:val="24"/>
        </w:rPr>
        <w:t>t</w:t>
      </w:r>
      <w:r w:rsidRPr="00C97908">
        <w:rPr>
          <w:rFonts w:ascii="Times New Roman" w:hAnsi="Times New Roman"/>
          <w:b/>
          <w:sz w:val="24"/>
          <w:szCs w:val="24"/>
        </w:rPr>
        <w:t xml:space="preserve">ekst jedn. </w:t>
      </w:r>
      <w:hyperlink r:id="rId5" w:history="1">
        <w:r w:rsidRPr="00C97908">
          <w:rPr>
            <w:rStyle w:val="Hipercze"/>
            <w:rFonts w:ascii="Times New Roman" w:hAnsi="Times New Roman"/>
            <w:b/>
            <w:color w:val="auto"/>
            <w:sz w:val="24"/>
            <w:szCs w:val="24"/>
          </w:rPr>
          <w:t>Dz.U. 2016, poz. 1796</w:t>
        </w:r>
      </w:hyperlink>
      <w:r w:rsidRPr="00C97908">
        <w:rPr>
          <w:rFonts w:ascii="Times New Roman" w:hAnsi="Times New Roman"/>
          <w:b/>
          <w:sz w:val="24"/>
          <w:szCs w:val="24"/>
        </w:rPr>
        <w:t>)</w:t>
      </w:r>
    </w:p>
    <w:p w:rsidR="003B0AE6" w:rsidRDefault="003B0AE6" w:rsidP="002F50D7">
      <w:pPr>
        <w:pStyle w:val="Bezodstpw"/>
        <w:jc w:val="center"/>
        <w:rPr>
          <w:rFonts w:ascii="Times New Roman" w:hAnsi="Times New Roman"/>
          <w:sz w:val="24"/>
          <w:szCs w:val="24"/>
        </w:rPr>
      </w:pPr>
    </w:p>
    <w:p w:rsidR="00637017" w:rsidRPr="002F50D7" w:rsidRDefault="00637017" w:rsidP="002F50D7">
      <w:pPr>
        <w:pStyle w:val="Bezodstpw"/>
        <w:jc w:val="center"/>
        <w:rPr>
          <w:rFonts w:ascii="Times New Roman" w:hAnsi="Times New Roman"/>
          <w:sz w:val="24"/>
          <w:szCs w:val="24"/>
        </w:rPr>
      </w:pPr>
    </w:p>
    <w:p w:rsidR="002F50D7" w:rsidRPr="00637017" w:rsidRDefault="002F50D7" w:rsidP="00637017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637017">
        <w:rPr>
          <w:rFonts w:ascii="Times New Roman" w:hAnsi="Times New Roman"/>
          <w:b/>
          <w:sz w:val="24"/>
          <w:szCs w:val="24"/>
        </w:rPr>
        <w:t>Art. 1</w:t>
      </w:r>
    </w:p>
    <w:p w:rsidR="002F50D7" w:rsidRPr="002F50D7" w:rsidRDefault="002F50D7" w:rsidP="002F50D7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F50D7">
        <w:rPr>
          <w:rFonts w:ascii="Times New Roman" w:hAnsi="Times New Roman"/>
          <w:sz w:val="24"/>
          <w:szCs w:val="24"/>
        </w:rPr>
        <w:t>W ustawie z dnia 14 lutego 1991 r. Prawo o notariacie (</w:t>
      </w:r>
      <w:r w:rsidR="002A3811">
        <w:rPr>
          <w:rFonts w:ascii="Times New Roman" w:hAnsi="Times New Roman"/>
          <w:sz w:val="24"/>
          <w:szCs w:val="24"/>
        </w:rPr>
        <w:t xml:space="preserve">tekst </w:t>
      </w:r>
      <w:r w:rsidRPr="002F50D7">
        <w:rPr>
          <w:rFonts w:ascii="Times New Roman" w:hAnsi="Times New Roman"/>
          <w:sz w:val="24"/>
          <w:szCs w:val="24"/>
        </w:rPr>
        <w:t xml:space="preserve">jedn. Dz. U. 2016, poz. 1796) skreśla się </w:t>
      </w:r>
      <w:bookmarkStart w:id="1" w:name="d1965e10466"/>
      <w:bookmarkStart w:id="2" w:name="dz(II)roz(5)"/>
      <w:r w:rsidRPr="002F50D7">
        <w:rPr>
          <w:rFonts w:ascii="Times New Roman" w:hAnsi="Times New Roman"/>
          <w:sz w:val="24"/>
          <w:szCs w:val="24"/>
        </w:rPr>
        <w:t>art. 102 i art. 103.</w:t>
      </w:r>
    </w:p>
    <w:p w:rsidR="002F50D7" w:rsidRDefault="002F50D7" w:rsidP="002F50D7">
      <w:pPr>
        <w:pStyle w:val="Bezodstpw"/>
        <w:rPr>
          <w:rFonts w:ascii="Times New Roman" w:hAnsi="Times New Roman"/>
          <w:sz w:val="24"/>
          <w:szCs w:val="24"/>
        </w:rPr>
      </w:pPr>
    </w:p>
    <w:p w:rsidR="002F50D7" w:rsidRPr="00637017" w:rsidRDefault="002F50D7" w:rsidP="00637017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637017">
        <w:rPr>
          <w:rFonts w:ascii="Times New Roman" w:hAnsi="Times New Roman"/>
          <w:b/>
          <w:sz w:val="24"/>
          <w:szCs w:val="24"/>
        </w:rPr>
        <w:t>Art. 2</w:t>
      </w:r>
    </w:p>
    <w:p w:rsidR="002F50D7" w:rsidRPr="002F50D7" w:rsidRDefault="002F50D7" w:rsidP="002F50D7">
      <w:pPr>
        <w:pStyle w:val="Bezodstpw"/>
        <w:rPr>
          <w:rFonts w:ascii="Times New Roman" w:hAnsi="Times New Roman"/>
          <w:sz w:val="24"/>
          <w:szCs w:val="24"/>
        </w:rPr>
      </w:pPr>
      <w:r w:rsidRPr="002F50D7">
        <w:rPr>
          <w:rFonts w:ascii="Times New Roman" w:hAnsi="Times New Roman"/>
          <w:sz w:val="24"/>
          <w:szCs w:val="24"/>
        </w:rPr>
        <w:t xml:space="preserve">Ustawa wchodzi w życie po upływie 14 dni od dnia jej ogłoszenia. </w:t>
      </w:r>
    </w:p>
    <w:p w:rsidR="002F50D7" w:rsidRDefault="002F50D7" w:rsidP="002F50D7">
      <w:pPr>
        <w:spacing w:before="100" w:after="0"/>
        <w:jc w:val="center"/>
        <w:rPr>
          <w:b/>
          <w:color w:val="000000"/>
        </w:rPr>
      </w:pPr>
    </w:p>
    <w:p w:rsidR="00637017" w:rsidRDefault="00637017" w:rsidP="002F50D7">
      <w:pPr>
        <w:spacing w:before="100" w:after="0"/>
        <w:jc w:val="center"/>
        <w:rPr>
          <w:b/>
          <w:color w:val="000000"/>
        </w:rPr>
      </w:pPr>
    </w:p>
    <w:p w:rsidR="00637017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  <w:r>
        <w:rPr>
          <w:b/>
          <w:color w:val="000000"/>
        </w:rPr>
        <w:tab/>
      </w: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D643A5" w:rsidRDefault="00D643A5" w:rsidP="00D643A5">
      <w:pPr>
        <w:tabs>
          <w:tab w:val="left" w:pos="5914"/>
        </w:tabs>
        <w:spacing w:before="100" w:after="0"/>
        <w:rPr>
          <w:b/>
          <w:color w:val="000000"/>
        </w:rPr>
      </w:pPr>
    </w:p>
    <w:p w:rsidR="002F50D7" w:rsidRPr="00B67635" w:rsidRDefault="002F50D7" w:rsidP="00B6763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B67635">
        <w:rPr>
          <w:rFonts w:ascii="Times New Roman" w:hAnsi="Times New Roman"/>
          <w:b/>
          <w:sz w:val="24"/>
          <w:szCs w:val="24"/>
        </w:rPr>
        <w:lastRenderedPageBreak/>
        <w:t>Uzasadnienie</w:t>
      </w:r>
    </w:p>
    <w:p w:rsidR="002F50D7" w:rsidRPr="00B67635" w:rsidRDefault="002F50D7" w:rsidP="00B6763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:rsidR="002F50D7" w:rsidRPr="00C97908" w:rsidRDefault="002F50D7" w:rsidP="00C97908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 w:rsidRPr="00B67635">
        <w:rPr>
          <w:rFonts w:ascii="Times New Roman" w:hAnsi="Times New Roman"/>
          <w:sz w:val="24"/>
          <w:szCs w:val="24"/>
        </w:rPr>
        <w:t>Celem projektowanej ustawy jest usunięcie z treści ustawy prawo o notariacie przepisów</w:t>
      </w:r>
      <w:r w:rsidR="00B67635" w:rsidRPr="00B67635">
        <w:rPr>
          <w:rFonts w:ascii="Times New Roman" w:hAnsi="Times New Roman"/>
          <w:sz w:val="24"/>
          <w:szCs w:val="24"/>
        </w:rPr>
        <w:t xml:space="preserve"> o </w:t>
      </w:r>
      <w:r w:rsidR="00B67635" w:rsidRPr="00C97908">
        <w:rPr>
          <w:rFonts w:ascii="Times New Roman" w:hAnsi="Times New Roman"/>
          <w:sz w:val="24"/>
          <w:szCs w:val="24"/>
        </w:rPr>
        <w:t xml:space="preserve">znikomej wartości praktycznej, w zasadzie całkowicie zbytecznych pod względem prawnym wobec powszechnego użycia w praktyce innych skuteczniejszych, alternatywnych trybów doręczeń w postepowaniu cywilnym. </w:t>
      </w:r>
    </w:p>
    <w:p w:rsidR="002F50D7" w:rsidRPr="00C97908" w:rsidRDefault="00B67635" w:rsidP="00273BF8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 w:rsidRPr="00C97908">
        <w:rPr>
          <w:rFonts w:ascii="Times New Roman" w:hAnsi="Times New Roman"/>
          <w:sz w:val="24"/>
          <w:szCs w:val="24"/>
        </w:rPr>
        <w:t>Obecn</w:t>
      </w:r>
      <w:r w:rsidR="008242F7" w:rsidRPr="00C97908">
        <w:rPr>
          <w:rFonts w:ascii="Times New Roman" w:hAnsi="Times New Roman"/>
          <w:sz w:val="24"/>
          <w:szCs w:val="24"/>
        </w:rPr>
        <w:t>ie obowiązujący</w:t>
      </w:r>
      <w:r w:rsidRPr="00C97908">
        <w:rPr>
          <w:rFonts w:ascii="Times New Roman" w:hAnsi="Times New Roman"/>
          <w:sz w:val="24"/>
          <w:szCs w:val="24"/>
        </w:rPr>
        <w:t xml:space="preserve"> artykuł 102 prawa o notariacie stanowi:</w:t>
      </w:r>
      <w:bookmarkStart w:id="3" w:name="art(102)"/>
      <w:bookmarkEnd w:id="1"/>
      <w:r w:rsidR="00273BF8">
        <w:rPr>
          <w:rFonts w:ascii="Times New Roman" w:hAnsi="Times New Roman"/>
          <w:sz w:val="24"/>
          <w:szCs w:val="24"/>
        </w:rPr>
        <w:t xml:space="preserve"> </w:t>
      </w:r>
      <w:r w:rsidRPr="00273BF8">
        <w:rPr>
          <w:rFonts w:ascii="Times New Roman" w:hAnsi="Times New Roman"/>
          <w:i/>
          <w:sz w:val="24"/>
          <w:szCs w:val="24"/>
        </w:rPr>
        <w:t>„</w:t>
      </w:r>
      <w:r w:rsidR="002F50D7" w:rsidRPr="00273BF8">
        <w:rPr>
          <w:rFonts w:ascii="Times New Roman" w:hAnsi="Times New Roman"/>
          <w:i/>
          <w:sz w:val="24"/>
          <w:szCs w:val="24"/>
        </w:rPr>
        <w:t>§ 1.Na żądanie strony notariusz doręcza na piśmie jej oświadczenie, mogące mieć skutki prawne, wskazanej przez nią stronie przeciwnej.</w:t>
      </w:r>
      <w:bookmarkStart w:id="4" w:name="art(102)par(1)"/>
      <w:bookmarkStart w:id="5" w:name="art(102)par(2)"/>
      <w:bookmarkEnd w:id="4"/>
      <w:r w:rsidR="00273BF8" w:rsidRPr="00273BF8">
        <w:rPr>
          <w:rFonts w:ascii="Times New Roman" w:hAnsi="Times New Roman"/>
          <w:i/>
          <w:sz w:val="24"/>
          <w:szCs w:val="24"/>
        </w:rPr>
        <w:t xml:space="preserve"> </w:t>
      </w:r>
      <w:r w:rsidR="002F50D7" w:rsidRPr="00273BF8">
        <w:rPr>
          <w:rFonts w:ascii="Times New Roman" w:hAnsi="Times New Roman"/>
          <w:i/>
          <w:sz w:val="24"/>
          <w:szCs w:val="24"/>
        </w:rPr>
        <w:t>§ 2.Żądający doręczenia wnosi ustnie do protokołu, wręcza lub przesyła notariuszowi podpisaną przez siebie treść oświadczenia.</w:t>
      </w:r>
      <w:r w:rsidR="00273BF8" w:rsidRPr="00273BF8">
        <w:rPr>
          <w:rFonts w:ascii="Times New Roman" w:hAnsi="Times New Roman"/>
          <w:i/>
          <w:sz w:val="24"/>
          <w:szCs w:val="24"/>
        </w:rPr>
        <w:t xml:space="preserve"> </w:t>
      </w:r>
      <w:bookmarkStart w:id="6" w:name="art(102)par(3)"/>
      <w:bookmarkEnd w:id="5"/>
      <w:r w:rsidR="002F50D7" w:rsidRPr="00273BF8">
        <w:rPr>
          <w:rFonts w:ascii="Times New Roman" w:hAnsi="Times New Roman"/>
          <w:i/>
          <w:sz w:val="24"/>
          <w:szCs w:val="24"/>
        </w:rPr>
        <w:t>§ 3.Doręczenie oświadczenia następuje w miejscu wskazanym, przy odpowiednim zastosowaniu przepisów Kodeksu postępowania cywilnego dotyczących doręczania pism procesowych.</w:t>
      </w:r>
      <w:bookmarkStart w:id="7" w:name="art(102)par(4)"/>
      <w:bookmarkEnd w:id="6"/>
      <w:r w:rsidR="00273BF8" w:rsidRPr="00273BF8">
        <w:rPr>
          <w:rFonts w:ascii="Times New Roman" w:hAnsi="Times New Roman"/>
          <w:i/>
          <w:sz w:val="24"/>
          <w:szCs w:val="24"/>
        </w:rPr>
        <w:t xml:space="preserve"> </w:t>
      </w:r>
      <w:r w:rsidR="002F50D7" w:rsidRPr="00273BF8">
        <w:rPr>
          <w:rFonts w:ascii="Times New Roman" w:hAnsi="Times New Roman"/>
          <w:i/>
          <w:sz w:val="24"/>
          <w:szCs w:val="24"/>
        </w:rPr>
        <w:t>§ 4.Z dokonanej czynności notariusz spisuje protokół. Jeżeli strona przeciwna poda ustnie do protokołu odpowiedź lub wręczy pisemną odpowiedź i oświadczy, że protokół podpisze, notariusz zamieszcza odpowiedź w protokole.</w:t>
      </w:r>
      <w:r w:rsidR="00273BF8" w:rsidRPr="00273BF8">
        <w:rPr>
          <w:rFonts w:ascii="Times New Roman" w:hAnsi="Times New Roman"/>
          <w:i/>
          <w:sz w:val="24"/>
          <w:szCs w:val="24"/>
        </w:rPr>
        <w:t xml:space="preserve"> </w:t>
      </w:r>
      <w:bookmarkStart w:id="8" w:name="art(102)par(5)"/>
      <w:bookmarkEnd w:id="7"/>
      <w:r w:rsidR="002F50D7" w:rsidRPr="00273BF8">
        <w:rPr>
          <w:rFonts w:ascii="Times New Roman" w:hAnsi="Times New Roman"/>
          <w:i/>
          <w:sz w:val="24"/>
          <w:szCs w:val="24"/>
        </w:rPr>
        <w:t>§ 5.Notariusz wydaje poświadczenie doręczenia oświadczenia, w którym zamieszcza odpowiedź, jeżeli była udzielona w sposób określony w § 4.</w:t>
      </w:r>
      <w:r w:rsidR="00273BF8" w:rsidRPr="00273BF8">
        <w:rPr>
          <w:rFonts w:ascii="Times New Roman" w:hAnsi="Times New Roman"/>
          <w:i/>
          <w:sz w:val="24"/>
          <w:szCs w:val="24"/>
        </w:rPr>
        <w:t xml:space="preserve"> </w:t>
      </w:r>
      <w:bookmarkStart w:id="9" w:name="art(102)par(6)"/>
      <w:bookmarkEnd w:id="8"/>
      <w:r w:rsidR="002F50D7" w:rsidRPr="00273BF8">
        <w:rPr>
          <w:rFonts w:ascii="Times New Roman" w:hAnsi="Times New Roman"/>
          <w:i/>
          <w:sz w:val="24"/>
          <w:szCs w:val="24"/>
        </w:rPr>
        <w:t>§ 6.Na wyraźne żądanie osoby, żądającej doręczenia oświadczenia, notariusz może również dokonać doręczenia listem poleconym. W tym przypadku w protokole zamieszcza się treść doręczonego oświadczenia i wzmiankę o przesłaniu go listem poleconym.</w:t>
      </w:r>
      <w:r w:rsidRPr="00C97908">
        <w:rPr>
          <w:rFonts w:ascii="Times New Roman" w:hAnsi="Times New Roman"/>
          <w:sz w:val="24"/>
          <w:szCs w:val="24"/>
        </w:rPr>
        <w:t>”</w:t>
      </w:r>
    </w:p>
    <w:p w:rsidR="002F50D7" w:rsidRPr="00C97908" w:rsidRDefault="00B67635" w:rsidP="00273BF8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bookmarkStart w:id="10" w:name="art(103)"/>
      <w:bookmarkEnd w:id="3"/>
      <w:bookmarkEnd w:id="9"/>
      <w:r w:rsidRPr="00C97908">
        <w:rPr>
          <w:rFonts w:ascii="Times New Roman" w:hAnsi="Times New Roman"/>
          <w:sz w:val="24"/>
          <w:szCs w:val="24"/>
        </w:rPr>
        <w:t>Artykuł 103 stanowi naturalną konsekwencję obowiązywania art. 102 i nosi następującą treść: „</w:t>
      </w:r>
      <w:r w:rsidR="002F50D7" w:rsidRPr="00273BF8">
        <w:rPr>
          <w:rFonts w:ascii="Times New Roman" w:hAnsi="Times New Roman"/>
          <w:i/>
          <w:sz w:val="24"/>
          <w:szCs w:val="24"/>
        </w:rPr>
        <w:t>Doręczenia notariusz może dokonywać przez zatrudnionych w kancelarii pracowników</w:t>
      </w:r>
      <w:r w:rsidR="002F50D7" w:rsidRPr="00C97908">
        <w:rPr>
          <w:rFonts w:ascii="Times New Roman" w:hAnsi="Times New Roman"/>
          <w:sz w:val="24"/>
          <w:szCs w:val="24"/>
        </w:rPr>
        <w:t>.</w:t>
      </w:r>
      <w:r w:rsidRPr="00C97908">
        <w:rPr>
          <w:rFonts w:ascii="Times New Roman" w:hAnsi="Times New Roman"/>
          <w:sz w:val="24"/>
          <w:szCs w:val="24"/>
        </w:rPr>
        <w:t>”</w:t>
      </w:r>
    </w:p>
    <w:p w:rsidR="00B67635" w:rsidRPr="00C97908" w:rsidRDefault="00B67635" w:rsidP="00C97908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 w:rsidRPr="00C97908">
        <w:rPr>
          <w:rFonts w:ascii="Times New Roman" w:hAnsi="Times New Roman"/>
          <w:sz w:val="24"/>
          <w:szCs w:val="24"/>
        </w:rPr>
        <w:t xml:space="preserve">Oba te przepisy dają możliwość dokonania doręczenia bezpośredniego pomiędzy stronami czynności notarialnej za pośrednictwem notariusza, przy czym istnieje możliwość, na żądanie strony, zmiany trybu doręczania bezpośredniego w tryb doręczenia pocztowego. </w:t>
      </w:r>
    </w:p>
    <w:p w:rsidR="00B67635" w:rsidRPr="00C97908" w:rsidRDefault="00B67635" w:rsidP="00C97908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 w:rsidRPr="00C97908">
        <w:rPr>
          <w:rFonts w:ascii="Times New Roman" w:hAnsi="Times New Roman"/>
          <w:sz w:val="24"/>
          <w:szCs w:val="24"/>
        </w:rPr>
        <w:t xml:space="preserve">Już od chwili powstania w 1991 r. przepisy te nie miały jakiegokolwiek większego znaczenia praktycznego, w zasadzie ich instytucja nie pasuje pod względem konstrukcyjnym do ustawy prawo o </w:t>
      </w:r>
      <w:r w:rsidR="00B41C48" w:rsidRPr="00C97908">
        <w:rPr>
          <w:rFonts w:ascii="Times New Roman" w:hAnsi="Times New Roman"/>
          <w:sz w:val="24"/>
          <w:szCs w:val="24"/>
        </w:rPr>
        <w:t>notariacie.</w:t>
      </w:r>
      <w:r w:rsidRPr="00C97908">
        <w:rPr>
          <w:rFonts w:ascii="Times New Roman" w:hAnsi="Times New Roman"/>
          <w:sz w:val="24"/>
          <w:szCs w:val="24"/>
        </w:rPr>
        <w:t xml:space="preserve"> </w:t>
      </w:r>
      <w:r w:rsidR="00F076DE">
        <w:rPr>
          <w:rFonts w:ascii="Times New Roman" w:hAnsi="Times New Roman"/>
          <w:sz w:val="24"/>
          <w:szCs w:val="24"/>
        </w:rPr>
        <w:t>W chwili obecnej jak informuje Krajowa Rada Notarialna w ramach prowadzonej</w:t>
      </w:r>
      <w:r w:rsidR="00B41C48" w:rsidRPr="00C97908">
        <w:rPr>
          <w:rFonts w:ascii="Times New Roman" w:hAnsi="Times New Roman"/>
          <w:sz w:val="24"/>
          <w:szCs w:val="24"/>
        </w:rPr>
        <w:t xml:space="preserve"> dla Ministerstwa Sprawiedliwości </w:t>
      </w:r>
      <w:r w:rsidR="00F076DE">
        <w:rPr>
          <w:rFonts w:ascii="Times New Roman" w:hAnsi="Times New Roman"/>
          <w:sz w:val="24"/>
          <w:szCs w:val="24"/>
        </w:rPr>
        <w:t xml:space="preserve">statystyki KRN-Stat </w:t>
      </w:r>
      <w:r w:rsidR="00B41C48" w:rsidRPr="00C97908">
        <w:rPr>
          <w:rFonts w:ascii="Times New Roman" w:hAnsi="Times New Roman"/>
          <w:sz w:val="24"/>
          <w:szCs w:val="24"/>
        </w:rPr>
        <w:t>od wielu lat liczba dokonywanych d</w:t>
      </w:r>
      <w:r w:rsidR="00F076DE">
        <w:rPr>
          <w:rFonts w:ascii="Times New Roman" w:hAnsi="Times New Roman"/>
          <w:sz w:val="24"/>
          <w:szCs w:val="24"/>
        </w:rPr>
        <w:t>oręczeń czynności przez ogół około</w:t>
      </w:r>
      <w:r w:rsidR="00B41C48" w:rsidRPr="00C97908">
        <w:rPr>
          <w:rFonts w:ascii="Times New Roman" w:hAnsi="Times New Roman"/>
          <w:sz w:val="24"/>
          <w:szCs w:val="24"/>
        </w:rPr>
        <w:t xml:space="preserve"> 3,5 tysiąca polskich notariuszy nie przekracza łącznie 200 czynności rocznie, z czego bardzo nieliczne, o ile jakiekolwiek w ogóle stanowią czynności w tym zakresie samoistne (których istotą jest </w:t>
      </w:r>
      <w:r w:rsidR="008242F7" w:rsidRPr="00C97908">
        <w:rPr>
          <w:rFonts w:ascii="Times New Roman" w:hAnsi="Times New Roman"/>
          <w:sz w:val="24"/>
          <w:szCs w:val="24"/>
        </w:rPr>
        <w:t xml:space="preserve">wyłącznie </w:t>
      </w:r>
      <w:r w:rsidR="00B41C48" w:rsidRPr="00C97908">
        <w:rPr>
          <w:rFonts w:ascii="Times New Roman" w:hAnsi="Times New Roman"/>
          <w:sz w:val="24"/>
          <w:szCs w:val="24"/>
        </w:rPr>
        <w:t xml:space="preserve">doręczenie i nie są powiązane z innymi czynnościami notarialnymi). Statystyki </w:t>
      </w:r>
      <w:r w:rsidR="00F076DE">
        <w:rPr>
          <w:rFonts w:ascii="Times New Roman" w:hAnsi="Times New Roman"/>
          <w:sz w:val="24"/>
          <w:szCs w:val="24"/>
        </w:rPr>
        <w:t>KRN</w:t>
      </w:r>
      <w:r w:rsidR="00B41C48" w:rsidRPr="00C97908">
        <w:rPr>
          <w:rFonts w:ascii="Times New Roman" w:hAnsi="Times New Roman"/>
          <w:sz w:val="24"/>
          <w:szCs w:val="24"/>
        </w:rPr>
        <w:t xml:space="preserve"> nie wskazują przy tym na skuteczność podjętych ok. stu kilkudziesięciu czynności w zakresie doręczeń rocznie, prawdopodobnie jest ona kilkuprocentowa, o ile </w:t>
      </w:r>
      <w:r w:rsidR="008242F7" w:rsidRPr="00C97908">
        <w:rPr>
          <w:rFonts w:ascii="Times New Roman" w:hAnsi="Times New Roman"/>
          <w:sz w:val="24"/>
          <w:szCs w:val="24"/>
        </w:rPr>
        <w:t xml:space="preserve">wręcz </w:t>
      </w:r>
      <w:r w:rsidR="00B41C48" w:rsidRPr="00C97908">
        <w:rPr>
          <w:rFonts w:ascii="Times New Roman" w:hAnsi="Times New Roman"/>
          <w:sz w:val="24"/>
          <w:szCs w:val="24"/>
        </w:rPr>
        <w:t xml:space="preserve">nie </w:t>
      </w:r>
      <w:r w:rsidR="008242F7" w:rsidRPr="00C97908">
        <w:rPr>
          <w:rFonts w:ascii="Times New Roman" w:hAnsi="Times New Roman"/>
          <w:sz w:val="24"/>
          <w:szCs w:val="24"/>
        </w:rPr>
        <w:t>bliska zeru</w:t>
      </w:r>
      <w:r w:rsidR="00B41C48" w:rsidRPr="00C97908">
        <w:rPr>
          <w:rFonts w:ascii="Times New Roman" w:hAnsi="Times New Roman"/>
          <w:sz w:val="24"/>
          <w:szCs w:val="24"/>
        </w:rPr>
        <w:t xml:space="preserve">. Doręczenie takie stanowi przy tym swoistego rodzaju mechanizm wprowadzający u zlecającego </w:t>
      </w:r>
      <w:r w:rsidR="008242F7" w:rsidRPr="00C97908">
        <w:rPr>
          <w:rFonts w:ascii="Times New Roman" w:hAnsi="Times New Roman"/>
          <w:sz w:val="24"/>
          <w:szCs w:val="24"/>
        </w:rPr>
        <w:t xml:space="preserve">dokonanie </w:t>
      </w:r>
      <w:r w:rsidR="00B41C48" w:rsidRPr="00C97908">
        <w:rPr>
          <w:rFonts w:ascii="Times New Roman" w:hAnsi="Times New Roman"/>
          <w:sz w:val="24"/>
          <w:szCs w:val="24"/>
        </w:rPr>
        <w:t>tej czynności klienta złudzenie zwiększonej skuteczności formalnej</w:t>
      </w:r>
      <w:r w:rsidR="008242F7" w:rsidRPr="00C97908">
        <w:rPr>
          <w:rFonts w:ascii="Times New Roman" w:hAnsi="Times New Roman"/>
          <w:sz w:val="24"/>
          <w:szCs w:val="24"/>
        </w:rPr>
        <w:t xml:space="preserve"> doręczenia wskutek uczestniczenia w procesie notariusza. Stanowi to p</w:t>
      </w:r>
      <w:r w:rsidRPr="00C97908">
        <w:rPr>
          <w:rFonts w:ascii="Times New Roman" w:hAnsi="Times New Roman"/>
          <w:sz w:val="24"/>
          <w:szCs w:val="24"/>
        </w:rPr>
        <w:t xml:space="preserve">rzypisywanie skutków </w:t>
      </w:r>
      <w:r w:rsidR="008242F7" w:rsidRPr="00C97908">
        <w:rPr>
          <w:rFonts w:ascii="Times New Roman" w:hAnsi="Times New Roman"/>
          <w:sz w:val="24"/>
          <w:szCs w:val="24"/>
        </w:rPr>
        <w:t xml:space="preserve">czynności </w:t>
      </w:r>
      <w:r w:rsidRPr="00C97908">
        <w:rPr>
          <w:rFonts w:ascii="Times New Roman" w:hAnsi="Times New Roman"/>
          <w:sz w:val="24"/>
          <w:szCs w:val="24"/>
        </w:rPr>
        <w:t xml:space="preserve">ponad </w:t>
      </w:r>
      <w:r w:rsidR="008242F7" w:rsidRPr="00C97908">
        <w:rPr>
          <w:rFonts w:ascii="Times New Roman" w:hAnsi="Times New Roman"/>
          <w:sz w:val="24"/>
          <w:szCs w:val="24"/>
        </w:rPr>
        <w:t xml:space="preserve">jej rzeczywista </w:t>
      </w:r>
      <w:r w:rsidRPr="00C97908">
        <w:rPr>
          <w:rFonts w:ascii="Times New Roman" w:hAnsi="Times New Roman"/>
          <w:sz w:val="24"/>
          <w:szCs w:val="24"/>
        </w:rPr>
        <w:t>literę</w:t>
      </w:r>
      <w:r w:rsidR="008242F7" w:rsidRPr="00C97908">
        <w:rPr>
          <w:rFonts w:ascii="Times New Roman" w:hAnsi="Times New Roman"/>
          <w:sz w:val="24"/>
          <w:szCs w:val="24"/>
        </w:rPr>
        <w:t xml:space="preserve"> i sens</w:t>
      </w:r>
      <w:r w:rsidRPr="00C97908">
        <w:rPr>
          <w:rFonts w:ascii="Times New Roman" w:hAnsi="Times New Roman"/>
          <w:sz w:val="24"/>
          <w:szCs w:val="24"/>
        </w:rPr>
        <w:t xml:space="preserve">. </w:t>
      </w:r>
    </w:p>
    <w:p w:rsidR="008242F7" w:rsidRPr="00C97908" w:rsidRDefault="008242F7" w:rsidP="00C97908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 w:rsidRPr="00C97908">
        <w:rPr>
          <w:rFonts w:ascii="Times New Roman" w:hAnsi="Times New Roman"/>
          <w:sz w:val="24"/>
          <w:szCs w:val="24"/>
        </w:rPr>
        <w:t xml:space="preserve">Przepisy te stanowią więc wygasającą alternatywę dla innych, o wiele skuteczniejszych, przewidzianych w prawie polskim mechanizmów doręczenia. Praktyka wskazuje na konieczność ich usunięcia, częstotliwość ich stosowania umiejscawia je na skraju faktycznego </w:t>
      </w:r>
      <w:proofErr w:type="spellStart"/>
      <w:r w:rsidRPr="00C97908">
        <w:rPr>
          <w:rFonts w:ascii="Times New Roman" w:hAnsi="Times New Roman"/>
          <w:i/>
          <w:sz w:val="24"/>
          <w:szCs w:val="24"/>
        </w:rPr>
        <w:t>desuetudo</w:t>
      </w:r>
      <w:proofErr w:type="spellEnd"/>
      <w:r w:rsidRPr="00C97908">
        <w:rPr>
          <w:rFonts w:ascii="Times New Roman" w:hAnsi="Times New Roman"/>
          <w:sz w:val="24"/>
          <w:szCs w:val="24"/>
        </w:rPr>
        <w:t xml:space="preserve">. </w:t>
      </w:r>
    </w:p>
    <w:bookmarkEnd w:id="2"/>
    <w:bookmarkEnd w:id="10"/>
    <w:p w:rsidR="002F50D7" w:rsidRDefault="00B67635" w:rsidP="00C97908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 w:rsidRPr="00C97908">
        <w:rPr>
          <w:rFonts w:ascii="Times New Roman" w:hAnsi="Times New Roman"/>
          <w:sz w:val="24"/>
          <w:szCs w:val="24"/>
        </w:rPr>
        <w:t xml:space="preserve">Samo obowiązywanie mało sensownych przepisów nie </w:t>
      </w:r>
      <w:r w:rsidR="00B41C48" w:rsidRPr="00C97908">
        <w:rPr>
          <w:rFonts w:ascii="Times New Roman" w:hAnsi="Times New Roman"/>
          <w:sz w:val="24"/>
          <w:szCs w:val="24"/>
        </w:rPr>
        <w:t xml:space="preserve">stanowiłoby w prawie polskim zaskakującego </w:t>
      </w:r>
      <w:r w:rsidR="00B41C48" w:rsidRPr="00C97908">
        <w:rPr>
          <w:rFonts w:ascii="Times New Roman" w:hAnsi="Times New Roman"/>
          <w:i/>
          <w:sz w:val="24"/>
          <w:szCs w:val="24"/>
        </w:rPr>
        <w:t>novum</w:t>
      </w:r>
      <w:r w:rsidR="00B41C48" w:rsidRPr="00C97908">
        <w:rPr>
          <w:rFonts w:ascii="Times New Roman" w:hAnsi="Times New Roman"/>
          <w:sz w:val="24"/>
          <w:szCs w:val="24"/>
        </w:rPr>
        <w:t xml:space="preserve"> i nie przesądzałoby jeszcze o konieczności ich abrogacji z systemu, natomiast z instytucją doręczenia bezpośredniego związana jest obecnie istotna kwestia prawna związana z</w:t>
      </w:r>
      <w:r w:rsidR="008242F7" w:rsidRPr="00C97908">
        <w:rPr>
          <w:rFonts w:ascii="Times New Roman" w:hAnsi="Times New Roman"/>
          <w:sz w:val="24"/>
          <w:szCs w:val="24"/>
        </w:rPr>
        <w:t xml:space="preserve">  koniecznością zmiany</w:t>
      </w:r>
      <w:r w:rsidR="00B41C48" w:rsidRPr="00C97908">
        <w:rPr>
          <w:rFonts w:ascii="Times New Roman" w:hAnsi="Times New Roman"/>
          <w:sz w:val="24"/>
          <w:szCs w:val="24"/>
        </w:rPr>
        <w:t xml:space="preserve"> zakresu notyfikacji organów dokonujących doręczenia bezpośredniego  </w:t>
      </w:r>
      <w:r w:rsidR="008242F7" w:rsidRPr="00C97908">
        <w:rPr>
          <w:rFonts w:ascii="Times New Roman" w:hAnsi="Times New Roman"/>
          <w:sz w:val="24"/>
          <w:szCs w:val="24"/>
        </w:rPr>
        <w:t xml:space="preserve">co wynika z art. 15 w zw. z art. 16 Rozporządzenia nr 1393/2007 Parlamentu Europejskiego i Rady z dnia 13 listopada 2007 r. dotyczące doręczania w państwach członkowskich dokumentów sądowych i pozasądowych w sprawach cywilnych i </w:t>
      </w:r>
      <w:r w:rsidR="008242F7" w:rsidRPr="00C97908">
        <w:rPr>
          <w:rFonts w:ascii="Times New Roman" w:hAnsi="Times New Roman"/>
          <w:sz w:val="24"/>
          <w:szCs w:val="24"/>
        </w:rPr>
        <w:lastRenderedPageBreak/>
        <w:t>handlowych („doręczanie dokumentów”) oraz uchylające rozporządzenie Rady (WE) nr 1348/2000</w:t>
      </w:r>
      <w:r w:rsidR="00B41C48" w:rsidRPr="00C97908">
        <w:rPr>
          <w:rFonts w:ascii="Times New Roman" w:hAnsi="Times New Roman"/>
          <w:sz w:val="24"/>
          <w:szCs w:val="24"/>
        </w:rPr>
        <w:t xml:space="preserve"> </w:t>
      </w:r>
      <w:r w:rsidR="008242F7" w:rsidRPr="00C97908">
        <w:rPr>
          <w:rFonts w:ascii="Times New Roman" w:hAnsi="Times New Roman"/>
          <w:sz w:val="24"/>
          <w:szCs w:val="24"/>
        </w:rPr>
        <w:t xml:space="preserve">(Dz. Urz. UE z 10.12.2007, nr L 324, s. 79-120). Objęcie stosowną notyfikacją notariusza polskiego, jako organu (właściwie jedynie w teorii, bo w praktyce w znikomym zakresie) doręczającego dokumenty </w:t>
      </w:r>
      <w:r w:rsidR="00C97908" w:rsidRPr="00C97908">
        <w:rPr>
          <w:rFonts w:ascii="Times New Roman" w:hAnsi="Times New Roman"/>
          <w:sz w:val="24"/>
          <w:szCs w:val="24"/>
        </w:rPr>
        <w:t>oznaczać będzie szereg praktycznych i nierozwiązywalnych w obecnym stanie prawnym problemów, które nie pojawią się w przypadku sugerowanego skreślenia art. 102 i 103 prawa o notariacie i tym samym nieobjęcia polskiego notariusza przepisami wspomnianego rozporządzenia.</w:t>
      </w:r>
    </w:p>
    <w:p w:rsidR="00273BF8" w:rsidRPr="00F076DE" w:rsidRDefault="00273BF8" w:rsidP="00F076DE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 w:rsidRPr="00F076DE">
        <w:rPr>
          <w:rFonts w:ascii="Times New Roman" w:hAnsi="Times New Roman"/>
          <w:sz w:val="24"/>
          <w:szCs w:val="24"/>
        </w:rPr>
        <w:t>Przepis art. 15 rozporządzenia stanowi: „</w:t>
      </w:r>
      <w:r w:rsidRPr="00F076DE">
        <w:rPr>
          <w:rFonts w:ascii="Times New Roman" w:hAnsi="Times New Roman"/>
          <w:i/>
          <w:sz w:val="24"/>
          <w:szCs w:val="24"/>
        </w:rPr>
        <w:t>Wszystkie osoby mające interes prawny w postępowaniu sądowym mogą dokonywać doręczeń dokumentów sądowych bezpośrednio przez urzędników sądowych, innych urzędników lub inne właściwe osoby w państwie członkowskim, do którego adresowane są dokumenty, jeżeli prawo tego państwa członkowskiego zezwala na tego typu bezpośredni sposób doręczania</w:t>
      </w:r>
      <w:r w:rsidRPr="00F076DE">
        <w:rPr>
          <w:rFonts w:ascii="Times New Roman" w:hAnsi="Times New Roman"/>
          <w:sz w:val="24"/>
          <w:szCs w:val="24"/>
        </w:rPr>
        <w:t>”. Art. 16 zaś brzmi „</w:t>
      </w:r>
      <w:r w:rsidRPr="00F076DE">
        <w:rPr>
          <w:rFonts w:ascii="Times New Roman" w:hAnsi="Times New Roman"/>
          <w:i/>
          <w:sz w:val="24"/>
          <w:szCs w:val="24"/>
        </w:rPr>
        <w:t>Dokumenty pozasądowe mogą być przekazywane do doręczenia w innym państwie członkowskim zgodnie z przepisami niniejszego rozporządzenia</w:t>
      </w:r>
      <w:r w:rsidRPr="00F076DE">
        <w:rPr>
          <w:rFonts w:ascii="Times New Roman" w:hAnsi="Times New Roman"/>
          <w:sz w:val="24"/>
          <w:szCs w:val="24"/>
        </w:rPr>
        <w:t>”.</w:t>
      </w:r>
    </w:p>
    <w:p w:rsidR="00273BF8" w:rsidRPr="00F076DE" w:rsidRDefault="00F076DE" w:rsidP="00F076DE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 w:rsidRPr="00F076DE">
        <w:rPr>
          <w:rFonts w:ascii="Times New Roman" w:hAnsi="Times New Roman"/>
          <w:sz w:val="24"/>
          <w:szCs w:val="24"/>
        </w:rPr>
        <w:t>Oznacza</w:t>
      </w:r>
      <w:r w:rsidR="00273BF8" w:rsidRPr="00F076DE">
        <w:rPr>
          <w:rFonts w:ascii="Times New Roman" w:hAnsi="Times New Roman"/>
          <w:sz w:val="24"/>
          <w:szCs w:val="24"/>
        </w:rPr>
        <w:t xml:space="preserve"> to</w:t>
      </w:r>
      <w:r w:rsidRPr="00F076DE">
        <w:rPr>
          <w:rFonts w:ascii="Times New Roman" w:hAnsi="Times New Roman"/>
          <w:sz w:val="24"/>
          <w:szCs w:val="24"/>
        </w:rPr>
        <w:t>,</w:t>
      </w:r>
      <w:r w:rsidR="00273BF8" w:rsidRPr="00F076DE">
        <w:rPr>
          <w:rFonts w:ascii="Times New Roman" w:hAnsi="Times New Roman"/>
          <w:sz w:val="24"/>
          <w:szCs w:val="24"/>
        </w:rPr>
        <w:t xml:space="preserve"> że jeżeli prawo wewnętrzne zezwala na doręczenie dokumentów pozasądowych przez notariusza, powinno pozwolić również na takie transgraniczne doręczanie dokumentów (tzn. z innego państwa członkowskiego).</w:t>
      </w:r>
      <w:r w:rsidRPr="00F076DE">
        <w:rPr>
          <w:rFonts w:ascii="Times New Roman" w:hAnsi="Times New Roman"/>
          <w:sz w:val="24"/>
          <w:szCs w:val="24"/>
        </w:rPr>
        <w:t xml:space="preserve"> </w:t>
      </w:r>
    </w:p>
    <w:p w:rsidR="00273BF8" w:rsidRPr="00F076DE" w:rsidRDefault="00273BF8" w:rsidP="00F076DE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 w:rsidRPr="00F076DE">
        <w:rPr>
          <w:rFonts w:ascii="Times New Roman" w:hAnsi="Times New Roman"/>
          <w:sz w:val="24"/>
          <w:szCs w:val="24"/>
        </w:rPr>
        <w:t>Odniesienie przepisów art. 16 w zw. z art. 15 rozporządzenia do art. 102 i 103 prawa o notariacie (notyfikacja przez RP notariusza jako organ</w:t>
      </w:r>
      <w:r w:rsidR="00F076DE" w:rsidRPr="00F076DE">
        <w:rPr>
          <w:rFonts w:ascii="Times New Roman" w:hAnsi="Times New Roman"/>
          <w:sz w:val="24"/>
          <w:szCs w:val="24"/>
        </w:rPr>
        <w:t>u</w:t>
      </w:r>
      <w:r w:rsidRPr="00F076DE">
        <w:rPr>
          <w:rFonts w:ascii="Times New Roman" w:hAnsi="Times New Roman"/>
          <w:sz w:val="24"/>
          <w:szCs w:val="24"/>
        </w:rPr>
        <w:t xml:space="preserve"> dokonując</w:t>
      </w:r>
      <w:r w:rsidR="00F076DE" w:rsidRPr="00F076DE">
        <w:rPr>
          <w:rFonts w:ascii="Times New Roman" w:hAnsi="Times New Roman"/>
          <w:sz w:val="24"/>
          <w:szCs w:val="24"/>
        </w:rPr>
        <w:t>ego</w:t>
      </w:r>
      <w:r w:rsidRPr="00F076DE">
        <w:rPr>
          <w:rFonts w:ascii="Times New Roman" w:hAnsi="Times New Roman"/>
          <w:sz w:val="24"/>
          <w:szCs w:val="24"/>
        </w:rPr>
        <w:t xml:space="preserve"> doręczeń bezpośrednich) wiązać się może z szeregiem trudności, których wystąpienie łatwo sobie wyobrazić w przypadku transgranicznego przesyłania wniosków o doręczenie, a które z oczywistych względów nie wystąpią w warunkach doręczenia krajowego. W warunkach krajowych, pomimo przewidzianej możliwości doręczenia inicjowanego przez pocztę, takie doręczenie nie występuje, zaś w powszechnej świadomości jest raczej oczywista niewielka wartość praktyczna wskazanych przepisów. </w:t>
      </w:r>
      <w:r w:rsidR="00F076DE" w:rsidRPr="00F076DE">
        <w:rPr>
          <w:rFonts w:ascii="Times New Roman" w:hAnsi="Times New Roman"/>
          <w:sz w:val="24"/>
          <w:szCs w:val="24"/>
        </w:rPr>
        <w:t xml:space="preserve">Cudzoziemiec tego faktu może być nieświadom, co może skutkować nadmiernymi oczekiwaniami, sporami, a nawet sporami międzynarodowymi z innymi państwami członkowskimi lub Komisją Europejską potencjalnie zarzucającą praktyczną wadliwość rozwiązań krajowych. Brak </w:t>
      </w:r>
      <w:proofErr w:type="spellStart"/>
      <w:r w:rsidR="00F076DE" w:rsidRPr="00F076DE">
        <w:rPr>
          <w:rFonts w:ascii="Times New Roman" w:hAnsi="Times New Roman"/>
          <w:sz w:val="24"/>
          <w:szCs w:val="24"/>
        </w:rPr>
        <w:t>terytorializacji</w:t>
      </w:r>
      <w:proofErr w:type="spellEnd"/>
      <w:r w:rsidR="00F076DE" w:rsidRPr="00F076DE">
        <w:rPr>
          <w:rFonts w:ascii="Times New Roman" w:hAnsi="Times New Roman"/>
          <w:sz w:val="24"/>
          <w:szCs w:val="24"/>
        </w:rPr>
        <w:t xml:space="preserve"> notariatu polskiego (tzn. możliwość zlecenia bezpośredniego doręczenia notarialnego w Międzyzdrojach notariuszowi z Ustrzyk Górnych) fikcję transgranicznych doręczeń międzynarodowych będzie jeszcze wzmacniał.  </w:t>
      </w:r>
    </w:p>
    <w:p w:rsidR="00C97908" w:rsidRDefault="00C97908" w:rsidP="00F076DE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 w:rsidRPr="00C97908">
        <w:rPr>
          <w:rFonts w:ascii="Times New Roman" w:hAnsi="Times New Roman"/>
          <w:sz w:val="24"/>
          <w:szCs w:val="24"/>
        </w:rPr>
        <w:t xml:space="preserve">Należy zauważyć, że przepisy rozporządzenia w zakresie doręczania dokumentów pozasądowych zostały przygotowane z myślą o innych typach zawodów prawniczych (np. komorników), zaś fakt ewentualnego objęcia nimi polskiego notariusza mija się z celem. </w:t>
      </w:r>
      <w:r>
        <w:rPr>
          <w:rFonts w:ascii="Times New Roman" w:hAnsi="Times New Roman"/>
          <w:sz w:val="24"/>
          <w:szCs w:val="24"/>
        </w:rPr>
        <w:t xml:space="preserve">Wynika to wyłącznie, wobec obowiązywania prawa europejskiego w zakresie zdefiniowanym zakresem prawa wewnętrznego, z faktu, że mało praktyczna jest sama instytucja doręczenia notarialnego. Stąd też usunięcie art. 102 </w:t>
      </w:r>
      <w:r w:rsidR="00F076DE">
        <w:rPr>
          <w:rFonts w:ascii="Times New Roman" w:hAnsi="Times New Roman"/>
          <w:sz w:val="24"/>
          <w:szCs w:val="24"/>
        </w:rPr>
        <w:t>i 103 prawa o notariacie pozwoli</w:t>
      </w:r>
      <w:r>
        <w:rPr>
          <w:rFonts w:ascii="Times New Roman" w:hAnsi="Times New Roman"/>
          <w:sz w:val="24"/>
          <w:szCs w:val="24"/>
        </w:rPr>
        <w:t xml:space="preserve"> osiągnąć jednocześnie dwa cele: po pierwsze </w:t>
      </w:r>
      <w:r w:rsidR="00273BF8">
        <w:rPr>
          <w:rFonts w:ascii="Times New Roman" w:hAnsi="Times New Roman"/>
          <w:sz w:val="24"/>
          <w:szCs w:val="24"/>
        </w:rPr>
        <w:t xml:space="preserve">eliminację przepisów o zerowej wartości praktycznej z prawa polskiego, po drugie uniknięcie ewentualnych komplikacji związanych z odniesieniem przepisów europejskich do tychże zbytecznych przepisów prawa krajowego.  </w:t>
      </w:r>
    </w:p>
    <w:p w:rsidR="00F076DE" w:rsidRPr="00C97908" w:rsidRDefault="00F076DE" w:rsidP="00F076DE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Należy zauważyć przy tym, że w żadnym z państw Unii Europejskiej posiadających instytucję notariusza o zbliżonej funkcji, do instytucji tej w prawie polskim, nie ma rozwiązań normatywnych wskazujących na dokonywanie doręczeń notarialnych, zaś tryb ten zarezerwowanych jest dla aktywności komorników. Również z tej perspektywy patrząc, by nie mylić zakresu wykorzystywania przez cudzoziemców zakresu obu zawodów, należy wykreślić z prawa o notariacie art. 102 i 103 zapewniając zawodowi notariusza logiczność i spójność wykonywanych funkcji.</w:t>
      </w:r>
    </w:p>
    <w:p w:rsidR="00C97908" w:rsidRDefault="00C97908" w:rsidP="00F076DE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 w:rsidRPr="00C97908">
        <w:rPr>
          <w:rFonts w:ascii="Times New Roman" w:hAnsi="Times New Roman"/>
          <w:sz w:val="24"/>
          <w:szCs w:val="24"/>
        </w:rPr>
        <w:t xml:space="preserve">Wspomniana modyfikacja nie wchodzi w jakąkolwiek bezpośrednią interakcję z przepisami prawa europejskiego, natomiast ułatwia jego stosowanie w Rzeczpospolitej </w:t>
      </w:r>
      <w:r w:rsidRPr="00C97908">
        <w:rPr>
          <w:rFonts w:ascii="Times New Roman" w:hAnsi="Times New Roman"/>
          <w:sz w:val="24"/>
          <w:szCs w:val="24"/>
        </w:rPr>
        <w:lastRenderedPageBreak/>
        <w:t xml:space="preserve">Polskiej, poprzez usunięcie rozwiązania, które nadmiernie komplikowałoby prawidłową recepcję rozporządzenia 1393/20027. </w:t>
      </w:r>
    </w:p>
    <w:p w:rsidR="006D7C9F" w:rsidRDefault="006D7C9F" w:rsidP="00F076DE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D7C9F" w:rsidRPr="00C97908" w:rsidRDefault="006D7C9F" w:rsidP="00F076DE">
      <w:pPr>
        <w:pStyle w:val="Bezodstpw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ustawy nie ma wpływu na budżet państwa, sektor małych i </w:t>
      </w:r>
      <w:proofErr w:type="spellStart"/>
      <w:r>
        <w:rPr>
          <w:rFonts w:ascii="Times New Roman" w:hAnsi="Times New Roman"/>
          <w:sz w:val="24"/>
          <w:szCs w:val="24"/>
        </w:rPr>
        <w:t>mikroprzedsiębiorców</w:t>
      </w:r>
      <w:proofErr w:type="spellEnd"/>
      <w:r>
        <w:rPr>
          <w:rFonts w:ascii="Times New Roman" w:hAnsi="Times New Roman"/>
          <w:sz w:val="24"/>
          <w:szCs w:val="24"/>
        </w:rPr>
        <w:t xml:space="preserve"> oraz rodzi wyłącznie pozytywne skutki społeczne i prawne.</w:t>
      </w:r>
    </w:p>
    <w:p w:rsidR="00B67635" w:rsidRDefault="00B67635" w:rsidP="002F50D7">
      <w:pPr>
        <w:jc w:val="center"/>
      </w:pPr>
    </w:p>
    <w:sectPr w:rsidR="00B67635" w:rsidSect="003830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0D7"/>
    <w:rsid w:val="00273BF8"/>
    <w:rsid w:val="002A3811"/>
    <w:rsid w:val="002F50D7"/>
    <w:rsid w:val="003830FC"/>
    <w:rsid w:val="003B0AE6"/>
    <w:rsid w:val="00637017"/>
    <w:rsid w:val="006D7C9F"/>
    <w:rsid w:val="008242F7"/>
    <w:rsid w:val="009805D8"/>
    <w:rsid w:val="00B41C48"/>
    <w:rsid w:val="00B67635"/>
    <w:rsid w:val="00BB2C08"/>
    <w:rsid w:val="00C97908"/>
    <w:rsid w:val="00D643A5"/>
    <w:rsid w:val="00ED2E23"/>
    <w:rsid w:val="00F0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F50D7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uiPriority w:val="99"/>
    <w:semiHidden/>
    <w:unhideWhenUsed/>
    <w:rsid w:val="002F50D7"/>
    <w:rPr>
      <w:i w:val="0"/>
      <w:iCs w:val="0"/>
      <w:strike w:val="0"/>
      <w:dstrike w:val="0"/>
      <w:color w:val="00008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F50D7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uiPriority w:val="99"/>
    <w:semiHidden/>
    <w:unhideWhenUsed/>
    <w:rsid w:val="002F50D7"/>
    <w:rPr>
      <w:i w:val="0"/>
      <w:iCs w:val="0"/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sap.sejm.gov.pl/DetailsServlet?id=WDU20160001796&amp;min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1210</Words>
  <Characters>7261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Czubik</dc:creator>
  <cp:lastModifiedBy>Ewa A. Genert</cp:lastModifiedBy>
  <cp:revision>2</cp:revision>
  <dcterms:created xsi:type="dcterms:W3CDTF">2018-03-20T11:55:00Z</dcterms:created>
  <dcterms:modified xsi:type="dcterms:W3CDTF">2018-03-20T11:55:00Z</dcterms:modified>
</cp:coreProperties>
</file>