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07" w:rsidRPr="009D7455" w:rsidRDefault="00271D07" w:rsidP="009D7455">
      <w:pPr>
        <w:spacing w:before="120" w:line="360" w:lineRule="auto"/>
        <w:jc w:val="center"/>
      </w:pPr>
      <w:bookmarkStart w:id="0" w:name="_GoBack"/>
      <w:bookmarkEnd w:id="0"/>
      <w:r w:rsidRPr="009D7455">
        <w:t>UZASADNIENIE</w:t>
      </w:r>
    </w:p>
    <w:p w:rsidR="00271D07" w:rsidRPr="009D7455" w:rsidRDefault="00271D07" w:rsidP="009D7455">
      <w:pPr>
        <w:spacing w:before="120" w:line="360" w:lineRule="auto"/>
        <w:rPr>
          <w:b/>
        </w:rPr>
      </w:pPr>
      <w:r w:rsidRPr="009D7455">
        <w:rPr>
          <w:b/>
        </w:rPr>
        <w:t xml:space="preserve">1. Potrzeba i cel </w:t>
      </w:r>
      <w:r w:rsidR="00CB541D" w:rsidRPr="009D7455">
        <w:rPr>
          <w:b/>
        </w:rPr>
        <w:t xml:space="preserve">wypowiedzenia Umowy </w:t>
      </w:r>
    </w:p>
    <w:p w:rsidR="0050673E" w:rsidRPr="009D7455" w:rsidRDefault="0050673E" w:rsidP="009D7455">
      <w:pPr>
        <w:spacing w:before="120" w:line="360" w:lineRule="auto"/>
        <w:jc w:val="both"/>
        <w:rPr>
          <w:szCs w:val="26"/>
        </w:rPr>
      </w:pPr>
      <w:r w:rsidRPr="009D7455">
        <w:rPr>
          <w:szCs w:val="26"/>
        </w:rPr>
        <w:t xml:space="preserve">Obowiązywanie </w:t>
      </w:r>
      <w:r w:rsidR="00544C54" w:rsidRPr="007F4AF0">
        <w:rPr>
          <w:szCs w:val="26"/>
        </w:rPr>
        <w:t>Umowy między Rządem Rzeczypospolitej Polskiej a Rządem Republiki Bułgarii w sprawie wzajemnego popierania i ochrony inwestycji, sporządzonej</w:t>
      </w:r>
      <w:r w:rsidR="009D7455" w:rsidRPr="007F4AF0">
        <w:rPr>
          <w:szCs w:val="26"/>
        </w:rPr>
        <w:t xml:space="preserve"> w </w:t>
      </w:r>
      <w:r w:rsidR="00544C54" w:rsidRPr="007F4AF0">
        <w:rPr>
          <w:szCs w:val="26"/>
        </w:rPr>
        <w:t>Warszawie dnia 11 kwietnia 1994 r.</w:t>
      </w:r>
      <w:r w:rsidR="00544C54" w:rsidRPr="009D7455">
        <w:rPr>
          <w:i/>
          <w:szCs w:val="26"/>
        </w:rPr>
        <w:t xml:space="preserve"> </w:t>
      </w:r>
      <w:r w:rsidR="00544C54" w:rsidRPr="009D7455">
        <w:rPr>
          <w:szCs w:val="26"/>
        </w:rPr>
        <w:t>(Dz. U. z 1995 r. poz. 322), dalej jako „</w:t>
      </w:r>
      <w:r w:rsidRPr="009D7455">
        <w:rPr>
          <w:szCs w:val="26"/>
        </w:rPr>
        <w:t>Umow</w:t>
      </w:r>
      <w:r w:rsidR="00544C54" w:rsidRPr="009D7455">
        <w:rPr>
          <w:szCs w:val="26"/>
        </w:rPr>
        <w:t xml:space="preserve">a”, </w:t>
      </w:r>
      <w:r w:rsidRPr="009D7455">
        <w:rPr>
          <w:szCs w:val="26"/>
        </w:rPr>
        <w:t>jest kwestionowane przez Komisję Europejską</w:t>
      </w:r>
      <w:r w:rsidR="009D7455">
        <w:rPr>
          <w:szCs w:val="26"/>
        </w:rPr>
        <w:t xml:space="preserve"> z uwagi na niezgodność Umowy z </w:t>
      </w:r>
      <w:r w:rsidRPr="009D7455">
        <w:rPr>
          <w:szCs w:val="26"/>
        </w:rPr>
        <w:t xml:space="preserve">prawem UE, podobnie jak kwestionowane jest obowiązywanie wszystkich pozostałych umów o popieraniu i 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ws. niezgodności m.in. tej Umowy z prawem UE. Takie formalne postępowania Komisji Europejskiej toczą się już przeciwko Austrii, Holandii, Słowacji, Szwecji i Rumunii. </w:t>
      </w:r>
    </w:p>
    <w:p w:rsidR="002A3914" w:rsidRPr="009D7455" w:rsidRDefault="002A3914" w:rsidP="009D7455">
      <w:pPr>
        <w:spacing w:before="120" w:line="360" w:lineRule="auto"/>
        <w:jc w:val="both"/>
        <w:rPr>
          <w:color w:val="000000"/>
        </w:rPr>
      </w:pPr>
      <w:r w:rsidRPr="009D7455">
        <w:rPr>
          <w:color w:val="000000"/>
        </w:rPr>
        <w:t xml:space="preserve">RP jest </w:t>
      </w:r>
      <w:r w:rsidR="00F25736" w:rsidRPr="009D7455">
        <w:rPr>
          <w:color w:val="000000"/>
        </w:rPr>
        <w:t xml:space="preserve">obecnie </w:t>
      </w:r>
      <w:r w:rsidRPr="009D7455">
        <w:rPr>
          <w:color w:val="000000"/>
        </w:rPr>
        <w:t>stroną umów intra-EU BIT zawartych z prawie wszystkimi państwami członkowskimi UE, z wyjątkiem Irlandii</w:t>
      </w:r>
      <w:r w:rsidR="00F25736" w:rsidRPr="009D7455">
        <w:rPr>
          <w:color w:val="000000"/>
        </w:rPr>
        <w:t xml:space="preserve"> i </w:t>
      </w:r>
      <w:r w:rsidRPr="009D7455">
        <w:rPr>
          <w:color w:val="000000"/>
        </w:rPr>
        <w:t>Malty</w:t>
      </w:r>
      <w:r w:rsidR="00F25736" w:rsidRPr="009D7455">
        <w:rPr>
          <w:color w:val="000000"/>
        </w:rPr>
        <w:t xml:space="preserve">, z którymi </w:t>
      </w:r>
      <w:r w:rsidRPr="009D7455">
        <w:rPr>
          <w:color w:val="000000"/>
        </w:rPr>
        <w:t>R</w:t>
      </w:r>
      <w:r w:rsidR="00C60C98" w:rsidRPr="009D7455">
        <w:rPr>
          <w:color w:val="000000"/>
        </w:rPr>
        <w:t xml:space="preserve">P </w:t>
      </w:r>
      <w:r w:rsidRPr="009D7455">
        <w:rPr>
          <w:color w:val="000000"/>
        </w:rPr>
        <w:t>nigdy nie zawarła tego typu umów</w:t>
      </w:r>
      <w:r w:rsidR="00F25736" w:rsidRPr="009D7455">
        <w:rPr>
          <w:color w:val="000000"/>
        </w:rPr>
        <w:t xml:space="preserve">, oraz Włoch, z którymi </w:t>
      </w:r>
      <w:r w:rsidRPr="009D7455">
        <w:rPr>
          <w:color w:val="000000"/>
        </w:rPr>
        <w:t>umowa wygasła w dniu 9 stycznia 2013 r. na skutek wypowiedzenia przez Włochy</w:t>
      </w:r>
      <w:r w:rsidR="00544C54" w:rsidRPr="009D7455">
        <w:rPr>
          <w:color w:val="000000"/>
        </w:rPr>
        <w:t>. Ponadto RP wypowiedziała, z uwagi na prawo UE, umowę intra-EU BIT zawartą z Portugalią (umowa wygaśnie w dniu 3 sierpnia 2019 r.).</w:t>
      </w:r>
    </w:p>
    <w:p w:rsidR="0050673E" w:rsidRPr="009D7455" w:rsidRDefault="0050673E" w:rsidP="009D7455">
      <w:pPr>
        <w:widowControl w:val="0"/>
        <w:autoSpaceDE w:val="0"/>
        <w:autoSpaceDN w:val="0"/>
        <w:adjustRightInd w:val="0"/>
        <w:spacing w:before="120" w:line="360" w:lineRule="auto"/>
        <w:jc w:val="both"/>
        <w:rPr>
          <w:color w:val="000000"/>
        </w:rPr>
      </w:pPr>
      <w:r w:rsidRPr="009D7455">
        <w:rPr>
          <w:color w:val="000000"/>
        </w:rPr>
        <w:t>Stanowisko RP wobec umów intra-EU BIT zostało przyjęte przez Komitet do Spraw Europejskich w dniu 3 czerwca 2011 r. Zgodnie z nim umowy intra-EU BIT powinny zostać wypowiedziane przez wszystkie państwa członkowskie UE</w:t>
      </w:r>
      <w:r w:rsidR="00CB541D" w:rsidRPr="009D7455">
        <w:rPr>
          <w:color w:val="000000"/>
        </w:rPr>
        <w:t>,</w:t>
      </w:r>
      <w:r w:rsidR="00AE4C85" w:rsidRPr="009D7455">
        <w:rPr>
          <w:color w:val="000000"/>
        </w:rPr>
        <w:t xml:space="preserve"> a n</w:t>
      </w:r>
      <w:r w:rsidRPr="009D7455">
        <w:rPr>
          <w:color w:val="000000"/>
        </w:rPr>
        <w:t xml:space="preserve">ajlepszym rozwiązaniem dla RP byłoby, aby wszystkie państwa członkowskie UE podjęły jednocześnie wspólną decyzję o rozwiązaniu umów intra-EU BIT za obopólną zgodą na mocy </w:t>
      </w:r>
      <w:r w:rsidRPr="007F4AF0">
        <w:rPr>
          <w:color w:val="000000"/>
        </w:rPr>
        <w:t>Konwencji wiedeńskiej o prawie traktatów</w:t>
      </w:r>
      <w:r w:rsidR="00CB541D" w:rsidRPr="007F4AF0">
        <w:rPr>
          <w:color w:val="000000"/>
        </w:rPr>
        <w:t>,</w:t>
      </w:r>
      <w:r w:rsidR="007F4AF0">
        <w:rPr>
          <w:color w:val="000000"/>
        </w:rPr>
        <w:t xml:space="preserve"> sporządzonej w Wiedniu dnia 23 </w:t>
      </w:r>
      <w:r w:rsidRPr="007F4AF0">
        <w:rPr>
          <w:color w:val="000000"/>
        </w:rPr>
        <w:t>maja 1969 r. (</w:t>
      </w:r>
      <w:r w:rsidRPr="009D7455">
        <w:rPr>
          <w:color w:val="000000"/>
        </w:rPr>
        <w:t>Dz. U. z 1990 r.</w:t>
      </w:r>
      <w:r w:rsidR="00DA0829" w:rsidRPr="009D7455">
        <w:rPr>
          <w:color w:val="000000"/>
        </w:rPr>
        <w:t xml:space="preserve"> poz. 439</w:t>
      </w:r>
      <w:r w:rsidRPr="009D7455">
        <w:rPr>
          <w:color w:val="000000"/>
        </w:rPr>
        <w:t>). Alternatywnie, w przypadku braku możliwości osiągnięcia wśród państw członkowskich UE taki</w:t>
      </w:r>
      <w:r w:rsidR="009D7455">
        <w:rPr>
          <w:color w:val="000000"/>
        </w:rPr>
        <w:t>ej jednomyślności</w:t>
      </w:r>
      <w:r w:rsidR="00C84F62">
        <w:rPr>
          <w:color w:val="000000"/>
        </w:rPr>
        <w:t>, RP,</w:t>
      </w:r>
      <w:r w:rsidR="009D7455">
        <w:rPr>
          <w:color w:val="000000"/>
        </w:rPr>
        <w:t xml:space="preserve"> zgodnie z</w:t>
      </w:r>
      <w:r w:rsidR="007F4AF0">
        <w:rPr>
          <w:color w:val="000000"/>
        </w:rPr>
        <w:t xml:space="preserve"> </w:t>
      </w:r>
      <w:r w:rsidRPr="009D7455">
        <w:rPr>
          <w:color w:val="000000"/>
        </w:rPr>
        <w:t xml:space="preserve">powyższym stanowiskiem, </w:t>
      </w:r>
      <w:r w:rsidR="0055485C" w:rsidRPr="009D7455">
        <w:rPr>
          <w:color w:val="000000"/>
        </w:rPr>
        <w:t xml:space="preserve">miała </w:t>
      </w:r>
      <w:r w:rsidRPr="009D7455">
        <w:rPr>
          <w:color w:val="000000"/>
        </w:rPr>
        <w:t>rozwią</w:t>
      </w:r>
      <w:r w:rsidR="0055485C" w:rsidRPr="009D7455">
        <w:rPr>
          <w:color w:val="000000"/>
        </w:rPr>
        <w:t xml:space="preserve">zać </w:t>
      </w:r>
      <w:r w:rsidR="007F4AF0">
        <w:rPr>
          <w:color w:val="000000"/>
        </w:rPr>
        <w:t>umowy intra-EU BIT zawarte z </w:t>
      </w:r>
      <w:r w:rsidRPr="009D7455">
        <w:rPr>
          <w:color w:val="000000"/>
        </w:rPr>
        <w:t>innymi państwami członkowskimi UE albo poprzez ich wypowiedzenie na warunkach określonych w tych umowach</w:t>
      </w:r>
      <w:r w:rsidR="00CB541D" w:rsidRPr="009D7455">
        <w:rPr>
          <w:color w:val="000000"/>
        </w:rPr>
        <w:t>,</w:t>
      </w:r>
      <w:r w:rsidRPr="009D7455">
        <w:rPr>
          <w:color w:val="000000"/>
        </w:rPr>
        <w:t xml:space="preserve"> albo na podstawie porozumienia stron. </w:t>
      </w:r>
    </w:p>
    <w:p w:rsidR="0050673E" w:rsidRPr="009D7455" w:rsidRDefault="0050673E" w:rsidP="009D7455">
      <w:pPr>
        <w:widowControl w:val="0"/>
        <w:autoSpaceDE w:val="0"/>
        <w:autoSpaceDN w:val="0"/>
        <w:adjustRightInd w:val="0"/>
        <w:spacing w:before="120" w:line="360" w:lineRule="auto"/>
        <w:jc w:val="both"/>
        <w:rPr>
          <w:i/>
          <w:color w:val="000000"/>
        </w:rPr>
      </w:pPr>
      <w:r w:rsidRPr="009D7455">
        <w:rPr>
          <w:color w:val="000000"/>
        </w:rPr>
        <w:t xml:space="preserve">W odpowiedzi RP skierowanej do Komisji Europejskiej we wrześniu 2015 r. w ramach ww. postępowania EU Pilot RP podtrzymała gotowość do zakończenia obowiązywania </w:t>
      </w:r>
      <w:r w:rsidRPr="009D7455">
        <w:rPr>
          <w:color w:val="000000"/>
        </w:rPr>
        <w:lastRenderedPageBreak/>
        <w:t xml:space="preserve">umów intra-EU BIT zawartych przez RP z innymi państwami członkowskimi UE. Wskazała, że spośród dostępnych i analizowanych przez RP metod </w:t>
      </w:r>
      <w:r w:rsidR="00C84F62">
        <w:rPr>
          <w:color w:val="000000"/>
        </w:rPr>
        <w:t>osiągnięcia powyższego celu</w:t>
      </w:r>
      <w:r w:rsidRPr="009D7455">
        <w:rPr>
          <w:color w:val="000000"/>
        </w:rPr>
        <w:t xml:space="preserve">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DA0829" w:rsidRPr="009D7455">
        <w:rPr>
          <w:color w:val="000000"/>
        </w:rPr>
        <w:t xml:space="preserve">klauzula </w:t>
      </w:r>
      <w:r w:rsidR="00544C54" w:rsidRPr="009D7455">
        <w:rPr>
          <w:color w:val="000000"/>
        </w:rPr>
        <w:t xml:space="preserve">przedłużonego obowiązywania umowy, </w:t>
      </w:r>
      <w:r w:rsidRPr="009D7455">
        <w:rPr>
          <w:i/>
          <w:color w:val="000000"/>
        </w:rPr>
        <w:t>sunset clause</w:t>
      </w:r>
      <w:r w:rsidRPr="009D7455">
        <w:rPr>
          <w:color w:val="000000"/>
        </w:rPr>
        <w:t xml:space="preserve">). O wiele lepszym sposobem, jak Polska wskazała, byłoby rozwiązanie umów intra-EU BIT na podstawie porozumień dwustronnych, które przewidywałyby rezygnację z </w:t>
      </w:r>
      <w:r w:rsidR="00DA0829" w:rsidRPr="009D7455">
        <w:rPr>
          <w:color w:val="000000"/>
        </w:rPr>
        <w:t>klauzul</w:t>
      </w:r>
      <w:r w:rsidR="00544C54" w:rsidRPr="009D7455">
        <w:rPr>
          <w:color w:val="000000"/>
        </w:rPr>
        <w:t xml:space="preserve">i przedłużonego obowiązywania umowy. </w:t>
      </w:r>
      <w:r w:rsidRPr="009D7455">
        <w:rPr>
          <w:color w:val="000000"/>
        </w:rPr>
        <w:t xml:space="preserve">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DA0829" w:rsidRPr="009D7455">
        <w:rPr>
          <w:color w:val="000000"/>
        </w:rPr>
        <w:t>klauzul</w:t>
      </w:r>
      <w:r w:rsidR="00544C54" w:rsidRPr="009D7455">
        <w:rPr>
          <w:color w:val="000000"/>
        </w:rPr>
        <w:t xml:space="preserve"> przedłużonego obowiązywania umowy, </w:t>
      </w:r>
      <w:r w:rsidRPr="009D7455">
        <w:rPr>
          <w:color w:val="000000"/>
        </w:rPr>
        <w:t xml:space="preserve">w oparciu o porozumienie wielostronne, zawarte zgodnie z </w:t>
      </w:r>
      <w:r w:rsidRPr="007F4AF0">
        <w:rPr>
          <w:color w:val="000000"/>
        </w:rPr>
        <w:t>Konwencją wiedeńską o prawie traktatów</w:t>
      </w:r>
      <w:r w:rsidR="00CB541D" w:rsidRPr="007F4AF0">
        <w:rPr>
          <w:color w:val="000000"/>
        </w:rPr>
        <w:t>,</w:t>
      </w:r>
      <w:r w:rsidRPr="007F4AF0">
        <w:rPr>
          <w:color w:val="000000"/>
        </w:rPr>
        <w:t xml:space="preserve"> sporządz</w:t>
      </w:r>
      <w:r w:rsidR="007F4AF0">
        <w:rPr>
          <w:color w:val="000000"/>
        </w:rPr>
        <w:t>oną w Wiedniu dnia 23 maja 1969</w:t>
      </w:r>
      <w:r w:rsidR="008E6A7A">
        <w:rPr>
          <w:color w:val="000000"/>
        </w:rPr>
        <w:t xml:space="preserve"> r.</w:t>
      </w:r>
    </w:p>
    <w:p w:rsidR="001155A2" w:rsidRPr="009D7455" w:rsidRDefault="001155A2" w:rsidP="009D7455">
      <w:pPr>
        <w:spacing w:before="120" w:line="360" w:lineRule="auto"/>
        <w:contextualSpacing/>
        <w:jc w:val="both"/>
      </w:pPr>
      <w:r w:rsidRPr="009D7455">
        <w:rPr>
          <w:rFonts w:eastAsia="Calibri"/>
        </w:rPr>
        <w:t xml:space="preserve">Obecnie jednak z uwagi na brak konsensusu państw członkowskich UE co do celowości i sposobu rozwiązania umów intra-EU BIT zasadne jest przystąpienie RP do realizacji opcji </w:t>
      </w:r>
      <w:r w:rsidRPr="009D7455">
        <w:t xml:space="preserve">rozwiązania tych umów na podstawie porozumień dwustronnych, które przewidywałyby rezygnację z klauzul przedłużonego obowiązywania umowy. Republika Bułgarii nie jest obecnie zainteresowana rozwiązaniem z RP ww. Umowy, łącznie z ww. klauzulą. Zatem w opinii RP zasadne jest wypowiedzenie Umowy. Zgodnie z art. 13 ust. 1 Umowa może być wypowiedziana przez każdą z Umawiających się Stron z zachowaniem dwunastomiesięcznego okresu wypowiedzenia </w:t>
      </w:r>
      <w:r w:rsidR="009D7455">
        <w:t>jedynie w </w:t>
      </w:r>
      <w:r w:rsidRPr="009D7455">
        <w:t xml:space="preserve">okresie poprzedzającym zakończenie jej dziesięcioletniego cyklu obowiązywania (oświadczenie o wypowiedzeniu Umowy należy złożyć najpóźniej dnia </w:t>
      </w:r>
      <w:r w:rsidR="00BD0EA9" w:rsidRPr="009D7455">
        <w:t>9</w:t>
      </w:r>
      <w:r w:rsidRPr="009D7455">
        <w:t xml:space="preserve"> marca 2024 r.</w:t>
      </w:r>
      <w:r w:rsidR="008C58D7" w:rsidRPr="009D7455">
        <w:t>,</w:t>
      </w:r>
      <w:r w:rsidRPr="009D7455">
        <w:t xml:space="preserve"> a </w:t>
      </w:r>
      <w:r w:rsidR="00B052B8" w:rsidRPr="009D7455">
        <w:t>po tym terminie</w:t>
      </w:r>
      <w:r w:rsidRPr="009D7455">
        <w:t xml:space="preserve"> dopiero dnia </w:t>
      </w:r>
      <w:r w:rsidR="00BD0EA9" w:rsidRPr="009D7455">
        <w:t>9</w:t>
      </w:r>
      <w:r w:rsidRPr="009D7455">
        <w:t xml:space="preserve"> marca 2034 r.). Na podstawie art. 13 ust. 2 inwestycje dokonane przed wejściem w życie wypowiedzenia Umowy będą chronione na mocy tej </w:t>
      </w:r>
      <w:r w:rsidRPr="009D7455">
        <w:lastRenderedPageBreak/>
        <w:t xml:space="preserve">Umowy przez dziesięć lat od czasu wygaśnięcia Umowy. Jednocześnie RP będzie kontynuowała konsultacje z Republiką Bułgarii mające na celu doprowadzenie do rozwiązania Umowy, łącznie z klauzulą przedłużonego obowiązywania umowy. </w:t>
      </w:r>
      <w:r w:rsidR="009D7455">
        <w:t>W </w:t>
      </w:r>
      <w:r w:rsidRPr="009D7455">
        <w:t>przypadku uzyskania takiej zgody przed wejściem w życie wypowiedzenia Umowy RP podejmie działania mające na celu zakończenie</w:t>
      </w:r>
      <w:r w:rsidR="009D7455">
        <w:t xml:space="preserve"> obowiązywania Umowy, łącznie z </w:t>
      </w:r>
      <w:r w:rsidRPr="009D7455">
        <w:t xml:space="preserve">ww. klauzulą. </w:t>
      </w:r>
    </w:p>
    <w:p w:rsidR="00271D07" w:rsidRPr="009D7455" w:rsidRDefault="00271D07" w:rsidP="00464A60">
      <w:pPr>
        <w:spacing w:before="240" w:line="360" w:lineRule="auto"/>
        <w:rPr>
          <w:rFonts w:cs="Arial"/>
          <w:b/>
          <w:color w:val="000000"/>
        </w:rPr>
      </w:pPr>
      <w:r w:rsidRPr="009D7455">
        <w:rPr>
          <w:rFonts w:cs="Arial"/>
          <w:b/>
          <w:color w:val="000000"/>
        </w:rPr>
        <w:t>2. Dotychczasowy a projektowany stan prawny</w:t>
      </w:r>
    </w:p>
    <w:p w:rsidR="00C60C98" w:rsidRPr="009D7455" w:rsidRDefault="00322249" w:rsidP="009D7455">
      <w:pPr>
        <w:tabs>
          <w:tab w:val="left" w:pos="540"/>
        </w:tabs>
        <w:spacing w:before="120" w:line="360" w:lineRule="auto"/>
        <w:jc w:val="both"/>
      </w:pPr>
      <w:r w:rsidRPr="009D7455">
        <w:t>W polsko</w:t>
      </w:r>
      <w:r w:rsidR="009D7455">
        <w:t>-</w:t>
      </w:r>
      <w:r w:rsidR="009A3890" w:rsidRPr="009D7455">
        <w:t xml:space="preserve">bułgarskich </w:t>
      </w:r>
      <w:r w:rsidRPr="009D7455">
        <w:t>stosunkach prawno</w:t>
      </w:r>
      <w:r w:rsidR="009D7455">
        <w:t>-</w:t>
      </w:r>
      <w:r w:rsidRPr="009D7455">
        <w:t xml:space="preserve">traktatowych w zakresie współpracy gospodarczej obowiązuje </w:t>
      </w:r>
      <w:r w:rsidR="00DA0829" w:rsidRPr="009D7455">
        <w:t xml:space="preserve">m.in. </w:t>
      </w:r>
      <w:r w:rsidR="00FC0C80" w:rsidRPr="009D7455">
        <w:t xml:space="preserve">ww. </w:t>
      </w:r>
      <w:r w:rsidR="00DA4F8F" w:rsidRPr="007F4AF0">
        <w:rPr>
          <w:szCs w:val="26"/>
        </w:rPr>
        <w:t xml:space="preserve">Umowa </w:t>
      </w:r>
      <w:r w:rsidR="009A3890" w:rsidRPr="007F4AF0">
        <w:rPr>
          <w:szCs w:val="26"/>
        </w:rPr>
        <w:t xml:space="preserve">między Rządem Rzeczypospolitej Polskiej </w:t>
      </w:r>
      <w:r w:rsidR="009D7455" w:rsidRPr="007F4AF0">
        <w:rPr>
          <w:szCs w:val="26"/>
        </w:rPr>
        <w:t>a </w:t>
      </w:r>
      <w:r w:rsidR="009A3890" w:rsidRPr="007F4AF0">
        <w:rPr>
          <w:szCs w:val="26"/>
        </w:rPr>
        <w:t>Rządem Republiki Bułgarii w sprawie wzajemnego popierania i ochrony inwestycji, sporządzon</w:t>
      </w:r>
      <w:r w:rsidR="008C6C71" w:rsidRPr="007F4AF0">
        <w:rPr>
          <w:szCs w:val="26"/>
        </w:rPr>
        <w:t>a</w:t>
      </w:r>
      <w:r w:rsidR="009A3890" w:rsidRPr="007F4AF0">
        <w:rPr>
          <w:szCs w:val="26"/>
        </w:rPr>
        <w:t xml:space="preserve"> w Warszawie dnia 11 kwietnia 1994 r.</w:t>
      </w:r>
      <w:r w:rsidR="009A3890" w:rsidRPr="009D7455">
        <w:rPr>
          <w:i/>
          <w:szCs w:val="26"/>
        </w:rPr>
        <w:t xml:space="preserve"> </w:t>
      </w:r>
      <w:r w:rsidR="00C60C98" w:rsidRPr="009D7455">
        <w:rPr>
          <w:szCs w:val="26"/>
        </w:rPr>
        <w:t xml:space="preserve">Zapewnia ona inwestorowi i jego inwestycjom </w:t>
      </w:r>
      <w:r w:rsidR="00C84F62">
        <w:rPr>
          <w:szCs w:val="26"/>
        </w:rPr>
        <w:t>z państwa-</w:t>
      </w:r>
      <w:r w:rsidR="0050673E" w:rsidRPr="009D7455">
        <w:rPr>
          <w:szCs w:val="26"/>
        </w:rPr>
        <w:t>S</w:t>
      </w:r>
      <w:r w:rsidR="004053DE" w:rsidRPr="009D7455">
        <w:rPr>
          <w:szCs w:val="26"/>
        </w:rPr>
        <w:t xml:space="preserve">trony </w:t>
      </w:r>
      <w:r w:rsidR="00175C36" w:rsidRPr="009D7455">
        <w:rPr>
          <w:szCs w:val="26"/>
        </w:rPr>
        <w:t>U</w:t>
      </w:r>
      <w:r w:rsidR="00C84F62">
        <w:rPr>
          <w:szCs w:val="26"/>
        </w:rPr>
        <w:t>mowy na terytorium państwa-</w:t>
      </w:r>
      <w:r w:rsidR="004053DE" w:rsidRPr="009D7455">
        <w:rPr>
          <w:szCs w:val="26"/>
        </w:rPr>
        <w:t xml:space="preserve">drugiej </w:t>
      </w:r>
      <w:r w:rsidR="0050673E" w:rsidRPr="009D7455">
        <w:rPr>
          <w:szCs w:val="26"/>
        </w:rPr>
        <w:t>S</w:t>
      </w:r>
      <w:r w:rsidR="004053DE" w:rsidRPr="009D7455">
        <w:rPr>
          <w:szCs w:val="26"/>
        </w:rPr>
        <w:t xml:space="preserve">trony </w:t>
      </w:r>
      <w:r w:rsidR="00175C36" w:rsidRPr="009D7455">
        <w:rPr>
          <w:szCs w:val="26"/>
        </w:rPr>
        <w:t xml:space="preserve">Umowy </w:t>
      </w:r>
      <w:r w:rsidR="00FC4D37" w:rsidRPr="009D7455">
        <w:rPr>
          <w:szCs w:val="26"/>
        </w:rPr>
        <w:t xml:space="preserve">pełną ochronę </w:t>
      </w:r>
      <w:r w:rsidR="009456A4" w:rsidRPr="009D7455">
        <w:rPr>
          <w:szCs w:val="26"/>
        </w:rPr>
        <w:t>oraz możliwość dochodzenia roszczeń przed międzynarodowym trybunałem inwestycyjnym</w:t>
      </w:r>
      <w:r w:rsidR="00DA0829" w:rsidRPr="009D7455">
        <w:rPr>
          <w:szCs w:val="26"/>
        </w:rPr>
        <w:t xml:space="preserve"> (arbitrażowym)</w:t>
      </w:r>
      <w:r w:rsidR="009456A4" w:rsidRPr="009D7455">
        <w:rPr>
          <w:szCs w:val="26"/>
        </w:rPr>
        <w:t xml:space="preserve">. Komisja Europejska </w:t>
      </w:r>
      <w:r w:rsidR="00C60C98" w:rsidRPr="009D7455">
        <w:t xml:space="preserve">ma poważne obawy, że </w:t>
      </w:r>
      <w:r w:rsidR="00FC4D37" w:rsidRPr="009D7455">
        <w:t xml:space="preserve">umowy intra-EU BIT jako takie, w tym </w:t>
      </w:r>
      <w:r w:rsidR="00FC0C80" w:rsidRPr="009D7455">
        <w:t xml:space="preserve">ww. </w:t>
      </w:r>
      <w:r w:rsidR="00FC4D37" w:rsidRPr="009D7455">
        <w:t>Umowa</w:t>
      </w:r>
      <w:r w:rsidR="00FC0C80" w:rsidRPr="009D7455">
        <w:t>,</w:t>
      </w:r>
      <w:r w:rsidR="00D24B98" w:rsidRPr="009D7455">
        <w:t xml:space="preserve"> </w:t>
      </w:r>
      <w:r w:rsidR="00C60C98" w:rsidRPr="009D7455">
        <w:t>a także ich poszczególne postanowienia</w:t>
      </w:r>
      <w:r w:rsidR="00FC4D37" w:rsidRPr="009D7455">
        <w:t xml:space="preserve"> </w:t>
      </w:r>
      <w:r w:rsidR="00C60C98" w:rsidRPr="009D7455">
        <w:t xml:space="preserve">pokrywają się z postanowieniami Traktatu o funkcjonowaniu Unii Europejskiej </w:t>
      </w:r>
      <w:r w:rsidR="00DA0829" w:rsidRPr="009D7455">
        <w:t>lub</w:t>
      </w:r>
      <w:r w:rsidR="00C60C98" w:rsidRPr="009D7455">
        <w:t xml:space="preserve"> mogą być z nimi sprzeczne, w szczególności z zasadami swobody przepływu kapitału, swobody przedsiębiorczości i s</w:t>
      </w:r>
      <w:r w:rsidR="009D7455">
        <w:t>wobody świadczenia usług oraz z </w:t>
      </w:r>
      <w:r w:rsidR="00C60C98" w:rsidRPr="009D7455">
        <w:t>podstawowymi zasadami prawa U</w:t>
      </w:r>
      <w:r w:rsidR="00FC4D37" w:rsidRPr="009D7455">
        <w:t xml:space="preserve">E </w:t>
      </w:r>
      <w:r w:rsidR="00C60C98" w:rsidRPr="009D7455">
        <w:t>takimi jak</w:t>
      </w:r>
      <w:r w:rsidR="0059545F" w:rsidRPr="009D7455">
        <w:t>:</w:t>
      </w:r>
      <w:r w:rsidR="00C60C98" w:rsidRPr="009D7455">
        <w:t xml:space="preserve"> zasad</w:t>
      </w:r>
      <w:r w:rsidR="0059545F" w:rsidRPr="009D7455">
        <w:t>a</w:t>
      </w:r>
      <w:r w:rsidR="00C60C98" w:rsidRPr="009D7455">
        <w:t xml:space="preserve"> nadrzędności, jedności</w:t>
      </w:r>
      <w:r w:rsidR="0059545F" w:rsidRPr="009D7455">
        <w:t xml:space="preserve">, </w:t>
      </w:r>
      <w:r w:rsidR="00C60C98" w:rsidRPr="009D7455">
        <w:t xml:space="preserve">skuteczności </w:t>
      </w:r>
      <w:r w:rsidR="0059545F" w:rsidRPr="009D7455">
        <w:t xml:space="preserve">i pewności </w:t>
      </w:r>
      <w:r w:rsidR="00C60C98" w:rsidRPr="009D7455">
        <w:t>prawa U</w:t>
      </w:r>
      <w:r w:rsidR="00FC4D37" w:rsidRPr="009D7455">
        <w:t>E</w:t>
      </w:r>
      <w:r w:rsidR="0059545F" w:rsidRPr="009D7455">
        <w:t xml:space="preserve">. </w:t>
      </w:r>
      <w:r w:rsidR="00C60C98" w:rsidRPr="009D7455">
        <w:t>Komisj</w:t>
      </w:r>
      <w:r w:rsidR="00DA0829" w:rsidRPr="009D7455">
        <w:t>a</w:t>
      </w:r>
      <w:r w:rsidR="00C60C98" w:rsidRPr="009D7455">
        <w:t xml:space="preserve"> </w:t>
      </w:r>
      <w:r w:rsidR="00FC4D37" w:rsidRPr="009D7455">
        <w:t>Europejsk</w:t>
      </w:r>
      <w:r w:rsidR="00DA0829" w:rsidRPr="009D7455">
        <w:t xml:space="preserve">a ma </w:t>
      </w:r>
      <w:r w:rsidR="00C60C98" w:rsidRPr="009D7455">
        <w:t xml:space="preserve">również </w:t>
      </w:r>
      <w:r w:rsidR="00DA0829" w:rsidRPr="009D7455">
        <w:t xml:space="preserve">zastrzeżenia dotyczące </w:t>
      </w:r>
      <w:r w:rsidR="00C60C98" w:rsidRPr="009D7455">
        <w:t xml:space="preserve">kwestii rozstrzygania sporów inwestycyjnych uregulowanej w dwustronnych umowach inwestycyjnych, </w:t>
      </w:r>
      <w:r w:rsidR="0059545F" w:rsidRPr="009D7455">
        <w:t xml:space="preserve">w tym w ww. Umowie, </w:t>
      </w:r>
      <w:r w:rsidR="00C60C98" w:rsidRPr="009D7455">
        <w:t>co</w:t>
      </w:r>
      <w:r w:rsidR="00DA0829" w:rsidRPr="009D7455">
        <w:t>, zdaniem Komisji Europejskiej</w:t>
      </w:r>
      <w:r w:rsidR="00E458B9" w:rsidRPr="009D7455">
        <w:t>,</w:t>
      </w:r>
      <w:r w:rsidR="00DA0829" w:rsidRPr="009D7455">
        <w:t xml:space="preserve"> „</w:t>
      </w:r>
      <w:r w:rsidR="00C60C98" w:rsidRPr="009D7455">
        <w:t>wydaje się być sprzeczne z wyłączną kompetencją sądów UE</w:t>
      </w:r>
      <w:r w:rsidR="00DA0829" w:rsidRPr="009D7455">
        <w:t>”</w:t>
      </w:r>
      <w:r w:rsidR="00C60C98" w:rsidRPr="009D7455">
        <w:t>.</w:t>
      </w:r>
      <w:r w:rsidR="00FC4D37" w:rsidRPr="009D7455">
        <w:t xml:space="preserve"> </w:t>
      </w:r>
      <w:r w:rsidR="00692D44" w:rsidRPr="009D7455">
        <w:t xml:space="preserve">Wypowiedzenie Umowy </w:t>
      </w:r>
      <w:r w:rsidR="00FC4D37" w:rsidRPr="009D7455">
        <w:t>pozwoli doprowadzić do zgodności z prawem UE stosunki pols</w:t>
      </w:r>
      <w:r w:rsidR="003C0FDC">
        <w:t>ko-</w:t>
      </w:r>
      <w:r w:rsidR="009A3890" w:rsidRPr="009D7455">
        <w:t xml:space="preserve">bułgarskie </w:t>
      </w:r>
      <w:r w:rsidR="003C0FDC">
        <w:t>w </w:t>
      </w:r>
      <w:r w:rsidR="00FC4D37" w:rsidRPr="009D7455">
        <w:t xml:space="preserve">zakresie współpracy gospodarczej. </w:t>
      </w:r>
    </w:p>
    <w:p w:rsidR="007F0B7C" w:rsidRPr="009D7455" w:rsidRDefault="0041618D" w:rsidP="009D7455">
      <w:pPr>
        <w:widowControl w:val="0"/>
        <w:autoSpaceDE w:val="0"/>
        <w:autoSpaceDN w:val="0"/>
        <w:adjustRightInd w:val="0"/>
        <w:spacing w:before="120" w:line="360" w:lineRule="auto"/>
        <w:jc w:val="both"/>
      </w:pPr>
      <w:r w:rsidRPr="009D7455">
        <w:t xml:space="preserve">Należy też zaznaczyć, że jednocześnie przed Trybunałem Sprawiedliwości UE </w:t>
      </w:r>
      <w:r w:rsidR="0050673E" w:rsidRPr="009D7455">
        <w:t xml:space="preserve">toczy się </w:t>
      </w:r>
      <w:r w:rsidRPr="009D7455">
        <w:t>postępowanie z wniosku sądu niemieckiego o wydanie orzeczenia w trybie prejudycjalnym, sformułowan</w:t>
      </w:r>
      <w:r w:rsidR="009F536E" w:rsidRPr="009D7455">
        <w:t>ego</w:t>
      </w:r>
      <w:r w:rsidRPr="009D7455">
        <w:t xml:space="preserve"> w toku postępowania ze skargi Republiki Słowackiej o uchylenie wyroku sądu arbitrażowego wydanego na podstawie umowy intra-EU BIT zawartej pomiędzy Czechosłowacją i Królestwem Niderlandów w 1991 r.</w:t>
      </w:r>
      <w:r w:rsidR="00C84F62">
        <w:t>,</w:t>
      </w:r>
      <w:r w:rsidRPr="009D7455">
        <w:t xml:space="preserve"> z powództwa Achmea B.V. przeciwko Republice Słowacji (postępowanie PCA Case No. 2008-13). W tej sprawie sąd niemiecki zwrócił się do TSUE z pytaniem prejudycjalnym dotyczącym tego, czy wykonanie wyroku wydanego na podstawie tej umowy nie </w:t>
      </w:r>
      <w:r w:rsidRPr="009D7455">
        <w:lastRenderedPageBreak/>
        <w:t>naruszałoby postanowień Traktatów dotyczących: zakazu dyskryminacji z art. 18 TFUE (poprzez uprzywi</w:t>
      </w:r>
      <w:r w:rsidR="00D5548A">
        <w:t>lejowanie inwestora z państwa-</w:t>
      </w:r>
      <w:r w:rsidRPr="009D7455">
        <w:t>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w:t>
      </w:r>
      <w:r w:rsidR="001155A2" w:rsidRPr="009D7455">
        <w:t xml:space="preserve">jska i wiele państw regionu. </w:t>
      </w:r>
      <w:r w:rsidR="007F0B7C" w:rsidRPr="009D7455">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007F0B7C" w:rsidRPr="007F4AF0">
        <w:rPr>
          <w:color w:val="000000"/>
        </w:rPr>
        <w:t>Konwencji wiedeńskiej o prawie traktatów, sporządzonej w Wiedniu dnia 23 maja 1969 r.</w:t>
      </w:r>
      <w:r w:rsidR="007F0B7C" w:rsidRPr="009D7455">
        <w:rPr>
          <w:i/>
          <w:color w:val="000000"/>
        </w:rPr>
        <w:t xml:space="preserve"> </w:t>
      </w:r>
      <w:r w:rsidR="007F0B7C" w:rsidRPr="009D7455">
        <w:t>w związku z zawarciem przez RP Traktatu Akcesyjnego do UE w zakresie, w</w:t>
      </w:r>
      <w:r w:rsidR="003C0FDC">
        <w:t xml:space="preserve"> którym umowy te są niezgodne z </w:t>
      </w:r>
      <w:r w:rsidR="007F0B7C" w:rsidRPr="009D7455">
        <w:t>prawem UE.</w:t>
      </w:r>
    </w:p>
    <w:p w:rsidR="00271D07" w:rsidRPr="009D7455" w:rsidRDefault="00271D07" w:rsidP="00464A60">
      <w:pPr>
        <w:spacing w:before="240" w:line="360" w:lineRule="auto"/>
        <w:rPr>
          <w:b/>
        </w:rPr>
      </w:pPr>
      <w:r w:rsidRPr="009D7455">
        <w:rPr>
          <w:b/>
        </w:rPr>
        <w:t>3. Przewidywane skutki społeczne, gospodarcze, finansowe, polityczne i prawne</w:t>
      </w:r>
    </w:p>
    <w:p w:rsidR="00D24B98" w:rsidRPr="009D7455" w:rsidRDefault="00ED463B" w:rsidP="009D7455">
      <w:pPr>
        <w:spacing w:before="120" w:line="360" w:lineRule="auto"/>
        <w:jc w:val="both"/>
        <w:rPr>
          <w:b/>
          <w:sz w:val="20"/>
          <w:szCs w:val="20"/>
        </w:rPr>
      </w:pPr>
      <w:r w:rsidRPr="009D7455">
        <w:t>Wypowiedzenie Umowy</w:t>
      </w:r>
      <w:r w:rsidR="00684F29" w:rsidRPr="009D7455">
        <w:t xml:space="preserve"> nie powinno mieć konsekwencji politycznych. Państwa członkowskie UE, w tym RP</w:t>
      </w:r>
      <w:r w:rsidR="00CB541D" w:rsidRPr="009D7455">
        <w:t>,</w:t>
      </w:r>
      <w:r w:rsidR="00684F29" w:rsidRPr="009D7455">
        <w:t xml:space="preserve"> jak i Republika </w:t>
      </w:r>
      <w:r w:rsidR="009A3890" w:rsidRPr="009D7455">
        <w:t>Bułgarii</w:t>
      </w:r>
      <w:r w:rsidR="00DA4F8F" w:rsidRPr="009D7455">
        <w:t xml:space="preserve">, </w:t>
      </w:r>
      <w:r w:rsidR="00684F29" w:rsidRPr="009D7455">
        <w:t xml:space="preserve">zostały wezwane przez Komisję Europejską do </w:t>
      </w:r>
      <w:r w:rsidR="00671318" w:rsidRPr="009D7455">
        <w:t xml:space="preserve">zakończenia obowiązywania </w:t>
      </w:r>
      <w:r w:rsidR="00684F29" w:rsidRPr="009D7455">
        <w:t xml:space="preserve">umów intra-EU BIT. </w:t>
      </w:r>
    </w:p>
    <w:p w:rsidR="00271D07" w:rsidRPr="009D7455" w:rsidRDefault="00ED463B" w:rsidP="009D7455">
      <w:pPr>
        <w:pStyle w:val="Tekstpodstawowy"/>
        <w:spacing w:before="120" w:after="0" w:line="360" w:lineRule="auto"/>
        <w:jc w:val="both"/>
      </w:pPr>
      <w:r w:rsidRPr="009D7455">
        <w:t xml:space="preserve">Wypowiedzenie Umowy </w:t>
      </w:r>
      <w:r w:rsidR="00366190" w:rsidRPr="009D7455">
        <w:t xml:space="preserve">nie będzie miało </w:t>
      </w:r>
      <w:r w:rsidR="00FC4D37" w:rsidRPr="009D7455">
        <w:t xml:space="preserve">negatywnych </w:t>
      </w:r>
      <w:r w:rsidR="00366190" w:rsidRPr="009D7455">
        <w:t xml:space="preserve">skutków </w:t>
      </w:r>
      <w:r w:rsidR="00271D07" w:rsidRPr="009D7455">
        <w:t>społecznych</w:t>
      </w:r>
      <w:r w:rsidR="00FC4D37" w:rsidRPr="009D7455">
        <w:t>, wręcz przeciwnie</w:t>
      </w:r>
      <w:r w:rsidR="00FC0C80" w:rsidRPr="009D7455">
        <w:t>,</w:t>
      </w:r>
      <w:r w:rsidR="00FC4D37" w:rsidRPr="009D7455">
        <w:t xml:space="preserve"> należy oczekiwać, że zostanie ono życzliwie przyjęte z uwagi na publiczną krytykę w Polsce umów intra-EU BIT i międzynarodowego arbitrażu inwestycyjnego. </w:t>
      </w:r>
    </w:p>
    <w:p w:rsidR="00DC156D" w:rsidRPr="009D7455" w:rsidRDefault="00ED463B" w:rsidP="009D7455">
      <w:pPr>
        <w:tabs>
          <w:tab w:val="left" w:pos="720"/>
        </w:tabs>
        <w:autoSpaceDE w:val="0"/>
        <w:autoSpaceDN w:val="0"/>
        <w:adjustRightInd w:val="0"/>
        <w:spacing w:before="120" w:line="360" w:lineRule="auto"/>
        <w:jc w:val="both"/>
      </w:pPr>
      <w:r w:rsidRPr="009D7455">
        <w:t xml:space="preserve">Wypowiedzenie Umowy </w:t>
      </w:r>
      <w:r w:rsidR="00DC156D" w:rsidRPr="009D7455">
        <w:t xml:space="preserve">nie powinno wpłynąć na stosunki gospodarcze między RP </w:t>
      </w:r>
      <w:r w:rsidR="003C0FDC">
        <w:t>a </w:t>
      </w:r>
      <w:r w:rsidR="00DC156D" w:rsidRPr="009D7455">
        <w:t xml:space="preserve">Republiką </w:t>
      </w:r>
      <w:r w:rsidR="009A3890" w:rsidRPr="009D7455">
        <w:t>Bułgarii. Umowę zawarto w czasie, kiedy ani RP</w:t>
      </w:r>
      <w:r w:rsidR="00676F4C">
        <w:t>,</w:t>
      </w:r>
      <w:r w:rsidR="009A3890" w:rsidRPr="009D7455">
        <w:t xml:space="preserve"> ani Republika Bułgarii nie były członkami UE. Obecnie, w obu państwach, poziom prawodawstwa oraz dostęp do powszechnego sądownictwa dają inwestorom zagranicznym gwarancję ochrony inwestycji z możliwością dochodzenia swoich praw na drodze sądowej.</w:t>
      </w:r>
    </w:p>
    <w:p w:rsidR="009A3890" w:rsidRPr="009D7455" w:rsidRDefault="009A3890" w:rsidP="009D7455">
      <w:pPr>
        <w:spacing w:before="120" w:line="360" w:lineRule="auto"/>
        <w:jc w:val="both"/>
      </w:pPr>
      <w:r w:rsidRPr="009D7455">
        <w:t>Według NBP na koniec 201</w:t>
      </w:r>
      <w:r w:rsidR="00973ED9" w:rsidRPr="009D7455">
        <w:t>6</w:t>
      </w:r>
      <w:r w:rsidRPr="009D7455">
        <w:t xml:space="preserve"> r. wysokość bułgarskich inwestycji w RP wynosiła </w:t>
      </w:r>
      <w:r w:rsidR="003C0FDC">
        <w:t>46,5 </w:t>
      </w:r>
      <w:r w:rsidR="00973ED9" w:rsidRPr="009D7455">
        <w:t xml:space="preserve">mln </w:t>
      </w:r>
      <w:r w:rsidRPr="009D7455">
        <w:t>EUR. Bułgarskie inwestycje bezpo</w:t>
      </w:r>
      <w:r w:rsidR="003C0FDC">
        <w:t>średnie to głównie inwestycje w </w:t>
      </w:r>
      <w:r w:rsidRPr="009D7455">
        <w:t xml:space="preserve">dystrybucję bułgarskich win (VINEX Slavyantsi, Black SEA Gold), dystrybucję wyrobów farmaceutycznych </w:t>
      </w:r>
      <w:r w:rsidR="001721AA" w:rsidRPr="009D7455">
        <w:t>(</w:t>
      </w:r>
      <w:r w:rsidRPr="009D7455">
        <w:t>Sopharma</w:t>
      </w:r>
      <w:r w:rsidR="001721AA" w:rsidRPr="009D7455">
        <w:t>)</w:t>
      </w:r>
      <w:r w:rsidR="0058422A" w:rsidRPr="009D7455">
        <w:t xml:space="preserve"> oraz </w:t>
      </w:r>
      <w:r w:rsidRPr="009D7455">
        <w:t xml:space="preserve">w dystrybucję części do wózków widłowych </w:t>
      </w:r>
      <w:r w:rsidR="001721AA" w:rsidRPr="009D7455">
        <w:t>(</w:t>
      </w:r>
      <w:r w:rsidRPr="009D7455">
        <w:t>POLCAR</w:t>
      </w:r>
      <w:r w:rsidR="001721AA" w:rsidRPr="009D7455">
        <w:t>)</w:t>
      </w:r>
      <w:r w:rsidRPr="009D7455">
        <w:t xml:space="preserve"> i sprzedaż maszyn do obróbki metalu </w:t>
      </w:r>
      <w:r w:rsidR="001721AA" w:rsidRPr="009D7455">
        <w:t>(</w:t>
      </w:r>
      <w:r w:rsidRPr="009D7455">
        <w:t>BULMACH</w:t>
      </w:r>
      <w:r w:rsidR="001721AA" w:rsidRPr="009D7455">
        <w:t>)</w:t>
      </w:r>
      <w:r w:rsidRPr="009D7455">
        <w:t xml:space="preserve">. </w:t>
      </w:r>
    </w:p>
    <w:p w:rsidR="009A3890" w:rsidRPr="009D7455" w:rsidRDefault="009A3890" w:rsidP="009D7455">
      <w:pPr>
        <w:spacing w:before="120" w:line="360" w:lineRule="auto"/>
        <w:jc w:val="both"/>
      </w:pPr>
      <w:r w:rsidRPr="009D7455">
        <w:lastRenderedPageBreak/>
        <w:t>Według danych NBP skumulowana wartość polskich inwestycji w Republice Bułgarii wyniosła na koniec 201</w:t>
      </w:r>
      <w:r w:rsidR="00973ED9" w:rsidRPr="009D7455">
        <w:t>6</w:t>
      </w:r>
      <w:r w:rsidRPr="009D7455">
        <w:t xml:space="preserve"> r. </w:t>
      </w:r>
      <w:r w:rsidR="0058723F" w:rsidRPr="009D7455">
        <w:t>87,2</w:t>
      </w:r>
      <w:r w:rsidR="00973ED9" w:rsidRPr="009D7455">
        <w:t xml:space="preserve"> </w:t>
      </w:r>
      <w:r w:rsidRPr="009D7455">
        <w:t>mln EUR. Największymi in</w:t>
      </w:r>
      <w:r w:rsidR="003C0FDC">
        <w:t>westorami polskimi w </w:t>
      </w:r>
      <w:r w:rsidRPr="009D7455">
        <w:t>Republice Bułgarii są: GLOBE TRADE CENTRE S.A. (budujący centra handlowe)</w:t>
      </w:r>
      <w:r w:rsidR="0058422A" w:rsidRPr="009D7455">
        <w:t xml:space="preserve">, </w:t>
      </w:r>
      <w:r w:rsidRPr="009D7455">
        <w:t>Katarzyna Estate LTD oraz Katarzyna Vinieyards LTD (producent win pod marką „Katarzyna”)</w:t>
      </w:r>
      <w:r w:rsidR="0058422A" w:rsidRPr="009D7455">
        <w:t xml:space="preserve">, </w:t>
      </w:r>
      <w:r w:rsidRPr="009D7455">
        <w:t>Gamrat S.A. (producent materiałów budowlanych z tworzyw sztucznych)</w:t>
      </w:r>
      <w:r w:rsidR="0058422A" w:rsidRPr="009D7455">
        <w:t xml:space="preserve">, </w:t>
      </w:r>
      <w:r w:rsidRPr="009D7455">
        <w:t>MASPEX – GMW S.A. (firma z branży przemysłu spożywczego)</w:t>
      </w:r>
      <w:r w:rsidR="000667C1" w:rsidRPr="009D7455">
        <w:t xml:space="preserve">, </w:t>
      </w:r>
      <w:r w:rsidRPr="009D7455">
        <w:t>Malborskie Zakłady Chemiczne S.A. (producent pianek meblowych oraz do innych zastosowań)</w:t>
      </w:r>
      <w:r w:rsidR="0058422A" w:rsidRPr="009D7455">
        <w:t xml:space="preserve">, </w:t>
      </w:r>
      <w:r w:rsidRPr="009D7455">
        <w:t>American Restaurants Sp. z o.o. (posiada prawa organizacji sieci p</w:t>
      </w:r>
      <w:r w:rsidR="009D7455">
        <w:t>lacówek gastronomicznych KFC i „</w:t>
      </w:r>
      <w:r w:rsidRPr="009D7455">
        <w:t>Pizza Hut”)</w:t>
      </w:r>
      <w:r w:rsidR="0058422A" w:rsidRPr="009D7455">
        <w:t xml:space="preserve">, </w:t>
      </w:r>
      <w:r w:rsidRPr="009D7455">
        <w:t>Grupa kapitałowa VOX (dystrybutor profili z polichlorku winylu)</w:t>
      </w:r>
      <w:r w:rsidR="0058422A" w:rsidRPr="009D7455">
        <w:t xml:space="preserve"> oraz</w:t>
      </w:r>
      <w:r w:rsidR="009D7455">
        <w:t xml:space="preserve"> </w:t>
      </w:r>
      <w:r w:rsidRPr="009D7455">
        <w:t xml:space="preserve">LPP S.A. (projektowanie i dystrybucja odzieży). Jednocześnie na uwagę zasługuje zjawisko </w:t>
      </w:r>
      <w:r w:rsidR="0058422A" w:rsidRPr="009D7455">
        <w:t xml:space="preserve">występowania </w:t>
      </w:r>
      <w:r w:rsidRPr="009D7455">
        <w:t>firm z polskim udziałem we własności</w:t>
      </w:r>
      <w:r w:rsidR="0058422A" w:rsidRPr="009D7455">
        <w:t>,</w:t>
      </w:r>
      <w:r w:rsidRPr="009D7455">
        <w:t xml:space="preserve"> założonych w związku z zakupami nieruchomości, w szczególności położonych nad Morzem Czarnym. Zgodnie z konstytucją</w:t>
      </w:r>
      <w:r w:rsidR="0058422A" w:rsidRPr="009D7455">
        <w:t xml:space="preserve"> Republiki Bułgarii</w:t>
      </w:r>
      <w:r w:rsidRPr="009D7455">
        <w:t xml:space="preserve"> obywatele państw obcych, podobnie jak zagraniczne osoby prawne, nie mogli do 2014 r. bezpośrednio nabywać praw własności do ziemi</w:t>
      </w:r>
      <w:r w:rsidR="0058422A" w:rsidRPr="009D7455">
        <w:t xml:space="preserve"> (</w:t>
      </w:r>
      <w:r w:rsidRPr="009D7455">
        <w:t>w tym zakresie Republika Bułgarii wynegocjowała w Traktacie Akcesyjnym do UE 7-letni okres przejściowy</w:t>
      </w:r>
      <w:r w:rsidR="0058422A" w:rsidRPr="009D7455">
        <w:t>)</w:t>
      </w:r>
      <w:r w:rsidRPr="009D7455">
        <w:t xml:space="preserve">. Powyższe ograniczenia nie obowiązywały przedsiębiorstw bułgarskich z udziałem kapitału zagranicznego, bez względu na jego wysokość w kapitale zakładowym. </w:t>
      </w:r>
      <w:r w:rsidR="001721AA" w:rsidRPr="009D7455">
        <w:t>O</w:t>
      </w:r>
      <w:r w:rsidRPr="009D7455">
        <w:t xml:space="preserve">soby zagraniczne mogły </w:t>
      </w:r>
      <w:r w:rsidR="001721AA" w:rsidRPr="009D7455">
        <w:t xml:space="preserve">więc </w:t>
      </w:r>
      <w:r w:rsidRPr="009D7455">
        <w:t>nabywać pełne prawa własności do ziemi, w tym prawa własności do ziemi rolnej, w drodze ustanowienia wł</w:t>
      </w:r>
      <w:r w:rsidR="003C0FDC">
        <w:t>asnej spółki kapitałowej bądź w </w:t>
      </w:r>
      <w:r w:rsidRPr="009D7455">
        <w:t xml:space="preserve">wyniku przystąpienia do firmy bułgarskiej poprzez wniesienie udziału. W efekcie powstała duża liczba firm z kapitałem polskim zarejestrowanych w Republice Bułgarii. Według nieoficjalnych szacunków ich liczba mogła osiągnąć 1000. Zainteresowanie inwestowaniem w nieruchomości nad Morzem Czarnym ze względu na spadek rentowności od 2009 r. jednak drastycznie spadło. </w:t>
      </w:r>
    </w:p>
    <w:p w:rsidR="0037701E" w:rsidRPr="009D7455" w:rsidRDefault="00692D44" w:rsidP="009D7455">
      <w:pPr>
        <w:pStyle w:val="Tekstpodstawowy"/>
        <w:spacing w:before="120" w:after="0" w:line="360" w:lineRule="auto"/>
        <w:jc w:val="both"/>
      </w:pPr>
      <w:r w:rsidRPr="009D7455">
        <w:t xml:space="preserve">Ówczesne </w:t>
      </w:r>
      <w:r w:rsidR="0037701E" w:rsidRPr="009D7455">
        <w:t>Ministerstwo Rozwoju poinformowało samorządy gospodarcze (Konfederacja Lewiatan, Pracodawcy RP, Krajowa Izb</w:t>
      </w:r>
      <w:r w:rsidR="007306B0" w:rsidRPr="009D7455">
        <w:t>a</w:t>
      </w:r>
      <w:r w:rsidR="0037701E" w:rsidRPr="009D7455">
        <w:t xml:space="preserve"> Gospodarcza, Polska Rada Bi</w:t>
      </w:r>
      <w:r w:rsidR="00FC0C80" w:rsidRPr="009D7455">
        <w:t>znesu, Business Centr</w:t>
      </w:r>
      <w:r w:rsidR="00CB541D" w:rsidRPr="009D7455">
        <w:t>e</w:t>
      </w:r>
      <w:r w:rsidR="00FC0C80" w:rsidRPr="009D7455">
        <w:t xml:space="preserve"> Club) o </w:t>
      </w:r>
      <w:r w:rsidR="005761D9" w:rsidRPr="009D7455">
        <w:t xml:space="preserve">planach </w:t>
      </w:r>
      <w:r w:rsidR="00FC0C80" w:rsidRPr="009D7455">
        <w:t>ro</w:t>
      </w:r>
      <w:r w:rsidR="0037701E" w:rsidRPr="009D7455">
        <w:t>związani</w:t>
      </w:r>
      <w:r w:rsidR="00FC0C80" w:rsidRPr="009D7455">
        <w:t xml:space="preserve">a Umowy </w:t>
      </w:r>
      <w:r w:rsidR="0037701E" w:rsidRPr="009D7455">
        <w:t>i zwrócił</w:t>
      </w:r>
      <w:r w:rsidR="000473AE" w:rsidRPr="009D7455">
        <w:t>o</w:t>
      </w:r>
      <w:r w:rsidR="003C0FDC">
        <w:t xml:space="preserve"> się do nich o </w:t>
      </w:r>
      <w:r w:rsidR="0037701E" w:rsidRPr="009D7455">
        <w:t>przekazanie odpo</w:t>
      </w:r>
      <w:r w:rsidR="0058422A" w:rsidRPr="009D7455">
        <w:t>wiedzi na następujące pytania:</w:t>
      </w:r>
    </w:p>
    <w:p w:rsidR="0037701E" w:rsidRPr="009D7455" w:rsidRDefault="009D7455" w:rsidP="003C0FDC">
      <w:pPr>
        <w:pStyle w:val="Tekstpodstawowy"/>
        <w:spacing w:after="0" w:line="360" w:lineRule="auto"/>
        <w:ind w:left="284" w:hanging="284"/>
        <w:jc w:val="both"/>
      </w:pPr>
      <w:r>
        <w:t>–</w:t>
      </w:r>
      <w:r w:rsidR="003C0FDC">
        <w:tab/>
      </w:r>
      <w:r w:rsidR="0037701E" w:rsidRPr="009D7455">
        <w:t xml:space="preserve">czy inwestorzy polscy na rynku </w:t>
      </w:r>
      <w:r w:rsidR="009A3890" w:rsidRPr="009D7455">
        <w:t xml:space="preserve">bułgarskim </w:t>
      </w:r>
      <w:r w:rsidR="0037701E" w:rsidRPr="009D7455">
        <w:t xml:space="preserve">w przypadku ewentualnych działań dyskryminujących ich inwestycje korzystali lub rozważali możliwość wniesienia sporu przeciwko </w:t>
      </w:r>
      <w:r w:rsidR="001F7DEF" w:rsidRPr="009D7455">
        <w:t xml:space="preserve">Republice </w:t>
      </w:r>
      <w:r w:rsidR="009A3890" w:rsidRPr="009D7455">
        <w:t>Bułgarii</w:t>
      </w:r>
      <w:r w:rsidR="001F7DEF" w:rsidRPr="009D7455">
        <w:t>?</w:t>
      </w:r>
      <w:r w:rsidR="0037701E" w:rsidRPr="009D7455">
        <w:t xml:space="preserve"> Czy w takim wypadku korzystali/korzystaliby z postępowania przed sądem powszechnym czy też przed międzynarodowym arbitrażem inwestycyjnym?</w:t>
      </w:r>
    </w:p>
    <w:p w:rsidR="0037701E" w:rsidRPr="009D7455" w:rsidRDefault="009D7455" w:rsidP="003C0FDC">
      <w:pPr>
        <w:pStyle w:val="Tekstpodstawowy"/>
        <w:spacing w:after="0" w:line="360" w:lineRule="auto"/>
        <w:ind w:left="284" w:hanging="284"/>
        <w:jc w:val="both"/>
      </w:pPr>
      <w:r>
        <w:lastRenderedPageBreak/>
        <w:t>–</w:t>
      </w:r>
      <w:r w:rsidR="003C0FDC">
        <w:tab/>
      </w:r>
      <w:r w:rsidR="0037701E" w:rsidRPr="009D7455">
        <w:t xml:space="preserve">czy zdaniem polskich inwestorów ochrona ich inwestycji w regulacjach </w:t>
      </w:r>
      <w:r w:rsidR="005761D9" w:rsidRPr="009D7455">
        <w:t xml:space="preserve">Republiki </w:t>
      </w:r>
      <w:r w:rsidR="009A3890" w:rsidRPr="009D7455">
        <w:t xml:space="preserve">Bułgarii </w:t>
      </w:r>
      <w:r w:rsidR="0037701E" w:rsidRPr="009D7455">
        <w:t>oraz w prawie UE jest niewystarczająca? Jeżeli tak, to w jakim zakresie?</w:t>
      </w:r>
    </w:p>
    <w:p w:rsidR="0037701E" w:rsidRPr="009D7455" w:rsidRDefault="009D7455" w:rsidP="003C0FDC">
      <w:pPr>
        <w:pStyle w:val="Tekstpodstawowy"/>
        <w:spacing w:after="0" w:line="360" w:lineRule="auto"/>
        <w:ind w:left="284" w:hanging="284"/>
        <w:jc w:val="both"/>
      </w:pPr>
      <w:r>
        <w:t>–</w:t>
      </w:r>
      <w:r w:rsidR="003C0FDC">
        <w:tab/>
      </w:r>
      <w:r w:rsidR="0037701E" w:rsidRPr="009D7455">
        <w:t xml:space="preserve">czy wygaśnięcie </w:t>
      </w:r>
      <w:r w:rsidR="00535BA2" w:rsidRPr="009D7455">
        <w:t>Umowy p</w:t>
      </w:r>
      <w:r w:rsidR="0037701E" w:rsidRPr="009D7455">
        <w:t xml:space="preserve">ogorszyłoby warunki prowadzenia działalności gospodarczej </w:t>
      </w:r>
      <w:r w:rsidR="0020279C" w:rsidRPr="009D7455">
        <w:t xml:space="preserve">w Republice </w:t>
      </w:r>
      <w:r w:rsidR="009A3890" w:rsidRPr="009D7455">
        <w:t xml:space="preserve">Bułgarii </w:t>
      </w:r>
      <w:r w:rsidR="0037701E" w:rsidRPr="009D7455">
        <w:t>i ochrony praw inwestorów? Jeżeli tak, to w jaki sposób i w jakim stopniu?</w:t>
      </w:r>
    </w:p>
    <w:p w:rsidR="00FF43E9" w:rsidRPr="009D7455" w:rsidRDefault="001F7DEF" w:rsidP="009D7455">
      <w:pPr>
        <w:autoSpaceDE w:val="0"/>
        <w:autoSpaceDN w:val="0"/>
        <w:adjustRightInd w:val="0"/>
        <w:spacing w:before="120" w:line="360" w:lineRule="auto"/>
        <w:jc w:val="both"/>
        <w:rPr>
          <w:color w:val="000000"/>
        </w:rPr>
      </w:pPr>
      <w:r w:rsidRPr="009D7455">
        <w:t>Samorządy gospodarcze u</w:t>
      </w:r>
      <w:r w:rsidR="00FF43E9" w:rsidRPr="009D7455">
        <w:t>dziel</w:t>
      </w:r>
      <w:r w:rsidRPr="009D7455">
        <w:t xml:space="preserve">iły </w:t>
      </w:r>
      <w:r w:rsidR="007F3CB8" w:rsidRPr="009D7455">
        <w:t xml:space="preserve">ogólnej </w:t>
      </w:r>
      <w:r w:rsidR="00FF43E9" w:rsidRPr="009D7455">
        <w:t xml:space="preserve">odpowiedzi, iż </w:t>
      </w:r>
      <w:r w:rsidR="00FF43E9" w:rsidRPr="009D7455">
        <w:rPr>
          <w:color w:val="000000"/>
        </w:rPr>
        <w:t xml:space="preserve">mimo że inwestorzy nie korzystają z ochrony </w:t>
      </w:r>
      <w:r w:rsidR="007F3CB8" w:rsidRPr="009D7455">
        <w:rPr>
          <w:color w:val="000000"/>
        </w:rPr>
        <w:t xml:space="preserve">przewidzianej </w:t>
      </w:r>
      <w:r w:rsidR="00FF43E9" w:rsidRPr="009D7455">
        <w:rPr>
          <w:color w:val="000000"/>
        </w:rPr>
        <w:t>um</w:t>
      </w:r>
      <w:r w:rsidR="007F3CB8" w:rsidRPr="009D7455">
        <w:rPr>
          <w:color w:val="000000"/>
        </w:rPr>
        <w:t xml:space="preserve">owami </w:t>
      </w:r>
      <w:r w:rsidR="00FF43E9" w:rsidRPr="009D7455">
        <w:rPr>
          <w:color w:val="000000"/>
        </w:rPr>
        <w:t>intra-EU BIT (pozywają państwa przed sądami powszechnymi)</w:t>
      </w:r>
      <w:r w:rsidR="005108B0" w:rsidRPr="009D7455">
        <w:rPr>
          <w:color w:val="000000"/>
        </w:rPr>
        <w:t>,</w:t>
      </w:r>
      <w:r w:rsidR="00FF43E9" w:rsidRPr="009D7455">
        <w:rPr>
          <w:color w:val="000000"/>
        </w:rPr>
        <w:t xml:space="preserve"> powołują się na ich </w:t>
      </w:r>
      <w:r w:rsidR="005108B0" w:rsidRPr="009D7455">
        <w:rPr>
          <w:color w:val="000000"/>
        </w:rPr>
        <w:t xml:space="preserve">obowiązywanie </w:t>
      </w:r>
      <w:r w:rsidR="00FF43E9" w:rsidRPr="009D7455">
        <w:rPr>
          <w:color w:val="000000"/>
        </w:rPr>
        <w:t>w dyskusjach z organami danego kraju przy zaistnieniu sporu. Jeżeli musieliby aktywnie dochodzić swoich roszczeń</w:t>
      </w:r>
      <w:r w:rsidR="002A54D0" w:rsidRPr="009D7455">
        <w:rPr>
          <w:color w:val="000000"/>
        </w:rPr>
        <w:t>,</w:t>
      </w:r>
      <w:r w:rsidR="00DA0829" w:rsidRPr="009D7455">
        <w:rPr>
          <w:color w:val="000000"/>
        </w:rPr>
        <w:t xml:space="preserve"> powołując się na umowy intra-EU BIT</w:t>
      </w:r>
      <w:r w:rsidR="00FF43E9" w:rsidRPr="009D7455">
        <w:rPr>
          <w:color w:val="000000"/>
        </w:rPr>
        <w:t xml:space="preserve">, wybraliby procedurę arbitrażu </w:t>
      </w:r>
      <w:r w:rsidR="00884296" w:rsidRPr="009D7455">
        <w:rPr>
          <w:color w:val="000000"/>
        </w:rPr>
        <w:t xml:space="preserve">na podstawie </w:t>
      </w:r>
      <w:r w:rsidR="00FF43E9" w:rsidRPr="009D7455">
        <w:rPr>
          <w:color w:val="000000"/>
        </w:rPr>
        <w:t>umowy intra-EU BIT</w:t>
      </w:r>
      <w:r w:rsidR="00884296" w:rsidRPr="009D7455">
        <w:rPr>
          <w:color w:val="000000"/>
        </w:rPr>
        <w:t xml:space="preserve"> (</w:t>
      </w:r>
      <w:r w:rsidR="00FF43E9" w:rsidRPr="009D7455">
        <w:rPr>
          <w:color w:val="000000"/>
        </w:rPr>
        <w:t xml:space="preserve">szczególnie </w:t>
      </w:r>
      <w:r w:rsidR="00C908C3" w:rsidRPr="009D7455">
        <w:rPr>
          <w:color w:val="000000"/>
        </w:rPr>
        <w:t xml:space="preserve">fundusze inwestycyjne lokujące aktywa </w:t>
      </w:r>
      <w:r w:rsidR="003C0FDC">
        <w:rPr>
          <w:color w:val="000000"/>
        </w:rPr>
        <w:t>w </w:t>
      </w:r>
      <w:r w:rsidR="00FF43E9" w:rsidRPr="009D7455">
        <w:rPr>
          <w:color w:val="000000"/>
        </w:rPr>
        <w:t>instrumenty udziałowe polskich przedsiębiorstw inwestujących w państwa</w:t>
      </w:r>
      <w:r w:rsidR="005070F1" w:rsidRPr="009D7455">
        <w:rPr>
          <w:color w:val="000000"/>
        </w:rPr>
        <w:t>ch</w:t>
      </w:r>
      <w:r w:rsidR="00FF43E9" w:rsidRPr="009D7455">
        <w:rPr>
          <w:color w:val="000000"/>
        </w:rPr>
        <w:t xml:space="preserve"> członkowskich UE</w:t>
      </w:r>
      <w:r w:rsidR="00864D7E" w:rsidRPr="009D7455">
        <w:rPr>
          <w:color w:val="000000"/>
        </w:rPr>
        <w:t>,</w:t>
      </w:r>
      <w:r w:rsidR="00884296" w:rsidRPr="009D7455">
        <w:rPr>
          <w:color w:val="000000"/>
        </w:rPr>
        <w:t xml:space="preserve"> dla których r</w:t>
      </w:r>
      <w:r w:rsidR="00FF43E9" w:rsidRPr="009D7455">
        <w:rPr>
          <w:color w:val="000000"/>
        </w:rPr>
        <w:t xml:space="preserve">ozwiązanie umów mogłoby mieć bezpośredni wpływ na ocenę ryzyka związaną z inwestowaniem). </w:t>
      </w:r>
      <w:r w:rsidR="00FB30CC" w:rsidRPr="009D7455">
        <w:rPr>
          <w:color w:val="000000"/>
        </w:rPr>
        <w:t>Główną b</w:t>
      </w:r>
      <w:r w:rsidR="00FF43E9" w:rsidRPr="009D7455">
        <w:rPr>
          <w:color w:val="000000"/>
        </w:rPr>
        <w:t>arierą w korzystaniu z arbitrażu są jego wysokie koszty</w:t>
      </w:r>
      <w:r w:rsidR="00FB30CC" w:rsidRPr="009D7455">
        <w:rPr>
          <w:color w:val="000000"/>
        </w:rPr>
        <w:t xml:space="preserve">. </w:t>
      </w:r>
      <w:r w:rsidR="00FF43E9" w:rsidRPr="009D7455">
        <w:rPr>
          <w:color w:val="000000"/>
        </w:rPr>
        <w:t xml:space="preserve">Prawo materialne w </w:t>
      </w:r>
      <w:r w:rsidR="00A873F2" w:rsidRPr="009D7455">
        <w:rPr>
          <w:color w:val="000000"/>
        </w:rPr>
        <w:t>państwach członkowskich UE o</w:t>
      </w:r>
      <w:r w:rsidR="00FF43E9" w:rsidRPr="009D7455">
        <w:rPr>
          <w:color w:val="000000"/>
        </w:rPr>
        <w:t xml:space="preserve">raz na poziomie UE zawiera niezbędne standardy gwarantujące zagranicznym inwestorom równe i sprawiedliwe traktowanie, </w:t>
      </w:r>
      <w:r w:rsidR="00A873F2" w:rsidRPr="009D7455">
        <w:rPr>
          <w:color w:val="000000"/>
        </w:rPr>
        <w:t xml:space="preserve">natomiast </w:t>
      </w:r>
      <w:r w:rsidR="00FF43E9" w:rsidRPr="009D7455">
        <w:rPr>
          <w:color w:val="000000"/>
        </w:rPr>
        <w:t>problemem jest egzekwowanie tego prawa. Wskazywano na czasochłonność procedur, brak profesjonalizmu i obiektywizmu w podejmowaniu decyzji przez właściwe organy</w:t>
      </w:r>
      <w:r w:rsidR="00A873F2" w:rsidRPr="009D7455">
        <w:rPr>
          <w:color w:val="000000"/>
        </w:rPr>
        <w:t xml:space="preserve">. </w:t>
      </w:r>
      <w:r w:rsidR="00FF43E9" w:rsidRPr="009D7455">
        <w:rPr>
          <w:color w:val="000000"/>
        </w:rPr>
        <w:t>Zdaniem polskich inwestorów międzyn</w:t>
      </w:r>
      <w:r w:rsidR="00A873F2" w:rsidRPr="009D7455">
        <w:rPr>
          <w:color w:val="000000"/>
        </w:rPr>
        <w:t>a</w:t>
      </w:r>
      <w:r w:rsidR="00FF43E9" w:rsidRPr="009D7455">
        <w:rPr>
          <w:color w:val="000000"/>
        </w:rPr>
        <w:t>rod</w:t>
      </w:r>
      <w:r w:rsidR="00A873F2" w:rsidRPr="009D7455">
        <w:rPr>
          <w:color w:val="000000"/>
        </w:rPr>
        <w:t>o</w:t>
      </w:r>
      <w:r w:rsidR="00FF43E9" w:rsidRPr="009D7455">
        <w:rPr>
          <w:color w:val="000000"/>
        </w:rPr>
        <w:t xml:space="preserve">wy arbitraż inwestycyjny pozwala prowadzić </w:t>
      </w:r>
      <w:r w:rsidR="00A873F2" w:rsidRPr="009D7455">
        <w:rPr>
          <w:color w:val="000000"/>
        </w:rPr>
        <w:t>postępowanie</w:t>
      </w:r>
      <w:r w:rsidR="00FF43E9" w:rsidRPr="009D7455">
        <w:rPr>
          <w:color w:val="000000"/>
        </w:rPr>
        <w:t xml:space="preserve"> w sposób odformalizowany, elasty</w:t>
      </w:r>
      <w:r w:rsidR="00C908C3" w:rsidRPr="009D7455">
        <w:rPr>
          <w:color w:val="000000"/>
        </w:rPr>
        <w:t>czny i neutralny</w:t>
      </w:r>
      <w:r w:rsidR="00A873F2" w:rsidRPr="009D7455">
        <w:rPr>
          <w:color w:val="000000"/>
        </w:rPr>
        <w:t xml:space="preserve">. </w:t>
      </w:r>
      <w:r w:rsidR="00FF43E9" w:rsidRPr="009D7455">
        <w:rPr>
          <w:color w:val="000000"/>
        </w:rPr>
        <w:t xml:space="preserve">Generalnie zdaniem </w:t>
      </w:r>
      <w:r w:rsidR="00864D7E" w:rsidRPr="009D7455">
        <w:rPr>
          <w:color w:val="000000"/>
        </w:rPr>
        <w:t xml:space="preserve">samorządów gospodarczych i </w:t>
      </w:r>
      <w:r w:rsidR="00FF43E9" w:rsidRPr="009D7455">
        <w:rPr>
          <w:color w:val="000000"/>
        </w:rPr>
        <w:t xml:space="preserve">polskich przedsiębiorców dla ich bezpieczeństwa i ekspansji umowy intra-EU </w:t>
      </w:r>
      <w:r w:rsidR="00D7130E" w:rsidRPr="009D7455">
        <w:rPr>
          <w:color w:val="000000"/>
        </w:rPr>
        <w:t xml:space="preserve">BIT </w:t>
      </w:r>
      <w:r w:rsidR="00FF43E9" w:rsidRPr="009D7455">
        <w:rPr>
          <w:color w:val="000000"/>
        </w:rPr>
        <w:t xml:space="preserve">są </w:t>
      </w:r>
      <w:r w:rsidR="00F13BB2" w:rsidRPr="009D7455">
        <w:rPr>
          <w:color w:val="000000"/>
        </w:rPr>
        <w:t xml:space="preserve">pożądane. </w:t>
      </w:r>
      <w:r w:rsidR="00864D7E" w:rsidRPr="009D7455">
        <w:rPr>
          <w:color w:val="000000"/>
        </w:rPr>
        <w:t xml:space="preserve">Tym niemniej </w:t>
      </w:r>
      <w:r w:rsidR="00FB30CC" w:rsidRPr="009D7455">
        <w:rPr>
          <w:color w:val="000000"/>
        </w:rPr>
        <w:t xml:space="preserve">samorządy gospodarcze </w:t>
      </w:r>
      <w:r w:rsidR="00F13BB2" w:rsidRPr="009D7455">
        <w:rPr>
          <w:color w:val="000000"/>
        </w:rPr>
        <w:t>odnotowują stanowisko K</w:t>
      </w:r>
      <w:r w:rsidR="00DA0829" w:rsidRPr="009D7455">
        <w:rPr>
          <w:color w:val="000000"/>
        </w:rPr>
        <w:t xml:space="preserve">omisji </w:t>
      </w:r>
      <w:r w:rsidR="00F13BB2" w:rsidRPr="009D7455">
        <w:rPr>
          <w:color w:val="000000"/>
        </w:rPr>
        <w:t>E</w:t>
      </w:r>
      <w:r w:rsidR="00DA0829" w:rsidRPr="009D7455">
        <w:rPr>
          <w:color w:val="000000"/>
        </w:rPr>
        <w:t>uropejskiej</w:t>
      </w:r>
      <w:r w:rsidR="00F13BB2" w:rsidRPr="009D7455">
        <w:rPr>
          <w:color w:val="000000"/>
        </w:rPr>
        <w:t xml:space="preserve"> wobec umów intra-EU BIT i wszczęte przez nią postępowania.</w:t>
      </w:r>
      <w:r w:rsidR="009D7455">
        <w:rPr>
          <w:color w:val="000000"/>
        </w:rPr>
        <w:t xml:space="preserve"> </w:t>
      </w:r>
    </w:p>
    <w:p w:rsidR="0050673E" w:rsidRPr="009D7455" w:rsidRDefault="009A3890" w:rsidP="009D7455">
      <w:pPr>
        <w:spacing w:before="120" w:line="360" w:lineRule="auto"/>
        <w:jc w:val="both"/>
      </w:pPr>
      <w:r w:rsidRPr="009D7455">
        <w:t xml:space="preserve">Z informacji posiadanych przez Ministerstwo </w:t>
      </w:r>
      <w:r w:rsidR="00FD064E" w:rsidRPr="009D7455">
        <w:t>Przedsiębiorczości</w:t>
      </w:r>
      <w:r w:rsidR="00692D44" w:rsidRPr="009D7455">
        <w:t xml:space="preserve"> i Technologii </w:t>
      </w:r>
      <w:r w:rsidRPr="009D7455">
        <w:t>wynika, że zarówno polscy</w:t>
      </w:r>
      <w:r w:rsidR="00676F4C">
        <w:t>,</w:t>
      </w:r>
      <w:r w:rsidRPr="009D7455">
        <w:t xml:space="preserve"> jak i bułgarscy inwestorzy nie kierowali, na podstawie ww. Umowy, roszczeń do międzynarodowych trybunałów arbitrażowych przeciwko, odpowiednio, Republice Bułgarii i RP. </w:t>
      </w:r>
      <w:r w:rsidR="00535BA2" w:rsidRPr="009D7455">
        <w:t>Generalnie o</w:t>
      </w:r>
      <w:r w:rsidR="00F13BB2" w:rsidRPr="009D7455">
        <w:t xml:space="preserve">dnotowano tylko </w:t>
      </w:r>
      <w:r w:rsidR="00684F29" w:rsidRPr="009D7455">
        <w:t>trzy</w:t>
      </w:r>
      <w:r w:rsidR="00F13BB2" w:rsidRPr="009D7455">
        <w:t xml:space="preserve"> przypadki skorzystania przez polskich inwestorów z ochrony przewidzianej umowami intra-EU BIT</w:t>
      </w:r>
      <w:r w:rsidR="0077398D" w:rsidRPr="009D7455">
        <w:t xml:space="preserve"> </w:t>
      </w:r>
      <w:r w:rsidR="005D1B80" w:rsidRPr="009D7455">
        <w:t xml:space="preserve">przed międzynarodowymi trybunałami arbitrażowymi </w:t>
      </w:r>
      <w:r w:rsidR="0077398D" w:rsidRPr="009D7455">
        <w:t>(</w:t>
      </w:r>
      <w:r w:rsidR="00684F29" w:rsidRPr="009D7455">
        <w:t>n</w:t>
      </w:r>
      <w:r w:rsidR="003C0FDC">
        <w:t>a podstawie umów intra-EU BIT z </w:t>
      </w:r>
      <w:r w:rsidR="00684F29" w:rsidRPr="009D7455">
        <w:t xml:space="preserve">Rumunią – przed przystąpieniem Rumunii do UE, Słowacją i Cyprem). </w:t>
      </w:r>
      <w:r w:rsidR="003C0FDC">
        <w:rPr>
          <w:color w:val="000000"/>
        </w:rPr>
        <w:t>Zgodnie z </w:t>
      </w:r>
      <w:r w:rsidR="0077398D" w:rsidRPr="009D7455">
        <w:rPr>
          <w:color w:val="000000"/>
        </w:rPr>
        <w:t>informacjami przekazanymi przez P</w:t>
      </w:r>
      <w:r w:rsidR="00692D44" w:rsidRPr="009D7455">
        <w:rPr>
          <w:color w:val="000000"/>
        </w:rPr>
        <w:t xml:space="preserve">rokuratorię </w:t>
      </w:r>
      <w:r w:rsidR="0077398D" w:rsidRPr="009D7455">
        <w:rPr>
          <w:color w:val="000000"/>
        </w:rPr>
        <w:t>G</w:t>
      </w:r>
      <w:r w:rsidR="00692D44" w:rsidRPr="009D7455">
        <w:rPr>
          <w:color w:val="000000"/>
        </w:rPr>
        <w:t xml:space="preserve">eneralną </w:t>
      </w:r>
      <w:r w:rsidR="0077398D" w:rsidRPr="009D7455">
        <w:rPr>
          <w:color w:val="000000"/>
        </w:rPr>
        <w:t xml:space="preserve">RP na dwadzieścia </w:t>
      </w:r>
      <w:r w:rsidR="00500D9E" w:rsidRPr="009D7455">
        <w:rPr>
          <w:color w:val="000000"/>
        </w:rPr>
        <w:t>sześć</w:t>
      </w:r>
      <w:r w:rsidR="0077398D" w:rsidRPr="009D7455">
        <w:rPr>
          <w:color w:val="000000"/>
        </w:rPr>
        <w:t xml:space="preserve"> </w:t>
      </w:r>
      <w:r w:rsidR="0077398D" w:rsidRPr="009D7455">
        <w:lastRenderedPageBreak/>
        <w:t>postępowa</w:t>
      </w:r>
      <w:r w:rsidR="00500D9E" w:rsidRPr="009D7455">
        <w:t xml:space="preserve">ń </w:t>
      </w:r>
      <w:r w:rsidR="0077398D" w:rsidRPr="009D7455">
        <w:t>arbitrażow</w:t>
      </w:r>
      <w:r w:rsidR="00500D9E" w:rsidRPr="009D7455">
        <w:t>ych</w:t>
      </w:r>
      <w:r w:rsidR="0077398D" w:rsidRPr="009D7455">
        <w:t>, w których P</w:t>
      </w:r>
      <w:r w:rsidR="00500D9E" w:rsidRPr="009D7455">
        <w:t xml:space="preserve">rokuratoria </w:t>
      </w:r>
      <w:r w:rsidR="0077398D" w:rsidRPr="009D7455">
        <w:t>G</w:t>
      </w:r>
      <w:r w:rsidR="00500D9E" w:rsidRPr="009D7455">
        <w:t xml:space="preserve">eneralna </w:t>
      </w:r>
      <w:r w:rsidR="0077398D" w:rsidRPr="009D7455">
        <w:t xml:space="preserve">RP </w:t>
      </w:r>
      <w:r w:rsidR="00C34B45" w:rsidRPr="009D7455">
        <w:t xml:space="preserve">od 2006 r. </w:t>
      </w:r>
      <w:r w:rsidR="0077398D" w:rsidRPr="009D7455">
        <w:t xml:space="preserve">wykonywała lub wykonuje zastępstwo procesowe RP, </w:t>
      </w:r>
      <w:r w:rsidR="00FD064E" w:rsidRPr="009D7455">
        <w:t>szes</w:t>
      </w:r>
      <w:r w:rsidR="0077398D" w:rsidRPr="009D7455">
        <w:t>naście dotyczyło lub dotyczy sporów wniesionych przez inwestorów zagranicznych na podstawie umów intra-EU BIT (zawartych z Austrią, Francją, Niemc</w:t>
      </w:r>
      <w:r w:rsidR="003C0FDC">
        <w:t>ami, Cyprem, Holandią, Belgią i </w:t>
      </w:r>
      <w:r w:rsidR="0077398D" w:rsidRPr="009D7455">
        <w:t>Luksemburgiem, Republiką Czeską</w:t>
      </w:r>
      <w:r w:rsidR="006367DC" w:rsidRPr="009D7455">
        <w:t>, Wielką Brytanią</w:t>
      </w:r>
      <w:r w:rsidR="0077398D" w:rsidRPr="009D7455">
        <w:t xml:space="preserve">). Mimo dużego odsetka wygrywanych spraw </w:t>
      </w:r>
      <w:r w:rsidR="001F7DEF" w:rsidRPr="009D7455">
        <w:t xml:space="preserve">(w </w:t>
      </w:r>
      <w:r w:rsidR="0077398D" w:rsidRPr="009D7455">
        <w:t xml:space="preserve">tym ugody) Polska ponosi </w:t>
      </w:r>
      <w:r w:rsidR="00C34B45" w:rsidRPr="009D7455">
        <w:t xml:space="preserve">wysokie </w:t>
      </w:r>
      <w:r w:rsidR="0077398D" w:rsidRPr="009D7455">
        <w:t>koszty postępowań arbitrażowych</w:t>
      </w:r>
      <w:r w:rsidR="00864D7E" w:rsidRPr="009D7455">
        <w:t xml:space="preserve">: zaliczki na koszty postępowania (w tym wynagrodzenie arbitrów), opinie biegłych, zorganizowanie rozpraw, tłumaczenia, udział świadków oraz koszty zastępstwa procesowego. </w:t>
      </w:r>
      <w:r w:rsidR="0050673E" w:rsidRPr="009D7455">
        <w:t>Zgodnie z informacjami byłego M</w:t>
      </w:r>
      <w:r w:rsidR="00692D44" w:rsidRPr="009D7455">
        <w:t xml:space="preserve">inisterstwa </w:t>
      </w:r>
      <w:r w:rsidR="0050673E" w:rsidRPr="009D7455">
        <w:t>S</w:t>
      </w:r>
      <w:r w:rsidR="00692D44" w:rsidRPr="009D7455">
        <w:t xml:space="preserve">karbu </w:t>
      </w:r>
      <w:r w:rsidR="0050673E" w:rsidRPr="009D7455">
        <w:t>P</w:t>
      </w:r>
      <w:r w:rsidR="00692D44" w:rsidRPr="009D7455">
        <w:t>aństwa</w:t>
      </w:r>
      <w:r w:rsidR="0050673E" w:rsidRPr="009D7455">
        <w:t xml:space="preserve">, RP w związku z postępowaniami arbitrażowymi poniosła od 2006 r. koszty </w:t>
      </w:r>
      <w:r w:rsidR="003C0FDC">
        <w:t>w </w:t>
      </w:r>
      <w:r w:rsidR="0050673E" w:rsidRPr="009D7455">
        <w:t xml:space="preserve">wysokości ok. 53 mln PLN. </w:t>
      </w:r>
      <w:r w:rsidR="00ED463B" w:rsidRPr="009D7455">
        <w:t xml:space="preserve">Wypowiedzenie Umowy </w:t>
      </w:r>
      <w:r w:rsidR="0050673E" w:rsidRPr="009D7455">
        <w:t xml:space="preserve">może </w:t>
      </w:r>
      <w:r w:rsidR="00DA0829" w:rsidRPr="009D7455">
        <w:t xml:space="preserve">więc </w:t>
      </w:r>
      <w:r w:rsidR="0050673E" w:rsidRPr="009D7455">
        <w:t xml:space="preserve">potencjalnie istotnie zmniejszyć obciążenie państwa pod względem finansowym, ponieważ </w:t>
      </w:r>
      <w:r w:rsidR="00DA0829" w:rsidRPr="009D7455">
        <w:t xml:space="preserve">nie będzie zachodzić konieczność ponoszenia znaczących kosztów, o których mowa w zdaniu poprzedzającym. </w:t>
      </w:r>
    </w:p>
    <w:p w:rsidR="00271D07" w:rsidRPr="009D7455" w:rsidRDefault="00544C54" w:rsidP="009D7455">
      <w:pPr>
        <w:pStyle w:val="Tekstpodstawowy"/>
        <w:spacing w:before="120" w:after="0" w:line="360" w:lineRule="auto"/>
        <w:jc w:val="both"/>
      </w:pPr>
      <w:r w:rsidRPr="009D7455">
        <w:t xml:space="preserve">Wypowiedzenie Umowy </w:t>
      </w:r>
      <w:r w:rsidR="00366190" w:rsidRPr="009D7455">
        <w:t>n</w:t>
      </w:r>
      <w:r w:rsidR="00271D07" w:rsidRPr="009D7455">
        <w:t xml:space="preserve">ie naruszy polskiego porządku </w:t>
      </w:r>
      <w:r w:rsidR="00271D07" w:rsidRPr="009D7455">
        <w:rPr>
          <w:bCs/>
        </w:rPr>
        <w:t>prawnego</w:t>
      </w:r>
      <w:r w:rsidR="0037701E" w:rsidRPr="009D7455">
        <w:rPr>
          <w:bCs/>
        </w:rPr>
        <w:t xml:space="preserve"> i </w:t>
      </w:r>
      <w:r w:rsidR="005D7459" w:rsidRPr="009D7455">
        <w:t>doprowadzi do usunięcia niezgodności Umowy z prawem UE</w:t>
      </w:r>
      <w:r w:rsidR="001155A2" w:rsidRPr="009D7455">
        <w:t xml:space="preserve"> po dzie</w:t>
      </w:r>
      <w:r w:rsidR="003C0FDC">
        <w:t>sięciu latach od daty wejścia w </w:t>
      </w:r>
      <w:r w:rsidR="001155A2" w:rsidRPr="009D7455">
        <w:t xml:space="preserve">życie wypowiedzenia Umowy. </w:t>
      </w:r>
    </w:p>
    <w:p w:rsidR="00271D07" w:rsidRPr="009D7455" w:rsidRDefault="00271D07" w:rsidP="00464A60">
      <w:pPr>
        <w:spacing w:before="240" w:line="360" w:lineRule="auto"/>
        <w:jc w:val="both"/>
        <w:rPr>
          <w:b/>
        </w:rPr>
      </w:pPr>
      <w:r w:rsidRPr="009D7455">
        <w:rPr>
          <w:b/>
        </w:rPr>
        <w:t xml:space="preserve">4. Tryb </w:t>
      </w:r>
      <w:r w:rsidR="00CB541D" w:rsidRPr="009D7455">
        <w:rPr>
          <w:b/>
        </w:rPr>
        <w:t>wypowiedzenia Umowy</w:t>
      </w:r>
      <w:r w:rsidR="007306B0" w:rsidRPr="009D7455">
        <w:rPr>
          <w:b/>
        </w:rPr>
        <w:t xml:space="preserve"> </w:t>
      </w:r>
    </w:p>
    <w:p w:rsidR="003C0FDC" w:rsidRDefault="008D0B5D" w:rsidP="009D7455">
      <w:pPr>
        <w:spacing w:before="120" w:line="360" w:lineRule="auto"/>
        <w:jc w:val="both"/>
      </w:pPr>
      <w:r w:rsidRPr="009D7455">
        <w:t>Wypowiadana Umowa</w:t>
      </w:r>
      <w:r w:rsidR="0050673E" w:rsidRPr="009D7455">
        <w:t xml:space="preserve"> ma rangę umowy między</w:t>
      </w:r>
      <w:r w:rsidR="009A3890" w:rsidRPr="009D7455">
        <w:t xml:space="preserve">rządowej. </w:t>
      </w:r>
      <w:r w:rsidRPr="009D7455">
        <w:t>Wypowiadana</w:t>
      </w:r>
      <w:r w:rsidR="0050673E" w:rsidRPr="009D7455">
        <w:t xml:space="preserve"> Umowa jest traktowana w polskim porządku prawnym jako umowa ratyfikowana za uprzednią zgodą wyrażoną w ustawie, stosownie do art. 241 ust. </w:t>
      </w:r>
      <w:r w:rsidR="003C0FDC">
        <w:t>1 ustawy z dnia 2 kwietnia 1997 </w:t>
      </w:r>
      <w:r w:rsidR="0050673E" w:rsidRPr="009D7455">
        <w:t xml:space="preserve">r. </w:t>
      </w:r>
      <w:r w:rsidR="009D7455">
        <w:t>–</w:t>
      </w:r>
      <w:r w:rsidR="0050673E" w:rsidRPr="009D7455">
        <w:t xml:space="preserve"> Konstytucja Rzeczypospolitej Polskiej (Dz. U. poz. 483, z późn. zm.). </w:t>
      </w:r>
      <w:r w:rsidR="008F45A7" w:rsidRPr="009D7455">
        <w:t xml:space="preserve">Dlatego też </w:t>
      </w:r>
      <w:r w:rsidRPr="009D7455">
        <w:t>wypowiedzenie Umowy</w:t>
      </w:r>
      <w:r w:rsidR="008F45A7" w:rsidRPr="009D7455">
        <w:t xml:space="preserve"> nastąpi również za uprzednią zgodą wyrażoną w ustawie, tym bardziej że </w:t>
      </w:r>
      <w:r w:rsidRPr="009D7455">
        <w:t>Umowa</w:t>
      </w:r>
      <w:r w:rsidR="008F45A7" w:rsidRPr="009D7455">
        <w:t xml:space="preserve"> dotyczy wolności, pra</w:t>
      </w:r>
      <w:r w:rsidR="003C0FDC">
        <w:t>w i obowiązków obywatelskich (w </w:t>
      </w:r>
      <w:r w:rsidR="008F45A7" w:rsidRPr="009D7455">
        <w:t xml:space="preserve">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A018A2" w:rsidRPr="009D7455">
        <w:t xml:space="preserve">1 </w:t>
      </w:r>
      <w:r w:rsidR="008F45A7" w:rsidRPr="009D7455">
        <w:t>pkt 2 i 5 Konstytucji RP.</w:t>
      </w:r>
    </w:p>
    <w:sectPr w:rsidR="003C0FDC" w:rsidSect="007F4AF0">
      <w:headerReference w:type="even" r:id="rId8"/>
      <w:headerReference w:type="default" r:id="rId9"/>
      <w:footerReference w:type="even" r:id="rId10"/>
      <w:footerReference w:type="default" r:id="rId11"/>
      <w:headerReference w:type="first" r:id="rId12"/>
      <w:footerReference w:type="first" r:id="rId13"/>
      <w:pgSz w:w="11906" w:h="16838"/>
      <w:pgMar w:top="1276"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BE8" w:rsidRDefault="00581BE8">
      <w:r>
        <w:separator/>
      </w:r>
    </w:p>
  </w:endnote>
  <w:endnote w:type="continuationSeparator" w:id="0">
    <w:p w:rsidR="00581BE8" w:rsidRDefault="00581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20" w:rsidRDefault="00455C20"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55C20" w:rsidRDefault="00455C2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000274"/>
      <w:docPartObj>
        <w:docPartGallery w:val="Page Numbers (Bottom of Page)"/>
        <w:docPartUnique/>
      </w:docPartObj>
    </w:sdtPr>
    <w:sdtEndPr/>
    <w:sdtContent>
      <w:p w:rsidR="00455C20" w:rsidRPr="009D7455" w:rsidRDefault="009D7455" w:rsidP="009D7455">
        <w:pPr>
          <w:pStyle w:val="Stopka"/>
          <w:jc w:val="center"/>
        </w:pPr>
        <w:r>
          <w:fldChar w:fldCharType="begin"/>
        </w:r>
        <w:r>
          <w:instrText>PAGE   \* MERGEFORMAT</w:instrText>
        </w:r>
        <w:r>
          <w:fldChar w:fldCharType="separate"/>
        </w:r>
        <w:r w:rsidR="008D6701">
          <w:rPr>
            <w:noProof/>
          </w:rPr>
          <w:t>7</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A60" w:rsidRDefault="00464A6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BE8" w:rsidRDefault="00581BE8">
      <w:r>
        <w:separator/>
      </w:r>
    </w:p>
  </w:footnote>
  <w:footnote w:type="continuationSeparator" w:id="0">
    <w:p w:rsidR="00581BE8" w:rsidRDefault="00581B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A60" w:rsidRDefault="00464A6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A60" w:rsidRDefault="00464A6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A60" w:rsidRDefault="00464A6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10C00"/>
    <w:rsid w:val="00012A9C"/>
    <w:rsid w:val="00015AE9"/>
    <w:rsid w:val="00017829"/>
    <w:rsid w:val="00017AE9"/>
    <w:rsid w:val="00036B27"/>
    <w:rsid w:val="00037C3F"/>
    <w:rsid w:val="0004502C"/>
    <w:rsid w:val="00045606"/>
    <w:rsid w:val="000473AE"/>
    <w:rsid w:val="00050884"/>
    <w:rsid w:val="00060C35"/>
    <w:rsid w:val="000634CE"/>
    <w:rsid w:val="000643E1"/>
    <w:rsid w:val="00065E0A"/>
    <w:rsid w:val="000667C1"/>
    <w:rsid w:val="00082329"/>
    <w:rsid w:val="00082D2F"/>
    <w:rsid w:val="00086877"/>
    <w:rsid w:val="00094F33"/>
    <w:rsid w:val="000954BF"/>
    <w:rsid w:val="000B1110"/>
    <w:rsid w:val="000B331A"/>
    <w:rsid w:val="000B39ED"/>
    <w:rsid w:val="000D7C4E"/>
    <w:rsid w:val="000E683B"/>
    <w:rsid w:val="0011060B"/>
    <w:rsid w:val="001138E4"/>
    <w:rsid w:val="001155A2"/>
    <w:rsid w:val="0011636C"/>
    <w:rsid w:val="00117605"/>
    <w:rsid w:val="00120168"/>
    <w:rsid w:val="001248C7"/>
    <w:rsid w:val="00125D7C"/>
    <w:rsid w:val="00127C02"/>
    <w:rsid w:val="00140622"/>
    <w:rsid w:val="00140F10"/>
    <w:rsid w:val="00140F6C"/>
    <w:rsid w:val="0015242C"/>
    <w:rsid w:val="00152821"/>
    <w:rsid w:val="00152837"/>
    <w:rsid w:val="00156DEB"/>
    <w:rsid w:val="00162E74"/>
    <w:rsid w:val="00164CC3"/>
    <w:rsid w:val="00172177"/>
    <w:rsid w:val="001721AA"/>
    <w:rsid w:val="00175C36"/>
    <w:rsid w:val="00180A9F"/>
    <w:rsid w:val="00183298"/>
    <w:rsid w:val="001860AE"/>
    <w:rsid w:val="001864BC"/>
    <w:rsid w:val="00191981"/>
    <w:rsid w:val="00192B92"/>
    <w:rsid w:val="0019797D"/>
    <w:rsid w:val="00197DC1"/>
    <w:rsid w:val="001A3DB2"/>
    <w:rsid w:val="001A4A2E"/>
    <w:rsid w:val="001C32D9"/>
    <w:rsid w:val="001C65CC"/>
    <w:rsid w:val="001C767B"/>
    <w:rsid w:val="001D13D7"/>
    <w:rsid w:val="001D5910"/>
    <w:rsid w:val="001E0BD4"/>
    <w:rsid w:val="001E33B5"/>
    <w:rsid w:val="001E7CFC"/>
    <w:rsid w:val="001F7B0A"/>
    <w:rsid w:val="001F7DEF"/>
    <w:rsid w:val="002004B3"/>
    <w:rsid w:val="00200589"/>
    <w:rsid w:val="00200CA1"/>
    <w:rsid w:val="0020279C"/>
    <w:rsid w:val="00213453"/>
    <w:rsid w:val="00220187"/>
    <w:rsid w:val="00221E1A"/>
    <w:rsid w:val="002247DC"/>
    <w:rsid w:val="00234DB2"/>
    <w:rsid w:val="00241EB4"/>
    <w:rsid w:val="00245F53"/>
    <w:rsid w:val="00246212"/>
    <w:rsid w:val="00247F65"/>
    <w:rsid w:val="002627B3"/>
    <w:rsid w:val="002628A8"/>
    <w:rsid w:val="002628AB"/>
    <w:rsid w:val="002641D0"/>
    <w:rsid w:val="00271D07"/>
    <w:rsid w:val="00271EF5"/>
    <w:rsid w:val="002722FD"/>
    <w:rsid w:val="0027483C"/>
    <w:rsid w:val="00277B9A"/>
    <w:rsid w:val="0028025F"/>
    <w:rsid w:val="00291494"/>
    <w:rsid w:val="0029159A"/>
    <w:rsid w:val="00295963"/>
    <w:rsid w:val="00296719"/>
    <w:rsid w:val="002A3066"/>
    <w:rsid w:val="002A3914"/>
    <w:rsid w:val="002A54D0"/>
    <w:rsid w:val="002A6C35"/>
    <w:rsid w:val="002A7BF3"/>
    <w:rsid w:val="002B05BD"/>
    <w:rsid w:val="002B310C"/>
    <w:rsid w:val="002B52EF"/>
    <w:rsid w:val="002B6729"/>
    <w:rsid w:val="002C002B"/>
    <w:rsid w:val="002D358F"/>
    <w:rsid w:val="002E5847"/>
    <w:rsid w:val="002F3FD9"/>
    <w:rsid w:val="002F7EE1"/>
    <w:rsid w:val="003022A2"/>
    <w:rsid w:val="00307171"/>
    <w:rsid w:val="003100F1"/>
    <w:rsid w:val="003103A7"/>
    <w:rsid w:val="0031504F"/>
    <w:rsid w:val="0032053C"/>
    <w:rsid w:val="00322249"/>
    <w:rsid w:val="00324A89"/>
    <w:rsid w:val="003276CD"/>
    <w:rsid w:val="00332A17"/>
    <w:rsid w:val="003369CC"/>
    <w:rsid w:val="00342BCE"/>
    <w:rsid w:val="00350180"/>
    <w:rsid w:val="00350D1D"/>
    <w:rsid w:val="00361C8D"/>
    <w:rsid w:val="00366190"/>
    <w:rsid w:val="00367DA4"/>
    <w:rsid w:val="003706D6"/>
    <w:rsid w:val="0037701E"/>
    <w:rsid w:val="003772B9"/>
    <w:rsid w:val="003855D6"/>
    <w:rsid w:val="003856B7"/>
    <w:rsid w:val="0038634B"/>
    <w:rsid w:val="0039157D"/>
    <w:rsid w:val="0039229C"/>
    <w:rsid w:val="003943A9"/>
    <w:rsid w:val="0039744C"/>
    <w:rsid w:val="003A085C"/>
    <w:rsid w:val="003A0AE2"/>
    <w:rsid w:val="003A46CE"/>
    <w:rsid w:val="003A4949"/>
    <w:rsid w:val="003B1FE1"/>
    <w:rsid w:val="003B4027"/>
    <w:rsid w:val="003B5232"/>
    <w:rsid w:val="003B5D85"/>
    <w:rsid w:val="003C0FDC"/>
    <w:rsid w:val="003C6A68"/>
    <w:rsid w:val="003C6D96"/>
    <w:rsid w:val="003C7275"/>
    <w:rsid w:val="003D2583"/>
    <w:rsid w:val="003E1B2B"/>
    <w:rsid w:val="003F3394"/>
    <w:rsid w:val="003F5CA3"/>
    <w:rsid w:val="004009BB"/>
    <w:rsid w:val="00400D8F"/>
    <w:rsid w:val="00403B11"/>
    <w:rsid w:val="004053DE"/>
    <w:rsid w:val="0041042E"/>
    <w:rsid w:val="00413517"/>
    <w:rsid w:val="0041618D"/>
    <w:rsid w:val="00417C92"/>
    <w:rsid w:val="004200BB"/>
    <w:rsid w:val="004219CB"/>
    <w:rsid w:val="0042575A"/>
    <w:rsid w:val="00430FDB"/>
    <w:rsid w:val="00431BEE"/>
    <w:rsid w:val="00435ED0"/>
    <w:rsid w:val="004364A1"/>
    <w:rsid w:val="00437B71"/>
    <w:rsid w:val="0044180C"/>
    <w:rsid w:val="004457AA"/>
    <w:rsid w:val="004459F2"/>
    <w:rsid w:val="00454D41"/>
    <w:rsid w:val="00455C20"/>
    <w:rsid w:val="00457DDC"/>
    <w:rsid w:val="00464A60"/>
    <w:rsid w:val="004652D2"/>
    <w:rsid w:val="00472716"/>
    <w:rsid w:val="004737DF"/>
    <w:rsid w:val="00491C31"/>
    <w:rsid w:val="004A3ACE"/>
    <w:rsid w:val="004B1473"/>
    <w:rsid w:val="004B1AD2"/>
    <w:rsid w:val="004B5876"/>
    <w:rsid w:val="004C2BE9"/>
    <w:rsid w:val="004C4BF4"/>
    <w:rsid w:val="004D142E"/>
    <w:rsid w:val="004D387B"/>
    <w:rsid w:val="004E04F1"/>
    <w:rsid w:val="004E6BFB"/>
    <w:rsid w:val="004F1171"/>
    <w:rsid w:val="004F5FFB"/>
    <w:rsid w:val="00500D9E"/>
    <w:rsid w:val="0050575C"/>
    <w:rsid w:val="0050673E"/>
    <w:rsid w:val="005070F1"/>
    <w:rsid w:val="005108B0"/>
    <w:rsid w:val="005118FA"/>
    <w:rsid w:val="00535BA2"/>
    <w:rsid w:val="00540BDD"/>
    <w:rsid w:val="00544C54"/>
    <w:rsid w:val="0055485C"/>
    <w:rsid w:val="005548A7"/>
    <w:rsid w:val="0057230B"/>
    <w:rsid w:val="005761D9"/>
    <w:rsid w:val="005812AD"/>
    <w:rsid w:val="00581BE8"/>
    <w:rsid w:val="005837FF"/>
    <w:rsid w:val="0058422A"/>
    <w:rsid w:val="0058433A"/>
    <w:rsid w:val="0058723F"/>
    <w:rsid w:val="005911AE"/>
    <w:rsid w:val="00594B77"/>
    <w:rsid w:val="0059545F"/>
    <w:rsid w:val="005A1AA5"/>
    <w:rsid w:val="005A1C73"/>
    <w:rsid w:val="005A214E"/>
    <w:rsid w:val="005A61FC"/>
    <w:rsid w:val="005A6884"/>
    <w:rsid w:val="005B0268"/>
    <w:rsid w:val="005B2879"/>
    <w:rsid w:val="005B5132"/>
    <w:rsid w:val="005C6697"/>
    <w:rsid w:val="005D043F"/>
    <w:rsid w:val="005D1B80"/>
    <w:rsid w:val="005D50C2"/>
    <w:rsid w:val="005D564E"/>
    <w:rsid w:val="005D7459"/>
    <w:rsid w:val="005F20E6"/>
    <w:rsid w:val="005F2461"/>
    <w:rsid w:val="005F545D"/>
    <w:rsid w:val="0060061D"/>
    <w:rsid w:val="00603909"/>
    <w:rsid w:val="00603C19"/>
    <w:rsid w:val="00604312"/>
    <w:rsid w:val="00605CC9"/>
    <w:rsid w:val="0061225C"/>
    <w:rsid w:val="00614F8E"/>
    <w:rsid w:val="006220DE"/>
    <w:rsid w:val="006260AB"/>
    <w:rsid w:val="006260B5"/>
    <w:rsid w:val="00632BA3"/>
    <w:rsid w:val="00635D6D"/>
    <w:rsid w:val="006367DC"/>
    <w:rsid w:val="00640F3C"/>
    <w:rsid w:val="0064455F"/>
    <w:rsid w:val="00653A6D"/>
    <w:rsid w:val="00654D95"/>
    <w:rsid w:val="00661205"/>
    <w:rsid w:val="0066303A"/>
    <w:rsid w:val="00663ABB"/>
    <w:rsid w:val="00663BB6"/>
    <w:rsid w:val="00664038"/>
    <w:rsid w:val="00664306"/>
    <w:rsid w:val="00671318"/>
    <w:rsid w:val="00671EEC"/>
    <w:rsid w:val="00676F4C"/>
    <w:rsid w:val="00677391"/>
    <w:rsid w:val="00682922"/>
    <w:rsid w:val="00684F29"/>
    <w:rsid w:val="00692D44"/>
    <w:rsid w:val="00694E5D"/>
    <w:rsid w:val="006965A4"/>
    <w:rsid w:val="006B0124"/>
    <w:rsid w:val="006B324B"/>
    <w:rsid w:val="006B7686"/>
    <w:rsid w:val="006C2CA7"/>
    <w:rsid w:val="006C5493"/>
    <w:rsid w:val="006D5562"/>
    <w:rsid w:val="006E19B4"/>
    <w:rsid w:val="006E2DC4"/>
    <w:rsid w:val="006E74B8"/>
    <w:rsid w:val="006F4FFD"/>
    <w:rsid w:val="006F57FB"/>
    <w:rsid w:val="00703AC7"/>
    <w:rsid w:val="0070611E"/>
    <w:rsid w:val="007102BD"/>
    <w:rsid w:val="007170C6"/>
    <w:rsid w:val="007273C9"/>
    <w:rsid w:val="007306B0"/>
    <w:rsid w:val="0074436B"/>
    <w:rsid w:val="007462CE"/>
    <w:rsid w:val="00756C22"/>
    <w:rsid w:val="0076674E"/>
    <w:rsid w:val="0076785E"/>
    <w:rsid w:val="007718D6"/>
    <w:rsid w:val="0077398D"/>
    <w:rsid w:val="00777023"/>
    <w:rsid w:val="00777D28"/>
    <w:rsid w:val="007915AE"/>
    <w:rsid w:val="007B3E1D"/>
    <w:rsid w:val="007B5F79"/>
    <w:rsid w:val="007C0B25"/>
    <w:rsid w:val="007F0B7C"/>
    <w:rsid w:val="007F1AE0"/>
    <w:rsid w:val="007F1C28"/>
    <w:rsid w:val="007F3CB8"/>
    <w:rsid w:val="007F4AF0"/>
    <w:rsid w:val="00802798"/>
    <w:rsid w:val="00810FB5"/>
    <w:rsid w:val="00810FE4"/>
    <w:rsid w:val="008221F9"/>
    <w:rsid w:val="00822E61"/>
    <w:rsid w:val="0082564B"/>
    <w:rsid w:val="00831142"/>
    <w:rsid w:val="0083213A"/>
    <w:rsid w:val="008352AD"/>
    <w:rsid w:val="008357F3"/>
    <w:rsid w:val="00837D67"/>
    <w:rsid w:val="0084281A"/>
    <w:rsid w:val="00844670"/>
    <w:rsid w:val="0084502C"/>
    <w:rsid w:val="00862C14"/>
    <w:rsid w:val="00864D7E"/>
    <w:rsid w:val="00877749"/>
    <w:rsid w:val="00884296"/>
    <w:rsid w:val="008855DE"/>
    <w:rsid w:val="00894C26"/>
    <w:rsid w:val="008A15E4"/>
    <w:rsid w:val="008A247C"/>
    <w:rsid w:val="008A4280"/>
    <w:rsid w:val="008B20EC"/>
    <w:rsid w:val="008B3131"/>
    <w:rsid w:val="008B4F25"/>
    <w:rsid w:val="008B67FC"/>
    <w:rsid w:val="008C58D7"/>
    <w:rsid w:val="008C6C71"/>
    <w:rsid w:val="008D0B5D"/>
    <w:rsid w:val="008D3835"/>
    <w:rsid w:val="008D418E"/>
    <w:rsid w:val="008D6701"/>
    <w:rsid w:val="008E6A7A"/>
    <w:rsid w:val="008F4354"/>
    <w:rsid w:val="008F45A7"/>
    <w:rsid w:val="008F588C"/>
    <w:rsid w:val="008F763F"/>
    <w:rsid w:val="0090353A"/>
    <w:rsid w:val="00904194"/>
    <w:rsid w:val="0091022A"/>
    <w:rsid w:val="00911447"/>
    <w:rsid w:val="00911E1D"/>
    <w:rsid w:val="0091382F"/>
    <w:rsid w:val="00915A04"/>
    <w:rsid w:val="00915DFD"/>
    <w:rsid w:val="00921002"/>
    <w:rsid w:val="00922BAA"/>
    <w:rsid w:val="00926540"/>
    <w:rsid w:val="0092666B"/>
    <w:rsid w:val="0093709B"/>
    <w:rsid w:val="009456A4"/>
    <w:rsid w:val="00947D1E"/>
    <w:rsid w:val="00953B27"/>
    <w:rsid w:val="009577A3"/>
    <w:rsid w:val="00960ECB"/>
    <w:rsid w:val="009643F7"/>
    <w:rsid w:val="00964F2F"/>
    <w:rsid w:val="009729EA"/>
    <w:rsid w:val="00973ED9"/>
    <w:rsid w:val="009741AF"/>
    <w:rsid w:val="00976FBE"/>
    <w:rsid w:val="00980819"/>
    <w:rsid w:val="00990454"/>
    <w:rsid w:val="00990970"/>
    <w:rsid w:val="0099616C"/>
    <w:rsid w:val="009A28FC"/>
    <w:rsid w:val="009A3890"/>
    <w:rsid w:val="009A7878"/>
    <w:rsid w:val="009C0881"/>
    <w:rsid w:val="009C6392"/>
    <w:rsid w:val="009C6661"/>
    <w:rsid w:val="009D43FE"/>
    <w:rsid w:val="009D6AC4"/>
    <w:rsid w:val="009D7455"/>
    <w:rsid w:val="009E0C2A"/>
    <w:rsid w:val="009E27A0"/>
    <w:rsid w:val="009E7005"/>
    <w:rsid w:val="009E7528"/>
    <w:rsid w:val="009F0B9C"/>
    <w:rsid w:val="009F45A2"/>
    <w:rsid w:val="009F536E"/>
    <w:rsid w:val="00A018A2"/>
    <w:rsid w:val="00A04BFB"/>
    <w:rsid w:val="00A0577F"/>
    <w:rsid w:val="00A17675"/>
    <w:rsid w:val="00A20EFF"/>
    <w:rsid w:val="00A25964"/>
    <w:rsid w:val="00A312DD"/>
    <w:rsid w:val="00A32BC4"/>
    <w:rsid w:val="00A42678"/>
    <w:rsid w:val="00A431F1"/>
    <w:rsid w:val="00A438D4"/>
    <w:rsid w:val="00A50440"/>
    <w:rsid w:val="00A65285"/>
    <w:rsid w:val="00A77260"/>
    <w:rsid w:val="00A873F2"/>
    <w:rsid w:val="00A90415"/>
    <w:rsid w:val="00AA00DA"/>
    <w:rsid w:val="00AA4CAC"/>
    <w:rsid w:val="00AB1E2F"/>
    <w:rsid w:val="00AB33E1"/>
    <w:rsid w:val="00AB3A52"/>
    <w:rsid w:val="00AB5BC7"/>
    <w:rsid w:val="00AC1F7E"/>
    <w:rsid w:val="00AC5E84"/>
    <w:rsid w:val="00AD292D"/>
    <w:rsid w:val="00AD679B"/>
    <w:rsid w:val="00AE4C85"/>
    <w:rsid w:val="00AE5314"/>
    <w:rsid w:val="00AE592E"/>
    <w:rsid w:val="00AE7350"/>
    <w:rsid w:val="00AE7C3A"/>
    <w:rsid w:val="00AF62DE"/>
    <w:rsid w:val="00AF6749"/>
    <w:rsid w:val="00B00549"/>
    <w:rsid w:val="00B01E8F"/>
    <w:rsid w:val="00B02A84"/>
    <w:rsid w:val="00B02C6C"/>
    <w:rsid w:val="00B0446E"/>
    <w:rsid w:val="00B04B71"/>
    <w:rsid w:val="00B052B8"/>
    <w:rsid w:val="00B155AA"/>
    <w:rsid w:val="00B25708"/>
    <w:rsid w:val="00B3672D"/>
    <w:rsid w:val="00B402AE"/>
    <w:rsid w:val="00B40635"/>
    <w:rsid w:val="00B430FB"/>
    <w:rsid w:val="00B45550"/>
    <w:rsid w:val="00B609F3"/>
    <w:rsid w:val="00B60DAF"/>
    <w:rsid w:val="00B65B3E"/>
    <w:rsid w:val="00B728D6"/>
    <w:rsid w:val="00B72BE9"/>
    <w:rsid w:val="00B74BBF"/>
    <w:rsid w:val="00B811C0"/>
    <w:rsid w:val="00B8715E"/>
    <w:rsid w:val="00B952EA"/>
    <w:rsid w:val="00BA379E"/>
    <w:rsid w:val="00BB0D8D"/>
    <w:rsid w:val="00BB6EA8"/>
    <w:rsid w:val="00BC05C6"/>
    <w:rsid w:val="00BC17AA"/>
    <w:rsid w:val="00BC2A26"/>
    <w:rsid w:val="00BC6D3E"/>
    <w:rsid w:val="00BD0EA9"/>
    <w:rsid w:val="00BD13E6"/>
    <w:rsid w:val="00BD2EA8"/>
    <w:rsid w:val="00BE1A91"/>
    <w:rsid w:val="00BE2F1C"/>
    <w:rsid w:val="00BE3FCC"/>
    <w:rsid w:val="00BF1BF6"/>
    <w:rsid w:val="00BF6F8F"/>
    <w:rsid w:val="00C04BA9"/>
    <w:rsid w:val="00C10954"/>
    <w:rsid w:val="00C11D05"/>
    <w:rsid w:val="00C12D4B"/>
    <w:rsid w:val="00C14506"/>
    <w:rsid w:val="00C1457C"/>
    <w:rsid w:val="00C17CF4"/>
    <w:rsid w:val="00C2411A"/>
    <w:rsid w:val="00C34B45"/>
    <w:rsid w:val="00C35684"/>
    <w:rsid w:val="00C502BD"/>
    <w:rsid w:val="00C526F9"/>
    <w:rsid w:val="00C528D5"/>
    <w:rsid w:val="00C53967"/>
    <w:rsid w:val="00C60C98"/>
    <w:rsid w:val="00C71876"/>
    <w:rsid w:val="00C71A00"/>
    <w:rsid w:val="00C72B6B"/>
    <w:rsid w:val="00C84F62"/>
    <w:rsid w:val="00C87054"/>
    <w:rsid w:val="00C908C3"/>
    <w:rsid w:val="00C90FB4"/>
    <w:rsid w:val="00C940D0"/>
    <w:rsid w:val="00CB1AB7"/>
    <w:rsid w:val="00CB541D"/>
    <w:rsid w:val="00CB67DB"/>
    <w:rsid w:val="00CC0377"/>
    <w:rsid w:val="00CD6110"/>
    <w:rsid w:val="00CF02F6"/>
    <w:rsid w:val="00CF3806"/>
    <w:rsid w:val="00CF471B"/>
    <w:rsid w:val="00D01DAD"/>
    <w:rsid w:val="00D03F11"/>
    <w:rsid w:val="00D0755C"/>
    <w:rsid w:val="00D167DC"/>
    <w:rsid w:val="00D20D79"/>
    <w:rsid w:val="00D24B98"/>
    <w:rsid w:val="00D33F74"/>
    <w:rsid w:val="00D362B2"/>
    <w:rsid w:val="00D367A6"/>
    <w:rsid w:val="00D46967"/>
    <w:rsid w:val="00D5548A"/>
    <w:rsid w:val="00D6335F"/>
    <w:rsid w:val="00D700F6"/>
    <w:rsid w:val="00D7130E"/>
    <w:rsid w:val="00D717E0"/>
    <w:rsid w:val="00D7403C"/>
    <w:rsid w:val="00D819AB"/>
    <w:rsid w:val="00D86B25"/>
    <w:rsid w:val="00D86BEF"/>
    <w:rsid w:val="00D871E6"/>
    <w:rsid w:val="00D909FD"/>
    <w:rsid w:val="00DA061A"/>
    <w:rsid w:val="00DA0829"/>
    <w:rsid w:val="00DA4F8F"/>
    <w:rsid w:val="00DB5BDF"/>
    <w:rsid w:val="00DC156D"/>
    <w:rsid w:val="00DC732E"/>
    <w:rsid w:val="00DD311E"/>
    <w:rsid w:val="00DD4BA7"/>
    <w:rsid w:val="00DE18EC"/>
    <w:rsid w:val="00DF117C"/>
    <w:rsid w:val="00E00360"/>
    <w:rsid w:val="00E04A89"/>
    <w:rsid w:val="00E14606"/>
    <w:rsid w:val="00E31A60"/>
    <w:rsid w:val="00E31B81"/>
    <w:rsid w:val="00E36964"/>
    <w:rsid w:val="00E40D04"/>
    <w:rsid w:val="00E44188"/>
    <w:rsid w:val="00E45387"/>
    <w:rsid w:val="00E458B9"/>
    <w:rsid w:val="00E54E7E"/>
    <w:rsid w:val="00E63FAA"/>
    <w:rsid w:val="00E67832"/>
    <w:rsid w:val="00E77E1D"/>
    <w:rsid w:val="00E80B7E"/>
    <w:rsid w:val="00E81D40"/>
    <w:rsid w:val="00E826F3"/>
    <w:rsid w:val="00E8386A"/>
    <w:rsid w:val="00E8604C"/>
    <w:rsid w:val="00E86EB6"/>
    <w:rsid w:val="00E91614"/>
    <w:rsid w:val="00E9264A"/>
    <w:rsid w:val="00E96856"/>
    <w:rsid w:val="00EA2B48"/>
    <w:rsid w:val="00EB0A21"/>
    <w:rsid w:val="00EB32C0"/>
    <w:rsid w:val="00EB39A5"/>
    <w:rsid w:val="00EC14A0"/>
    <w:rsid w:val="00EC2408"/>
    <w:rsid w:val="00EC5427"/>
    <w:rsid w:val="00EC63DA"/>
    <w:rsid w:val="00ED463B"/>
    <w:rsid w:val="00EF2A5B"/>
    <w:rsid w:val="00EF3B60"/>
    <w:rsid w:val="00EF3C2F"/>
    <w:rsid w:val="00F13BB2"/>
    <w:rsid w:val="00F16513"/>
    <w:rsid w:val="00F204B0"/>
    <w:rsid w:val="00F2492C"/>
    <w:rsid w:val="00F24A78"/>
    <w:rsid w:val="00F25736"/>
    <w:rsid w:val="00F35030"/>
    <w:rsid w:val="00F3747A"/>
    <w:rsid w:val="00F56902"/>
    <w:rsid w:val="00F60096"/>
    <w:rsid w:val="00F61A42"/>
    <w:rsid w:val="00F65D05"/>
    <w:rsid w:val="00F66E79"/>
    <w:rsid w:val="00F77528"/>
    <w:rsid w:val="00F8374E"/>
    <w:rsid w:val="00F83E30"/>
    <w:rsid w:val="00F900B1"/>
    <w:rsid w:val="00F9242E"/>
    <w:rsid w:val="00F92DBE"/>
    <w:rsid w:val="00F93A6E"/>
    <w:rsid w:val="00F968A6"/>
    <w:rsid w:val="00FB30CC"/>
    <w:rsid w:val="00FB5122"/>
    <w:rsid w:val="00FC0C80"/>
    <w:rsid w:val="00FC1E97"/>
    <w:rsid w:val="00FC1FA6"/>
    <w:rsid w:val="00FC3B63"/>
    <w:rsid w:val="00FC4D37"/>
    <w:rsid w:val="00FD064E"/>
    <w:rsid w:val="00FD1C80"/>
    <w:rsid w:val="00FD30AB"/>
    <w:rsid w:val="00FD48BA"/>
    <w:rsid w:val="00FE4B9E"/>
    <w:rsid w:val="00FE4F66"/>
    <w:rsid w:val="00FF43E9"/>
    <w:rsid w:val="00FF5785"/>
    <w:rsid w:val="00FF79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9D7455"/>
    <w:pPr>
      <w:tabs>
        <w:tab w:val="center" w:pos="4536"/>
        <w:tab w:val="right" w:pos="9072"/>
      </w:tabs>
    </w:pPr>
  </w:style>
  <w:style w:type="character" w:customStyle="1" w:styleId="NagwekZnak">
    <w:name w:val="Nagłówek Znak"/>
    <w:basedOn w:val="Domylnaczcionkaakapitu"/>
    <w:link w:val="Nagwek"/>
    <w:rsid w:val="009D7455"/>
    <w:rPr>
      <w:sz w:val="24"/>
      <w:szCs w:val="24"/>
    </w:rPr>
  </w:style>
  <w:style w:type="character" w:customStyle="1" w:styleId="StopkaZnak">
    <w:name w:val="Stopka Znak"/>
    <w:basedOn w:val="Domylnaczcionkaakapitu"/>
    <w:link w:val="Stopka"/>
    <w:uiPriority w:val="99"/>
    <w:rsid w:val="009D745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9D7455"/>
    <w:pPr>
      <w:tabs>
        <w:tab w:val="center" w:pos="4536"/>
        <w:tab w:val="right" w:pos="9072"/>
      </w:tabs>
    </w:pPr>
  </w:style>
  <w:style w:type="character" w:customStyle="1" w:styleId="NagwekZnak">
    <w:name w:val="Nagłówek Znak"/>
    <w:basedOn w:val="Domylnaczcionkaakapitu"/>
    <w:link w:val="Nagwek"/>
    <w:rsid w:val="009D7455"/>
    <w:rPr>
      <w:sz w:val="24"/>
      <w:szCs w:val="24"/>
    </w:rPr>
  </w:style>
  <w:style w:type="character" w:customStyle="1" w:styleId="StopkaZnak">
    <w:name w:val="Stopka Znak"/>
    <w:basedOn w:val="Domylnaczcionkaakapitu"/>
    <w:link w:val="Stopka"/>
    <w:uiPriority w:val="99"/>
    <w:rsid w:val="009D745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 w:id="205993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2246</Words>
  <Characters>14622</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2018-03-02T12:11:00Z</cp:lastPrinted>
  <dcterms:created xsi:type="dcterms:W3CDTF">2018-03-20T12:12:00Z</dcterms:created>
  <dcterms:modified xsi:type="dcterms:W3CDTF">2018-03-20T12:12:00Z</dcterms:modified>
</cp:coreProperties>
</file>