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493" w:rsidRPr="002011A1" w:rsidRDefault="00271D07" w:rsidP="001C033E">
      <w:pPr>
        <w:spacing w:before="120" w:line="360" w:lineRule="auto"/>
        <w:jc w:val="center"/>
      </w:pPr>
      <w:bookmarkStart w:id="0" w:name="_GoBack"/>
      <w:bookmarkEnd w:id="0"/>
      <w:r w:rsidRPr="002011A1">
        <w:t>UZASADNIENIE</w:t>
      </w:r>
    </w:p>
    <w:p w:rsidR="00271D07" w:rsidRPr="00175C36" w:rsidRDefault="001C033E" w:rsidP="00ED1CD7">
      <w:pPr>
        <w:spacing w:before="240" w:line="360" w:lineRule="auto"/>
        <w:ind w:left="336" w:hanging="336"/>
        <w:rPr>
          <w:b/>
        </w:rPr>
      </w:pPr>
      <w:r>
        <w:rPr>
          <w:b/>
        </w:rPr>
        <w:t>1.</w:t>
      </w:r>
      <w:r>
        <w:rPr>
          <w:b/>
        </w:rPr>
        <w:tab/>
      </w:r>
      <w:r w:rsidR="00271D07" w:rsidRPr="00175C36">
        <w:rPr>
          <w:b/>
        </w:rPr>
        <w:t xml:space="preserve">Potrzeba i cel związania Rzeczypospolitej Polskiej </w:t>
      </w:r>
      <w:r w:rsidR="00104EE7">
        <w:rPr>
          <w:b/>
        </w:rPr>
        <w:t>Porozumieniem</w:t>
      </w:r>
    </w:p>
    <w:p w:rsidR="00175C36" w:rsidRPr="001C033E" w:rsidRDefault="002A6C35" w:rsidP="001C033E">
      <w:pPr>
        <w:spacing w:before="120" w:line="360" w:lineRule="auto"/>
        <w:jc w:val="both"/>
      </w:pPr>
      <w:r w:rsidRPr="00F40A52">
        <w:t xml:space="preserve">Ministerstwo Spraw Zagranicznych </w:t>
      </w:r>
      <w:r w:rsidR="00367DA4" w:rsidRPr="00F40A52">
        <w:t>RP zwr</w:t>
      </w:r>
      <w:r w:rsidR="00C22630" w:rsidRPr="00F40A52">
        <w:t>ócił</w:t>
      </w:r>
      <w:r w:rsidR="00F40A52" w:rsidRPr="00F40A52">
        <w:t xml:space="preserve">o </w:t>
      </w:r>
      <w:r w:rsidR="00367DA4" w:rsidRPr="00F40A52">
        <w:t xml:space="preserve">się do </w:t>
      </w:r>
      <w:r w:rsidRPr="00F40A52">
        <w:t xml:space="preserve">Ambasady </w:t>
      </w:r>
      <w:r w:rsidR="00367DA4" w:rsidRPr="00F40A52">
        <w:t xml:space="preserve">Republiki </w:t>
      </w:r>
      <w:r w:rsidR="00F8610E" w:rsidRPr="00F40A52">
        <w:t xml:space="preserve">Łotewskiej </w:t>
      </w:r>
      <w:r w:rsidR="00993E66" w:rsidRPr="00F40A52">
        <w:t>w</w:t>
      </w:r>
      <w:r w:rsidR="00A72096">
        <w:t xml:space="preserve"> </w:t>
      </w:r>
      <w:r w:rsidR="00993E66" w:rsidRPr="00F40A52">
        <w:t xml:space="preserve">Warszawie </w:t>
      </w:r>
      <w:r w:rsidR="00F40A52" w:rsidRPr="00A7771D">
        <w:t xml:space="preserve">w nocie </w:t>
      </w:r>
      <w:r w:rsidR="00A7771D" w:rsidRPr="00A7771D">
        <w:t>DPT.2701.38.2017/01</w:t>
      </w:r>
      <w:r w:rsidR="00A7771D">
        <w:t xml:space="preserve"> </w:t>
      </w:r>
      <w:r w:rsidR="00F40A52" w:rsidRPr="00A7771D">
        <w:t xml:space="preserve">z dnia </w:t>
      </w:r>
      <w:r w:rsidR="00A7771D" w:rsidRPr="00A7771D">
        <w:t>17 paździ</w:t>
      </w:r>
      <w:r w:rsidR="00A7771D">
        <w:t xml:space="preserve">ernika </w:t>
      </w:r>
      <w:r w:rsidR="00A7771D" w:rsidRPr="00A7771D">
        <w:t xml:space="preserve">2017 r. </w:t>
      </w:r>
      <w:r w:rsidRPr="00F40A52">
        <w:t xml:space="preserve">z propozycją zawarcia </w:t>
      </w:r>
      <w:r w:rsidR="00094F33" w:rsidRPr="00F40A52">
        <w:rPr>
          <w:i/>
        </w:rPr>
        <w:t xml:space="preserve">Porozumienia </w:t>
      </w:r>
      <w:r w:rsidR="00AC5CFD" w:rsidRPr="00F40A52">
        <w:rPr>
          <w:i/>
        </w:rPr>
        <w:t>między Rządem Rzeczypospolitej Polskiej a</w:t>
      </w:r>
      <w:r w:rsidR="001C033E">
        <w:rPr>
          <w:i/>
        </w:rPr>
        <w:t> </w:t>
      </w:r>
      <w:r w:rsidR="00AC5CFD" w:rsidRPr="00F40A52">
        <w:rPr>
          <w:i/>
        </w:rPr>
        <w:t>Rządem Republiki Łotewskiej o zmianie i zakończeniu obowiązywania Umowy między Rządem Rzeczypospolitej Polskiej i Rządem Republiki Łotewskiej w sprawie wzajemnego popierania i ochrony inwestycji, sporządzonej w Warszawie dnia 26</w:t>
      </w:r>
      <w:r w:rsidR="001C033E">
        <w:rPr>
          <w:i/>
        </w:rPr>
        <w:t> </w:t>
      </w:r>
      <w:r w:rsidR="00AC5CFD" w:rsidRPr="00F40A52">
        <w:rPr>
          <w:i/>
        </w:rPr>
        <w:t>kwietnia 1993 r.</w:t>
      </w:r>
      <w:r w:rsidR="0042781C">
        <w:rPr>
          <w:i/>
        </w:rPr>
        <w:t xml:space="preserve"> </w:t>
      </w:r>
      <w:r w:rsidR="0042781C" w:rsidRPr="0042781C">
        <w:t>(</w:t>
      </w:r>
      <w:r w:rsidR="00B60DAF" w:rsidRPr="0042781C">
        <w:t>d</w:t>
      </w:r>
      <w:r w:rsidR="00B60DAF" w:rsidRPr="00F40A52">
        <w:t>alej jako „Porozumienie”</w:t>
      </w:r>
      <w:r w:rsidR="0042781C">
        <w:t>)</w:t>
      </w:r>
      <w:r w:rsidRPr="00F40A52">
        <w:t xml:space="preserve">. W </w:t>
      </w:r>
      <w:r w:rsidR="000B331A" w:rsidRPr="00F40A52">
        <w:t>no</w:t>
      </w:r>
      <w:r w:rsidR="00F40A52" w:rsidRPr="00F40A52">
        <w:t xml:space="preserve">cie zaproponowano, </w:t>
      </w:r>
      <w:r w:rsidRPr="00F40A52">
        <w:t>iż w</w:t>
      </w:r>
      <w:r w:rsidR="001C033E">
        <w:t> </w:t>
      </w:r>
      <w:r w:rsidRPr="00F40A52">
        <w:t xml:space="preserve">odniesieniu do inwestycji dokonanych przed datą utraty mocy </w:t>
      </w:r>
      <w:r w:rsidR="00094F33" w:rsidRPr="00F40A52">
        <w:rPr>
          <w:i/>
        </w:rPr>
        <w:t xml:space="preserve">Umowy </w:t>
      </w:r>
      <w:r w:rsidR="00AC5CFD" w:rsidRPr="00F40A52">
        <w:rPr>
          <w:i/>
        </w:rPr>
        <w:t>między Rządem Rzeczypospolitej Polskiej i Rządem Republiki Łotewskiej w sprawie wzajemnego popierania i ochrony inwestycji, sporządzonej w Warszawie dnia 26</w:t>
      </w:r>
      <w:r w:rsidR="001C033E">
        <w:rPr>
          <w:i/>
        </w:rPr>
        <w:t> </w:t>
      </w:r>
      <w:r w:rsidR="00AC5CFD" w:rsidRPr="00F40A52">
        <w:rPr>
          <w:i/>
        </w:rPr>
        <w:t xml:space="preserve">kwietnia 1993 r. </w:t>
      </w:r>
      <w:r w:rsidR="0042781C" w:rsidRPr="00F40A52">
        <w:t>(Dz. U. z 1993 r. poz. 549)</w:t>
      </w:r>
      <w:r w:rsidR="0042781C">
        <w:t xml:space="preserve">, </w:t>
      </w:r>
      <w:r w:rsidR="00361C8D" w:rsidRPr="00F40A52">
        <w:t>dalej jako „Umowa”</w:t>
      </w:r>
      <w:r w:rsidRPr="00F40A52">
        <w:t xml:space="preserve">, żadne postanowienia </w:t>
      </w:r>
      <w:r w:rsidR="00FC0C80" w:rsidRPr="00F40A52">
        <w:t xml:space="preserve">tej </w:t>
      </w:r>
      <w:r w:rsidR="00361C8D" w:rsidRPr="00F40A52">
        <w:t>U</w:t>
      </w:r>
      <w:r w:rsidRPr="00F40A52">
        <w:t>mowy nie pozostają w mocy</w:t>
      </w:r>
      <w:r w:rsidRPr="00A7771D">
        <w:t>.</w:t>
      </w:r>
      <w:r w:rsidR="00B60DAF" w:rsidRPr="00A7771D">
        <w:t xml:space="preserve"> </w:t>
      </w:r>
      <w:r w:rsidR="00F40A52" w:rsidRPr="00A7771D">
        <w:t>W odpowiedzi Ministerstwo Spraw Zagranicznych Republiki Łotewskiej wystosowało do Ministerstwa Spraw Zagranicznych RP notę</w:t>
      </w:r>
      <w:r w:rsidR="00A7771D" w:rsidRPr="00A7771D">
        <w:t xml:space="preserve"> Nr. 41-34204</w:t>
      </w:r>
      <w:r w:rsidR="00A7771D">
        <w:t xml:space="preserve"> z dnia 28 grudnia 2017 r.</w:t>
      </w:r>
      <w:r w:rsidR="00F40A52" w:rsidRPr="00A7771D">
        <w:t>, w której wyra</w:t>
      </w:r>
      <w:r w:rsidR="00A7771D" w:rsidRPr="00A7771D">
        <w:t xml:space="preserve">ziło </w:t>
      </w:r>
      <w:r w:rsidR="00F40A52" w:rsidRPr="00A7771D">
        <w:t xml:space="preserve">zgodę </w:t>
      </w:r>
      <w:r w:rsidR="00A7771D" w:rsidRPr="00A7771D">
        <w:t xml:space="preserve">Rządu Republiki Łotewskiej </w:t>
      </w:r>
      <w:r w:rsidR="00F40A52" w:rsidRPr="00A7771D">
        <w:t xml:space="preserve">na zawarcie </w:t>
      </w:r>
      <w:r w:rsidR="00A7771D" w:rsidRPr="00A7771D">
        <w:t>Porozumienia</w:t>
      </w:r>
      <w:r w:rsidR="0042781C">
        <w:t xml:space="preserve"> na warunkach zaproponowanych w nocie RP</w:t>
      </w:r>
      <w:r w:rsidR="00A7771D" w:rsidRPr="00A7771D">
        <w:t xml:space="preserve">. </w:t>
      </w:r>
    </w:p>
    <w:p w:rsidR="009F1DAE" w:rsidRPr="009F1DAE" w:rsidRDefault="009F1DAE" w:rsidP="001C033E">
      <w:pPr>
        <w:pStyle w:val="Tekstpodstawowywcity3"/>
        <w:spacing w:before="120" w:after="0" w:line="360" w:lineRule="auto"/>
        <w:ind w:left="0"/>
        <w:jc w:val="both"/>
        <w:rPr>
          <w:sz w:val="24"/>
          <w:szCs w:val="24"/>
        </w:rPr>
      </w:pPr>
      <w:r w:rsidRPr="009F1DAE">
        <w:rPr>
          <w:sz w:val="24"/>
          <w:szCs w:val="24"/>
        </w:rPr>
        <w:t>Obowiązywanie Umowy jest kwestionowane przez Komisję Europejską z uwagi na niezgodność Umowy z prawem UE, podobnie jak kwestionowane jest obowiązywanie wszystkich pozostałych umów o popieraniu i wzajemnej ochronie inwestycji zawartych pomiędzy państwami członkowskimi UE (dalej jako „umowy intra-EU BIT”). W</w:t>
      </w:r>
      <w:r w:rsidR="001C033E">
        <w:rPr>
          <w:sz w:val="24"/>
          <w:szCs w:val="24"/>
        </w:rPr>
        <w:t> </w:t>
      </w:r>
      <w:r w:rsidRPr="009F1DAE">
        <w:rPr>
          <w:sz w:val="24"/>
          <w:szCs w:val="24"/>
        </w:rPr>
        <w:t>odniesieniu do RP Komisja Europejska zakończyła w listopadzie 2016 r. nieformalne postępowanie (tzw. EU Pilot) rozpoczęte w czerwcu 2015 r. i rozważa wszczęcie formalnego postępowania w</w:t>
      </w:r>
      <w:r w:rsidR="001C033E">
        <w:rPr>
          <w:sz w:val="24"/>
          <w:szCs w:val="24"/>
        </w:rPr>
        <w:t xml:space="preserve"> </w:t>
      </w:r>
      <w:r w:rsidRPr="009F1DAE">
        <w:rPr>
          <w:sz w:val="24"/>
          <w:szCs w:val="24"/>
        </w:rPr>
        <w:t>s</w:t>
      </w:r>
      <w:r w:rsidR="001C033E">
        <w:rPr>
          <w:sz w:val="24"/>
          <w:szCs w:val="24"/>
        </w:rPr>
        <w:t>prawie</w:t>
      </w:r>
      <w:r w:rsidRPr="009F1DAE">
        <w:rPr>
          <w:sz w:val="24"/>
          <w:szCs w:val="24"/>
        </w:rPr>
        <w:t xml:space="preserve"> niezgodności m.in. tej Umowy z prawem UE. Takie formalne postępowania Komisji Europejskiej toczą się już przeciwko Austrii, Holandii, Słowacji, Szwecji i Rumunii. </w:t>
      </w:r>
    </w:p>
    <w:p w:rsidR="009F1DAE" w:rsidRPr="009F1DAE" w:rsidRDefault="009F1DAE" w:rsidP="001C033E">
      <w:pPr>
        <w:pStyle w:val="Tekstpodstawowywcity3"/>
        <w:spacing w:before="120" w:after="0" w:line="360" w:lineRule="auto"/>
        <w:ind w:left="0"/>
        <w:jc w:val="both"/>
        <w:rPr>
          <w:sz w:val="24"/>
          <w:szCs w:val="24"/>
        </w:rPr>
      </w:pPr>
      <w:r w:rsidRPr="009F1DAE">
        <w:rPr>
          <w:sz w:val="24"/>
          <w:szCs w:val="24"/>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w:t>
      </w:r>
      <w:r w:rsidR="00FC21A5">
        <w:rPr>
          <w:sz w:val="24"/>
          <w:szCs w:val="24"/>
        </w:rPr>
        <w:t xml:space="preserve">. </w:t>
      </w:r>
      <w:r w:rsidR="00FC21A5" w:rsidRPr="00FC21A5">
        <w:rPr>
          <w:sz w:val="24"/>
          <w:szCs w:val="24"/>
        </w:rPr>
        <w:t>Ponadto RP wypowiedziała, z uwagi na prawo UE, umowę intra-EU BIT zawartą z Portugalią (umowa wygaśnie w dniu 3 sierpnia 2019 r.).</w:t>
      </w:r>
      <w:r w:rsidR="001C033E">
        <w:rPr>
          <w:sz w:val="24"/>
          <w:szCs w:val="24"/>
        </w:rPr>
        <w:t xml:space="preserve"> </w:t>
      </w:r>
    </w:p>
    <w:p w:rsidR="009F1DAE" w:rsidRPr="009F1DAE" w:rsidRDefault="009F1DAE" w:rsidP="001C033E">
      <w:pPr>
        <w:pStyle w:val="Tekstpodstawowywcity3"/>
        <w:spacing w:before="120" w:after="0" w:line="360" w:lineRule="auto"/>
        <w:ind w:left="0"/>
        <w:jc w:val="both"/>
        <w:rPr>
          <w:sz w:val="24"/>
          <w:szCs w:val="24"/>
        </w:rPr>
      </w:pPr>
      <w:r w:rsidRPr="009F1DAE">
        <w:rPr>
          <w:sz w:val="24"/>
          <w:szCs w:val="24"/>
        </w:rPr>
        <w:lastRenderedPageBreak/>
        <w:t>Stanowisko RP wobec umów intra-EU BIT zostało przyjęte przez Komitet do Spraw Europejskich w dniu 3 czerwca 2011 r. Zgodnie z nim umowy intra-EU BIT powinny zostać wypowiedziane przez wszystkie państwa członkowskie UE</w:t>
      </w:r>
      <w:r w:rsidR="00FC21A5">
        <w:rPr>
          <w:sz w:val="24"/>
          <w:szCs w:val="24"/>
        </w:rPr>
        <w:t>,</w:t>
      </w:r>
      <w:r w:rsidRPr="009F1DAE">
        <w:rPr>
          <w:sz w:val="24"/>
          <w:szCs w:val="24"/>
        </w:rPr>
        <w:t xml:space="preserve"> a najlepszym rozwiązaniem dla RP byłoby, aby wszystkie państwa członkowskie UE podjęły jednocześnie wspólną decyzję o rozwiązaniu umów intra-EU BIT za obopólną zgodą na mocy </w:t>
      </w:r>
      <w:r w:rsidRPr="009F1DAE">
        <w:rPr>
          <w:i/>
          <w:sz w:val="24"/>
          <w:szCs w:val="24"/>
        </w:rPr>
        <w:t>Konwencji wiedeńskiej o prawie traktatów</w:t>
      </w:r>
      <w:r w:rsidR="00FC21A5">
        <w:rPr>
          <w:i/>
          <w:sz w:val="24"/>
          <w:szCs w:val="24"/>
        </w:rPr>
        <w:t>,</w:t>
      </w:r>
      <w:r w:rsidRPr="009F1DAE">
        <w:rPr>
          <w:i/>
          <w:sz w:val="24"/>
          <w:szCs w:val="24"/>
        </w:rPr>
        <w:t xml:space="preserve"> sporządzonej w Wiedniu dnia 23 maja 1969 r. </w:t>
      </w:r>
      <w:r w:rsidRPr="009F1DAE">
        <w:rPr>
          <w:sz w:val="24"/>
          <w:szCs w:val="24"/>
        </w:rPr>
        <w:t>(Dz. U. z 1990 r.</w:t>
      </w:r>
      <w:r w:rsidR="00104EE7">
        <w:rPr>
          <w:sz w:val="24"/>
          <w:szCs w:val="24"/>
        </w:rPr>
        <w:t xml:space="preserve"> poz. 439</w:t>
      </w:r>
      <w:r w:rsidRPr="009F1DAE">
        <w:rPr>
          <w:sz w:val="24"/>
          <w:szCs w:val="24"/>
        </w:rPr>
        <w:t>). Alternatywnie, w przypadku braku możliwości osiągnięcia wśród państw członkowskich UE takiej jednomyślności RP, zgodnie z</w:t>
      </w:r>
      <w:r w:rsidR="001C033E">
        <w:rPr>
          <w:sz w:val="24"/>
          <w:szCs w:val="24"/>
        </w:rPr>
        <w:t> </w:t>
      </w:r>
      <w:r w:rsidRPr="009F1DAE">
        <w:rPr>
          <w:sz w:val="24"/>
          <w:szCs w:val="24"/>
        </w:rPr>
        <w:t>powyższym stanowiskiem, miała rozwiązać umowy intra-EU BIT zawarte z innymi państwami członkowskimi UE albo poprzez ich wypowiedzenie na warunkach określonych w tych umowach</w:t>
      </w:r>
      <w:r w:rsidR="00FC21A5">
        <w:rPr>
          <w:sz w:val="24"/>
          <w:szCs w:val="24"/>
        </w:rPr>
        <w:t>,</w:t>
      </w:r>
      <w:r w:rsidRPr="009F1DAE">
        <w:rPr>
          <w:sz w:val="24"/>
          <w:szCs w:val="24"/>
        </w:rPr>
        <w:t xml:space="preserve"> albo na podstawie porozumienia stron. </w:t>
      </w:r>
    </w:p>
    <w:p w:rsidR="009F1DAE" w:rsidRPr="001C033E" w:rsidRDefault="009F1DAE" w:rsidP="001C033E">
      <w:pPr>
        <w:pStyle w:val="Tekstpodstawowywcity3"/>
        <w:spacing w:before="120" w:after="0" w:line="360" w:lineRule="auto"/>
        <w:ind w:left="0"/>
        <w:jc w:val="both"/>
        <w:rPr>
          <w:i/>
          <w:sz w:val="24"/>
          <w:szCs w:val="24"/>
        </w:rPr>
      </w:pPr>
      <w:r w:rsidRPr="009F1DAE">
        <w:rPr>
          <w:sz w:val="24"/>
          <w:szCs w:val="24"/>
        </w:rPr>
        <w:t xml:space="preserve">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104EE7">
        <w:rPr>
          <w:sz w:val="24"/>
          <w:szCs w:val="24"/>
        </w:rPr>
        <w:t xml:space="preserve">klauzula </w:t>
      </w:r>
      <w:r w:rsidR="00FC21A5">
        <w:rPr>
          <w:sz w:val="24"/>
          <w:szCs w:val="24"/>
        </w:rPr>
        <w:t xml:space="preserve">przedłużonego obowiązywania umowy, </w:t>
      </w:r>
      <w:r w:rsidRPr="009F1DAE">
        <w:rPr>
          <w:i/>
          <w:sz w:val="24"/>
          <w:szCs w:val="24"/>
        </w:rPr>
        <w:t>sunset clause</w:t>
      </w:r>
      <w:r w:rsidRPr="009F1DAE">
        <w:rPr>
          <w:sz w:val="24"/>
          <w:szCs w:val="24"/>
        </w:rPr>
        <w:t xml:space="preserve">). O wiele lepszym sposobem, jak Polska wskazała, byłoby rozwiązanie umów intra-EU BIT na podstawie porozumień dwustronnych, które przewidywałyby rezygnację z </w:t>
      </w:r>
      <w:r w:rsidR="00104EE7">
        <w:rPr>
          <w:sz w:val="24"/>
          <w:szCs w:val="24"/>
        </w:rPr>
        <w:t xml:space="preserve">klauzuli </w:t>
      </w:r>
      <w:r w:rsidR="00FC21A5">
        <w:rPr>
          <w:sz w:val="24"/>
          <w:szCs w:val="24"/>
        </w:rPr>
        <w:t xml:space="preserve">przedłużonego obowiązywania umowy. </w:t>
      </w:r>
      <w:r w:rsidRPr="009F1DAE">
        <w:rPr>
          <w:sz w:val="24"/>
          <w:szCs w:val="24"/>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104EE7">
        <w:rPr>
          <w:sz w:val="24"/>
          <w:szCs w:val="24"/>
        </w:rPr>
        <w:t>klauzul</w:t>
      </w:r>
      <w:r w:rsidR="00FC21A5">
        <w:rPr>
          <w:sz w:val="24"/>
          <w:szCs w:val="24"/>
        </w:rPr>
        <w:t xml:space="preserve"> przedłużonego obowiązywania umowy</w:t>
      </w:r>
      <w:r w:rsidRPr="009F1DAE">
        <w:rPr>
          <w:sz w:val="24"/>
          <w:szCs w:val="24"/>
        </w:rPr>
        <w:t xml:space="preserve">, w oparciu o porozumienie wielostronne, </w:t>
      </w:r>
      <w:r w:rsidRPr="009F1DAE">
        <w:rPr>
          <w:sz w:val="24"/>
          <w:szCs w:val="24"/>
        </w:rPr>
        <w:lastRenderedPageBreak/>
        <w:t xml:space="preserve">zawarte zgodnie z </w:t>
      </w:r>
      <w:r w:rsidRPr="009F1DAE">
        <w:rPr>
          <w:i/>
          <w:sz w:val="24"/>
          <w:szCs w:val="24"/>
        </w:rPr>
        <w:t>Konwencją wiedeńską o prawie traktatów</w:t>
      </w:r>
      <w:r w:rsidR="00FC21A5">
        <w:rPr>
          <w:i/>
          <w:sz w:val="24"/>
          <w:szCs w:val="24"/>
        </w:rPr>
        <w:t>,</w:t>
      </w:r>
      <w:r w:rsidRPr="009F1DAE">
        <w:rPr>
          <w:i/>
          <w:sz w:val="24"/>
          <w:szCs w:val="24"/>
        </w:rPr>
        <w:t xml:space="preserve"> sporządzoną w Wiedniu dnia 23 maja 1969 r.</w:t>
      </w:r>
    </w:p>
    <w:p w:rsidR="009F1DAE" w:rsidRPr="00175C36" w:rsidRDefault="009F1DAE" w:rsidP="001C033E">
      <w:pPr>
        <w:pStyle w:val="Tekstpodstawowywcity3"/>
        <w:spacing w:before="120" w:after="0" w:line="360" w:lineRule="auto"/>
        <w:ind w:left="0"/>
        <w:jc w:val="both"/>
        <w:rPr>
          <w:sz w:val="24"/>
          <w:szCs w:val="24"/>
        </w:rPr>
      </w:pPr>
      <w:r w:rsidRPr="00A10D12">
        <w:rPr>
          <w:sz w:val="24"/>
          <w:szCs w:val="24"/>
        </w:rPr>
        <w:t xml:space="preserve">Obecnie jednak, z uwagi na brak </w:t>
      </w:r>
      <w:r w:rsidR="00F40A52">
        <w:rPr>
          <w:sz w:val="24"/>
          <w:szCs w:val="24"/>
        </w:rPr>
        <w:t xml:space="preserve">konsensusu </w:t>
      </w:r>
      <w:r w:rsidRPr="00A10D12">
        <w:rPr>
          <w:sz w:val="24"/>
          <w:szCs w:val="24"/>
        </w:rPr>
        <w:t xml:space="preserve">państw członkowskich UE co do celowości i sposobu rozwiązania umów intra-EU BIT, zasadne jest przystąpienie RP do realizacji opcji rozwiązania tych umów na podstawie porozumień dwustronnych, które przewidywałyby rezygnację z </w:t>
      </w:r>
      <w:r w:rsidR="00104EE7" w:rsidRPr="00A10D12">
        <w:rPr>
          <w:sz w:val="24"/>
          <w:szCs w:val="24"/>
        </w:rPr>
        <w:t xml:space="preserve">klauzul </w:t>
      </w:r>
      <w:r w:rsidR="00F40A52">
        <w:rPr>
          <w:sz w:val="24"/>
          <w:szCs w:val="24"/>
        </w:rPr>
        <w:t>przedłużonego obowiązywania umowy</w:t>
      </w:r>
      <w:r w:rsidR="00360D59">
        <w:rPr>
          <w:sz w:val="24"/>
          <w:szCs w:val="24"/>
        </w:rPr>
        <w:t xml:space="preserve">, wobec </w:t>
      </w:r>
      <w:r w:rsidR="00360D59" w:rsidRPr="00360D59">
        <w:rPr>
          <w:sz w:val="24"/>
          <w:szCs w:val="24"/>
        </w:rPr>
        <w:t xml:space="preserve">czego </w:t>
      </w:r>
      <w:r w:rsidRPr="00360D59">
        <w:rPr>
          <w:sz w:val="24"/>
          <w:szCs w:val="24"/>
        </w:rPr>
        <w:t>zawarcie tego Porozumienia jest dla RP zasadne.</w:t>
      </w:r>
      <w:r w:rsidR="00B56E17">
        <w:rPr>
          <w:sz w:val="24"/>
          <w:szCs w:val="24"/>
        </w:rPr>
        <w:t xml:space="preserve"> </w:t>
      </w:r>
    </w:p>
    <w:p w:rsidR="00271D07" w:rsidRPr="00175C36" w:rsidRDefault="00271D07" w:rsidP="001C033E">
      <w:pPr>
        <w:spacing w:before="240" w:line="360" w:lineRule="auto"/>
        <w:ind w:left="336" w:hanging="336"/>
        <w:rPr>
          <w:rFonts w:cs="Arial"/>
          <w:b/>
          <w:color w:val="000000"/>
        </w:rPr>
      </w:pPr>
      <w:r w:rsidRPr="00175C36">
        <w:rPr>
          <w:rFonts w:cs="Arial"/>
          <w:b/>
          <w:color w:val="000000"/>
        </w:rPr>
        <w:t xml:space="preserve">2. Dotychczasowy a </w:t>
      </w:r>
      <w:r w:rsidRPr="001C033E">
        <w:rPr>
          <w:b/>
        </w:rPr>
        <w:t>projektowany</w:t>
      </w:r>
      <w:r w:rsidRPr="00175C36">
        <w:rPr>
          <w:rFonts w:cs="Arial"/>
          <w:b/>
          <w:color w:val="000000"/>
        </w:rPr>
        <w:t xml:space="preserve"> stan prawny</w:t>
      </w:r>
    </w:p>
    <w:p w:rsidR="00C60C98" w:rsidRDefault="00322249" w:rsidP="001C033E">
      <w:pPr>
        <w:tabs>
          <w:tab w:val="left" w:pos="540"/>
        </w:tabs>
        <w:spacing w:before="120" w:line="360" w:lineRule="auto"/>
        <w:jc w:val="both"/>
      </w:pPr>
      <w:r w:rsidRPr="00AC5CFD">
        <w:t>W polsko</w:t>
      </w:r>
      <w:r w:rsidR="00360D59">
        <w:t>-</w:t>
      </w:r>
      <w:r w:rsidR="00AC5CFD" w:rsidRPr="00AC5CFD">
        <w:t xml:space="preserve">łotewskich </w:t>
      </w:r>
      <w:r w:rsidRPr="00AC5CFD">
        <w:t xml:space="preserve">stosunkach prawno-traktatowych w zakresie współpracy gospodarczej obowiązuje </w:t>
      </w:r>
      <w:r w:rsidR="00104EE7">
        <w:t xml:space="preserve">m.in. </w:t>
      </w:r>
      <w:r w:rsidR="00FC0C80" w:rsidRPr="00AC5CFD">
        <w:t xml:space="preserve">ww. </w:t>
      </w:r>
      <w:r w:rsidR="00E8386A" w:rsidRPr="00AC5CFD">
        <w:rPr>
          <w:i/>
        </w:rPr>
        <w:t xml:space="preserve">Umowa </w:t>
      </w:r>
      <w:r w:rsidR="00AC5CFD" w:rsidRPr="00AC5CFD">
        <w:rPr>
          <w:i/>
        </w:rPr>
        <w:t>między Rządem Rzeczypospolitej Polskiej i</w:t>
      </w:r>
      <w:r w:rsidR="001C033E">
        <w:rPr>
          <w:i/>
        </w:rPr>
        <w:t> </w:t>
      </w:r>
      <w:r w:rsidR="00AC5CFD" w:rsidRPr="00AC5CFD">
        <w:rPr>
          <w:i/>
        </w:rPr>
        <w:t xml:space="preserve">Rządem Republiki Łotewskiej w sprawie wzajemnego popierania i ochrony inwestycji, sporządzona w Warszawie dnia 26 kwietnia 1993 r. </w:t>
      </w:r>
      <w:r w:rsidR="00C60C98" w:rsidRPr="00AC5CFD">
        <w:rPr>
          <w:szCs w:val="26"/>
        </w:rPr>
        <w:t xml:space="preserve">Zapewnia ona inwestorowi i jego inwestycjom </w:t>
      </w:r>
      <w:r w:rsidR="00CE173B">
        <w:rPr>
          <w:szCs w:val="26"/>
        </w:rPr>
        <w:t>z państwa-</w:t>
      </w:r>
      <w:r w:rsidR="009F1DAE">
        <w:rPr>
          <w:szCs w:val="26"/>
        </w:rPr>
        <w:t>S</w:t>
      </w:r>
      <w:r w:rsidR="004053DE" w:rsidRPr="00AC5CFD">
        <w:rPr>
          <w:szCs w:val="26"/>
        </w:rPr>
        <w:t xml:space="preserve">trony </w:t>
      </w:r>
      <w:r w:rsidR="00175C36" w:rsidRPr="00AC5CFD">
        <w:rPr>
          <w:szCs w:val="26"/>
        </w:rPr>
        <w:t>U</w:t>
      </w:r>
      <w:r w:rsidR="00CE173B">
        <w:rPr>
          <w:szCs w:val="26"/>
        </w:rPr>
        <w:t>mowy na terytorium państwa-</w:t>
      </w:r>
      <w:r w:rsidR="004053DE" w:rsidRPr="00AC5CFD">
        <w:rPr>
          <w:szCs w:val="26"/>
        </w:rPr>
        <w:t xml:space="preserve">drugiej </w:t>
      </w:r>
      <w:r w:rsidR="009F1DAE">
        <w:rPr>
          <w:szCs w:val="26"/>
        </w:rPr>
        <w:t>S</w:t>
      </w:r>
      <w:r w:rsidR="004053DE" w:rsidRPr="00AC5CFD">
        <w:rPr>
          <w:szCs w:val="26"/>
        </w:rPr>
        <w:t xml:space="preserve">trony </w:t>
      </w:r>
      <w:r w:rsidR="00175C36" w:rsidRPr="00AC5CFD">
        <w:rPr>
          <w:szCs w:val="26"/>
        </w:rPr>
        <w:t xml:space="preserve">Umowy </w:t>
      </w:r>
      <w:r w:rsidR="00FC4D37" w:rsidRPr="00AC5CFD">
        <w:rPr>
          <w:szCs w:val="26"/>
        </w:rPr>
        <w:t xml:space="preserve">pełną ochronę </w:t>
      </w:r>
      <w:r w:rsidR="009456A4" w:rsidRPr="00AC5CFD">
        <w:rPr>
          <w:szCs w:val="26"/>
        </w:rPr>
        <w:t xml:space="preserve">oraz możliwość dochodzenia roszczeń przed międzynarodowym trybunałem inwestycyjnym. Komisja Europejska </w:t>
      </w:r>
      <w:r w:rsidR="00C60C98" w:rsidRPr="00AC5CFD">
        <w:t xml:space="preserve">ma poważne obawy, że </w:t>
      </w:r>
      <w:r w:rsidR="001C033E">
        <w:t>umowy intra</w:t>
      </w:r>
      <w:r w:rsidR="001C033E">
        <w:noBreakHyphen/>
      </w:r>
      <w:r w:rsidR="00FC4D37" w:rsidRPr="00AC5CFD">
        <w:t xml:space="preserve">EU BIT jako takie, w tym </w:t>
      </w:r>
      <w:r w:rsidR="00FC0C80" w:rsidRPr="00AC5CFD">
        <w:t xml:space="preserve">ww. </w:t>
      </w:r>
      <w:r w:rsidR="00FC4D37" w:rsidRPr="00AC5CFD">
        <w:t>Umowa</w:t>
      </w:r>
      <w:r w:rsidR="00FC0C80" w:rsidRPr="00AC5CFD">
        <w:t>,</w:t>
      </w:r>
      <w:r w:rsidR="00D24B98" w:rsidRPr="00AC5CFD">
        <w:t xml:space="preserve"> </w:t>
      </w:r>
      <w:r w:rsidR="00C60C98" w:rsidRPr="00AC5CFD">
        <w:t>a także ich poszczególne postanowienia</w:t>
      </w:r>
      <w:r w:rsidR="00FC4D37" w:rsidRPr="00AC5CFD">
        <w:t xml:space="preserve"> </w:t>
      </w:r>
      <w:r w:rsidR="00C60C98" w:rsidRPr="00AC5CFD">
        <w:t xml:space="preserve">pokrywają się z postanowieniami Traktatu o funkcjonowaniu Unii Europejskiej </w:t>
      </w:r>
      <w:r w:rsidR="00104EE7">
        <w:t>lub</w:t>
      </w:r>
      <w:r w:rsidR="00104EE7" w:rsidRPr="00AC5CFD">
        <w:t xml:space="preserve"> </w:t>
      </w:r>
      <w:r w:rsidR="00C60C98" w:rsidRPr="00AC5CFD">
        <w:t>mogą być z nimi sprzeczne, w szczególności z zasadami swobody przepływu kapitału, swobody przedsiębiorczości i swobody świadczenia usług oraz z podstawowymi zasadami prawa U</w:t>
      </w:r>
      <w:r w:rsidR="00FC4D37" w:rsidRPr="00AC5CFD">
        <w:t>E</w:t>
      </w:r>
      <w:r w:rsidR="00143F1D">
        <w:t>,</w:t>
      </w:r>
      <w:r w:rsidR="00FC4D37" w:rsidRPr="00AC5CFD">
        <w:t xml:space="preserve"> </w:t>
      </w:r>
      <w:r w:rsidR="00C60C98" w:rsidRPr="00AC5CFD">
        <w:t>takimi jak</w:t>
      </w:r>
      <w:r w:rsidR="0059545F" w:rsidRPr="00AC5CFD">
        <w:t>:</w:t>
      </w:r>
      <w:r w:rsidR="00C60C98" w:rsidRPr="00AC5CFD">
        <w:t xml:space="preserve"> zasad</w:t>
      </w:r>
      <w:r w:rsidR="0059545F" w:rsidRPr="00AC5CFD">
        <w:t>a</w:t>
      </w:r>
      <w:r w:rsidR="00C60C98" w:rsidRPr="00AC5CFD">
        <w:t xml:space="preserve"> nadrzędności, jedności</w:t>
      </w:r>
      <w:r w:rsidR="0059545F" w:rsidRPr="00AC5CFD">
        <w:t xml:space="preserve">, </w:t>
      </w:r>
      <w:r w:rsidR="00C60C98" w:rsidRPr="00AC5CFD">
        <w:t xml:space="preserve">skuteczności </w:t>
      </w:r>
      <w:r w:rsidR="0059545F" w:rsidRPr="00AC5CFD">
        <w:t xml:space="preserve">i pewności </w:t>
      </w:r>
      <w:r w:rsidR="00C60C98" w:rsidRPr="00AC5CFD">
        <w:t>prawa U</w:t>
      </w:r>
      <w:r w:rsidR="00FC4D37" w:rsidRPr="00AC5CFD">
        <w:t>E</w:t>
      </w:r>
      <w:r w:rsidR="0059545F" w:rsidRPr="00AC5CFD">
        <w:t xml:space="preserve">. </w:t>
      </w:r>
      <w:r w:rsidR="00C60C98" w:rsidRPr="00AC5CFD">
        <w:t>Komisj</w:t>
      </w:r>
      <w:r w:rsidR="00104EE7">
        <w:t>a</w:t>
      </w:r>
      <w:r w:rsidR="00C60C98" w:rsidRPr="00AC5CFD">
        <w:t xml:space="preserve"> </w:t>
      </w:r>
      <w:r w:rsidR="00FC4D37" w:rsidRPr="00AC5CFD">
        <w:t>Europejsk</w:t>
      </w:r>
      <w:r w:rsidR="00104EE7">
        <w:t>a</w:t>
      </w:r>
      <w:r w:rsidR="00FC4D37" w:rsidRPr="00AC5CFD">
        <w:t xml:space="preserve"> </w:t>
      </w:r>
      <w:r w:rsidR="00104EE7">
        <w:t>ma</w:t>
      </w:r>
      <w:r w:rsidR="001C033E">
        <w:t xml:space="preserve"> </w:t>
      </w:r>
      <w:r w:rsidR="00C60C98" w:rsidRPr="00AC5CFD">
        <w:t xml:space="preserve">również </w:t>
      </w:r>
      <w:r w:rsidR="00104EE7">
        <w:t>z</w:t>
      </w:r>
      <w:r w:rsidR="00104EE7" w:rsidRPr="00AC5CFD">
        <w:t xml:space="preserve">astrzeżenia </w:t>
      </w:r>
      <w:r w:rsidR="00104EE7">
        <w:t xml:space="preserve">dotyczące </w:t>
      </w:r>
      <w:r w:rsidR="00C60C98" w:rsidRPr="00AC5CFD">
        <w:t xml:space="preserve">kwestii rozstrzygania sporów inwestycyjnych uregulowanej w dwustronnych umowach inwestycyjnych, </w:t>
      </w:r>
      <w:r w:rsidR="0059545F" w:rsidRPr="00AC5CFD">
        <w:t xml:space="preserve">w tym w ww. Umowie, </w:t>
      </w:r>
      <w:r w:rsidR="00C60C98" w:rsidRPr="00AC5CFD">
        <w:t>co</w:t>
      </w:r>
      <w:r w:rsidR="00104EE7">
        <w:t>, zdaniem Komisji Europejskiej, „</w:t>
      </w:r>
      <w:r w:rsidR="00C60C98" w:rsidRPr="00AC5CFD">
        <w:t>wydaje się być sprzeczne z wyłączną kompetencją sądów UE</w:t>
      </w:r>
      <w:r w:rsidR="00104EE7">
        <w:t>”</w:t>
      </w:r>
      <w:r w:rsidR="00C60C98" w:rsidRPr="00AC5CFD">
        <w:t>.</w:t>
      </w:r>
      <w:r w:rsidR="00FC4D37" w:rsidRPr="00AC5CFD">
        <w:t xml:space="preserve"> Zawarcie </w:t>
      </w:r>
      <w:r w:rsidR="0059545F" w:rsidRPr="00AC5CFD">
        <w:t xml:space="preserve">przedmiotowego </w:t>
      </w:r>
      <w:r w:rsidR="00FC4D37" w:rsidRPr="00AC5CFD">
        <w:t>Porozumienia pozwoli doprowadzić do zgodnośc</w:t>
      </w:r>
      <w:r w:rsidR="00D36801">
        <w:t>i z prawem UE stosunki polsko</w:t>
      </w:r>
      <w:r w:rsidR="001C033E">
        <w:noBreakHyphen/>
      </w:r>
      <w:r w:rsidR="00AC5CFD" w:rsidRPr="00AC5CFD">
        <w:t xml:space="preserve">łotewskie </w:t>
      </w:r>
      <w:r w:rsidR="00FC4D37" w:rsidRPr="00AC5CFD">
        <w:t>w zakresie współpracy gospodarczej.</w:t>
      </w:r>
      <w:r w:rsidR="00FC4D37" w:rsidRPr="00175C36">
        <w:t xml:space="preserve"> </w:t>
      </w:r>
    </w:p>
    <w:p w:rsidR="009F1DAE" w:rsidRPr="00175C36" w:rsidRDefault="009F1DAE" w:rsidP="001C033E">
      <w:pPr>
        <w:widowControl w:val="0"/>
        <w:autoSpaceDE w:val="0"/>
        <w:autoSpaceDN w:val="0"/>
        <w:adjustRightInd w:val="0"/>
        <w:spacing w:before="120" w:line="360" w:lineRule="auto"/>
        <w:jc w:val="both"/>
      </w:pPr>
      <w:r>
        <w:t>Należy też zaznaczyć, że jednocześnie przed Trybunałem Sprawiedliwości UE toczy się postępowanie z wniosku sądu niemieckiego o wydanie orzeczenia w trybie prejudycjalnym, sformułowan</w:t>
      </w:r>
      <w:r w:rsidR="005658CA">
        <w:t xml:space="preserve">ego </w:t>
      </w:r>
      <w:r>
        <w:t>w toku postępowania ze skargi Republiki Słowackiej o uchylenie wyroku sądu arbitrażowego wydanego na podstawie umowy intra-EU BIT zawartej pomiędzy Czechosłowacją i Królestwem Niderlandów w 1991 r.</w:t>
      </w:r>
      <w:r w:rsidR="00D36801">
        <w:t>,</w:t>
      </w:r>
      <w:r>
        <w:t xml:space="preserve"> z powództwa Achmea B.V. przeciwko Republice Słowacji (postępowanie PCA Case No. 2008-13). </w:t>
      </w:r>
      <w:r>
        <w:lastRenderedPageBreak/>
        <w:t>W tej sprawie sąd niemiecki zwrócił się do TSUE z pytaniem prejudycjalnym dotyczącym tego, czy wykonanie wyroku wydanego na podstawie tej umowy nie 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Europejska i wiele państw regionu.</w:t>
      </w:r>
      <w:r w:rsidR="00ED16A3">
        <w:t xml:space="preserve"> </w:t>
      </w:r>
      <w:r w:rsidR="00584007">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584007">
        <w:rPr>
          <w:i/>
          <w:color w:val="000000"/>
        </w:rPr>
        <w:t xml:space="preserve">Konwencji wiedeńskiej o prawie traktatów, sporządzonej w Wiedniu dnia 23 maja 1969 r. </w:t>
      </w:r>
      <w:r w:rsidR="00584007">
        <w:t>w związku z zawarciem przez RP Traktatu Akcesyjnego do UE w zakresie, w</w:t>
      </w:r>
      <w:r w:rsidR="001C033E">
        <w:t xml:space="preserve"> którym umowy te są niezgodne z </w:t>
      </w:r>
      <w:r w:rsidR="00584007">
        <w:t>prawem UE.</w:t>
      </w:r>
    </w:p>
    <w:p w:rsidR="00271D07" w:rsidRPr="00175C36" w:rsidRDefault="00271D07" w:rsidP="001C033E">
      <w:pPr>
        <w:spacing w:before="240" w:line="360" w:lineRule="auto"/>
        <w:ind w:left="336" w:hanging="336"/>
        <w:rPr>
          <w:b/>
        </w:rPr>
      </w:pPr>
      <w:r w:rsidRPr="00175C36">
        <w:rPr>
          <w:b/>
        </w:rPr>
        <w:t xml:space="preserve">3. Przewidywane skutki społeczne, </w:t>
      </w:r>
      <w:r w:rsidRPr="001C033E">
        <w:rPr>
          <w:rFonts w:cs="Arial"/>
          <w:b/>
          <w:color w:val="000000"/>
        </w:rPr>
        <w:t>gospodarcze</w:t>
      </w:r>
      <w:r w:rsidRPr="00175C36">
        <w:rPr>
          <w:b/>
        </w:rPr>
        <w:t>, finansowe, polityczne i prawne</w:t>
      </w:r>
    </w:p>
    <w:p w:rsidR="00FC4D37" w:rsidRPr="001C033E" w:rsidRDefault="00684F29" w:rsidP="001C033E">
      <w:pPr>
        <w:spacing w:before="120" w:line="360" w:lineRule="auto"/>
        <w:jc w:val="both"/>
        <w:rPr>
          <w:b/>
          <w:sz w:val="20"/>
          <w:szCs w:val="20"/>
        </w:rPr>
      </w:pPr>
      <w:r w:rsidRPr="00AC5CFD">
        <w:t>Zawarcie Porozumienia nie powinno mieć konsekwencji politycznych. Państwa członkowskie UE, w tym RP</w:t>
      </w:r>
      <w:r w:rsidR="00FC21A5">
        <w:t>,</w:t>
      </w:r>
      <w:r w:rsidRPr="00AC5CFD">
        <w:t xml:space="preserve"> jak i Republika </w:t>
      </w:r>
      <w:r w:rsidR="00AC5CFD" w:rsidRPr="00AC5CFD">
        <w:t>Łotewska</w:t>
      </w:r>
      <w:r w:rsidRPr="00AC5CFD">
        <w:t xml:space="preserve">, zostały wezwane przez Komisję Europejską do </w:t>
      </w:r>
      <w:r w:rsidR="00671318" w:rsidRPr="00AC5CFD">
        <w:t xml:space="preserve">zakończenia obowiązywania </w:t>
      </w:r>
      <w:r w:rsidRPr="00AC5CFD">
        <w:t>umów intra-EU BIT.</w:t>
      </w:r>
      <w:r>
        <w:t xml:space="preserve"> </w:t>
      </w:r>
    </w:p>
    <w:p w:rsidR="00BD2EA8" w:rsidRDefault="00366190" w:rsidP="001C033E">
      <w:pPr>
        <w:pStyle w:val="Tekstpodstawowy"/>
        <w:spacing w:before="120" w:after="0" w:line="360" w:lineRule="auto"/>
        <w:jc w:val="both"/>
      </w:pPr>
      <w:r w:rsidRPr="00175C36">
        <w:t xml:space="preserve">Porozumienie nie będzie miało </w:t>
      </w:r>
      <w:r w:rsidR="00FC4D37" w:rsidRPr="00175C36">
        <w:t xml:space="preserve">negatywnych </w:t>
      </w:r>
      <w:r w:rsidRPr="00175C36">
        <w:t xml:space="preserve">skutków </w:t>
      </w:r>
      <w:r w:rsidR="00271D07" w:rsidRPr="00175C36">
        <w:t>społecznych</w:t>
      </w:r>
      <w:r w:rsidR="00FC4D37" w:rsidRPr="00175C36">
        <w:t>, wręcz przeciwnie</w:t>
      </w:r>
      <w:r w:rsidR="00FC0C80" w:rsidRPr="00175C36">
        <w:t>,</w:t>
      </w:r>
      <w:r w:rsidR="00FC4D37" w:rsidRPr="00175C36">
        <w:t xml:space="preserve"> należy oczekiwać, że zostanie ono życzliwie przyjęte z uwagi na publiczną krytykę w</w:t>
      </w:r>
      <w:r w:rsidR="001C033E">
        <w:t> </w:t>
      </w:r>
      <w:r w:rsidR="00FC4D37" w:rsidRPr="00175C36">
        <w:t xml:space="preserve">Polsce umów intra-EU BIT i międzynarodowego arbitrażu inwestycyjnego. </w:t>
      </w:r>
    </w:p>
    <w:p w:rsidR="00ED16A3" w:rsidRDefault="000643E1" w:rsidP="001C033E">
      <w:pPr>
        <w:tabs>
          <w:tab w:val="left" w:pos="720"/>
        </w:tabs>
        <w:autoSpaceDE w:val="0"/>
        <w:autoSpaceDN w:val="0"/>
        <w:adjustRightInd w:val="0"/>
        <w:spacing w:before="120" w:line="360" w:lineRule="auto"/>
        <w:jc w:val="both"/>
      </w:pPr>
      <w:r w:rsidRPr="00AC5CFD">
        <w:t xml:space="preserve">Zawarcie Porozumienia nie </w:t>
      </w:r>
      <w:r w:rsidR="007B5F79" w:rsidRPr="00AC5CFD">
        <w:t xml:space="preserve">powinno </w:t>
      </w:r>
      <w:r w:rsidRPr="00AC5CFD">
        <w:t>wpłyn</w:t>
      </w:r>
      <w:r w:rsidR="007B5F79" w:rsidRPr="00AC5CFD">
        <w:t xml:space="preserve">ąć </w:t>
      </w:r>
      <w:r w:rsidRPr="00AC5CFD">
        <w:t xml:space="preserve">na stosunki gospodarcze między </w:t>
      </w:r>
      <w:r w:rsidR="00FC4D37" w:rsidRPr="00AC5CFD">
        <w:t xml:space="preserve">RP </w:t>
      </w:r>
      <w:r w:rsidRPr="00AC5CFD">
        <w:t>a</w:t>
      </w:r>
      <w:r w:rsidR="001C033E">
        <w:t> </w:t>
      </w:r>
      <w:r w:rsidR="00E77E1D" w:rsidRPr="00AC5CFD">
        <w:t xml:space="preserve">Republiką </w:t>
      </w:r>
      <w:r w:rsidR="00AC5CFD" w:rsidRPr="00AC5CFD">
        <w:t xml:space="preserve">Łotewską. </w:t>
      </w:r>
      <w:r w:rsidR="007B5F79" w:rsidRPr="00AC5CFD">
        <w:t xml:space="preserve">Umowę zawarto w </w:t>
      </w:r>
      <w:r w:rsidR="00E77E1D" w:rsidRPr="00AC5CFD">
        <w:t>czasie, kiedy ani RP</w:t>
      </w:r>
      <w:r w:rsidR="00143F1D">
        <w:t>,</w:t>
      </w:r>
      <w:r w:rsidR="00E77E1D" w:rsidRPr="00AC5CFD">
        <w:t xml:space="preserve"> ani Republika </w:t>
      </w:r>
      <w:r w:rsidR="00AC5CFD" w:rsidRPr="00AC5CFD">
        <w:t xml:space="preserve">Łotewska </w:t>
      </w:r>
      <w:r w:rsidR="00E77E1D" w:rsidRPr="00AC5CFD">
        <w:t>nie były c</w:t>
      </w:r>
      <w:r w:rsidR="00361C8D" w:rsidRPr="00AC5CFD">
        <w:t>złonk</w:t>
      </w:r>
      <w:r w:rsidR="00E77E1D" w:rsidRPr="00AC5CFD">
        <w:t xml:space="preserve">ami </w:t>
      </w:r>
      <w:r w:rsidR="00361C8D" w:rsidRPr="00AC5CFD">
        <w:t>UE. Obecnie</w:t>
      </w:r>
      <w:r w:rsidR="00D36801">
        <w:t xml:space="preserve"> w obu państwach</w:t>
      </w:r>
      <w:r w:rsidR="00E77E1D" w:rsidRPr="00AC5CFD">
        <w:t xml:space="preserve"> </w:t>
      </w:r>
      <w:r w:rsidR="00361C8D" w:rsidRPr="00AC5CFD">
        <w:t xml:space="preserve">poziom prawodawstwa oraz dostęp do powszechnego sądownictwa </w:t>
      </w:r>
      <w:r w:rsidR="00C2618D">
        <w:t xml:space="preserve">dają </w:t>
      </w:r>
      <w:r w:rsidR="00361C8D" w:rsidRPr="00AC5CFD">
        <w:t xml:space="preserve">inwestorom zagranicznym gwarancję ochrony inwestycji z możliwością dochodzenia </w:t>
      </w:r>
      <w:r w:rsidR="0037701E" w:rsidRPr="00AC5CFD">
        <w:t xml:space="preserve">swoich praw na drodze sądowej. </w:t>
      </w:r>
    </w:p>
    <w:p w:rsidR="00702513" w:rsidRDefault="00702513" w:rsidP="001C033E">
      <w:pPr>
        <w:spacing w:before="120" w:line="360" w:lineRule="auto"/>
        <w:jc w:val="both"/>
        <w:rPr>
          <w:bCs/>
        </w:rPr>
      </w:pPr>
      <w:r w:rsidRPr="00DD64FC">
        <w:t>W</w:t>
      </w:r>
      <w:r>
        <w:t xml:space="preserve">edług </w:t>
      </w:r>
      <w:r w:rsidRPr="00DD64FC">
        <w:t xml:space="preserve">danych NBP </w:t>
      </w:r>
      <w:r w:rsidR="00D43EE0">
        <w:t>w</w:t>
      </w:r>
      <w:r w:rsidR="00D43EE0" w:rsidRPr="00DD64FC">
        <w:t xml:space="preserve"> 201</w:t>
      </w:r>
      <w:r w:rsidR="00D43EE0">
        <w:t>6</w:t>
      </w:r>
      <w:r w:rsidR="00D43EE0" w:rsidRPr="00DD64FC">
        <w:t xml:space="preserve"> </w:t>
      </w:r>
      <w:r w:rsidR="00D43EE0">
        <w:t xml:space="preserve">r. napłynęło z RP do Republiki </w:t>
      </w:r>
      <w:r w:rsidR="00D43EE0" w:rsidRPr="00DD64FC">
        <w:t>Łot</w:t>
      </w:r>
      <w:r w:rsidR="00D43EE0">
        <w:t>ewskiej 21,8</w:t>
      </w:r>
      <w:r w:rsidR="00D43EE0" w:rsidRPr="00DD64FC">
        <w:t xml:space="preserve"> mln EUR</w:t>
      </w:r>
      <w:r w:rsidR="00D43EE0">
        <w:t>. C</w:t>
      </w:r>
      <w:r w:rsidRPr="00DD64FC">
        <w:t>ałkowit</w:t>
      </w:r>
      <w:r>
        <w:t>a</w:t>
      </w:r>
      <w:r w:rsidRPr="00DD64FC">
        <w:t xml:space="preserve"> wartość inwestycji polskich </w:t>
      </w:r>
      <w:r>
        <w:t xml:space="preserve">w Republice </w:t>
      </w:r>
      <w:r w:rsidRPr="00DD64FC">
        <w:t>Łot</w:t>
      </w:r>
      <w:r>
        <w:t xml:space="preserve">ewskiej wyniosła </w:t>
      </w:r>
      <w:r w:rsidRPr="00DD64FC">
        <w:t xml:space="preserve">na koniec </w:t>
      </w:r>
      <w:r w:rsidRPr="00DD64FC">
        <w:lastRenderedPageBreak/>
        <w:t>201</w:t>
      </w:r>
      <w:r>
        <w:t>6 r.</w:t>
      </w:r>
      <w:r w:rsidRPr="00DD64FC">
        <w:t xml:space="preserve"> </w:t>
      </w:r>
      <w:r>
        <w:t>103,8</w:t>
      </w:r>
      <w:r w:rsidRPr="00DD64FC">
        <w:t xml:space="preserve"> mln EUR (0,</w:t>
      </w:r>
      <w:r>
        <w:t>4</w:t>
      </w:r>
      <w:r w:rsidRPr="00DD64FC">
        <w:t>% polskiego kapitału zainwestowanego za granicą). Według źródeł łotewskich s</w:t>
      </w:r>
      <w:r w:rsidRPr="00DD64FC">
        <w:rPr>
          <w:bCs/>
        </w:rPr>
        <w:t xml:space="preserve">kumulowana wartość polskich </w:t>
      </w:r>
      <w:r>
        <w:rPr>
          <w:bCs/>
        </w:rPr>
        <w:t>inwestycji bezpośrednich w</w:t>
      </w:r>
      <w:r w:rsidR="001C033E">
        <w:rPr>
          <w:bCs/>
        </w:rPr>
        <w:t> </w:t>
      </w:r>
      <w:r>
        <w:rPr>
          <w:bCs/>
        </w:rPr>
        <w:t xml:space="preserve">Republice </w:t>
      </w:r>
      <w:r w:rsidRPr="00DD64FC">
        <w:rPr>
          <w:bCs/>
        </w:rPr>
        <w:t>Łot</w:t>
      </w:r>
      <w:r>
        <w:rPr>
          <w:bCs/>
        </w:rPr>
        <w:t xml:space="preserve">ewskiej wyniosła </w:t>
      </w:r>
      <w:r w:rsidRPr="00DD64FC">
        <w:rPr>
          <w:bCs/>
        </w:rPr>
        <w:t>na koniec 201</w:t>
      </w:r>
      <w:r>
        <w:rPr>
          <w:bCs/>
        </w:rPr>
        <w:t>6</w:t>
      </w:r>
      <w:r w:rsidRPr="00DD64FC">
        <w:rPr>
          <w:bCs/>
        </w:rPr>
        <w:t xml:space="preserve"> r</w:t>
      </w:r>
      <w:r w:rsidR="00D43EE0">
        <w:rPr>
          <w:bCs/>
        </w:rPr>
        <w:t xml:space="preserve">. </w:t>
      </w:r>
      <w:r>
        <w:rPr>
          <w:bCs/>
        </w:rPr>
        <w:t>62,7</w:t>
      </w:r>
      <w:r w:rsidRPr="00DD64FC">
        <w:rPr>
          <w:bCs/>
        </w:rPr>
        <w:t xml:space="preserve"> mln EUR, z czego ok.</w:t>
      </w:r>
      <w:r>
        <w:rPr>
          <w:bCs/>
        </w:rPr>
        <w:t xml:space="preserve"> </w:t>
      </w:r>
      <w:r w:rsidRPr="00DD64FC">
        <w:rPr>
          <w:bCs/>
        </w:rPr>
        <w:t>58% zainwestowano w usługi finansowe i ubezpieczenia, ok. 39% w handel hurtowy i</w:t>
      </w:r>
      <w:r w:rsidR="001C033E">
        <w:rPr>
          <w:bCs/>
        </w:rPr>
        <w:t> </w:t>
      </w:r>
      <w:r w:rsidRPr="00DD64FC">
        <w:rPr>
          <w:bCs/>
        </w:rPr>
        <w:t>detaliczny, ok. 2% w produkcję.</w:t>
      </w:r>
      <w:r>
        <w:rPr>
          <w:bCs/>
        </w:rPr>
        <w:t xml:space="preserve"> </w:t>
      </w:r>
    </w:p>
    <w:p w:rsidR="00702513" w:rsidRPr="008D051C" w:rsidRDefault="00D43EE0" w:rsidP="001C033E">
      <w:pPr>
        <w:spacing w:before="120" w:line="360" w:lineRule="auto"/>
        <w:jc w:val="both"/>
      </w:pPr>
      <w:r>
        <w:t>R</w:t>
      </w:r>
      <w:r w:rsidR="00702513" w:rsidRPr="00DD64FC">
        <w:t xml:space="preserve">P </w:t>
      </w:r>
      <w:r>
        <w:t xml:space="preserve">zajmuje </w:t>
      </w:r>
      <w:r w:rsidR="00702513" w:rsidRPr="00DD64FC">
        <w:t>8 miejsc</w:t>
      </w:r>
      <w:r>
        <w:t>e</w:t>
      </w:r>
      <w:r w:rsidR="00702513" w:rsidRPr="00DD64FC">
        <w:t xml:space="preserve"> wśród kierunków inwestycji łotewskich (za Litwą, Szwajcarią, Cyprem, Rosją, Estonią, Białorusią i Luksemburgiem). W</w:t>
      </w:r>
      <w:r w:rsidR="00702513">
        <w:t>edłu</w:t>
      </w:r>
      <w:r w:rsidR="00702513" w:rsidRPr="00DD64FC">
        <w:t>g informacji Banku Centralnego Łotwy s</w:t>
      </w:r>
      <w:r w:rsidR="00702513" w:rsidRPr="00DD64FC">
        <w:rPr>
          <w:bCs/>
        </w:rPr>
        <w:t xml:space="preserve">kumulowana wartość łotewskich </w:t>
      </w:r>
      <w:r>
        <w:rPr>
          <w:bCs/>
        </w:rPr>
        <w:t xml:space="preserve">bezpośrednich inwestycji zagranicznych </w:t>
      </w:r>
      <w:r w:rsidR="00702513" w:rsidRPr="00DD64FC">
        <w:rPr>
          <w:bCs/>
        </w:rPr>
        <w:t xml:space="preserve">w </w:t>
      </w:r>
      <w:r w:rsidR="00702513">
        <w:rPr>
          <w:bCs/>
        </w:rPr>
        <w:t>R</w:t>
      </w:r>
      <w:r w:rsidR="00702513" w:rsidRPr="00DD64FC">
        <w:rPr>
          <w:bCs/>
        </w:rPr>
        <w:t>P</w:t>
      </w:r>
      <w:r w:rsidR="00702513">
        <w:rPr>
          <w:bCs/>
        </w:rPr>
        <w:t xml:space="preserve"> </w:t>
      </w:r>
      <w:r w:rsidR="00702513" w:rsidRPr="00DD64FC">
        <w:rPr>
          <w:bCs/>
        </w:rPr>
        <w:t>na koniec 2015 r</w:t>
      </w:r>
      <w:r w:rsidR="00702513">
        <w:rPr>
          <w:bCs/>
        </w:rPr>
        <w:t xml:space="preserve">. </w:t>
      </w:r>
      <w:r w:rsidR="00702513" w:rsidRPr="00DD64FC">
        <w:rPr>
          <w:bCs/>
        </w:rPr>
        <w:t>wyniosła 33,24 mln EUR, przy czym zdecydowaną większość inwestycji poczyniono w handel hurtowy i detaliczny (ok. 95%). Pozostałe inwestycje</w:t>
      </w:r>
      <w:r>
        <w:rPr>
          <w:bCs/>
        </w:rPr>
        <w:t xml:space="preserve"> ulokowano w sektorach </w:t>
      </w:r>
      <w:r w:rsidR="00A72096" w:rsidRPr="00DD64FC">
        <w:rPr>
          <w:bCs/>
        </w:rPr>
        <w:t>usług finansow</w:t>
      </w:r>
      <w:r>
        <w:rPr>
          <w:bCs/>
        </w:rPr>
        <w:t xml:space="preserve">ych </w:t>
      </w:r>
      <w:r w:rsidR="00A72096">
        <w:rPr>
          <w:bCs/>
        </w:rPr>
        <w:t>i ubezpiecze</w:t>
      </w:r>
      <w:r>
        <w:rPr>
          <w:bCs/>
        </w:rPr>
        <w:t xml:space="preserve">ń </w:t>
      </w:r>
      <w:r w:rsidR="00A72096">
        <w:rPr>
          <w:bCs/>
        </w:rPr>
        <w:t>(</w:t>
      </w:r>
      <w:r w:rsidR="00702513" w:rsidRPr="00DD64FC">
        <w:rPr>
          <w:bCs/>
        </w:rPr>
        <w:t xml:space="preserve">ok. </w:t>
      </w:r>
      <w:r>
        <w:rPr>
          <w:bCs/>
        </w:rPr>
        <w:t>4,</w:t>
      </w:r>
      <w:r w:rsidR="00702513" w:rsidRPr="00DD64FC">
        <w:rPr>
          <w:bCs/>
        </w:rPr>
        <w:t>5%</w:t>
      </w:r>
      <w:r w:rsidR="00A72096">
        <w:rPr>
          <w:bCs/>
        </w:rPr>
        <w:t>)</w:t>
      </w:r>
      <w:r>
        <w:rPr>
          <w:bCs/>
        </w:rPr>
        <w:t xml:space="preserve"> oraz </w:t>
      </w:r>
      <w:r w:rsidR="00A72096">
        <w:rPr>
          <w:bCs/>
        </w:rPr>
        <w:t>nieruchomości (</w:t>
      </w:r>
      <w:r w:rsidR="00702513" w:rsidRPr="00DD64FC">
        <w:rPr>
          <w:bCs/>
        </w:rPr>
        <w:t>0,</w:t>
      </w:r>
      <w:r>
        <w:rPr>
          <w:bCs/>
        </w:rPr>
        <w:t>5</w:t>
      </w:r>
      <w:r w:rsidR="00702513" w:rsidRPr="00DD64FC">
        <w:rPr>
          <w:bCs/>
        </w:rPr>
        <w:t>%</w:t>
      </w:r>
      <w:r w:rsidR="00A72096">
        <w:rPr>
          <w:bCs/>
        </w:rPr>
        <w:t>)</w:t>
      </w:r>
      <w:r w:rsidR="00702513" w:rsidRPr="00DD64FC">
        <w:rPr>
          <w:bCs/>
        </w:rPr>
        <w:t>.</w:t>
      </w:r>
      <w:r w:rsidR="00702513">
        <w:rPr>
          <w:bCs/>
        </w:rPr>
        <w:t xml:space="preserve"> </w:t>
      </w:r>
      <w:r w:rsidR="00702513" w:rsidRPr="00DD64FC">
        <w:t>Według danych GUS pod koniec 201</w:t>
      </w:r>
      <w:r w:rsidR="00F934E2">
        <w:t>6</w:t>
      </w:r>
      <w:r w:rsidR="00702513" w:rsidRPr="00DD64FC">
        <w:t xml:space="preserve"> r. w </w:t>
      </w:r>
      <w:r w:rsidR="00702513">
        <w:t>R</w:t>
      </w:r>
      <w:r w:rsidR="00702513" w:rsidRPr="00DD64FC">
        <w:t>P</w:t>
      </w:r>
      <w:r w:rsidR="00702513">
        <w:t xml:space="preserve"> </w:t>
      </w:r>
      <w:r w:rsidR="00702513" w:rsidRPr="00DD64FC">
        <w:t>był</w:t>
      </w:r>
      <w:r w:rsidR="00702513">
        <w:t>o</w:t>
      </w:r>
      <w:r w:rsidR="00702513" w:rsidRPr="00DD64FC">
        <w:t xml:space="preserve"> zarejestrowan</w:t>
      </w:r>
      <w:r w:rsidR="00702513">
        <w:t xml:space="preserve">ych </w:t>
      </w:r>
      <w:r w:rsidR="00F934E2">
        <w:t>pięć</w:t>
      </w:r>
      <w:r>
        <w:t xml:space="preserve">dziesiąt jeden </w:t>
      </w:r>
      <w:r w:rsidR="00702513" w:rsidRPr="00DD64FC">
        <w:t>spół</w:t>
      </w:r>
      <w:r w:rsidR="00702513">
        <w:t>e</w:t>
      </w:r>
      <w:r w:rsidR="00702513" w:rsidRPr="00DD64FC">
        <w:t>k</w:t>
      </w:r>
      <w:r w:rsidR="00702513">
        <w:t xml:space="preserve"> z</w:t>
      </w:r>
      <w:r w:rsidR="00702513" w:rsidRPr="00DD64FC">
        <w:t xml:space="preserve"> udziałem kapitału łotewskiego, w</w:t>
      </w:r>
      <w:r w:rsidR="001C033E">
        <w:t> </w:t>
      </w:r>
      <w:r w:rsidR="00702513" w:rsidRPr="00DD64FC">
        <w:t xml:space="preserve">tym </w:t>
      </w:r>
      <w:r w:rsidR="00F934E2">
        <w:t>dziewięć</w:t>
      </w:r>
      <w:r w:rsidR="00702513" w:rsidRPr="00DD64FC">
        <w:t xml:space="preserve"> zatrudni</w:t>
      </w:r>
      <w:r w:rsidR="00F934E2">
        <w:t xml:space="preserve">ających </w:t>
      </w:r>
      <w:r w:rsidR="00702513" w:rsidRPr="00DD64FC">
        <w:t>10 i więcej</w:t>
      </w:r>
      <w:r w:rsidR="00893616">
        <w:t xml:space="preserve"> osób</w:t>
      </w:r>
      <w:r w:rsidR="00F934E2">
        <w:t xml:space="preserve">. </w:t>
      </w:r>
      <w:r w:rsidR="00702513" w:rsidRPr="00DD64FC">
        <w:t xml:space="preserve">Podstawowy kapitał zagraniczny tych spółek wynosił </w:t>
      </w:r>
      <w:r w:rsidR="00F934E2">
        <w:t>77</w:t>
      </w:r>
      <w:r w:rsidR="00893616">
        <w:t>,7</w:t>
      </w:r>
      <w:r w:rsidR="00F934E2">
        <w:t xml:space="preserve"> </w:t>
      </w:r>
      <w:r w:rsidR="00702513" w:rsidRPr="00DD64FC">
        <w:t>mln PLN</w:t>
      </w:r>
      <w:r w:rsidR="00893616">
        <w:t xml:space="preserve">. </w:t>
      </w:r>
      <w:r w:rsidR="00702513" w:rsidRPr="00DD64FC">
        <w:t>W</w:t>
      </w:r>
      <w:r w:rsidR="00702513">
        <w:t xml:space="preserve">edług </w:t>
      </w:r>
      <w:r w:rsidR="00702513" w:rsidRPr="00DD64FC">
        <w:t>danych NBP wielkość zainwestowanego kapitału łotewskiego w</w:t>
      </w:r>
      <w:r w:rsidR="00702513">
        <w:t xml:space="preserve"> R</w:t>
      </w:r>
      <w:r w:rsidR="00702513" w:rsidRPr="00DD64FC">
        <w:t>P</w:t>
      </w:r>
      <w:r w:rsidR="00702513">
        <w:t xml:space="preserve"> </w:t>
      </w:r>
      <w:r w:rsidR="00702513" w:rsidRPr="00DD64FC">
        <w:t>na koniec 201</w:t>
      </w:r>
      <w:r w:rsidR="00702513">
        <w:t>6</w:t>
      </w:r>
      <w:r w:rsidR="00702513" w:rsidRPr="00DD64FC">
        <w:t xml:space="preserve"> r. wyniosła </w:t>
      </w:r>
      <w:r w:rsidR="00702513">
        <w:t>62,8</w:t>
      </w:r>
      <w:r w:rsidR="00702513" w:rsidRPr="00DD64FC">
        <w:t xml:space="preserve"> mln EUR </w:t>
      </w:r>
      <w:r w:rsidR="00A72096">
        <w:t>(</w:t>
      </w:r>
      <w:r w:rsidR="00702513" w:rsidRPr="00DD64FC">
        <w:t xml:space="preserve">ok. 0,04% zainwestowanego kapitału </w:t>
      </w:r>
      <w:r w:rsidR="00702513">
        <w:t xml:space="preserve">zagranicznego </w:t>
      </w:r>
      <w:r w:rsidR="00702513" w:rsidRPr="00DD64FC">
        <w:t>ogółem</w:t>
      </w:r>
      <w:r w:rsidR="00A72096">
        <w:t>)</w:t>
      </w:r>
      <w:r w:rsidR="00702513" w:rsidRPr="00DD64FC">
        <w:t>.</w:t>
      </w:r>
      <w:r w:rsidR="00A72096">
        <w:t xml:space="preserve"> </w:t>
      </w:r>
      <w:r w:rsidR="00702513">
        <w:t xml:space="preserve">Na liście inwestorów Polskiej Agencji Inwestycji i </w:t>
      </w:r>
      <w:r>
        <w:t>H</w:t>
      </w:r>
      <w:r w:rsidR="00702513">
        <w:t>andlu</w:t>
      </w:r>
      <w:r w:rsidR="002B0691">
        <w:t xml:space="preserve"> S.</w:t>
      </w:r>
      <w:r w:rsidR="00D36801">
        <w:t>A.</w:t>
      </w:r>
      <w:r w:rsidR="00702513">
        <w:t xml:space="preserve"> odnotowano dwie spółki łotewskie: Severstallat Silesia w Sosnowcu i Stenders Europe w Warszawie. </w:t>
      </w:r>
    </w:p>
    <w:p w:rsidR="0037701E" w:rsidRPr="00AC5CFD" w:rsidRDefault="00FC21A5" w:rsidP="001C033E">
      <w:pPr>
        <w:pStyle w:val="Tekstpodstawowy"/>
        <w:spacing w:before="120" w:after="0" w:line="360" w:lineRule="auto"/>
        <w:jc w:val="both"/>
      </w:pPr>
      <w:r>
        <w:t xml:space="preserve">Ówczesne </w:t>
      </w:r>
      <w:r w:rsidR="0037701E" w:rsidRPr="00175C36">
        <w:t>Ministerstwo Rozwoju poinformowało samorządy gospodarcze (Konfederacja Lewiatan, Pracodawcy RP, Krajowa Izb</w:t>
      </w:r>
      <w:r w:rsidR="006554BB">
        <w:t>a</w:t>
      </w:r>
      <w:r w:rsidR="0037701E" w:rsidRPr="00175C36">
        <w:t xml:space="preserve"> Gospodarcza, Polska Rada Bi</w:t>
      </w:r>
      <w:r w:rsidR="00FC0C80" w:rsidRPr="00175C36">
        <w:t>znesu, Business Centr</w:t>
      </w:r>
      <w:r>
        <w:t>e</w:t>
      </w:r>
      <w:r w:rsidR="00FC0C80" w:rsidRPr="00175C36">
        <w:t xml:space="preserve"> Club) o </w:t>
      </w:r>
      <w:r w:rsidR="005761D9" w:rsidRPr="00175C36">
        <w:t xml:space="preserve">planach </w:t>
      </w:r>
      <w:r w:rsidR="00FC0C80" w:rsidRPr="00175C36">
        <w:t>ro</w:t>
      </w:r>
      <w:r w:rsidR="0037701E" w:rsidRPr="00175C36">
        <w:t>związani</w:t>
      </w:r>
      <w:r w:rsidR="00FC0C80" w:rsidRPr="00175C36">
        <w:t xml:space="preserve">a Umowy </w:t>
      </w:r>
      <w:r w:rsidR="0037701E" w:rsidRPr="00175C36">
        <w:t>i zwrócił</w:t>
      </w:r>
      <w:r w:rsidR="000473AE" w:rsidRPr="00175C36">
        <w:t>o</w:t>
      </w:r>
      <w:r w:rsidR="0037701E" w:rsidRPr="00175C36">
        <w:t xml:space="preserve"> się do </w:t>
      </w:r>
      <w:r w:rsidR="001C033E">
        <w:t>nich o </w:t>
      </w:r>
      <w:r w:rsidR="0037701E" w:rsidRPr="00AC5CFD">
        <w:t>przekazanie odpowiedzi na następujące pytania:</w:t>
      </w:r>
      <w:r w:rsidR="001C033E">
        <w:t xml:space="preserve"> </w:t>
      </w:r>
    </w:p>
    <w:p w:rsidR="0037701E" w:rsidRPr="00AC5CFD" w:rsidRDefault="00D36801" w:rsidP="001C033E">
      <w:pPr>
        <w:pStyle w:val="Tekstpodstawowy"/>
        <w:spacing w:after="0" w:line="360" w:lineRule="auto"/>
        <w:ind w:left="294" w:hanging="294"/>
        <w:jc w:val="both"/>
        <w:rPr>
          <w:spacing w:val="4"/>
        </w:rPr>
      </w:pPr>
      <w:r>
        <w:rPr>
          <w:spacing w:val="4"/>
        </w:rPr>
        <w:t>–</w:t>
      </w:r>
      <w:r w:rsidR="001C033E">
        <w:rPr>
          <w:spacing w:val="4"/>
        </w:rPr>
        <w:tab/>
      </w:r>
      <w:r w:rsidR="0037701E" w:rsidRPr="00AC5CFD">
        <w:rPr>
          <w:spacing w:val="4"/>
        </w:rPr>
        <w:t xml:space="preserve">czy inwestorzy polscy na rynku </w:t>
      </w:r>
      <w:r w:rsidR="00AC5CFD" w:rsidRPr="00AC5CFD">
        <w:rPr>
          <w:spacing w:val="4"/>
        </w:rPr>
        <w:t>łotewskim</w:t>
      </w:r>
      <w:r w:rsidR="00535BA2" w:rsidRPr="00AC5CFD">
        <w:rPr>
          <w:spacing w:val="4"/>
        </w:rPr>
        <w:t xml:space="preserve"> </w:t>
      </w:r>
      <w:r w:rsidR="0037701E" w:rsidRPr="00AC5CFD">
        <w:rPr>
          <w:spacing w:val="4"/>
        </w:rPr>
        <w:t xml:space="preserve">w przypadku ewentualnych działań dyskryminujących ich inwestycje korzystali lub rozważali możliwość wniesienia sporu przeciwko </w:t>
      </w:r>
      <w:r w:rsidR="001F7DEF" w:rsidRPr="00AC5CFD">
        <w:rPr>
          <w:spacing w:val="4"/>
        </w:rPr>
        <w:t xml:space="preserve">Republice </w:t>
      </w:r>
      <w:r w:rsidR="00AC5CFD" w:rsidRPr="00AC5CFD">
        <w:rPr>
          <w:spacing w:val="4"/>
        </w:rPr>
        <w:t>Łotewskie</w:t>
      </w:r>
      <w:r w:rsidR="001F7DEF" w:rsidRPr="00AC5CFD">
        <w:rPr>
          <w:spacing w:val="4"/>
        </w:rPr>
        <w:t>j?</w:t>
      </w:r>
      <w:r w:rsidR="0037701E" w:rsidRPr="00AC5CFD">
        <w:rPr>
          <w:spacing w:val="4"/>
        </w:rPr>
        <w:t xml:space="preserve"> Czy w takim wypadku korzystali/korzystaliby z postępowania przed sądem powszechnym czy też przed międzynarodowym arbitrażem inwestycyjnym?</w:t>
      </w:r>
    </w:p>
    <w:p w:rsidR="0037701E" w:rsidRPr="00AC5CFD" w:rsidRDefault="00D36801" w:rsidP="001C033E">
      <w:pPr>
        <w:pStyle w:val="Tekstpodstawowy"/>
        <w:spacing w:after="0" w:line="360" w:lineRule="auto"/>
        <w:ind w:left="294" w:hanging="294"/>
        <w:jc w:val="both"/>
        <w:rPr>
          <w:spacing w:val="4"/>
        </w:rPr>
      </w:pPr>
      <w:r>
        <w:rPr>
          <w:spacing w:val="4"/>
        </w:rPr>
        <w:t>–</w:t>
      </w:r>
      <w:r w:rsidR="001C033E">
        <w:rPr>
          <w:spacing w:val="4"/>
        </w:rPr>
        <w:tab/>
      </w:r>
      <w:r w:rsidR="0037701E" w:rsidRPr="00AC5CFD">
        <w:rPr>
          <w:spacing w:val="4"/>
        </w:rPr>
        <w:t xml:space="preserve">czy zdaniem polskich inwestorów ochrona ich inwestycji w regulacjach </w:t>
      </w:r>
      <w:r w:rsidR="005761D9" w:rsidRPr="00AC5CFD">
        <w:rPr>
          <w:spacing w:val="4"/>
        </w:rPr>
        <w:t xml:space="preserve">Republiki </w:t>
      </w:r>
      <w:r w:rsidR="00AC5CFD" w:rsidRPr="00AC5CFD">
        <w:rPr>
          <w:spacing w:val="4"/>
        </w:rPr>
        <w:t xml:space="preserve">Łotewskiej </w:t>
      </w:r>
      <w:r w:rsidR="0037701E" w:rsidRPr="00AC5CFD">
        <w:rPr>
          <w:spacing w:val="4"/>
        </w:rPr>
        <w:t>oraz w prawie UE jest nie</w:t>
      </w:r>
      <w:r w:rsidR="001C033E">
        <w:rPr>
          <w:spacing w:val="4"/>
        </w:rPr>
        <w:t>wystarczająca? Jeżeli tak, to w </w:t>
      </w:r>
      <w:r w:rsidR="0037701E" w:rsidRPr="00AC5CFD">
        <w:rPr>
          <w:spacing w:val="4"/>
        </w:rPr>
        <w:t>jakim zakresie?</w:t>
      </w:r>
    </w:p>
    <w:p w:rsidR="009F1DAE" w:rsidRPr="00175C36" w:rsidRDefault="00D36801" w:rsidP="001C033E">
      <w:pPr>
        <w:pStyle w:val="Tekstpodstawowy"/>
        <w:spacing w:after="0" w:line="360" w:lineRule="auto"/>
        <w:ind w:left="294" w:hanging="294"/>
        <w:jc w:val="both"/>
        <w:rPr>
          <w:spacing w:val="4"/>
        </w:rPr>
      </w:pPr>
      <w:r>
        <w:rPr>
          <w:spacing w:val="4"/>
        </w:rPr>
        <w:lastRenderedPageBreak/>
        <w:t>–</w:t>
      </w:r>
      <w:r w:rsidR="001C033E">
        <w:rPr>
          <w:spacing w:val="4"/>
        </w:rPr>
        <w:tab/>
      </w:r>
      <w:r w:rsidR="0037701E" w:rsidRPr="00AC5CFD">
        <w:rPr>
          <w:spacing w:val="4"/>
        </w:rPr>
        <w:t xml:space="preserve">czy wygaśnięcie </w:t>
      </w:r>
      <w:r w:rsidR="00535BA2" w:rsidRPr="00AC5CFD">
        <w:rPr>
          <w:spacing w:val="4"/>
        </w:rPr>
        <w:t>Umowy p</w:t>
      </w:r>
      <w:r w:rsidR="0037701E" w:rsidRPr="00AC5CFD">
        <w:rPr>
          <w:spacing w:val="4"/>
        </w:rPr>
        <w:t xml:space="preserve">ogorszyłoby warunki prowadzenia działalności gospodarczej </w:t>
      </w:r>
      <w:r w:rsidR="0020279C" w:rsidRPr="00AC5CFD">
        <w:rPr>
          <w:spacing w:val="4"/>
        </w:rPr>
        <w:t xml:space="preserve">w Republice </w:t>
      </w:r>
      <w:r w:rsidR="00AC5CFD" w:rsidRPr="00AC5CFD">
        <w:rPr>
          <w:spacing w:val="4"/>
        </w:rPr>
        <w:t xml:space="preserve">Łotewskiej </w:t>
      </w:r>
      <w:r w:rsidR="0037701E" w:rsidRPr="00AC5CFD">
        <w:rPr>
          <w:spacing w:val="4"/>
        </w:rPr>
        <w:t>i ochrony praw inwestorów? Jeżeli tak, to w jaki sposób i</w:t>
      </w:r>
      <w:r w:rsidR="00A6685B">
        <w:rPr>
          <w:spacing w:val="4"/>
        </w:rPr>
        <w:t xml:space="preserve"> </w:t>
      </w:r>
      <w:r w:rsidR="0037701E" w:rsidRPr="00AC5CFD">
        <w:rPr>
          <w:spacing w:val="4"/>
        </w:rPr>
        <w:t>w jakim stopniu?</w:t>
      </w:r>
    </w:p>
    <w:p w:rsidR="000473AE" w:rsidRPr="00ED1CD7" w:rsidRDefault="001F7DEF" w:rsidP="00ED1CD7">
      <w:pPr>
        <w:autoSpaceDE w:val="0"/>
        <w:autoSpaceDN w:val="0"/>
        <w:adjustRightInd w:val="0"/>
        <w:spacing w:before="120" w:line="360" w:lineRule="auto"/>
        <w:jc w:val="both"/>
        <w:rPr>
          <w:color w:val="000000"/>
        </w:rPr>
      </w:pPr>
      <w:r>
        <w:t>Samorządy gospodarcze u</w:t>
      </w:r>
      <w:r w:rsidR="00FF43E9" w:rsidRPr="00175C36">
        <w:t>dziel</w:t>
      </w:r>
      <w:r>
        <w:t xml:space="preserve">iły </w:t>
      </w:r>
      <w:r w:rsidR="007F3CB8" w:rsidRPr="00175C36">
        <w:t xml:space="preserve">ogólnej </w:t>
      </w:r>
      <w:r w:rsidR="00FF43E9" w:rsidRPr="00175C36">
        <w:t xml:space="preserve">odpowiedzi, iż </w:t>
      </w:r>
      <w:r w:rsidR="00FF43E9" w:rsidRPr="00175C36">
        <w:rPr>
          <w:color w:val="000000"/>
        </w:rPr>
        <w:t xml:space="preserve">mimo że inwestorzy nie korzystają z ochrony </w:t>
      </w:r>
      <w:r w:rsidR="007F3CB8" w:rsidRPr="00175C36">
        <w:rPr>
          <w:color w:val="000000"/>
        </w:rPr>
        <w:t xml:space="preserve">przewidzianej </w:t>
      </w:r>
      <w:r w:rsidR="00FF43E9" w:rsidRPr="00175C36">
        <w:rPr>
          <w:color w:val="000000"/>
        </w:rPr>
        <w:t>um</w:t>
      </w:r>
      <w:r w:rsidR="007F3CB8" w:rsidRPr="00175C36">
        <w:rPr>
          <w:color w:val="000000"/>
        </w:rPr>
        <w:t xml:space="preserve">owami </w:t>
      </w:r>
      <w:r w:rsidR="00FF43E9" w:rsidRPr="00175C36">
        <w:rPr>
          <w:color w:val="000000"/>
        </w:rPr>
        <w:t>intra-EU BIT (pozywają państwa przed sądami powszechnymi)</w:t>
      </w:r>
      <w:r w:rsidR="005108B0" w:rsidRPr="00175C36">
        <w:rPr>
          <w:color w:val="000000"/>
        </w:rPr>
        <w:t>,</w:t>
      </w:r>
      <w:r w:rsidR="00FF43E9" w:rsidRPr="00175C36">
        <w:rPr>
          <w:color w:val="000000"/>
        </w:rPr>
        <w:t xml:space="preserve"> powołują się na ich </w:t>
      </w:r>
      <w:r w:rsidR="005108B0" w:rsidRPr="00175C36">
        <w:rPr>
          <w:color w:val="000000"/>
        </w:rPr>
        <w:t xml:space="preserve">obowiązywanie </w:t>
      </w:r>
      <w:r w:rsidR="00FF43E9" w:rsidRPr="00175C36">
        <w:rPr>
          <w:color w:val="000000"/>
        </w:rPr>
        <w:t>w dyskusjach z organami danego kraju przy zaistnieniu sporu. Jeżeli musieliby aktywnie dochodzić swoich roszczeń</w:t>
      </w:r>
      <w:r w:rsidR="00FC21A5">
        <w:rPr>
          <w:color w:val="000000"/>
        </w:rPr>
        <w:t>,</w:t>
      </w:r>
      <w:r w:rsidR="00104EE7">
        <w:rPr>
          <w:color w:val="000000"/>
        </w:rPr>
        <w:t xml:space="preserve"> powołując się na umowy intra-E</w:t>
      </w:r>
      <w:r w:rsidR="00CF63B9">
        <w:rPr>
          <w:color w:val="000000"/>
        </w:rPr>
        <w:t>U</w:t>
      </w:r>
      <w:r w:rsidR="00104EE7">
        <w:rPr>
          <w:color w:val="000000"/>
        </w:rPr>
        <w:t xml:space="preserve"> BIT</w:t>
      </w:r>
      <w:r w:rsidR="00FF43E9" w:rsidRPr="00175C36">
        <w:rPr>
          <w:color w:val="000000"/>
        </w:rPr>
        <w:t xml:space="preserve">, wybraliby procedurę arbitrażu </w:t>
      </w:r>
      <w:r w:rsidR="00884296" w:rsidRPr="00175C36">
        <w:rPr>
          <w:color w:val="000000"/>
        </w:rPr>
        <w:t xml:space="preserve">na podstawie </w:t>
      </w:r>
      <w:r w:rsidR="00FF43E9" w:rsidRPr="00175C36">
        <w:rPr>
          <w:color w:val="000000"/>
        </w:rPr>
        <w:t>umowy intra-EU BIT</w:t>
      </w:r>
      <w:r w:rsidR="00884296" w:rsidRPr="00175C36">
        <w:rPr>
          <w:color w:val="000000"/>
        </w:rPr>
        <w:t xml:space="preserve"> (</w:t>
      </w:r>
      <w:r w:rsidR="00FF43E9" w:rsidRPr="00175C36">
        <w:rPr>
          <w:color w:val="000000"/>
        </w:rPr>
        <w:t xml:space="preserve">szczególnie </w:t>
      </w:r>
      <w:r w:rsidR="00C908C3" w:rsidRPr="00175C36">
        <w:rPr>
          <w:color w:val="000000"/>
        </w:rPr>
        <w:t xml:space="preserve">fundusze inwestycyjne lokujące aktywa </w:t>
      </w:r>
      <w:r w:rsidR="00ED1CD7">
        <w:rPr>
          <w:color w:val="000000"/>
        </w:rPr>
        <w:t>w </w:t>
      </w:r>
      <w:r w:rsidR="00FF43E9" w:rsidRPr="00175C36">
        <w:rPr>
          <w:color w:val="000000"/>
        </w:rPr>
        <w:t>instrumenty udziałowe polskich przedsiębiorstw inwestujących w państwa</w:t>
      </w:r>
      <w:r w:rsidR="005070F1" w:rsidRPr="00175C36">
        <w:rPr>
          <w:color w:val="000000"/>
        </w:rPr>
        <w:t>ch</w:t>
      </w:r>
      <w:r w:rsidR="00FF43E9" w:rsidRPr="00175C36">
        <w:rPr>
          <w:color w:val="000000"/>
        </w:rPr>
        <w:t xml:space="preserve"> członkowskich UE</w:t>
      </w:r>
      <w:r w:rsidR="00864D7E" w:rsidRPr="00175C36">
        <w:rPr>
          <w:color w:val="000000"/>
        </w:rPr>
        <w:t>,</w:t>
      </w:r>
      <w:r w:rsidR="00884296" w:rsidRPr="00175C36">
        <w:rPr>
          <w:color w:val="000000"/>
        </w:rPr>
        <w:t xml:space="preserve"> dla których r</w:t>
      </w:r>
      <w:r w:rsidR="00FF43E9" w:rsidRPr="00175C36">
        <w:rPr>
          <w:color w:val="000000"/>
        </w:rPr>
        <w:t xml:space="preserve">ozwiązanie umów mogłoby mieć bezpośredni wpływ na ocenę ryzyka związaną z inwestowaniem). </w:t>
      </w:r>
      <w:r w:rsidR="00FB30CC" w:rsidRPr="00175C36">
        <w:rPr>
          <w:color w:val="000000"/>
        </w:rPr>
        <w:t>Główną b</w:t>
      </w:r>
      <w:r w:rsidR="00FF43E9" w:rsidRPr="00175C36">
        <w:rPr>
          <w:color w:val="000000"/>
        </w:rPr>
        <w:t>arierą w korzystaniu z arbitrażu są jego wysokie koszty</w:t>
      </w:r>
      <w:r w:rsidR="00FB30CC" w:rsidRPr="00175C36">
        <w:rPr>
          <w:color w:val="000000"/>
        </w:rPr>
        <w:t xml:space="preserve">. </w:t>
      </w:r>
      <w:r w:rsidR="00FF43E9" w:rsidRPr="00175C36">
        <w:rPr>
          <w:color w:val="000000"/>
        </w:rPr>
        <w:t xml:space="preserve">Prawo materialne w </w:t>
      </w:r>
      <w:r w:rsidR="00A873F2" w:rsidRPr="00175C36">
        <w:rPr>
          <w:color w:val="000000"/>
        </w:rPr>
        <w:t>państwach członkowskich UE o</w:t>
      </w:r>
      <w:r w:rsidR="00FF43E9" w:rsidRPr="00175C36">
        <w:rPr>
          <w:color w:val="000000"/>
        </w:rPr>
        <w:t xml:space="preserve">raz na poziomie UE zawiera niezbędne standardy gwarantujące zagranicznym inwestorom równe i sprawiedliwe traktowanie, </w:t>
      </w:r>
      <w:r w:rsidR="00A873F2" w:rsidRPr="00175C36">
        <w:rPr>
          <w:color w:val="000000"/>
        </w:rPr>
        <w:t xml:space="preserve">natomiast </w:t>
      </w:r>
      <w:r w:rsidR="00FF43E9" w:rsidRPr="00175C36">
        <w:rPr>
          <w:color w:val="000000"/>
        </w:rPr>
        <w:t>problemem jest egzekwowanie tego prawa. Wskazywano na czasochłonność procedur, brak profesjonalizmu i obiektywizmu w podejmowaniu decyzji przez właściwe organy</w:t>
      </w:r>
      <w:r w:rsidR="00A873F2" w:rsidRPr="00175C36">
        <w:rPr>
          <w:color w:val="000000"/>
        </w:rPr>
        <w:t xml:space="preserve">. </w:t>
      </w:r>
      <w:r w:rsidR="00FF43E9" w:rsidRPr="00175C36">
        <w:rPr>
          <w:color w:val="000000"/>
        </w:rPr>
        <w:t>Zdaniem polskich inwestorów międzyn</w:t>
      </w:r>
      <w:r w:rsidR="00A873F2" w:rsidRPr="00175C36">
        <w:rPr>
          <w:color w:val="000000"/>
        </w:rPr>
        <w:t>a</w:t>
      </w:r>
      <w:r w:rsidR="00FF43E9" w:rsidRPr="00175C36">
        <w:rPr>
          <w:color w:val="000000"/>
        </w:rPr>
        <w:t>rod</w:t>
      </w:r>
      <w:r w:rsidR="00A873F2" w:rsidRPr="00175C36">
        <w:rPr>
          <w:color w:val="000000"/>
        </w:rPr>
        <w:t>o</w:t>
      </w:r>
      <w:r w:rsidR="00FF43E9" w:rsidRPr="00175C36">
        <w:rPr>
          <w:color w:val="000000"/>
        </w:rPr>
        <w:t xml:space="preserve">wy arbitraż inwestycyjny pozwala prowadzić </w:t>
      </w:r>
      <w:r w:rsidR="00A873F2" w:rsidRPr="00175C36">
        <w:rPr>
          <w:color w:val="000000"/>
        </w:rPr>
        <w:t>postępowanie</w:t>
      </w:r>
      <w:r w:rsidR="00FF43E9" w:rsidRPr="00175C36">
        <w:rPr>
          <w:color w:val="000000"/>
        </w:rPr>
        <w:t xml:space="preserve"> w sposób odformalizowany, elasty</w:t>
      </w:r>
      <w:r w:rsidR="00C908C3" w:rsidRPr="00175C36">
        <w:rPr>
          <w:color w:val="000000"/>
        </w:rPr>
        <w:t>czny i neutralny</w:t>
      </w:r>
      <w:r w:rsidR="00A873F2" w:rsidRPr="00175C36">
        <w:rPr>
          <w:color w:val="000000"/>
        </w:rPr>
        <w:t xml:space="preserve">. </w:t>
      </w:r>
      <w:r w:rsidR="00FF43E9" w:rsidRPr="00175C36">
        <w:rPr>
          <w:color w:val="000000"/>
        </w:rPr>
        <w:t xml:space="preserve">Generalnie zdaniem </w:t>
      </w:r>
      <w:r w:rsidR="00864D7E" w:rsidRPr="00175C36">
        <w:rPr>
          <w:color w:val="000000"/>
        </w:rPr>
        <w:t xml:space="preserve">samorządów gospodarczych i </w:t>
      </w:r>
      <w:r w:rsidR="00FF43E9" w:rsidRPr="00175C36">
        <w:rPr>
          <w:color w:val="000000"/>
        </w:rPr>
        <w:t xml:space="preserve">polskich przedsiębiorców dla ich bezpieczeństwa i ekspansji umowy intra-EU </w:t>
      </w:r>
      <w:r w:rsidR="00ED16A3">
        <w:rPr>
          <w:color w:val="000000"/>
        </w:rPr>
        <w:t xml:space="preserve">BIT </w:t>
      </w:r>
      <w:r w:rsidR="00FF43E9" w:rsidRPr="00175C36">
        <w:rPr>
          <w:color w:val="000000"/>
        </w:rPr>
        <w:t xml:space="preserve">są </w:t>
      </w:r>
      <w:r w:rsidR="00F13BB2" w:rsidRPr="00175C36">
        <w:rPr>
          <w:color w:val="000000"/>
        </w:rPr>
        <w:t xml:space="preserve">pożądane. </w:t>
      </w:r>
      <w:r w:rsidR="00864D7E" w:rsidRPr="00175C36">
        <w:rPr>
          <w:color w:val="000000"/>
        </w:rPr>
        <w:t xml:space="preserve">Tym niemniej </w:t>
      </w:r>
      <w:r w:rsidR="00FB30CC" w:rsidRPr="00175C36">
        <w:rPr>
          <w:color w:val="000000"/>
        </w:rPr>
        <w:t xml:space="preserve">samorządy gospodarcze </w:t>
      </w:r>
      <w:r w:rsidR="00F13BB2" w:rsidRPr="00175C36">
        <w:rPr>
          <w:color w:val="000000"/>
        </w:rPr>
        <w:t>odnotowują stanowisko K</w:t>
      </w:r>
      <w:r w:rsidR="006554BB">
        <w:rPr>
          <w:color w:val="000000"/>
        </w:rPr>
        <w:t xml:space="preserve">omisji </w:t>
      </w:r>
      <w:r w:rsidR="00F13BB2" w:rsidRPr="00175C36">
        <w:rPr>
          <w:color w:val="000000"/>
        </w:rPr>
        <w:t>E</w:t>
      </w:r>
      <w:r w:rsidR="006554BB">
        <w:rPr>
          <w:color w:val="000000"/>
        </w:rPr>
        <w:t xml:space="preserve">uropejskiej </w:t>
      </w:r>
      <w:r w:rsidR="00F13BB2" w:rsidRPr="00175C36">
        <w:rPr>
          <w:color w:val="000000"/>
        </w:rPr>
        <w:t>wobec umów intra-EU BIT i wszczęte przez nią postępowania.</w:t>
      </w:r>
      <w:r w:rsidR="001C033E">
        <w:rPr>
          <w:color w:val="000000"/>
        </w:rPr>
        <w:t xml:space="preserve"> </w:t>
      </w:r>
    </w:p>
    <w:p w:rsidR="009F1DAE" w:rsidRPr="009F1DAE" w:rsidRDefault="00A6685B" w:rsidP="001C033E">
      <w:pPr>
        <w:spacing w:before="120" w:line="360" w:lineRule="auto"/>
        <w:jc w:val="both"/>
        <w:rPr>
          <w:spacing w:val="4"/>
        </w:rPr>
      </w:pPr>
      <w:r w:rsidRPr="00A6685B">
        <w:t xml:space="preserve">Z informacji posiadanych przez Ministerstwo </w:t>
      </w:r>
      <w:r w:rsidR="00FC21A5">
        <w:t xml:space="preserve">Przedsiębiorczości i Technologii </w:t>
      </w:r>
      <w:r w:rsidRPr="00A6685B">
        <w:t>wynika, że zarówno polscy</w:t>
      </w:r>
      <w:r w:rsidR="00143F1D">
        <w:t>,</w:t>
      </w:r>
      <w:r w:rsidRPr="00A6685B">
        <w:t xml:space="preserve"> jak i łotewscy inwestorzy nie kierowali, na podstawie ww. Umowy, roszczeń do międzynarodowych trybunałów arbitrażowych przeciwko, odpowiednio, Republice Łotewskiej i RP.</w:t>
      </w:r>
      <w:r w:rsidR="00F13BB2" w:rsidRPr="00A6685B">
        <w:t xml:space="preserve"> </w:t>
      </w:r>
      <w:r w:rsidR="00535BA2" w:rsidRPr="00A6685B">
        <w:t>Generalnie o</w:t>
      </w:r>
      <w:r w:rsidR="00F13BB2" w:rsidRPr="00A6685B">
        <w:t xml:space="preserve">dnotowano tylko </w:t>
      </w:r>
      <w:r w:rsidR="00684F29" w:rsidRPr="00A6685B">
        <w:t>trzy</w:t>
      </w:r>
      <w:r w:rsidR="00F13BB2" w:rsidRPr="00A6685B">
        <w:t xml:space="preserve"> przypadki skorzystania przez polskich inwestorów z ochrony przewidzianej umowami intra-EU BIT</w:t>
      </w:r>
      <w:r w:rsidR="009F1DAE">
        <w:t xml:space="preserve"> przed międzynarodowymi trybunałami arbitrażowymi </w:t>
      </w:r>
      <w:r w:rsidR="0077398D" w:rsidRPr="00A6685B">
        <w:t>(</w:t>
      </w:r>
      <w:r w:rsidR="00684F29" w:rsidRPr="00A6685B">
        <w:t>na podstawie umów intra-EU BIT</w:t>
      </w:r>
      <w:r w:rsidR="00ED1CD7">
        <w:t xml:space="preserve"> z </w:t>
      </w:r>
      <w:r w:rsidR="00684F29" w:rsidRPr="00A6685B">
        <w:t>Rumunią</w:t>
      </w:r>
      <w:r w:rsidR="00A72096">
        <w:t xml:space="preserve"> </w:t>
      </w:r>
      <w:r w:rsidR="00684F29" w:rsidRPr="00A6685B">
        <w:t xml:space="preserve">– przed przystąpieniem Rumunii do UE, Słowacją i Cyprem). </w:t>
      </w:r>
      <w:r w:rsidR="00ED1CD7">
        <w:rPr>
          <w:color w:val="000000"/>
        </w:rPr>
        <w:t>Zgodnie z </w:t>
      </w:r>
      <w:r w:rsidR="0077398D" w:rsidRPr="00A6685B">
        <w:rPr>
          <w:color w:val="000000"/>
        </w:rPr>
        <w:t>informacjami przekazanymi przez P</w:t>
      </w:r>
      <w:r w:rsidR="00A10D12">
        <w:rPr>
          <w:color w:val="000000"/>
        </w:rPr>
        <w:t xml:space="preserve">rokuratorię </w:t>
      </w:r>
      <w:r w:rsidR="0077398D" w:rsidRPr="00A6685B">
        <w:rPr>
          <w:color w:val="000000"/>
        </w:rPr>
        <w:t>G</w:t>
      </w:r>
      <w:r w:rsidR="00A10D12">
        <w:rPr>
          <w:color w:val="000000"/>
        </w:rPr>
        <w:t xml:space="preserve">eneralną </w:t>
      </w:r>
      <w:r w:rsidR="0077398D" w:rsidRPr="00A6685B">
        <w:rPr>
          <w:color w:val="000000"/>
        </w:rPr>
        <w:t xml:space="preserve">RP na dwadzieścia </w:t>
      </w:r>
      <w:r w:rsidR="00A10D12">
        <w:rPr>
          <w:color w:val="000000"/>
        </w:rPr>
        <w:t>sześć</w:t>
      </w:r>
      <w:r w:rsidR="00D81DCF">
        <w:rPr>
          <w:color w:val="000000"/>
        </w:rPr>
        <w:t xml:space="preserve"> </w:t>
      </w:r>
      <w:r w:rsidR="0077398D" w:rsidRPr="00A6685B">
        <w:t>postępowa</w:t>
      </w:r>
      <w:r w:rsidR="00A10D12">
        <w:t xml:space="preserve">ń </w:t>
      </w:r>
      <w:r w:rsidR="0077398D" w:rsidRPr="00A6685B">
        <w:t>arbitrażow</w:t>
      </w:r>
      <w:r w:rsidR="00A10D12">
        <w:t>ych</w:t>
      </w:r>
      <w:r w:rsidR="0077398D" w:rsidRPr="00A6685B">
        <w:t>, w</w:t>
      </w:r>
      <w:r w:rsidR="0077398D" w:rsidRPr="00175C36">
        <w:t xml:space="preserve"> których P</w:t>
      </w:r>
      <w:r w:rsidR="00A10D12">
        <w:t xml:space="preserve">rokuratoria </w:t>
      </w:r>
      <w:r w:rsidR="0077398D" w:rsidRPr="00175C36">
        <w:t>G</w:t>
      </w:r>
      <w:r w:rsidR="00A10D12">
        <w:t xml:space="preserve">eneralna </w:t>
      </w:r>
      <w:r w:rsidR="0077398D" w:rsidRPr="00175C36">
        <w:t xml:space="preserve">RP </w:t>
      </w:r>
      <w:r w:rsidR="00C34B45" w:rsidRPr="00175C36">
        <w:t xml:space="preserve">od 2006 r. </w:t>
      </w:r>
      <w:r w:rsidR="0077398D" w:rsidRPr="00175C36">
        <w:t xml:space="preserve">wykonywała lub wykonuje zastępstwo procesowe RP, </w:t>
      </w:r>
      <w:r w:rsidR="00A10D12">
        <w:t>szes</w:t>
      </w:r>
      <w:r w:rsidR="00D81DCF">
        <w:t xml:space="preserve">naście </w:t>
      </w:r>
      <w:r w:rsidR="0077398D" w:rsidRPr="00175C36">
        <w:t xml:space="preserve">dotyczyło lub dotyczy </w:t>
      </w:r>
      <w:r w:rsidR="0077398D" w:rsidRPr="00175C36">
        <w:lastRenderedPageBreak/>
        <w:t>sporów wniesionych przez inwestorów zagranicznych na podstawie umów intra-EU BIT (zawartych z Austrią, Francją, Niemc</w:t>
      </w:r>
      <w:r w:rsidR="00ED1CD7">
        <w:t>ami, Cyprem, Holandią, Belgią i </w:t>
      </w:r>
      <w:r w:rsidR="0077398D" w:rsidRPr="00175C36">
        <w:t>Luksemburgiem, Republiką Czeską</w:t>
      </w:r>
      <w:r w:rsidR="003A7B95">
        <w:t>, Wielką Brytanią</w:t>
      </w:r>
      <w:r w:rsidR="0077398D" w:rsidRPr="00175C36">
        <w:t xml:space="preserve">). Mimo dużego odsetka wygrywanych spraw </w:t>
      </w:r>
      <w:r w:rsidR="001F7DEF">
        <w:t xml:space="preserve">(w </w:t>
      </w:r>
      <w:r w:rsidR="0077398D" w:rsidRPr="00175C36">
        <w:t xml:space="preserve">tym ugody) Polska ponosi </w:t>
      </w:r>
      <w:r w:rsidR="00C34B45" w:rsidRPr="00175C36">
        <w:t xml:space="preserve">wysokie </w:t>
      </w:r>
      <w:r w:rsidR="0077398D" w:rsidRPr="00175C36">
        <w:t>koszty postępowań arbitrażowych</w:t>
      </w:r>
      <w:r w:rsidR="00864D7E" w:rsidRPr="00175C36">
        <w:t xml:space="preserve">: </w:t>
      </w:r>
      <w:r w:rsidR="00864D7E" w:rsidRPr="00175C36">
        <w:rPr>
          <w:spacing w:val="4"/>
        </w:rPr>
        <w:t xml:space="preserve">zaliczki na koszty postępowania (w tym wynagrodzenie arbitrów), opinie biegłych, zorganizowanie rozpraw, tłumaczenia, udział świadków oraz koszty zastępstwa procesowego. </w:t>
      </w:r>
      <w:r w:rsidR="009F1DAE" w:rsidRPr="009F1DAE">
        <w:rPr>
          <w:spacing w:val="4"/>
        </w:rPr>
        <w:t xml:space="preserve">Zgodnie z informacjami byłego </w:t>
      </w:r>
      <w:r w:rsidR="00A10D12" w:rsidRPr="009F1DAE">
        <w:rPr>
          <w:spacing w:val="4"/>
        </w:rPr>
        <w:t>M</w:t>
      </w:r>
      <w:r w:rsidR="00A10D12">
        <w:rPr>
          <w:spacing w:val="4"/>
        </w:rPr>
        <w:t xml:space="preserve">inisterstwa </w:t>
      </w:r>
      <w:r w:rsidR="009F1DAE" w:rsidRPr="009F1DAE">
        <w:rPr>
          <w:spacing w:val="4"/>
        </w:rPr>
        <w:t>S</w:t>
      </w:r>
      <w:r w:rsidR="00A10D12">
        <w:rPr>
          <w:spacing w:val="4"/>
        </w:rPr>
        <w:t xml:space="preserve">karbu </w:t>
      </w:r>
      <w:r w:rsidR="009F1DAE" w:rsidRPr="009F1DAE">
        <w:rPr>
          <w:spacing w:val="4"/>
        </w:rPr>
        <w:t>P</w:t>
      </w:r>
      <w:r w:rsidR="00A10D12">
        <w:rPr>
          <w:spacing w:val="4"/>
        </w:rPr>
        <w:t>aństwa</w:t>
      </w:r>
      <w:r w:rsidR="009F1DAE" w:rsidRPr="009F1DAE">
        <w:rPr>
          <w:spacing w:val="4"/>
        </w:rPr>
        <w:t>, RP w związku z postępowaniami arbitrażowymi poniosła od 2006 r. koszty w wysokości ok. 53 mln PLN. Porozumienie z R</w:t>
      </w:r>
      <w:r w:rsidR="009F1DAE">
        <w:rPr>
          <w:spacing w:val="4"/>
        </w:rPr>
        <w:t>ządem Re</w:t>
      </w:r>
      <w:r w:rsidR="009F1DAE" w:rsidRPr="009F1DAE">
        <w:rPr>
          <w:spacing w:val="4"/>
        </w:rPr>
        <w:t>publik</w:t>
      </w:r>
      <w:r w:rsidR="009F1DAE">
        <w:rPr>
          <w:spacing w:val="4"/>
        </w:rPr>
        <w:t xml:space="preserve">i Łotewskiej </w:t>
      </w:r>
      <w:r w:rsidR="009F1DAE" w:rsidRPr="009F1DAE">
        <w:rPr>
          <w:spacing w:val="4"/>
        </w:rPr>
        <w:t xml:space="preserve">może </w:t>
      </w:r>
      <w:r w:rsidR="00104EE7">
        <w:rPr>
          <w:spacing w:val="4"/>
        </w:rPr>
        <w:t xml:space="preserve">więc </w:t>
      </w:r>
      <w:r w:rsidR="009F1DAE" w:rsidRPr="009F1DAE">
        <w:rPr>
          <w:spacing w:val="4"/>
        </w:rPr>
        <w:t xml:space="preserve">potencjalnie istotnie zmniejszyć obciążenie państwa pod względem finansowym, ponieważ </w:t>
      </w:r>
      <w:r w:rsidR="00104EE7">
        <w:rPr>
          <w:spacing w:val="4"/>
        </w:rPr>
        <w:t>nie będzie zachodzić konieczność ponoszenia znaczących kosztów, o których mowa w zdaniu poprzedzającym.</w:t>
      </w:r>
      <w:r w:rsidR="001C033E">
        <w:rPr>
          <w:spacing w:val="4"/>
        </w:rPr>
        <w:t xml:space="preserve"> </w:t>
      </w:r>
    </w:p>
    <w:p w:rsidR="009F1DAE" w:rsidRDefault="009F1DAE" w:rsidP="001C033E">
      <w:pPr>
        <w:spacing w:before="120" w:line="360" w:lineRule="auto"/>
        <w:jc w:val="both"/>
        <w:rPr>
          <w:spacing w:val="4"/>
        </w:rPr>
      </w:pPr>
      <w:r w:rsidRPr="009F1DAE">
        <w:rPr>
          <w:spacing w:val="4"/>
        </w:rPr>
        <w:t xml:space="preserve">Zawarcie Porozumienia nie naruszy polskiego porządku prawnego i doprowadzi do usunięcia niezgodności Umowy z prawem UE. Zachowanie </w:t>
      </w:r>
      <w:r w:rsidR="00B56E17">
        <w:rPr>
          <w:spacing w:val="4"/>
        </w:rPr>
        <w:t xml:space="preserve">klauzuli </w:t>
      </w:r>
      <w:r w:rsidR="00F40A52">
        <w:rPr>
          <w:spacing w:val="4"/>
        </w:rPr>
        <w:t xml:space="preserve">przedłużonego obowiązywania umowy </w:t>
      </w:r>
      <w:r w:rsidRPr="009F1DAE">
        <w:rPr>
          <w:spacing w:val="4"/>
        </w:rPr>
        <w:t>po wygaśnięciu Umowy oznaczałoby utrzymywanie niezgodności Umowy z prawem UE przez kolejne dziesięć lat, zgodnie z art. 1</w:t>
      </w:r>
      <w:r>
        <w:rPr>
          <w:spacing w:val="4"/>
        </w:rPr>
        <w:t>3</w:t>
      </w:r>
      <w:r w:rsidR="00ED1CD7">
        <w:rPr>
          <w:spacing w:val="4"/>
        </w:rPr>
        <w:t xml:space="preserve"> ust. </w:t>
      </w:r>
      <w:r w:rsidRPr="009F1DAE">
        <w:rPr>
          <w:spacing w:val="4"/>
        </w:rPr>
        <w:t xml:space="preserve">2 Umowy. </w:t>
      </w:r>
      <w:r w:rsidR="00B56E17">
        <w:rPr>
          <w:spacing w:val="4"/>
        </w:rPr>
        <w:t>Zgodnie z życzeniem Republiki Łotewskiej wyrażonym podczas nieformalnych konsultacji w</w:t>
      </w:r>
      <w:r w:rsidR="00D36801">
        <w:rPr>
          <w:spacing w:val="4"/>
        </w:rPr>
        <w:t xml:space="preserve"> sprawie</w:t>
      </w:r>
      <w:r w:rsidR="00B56E17">
        <w:rPr>
          <w:spacing w:val="4"/>
        </w:rPr>
        <w:t xml:space="preserve"> rozwiązania Umowy doprecyzowano w nocie, że </w:t>
      </w:r>
      <w:r w:rsidR="00B56E17" w:rsidRPr="00B56E17">
        <w:rPr>
          <w:spacing w:val="4"/>
        </w:rPr>
        <w:t>żadne postanowienie tej Umowy nie pozostaje w moc</w:t>
      </w:r>
      <w:r w:rsidR="00D36801">
        <w:rPr>
          <w:spacing w:val="4"/>
        </w:rPr>
        <w:t>y, w tym art. 13 ust.</w:t>
      </w:r>
      <w:r w:rsidR="00392628">
        <w:rPr>
          <w:spacing w:val="4"/>
        </w:rPr>
        <w:t xml:space="preserve"> 2. </w:t>
      </w:r>
    </w:p>
    <w:p w:rsidR="00271D07" w:rsidRPr="00175C36" w:rsidRDefault="00271D07" w:rsidP="00ED1CD7">
      <w:pPr>
        <w:spacing w:before="240" w:line="360" w:lineRule="auto"/>
        <w:ind w:left="336" w:hanging="336"/>
        <w:rPr>
          <w:b/>
        </w:rPr>
      </w:pPr>
      <w:r w:rsidRPr="00175C36">
        <w:rPr>
          <w:b/>
        </w:rPr>
        <w:t xml:space="preserve">4. Tryb związania Rzeczypospolitej Polskiej </w:t>
      </w:r>
      <w:r w:rsidR="00104EE7">
        <w:rPr>
          <w:b/>
        </w:rPr>
        <w:t>Porozumieniem</w:t>
      </w:r>
    </w:p>
    <w:p w:rsidR="00AB67EE" w:rsidRDefault="009F1DAE" w:rsidP="001C033E">
      <w:pPr>
        <w:spacing w:before="120" w:line="360" w:lineRule="auto"/>
        <w:jc w:val="both"/>
      </w:pPr>
      <w:r w:rsidRPr="009F1DAE">
        <w:t>Porozumienie ma rangę umowy międzyrządowej. Rozwiązywana Umowa jest traktowana w polskim porządku prawnym jako umowa ratyfikowana za uprzednią zgodą wyrażoną w ustawie, stosownie do art. 241 ust. 1 ustawy z dnia 2 kwietnia 1997</w:t>
      </w:r>
      <w:r w:rsidR="00ED1CD7">
        <w:t> </w:t>
      </w:r>
      <w:r w:rsidRPr="009F1DAE">
        <w:t xml:space="preserve">r. </w:t>
      </w:r>
      <w:r w:rsidR="00ED1CD7">
        <w:t>–</w:t>
      </w:r>
      <w:r w:rsidRPr="009F1DAE">
        <w:t xml:space="preserve"> Konstytucja Rzeczypospolitej Polskiej (Dz. U. poz. 483, z późn. zm.). </w:t>
      </w:r>
      <w:r w:rsidR="00AB67EE" w:rsidRPr="00AB67EE">
        <w:t>Dlatego też związanie RP Porozumieniem nastąpi również za uprzednią zgodą wyrażoną w</w:t>
      </w:r>
      <w:r w:rsidR="00ED1CD7">
        <w:t> </w:t>
      </w:r>
      <w:r w:rsidR="00AB67EE" w:rsidRPr="00AB67EE">
        <w:t>ustawie, tym bardziej</w:t>
      </w:r>
      <w:r w:rsidR="00D36801">
        <w:t>,</w:t>
      </w:r>
      <w:r w:rsidR="00AB67EE" w:rsidRPr="00AB67EE">
        <w:t xml:space="preserve"> że Porozumienie dotyczy wolności, praw i obowiązków obywatelskich (w zakresie wygaszania prawa do kierowania skargi do międzynarodowego arbitrażu inwestycyjnego), spraw uregulowanych w ustawie lub w</w:t>
      </w:r>
      <w:r w:rsidR="00ED1CD7">
        <w:t> </w:t>
      </w:r>
      <w:r w:rsidR="00AB67EE" w:rsidRPr="00AB67EE">
        <w:t>których Konstytucja RP wymaga ustawy (zasady prowadzenia działalności gospodarczej, ochrona prawa własności, kwestia wywłaszczenia oraz odszkodowania w</w:t>
      </w:r>
      <w:r w:rsidR="00ED1CD7">
        <w:t> </w:t>
      </w:r>
      <w:r w:rsidR="00AB67EE" w:rsidRPr="00AB67EE">
        <w:t xml:space="preserve">tym zakresie), a więc spraw, o których mowa w art. 89 ust. </w:t>
      </w:r>
      <w:r w:rsidR="00CF63B9">
        <w:t xml:space="preserve">1 </w:t>
      </w:r>
      <w:r w:rsidR="00AB67EE" w:rsidRPr="00AB67EE">
        <w:t>pkt 2 i 5 Konstytucji</w:t>
      </w:r>
      <w:r w:rsidR="00ED1CD7">
        <w:t> </w:t>
      </w:r>
      <w:r w:rsidR="00AB67EE" w:rsidRPr="00AB67EE">
        <w:t>RP.</w:t>
      </w:r>
    </w:p>
    <w:sectPr w:rsidR="00AB67EE" w:rsidSect="001C033E">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160" w:rsidRDefault="00633160">
      <w:r>
        <w:separator/>
      </w:r>
    </w:p>
  </w:endnote>
  <w:endnote w:type="continuationSeparator" w:id="0">
    <w:p w:rsidR="00633160" w:rsidRDefault="0063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F" w:rsidRDefault="001F7DEF"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F7DEF" w:rsidRDefault="001F7DE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926135"/>
      <w:docPartObj>
        <w:docPartGallery w:val="Page Numbers (Bottom of Page)"/>
        <w:docPartUnique/>
      </w:docPartObj>
    </w:sdtPr>
    <w:sdtEndPr/>
    <w:sdtContent>
      <w:p w:rsidR="001F7DEF" w:rsidRDefault="001C033E" w:rsidP="001C033E">
        <w:pPr>
          <w:pStyle w:val="Stopka"/>
          <w:jc w:val="center"/>
        </w:pPr>
        <w:r>
          <w:fldChar w:fldCharType="begin"/>
        </w:r>
        <w:r>
          <w:instrText>PAGE   \* MERGEFORMAT</w:instrText>
        </w:r>
        <w:r>
          <w:fldChar w:fldCharType="separate"/>
        </w:r>
        <w:r w:rsidR="00867DA1">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160" w:rsidRDefault="00633160">
      <w:r>
        <w:separator/>
      </w:r>
    </w:p>
  </w:footnote>
  <w:footnote w:type="continuationSeparator" w:id="0">
    <w:p w:rsidR="00633160" w:rsidRDefault="006331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6B27"/>
    <w:rsid w:val="00037C3F"/>
    <w:rsid w:val="0004502C"/>
    <w:rsid w:val="00045606"/>
    <w:rsid w:val="000473AE"/>
    <w:rsid w:val="00050884"/>
    <w:rsid w:val="00060C35"/>
    <w:rsid w:val="000643E1"/>
    <w:rsid w:val="00082329"/>
    <w:rsid w:val="00082D2F"/>
    <w:rsid w:val="00085853"/>
    <w:rsid w:val="00086877"/>
    <w:rsid w:val="00094F33"/>
    <w:rsid w:val="000954BF"/>
    <w:rsid w:val="000B1110"/>
    <w:rsid w:val="000B331A"/>
    <w:rsid w:val="000C7ED7"/>
    <w:rsid w:val="000D7C4E"/>
    <w:rsid w:val="000E683B"/>
    <w:rsid w:val="00104EE7"/>
    <w:rsid w:val="0011060B"/>
    <w:rsid w:val="001138E4"/>
    <w:rsid w:val="001248C7"/>
    <w:rsid w:val="00125D7C"/>
    <w:rsid w:val="00127C02"/>
    <w:rsid w:val="00140622"/>
    <w:rsid w:val="00140F10"/>
    <w:rsid w:val="00140F6C"/>
    <w:rsid w:val="00143719"/>
    <w:rsid w:val="00143F1D"/>
    <w:rsid w:val="00152821"/>
    <w:rsid w:val="00152837"/>
    <w:rsid w:val="00156DEB"/>
    <w:rsid w:val="00162E74"/>
    <w:rsid w:val="00164CC3"/>
    <w:rsid w:val="00172177"/>
    <w:rsid w:val="00175C36"/>
    <w:rsid w:val="001860AE"/>
    <w:rsid w:val="001864BC"/>
    <w:rsid w:val="00191981"/>
    <w:rsid w:val="00192B92"/>
    <w:rsid w:val="0019797D"/>
    <w:rsid w:val="00197DC1"/>
    <w:rsid w:val="001A3DB2"/>
    <w:rsid w:val="001A4A2E"/>
    <w:rsid w:val="001C033E"/>
    <w:rsid w:val="001C767B"/>
    <w:rsid w:val="001D13D7"/>
    <w:rsid w:val="001D5910"/>
    <w:rsid w:val="001E0BD4"/>
    <w:rsid w:val="001E33B5"/>
    <w:rsid w:val="001E3953"/>
    <w:rsid w:val="001E7CFC"/>
    <w:rsid w:val="001F7B0A"/>
    <w:rsid w:val="001F7DEF"/>
    <w:rsid w:val="002004B3"/>
    <w:rsid w:val="00200589"/>
    <w:rsid w:val="00200CA1"/>
    <w:rsid w:val="002011A1"/>
    <w:rsid w:val="0020279C"/>
    <w:rsid w:val="00221E1A"/>
    <w:rsid w:val="002247DC"/>
    <w:rsid w:val="00233F7F"/>
    <w:rsid w:val="00234DB2"/>
    <w:rsid w:val="00241EB4"/>
    <w:rsid w:val="00245F53"/>
    <w:rsid w:val="00251A2D"/>
    <w:rsid w:val="002628A8"/>
    <w:rsid w:val="002641D0"/>
    <w:rsid w:val="00271D07"/>
    <w:rsid w:val="002722FD"/>
    <w:rsid w:val="0027483C"/>
    <w:rsid w:val="00277B9A"/>
    <w:rsid w:val="0028025F"/>
    <w:rsid w:val="0028449C"/>
    <w:rsid w:val="00291494"/>
    <w:rsid w:val="0029159A"/>
    <w:rsid w:val="00295963"/>
    <w:rsid w:val="00296719"/>
    <w:rsid w:val="002A3914"/>
    <w:rsid w:val="002A6C35"/>
    <w:rsid w:val="002A7BF3"/>
    <w:rsid w:val="002B05BD"/>
    <w:rsid w:val="002B0691"/>
    <w:rsid w:val="002B310C"/>
    <w:rsid w:val="002D358F"/>
    <w:rsid w:val="002F3FD9"/>
    <w:rsid w:val="002F7EE1"/>
    <w:rsid w:val="003022A2"/>
    <w:rsid w:val="00307171"/>
    <w:rsid w:val="003100F1"/>
    <w:rsid w:val="003103A7"/>
    <w:rsid w:val="0031504F"/>
    <w:rsid w:val="0032053C"/>
    <w:rsid w:val="00322249"/>
    <w:rsid w:val="00324A89"/>
    <w:rsid w:val="003276CD"/>
    <w:rsid w:val="00332A17"/>
    <w:rsid w:val="003369CC"/>
    <w:rsid w:val="00342BCE"/>
    <w:rsid w:val="00350180"/>
    <w:rsid w:val="00350D1D"/>
    <w:rsid w:val="00360D59"/>
    <w:rsid w:val="00361C8D"/>
    <w:rsid w:val="00366190"/>
    <w:rsid w:val="00367DA4"/>
    <w:rsid w:val="003706D6"/>
    <w:rsid w:val="0037701E"/>
    <w:rsid w:val="003855D6"/>
    <w:rsid w:val="0039157D"/>
    <w:rsid w:val="0039229C"/>
    <w:rsid w:val="00392628"/>
    <w:rsid w:val="003943A9"/>
    <w:rsid w:val="0039744C"/>
    <w:rsid w:val="003A085C"/>
    <w:rsid w:val="003A46CE"/>
    <w:rsid w:val="003A7B95"/>
    <w:rsid w:val="003B1FE1"/>
    <w:rsid w:val="003B4027"/>
    <w:rsid w:val="003B5232"/>
    <w:rsid w:val="003B5D85"/>
    <w:rsid w:val="003C6A68"/>
    <w:rsid w:val="003C7275"/>
    <w:rsid w:val="003D2583"/>
    <w:rsid w:val="003F3394"/>
    <w:rsid w:val="004009BB"/>
    <w:rsid w:val="00403B11"/>
    <w:rsid w:val="004053DE"/>
    <w:rsid w:val="0041042E"/>
    <w:rsid w:val="00412EAA"/>
    <w:rsid w:val="00413517"/>
    <w:rsid w:val="00417C92"/>
    <w:rsid w:val="004200BB"/>
    <w:rsid w:val="004219CB"/>
    <w:rsid w:val="0042575A"/>
    <w:rsid w:val="0042781C"/>
    <w:rsid w:val="00430FDB"/>
    <w:rsid w:val="00431BEE"/>
    <w:rsid w:val="00435ED0"/>
    <w:rsid w:val="004364A1"/>
    <w:rsid w:val="0044180C"/>
    <w:rsid w:val="004457AA"/>
    <w:rsid w:val="004459F2"/>
    <w:rsid w:val="00454D41"/>
    <w:rsid w:val="00457DDC"/>
    <w:rsid w:val="004652D2"/>
    <w:rsid w:val="00472716"/>
    <w:rsid w:val="004737DF"/>
    <w:rsid w:val="00491C31"/>
    <w:rsid w:val="004A3ACE"/>
    <w:rsid w:val="004B0ADC"/>
    <w:rsid w:val="004B1473"/>
    <w:rsid w:val="004B1AD2"/>
    <w:rsid w:val="004B5876"/>
    <w:rsid w:val="004C2923"/>
    <w:rsid w:val="004C4BF4"/>
    <w:rsid w:val="004D142E"/>
    <w:rsid w:val="004D387B"/>
    <w:rsid w:val="004E04F1"/>
    <w:rsid w:val="004E6BFB"/>
    <w:rsid w:val="004F1171"/>
    <w:rsid w:val="004F5FFB"/>
    <w:rsid w:val="0050575C"/>
    <w:rsid w:val="005070F1"/>
    <w:rsid w:val="005108B0"/>
    <w:rsid w:val="005118FA"/>
    <w:rsid w:val="00535BA2"/>
    <w:rsid w:val="00540BDD"/>
    <w:rsid w:val="005548A7"/>
    <w:rsid w:val="005658CA"/>
    <w:rsid w:val="0057230B"/>
    <w:rsid w:val="005761D9"/>
    <w:rsid w:val="005812AD"/>
    <w:rsid w:val="005837FF"/>
    <w:rsid w:val="00584007"/>
    <w:rsid w:val="0058433A"/>
    <w:rsid w:val="005911AE"/>
    <w:rsid w:val="00594B77"/>
    <w:rsid w:val="0059545F"/>
    <w:rsid w:val="005A1AA5"/>
    <w:rsid w:val="005A1C73"/>
    <w:rsid w:val="005A6884"/>
    <w:rsid w:val="005B0268"/>
    <w:rsid w:val="005B5132"/>
    <w:rsid w:val="005C559E"/>
    <w:rsid w:val="005C6697"/>
    <w:rsid w:val="005D043F"/>
    <w:rsid w:val="005D564E"/>
    <w:rsid w:val="005D7459"/>
    <w:rsid w:val="005F20E6"/>
    <w:rsid w:val="005F2461"/>
    <w:rsid w:val="005F2CC6"/>
    <w:rsid w:val="005F545D"/>
    <w:rsid w:val="00603909"/>
    <w:rsid w:val="00604312"/>
    <w:rsid w:val="0061225C"/>
    <w:rsid w:val="006220DE"/>
    <w:rsid w:val="00623DF0"/>
    <w:rsid w:val="006260AB"/>
    <w:rsid w:val="00632BA3"/>
    <w:rsid w:val="00633160"/>
    <w:rsid w:val="00635D6D"/>
    <w:rsid w:val="0064455F"/>
    <w:rsid w:val="00653A6D"/>
    <w:rsid w:val="00654D95"/>
    <w:rsid w:val="006554BB"/>
    <w:rsid w:val="00661205"/>
    <w:rsid w:val="00663ABB"/>
    <w:rsid w:val="00663BB6"/>
    <w:rsid w:val="00664038"/>
    <w:rsid w:val="00664306"/>
    <w:rsid w:val="00671318"/>
    <w:rsid w:val="00671EEC"/>
    <w:rsid w:val="00677391"/>
    <w:rsid w:val="00682922"/>
    <w:rsid w:val="00682CCA"/>
    <w:rsid w:val="00684F29"/>
    <w:rsid w:val="006965A4"/>
    <w:rsid w:val="006B0124"/>
    <w:rsid w:val="006B324B"/>
    <w:rsid w:val="006C2CA7"/>
    <w:rsid w:val="006C5493"/>
    <w:rsid w:val="006E19B4"/>
    <w:rsid w:val="006E2DC4"/>
    <w:rsid w:val="006F4FFD"/>
    <w:rsid w:val="00702513"/>
    <w:rsid w:val="007102BD"/>
    <w:rsid w:val="007170C6"/>
    <w:rsid w:val="007273C9"/>
    <w:rsid w:val="007354BC"/>
    <w:rsid w:val="0074436B"/>
    <w:rsid w:val="007462CE"/>
    <w:rsid w:val="00756C22"/>
    <w:rsid w:val="0076674E"/>
    <w:rsid w:val="0076785E"/>
    <w:rsid w:val="007718D6"/>
    <w:rsid w:val="0077398D"/>
    <w:rsid w:val="007752F9"/>
    <w:rsid w:val="00777023"/>
    <w:rsid w:val="00777D28"/>
    <w:rsid w:val="007915AE"/>
    <w:rsid w:val="007B10B5"/>
    <w:rsid w:val="007B22F5"/>
    <w:rsid w:val="007B3E1D"/>
    <w:rsid w:val="007B5F79"/>
    <w:rsid w:val="007C0B25"/>
    <w:rsid w:val="007D5825"/>
    <w:rsid w:val="007F1AE0"/>
    <w:rsid w:val="007F1C28"/>
    <w:rsid w:val="007F3CB8"/>
    <w:rsid w:val="00802798"/>
    <w:rsid w:val="00810FB5"/>
    <w:rsid w:val="00810FE4"/>
    <w:rsid w:val="008127FB"/>
    <w:rsid w:val="008221F9"/>
    <w:rsid w:val="00822E61"/>
    <w:rsid w:val="0082564B"/>
    <w:rsid w:val="00831142"/>
    <w:rsid w:val="0083213A"/>
    <w:rsid w:val="00837D67"/>
    <w:rsid w:val="0084281A"/>
    <w:rsid w:val="00844670"/>
    <w:rsid w:val="0084502C"/>
    <w:rsid w:val="00857359"/>
    <w:rsid w:val="00862C14"/>
    <w:rsid w:val="00864D7E"/>
    <w:rsid w:val="00867DA1"/>
    <w:rsid w:val="00872B5F"/>
    <w:rsid w:val="00873D18"/>
    <w:rsid w:val="00877749"/>
    <w:rsid w:val="00884296"/>
    <w:rsid w:val="008855DE"/>
    <w:rsid w:val="00893616"/>
    <w:rsid w:val="00894C26"/>
    <w:rsid w:val="008A15E4"/>
    <w:rsid w:val="008A247C"/>
    <w:rsid w:val="008B20EC"/>
    <w:rsid w:val="008B3131"/>
    <w:rsid w:val="008B4F25"/>
    <w:rsid w:val="008B67FC"/>
    <w:rsid w:val="008C3801"/>
    <w:rsid w:val="008F4354"/>
    <w:rsid w:val="008F588C"/>
    <w:rsid w:val="008F763F"/>
    <w:rsid w:val="0090353A"/>
    <w:rsid w:val="00904194"/>
    <w:rsid w:val="0091022A"/>
    <w:rsid w:val="00911447"/>
    <w:rsid w:val="00911E1D"/>
    <w:rsid w:val="00915A04"/>
    <w:rsid w:val="00915DFD"/>
    <w:rsid w:val="00921002"/>
    <w:rsid w:val="00926540"/>
    <w:rsid w:val="0092666B"/>
    <w:rsid w:val="0093709B"/>
    <w:rsid w:val="009456A4"/>
    <w:rsid w:val="00947D1E"/>
    <w:rsid w:val="00953B27"/>
    <w:rsid w:val="009577A3"/>
    <w:rsid w:val="00960ECB"/>
    <w:rsid w:val="009643F7"/>
    <w:rsid w:val="00964F2F"/>
    <w:rsid w:val="009729EA"/>
    <w:rsid w:val="009741AF"/>
    <w:rsid w:val="00976FBE"/>
    <w:rsid w:val="00981D0D"/>
    <w:rsid w:val="00990454"/>
    <w:rsid w:val="00990970"/>
    <w:rsid w:val="00993E66"/>
    <w:rsid w:val="0099616C"/>
    <w:rsid w:val="009A28FC"/>
    <w:rsid w:val="009A7878"/>
    <w:rsid w:val="009C0881"/>
    <w:rsid w:val="009C6392"/>
    <w:rsid w:val="009C6661"/>
    <w:rsid w:val="009D40CF"/>
    <w:rsid w:val="009D6AC4"/>
    <w:rsid w:val="009E0C2A"/>
    <w:rsid w:val="009E10A3"/>
    <w:rsid w:val="009E27A0"/>
    <w:rsid w:val="009E7528"/>
    <w:rsid w:val="009F1DAE"/>
    <w:rsid w:val="00A04BFB"/>
    <w:rsid w:val="00A0577F"/>
    <w:rsid w:val="00A10D12"/>
    <w:rsid w:val="00A17675"/>
    <w:rsid w:val="00A25964"/>
    <w:rsid w:val="00A312DD"/>
    <w:rsid w:val="00A32404"/>
    <w:rsid w:val="00A32BC4"/>
    <w:rsid w:val="00A431F1"/>
    <w:rsid w:val="00A438D4"/>
    <w:rsid w:val="00A442F9"/>
    <w:rsid w:val="00A50440"/>
    <w:rsid w:val="00A6685B"/>
    <w:rsid w:val="00A72096"/>
    <w:rsid w:val="00A731D5"/>
    <w:rsid w:val="00A7771D"/>
    <w:rsid w:val="00A873F2"/>
    <w:rsid w:val="00A90415"/>
    <w:rsid w:val="00AA00DA"/>
    <w:rsid w:val="00AA4CAC"/>
    <w:rsid w:val="00AB1E2F"/>
    <w:rsid w:val="00AB33E1"/>
    <w:rsid w:val="00AB3A52"/>
    <w:rsid w:val="00AB5BC7"/>
    <w:rsid w:val="00AB67EE"/>
    <w:rsid w:val="00AC1F7E"/>
    <w:rsid w:val="00AC5CFD"/>
    <w:rsid w:val="00AC5E84"/>
    <w:rsid w:val="00AD292D"/>
    <w:rsid w:val="00AD679B"/>
    <w:rsid w:val="00AE5314"/>
    <w:rsid w:val="00AE592E"/>
    <w:rsid w:val="00AE7350"/>
    <w:rsid w:val="00AE7C3A"/>
    <w:rsid w:val="00AF62DE"/>
    <w:rsid w:val="00AF6749"/>
    <w:rsid w:val="00B00549"/>
    <w:rsid w:val="00B01E8F"/>
    <w:rsid w:val="00B02A84"/>
    <w:rsid w:val="00B02C6C"/>
    <w:rsid w:val="00B0446E"/>
    <w:rsid w:val="00B04B71"/>
    <w:rsid w:val="00B3672D"/>
    <w:rsid w:val="00B402AE"/>
    <w:rsid w:val="00B40635"/>
    <w:rsid w:val="00B430FB"/>
    <w:rsid w:val="00B45550"/>
    <w:rsid w:val="00B56E17"/>
    <w:rsid w:val="00B609F3"/>
    <w:rsid w:val="00B60DAF"/>
    <w:rsid w:val="00B65B3E"/>
    <w:rsid w:val="00B728D6"/>
    <w:rsid w:val="00B72BE9"/>
    <w:rsid w:val="00B74BBF"/>
    <w:rsid w:val="00B8715E"/>
    <w:rsid w:val="00B952EA"/>
    <w:rsid w:val="00BA379E"/>
    <w:rsid w:val="00BB0D8D"/>
    <w:rsid w:val="00BC05C6"/>
    <w:rsid w:val="00BC17AA"/>
    <w:rsid w:val="00BC2A26"/>
    <w:rsid w:val="00BC6D3E"/>
    <w:rsid w:val="00BD13E6"/>
    <w:rsid w:val="00BD2EA8"/>
    <w:rsid w:val="00BE1A91"/>
    <w:rsid w:val="00BE2F1C"/>
    <w:rsid w:val="00BE3FCC"/>
    <w:rsid w:val="00BF1BF6"/>
    <w:rsid w:val="00BF6F8F"/>
    <w:rsid w:val="00C04BA9"/>
    <w:rsid w:val="00C10954"/>
    <w:rsid w:val="00C11D05"/>
    <w:rsid w:val="00C12D4B"/>
    <w:rsid w:val="00C14506"/>
    <w:rsid w:val="00C1457C"/>
    <w:rsid w:val="00C17CF4"/>
    <w:rsid w:val="00C22630"/>
    <w:rsid w:val="00C2375B"/>
    <w:rsid w:val="00C2411A"/>
    <w:rsid w:val="00C2618D"/>
    <w:rsid w:val="00C34B45"/>
    <w:rsid w:val="00C35684"/>
    <w:rsid w:val="00C41FBC"/>
    <w:rsid w:val="00C502BD"/>
    <w:rsid w:val="00C526F9"/>
    <w:rsid w:val="00C528D5"/>
    <w:rsid w:val="00C53967"/>
    <w:rsid w:val="00C60C98"/>
    <w:rsid w:val="00C72745"/>
    <w:rsid w:val="00C72B6B"/>
    <w:rsid w:val="00C87054"/>
    <w:rsid w:val="00C908C3"/>
    <w:rsid w:val="00C90FB4"/>
    <w:rsid w:val="00C9196A"/>
    <w:rsid w:val="00C940D0"/>
    <w:rsid w:val="00CB1AB7"/>
    <w:rsid w:val="00CB67DB"/>
    <w:rsid w:val="00CC0377"/>
    <w:rsid w:val="00CD6110"/>
    <w:rsid w:val="00CE173B"/>
    <w:rsid w:val="00CF02F6"/>
    <w:rsid w:val="00CF3806"/>
    <w:rsid w:val="00CF63B9"/>
    <w:rsid w:val="00D01DAD"/>
    <w:rsid w:val="00D03F11"/>
    <w:rsid w:val="00D167DC"/>
    <w:rsid w:val="00D20D79"/>
    <w:rsid w:val="00D24B98"/>
    <w:rsid w:val="00D33F74"/>
    <w:rsid w:val="00D362B2"/>
    <w:rsid w:val="00D367A6"/>
    <w:rsid w:val="00D36801"/>
    <w:rsid w:val="00D43EE0"/>
    <w:rsid w:val="00D474B7"/>
    <w:rsid w:val="00D6335F"/>
    <w:rsid w:val="00D700F6"/>
    <w:rsid w:val="00D717E0"/>
    <w:rsid w:val="00D7403C"/>
    <w:rsid w:val="00D776D9"/>
    <w:rsid w:val="00D819AB"/>
    <w:rsid w:val="00D81DCF"/>
    <w:rsid w:val="00D85195"/>
    <w:rsid w:val="00D86B25"/>
    <w:rsid w:val="00D86BEF"/>
    <w:rsid w:val="00D871E6"/>
    <w:rsid w:val="00DA061A"/>
    <w:rsid w:val="00DB5BDF"/>
    <w:rsid w:val="00DC732E"/>
    <w:rsid w:val="00DD4BA7"/>
    <w:rsid w:val="00DE18EC"/>
    <w:rsid w:val="00DF117C"/>
    <w:rsid w:val="00E00360"/>
    <w:rsid w:val="00E04A89"/>
    <w:rsid w:val="00E10C89"/>
    <w:rsid w:val="00E31A60"/>
    <w:rsid w:val="00E31B81"/>
    <w:rsid w:val="00E36964"/>
    <w:rsid w:val="00E40D04"/>
    <w:rsid w:val="00E44188"/>
    <w:rsid w:val="00E45387"/>
    <w:rsid w:val="00E54E7E"/>
    <w:rsid w:val="00E63FAA"/>
    <w:rsid w:val="00E67832"/>
    <w:rsid w:val="00E71442"/>
    <w:rsid w:val="00E77E1D"/>
    <w:rsid w:val="00E80B7E"/>
    <w:rsid w:val="00E81D40"/>
    <w:rsid w:val="00E826F3"/>
    <w:rsid w:val="00E8386A"/>
    <w:rsid w:val="00E8604C"/>
    <w:rsid w:val="00E86EB6"/>
    <w:rsid w:val="00E91614"/>
    <w:rsid w:val="00E9264A"/>
    <w:rsid w:val="00E96856"/>
    <w:rsid w:val="00EA052F"/>
    <w:rsid w:val="00EA2B48"/>
    <w:rsid w:val="00EB2C90"/>
    <w:rsid w:val="00EB32C0"/>
    <w:rsid w:val="00EB36AA"/>
    <w:rsid w:val="00EC14A0"/>
    <w:rsid w:val="00EC2408"/>
    <w:rsid w:val="00EC5427"/>
    <w:rsid w:val="00EC63DA"/>
    <w:rsid w:val="00ED16A3"/>
    <w:rsid w:val="00ED1CD7"/>
    <w:rsid w:val="00EF0C85"/>
    <w:rsid w:val="00EF3B60"/>
    <w:rsid w:val="00EF3C2F"/>
    <w:rsid w:val="00F13BB2"/>
    <w:rsid w:val="00F16513"/>
    <w:rsid w:val="00F24A78"/>
    <w:rsid w:val="00F25736"/>
    <w:rsid w:val="00F3747A"/>
    <w:rsid w:val="00F40A52"/>
    <w:rsid w:val="00F56C79"/>
    <w:rsid w:val="00F60096"/>
    <w:rsid w:val="00F61A42"/>
    <w:rsid w:val="00F65D05"/>
    <w:rsid w:val="00F66E79"/>
    <w:rsid w:val="00F720D3"/>
    <w:rsid w:val="00F83E30"/>
    <w:rsid w:val="00F8610E"/>
    <w:rsid w:val="00F9242E"/>
    <w:rsid w:val="00F92DBE"/>
    <w:rsid w:val="00F934E2"/>
    <w:rsid w:val="00F968A6"/>
    <w:rsid w:val="00FA0260"/>
    <w:rsid w:val="00FA26B5"/>
    <w:rsid w:val="00FB30CC"/>
    <w:rsid w:val="00FB4135"/>
    <w:rsid w:val="00FB5122"/>
    <w:rsid w:val="00FC0C80"/>
    <w:rsid w:val="00FC1E97"/>
    <w:rsid w:val="00FC1FA6"/>
    <w:rsid w:val="00FC21A5"/>
    <w:rsid w:val="00FC3B63"/>
    <w:rsid w:val="00FC4D37"/>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1C033E"/>
    <w:pPr>
      <w:tabs>
        <w:tab w:val="center" w:pos="4536"/>
        <w:tab w:val="right" w:pos="9072"/>
      </w:tabs>
    </w:pPr>
  </w:style>
  <w:style w:type="character" w:customStyle="1" w:styleId="NagwekZnak">
    <w:name w:val="Nagłówek Znak"/>
    <w:basedOn w:val="Domylnaczcionkaakapitu"/>
    <w:link w:val="Nagwek"/>
    <w:rsid w:val="001C033E"/>
    <w:rPr>
      <w:sz w:val="24"/>
      <w:szCs w:val="24"/>
    </w:rPr>
  </w:style>
  <w:style w:type="character" w:customStyle="1" w:styleId="StopkaZnak">
    <w:name w:val="Stopka Znak"/>
    <w:basedOn w:val="Domylnaczcionkaakapitu"/>
    <w:link w:val="Stopka"/>
    <w:uiPriority w:val="99"/>
    <w:rsid w:val="001C033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1C033E"/>
    <w:pPr>
      <w:tabs>
        <w:tab w:val="center" w:pos="4536"/>
        <w:tab w:val="right" w:pos="9072"/>
      </w:tabs>
    </w:pPr>
  </w:style>
  <w:style w:type="character" w:customStyle="1" w:styleId="NagwekZnak">
    <w:name w:val="Nagłówek Znak"/>
    <w:basedOn w:val="Domylnaczcionkaakapitu"/>
    <w:link w:val="Nagwek"/>
    <w:rsid w:val="001C033E"/>
    <w:rPr>
      <w:sz w:val="24"/>
      <w:szCs w:val="24"/>
    </w:rPr>
  </w:style>
  <w:style w:type="character" w:customStyle="1" w:styleId="StopkaZnak">
    <w:name w:val="Stopka Znak"/>
    <w:basedOn w:val="Domylnaczcionkaakapitu"/>
    <w:link w:val="Stopka"/>
    <w:uiPriority w:val="99"/>
    <w:rsid w:val="001C03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548912">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A9DD1-447F-4755-9718-DB2D20AC6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2207</Words>
  <Characters>14364</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2017-09-25T16:33:00Z</cp:lastPrinted>
  <dcterms:created xsi:type="dcterms:W3CDTF">2018-03-22T09:45:00Z</dcterms:created>
  <dcterms:modified xsi:type="dcterms:W3CDTF">2018-03-22T09:45:00Z</dcterms:modified>
</cp:coreProperties>
</file>