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D07" w:rsidRPr="00175C36" w:rsidRDefault="00271D07" w:rsidP="00634EAF">
      <w:pPr>
        <w:spacing w:before="120" w:line="360" w:lineRule="auto"/>
        <w:jc w:val="center"/>
        <w:rPr>
          <w:b/>
        </w:rPr>
      </w:pPr>
      <w:bookmarkStart w:id="0" w:name="_GoBack"/>
      <w:bookmarkEnd w:id="0"/>
      <w:r w:rsidRPr="00175C36">
        <w:rPr>
          <w:b/>
        </w:rPr>
        <w:t>UZASADNIENIE</w:t>
      </w:r>
    </w:p>
    <w:p w:rsidR="00271D07" w:rsidRPr="00175C36" w:rsidRDefault="00634EAF" w:rsidP="00634EAF">
      <w:pPr>
        <w:spacing w:before="240" w:line="360" w:lineRule="auto"/>
        <w:ind w:left="350" w:hanging="350"/>
        <w:rPr>
          <w:b/>
        </w:rPr>
      </w:pPr>
      <w:r>
        <w:rPr>
          <w:b/>
        </w:rPr>
        <w:t>1.</w:t>
      </w:r>
      <w:r>
        <w:rPr>
          <w:b/>
        </w:rPr>
        <w:tab/>
      </w:r>
      <w:r w:rsidR="00271D07" w:rsidRPr="00175C36">
        <w:rPr>
          <w:b/>
        </w:rPr>
        <w:t xml:space="preserve">Potrzeba i cel </w:t>
      </w:r>
      <w:r w:rsidR="00B55EA6">
        <w:rPr>
          <w:b/>
        </w:rPr>
        <w:t xml:space="preserve">wypowiedzenia Umowy </w:t>
      </w:r>
    </w:p>
    <w:p w:rsidR="0050673E" w:rsidRPr="0060061D" w:rsidRDefault="0050673E" w:rsidP="00634EAF">
      <w:pPr>
        <w:spacing w:before="120" w:line="360" w:lineRule="auto"/>
        <w:jc w:val="both"/>
        <w:rPr>
          <w:szCs w:val="26"/>
        </w:rPr>
      </w:pPr>
      <w:r w:rsidRPr="0060061D">
        <w:rPr>
          <w:szCs w:val="26"/>
        </w:rPr>
        <w:t xml:space="preserve">Obowiązywanie </w:t>
      </w:r>
      <w:r w:rsidR="00F55511" w:rsidRPr="0060061D">
        <w:rPr>
          <w:i/>
          <w:szCs w:val="26"/>
        </w:rPr>
        <w:t>Umow</w:t>
      </w:r>
      <w:r w:rsidR="00F55511">
        <w:rPr>
          <w:i/>
          <w:szCs w:val="26"/>
        </w:rPr>
        <w:t>y</w:t>
      </w:r>
      <w:r w:rsidR="00F55511" w:rsidRPr="0060061D">
        <w:rPr>
          <w:i/>
          <w:szCs w:val="26"/>
        </w:rPr>
        <w:t xml:space="preserve"> </w:t>
      </w:r>
      <w:r w:rsidR="00F55511" w:rsidRPr="00B876BB">
        <w:rPr>
          <w:i/>
          <w:szCs w:val="26"/>
        </w:rPr>
        <w:t>między Rzecząpospolitą Polską a Republiką Chorwacji w</w:t>
      </w:r>
      <w:r w:rsidR="00634EAF">
        <w:rPr>
          <w:i/>
          <w:szCs w:val="26"/>
        </w:rPr>
        <w:t> </w:t>
      </w:r>
      <w:r w:rsidR="00F55511" w:rsidRPr="00B876BB">
        <w:rPr>
          <w:i/>
          <w:szCs w:val="26"/>
        </w:rPr>
        <w:t>sprawie wzajemnego popierania i ochrony inwestycji, sporządzon</w:t>
      </w:r>
      <w:r w:rsidR="00F55511">
        <w:rPr>
          <w:i/>
          <w:szCs w:val="26"/>
        </w:rPr>
        <w:t>ej</w:t>
      </w:r>
      <w:r w:rsidR="00F55511" w:rsidRPr="00B876BB">
        <w:rPr>
          <w:i/>
          <w:szCs w:val="26"/>
        </w:rPr>
        <w:t xml:space="preserve"> w Warszawie dnia 21 lutego 1995 r. </w:t>
      </w:r>
      <w:r w:rsidR="00F55511" w:rsidRPr="0060061D">
        <w:rPr>
          <w:szCs w:val="26"/>
        </w:rPr>
        <w:t>(Dz. U. z 199</w:t>
      </w:r>
      <w:r w:rsidR="00F55511">
        <w:rPr>
          <w:szCs w:val="26"/>
        </w:rPr>
        <w:t>6</w:t>
      </w:r>
      <w:r w:rsidR="00F55511" w:rsidRPr="0060061D">
        <w:rPr>
          <w:szCs w:val="26"/>
        </w:rPr>
        <w:t xml:space="preserve"> r. poz. </w:t>
      </w:r>
      <w:r w:rsidR="00F55511">
        <w:rPr>
          <w:szCs w:val="26"/>
        </w:rPr>
        <w:t>126</w:t>
      </w:r>
      <w:r w:rsidR="00F55511" w:rsidRPr="0060061D">
        <w:rPr>
          <w:szCs w:val="26"/>
        </w:rPr>
        <w:t>)</w:t>
      </w:r>
      <w:r w:rsidR="00F55511">
        <w:rPr>
          <w:szCs w:val="26"/>
        </w:rPr>
        <w:t>, dalej jako „</w:t>
      </w:r>
      <w:r w:rsidRPr="0060061D">
        <w:rPr>
          <w:szCs w:val="26"/>
        </w:rPr>
        <w:t>Umow</w:t>
      </w:r>
      <w:r w:rsidR="00F55511">
        <w:rPr>
          <w:szCs w:val="26"/>
        </w:rPr>
        <w:t xml:space="preserve">a”, </w:t>
      </w:r>
      <w:r w:rsidRPr="0060061D">
        <w:rPr>
          <w:szCs w:val="26"/>
        </w:rPr>
        <w:t>jest kwestionowane przez Komisję Europejską z uwagi na niezgodność Umowy z prawem UE, podobnie jak kwestionowane jest obowiązywanie wszystkich pozostałych umów o</w:t>
      </w:r>
      <w:r w:rsidR="00634EAF">
        <w:rPr>
          <w:szCs w:val="26"/>
        </w:rPr>
        <w:t> </w:t>
      </w:r>
      <w:r w:rsidRPr="0060061D">
        <w:rPr>
          <w:szCs w:val="26"/>
        </w:rPr>
        <w:t>popieraniu i wzajemnej ochronie inwestycji zawartych pomiędzy państwami członkowskimi UE (dalej jako „umowy intra-EU BIT”). W odniesieniu do RP Komisja Europejska zakończyła w listopadzie 2016 r. nieformalne postępowanie (tzw. EU Pilot) rozpoczęte w czerwcu 2015 r. i rozważa wszczęcie formalnego postępowania w</w:t>
      </w:r>
      <w:r w:rsidR="00780525">
        <w:rPr>
          <w:szCs w:val="26"/>
        </w:rPr>
        <w:t xml:space="preserve"> </w:t>
      </w:r>
      <w:r w:rsidRPr="0060061D">
        <w:rPr>
          <w:szCs w:val="26"/>
        </w:rPr>
        <w:t>s</w:t>
      </w:r>
      <w:r w:rsidR="00780525">
        <w:rPr>
          <w:szCs w:val="26"/>
        </w:rPr>
        <w:t xml:space="preserve">prawie </w:t>
      </w:r>
      <w:r w:rsidRPr="0060061D">
        <w:rPr>
          <w:szCs w:val="26"/>
        </w:rPr>
        <w:t>niezgodności m.in. tej Umowy z prawem UE. Takie formalne postępowania Komisji Europejskiej toczą się już przeciwko Austrii, Holandii, Słowacji, Szwecji i</w:t>
      </w:r>
      <w:r w:rsidR="00634EAF">
        <w:rPr>
          <w:szCs w:val="26"/>
        </w:rPr>
        <w:t> </w:t>
      </w:r>
      <w:r w:rsidRPr="0060061D">
        <w:rPr>
          <w:szCs w:val="26"/>
        </w:rPr>
        <w:t xml:space="preserve">Rumunii. </w:t>
      </w:r>
    </w:p>
    <w:p w:rsidR="002A3914" w:rsidRPr="0060061D" w:rsidRDefault="002A3914" w:rsidP="00634EAF">
      <w:pPr>
        <w:spacing w:before="120" w:line="360" w:lineRule="auto"/>
        <w:jc w:val="both"/>
        <w:rPr>
          <w:color w:val="000000"/>
        </w:rPr>
      </w:pPr>
      <w:r w:rsidRPr="0060061D">
        <w:rPr>
          <w:color w:val="000000"/>
        </w:rPr>
        <w:t xml:space="preserve">RP jest </w:t>
      </w:r>
      <w:r w:rsidR="00F25736" w:rsidRPr="0060061D">
        <w:rPr>
          <w:color w:val="000000"/>
        </w:rPr>
        <w:t xml:space="preserve">obecnie </w:t>
      </w:r>
      <w:r w:rsidRPr="0060061D">
        <w:rPr>
          <w:color w:val="000000"/>
        </w:rPr>
        <w:t>stroną umów intra-EU BIT zawartych z prawie wszystkimi państwami członkowskimi UE, z wyjątkiem Irlandii</w:t>
      </w:r>
      <w:r w:rsidR="00F25736" w:rsidRPr="0060061D">
        <w:rPr>
          <w:color w:val="000000"/>
        </w:rPr>
        <w:t xml:space="preserve"> i </w:t>
      </w:r>
      <w:r w:rsidRPr="0060061D">
        <w:rPr>
          <w:color w:val="000000"/>
        </w:rPr>
        <w:t>Malty</w:t>
      </w:r>
      <w:r w:rsidR="00F25736" w:rsidRPr="0060061D">
        <w:rPr>
          <w:color w:val="000000"/>
        </w:rPr>
        <w:t xml:space="preserve">, z którymi </w:t>
      </w:r>
      <w:r w:rsidRPr="0060061D">
        <w:rPr>
          <w:color w:val="000000"/>
        </w:rPr>
        <w:t>R</w:t>
      </w:r>
      <w:r w:rsidR="00C60C98" w:rsidRPr="0060061D">
        <w:rPr>
          <w:color w:val="000000"/>
        </w:rPr>
        <w:t xml:space="preserve">P </w:t>
      </w:r>
      <w:r w:rsidRPr="0060061D">
        <w:rPr>
          <w:color w:val="000000"/>
        </w:rPr>
        <w:t>nigdy nie zawarła tego typu umów</w:t>
      </w:r>
      <w:r w:rsidR="00F25736" w:rsidRPr="0060061D">
        <w:rPr>
          <w:color w:val="000000"/>
        </w:rPr>
        <w:t xml:space="preserve">, oraz Włoch, z którymi </w:t>
      </w:r>
      <w:r w:rsidRPr="0060061D">
        <w:rPr>
          <w:color w:val="000000"/>
        </w:rPr>
        <w:t>umowa wygasła w dniu 9 stycznia 2013 r. na skutek wypowiedzenia przez Włochy</w:t>
      </w:r>
      <w:r w:rsidR="00F55511">
        <w:rPr>
          <w:color w:val="000000"/>
        </w:rPr>
        <w:t xml:space="preserve">. </w:t>
      </w:r>
      <w:r w:rsidR="00F55511" w:rsidRPr="00F55511">
        <w:rPr>
          <w:color w:val="000000"/>
        </w:rPr>
        <w:t>Ponadto RP wypowiedziała, z uwagi na prawo UE, umowę intra-EU BIT zawartą z Portugalią (umowa wygaśnie w dniu 3 sierpnia 2019 r.).</w:t>
      </w:r>
    </w:p>
    <w:p w:rsidR="0050673E" w:rsidRPr="0060061D" w:rsidRDefault="0050673E" w:rsidP="00634EAF">
      <w:pPr>
        <w:widowControl w:val="0"/>
        <w:autoSpaceDE w:val="0"/>
        <w:autoSpaceDN w:val="0"/>
        <w:adjustRightInd w:val="0"/>
        <w:spacing w:before="120" w:line="360" w:lineRule="auto"/>
        <w:jc w:val="both"/>
        <w:rPr>
          <w:color w:val="000000"/>
        </w:rPr>
      </w:pPr>
      <w:r w:rsidRPr="0060061D">
        <w:rPr>
          <w:color w:val="000000"/>
        </w:rPr>
        <w:t>Stanowisko RP wobec umów intra-EU BIT zostało przyjęte przez Komitet do Spraw Europejskich w dniu 3 czerwca 2011 r. Zgodnie z nim umowy intra-EU BIT powinny zostać wypowiedziane przez wszystkie państwa członkowskie UE</w:t>
      </w:r>
      <w:r w:rsidR="00B55EA6">
        <w:rPr>
          <w:color w:val="000000"/>
        </w:rPr>
        <w:t>,</w:t>
      </w:r>
      <w:r w:rsidR="00AE4C85" w:rsidRPr="0060061D">
        <w:rPr>
          <w:color w:val="000000"/>
        </w:rPr>
        <w:t xml:space="preserve"> a n</w:t>
      </w:r>
      <w:r w:rsidRPr="0060061D">
        <w:rPr>
          <w:color w:val="000000"/>
        </w:rPr>
        <w:t xml:space="preserve">ajlepszym rozwiązaniem dla RP byłoby, aby wszystkie państwa członkowskie UE podjęły jednocześnie wspólną decyzję o rozwiązaniu umów intra-EU BIT za obopólną zgodą na mocy </w:t>
      </w:r>
      <w:r w:rsidRPr="0060061D">
        <w:rPr>
          <w:i/>
          <w:color w:val="000000"/>
        </w:rPr>
        <w:t>Konwencji wiedeńskiej o prawie traktatów</w:t>
      </w:r>
      <w:r w:rsidR="00B55EA6">
        <w:rPr>
          <w:i/>
          <w:color w:val="000000"/>
        </w:rPr>
        <w:t>,</w:t>
      </w:r>
      <w:r w:rsidRPr="0060061D">
        <w:rPr>
          <w:i/>
          <w:color w:val="000000"/>
        </w:rPr>
        <w:t xml:space="preserve"> sporządzonej w Wiedniu dnia 23 maja 1969 r. </w:t>
      </w:r>
      <w:r w:rsidRPr="0060061D">
        <w:rPr>
          <w:color w:val="000000"/>
        </w:rPr>
        <w:t>(Dz. U. z 1990 r.</w:t>
      </w:r>
      <w:r w:rsidR="00DA0829">
        <w:rPr>
          <w:color w:val="000000"/>
        </w:rPr>
        <w:t xml:space="preserve"> poz. 439</w:t>
      </w:r>
      <w:r w:rsidRPr="0060061D">
        <w:rPr>
          <w:color w:val="000000"/>
        </w:rPr>
        <w:t>). Alternatywnie, w przypadku braku możliwości osiągnięcia wśród państw członkowskich UE taki</w:t>
      </w:r>
      <w:r w:rsidR="00634EAF">
        <w:rPr>
          <w:color w:val="000000"/>
        </w:rPr>
        <w:t>ej jednomyślności RP, zgodnie z </w:t>
      </w:r>
      <w:r w:rsidRPr="0060061D">
        <w:rPr>
          <w:color w:val="000000"/>
        </w:rPr>
        <w:t xml:space="preserve">powyższym stanowiskiem, </w:t>
      </w:r>
      <w:r w:rsidR="0055485C" w:rsidRPr="0060061D">
        <w:rPr>
          <w:color w:val="000000"/>
        </w:rPr>
        <w:t xml:space="preserve">miała </w:t>
      </w:r>
      <w:r w:rsidRPr="0060061D">
        <w:rPr>
          <w:color w:val="000000"/>
        </w:rPr>
        <w:t>rozwią</w:t>
      </w:r>
      <w:r w:rsidR="0055485C" w:rsidRPr="0060061D">
        <w:rPr>
          <w:color w:val="000000"/>
        </w:rPr>
        <w:t xml:space="preserve">zać </w:t>
      </w:r>
      <w:r w:rsidRPr="0060061D">
        <w:rPr>
          <w:color w:val="000000"/>
        </w:rPr>
        <w:t>umowy intra-EU BIT zawarte z innymi państwami członkowskimi UE</w:t>
      </w:r>
      <w:r w:rsidR="00F55511">
        <w:rPr>
          <w:color w:val="000000"/>
        </w:rPr>
        <w:t>,</w:t>
      </w:r>
      <w:r w:rsidRPr="0060061D">
        <w:rPr>
          <w:color w:val="000000"/>
        </w:rPr>
        <w:t xml:space="preserve"> albo poprzez ich wypowiedzenie na warunkach określonych w tych umowach</w:t>
      </w:r>
      <w:r w:rsidR="00B55EA6">
        <w:rPr>
          <w:color w:val="000000"/>
        </w:rPr>
        <w:t>,</w:t>
      </w:r>
      <w:r w:rsidRPr="0060061D">
        <w:rPr>
          <w:color w:val="000000"/>
        </w:rPr>
        <w:t xml:space="preserve"> albo na podstawie porozumienia stron. </w:t>
      </w:r>
    </w:p>
    <w:p w:rsidR="0050673E" w:rsidRPr="0060061D" w:rsidRDefault="0050673E" w:rsidP="00634EAF">
      <w:pPr>
        <w:widowControl w:val="0"/>
        <w:autoSpaceDE w:val="0"/>
        <w:autoSpaceDN w:val="0"/>
        <w:adjustRightInd w:val="0"/>
        <w:spacing w:before="120" w:line="360" w:lineRule="auto"/>
        <w:jc w:val="both"/>
        <w:rPr>
          <w:i/>
          <w:color w:val="000000"/>
        </w:rPr>
      </w:pPr>
      <w:r w:rsidRPr="0060061D">
        <w:rPr>
          <w:color w:val="000000"/>
        </w:rPr>
        <w:t xml:space="preserve">W odpowiedzi RP skierowanej do Komisji Europejskiej we wrześniu 2015 r. w ramach ww. postępowania EU Pilot, RP podtrzymała gotowość do zakończenia obowiązywania umów intra-EU BIT zawartych przez RP z innymi państwami członkowskimi UE. </w:t>
      </w:r>
      <w:r w:rsidRPr="0060061D">
        <w:rPr>
          <w:color w:val="000000"/>
        </w:rPr>
        <w:lastRenderedPageBreak/>
        <w:t xml:space="preserve">Wskazała, że spośród dostępnych i analizowanych przez RP metod osiągnięcia powyższego celu, jednostronne wypowiedzenie umów intra-EU BIT przez RP byłoby najmniej pożądanym rozwiązaniem. Po pierwsze, umowy intra-EU BIT zawarte przez RP nie przewidują możliwości wypowiedzenia ich w każdym czasie, ponieważ obowiązują roczne lub półroczne okresy wypowiedzenia lub wypowiedzenie może nastąpić jedynie w okresie poprzedzającym okres zakończenia ich cyklu obowiązywania. Po drugie, nawet skuteczne jednostronne wypowiedzenie umowy nie powoduje zakończenia obowiązywania jej postanowień na skutek specyficznych przepisów końcowych tych umów pozwalających na ochronę inwestycji w ciągu kolejnych lat po wypowiedzeniu umowy (tzw. </w:t>
      </w:r>
      <w:r w:rsidR="00DA0829">
        <w:rPr>
          <w:color w:val="000000"/>
        </w:rPr>
        <w:t xml:space="preserve">klauzula </w:t>
      </w:r>
      <w:r w:rsidR="00F55511">
        <w:rPr>
          <w:color w:val="000000"/>
        </w:rPr>
        <w:t xml:space="preserve">przedłużonego obowiązywania umowy, </w:t>
      </w:r>
      <w:r w:rsidRPr="0060061D">
        <w:rPr>
          <w:i/>
          <w:color w:val="000000"/>
        </w:rPr>
        <w:t>sunset clause</w:t>
      </w:r>
      <w:r w:rsidRPr="0060061D">
        <w:rPr>
          <w:color w:val="000000"/>
        </w:rPr>
        <w:t xml:space="preserve">). O wiele lepszym sposobem, jak Polska wskazała, byłoby rozwiązanie umów intra-EU BIT na podstawie porozumień dwustronnych, które przewidywałyby rezygnację z </w:t>
      </w:r>
      <w:r w:rsidR="00DA0829">
        <w:rPr>
          <w:color w:val="000000"/>
        </w:rPr>
        <w:t xml:space="preserve">klauzuli </w:t>
      </w:r>
      <w:r w:rsidR="00F55511">
        <w:rPr>
          <w:color w:val="000000"/>
        </w:rPr>
        <w:t>przedłużonego obowiązywania umowy</w:t>
      </w:r>
      <w:r w:rsidRPr="0060061D">
        <w:rPr>
          <w:color w:val="000000"/>
        </w:rPr>
        <w:t>. RP podkreśliła w odpowiedzi do Komisji Europejskiej, że z uwagi na liczbę zawartych przez RP umów, jak również biorąc pod uwagę wielość umów zawartych przez państwa członkowskie UE, wydaje się, że najszybszym i najskuteczniejszym rozwiązaniem na obecnym etapie byłoby jednoczesne podjęcie przez państwa członkowskie UE wspólnej decyzji o rozwiązaniu umów intra-EU BIT</w:t>
      </w:r>
      <w:r w:rsidR="00780525">
        <w:rPr>
          <w:color w:val="000000"/>
        </w:rPr>
        <w:t>,</w:t>
      </w:r>
      <w:r w:rsidRPr="0060061D">
        <w:rPr>
          <w:color w:val="000000"/>
        </w:rPr>
        <w:t xml:space="preserve"> bez konieczności zachowania </w:t>
      </w:r>
      <w:r w:rsidR="00DA0829">
        <w:rPr>
          <w:color w:val="000000"/>
        </w:rPr>
        <w:t>klauzul</w:t>
      </w:r>
      <w:r w:rsidR="00F55511">
        <w:rPr>
          <w:color w:val="000000"/>
        </w:rPr>
        <w:t xml:space="preserve"> przedłużonego obowiązywania umowy, </w:t>
      </w:r>
      <w:r w:rsidRPr="0060061D">
        <w:rPr>
          <w:color w:val="000000"/>
        </w:rPr>
        <w:t xml:space="preserve">w oparciu o porozumienie wielostronne, zawarte zgodnie z </w:t>
      </w:r>
      <w:r w:rsidRPr="0060061D">
        <w:rPr>
          <w:i/>
          <w:color w:val="000000"/>
        </w:rPr>
        <w:t>Konwencją wiedeńską o prawie traktatów</w:t>
      </w:r>
      <w:r w:rsidR="00B55EA6">
        <w:rPr>
          <w:i/>
          <w:color w:val="000000"/>
        </w:rPr>
        <w:t>,</w:t>
      </w:r>
      <w:r w:rsidRPr="0060061D">
        <w:rPr>
          <w:i/>
          <w:color w:val="000000"/>
        </w:rPr>
        <w:t xml:space="preserve"> sporządzoną w Wiedniu dnia 23 maja 1969 r.</w:t>
      </w:r>
    </w:p>
    <w:p w:rsidR="00271D07" w:rsidRPr="0060061D" w:rsidRDefault="007A061E" w:rsidP="00634EAF">
      <w:pPr>
        <w:pStyle w:val="Tekstpodstawowywcity3"/>
        <w:spacing w:before="120" w:after="0" w:line="360" w:lineRule="auto"/>
        <w:ind w:left="0"/>
        <w:jc w:val="both"/>
        <w:rPr>
          <w:sz w:val="24"/>
          <w:szCs w:val="24"/>
        </w:rPr>
      </w:pPr>
      <w:r w:rsidRPr="007A061E">
        <w:rPr>
          <w:sz w:val="24"/>
          <w:szCs w:val="24"/>
        </w:rPr>
        <w:t xml:space="preserve">Obecnie jednak z uwagi na brak konsensusu państw członkowskich UE co do celowości i sposobu rozwiązania umów intra-EU BIT zasadne jest przystąpienie RP do realizacji opcji rozwiązania tych umów na podstawie porozumień dwustronnych, które przewidywałyby rezygnację z klauzul przedłużonego obowiązywania umowy. Republika </w:t>
      </w:r>
      <w:r>
        <w:rPr>
          <w:sz w:val="24"/>
          <w:szCs w:val="24"/>
        </w:rPr>
        <w:t xml:space="preserve">Chorwacji </w:t>
      </w:r>
      <w:r w:rsidRPr="007A061E">
        <w:rPr>
          <w:sz w:val="24"/>
          <w:szCs w:val="24"/>
        </w:rPr>
        <w:t>nie jest obecnie zainteresowana rozwiązaniem z RP ww. Umowy, łącznie z ww. klauzulą. Zatem w opinii RP zasadne jest wypowiedzenie Umowy. Zgodnie z art. 13 ust. 1 Umowa może być wypowiedziana przez każdą z Umawiających się Stron z zachowaniem dwunastomiesięcznego</w:t>
      </w:r>
      <w:r w:rsidR="00634EAF">
        <w:rPr>
          <w:sz w:val="24"/>
          <w:szCs w:val="24"/>
        </w:rPr>
        <w:t xml:space="preserve"> okresu wypowiedzenia jedynie w </w:t>
      </w:r>
      <w:r w:rsidRPr="007A061E">
        <w:rPr>
          <w:sz w:val="24"/>
          <w:szCs w:val="24"/>
        </w:rPr>
        <w:t xml:space="preserve">okresie poprzedzającym zakończenie jej dziesięcioletniego cyklu obowiązywania (oświadczenie o wypowiedzeniu Umowy należy złożyć najpóźniej dnia </w:t>
      </w:r>
      <w:r w:rsidR="002408D0">
        <w:rPr>
          <w:sz w:val="24"/>
          <w:szCs w:val="24"/>
        </w:rPr>
        <w:t>4</w:t>
      </w:r>
      <w:r>
        <w:rPr>
          <w:sz w:val="24"/>
          <w:szCs w:val="24"/>
        </w:rPr>
        <w:t xml:space="preserve"> października </w:t>
      </w:r>
      <w:r w:rsidRPr="007A061E">
        <w:rPr>
          <w:sz w:val="24"/>
          <w:szCs w:val="24"/>
        </w:rPr>
        <w:t>2024 r.</w:t>
      </w:r>
      <w:r w:rsidR="00866ECC">
        <w:rPr>
          <w:sz w:val="24"/>
          <w:szCs w:val="24"/>
        </w:rPr>
        <w:t>,</w:t>
      </w:r>
      <w:r w:rsidRPr="007A061E">
        <w:rPr>
          <w:sz w:val="24"/>
          <w:szCs w:val="24"/>
        </w:rPr>
        <w:t xml:space="preserve"> a </w:t>
      </w:r>
      <w:r w:rsidR="00B658F0">
        <w:rPr>
          <w:sz w:val="24"/>
          <w:szCs w:val="24"/>
        </w:rPr>
        <w:t xml:space="preserve">po tym terminie </w:t>
      </w:r>
      <w:r w:rsidRPr="007A061E">
        <w:rPr>
          <w:sz w:val="24"/>
          <w:szCs w:val="24"/>
        </w:rPr>
        <w:t xml:space="preserve">dopiero dnia </w:t>
      </w:r>
      <w:r w:rsidR="002408D0">
        <w:rPr>
          <w:sz w:val="24"/>
          <w:szCs w:val="24"/>
        </w:rPr>
        <w:t>4</w:t>
      </w:r>
      <w:r>
        <w:rPr>
          <w:sz w:val="24"/>
          <w:szCs w:val="24"/>
        </w:rPr>
        <w:t xml:space="preserve"> października </w:t>
      </w:r>
      <w:r w:rsidRPr="007A061E">
        <w:rPr>
          <w:sz w:val="24"/>
          <w:szCs w:val="24"/>
        </w:rPr>
        <w:t xml:space="preserve">2034 r.). Na podstawie art. 13 ust. 2 inwestycje dokonane przed wejściem w życie wypowiedzenia Umowy będą </w:t>
      </w:r>
      <w:r w:rsidRPr="007A061E">
        <w:rPr>
          <w:sz w:val="24"/>
          <w:szCs w:val="24"/>
        </w:rPr>
        <w:lastRenderedPageBreak/>
        <w:t xml:space="preserve">chronione na mocy tej Umowy przez dziesięć lat od czasu wygaśnięcia Umowy. Jednocześnie RP będzie kontynuowała konsultacje z Republiką </w:t>
      </w:r>
      <w:r>
        <w:rPr>
          <w:sz w:val="24"/>
          <w:szCs w:val="24"/>
        </w:rPr>
        <w:t xml:space="preserve">Chorwacji </w:t>
      </w:r>
      <w:r w:rsidRPr="007A061E">
        <w:rPr>
          <w:sz w:val="24"/>
          <w:szCs w:val="24"/>
        </w:rPr>
        <w:t>mające na celu doprowadzenie do rozwiązania Umowy, łącznie z klauzulą przedłużonego obowiązywania umowy. W przypadku uzyskania takiej zgody przed wejściem w życie wypowiedzenia Umowy, RP podejmie działania mające na celu zakończenie obowiązywania Umowy, łącznie z ww. klauzulą.</w:t>
      </w:r>
    </w:p>
    <w:p w:rsidR="00271D07" w:rsidRPr="0060061D" w:rsidRDefault="00271D07" w:rsidP="00634EAF">
      <w:pPr>
        <w:spacing w:before="240" w:line="360" w:lineRule="auto"/>
        <w:ind w:left="350" w:hanging="350"/>
        <w:rPr>
          <w:rFonts w:cs="Arial"/>
          <w:b/>
          <w:color w:val="000000"/>
        </w:rPr>
      </w:pPr>
      <w:r w:rsidRPr="0060061D">
        <w:rPr>
          <w:rFonts w:cs="Arial"/>
          <w:b/>
          <w:color w:val="000000"/>
        </w:rPr>
        <w:t>2.</w:t>
      </w:r>
      <w:r w:rsidR="00634EAF">
        <w:rPr>
          <w:rFonts w:cs="Arial"/>
          <w:b/>
          <w:color w:val="000000"/>
        </w:rPr>
        <w:tab/>
      </w:r>
      <w:r w:rsidRPr="00634EAF">
        <w:rPr>
          <w:b/>
        </w:rPr>
        <w:t>Dotychczasowy</w:t>
      </w:r>
      <w:r w:rsidRPr="0060061D">
        <w:rPr>
          <w:rFonts w:cs="Arial"/>
          <w:b/>
          <w:color w:val="000000"/>
        </w:rPr>
        <w:t xml:space="preserve"> a projektowany stan prawny</w:t>
      </w:r>
    </w:p>
    <w:p w:rsidR="00C60C98" w:rsidRPr="0060061D" w:rsidRDefault="00634EAF" w:rsidP="00634EAF">
      <w:pPr>
        <w:tabs>
          <w:tab w:val="left" w:pos="540"/>
        </w:tabs>
        <w:spacing w:before="120" w:line="360" w:lineRule="auto"/>
        <w:jc w:val="both"/>
      </w:pPr>
      <w:r>
        <w:t>W polsko-</w:t>
      </w:r>
      <w:r w:rsidR="00B876BB">
        <w:t xml:space="preserve">chorwackich </w:t>
      </w:r>
      <w:r w:rsidR="00322249" w:rsidRPr="0060061D">
        <w:t>stosunkach prawno</w:t>
      </w:r>
      <w:r>
        <w:t>-</w:t>
      </w:r>
      <w:r w:rsidR="00322249" w:rsidRPr="0060061D">
        <w:t xml:space="preserve">traktatowych w zakresie współpracy gospodarczej obowiązuje </w:t>
      </w:r>
      <w:r w:rsidR="00DA0829">
        <w:t xml:space="preserve">m.in. </w:t>
      </w:r>
      <w:r w:rsidR="00FC0C80" w:rsidRPr="0060061D">
        <w:t xml:space="preserve">ww. </w:t>
      </w:r>
      <w:r w:rsidR="00DA4F8F" w:rsidRPr="0060061D">
        <w:rPr>
          <w:i/>
          <w:szCs w:val="26"/>
        </w:rPr>
        <w:t xml:space="preserve">Umowa </w:t>
      </w:r>
      <w:r>
        <w:rPr>
          <w:i/>
          <w:szCs w:val="26"/>
        </w:rPr>
        <w:t>między Rzecząpospolitą Polską a </w:t>
      </w:r>
      <w:r w:rsidR="00B876BB" w:rsidRPr="00B876BB">
        <w:rPr>
          <w:i/>
          <w:szCs w:val="26"/>
        </w:rPr>
        <w:t>Republiką Chorwacji w sprawie wzajemnego popierania i ochrony inwestycji, sporządzon</w:t>
      </w:r>
      <w:r w:rsidR="00B876BB">
        <w:rPr>
          <w:i/>
          <w:szCs w:val="26"/>
        </w:rPr>
        <w:t>a</w:t>
      </w:r>
      <w:r w:rsidR="00B876BB" w:rsidRPr="00B876BB">
        <w:rPr>
          <w:i/>
          <w:szCs w:val="26"/>
        </w:rPr>
        <w:t xml:space="preserve"> w Warszawie dnia 21 lutego 1995 r. </w:t>
      </w:r>
      <w:r w:rsidR="00C60C98" w:rsidRPr="0060061D">
        <w:rPr>
          <w:szCs w:val="26"/>
        </w:rPr>
        <w:t xml:space="preserve">Zapewnia ona inwestorowi i jego inwestycjom </w:t>
      </w:r>
      <w:r>
        <w:rPr>
          <w:szCs w:val="26"/>
        </w:rPr>
        <w:t>z państwa</w:t>
      </w:r>
      <w:r w:rsidR="00780525">
        <w:rPr>
          <w:szCs w:val="26"/>
        </w:rPr>
        <w:t>-</w:t>
      </w:r>
      <w:r w:rsidR="0050673E" w:rsidRPr="0060061D">
        <w:rPr>
          <w:szCs w:val="26"/>
        </w:rPr>
        <w:t>S</w:t>
      </w:r>
      <w:r w:rsidR="004053DE" w:rsidRPr="0060061D">
        <w:rPr>
          <w:szCs w:val="26"/>
        </w:rPr>
        <w:t xml:space="preserve">trony </w:t>
      </w:r>
      <w:r w:rsidR="00175C36" w:rsidRPr="0060061D">
        <w:rPr>
          <w:szCs w:val="26"/>
        </w:rPr>
        <w:t>U</w:t>
      </w:r>
      <w:r>
        <w:rPr>
          <w:szCs w:val="26"/>
        </w:rPr>
        <w:t>mowy na terytorium państwa</w:t>
      </w:r>
      <w:r w:rsidR="00780525">
        <w:rPr>
          <w:szCs w:val="26"/>
        </w:rPr>
        <w:t>-</w:t>
      </w:r>
      <w:r w:rsidR="004053DE" w:rsidRPr="0060061D">
        <w:rPr>
          <w:szCs w:val="26"/>
        </w:rPr>
        <w:t xml:space="preserve">drugiej </w:t>
      </w:r>
      <w:r w:rsidR="0050673E" w:rsidRPr="0060061D">
        <w:rPr>
          <w:szCs w:val="26"/>
        </w:rPr>
        <w:t>S</w:t>
      </w:r>
      <w:r w:rsidR="004053DE" w:rsidRPr="0060061D">
        <w:rPr>
          <w:szCs w:val="26"/>
        </w:rPr>
        <w:t xml:space="preserve">trony </w:t>
      </w:r>
      <w:r w:rsidR="00175C36" w:rsidRPr="0060061D">
        <w:rPr>
          <w:szCs w:val="26"/>
        </w:rPr>
        <w:t xml:space="preserve">Umowy </w:t>
      </w:r>
      <w:r w:rsidR="00FC4D37" w:rsidRPr="0060061D">
        <w:rPr>
          <w:szCs w:val="26"/>
        </w:rPr>
        <w:t xml:space="preserve">pełną ochronę </w:t>
      </w:r>
      <w:r w:rsidR="009456A4" w:rsidRPr="0060061D">
        <w:rPr>
          <w:szCs w:val="26"/>
        </w:rPr>
        <w:t>oraz możliwość dochodzenia roszczeń przed międzynarodowym trybunałem inwestycyjnym</w:t>
      </w:r>
      <w:r w:rsidR="00DA0829">
        <w:rPr>
          <w:szCs w:val="26"/>
        </w:rPr>
        <w:t xml:space="preserve"> (arbitrażowym)</w:t>
      </w:r>
      <w:r w:rsidR="009456A4" w:rsidRPr="0060061D">
        <w:rPr>
          <w:szCs w:val="26"/>
        </w:rPr>
        <w:t xml:space="preserve">. Komisja Europejska </w:t>
      </w:r>
      <w:r w:rsidR="00C60C98" w:rsidRPr="0060061D">
        <w:t xml:space="preserve">ma poważne obawy, że </w:t>
      </w:r>
      <w:r w:rsidR="00FC4D37" w:rsidRPr="0060061D">
        <w:t xml:space="preserve">umowy intra-EU BIT jako takie, w tym </w:t>
      </w:r>
      <w:r w:rsidR="00FC0C80" w:rsidRPr="0060061D">
        <w:t xml:space="preserve">ww. </w:t>
      </w:r>
      <w:r w:rsidR="00FC4D37" w:rsidRPr="0060061D">
        <w:t>Umowa</w:t>
      </w:r>
      <w:r w:rsidR="00FC0C80" w:rsidRPr="0060061D">
        <w:t>,</w:t>
      </w:r>
      <w:r w:rsidR="00D24B98" w:rsidRPr="0060061D">
        <w:t xml:space="preserve"> </w:t>
      </w:r>
      <w:r w:rsidR="00C60C98" w:rsidRPr="0060061D">
        <w:t>a także ich poszczególne postanowienia</w:t>
      </w:r>
      <w:r w:rsidR="00FC4D37" w:rsidRPr="0060061D">
        <w:t xml:space="preserve"> </w:t>
      </w:r>
      <w:r w:rsidR="00C60C98" w:rsidRPr="0060061D">
        <w:t xml:space="preserve">pokrywają się z postanowieniami Traktatu o funkcjonowaniu Unii Europejskiej </w:t>
      </w:r>
      <w:r w:rsidR="00DA0829">
        <w:t>lub</w:t>
      </w:r>
      <w:r w:rsidR="00C60C98" w:rsidRPr="0060061D">
        <w:t xml:space="preserve"> mogą być z nimi sprzeczne, w szczególności z zasadami swobody przepływu kapitału, swobody przedsiębiorczości i swobo</w:t>
      </w:r>
      <w:r>
        <w:t>dy świadczenia usług oraz z </w:t>
      </w:r>
      <w:r w:rsidR="00C60C98" w:rsidRPr="0060061D">
        <w:t>podstawowymi zasadami prawa U</w:t>
      </w:r>
      <w:r w:rsidR="00FC4D37" w:rsidRPr="0060061D">
        <w:t xml:space="preserve">E </w:t>
      </w:r>
      <w:r w:rsidR="00C60C98" w:rsidRPr="0060061D">
        <w:t>takimi jak</w:t>
      </w:r>
      <w:r w:rsidR="0059545F" w:rsidRPr="0060061D">
        <w:t>:</w:t>
      </w:r>
      <w:r w:rsidR="00C60C98" w:rsidRPr="0060061D">
        <w:t xml:space="preserve"> zasad</w:t>
      </w:r>
      <w:r w:rsidR="0059545F" w:rsidRPr="0060061D">
        <w:t>a</w:t>
      </w:r>
      <w:r w:rsidR="00C60C98" w:rsidRPr="0060061D">
        <w:t xml:space="preserve"> nadrzędności, jedności</w:t>
      </w:r>
      <w:r w:rsidR="0059545F" w:rsidRPr="0060061D">
        <w:t xml:space="preserve">, </w:t>
      </w:r>
      <w:r w:rsidR="00C60C98" w:rsidRPr="0060061D">
        <w:t xml:space="preserve">skuteczności </w:t>
      </w:r>
      <w:r w:rsidR="0059545F" w:rsidRPr="0060061D">
        <w:t xml:space="preserve">i pewności </w:t>
      </w:r>
      <w:r w:rsidR="00C60C98" w:rsidRPr="0060061D">
        <w:t>prawa U</w:t>
      </w:r>
      <w:r w:rsidR="00FC4D37" w:rsidRPr="0060061D">
        <w:t>E</w:t>
      </w:r>
      <w:r w:rsidR="0059545F" w:rsidRPr="0060061D">
        <w:t xml:space="preserve">. </w:t>
      </w:r>
      <w:r w:rsidR="00C60C98" w:rsidRPr="0060061D">
        <w:t>Komisj</w:t>
      </w:r>
      <w:r w:rsidR="00DA0829">
        <w:t>a</w:t>
      </w:r>
      <w:r w:rsidR="00C60C98" w:rsidRPr="0060061D">
        <w:t xml:space="preserve"> </w:t>
      </w:r>
      <w:r w:rsidR="00FC4D37" w:rsidRPr="0060061D">
        <w:t>Europejsk</w:t>
      </w:r>
      <w:r w:rsidR="00DA0829">
        <w:t xml:space="preserve">a ma </w:t>
      </w:r>
      <w:r w:rsidR="00C60C98" w:rsidRPr="0060061D">
        <w:t xml:space="preserve">również </w:t>
      </w:r>
      <w:r w:rsidR="00DA0829">
        <w:t xml:space="preserve">zastrzeżenia dotyczące </w:t>
      </w:r>
      <w:r w:rsidR="00C60C98" w:rsidRPr="0060061D">
        <w:t xml:space="preserve">kwestii rozstrzygania sporów inwestycyjnych uregulowanej w dwustronnych umowach inwestycyjnych, </w:t>
      </w:r>
      <w:r w:rsidR="0059545F" w:rsidRPr="0060061D">
        <w:t xml:space="preserve">w tym w ww. Umowie, </w:t>
      </w:r>
      <w:r w:rsidR="00C60C98" w:rsidRPr="0060061D">
        <w:t>co</w:t>
      </w:r>
      <w:r w:rsidR="00DA0829">
        <w:t>, zdaniem Komisji Europejskiej</w:t>
      </w:r>
      <w:r w:rsidR="00E458B9">
        <w:t>,</w:t>
      </w:r>
      <w:r w:rsidR="00DA0829">
        <w:t xml:space="preserve"> „</w:t>
      </w:r>
      <w:r w:rsidR="00C60C98" w:rsidRPr="0060061D">
        <w:t>wydaje się być sprzeczne z wyłączną kompetencją sądów UE</w:t>
      </w:r>
      <w:r w:rsidR="00DA0829">
        <w:t>”</w:t>
      </w:r>
      <w:r w:rsidR="00C60C98" w:rsidRPr="0060061D">
        <w:t>.</w:t>
      </w:r>
      <w:r w:rsidR="00FC4D37" w:rsidRPr="0060061D">
        <w:t xml:space="preserve"> </w:t>
      </w:r>
      <w:r w:rsidR="007A061E">
        <w:t xml:space="preserve">Wypowiedzenie Umowy </w:t>
      </w:r>
      <w:r w:rsidR="00FC4D37" w:rsidRPr="0060061D">
        <w:t>pozwoli doprowadzić do zgodnoś</w:t>
      </w:r>
      <w:r>
        <w:t>ci z prawem UE stosunki polsko-</w:t>
      </w:r>
      <w:r w:rsidR="000D0C07">
        <w:t xml:space="preserve">chorwackie </w:t>
      </w:r>
      <w:r w:rsidR="00FC4D37" w:rsidRPr="0060061D">
        <w:t xml:space="preserve">w zakresie współpracy gospodarczej. </w:t>
      </w:r>
    </w:p>
    <w:p w:rsidR="0076189D" w:rsidRDefault="0041618D" w:rsidP="00634EAF">
      <w:pPr>
        <w:widowControl w:val="0"/>
        <w:autoSpaceDE w:val="0"/>
        <w:autoSpaceDN w:val="0"/>
        <w:adjustRightInd w:val="0"/>
        <w:spacing w:before="120" w:line="360" w:lineRule="auto"/>
        <w:jc w:val="both"/>
      </w:pPr>
      <w:r w:rsidRPr="0060061D">
        <w:t xml:space="preserve">Należy też zaznaczyć, że jednocześnie przed Trybunałem Sprawiedliwości UE </w:t>
      </w:r>
      <w:r w:rsidR="0050673E" w:rsidRPr="0060061D">
        <w:t xml:space="preserve">toczy się </w:t>
      </w:r>
      <w:r w:rsidRPr="0060061D">
        <w:t>postępowanie z wniosku sądu niemieckiego o wydanie orzeczenia w trybie prejudycjalnym, sformułowan</w:t>
      </w:r>
      <w:r w:rsidR="003C2FFA">
        <w:t>ego</w:t>
      </w:r>
      <w:r w:rsidRPr="0060061D">
        <w:t xml:space="preserve"> w toku postępowania ze skargi Republiki Słowackiej o uchylenie wyroku sądu arbitrażowego wydanego na podstawie umowy intra-EU BIT zawartej pomiędzy Czechosłowacją i Królestwem Niderlandów w 1991 r.</w:t>
      </w:r>
      <w:r w:rsidR="00B72C2F">
        <w:t>,</w:t>
      </w:r>
      <w:r w:rsidRPr="0060061D">
        <w:t xml:space="preserve"> z powództwa Achmea B.V. przeciwko Republice Słowacji (postępowanie PCA Case No. 2008-13). W tej sprawie sąd niemiecki zwrócił się do TSUE z pytaniem prejudycjalnym dotyczącym tego, czy wykonanie wyroku wydanego na podstawie tej umowy nie </w:t>
      </w:r>
      <w:r w:rsidRPr="0060061D">
        <w:lastRenderedPageBreak/>
        <w:t>naruszałoby postanowień Traktatów dotyczących: zakazu dyskryminacji z art. 18 TFUE (poprzez uprzywilejowanie inwestora z państwa</w:t>
      </w:r>
      <w:r w:rsidR="00780525">
        <w:t>-</w:t>
      </w:r>
      <w:r w:rsidRPr="0060061D">
        <w:t>Strony tej umowy względem inwestora z państwa członkowskiego UE niebędącego stroną tej umowy), wyłącznej jurysdykcji TSUE w sporach objętych zakresem prawa UE (art. 344 TFUE) oraz konieczności ukształtowania postępowania w sposób umożliwiający zadanie przez orzekający sąd pytania prejudycjalnego (art. 267 TFUE). RP przystąpiła do postępowania, przedstawiając stanowisko wskazujące na sprzeczność umów intra-EU BIT z prawem unijnym. Stanowisko zbliżone do RP zajęła Komisja Europe</w:t>
      </w:r>
      <w:r w:rsidR="007A061E">
        <w:t xml:space="preserve">jska i wiele państw regionu. </w:t>
      </w:r>
      <w:r w:rsidR="0076189D">
        <w:t xml:space="preserve">Niezależnie od tego należy podkreślić, że RP, podobnie jak wiele innych państw członkowskich UE, w postępowaniach arbitrażowych toczących się przed trybunałami arbitrażowymi konsekwentnie podnosi, że umowy intra-EU BIT uważa się za sprzeczne z prawem UE. Podnoszona jest także kwestia możliwego wygaśnięcia tych umów na podstawie art. 59 </w:t>
      </w:r>
      <w:r w:rsidR="0076189D">
        <w:rPr>
          <w:i/>
          <w:color w:val="000000"/>
        </w:rPr>
        <w:t xml:space="preserve">Konwencji wiedeńskiej o prawie traktatów, sporządzonej w Wiedniu dnia 23 maja 1969 r. </w:t>
      </w:r>
      <w:r w:rsidR="0076189D">
        <w:t>w związku z zawarciem przez RP Traktatu Akcesyjnego do UE w zakresie, w</w:t>
      </w:r>
      <w:r w:rsidR="00634EAF">
        <w:t xml:space="preserve"> którym umowy te są niezgodne z </w:t>
      </w:r>
      <w:r w:rsidR="0076189D">
        <w:t>prawem UE.</w:t>
      </w:r>
    </w:p>
    <w:p w:rsidR="00271D07" w:rsidRPr="0060061D" w:rsidRDefault="00634EAF" w:rsidP="00634EAF">
      <w:pPr>
        <w:spacing w:before="240" w:line="360" w:lineRule="auto"/>
        <w:ind w:left="350" w:hanging="350"/>
        <w:rPr>
          <w:b/>
        </w:rPr>
      </w:pPr>
      <w:r>
        <w:rPr>
          <w:b/>
        </w:rPr>
        <w:t>3.</w:t>
      </w:r>
      <w:r>
        <w:rPr>
          <w:b/>
        </w:rPr>
        <w:tab/>
      </w:r>
      <w:r w:rsidR="00271D07" w:rsidRPr="0060061D">
        <w:rPr>
          <w:b/>
        </w:rPr>
        <w:t>Przewidywane skutki społeczne, gospodarcze, finansowe, polityczne i prawne</w:t>
      </w:r>
    </w:p>
    <w:p w:rsidR="00D24B98" w:rsidRPr="0060061D" w:rsidRDefault="0091456C" w:rsidP="00634EAF">
      <w:pPr>
        <w:spacing w:before="120" w:line="360" w:lineRule="auto"/>
        <w:jc w:val="both"/>
        <w:rPr>
          <w:b/>
          <w:sz w:val="20"/>
          <w:szCs w:val="20"/>
        </w:rPr>
      </w:pPr>
      <w:r w:rsidRPr="0091456C">
        <w:t xml:space="preserve">Wypowiedzenie Umowy </w:t>
      </w:r>
      <w:r w:rsidR="00684F29" w:rsidRPr="0060061D">
        <w:t>nie powinno mieć konsekwencji politycznych. Państwa członkowskie UE, w tym RP</w:t>
      </w:r>
      <w:r w:rsidR="00B55EA6">
        <w:t>,</w:t>
      </w:r>
      <w:r w:rsidR="00684F29" w:rsidRPr="0060061D">
        <w:t xml:space="preserve"> jak i Republika </w:t>
      </w:r>
      <w:r w:rsidR="00B876BB">
        <w:t>Chorwacji</w:t>
      </w:r>
      <w:r w:rsidR="00DA4F8F" w:rsidRPr="0060061D">
        <w:t xml:space="preserve">, </w:t>
      </w:r>
      <w:r w:rsidR="00684F29" w:rsidRPr="0060061D">
        <w:t xml:space="preserve">zostały wezwane przez Komisję Europejską do </w:t>
      </w:r>
      <w:r w:rsidR="00671318" w:rsidRPr="0060061D">
        <w:t xml:space="preserve">zakończenia obowiązywania </w:t>
      </w:r>
      <w:r w:rsidR="00684F29" w:rsidRPr="0060061D">
        <w:t xml:space="preserve">umów intra-EU BIT. </w:t>
      </w:r>
    </w:p>
    <w:p w:rsidR="00BD2EA8" w:rsidRPr="0060061D" w:rsidRDefault="0091456C" w:rsidP="00634EAF">
      <w:pPr>
        <w:pStyle w:val="Tekstpodstawowy"/>
        <w:spacing w:before="120" w:after="0" w:line="360" w:lineRule="auto"/>
        <w:jc w:val="both"/>
      </w:pPr>
      <w:r w:rsidRPr="0091456C">
        <w:t xml:space="preserve">Wypowiedzenie Umowy </w:t>
      </w:r>
      <w:r w:rsidR="00366190" w:rsidRPr="0060061D">
        <w:t xml:space="preserve">nie będzie miało </w:t>
      </w:r>
      <w:r w:rsidR="00FC4D37" w:rsidRPr="0060061D">
        <w:t xml:space="preserve">negatywnych </w:t>
      </w:r>
      <w:r w:rsidR="00366190" w:rsidRPr="0060061D">
        <w:t xml:space="preserve">skutków </w:t>
      </w:r>
      <w:r w:rsidR="00271D07" w:rsidRPr="0060061D">
        <w:t>społecznych</w:t>
      </w:r>
      <w:r w:rsidR="00FC4D37" w:rsidRPr="0060061D">
        <w:t>, wręcz przeciwnie</w:t>
      </w:r>
      <w:r w:rsidR="00FC0C80" w:rsidRPr="0060061D">
        <w:t>,</w:t>
      </w:r>
      <w:r w:rsidR="00FC4D37" w:rsidRPr="0060061D">
        <w:t xml:space="preserve"> należy oczekiwać, że zostanie ono życzliwie przyjęte z uwagi na publiczną krytykę w Polsce umów intra-EU BIT i międzynarodowego arbitrażu inwestycyjnego. </w:t>
      </w:r>
    </w:p>
    <w:p w:rsidR="00DC156D" w:rsidRPr="0060061D" w:rsidRDefault="0091456C" w:rsidP="00634EAF">
      <w:pPr>
        <w:tabs>
          <w:tab w:val="left" w:pos="720"/>
        </w:tabs>
        <w:autoSpaceDE w:val="0"/>
        <w:autoSpaceDN w:val="0"/>
        <w:adjustRightInd w:val="0"/>
        <w:spacing w:before="120" w:line="360" w:lineRule="auto"/>
        <w:jc w:val="both"/>
      </w:pPr>
      <w:r w:rsidRPr="0091456C">
        <w:t xml:space="preserve">Wypowiedzenie Umowy </w:t>
      </w:r>
      <w:r w:rsidR="00DC156D" w:rsidRPr="0060061D">
        <w:t>nie powinno wpłynąć na stosunki gospodarcze między RP a</w:t>
      </w:r>
      <w:r w:rsidR="00634EAF">
        <w:t> </w:t>
      </w:r>
      <w:r w:rsidR="00DC156D" w:rsidRPr="0060061D">
        <w:t xml:space="preserve">Republiką </w:t>
      </w:r>
      <w:r w:rsidR="00B876BB">
        <w:t>Chorwacji</w:t>
      </w:r>
      <w:r w:rsidR="00DC156D" w:rsidRPr="0060061D">
        <w:t xml:space="preserve">. </w:t>
      </w:r>
      <w:r w:rsidR="00B876BB">
        <w:t>Umowę zawarto w czasie, kiedy ani RP</w:t>
      </w:r>
      <w:r w:rsidR="00780525">
        <w:t>,</w:t>
      </w:r>
      <w:r w:rsidR="00B876BB">
        <w:t xml:space="preserve"> ani Republika Chorwacji nie były członkami UE. Obecnie w obu państwach poziom prawodawstwa oraz dostęp do powszechnego sądownictwa dają inwestorom zagranicznym gwarancję ochrony inwestycji z możliwością dochodzenia swoich praw na drodze sądowej. </w:t>
      </w:r>
    </w:p>
    <w:p w:rsidR="00B876BB" w:rsidRDefault="00C4068A" w:rsidP="00634EAF">
      <w:pPr>
        <w:spacing w:before="120" w:line="360" w:lineRule="auto"/>
        <w:jc w:val="both"/>
      </w:pPr>
      <w:r>
        <w:t>Według NBP b</w:t>
      </w:r>
      <w:r w:rsidR="00ED250B">
        <w:t xml:space="preserve">ezpośrednie inwestycje chorwackie w </w:t>
      </w:r>
      <w:r w:rsidR="00B876BB">
        <w:t xml:space="preserve">RP </w:t>
      </w:r>
      <w:r w:rsidR="00ED250B">
        <w:t>wyniosły na koniec 201</w:t>
      </w:r>
      <w:r w:rsidR="002C336E">
        <w:t>6</w:t>
      </w:r>
      <w:r w:rsidR="00ED250B">
        <w:t xml:space="preserve"> r. </w:t>
      </w:r>
      <w:r w:rsidR="002C336E">
        <w:t xml:space="preserve">22,7 </w:t>
      </w:r>
      <w:r w:rsidR="00B876BB">
        <w:t>mln EUR</w:t>
      </w:r>
      <w:r w:rsidR="00ED250B">
        <w:t>. N</w:t>
      </w:r>
      <w:r w:rsidR="00B876BB">
        <w:t>a</w:t>
      </w:r>
      <w:r w:rsidR="00ED250B">
        <w:t>jwa</w:t>
      </w:r>
      <w:r w:rsidR="00B876BB">
        <w:t xml:space="preserve">żniejsze chorwackie inwestycje w RP to inwestycje firmy farmaceutycznej Pliva (obecnie w składzie koncernu Teva) i producenta przetworów spożywczych Podravka, który jednak zamknął swój zakład w Kostrzyńsko-Słubickiej SSE uruchomiony w okresie przed akcesją Chorwacji do UE. W 2014 r. chorwacka </w:t>
      </w:r>
      <w:r w:rsidR="00B876BB">
        <w:lastRenderedPageBreak/>
        <w:t>grupa Orbico, specjalizująca się w dystrybucji artykułów FMCG, nabyła 70% udziałów w spółce Navo Polska Grupa Dystrybucyjna oraz stała się większościowym udziałowcem w firmie</w:t>
      </w:r>
      <w:r w:rsidR="00634EAF">
        <w:t xml:space="preserve"> Distribev –</w:t>
      </w:r>
      <w:r w:rsidR="00B876BB">
        <w:t xml:space="preserve"> spółce dystrybucyjnej Grupy Żywiec S.A.</w:t>
      </w:r>
    </w:p>
    <w:p w:rsidR="00514BFD" w:rsidRDefault="00B876BB" w:rsidP="00634EAF">
      <w:pPr>
        <w:spacing w:before="120" w:line="360" w:lineRule="auto"/>
        <w:jc w:val="both"/>
      </w:pPr>
      <w:r>
        <w:t>W</w:t>
      </w:r>
      <w:r w:rsidR="00C4068A">
        <w:t>edług NBP w</w:t>
      </w:r>
      <w:r>
        <w:t xml:space="preserve">artość polskich inwestycji </w:t>
      </w:r>
      <w:r w:rsidR="00541FCC">
        <w:t xml:space="preserve">bezpośrednich </w:t>
      </w:r>
      <w:r>
        <w:t xml:space="preserve">w </w:t>
      </w:r>
      <w:r w:rsidR="00427F76">
        <w:t xml:space="preserve">Republice </w:t>
      </w:r>
      <w:r>
        <w:t>Chorwacji na koniec 201</w:t>
      </w:r>
      <w:r w:rsidR="002C336E">
        <w:t>6</w:t>
      </w:r>
      <w:r>
        <w:t xml:space="preserve"> r. wyniosła </w:t>
      </w:r>
      <w:r w:rsidR="002C336E">
        <w:t>138,1</w:t>
      </w:r>
      <w:r>
        <w:t xml:space="preserve"> mln EUR. Są to przede wszystkim wielkopowierzchniowe galerie handlowe zbudowane przez notowaną na Giełdzie Papierów Wartościowych w Warszawie spółkę G</w:t>
      </w:r>
      <w:r w:rsidR="00514BFD">
        <w:t xml:space="preserve">lobe </w:t>
      </w:r>
      <w:r>
        <w:t>T</w:t>
      </w:r>
      <w:r w:rsidR="00514BFD">
        <w:t xml:space="preserve">rade </w:t>
      </w:r>
      <w:r>
        <w:t>C</w:t>
      </w:r>
      <w:r w:rsidR="00514BFD">
        <w:t>entre S.A.</w:t>
      </w:r>
      <w:r w:rsidR="00427F76">
        <w:t xml:space="preserve"> </w:t>
      </w:r>
      <w:r w:rsidR="00634EAF">
        <w:t>(inwestycje w </w:t>
      </w:r>
      <w:r>
        <w:t>dwa centra Handlowe w Zagrzebiu i Osijeku oraz w pole golfowe na półwyspie Istria)</w:t>
      </w:r>
      <w:r w:rsidR="00CB4736">
        <w:t xml:space="preserve">, </w:t>
      </w:r>
      <w:r>
        <w:t>hotel Polmot Holding w miejscowości Lovran</w:t>
      </w:r>
      <w:r w:rsidR="00CB4736">
        <w:t xml:space="preserve">, </w:t>
      </w:r>
      <w:r w:rsidR="00634EAF">
        <w:t>Press Glass S.A. –</w:t>
      </w:r>
      <w:r w:rsidR="00CB4736" w:rsidRPr="00CB4736">
        <w:t xml:space="preserve"> zakład produkcji szkła płaskiego i fasadowego (inwestycja typu </w:t>
      </w:r>
      <w:r w:rsidR="00CB4736" w:rsidRPr="00C4068A">
        <w:rPr>
          <w:i/>
        </w:rPr>
        <w:t>greenfield</w:t>
      </w:r>
      <w:r w:rsidR="00CB4736" w:rsidRPr="00CB4736">
        <w:t xml:space="preserve"> </w:t>
      </w:r>
      <w:r w:rsidR="00634EAF">
        <w:t>rozpoczęta w </w:t>
      </w:r>
      <w:r w:rsidR="00427F76" w:rsidRPr="00CB4736">
        <w:t>2014</w:t>
      </w:r>
      <w:r w:rsidR="00634EAF">
        <w:t> </w:t>
      </w:r>
      <w:r w:rsidR="00427F76">
        <w:t xml:space="preserve">r. </w:t>
      </w:r>
      <w:r w:rsidR="00CB4736" w:rsidRPr="00CB4736">
        <w:t>o docelowej wartości 30 mln EUR), OT Log</w:t>
      </w:r>
      <w:r w:rsidR="00634EAF">
        <w:t>istics S.A. – nabycie za 16 mln </w:t>
      </w:r>
      <w:r w:rsidR="00CB4736" w:rsidRPr="00CB4736">
        <w:t>EUR 22% akcji firmy Luka Rijeka d.d. zarządzającej porte</w:t>
      </w:r>
      <w:r w:rsidR="00634EAF">
        <w:t>m morskim w Rijece, Asseco S.A –</w:t>
      </w:r>
      <w:r w:rsidR="00CB4736" w:rsidRPr="00CB4736">
        <w:t xml:space="preserve"> nabycie kilku chorwackich firm z branży informatycznej za łączną kwotę ponad 26 mln EUR i włączenie ich do grupy Asseco SEE, która jest obecnie na tutejszym rynku liderem w sektorze oprogramowania i usług informatycznych dla sektora bankowego i telekomunikacyjnego. Ponadto swoją sieć sprzedażową posiada tu firma Inter Cars, która zainwestowała w </w:t>
      </w:r>
      <w:r w:rsidR="00427F76">
        <w:t xml:space="preserve">Republice </w:t>
      </w:r>
      <w:r w:rsidR="00CB4736" w:rsidRPr="00CB4736">
        <w:t xml:space="preserve">Chorwacji łącznie 12 mln EUR, stając się największym dystrybutorem części samochodowych. Inwestycje na mniejszą skalę mają w </w:t>
      </w:r>
      <w:r w:rsidR="00427F76">
        <w:t xml:space="preserve">Republice </w:t>
      </w:r>
      <w:r w:rsidR="00CB4736" w:rsidRPr="00CB4736">
        <w:t>Chorwacji także polskie firmy informatyczne Internet Group, Gemius i Veracomp oraz firmy inwestujące w obiekty i działalność turystyczną na wybrzeżu (pensjonaty, mariny, ośrodki nauki nurkowania).</w:t>
      </w:r>
      <w:r>
        <w:t xml:space="preserve"> Pod względem łącznego zaangażowania kapitałowego w </w:t>
      </w:r>
      <w:r w:rsidR="00427F76">
        <w:t xml:space="preserve">Republice </w:t>
      </w:r>
      <w:r>
        <w:t>Chorwacji RP zajmuje obecnie 26</w:t>
      </w:r>
      <w:r w:rsidR="00780525">
        <w:t>.</w:t>
      </w:r>
      <w:r>
        <w:t xml:space="preserve"> pozycję </w:t>
      </w:r>
      <w:r w:rsidR="00A04720">
        <w:t>(</w:t>
      </w:r>
      <w:r>
        <w:t>wyprzedza nas pod tym względem 17 państw UE</w:t>
      </w:r>
      <w:r w:rsidR="00A04720">
        <w:t>)</w:t>
      </w:r>
      <w:r>
        <w:t xml:space="preserve">.  </w:t>
      </w:r>
    </w:p>
    <w:p w:rsidR="0037701E" w:rsidRPr="0060061D" w:rsidRDefault="007A061E" w:rsidP="00634EAF">
      <w:pPr>
        <w:pStyle w:val="Tekstpodstawowy"/>
        <w:spacing w:before="120" w:after="0" w:line="360" w:lineRule="auto"/>
        <w:jc w:val="both"/>
      </w:pPr>
      <w:r>
        <w:t xml:space="preserve">Ówczesne </w:t>
      </w:r>
      <w:r w:rsidR="0037701E" w:rsidRPr="0060061D">
        <w:t>Ministerstwo Rozwoju poinformowało samorządy gospodarcze (Konfederacja Lewiatan, Pracodawcy RP, Krajowa Izb</w:t>
      </w:r>
      <w:r w:rsidR="007306B0">
        <w:t>a</w:t>
      </w:r>
      <w:r w:rsidR="0037701E" w:rsidRPr="0060061D">
        <w:t xml:space="preserve"> Gospodarcza, Polska Rada Bi</w:t>
      </w:r>
      <w:r w:rsidR="00FC0C80" w:rsidRPr="0060061D">
        <w:t>znesu, Business Centr</w:t>
      </w:r>
      <w:r w:rsidR="00B55EA6">
        <w:t>e</w:t>
      </w:r>
      <w:r w:rsidR="00FC0C80" w:rsidRPr="0060061D">
        <w:t xml:space="preserve"> Club) o </w:t>
      </w:r>
      <w:r w:rsidR="005761D9" w:rsidRPr="0060061D">
        <w:t xml:space="preserve">planach </w:t>
      </w:r>
      <w:r w:rsidR="00FC0C80" w:rsidRPr="0060061D">
        <w:t>ro</w:t>
      </w:r>
      <w:r w:rsidR="0037701E" w:rsidRPr="0060061D">
        <w:t>związani</w:t>
      </w:r>
      <w:r w:rsidR="00FC0C80" w:rsidRPr="0060061D">
        <w:t xml:space="preserve">a Umowy </w:t>
      </w:r>
      <w:r w:rsidR="0037701E" w:rsidRPr="0060061D">
        <w:t>i zwrócił</w:t>
      </w:r>
      <w:r w:rsidR="000473AE" w:rsidRPr="0060061D">
        <w:t>o</w:t>
      </w:r>
      <w:r w:rsidR="00634EAF">
        <w:t xml:space="preserve"> się do nich o </w:t>
      </w:r>
      <w:r w:rsidR="0037701E" w:rsidRPr="0060061D">
        <w:t xml:space="preserve">przekazanie odpowiedzi na następujące pytania:  </w:t>
      </w:r>
    </w:p>
    <w:p w:rsidR="0037701E" w:rsidRPr="0060061D" w:rsidRDefault="00634EAF" w:rsidP="00634EAF">
      <w:pPr>
        <w:pStyle w:val="Tekstpodstawowy"/>
        <w:spacing w:after="0" w:line="360" w:lineRule="auto"/>
        <w:ind w:left="308" w:hanging="308"/>
        <w:jc w:val="both"/>
        <w:rPr>
          <w:spacing w:val="4"/>
        </w:rPr>
      </w:pPr>
      <w:r>
        <w:rPr>
          <w:spacing w:val="4"/>
        </w:rPr>
        <w:t>–</w:t>
      </w:r>
      <w:r>
        <w:rPr>
          <w:spacing w:val="4"/>
        </w:rPr>
        <w:tab/>
      </w:r>
      <w:r w:rsidR="0037701E" w:rsidRPr="0060061D">
        <w:rPr>
          <w:spacing w:val="4"/>
        </w:rPr>
        <w:t xml:space="preserve">czy inwestorzy polscy na rynku </w:t>
      </w:r>
      <w:r w:rsidR="00A41CD0">
        <w:rPr>
          <w:spacing w:val="4"/>
        </w:rPr>
        <w:t xml:space="preserve">chorwackim </w:t>
      </w:r>
      <w:r w:rsidR="0037701E" w:rsidRPr="0060061D">
        <w:rPr>
          <w:spacing w:val="4"/>
        </w:rPr>
        <w:t xml:space="preserve">w przypadku ewentualnych działań dyskryminujących ich inwestycje korzystali lub rozważali możliwość wniesienia sporu przeciwko </w:t>
      </w:r>
      <w:r w:rsidR="001F7DEF" w:rsidRPr="0060061D">
        <w:rPr>
          <w:spacing w:val="4"/>
        </w:rPr>
        <w:t xml:space="preserve">Republice </w:t>
      </w:r>
      <w:r w:rsidR="00B876BB">
        <w:rPr>
          <w:spacing w:val="4"/>
        </w:rPr>
        <w:t>Chorwacji</w:t>
      </w:r>
      <w:r w:rsidR="001F7DEF" w:rsidRPr="0060061D">
        <w:rPr>
          <w:spacing w:val="4"/>
        </w:rPr>
        <w:t>?</w:t>
      </w:r>
      <w:r w:rsidR="0037701E" w:rsidRPr="0060061D">
        <w:rPr>
          <w:spacing w:val="4"/>
        </w:rPr>
        <w:t xml:space="preserve"> Czy w takim wypadku korzystali/korzystaliby z postępowania przed sądem powszechnym czy też przed międzynarodowym arbitrażem inwestycyjnym?</w:t>
      </w:r>
    </w:p>
    <w:p w:rsidR="0037701E" w:rsidRPr="0060061D" w:rsidRDefault="00634EAF" w:rsidP="00634EAF">
      <w:pPr>
        <w:pStyle w:val="Tekstpodstawowy"/>
        <w:spacing w:after="0" w:line="360" w:lineRule="auto"/>
        <w:ind w:left="308" w:hanging="308"/>
        <w:jc w:val="both"/>
        <w:rPr>
          <w:spacing w:val="4"/>
        </w:rPr>
      </w:pPr>
      <w:r>
        <w:rPr>
          <w:spacing w:val="4"/>
        </w:rPr>
        <w:lastRenderedPageBreak/>
        <w:t>–</w:t>
      </w:r>
      <w:r>
        <w:rPr>
          <w:spacing w:val="4"/>
        </w:rPr>
        <w:tab/>
      </w:r>
      <w:r w:rsidR="0037701E" w:rsidRPr="0060061D">
        <w:rPr>
          <w:spacing w:val="4"/>
        </w:rPr>
        <w:t xml:space="preserve">czy zdaniem polskich inwestorów ochrona ich inwestycji w regulacjach </w:t>
      </w:r>
      <w:r w:rsidR="005761D9" w:rsidRPr="0060061D">
        <w:rPr>
          <w:spacing w:val="4"/>
        </w:rPr>
        <w:t xml:space="preserve">Republiki </w:t>
      </w:r>
      <w:r w:rsidR="00B876BB">
        <w:rPr>
          <w:spacing w:val="4"/>
        </w:rPr>
        <w:t>Chorwacji</w:t>
      </w:r>
      <w:r w:rsidR="00DC156D" w:rsidRPr="0060061D">
        <w:rPr>
          <w:spacing w:val="4"/>
        </w:rPr>
        <w:t xml:space="preserve"> </w:t>
      </w:r>
      <w:r w:rsidR="0037701E" w:rsidRPr="0060061D">
        <w:rPr>
          <w:spacing w:val="4"/>
        </w:rPr>
        <w:t>oraz w prawie UE jest nie</w:t>
      </w:r>
      <w:r>
        <w:rPr>
          <w:spacing w:val="4"/>
        </w:rPr>
        <w:t>wystarczająca? Jeżeli tak, to w </w:t>
      </w:r>
      <w:r w:rsidR="0037701E" w:rsidRPr="0060061D">
        <w:rPr>
          <w:spacing w:val="4"/>
        </w:rPr>
        <w:t>jakim zakresie?</w:t>
      </w:r>
    </w:p>
    <w:p w:rsidR="0037701E" w:rsidRPr="0060061D" w:rsidRDefault="00634EAF" w:rsidP="00634EAF">
      <w:pPr>
        <w:pStyle w:val="Tekstpodstawowy"/>
        <w:spacing w:after="0" w:line="360" w:lineRule="auto"/>
        <w:ind w:left="308" w:hanging="308"/>
        <w:jc w:val="both"/>
        <w:rPr>
          <w:spacing w:val="4"/>
        </w:rPr>
      </w:pPr>
      <w:r>
        <w:rPr>
          <w:spacing w:val="4"/>
        </w:rPr>
        <w:t>–</w:t>
      </w:r>
      <w:r>
        <w:rPr>
          <w:spacing w:val="4"/>
        </w:rPr>
        <w:tab/>
      </w:r>
      <w:r w:rsidR="0037701E" w:rsidRPr="0060061D">
        <w:rPr>
          <w:spacing w:val="4"/>
        </w:rPr>
        <w:t xml:space="preserve">czy wygaśnięcie </w:t>
      </w:r>
      <w:r w:rsidR="00535BA2" w:rsidRPr="0060061D">
        <w:rPr>
          <w:spacing w:val="4"/>
        </w:rPr>
        <w:t>Umowy p</w:t>
      </w:r>
      <w:r w:rsidR="0037701E" w:rsidRPr="0060061D">
        <w:rPr>
          <w:spacing w:val="4"/>
        </w:rPr>
        <w:t xml:space="preserve">ogorszyłoby warunki prowadzenia działalności gospodarczej </w:t>
      </w:r>
      <w:r w:rsidR="0020279C" w:rsidRPr="0060061D">
        <w:rPr>
          <w:spacing w:val="4"/>
        </w:rPr>
        <w:t xml:space="preserve">w Republice </w:t>
      </w:r>
      <w:r w:rsidR="00B876BB">
        <w:rPr>
          <w:spacing w:val="4"/>
        </w:rPr>
        <w:t>Chorwacji</w:t>
      </w:r>
      <w:r w:rsidR="00DC156D" w:rsidRPr="0060061D">
        <w:rPr>
          <w:spacing w:val="4"/>
        </w:rPr>
        <w:t xml:space="preserve"> </w:t>
      </w:r>
      <w:r w:rsidR="0037701E" w:rsidRPr="0060061D">
        <w:rPr>
          <w:spacing w:val="4"/>
        </w:rPr>
        <w:t>i ochrony praw inwestorów? Jeżeli tak, to w jaki sposób i w jakim stopniu?</w:t>
      </w:r>
    </w:p>
    <w:p w:rsidR="00FF43E9" w:rsidRPr="0060061D" w:rsidRDefault="001F7DEF" w:rsidP="00634EAF">
      <w:pPr>
        <w:autoSpaceDE w:val="0"/>
        <w:autoSpaceDN w:val="0"/>
        <w:adjustRightInd w:val="0"/>
        <w:spacing w:before="120" w:line="360" w:lineRule="auto"/>
        <w:jc w:val="both"/>
        <w:rPr>
          <w:color w:val="000000"/>
        </w:rPr>
      </w:pPr>
      <w:r w:rsidRPr="0060061D">
        <w:t>Samorządy gospodarcze u</w:t>
      </w:r>
      <w:r w:rsidR="00FF43E9" w:rsidRPr="0060061D">
        <w:t>dziel</w:t>
      </w:r>
      <w:r w:rsidRPr="0060061D">
        <w:t xml:space="preserve">iły </w:t>
      </w:r>
      <w:r w:rsidR="007F3CB8" w:rsidRPr="0060061D">
        <w:t xml:space="preserve">ogólnej </w:t>
      </w:r>
      <w:r w:rsidR="00FF43E9" w:rsidRPr="0060061D">
        <w:t xml:space="preserve">odpowiedzi, iż </w:t>
      </w:r>
      <w:r w:rsidR="00FF43E9" w:rsidRPr="0060061D">
        <w:rPr>
          <w:color w:val="000000"/>
        </w:rPr>
        <w:t xml:space="preserve">mimo że inwestorzy nie korzystają z ochrony </w:t>
      </w:r>
      <w:r w:rsidR="007F3CB8" w:rsidRPr="0060061D">
        <w:rPr>
          <w:color w:val="000000"/>
        </w:rPr>
        <w:t xml:space="preserve">przewidzianej </w:t>
      </w:r>
      <w:r w:rsidR="00FF43E9" w:rsidRPr="0060061D">
        <w:rPr>
          <w:color w:val="000000"/>
        </w:rPr>
        <w:t>um</w:t>
      </w:r>
      <w:r w:rsidR="007F3CB8" w:rsidRPr="0060061D">
        <w:rPr>
          <w:color w:val="000000"/>
        </w:rPr>
        <w:t xml:space="preserve">owami </w:t>
      </w:r>
      <w:r w:rsidR="00FF43E9" w:rsidRPr="0060061D">
        <w:rPr>
          <w:color w:val="000000"/>
        </w:rPr>
        <w:t>intra-EU BIT (pozywają państwa przed sądami powszechnymi)</w:t>
      </w:r>
      <w:r w:rsidR="005108B0" w:rsidRPr="0060061D">
        <w:rPr>
          <w:color w:val="000000"/>
        </w:rPr>
        <w:t>,</w:t>
      </w:r>
      <w:r w:rsidR="00FF43E9" w:rsidRPr="0060061D">
        <w:rPr>
          <w:color w:val="000000"/>
        </w:rPr>
        <w:t xml:space="preserve"> powołują się na ich </w:t>
      </w:r>
      <w:r w:rsidR="005108B0" w:rsidRPr="0060061D">
        <w:rPr>
          <w:color w:val="000000"/>
        </w:rPr>
        <w:t xml:space="preserve">obowiązywanie </w:t>
      </w:r>
      <w:r w:rsidR="00FF43E9" w:rsidRPr="0060061D">
        <w:rPr>
          <w:color w:val="000000"/>
        </w:rPr>
        <w:t>w dyskusjach z organami danego kraju przy zaistnieniu sporu. Jeżeli musieliby aktywnie dochodzić swoich roszczeń</w:t>
      </w:r>
      <w:r w:rsidR="00B55EA6">
        <w:rPr>
          <w:color w:val="000000"/>
        </w:rPr>
        <w:t>,</w:t>
      </w:r>
      <w:r w:rsidR="00DA0829">
        <w:rPr>
          <w:color w:val="000000"/>
        </w:rPr>
        <w:t xml:space="preserve"> powołując się na umowy intra-EU BIT</w:t>
      </w:r>
      <w:r w:rsidR="00FF43E9" w:rsidRPr="0060061D">
        <w:rPr>
          <w:color w:val="000000"/>
        </w:rPr>
        <w:t xml:space="preserve">, wybraliby procedurę arbitrażu </w:t>
      </w:r>
      <w:r w:rsidR="00884296" w:rsidRPr="0060061D">
        <w:rPr>
          <w:color w:val="000000"/>
        </w:rPr>
        <w:t xml:space="preserve">na podstawie </w:t>
      </w:r>
      <w:r w:rsidR="00FF43E9" w:rsidRPr="0060061D">
        <w:rPr>
          <w:color w:val="000000"/>
        </w:rPr>
        <w:t>umowy intra-EU BIT</w:t>
      </w:r>
      <w:r w:rsidR="00884296" w:rsidRPr="0060061D">
        <w:rPr>
          <w:color w:val="000000"/>
        </w:rPr>
        <w:t xml:space="preserve"> (</w:t>
      </w:r>
      <w:r w:rsidR="00FF43E9" w:rsidRPr="0060061D">
        <w:rPr>
          <w:color w:val="000000"/>
        </w:rPr>
        <w:t xml:space="preserve">szczególnie </w:t>
      </w:r>
      <w:r w:rsidR="00C908C3" w:rsidRPr="0060061D">
        <w:rPr>
          <w:color w:val="000000"/>
        </w:rPr>
        <w:t xml:space="preserve">fundusze inwestycyjne lokujące aktywa </w:t>
      </w:r>
      <w:r w:rsidR="00634EAF">
        <w:rPr>
          <w:color w:val="000000"/>
        </w:rPr>
        <w:t>w </w:t>
      </w:r>
      <w:r w:rsidR="00FF43E9" w:rsidRPr="0060061D">
        <w:rPr>
          <w:color w:val="000000"/>
        </w:rPr>
        <w:t>instrumenty udziałowe polskich przedsiębiorstw inwestujących w państwa</w:t>
      </w:r>
      <w:r w:rsidR="005070F1" w:rsidRPr="0060061D">
        <w:rPr>
          <w:color w:val="000000"/>
        </w:rPr>
        <w:t>ch</w:t>
      </w:r>
      <w:r w:rsidR="00FF43E9" w:rsidRPr="0060061D">
        <w:rPr>
          <w:color w:val="000000"/>
        </w:rPr>
        <w:t xml:space="preserve"> członkowskich UE</w:t>
      </w:r>
      <w:r w:rsidR="00864D7E" w:rsidRPr="0060061D">
        <w:rPr>
          <w:color w:val="000000"/>
        </w:rPr>
        <w:t>,</w:t>
      </w:r>
      <w:r w:rsidR="00884296" w:rsidRPr="0060061D">
        <w:rPr>
          <w:color w:val="000000"/>
        </w:rPr>
        <w:t xml:space="preserve"> dla których r</w:t>
      </w:r>
      <w:r w:rsidR="00FF43E9" w:rsidRPr="0060061D">
        <w:rPr>
          <w:color w:val="000000"/>
        </w:rPr>
        <w:t xml:space="preserve">ozwiązanie umów mogłoby mieć bezpośredni wpływ na ocenę ryzyka związaną z inwestowaniem). </w:t>
      </w:r>
      <w:r w:rsidR="00FB30CC" w:rsidRPr="0060061D">
        <w:rPr>
          <w:color w:val="000000"/>
        </w:rPr>
        <w:t>Główną b</w:t>
      </w:r>
      <w:r w:rsidR="00FF43E9" w:rsidRPr="0060061D">
        <w:rPr>
          <w:color w:val="000000"/>
        </w:rPr>
        <w:t>arierą w korzystaniu z arbitrażu są jego wysokie koszty</w:t>
      </w:r>
      <w:r w:rsidR="00FB30CC" w:rsidRPr="0060061D">
        <w:rPr>
          <w:color w:val="000000"/>
        </w:rPr>
        <w:t xml:space="preserve">. </w:t>
      </w:r>
      <w:r w:rsidR="00FF43E9" w:rsidRPr="0060061D">
        <w:rPr>
          <w:color w:val="000000"/>
        </w:rPr>
        <w:t xml:space="preserve">Prawo materialne w </w:t>
      </w:r>
      <w:r w:rsidR="00A873F2" w:rsidRPr="0060061D">
        <w:rPr>
          <w:color w:val="000000"/>
        </w:rPr>
        <w:t>państwach członkowskich UE o</w:t>
      </w:r>
      <w:r w:rsidR="00FF43E9" w:rsidRPr="0060061D">
        <w:rPr>
          <w:color w:val="000000"/>
        </w:rPr>
        <w:t xml:space="preserve">raz na poziomie UE zawiera niezbędne standardy gwarantujące zagranicznym inwestorom równe i sprawiedliwe traktowanie, </w:t>
      </w:r>
      <w:r w:rsidR="00A873F2" w:rsidRPr="0060061D">
        <w:rPr>
          <w:color w:val="000000"/>
        </w:rPr>
        <w:t xml:space="preserve">natomiast </w:t>
      </w:r>
      <w:r w:rsidR="00FF43E9" w:rsidRPr="0060061D">
        <w:rPr>
          <w:color w:val="000000"/>
        </w:rPr>
        <w:t>problemem jest egzekwowanie tego prawa. Wskazywano na czasochłonność procedur, brak profesjonalizmu i obiektywizmu w podejmowaniu decyzji przez właściwe organy</w:t>
      </w:r>
      <w:r w:rsidR="00A873F2" w:rsidRPr="0060061D">
        <w:rPr>
          <w:color w:val="000000"/>
        </w:rPr>
        <w:t xml:space="preserve">. </w:t>
      </w:r>
      <w:r w:rsidR="00FF43E9" w:rsidRPr="0060061D">
        <w:rPr>
          <w:color w:val="000000"/>
        </w:rPr>
        <w:t>Zdaniem polskich inwestorów międzyn</w:t>
      </w:r>
      <w:r w:rsidR="00A873F2" w:rsidRPr="0060061D">
        <w:rPr>
          <w:color w:val="000000"/>
        </w:rPr>
        <w:t>a</w:t>
      </w:r>
      <w:r w:rsidR="00FF43E9" w:rsidRPr="0060061D">
        <w:rPr>
          <w:color w:val="000000"/>
        </w:rPr>
        <w:t>rod</w:t>
      </w:r>
      <w:r w:rsidR="00A873F2" w:rsidRPr="0060061D">
        <w:rPr>
          <w:color w:val="000000"/>
        </w:rPr>
        <w:t>o</w:t>
      </w:r>
      <w:r w:rsidR="00FF43E9" w:rsidRPr="0060061D">
        <w:rPr>
          <w:color w:val="000000"/>
        </w:rPr>
        <w:t xml:space="preserve">wy arbitraż inwestycyjny pozwala prowadzić </w:t>
      </w:r>
      <w:r w:rsidR="00A873F2" w:rsidRPr="0060061D">
        <w:rPr>
          <w:color w:val="000000"/>
        </w:rPr>
        <w:t>postępowanie</w:t>
      </w:r>
      <w:r w:rsidR="00FF43E9" w:rsidRPr="0060061D">
        <w:rPr>
          <w:color w:val="000000"/>
        </w:rPr>
        <w:t xml:space="preserve"> w sposób odformalizowany, elasty</w:t>
      </w:r>
      <w:r w:rsidR="00C908C3" w:rsidRPr="0060061D">
        <w:rPr>
          <w:color w:val="000000"/>
        </w:rPr>
        <w:t>czny i neutralny</w:t>
      </w:r>
      <w:r w:rsidR="00A873F2" w:rsidRPr="0060061D">
        <w:rPr>
          <w:color w:val="000000"/>
        </w:rPr>
        <w:t xml:space="preserve">. </w:t>
      </w:r>
      <w:r w:rsidR="00FF43E9" w:rsidRPr="0060061D">
        <w:rPr>
          <w:color w:val="000000"/>
        </w:rPr>
        <w:t xml:space="preserve">Generalnie zdaniem </w:t>
      </w:r>
      <w:r w:rsidR="00864D7E" w:rsidRPr="0060061D">
        <w:rPr>
          <w:color w:val="000000"/>
        </w:rPr>
        <w:t xml:space="preserve">samorządów gospodarczych i </w:t>
      </w:r>
      <w:r w:rsidR="00FF43E9" w:rsidRPr="0060061D">
        <w:rPr>
          <w:color w:val="000000"/>
        </w:rPr>
        <w:t xml:space="preserve">polskich przedsiębiorców dla ich bezpieczeństwa i ekspansji umowy intra-EU </w:t>
      </w:r>
      <w:r w:rsidR="001C5C29">
        <w:rPr>
          <w:color w:val="000000"/>
        </w:rPr>
        <w:t xml:space="preserve">BIT </w:t>
      </w:r>
      <w:r w:rsidR="00FF43E9" w:rsidRPr="0060061D">
        <w:rPr>
          <w:color w:val="000000"/>
        </w:rPr>
        <w:t xml:space="preserve">są </w:t>
      </w:r>
      <w:r w:rsidR="00F13BB2" w:rsidRPr="0060061D">
        <w:rPr>
          <w:color w:val="000000"/>
        </w:rPr>
        <w:t xml:space="preserve">pożądane. </w:t>
      </w:r>
      <w:r w:rsidR="00864D7E" w:rsidRPr="0060061D">
        <w:rPr>
          <w:color w:val="000000"/>
        </w:rPr>
        <w:t xml:space="preserve">Tym niemniej </w:t>
      </w:r>
      <w:r w:rsidR="00FB30CC" w:rsidRPr="0060061D">
        <w:rPr>
          <w:color w:val="000000"/>
        </w:rPr>
        <w:t xml:space="preserve">samorządy gospodarcze </w:t>
      </w:r>
      <w:r w:rsidR="00F13BB2" w:rsidRPr="0060061D">
        <w:rPr>
          <w:color w:val="000000"/>
        </w:rPr>
        <w:t>odnotowują stanowisko K</w:t>
      </w:r>
      <w:r w:rsidR="00DA0829">
        <w:rPr>
          <w:color w:val="000000"/>
        </w:rPr>
        <w:t xml:space="preserve">omisji </w:t>
      </w:r>
      <w:r w:rsidR="00F13BB2" w:rsidRPr="0060061D">
        <w:rPr>
          <w:color w:val="000000"/>
        </w:rPr>
        <w:t>E</w:t>
      </w:r>
      <w:r w:rsidR="00DA0829">
        <w:rPr>
          <w:color w:val="000000"/>
        </w:rPr>
        <w:t>uropejskiej</w:t>
      </w:r>
      <w:r w:rsidR="00F13BB2" w:rsidRPr="0060061D">
        <w:rPr>
          <w:color w:val="000000"/>
        </w:rPr>
        <w:t xml:space="preserve"> wobec umów intra-EU BIT i wszczęte przez nią postępowania. </w:t>
      </w:r>
    </w:p>
    <w:p w:rsidR="0050673E" w:rsidRPr="0060061D" w:rsidRDefault="00B876BB" w:rsidP="00634EAF">
      <w:pPr>
        <w:spacing w:before="120" w:line="360" w:lineRule="auto"/>
        <w:jc w:val="both"/>
        <w:rPr>
          <w:spacing w:val="4"/>
        </w:rPr>
      </w:pPr>
      <w:r>
        <w:t xml:space="preserve">Z informacji posiadanych przez Ministerstwo </w:t>
      </w:r>
      <w:r w:rsidR="007A061E">
        <w:t xml:space="preserve">Przedsiębiorczości i Technologii </w:t>
      </w:r>
      <w:r>
        <w:t>wynika, że zarówno polscy</w:t>
      </w:r>
      <w:r w:rsidR="00780525">
        <w:t>,</w:t>
      </w:r>
      <w:r>
        <w:t xml:space="preserve"> jak i chorwaccy inwestorzy nie kierowali, na podstawie ww. Umowy, roszczeń do międzynarodowych trybunałów arbitrażowych przeciwko, odpowiednio, Republice Chorwacji i RP. </w:t>
      </w:r>
      <w:r w:rsidR="00535BA2" w:rsidRPr="0060061D">
        <w:t>Generalnie o</w:t>
      </w:r>
      <w:r w:rsidR="00F13BB2" w:rsidRPr="0060061D">
        <w:t xml:space="preserve">dnotowano tylko </w:t>
      </w:r>
      <w:r w:rsidR="00684F29" w:rsidRPr="0060061D">
        <w:t>trzy</w:t>
      </w:r>
      <w:r w:rsidR="00F13BB2" w:rsidRPr="0060061D">
        <w:t xml:space="preserve"> przypadki skorzystania przez polskich inwestorów z ochrony przewidzianej umowami intra-EU BIT</w:t>
      </w:r>
      <w:r w:rsidR="0077398D" w:rsidRPr="0060061D">
        <w:t xml:space="preserve"> </w:t>
      </w:r>
      <w:r w:rsidR="005D1B80" w:rsidRPr="0060061D">
        <w:t xml:space="preserve">przed międzynarodowymi trybunałami arbitrażowymi </w:t>
      </w:r>
      <w:r w:rsidR="0077398D" w:rsidRPr="0060061D">
        <w:t>(</w:t>
      </w:r>
      <w:r w:rsidR="00684F29" w:rsidRPr="0060061D">
        <w:t>na podstawie umów intra</w:t>
      </w:r>
      <w:r w:rsidR="00634EAF">
        <w:noBreakHyphen/>
      </w:r>
      <w:r w:rsidR="00684F29" w:rsidRPr="0060061D">
        <w:t xml:space="preserve">EU BIT z Rumunią – przed przystąpieniem Rumunii do UE, Słowacją i Cyprem). </w:t>
      </w:r>
      <w:r w:rsidR="0077398D" w:rsidRPr="0060061D">
        <w:rPr>
          <w:color w:val="000000"/>
        </w:rPr>
        <w:lastRenderedPageBreak/>
        <w:t>Zgodnie z informacjami przekazanymi przez P</w:t>
      </w:r>
      <w:r w:rsidR="007A061E">
        <w:rPr>
          <w:color w:val="000000"/>
        </w:rPr>
        <w:t xml:space="preserve">rokuratorię </w:t>
      </w:r>
      <w:r w:rsidR="0077398D" w:rsidRPr="0060061D">
        <w:rPr>
          <w:color w:val="000000"/>
        </w:rPr>
        <w:t>G</w:t>
      </w:r>
      <w:r w:rsidR="007A061E">
        <w:rPr>
          <w:color w:val="000000"/>
        </w:rPr>
        <w:t xml:space="preserve">eneralną </w:t>
      </w:r>
      <w:r w:rsidR="0077398D" w:rsidRPr="0060061D">
        <w:rPr>
          <w:color w:val="000000"/>
        </w:rPr>
        <w:t xml:space="preserve">RP na dwadzieścia </w:t>
      </w:r>
      <w:r w:rsidR="005622FC">
        <w:rPr>
          <w:color w:val="000000"/>
        </w:rPr>
        <w:t xml:space="preserve">sześć </w:t>
      </w:r>
      <w:r w:rsidR="0077398D" w:rsidRPr="0060061D">
        <w:t>postępowa</w:t>
      </w:r>
      <w:r w:rsidR="005622FC">
        <w:t xml:space="preserve">ń </w:t>
      </w:r>
      <w:r w:rsidR="0077398D" w:rsidRPr="0060061D">
        <w:t>arbitrażow</w:t>
      </w:r>
      <w:r w:rsidR="005622FC">
        <w:t>ych</w:t>
      </w:r>
      <w:r w:rsidR="0077398D" w:rsidRPr="0060061D">
        <w:t>, w których P</w:t>
      </w:r>
      <w:r w:rsidR="00026112">
        <w:t xml:space="preserve">rokuratoria </w:t>
      </w:r>
      <w:r w:rsidR="0077398D" w:rsidRPr="0060061D">
        <w:t>G</w:t>
      </w:r>
      <w:r w:rsidR="00026112">
        <w:t xml:space="preserve">eneralna </w:t>
      </w:r>
      <w:r w:rsidR="0077398D" w:rsidRPr="0060061D">
        <w:t xml:space="preserve">RP </w:t>
      </w:r>
      <w:r w:rsidR="00C34B45" w:rsidRPr="0060061D">
        <w:t xml:space="preserve">od 2006 r. </w:t>
      </w:r>
      <w:r w:rsidR="0077398D" w:rsidRPr="0060061D">
        <w:t xml:space="preserve">wykonywała lub wykonuje zastępstwo procesowe RP, </w:t>
      </w:r>
      <w:r w:rsidR="005622FC">
        <w:t xml:space="preserve">szesnaście </w:t>
      </w:r>
      <w:r w:rsidR="0077398D" w:rsidRPr="0060061D">
        <w:t>dotyczyło lub dotyczy sporów wniesionych przez inwestorów zagranicznych na podstawie umów intra-EU BIT (zawartych z Austrią, Francją, Niemc</w:t>
      </w:r>
      <w:r w:rsidR="00634EAF">
        <w:t>ami, Cyprem, Holandią, Belgią i </w:t>
      </w:r>
      <w:r w:rsidR="0077398D" w:rsidRPr="0060061D">
        <w:t>Luksemburgiem, Republiką Czeską</w:t>
      </w:r>
      <w:r w:rsidR="005A2427">
        <w:t>, Wielką Brytanią</w:t>
      </w:r>
      <w:r w:rsidR="0077398D" w:rsidRPr="0060061D">
        <w:t xml:space="preserve">). Mimo dużego odsetka wygrywanych spraw </w:t>
      </w:r>
      <w:r w:rsidR="001F7DEF" w:rsidRPr="0060061D">
        <w:t xml:space="preserve">(w </w:t>
      </w:r>
      <w:r w:rsidR="0077398D" w:rsidRPr="0060061D">
        <w:t xml:space="preserve">tym ugody) Polska ponosi </w:t>
      </w:r>
      <w:r w:rsidR="00C34B45" w:rsidRPr="0060061D">
        <w:t xml:space="preserve">wysokie </w:t>
      </w:r>
      <w:r w:rsidR="0077398D" w:rsidRPr="0060061D">
        <w:t>koszty postępowań arbitrażowych</w:t>
      </w:r>
      <w:r w:rsidR="00864D7E" w:rsidRPr="0060061D">
        <w:t xml:space="preserve">: </w:t>
      </w:r>
      <w:r w:rsidR="00864D7E" w:rsidRPr="0060061D">
        <w:rPr>
          <w:spacing w:val="4"/>
        </w:rPr>
        <w:t xml:space="preserve">zaliczki na koszty postępowania (w tym wynagrodzenie arbitrów), opinie biegłych, zorganizowanie rozpraw, tłumaczenia, udział świadków oraz koszty zastępstwa procesowego. </w:t>
      </w:r>
      <w:r w:rsidR="0050673E" w:rsidRPr="0060061D">
        <w:rPr>
          <w:spacing w:val="4"/>
        </w:rPr>
        <w:t>Zgodnie z informacjami byłego M</w:t>
      </w:r>
      <w:r w:rsidR="00026112">
        <w:rPr>
          <w:spacing w:val="4"/>
        </w:rPr>
        <w:t xml:space="preserve">inisterstwa </w:t>
      </w:r>
      <w:r w:rsidR="0050673E" w:rsidRPr="0060061D">
        <w:rPr>
          <w:spacing w:val="4"/>
        </w:rPr>
        <w:t>S</w:t>
      </w:r>
      <w:r w:rsidR="00026112">
        <w:rPr>
          <w:spacing w:val="4"/>
        </w:rPr>
        <w:t xml:space="preserve">karbu </w:t>
      </w:r>
      <w:r w:rsidR="0050673E" w:rsidRPr="0060061D">
        <w:rPr>
          <w:spacing w:val="4"/>
        </w:rPr>
        <w:t>P</w:t>
      </w:r>
      <w:r w:rsidR="00026112">
        <w:rPr>
          <w:spacing w:val="4"/>
        </w:rPr>
        <w:t>aństwa</w:t>
      </w:r>
      <w:r w:rsidR="0050673E" w:rsidRPr="0060061D">
        <w:rPr>
          <w:spacing w:val="4"/>
        </w:rPr>
        <w:t xml:space="preserve">, RP w związku z postępowaniami arbitrażowymi poniosła od 2006 r. koszty w wysokości ok. 53 mln PLN. </w:t>
      </w:r>
      <w:r w:rsidR="0091456C" w:rsidRPr="0091456C">
        <w:rPr>
          <w:spacing w:val="4"/>
        </w:rPr>
        <w:t xml:space="preserve">Wypowiedzenie Umowy </w:t>
      </w:r>
      <w:r w:rsidR="0050673E" w:rsidRPr="0060061D">
        <w:rPr>
          <w:spacing w:val="4"/>
        </w:rPr>
        <w:t xml:space="preserve">może </w:t>
      </w:r>
      <w:r w:rsidR="00DA0829">
        <w:rPr>
          <w:spacing w:val="4"/>
        </w:rPr>
        <w:t xml:space="preserve">więc </w:t>
      </w:r>
      <w:r w:rsidR="0050673E" w:rsidRPr="0060061D">
        <w:rPr>
          <w:spacing w:val="4"/>
        </w:rPr>
        <w:t xml:space="preserve">potencjalnie istotnie zmniejszyć obciążenie państwa pod względem finansowym, ponieważ </w:t>
      </w:r>
      <w:r w:rsidR="00DA0829">
        <w:rPr>
          <w:spacing w:val="4"/>
        </w:rPr>
        <w:t>nie będzie zachodzić konieczność ponoszenia znacz</w:t>
      </w:r>
      <w:r w:rsidR="00634EAF">
        <w:rPr>
          <w:spacing w:val="4"/>
        </w:rPr>
        <w:t>ących kosztów, o których mowa w </w:t>
      </w:r>
      <w:r w:rsidR="00DA0829">
        <w:rPr>
          <w:spacing w:val="4"/>
        </w:rPr>
        <w:t xml:space="preserve">zdaniu poprzedzającym. </w:t>
      </w:r>
    </w:p>
    <w:p w:rsidR="00EB0A21" w:rsidRPr="0060061D" w:rsidRDefault="00F55511" w:rsidP="00634EAF">
      <w:pPr>
        <w:pStyle w:val="Tekstpodstawowy"/>
        <w:spacing w:before="120" w:after="0" w:line="360" w:lineRule="auto"/>
        <w:jc w:val="both"/>
      </w:pPr>
      <w:r>
        <w:t>Wypowiedzenie Umowy</w:t>
      </w:r>
      <w:r w:rsidR="00366190" w:rsidRPr="0060061D">
        <w:t xml:space="preserve"> n</w:t>
      </w:r>
      <w:r w:rsidR="00271D07" w:rsidRPr="0060061D">
        <w:t xml:space="preserve">ie naruszy polskiego porządku </w:t>
      </w:r>
      <w:r w:rsidR="00271D07" w:rsidRPr="0060061D">
        <w:rPr>
          <w:bCs/>
        </w:rPr>
        <w:t>prawnego</w:t>
      </w:r>
      <w:r w:rsidR="0037701E" w:rsidRPr="0060061D">
        <w:rPr>
          <w:bCs/>
        </w:rPr>
        <w:t xml:space="preserve"> i </w:t>
      </w:r>
      <w:r w:rsidR="005D7459" w:rsidRPr="0060061D">
        <w:t>doprowadzi do usunięcia niezgodności Umowy z prawem UE</w:t>
      </w:r>
      <w:r w:rsidR="00026112">
        <w:t xml:space="preserve"> </w:t>
      </w:r>
      <w:r w:rsidR="00026112" w:rsidRPr="00026112">
        <w:t>po dzie</w:t>
      </w:r>
      <w:r w:rsidR="00634EAF">
        <w:t>sięciu latach od daty wejścia w </w:t>
      </w:r>
      <w:r w:rsidR="00026112" w:rsidRPr="00026112">
        <w:t>życie wypowiedzenia Umowy.</w:t>
      </w:r>
      <w:r w:rsidR="00026112">
        <w:t xml:space="preserve"> </w:t>
      </w:r>
    </w:p>
    <w:p w:rsidR="00271D07" w:rsidRPr="0060061D" w:rsidRDefault="00634EAF" w:rsidP="00634EAF">
      <w:pPr>
        <w:spacing w:before="240" w:line="360" w:lineRule="auto"/>
        <w:ind w:left="350" w:hanging="350"/>
        <w:rPr>
          <w:b/>
        </w:rPr>
      </w:pPr>
      <w:r>
        <w:rPr>
          <w:b/>
        </w:rPr>
        <w:t>4.</w:t>
      </w:r>
      <w:r>
        <w:rPr>
          <w:b/>
        </w:rPr>
        <w:tab/>
      </w:r>
      <w:r w:rsidR="00271D07" w:rsidRPr="0060061D">
        <w:rPr>
          <w:b/>
        </w:rPr>
        <w:t xml:space="preserve">Tryb </w:t>
      </w:r>
      <w:r w:rsidR="00B55EA6">
        <w:rPr>
          <w:b/>
        </w:rPr>
        <w:t>wypowiedzenia Umowy</w:t>
      </w:r>
      <w:r w:rsidR="007306B0">
        <w:rPr>
          <w:b/>
        </w:rPr>
        <w:t xml:space="preserve"> </w:t>
      </w:r>
    </w:p>
    <w:p w:rsidR="00F65D05" w:rsidRDefault="00E50F21" w:rsidP="00634EAF">
      <w:pPr>
        <w:spacing w:before="120" w:line="360" w:lineRule="auto"/>
        <w:jc w:val="both"/>
      </w:pPr>
      <w:r>
        <w:t xml:space="preserve">Wypowiadana Umowa </w:t>
      </w:r>
      <w:r w:rsidR="0050673E" w:rsidRPr="0060061D">
        <w:t xml:space="preserve">ma rangę umowy międzypaństwowej. </w:t>
      </w:r>
      <w:r>
        <w:t>Wypowiadana</w:t>
      </w:r>
      <w:r w:rsidR="0050673E" w:rsidRPr="0060061D">
        <w:t xml:space="preserve"> Umowa jest traktowana w polskim porządku prawnym jako umowa ratyfikowana za uprzednią zgodą wyrażoną w ustawie, stosownie do art. 241 ust. 1 ustawy z dnia 2 kwietni</w:t>
      </w:r>
      <w:r w:rsidR="00634EAF">
        <w:t>a 1997 </w:t>
      </w:r>
      <w:r w:rsidR="0050673E" w:rsidRPr="0060061D">
        <w:t xml:space="preserve">r. </w:t>
      </w:r>
      <w:r w:rsidR="00634EAF">
        <w:t>–</w:t>
      </w:r>
      <w:r w:rsidR="0050673E" w:rsidRPr="0060061D">
        <w:t xml:space="preserve"> Konstytucja Rzeczypospolitej Polskiej (Dz. U. poz. 483, z późn. zm.). </w:t>
      </w:r>
      <w:r w:rsidR="002D34BF" w:rsidRPr="002D34BF">
        <w:t xml:space="preserve">Dlatego też </w:t>
      </w:r>
      <w:r>
        <w:t>wypowiedzenie Umowy</w:t>
      </w:r>
      <w:r w:rsidR="002D34BF" w:rsidRPr="002D34BF">
        <w:t xml:space="preserve"> nastąpi również za uprzednią zgodą wyrażoną w ustawie, tym bardziej że </w:t>
      </w:r>
      <w:r>
        <w:t>Umowa</w:t>
      </w:r>
      <w:r w:rsidR="002D34BF" w:rsidRPr="002D34BF">
        <w:t xml:space="preserve"> dotyczy wolności, praw i obowiązków obywatelskich (w zakresie wygaszania prawa do kierowania skargi do międzynarodowego arbitrażu inwestycyjnego), spraw uregulowanych w ustawie lub w których Konstytucja RP wymaga ustawy (zasady prowadzenia działalności gospodarczej, ochrona prawa własności, kwestia wywłaszczenia oraz odszkodowania w tym zakresie), a więc spraw, o których mowa w art. 89 ust. </w:t>
      </w:r>
      <w:r w:rsidR="00E36F03">
        <w:t xml:space="preserve">1 </w:t>
      </w:r>
      <w:r w:rsidR="002D34BF" w:rsidRPr="002D34BF">
        <w:t>pkt 2 i 5 Konstytucji RP.</w:t>
      </w:r>
    </w:p>
    <w:sectPr w:rsidR="00F65D05" w:rsidSect="00634EAF">
      <w:footerReference w:type="even" r:id="rId9"/>
      <w:footerReference w:type="default" r:id="rId10"/>
      <w:pgSz w:w="11906" w:h="16838" w:code="9"/>
      <w:pgMar w:top="1531" w:right="1418" w:bottom="130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BBC" w:rsidRDefault="00A22BBC">
      <w:r>
        <w:separator/>
      </w:r>
    </w:p>
  </w:endnote>
  <w:endnote w:type="continuationSeparator" w:id="0">
    <w:p w:rsidR="00A22BBC" w:rsidRDefault="00A22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C20" w:rsidRDefault="00455C20"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455C20" w:rsidRDefault="00455C2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C20" w:rsidRDefault="00455C20"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8B6528">
      <w:rPr>
        <w:rStyle w:val="Numerstrony"/>
        <w:noProof/>
      </w:rPr>
      <w:t>1</w:t>
    </w:r>
    <w:r>
      <w:rPr>
        <w:rStyle w:val="Numerstrony"/>
      </w:rPr>
      <w:fldChar w:fldCharType="end"/>
    </w:r>
  </w:p>
  <w:p w:rsidR="00455C20" w:rsidRDefault="00455C2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BBC" w:rsidRDefault="00A22BBC">
      <w:r>
        <w:separator/>
      </w:r>
    </w:p>
  </w:footnote>
  <w:footnote w:type="continuationSeparator" w:id="0">
    <w:p w:rsidR="00A22BBC" w:rsidRDefault="00A22B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47F0B"/>
    <w:multiLevelType w:val="hybridMultilevel"/>
    <w:tmpl w:val="DEA6222A"/>
    <w:lvl w:ilvl="0" w:tplc="091A99B4">
      <w:start w:val="1"/>
      <w:numFmt w:val="decimal"/>
      <w:lvlText w:val="%1)"/>
      <w:lvlJc w:val="left"/>
      <w:pPr>
        <w:tabs>
          <w:tab w:val="num" w:pos="599"/>
        </w:tabs>
        <w:ind w:left="599" w:hanging="360"/>
      </w:pPr>
      <w:rPr>
        <w:rFonts w:ascii="Times New Roman" w:eastAsia="Times New Roman" w:hAnsi="Times New Roman" w:cs="Times New Roman"/>
        <w:sz w:val="24"/>
        <w:szCs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65C16B20"/>
    <w:multiLevelType w:val="hybridMultilevel"/>
    <w:tmpl w:val="10BC739E"/>
    <w:lvl w:ilvl="0" w:tplc="203E714C">
      <w:start w:val="1"/>
      <w:numFmt w:val="decimal"/>
      <w:lvlText w:val="%1)"/>
      <w:lvlJc w:val="left"/>
      <w:pPr>
        <w:tabs>
          <w:tab w:val="num" w:pos="750"/>
        </w:tabs>
        <w:ind w:left="750" w:hanging="39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D07"/>
    <w:rsid w:val="00002433"/>
    <w:rsid w:val="00002FFC"/>
    <w:rsid w:val="00004B21"/>
    <w:rsid w:val="00010634"/>
    <w:rsid w:val="00010C00"/>
    <w:rsid w:val="00012A9C"/>
    <w:rsid w:val="0001527C"/>
    <w:rsid w:val="00015AE9"/>
    <w:rsid w:val="00017829"/>
    <w:rsid w:val="00017AE9"/>
    <w:rsid w:val="00026112"/>
    <w:rsid w:val="00036B27"/>
    <w:rsid w:val="00037C3F"/>
    <w:rsid w:val="0004502C"/>
    <w:rsid w:val="00045606"/>
    <w:rsid w:val="000473AE"/>
    <w:rsid w:val="00050884"/>
    <w:rsid w:val="00060C35"/>
    <w:rsid w:val="000634CE"/>
    <w:rsid w:val="000643E1"/>
    <w:rsid w:val="00065E0A"/>
    <w:rsid w:val="00082329"/>
    <w:rsid w:val="00082D2F"/>
    <w:rsid w:val="00086877"/>
    <w:rsid w:val="00094F33"/>
    <w:rsid w:val="000954BF"/>
    <w:rsid w:val="000B1110"/>
    <w:rsid w:val="000B331A"/>
    <w:rsid w:val="000D0C07"/>
    <w:rsid w:val="000D7C4E"/>
    <w:rsid w:val="000E683B"/>
    <w:rsid w:val="0011060B"/>
    <w:rsid w:val="001138E4"/>
    <w:rsid w:val="0011636C"/>
    <w:rsid w:val="001248C7"/>
    <w:rsid w:val="00125D7C"/>
    <w:rsid w:val="00127C02"/>
    <w:rsid w:val="00140622"/>
    <w:rsid w:val="00140F10"/>
    <w:rsid w:val="00140F6C"/>
    <w:rsid w:val="00152821"/>
    <w:rsid w:val="00152837"/>
    <w:rsid w:val="00156DEB"/>
    <w:rsid w:val="00162E74"/>
    <w:rsid w:val="00164CC3"/>
    <w:rsid w:val="00172177"/>
    <w:rsid w:val="00175C36"/>
    <w:rsid w:val="00180A9F"/>
    <w:rsid w:val="001860AE"/>
    <w:rsid w:val="001864BC"/>
    <w:rsid w:val="00191981"/>
    <w:rsid w:val="00192B92"/>
    <w:rsid w:val="0019797D"/>
    <w:rsid w:val="00197DC1"/>
    <w:rsid w:val="001A2076"/>
    <w:rsid w:val="001A3DB2"/>
    <w:rsid w:val="001A4A2E"/>
    <w:rsid w:val="001C5C29"/>
    <w:rsid w:val="001C767B"/>
    <w:rsid w:val="001D13D7"/>
    <w:rsid w:val="001D5910"/>
    <w:rsid w:val="001D6BB2"/>
    <w:rsid w:val="001E0BD4"/>
    <w:rsid w:val="001E33B5"/>
    <w:rsid w:val="001E7CFC"/>
    <w:rsid w:val="001F7B0A"/>
    <w:rsid w:val="001F7DEF"/>
    <w:rsid w:val="002004B3"/>
    <w:rsid w:val="00200589"/>
    <w:rsid w:val="00200CA1"/>
    <w:rsid w:val="0020279C"/>
    <w:rsid w:val="00213453"/>
    <w:rsid w:val="00217CBB"/>
    <w:rsid w:val="00220187"/>
    <w:rsid w:val="00221E1A"/>
    <w:rsid w:val="002247DC"/>
    <w:rsid w:val="00234DB2"/>
    <w:rsid w:val="002408D0"/>
    <w:rsid w:val="00241EB4"/>
    <w:rsid w:val="00245F53"/>
    <w:rsid w:val="00247F65"/>
    <w:rsid w:val="002628A8"/>
    <w:rsid w:val="002641D0"/>
    <w:rsid w:val="00271D07"/>
    <w:rsid w:val="002722FD"/>
    <w:rsid w:val="0027483C"/>
    <w:rsid w:val="00277B9A"/>
    <w:rsid w:val="0028025F"/>
    <w:rsid w:val="00291494"/>
    <w:rsid w:val="0029159A"/>
    <w:rsid w:val="00295963"/>
    <w:rsid w:val="00296719"/>
    <w:rsid w:val="002A3066"/>
    <w:rsid w:val="002A3914"/>
    <w:rsid w:val="002A6C35"/>
    <w:rsid w:val="002A7BF3"/>
    <w:rsid w:val="002B05BD"/>
    <w:rsid w:val="002B310C"/>
    <w:rsid w:val="002B52EF"/>
    <w:rsid w:val="002C336E"/>
    <w:rsid w:val="002D34BF"/>
    <w:rsid w:val="002D358F"/>
    <w:rsid w:val="002E5847"/>
    <w:rsid w:val="002F05BD"/>
    <w:rsid w:val="002F3F6F"/>
    <w:rsid w:val="002F3FD9"/>
    <w:rsid w:val="002F7EE1"/>
    <w:rsid w:val="003022A2"/>
    <w:rsid w:val="00307171"/>
    <w:rsid w:val="003100F1"/>
    <w:rsid w:val="003103A7"/>
    <w:rsid w:val="0031504F"/>
    <w:rsid w:val="0032053C"/>
    <w:rsid w:val="00322249"/>
    <w:rsid w:val="00324A89"/>
    <w:rsid w:val="003276CD"/>
    <w:rsid w:val="00332A17"/>
    <w:rsid w:val="003369CC"/>
    <w:rsid w:val="00337F22"/>
    <w:rsid w:val="00342BCE"/>
    <w:rsid w:val="00350180"/>
    <w:rsid w:val="00350D1D"/>
    <w:rsid w:val="00361C8D"/>
    <w:rsid w:val="00362C06"/>
    <w:rsid w:val="00366190"/>
    <w:rsid w:val="00367DA4"/>
    <w:rsid w:val="003706D6"/>
    <w:rsid w:val="0037701E"/>
    <w:rsid w:val="00383FC1"/>
    <w:rsid w:val="003855D6"/>
    <w:rsid w:val="0039157D"/>
    <w:rsid w:val="0039229C"/>
    <w:rsid w:val="003943A9"/>
    <w:rsid w:val="0039744C"/>
    <w:rsid w:val="003A085C"/>
    <w:rsid w:val="003A0AE2"/>
    <w:rsid w:val="003A46CE"/>
    <w:rsid w:val="003A4949"/>
    <w:rsid w:val="003B1FE1"/>
    <w:rsid w:val="003B4027"/>
    <w:rsid w:val="003B5232"/>
    <w:rsid w:val="003B5D85"/>
    <w:rsid w:val="003C2FFA"/>
    <w:rsid w:val="003C6A68"/>
    <w:rsid w:val="003C7275"/>
    <w:rsid w:val="003D2583"/>
    <w:rsid w:val="003E1B2B"/>
    <w:rsid w:val="003F3394"/>
    <w:rsid w:val="003F5CA3"/>
    <w:rsid w:val="004009BB"/>
    <w:rsid w:val="00403B11"/>
    <w:rsid w:val="004053DE"/>
    <w:rsid w:val="0041042E"/>
    <w:rsid w:val="00413517"/>
    <w:rsid w:val="0041618D"/>
    <w:rsid w:val="00417C92"/>
    <w:rsid w:val="004200BB"/>
    <w:rsid w:val="004219CB"/>
    <w:rsid w:val="0042575A"/>
    <w:rsid w:val="00427F76"/>
    <w:rsid w:val="00430FDB"/>
    <w:rsid w:val="00431BEE"/>
    <w:rsid w:val="00435ED0"/>
    <w:rsid w:val="004364A1"/>
    <w:rsid w:val="00437B71"/>
    <w:rsid w:val="0044180C"/>
    <w:rsid w:val="004457AA"/>
    <w:rsid w:val="004459F2"/>
    <w:rsid w:val="00454D41"/>
    <w:rsid w:val="00455C20"/>
    <w:rsid w:val="00457DDC"/>
    <w:rsid w:val="004652D2"/>
    <w:rsid w:val="00472716"/>
    <w:rsid w:val="004737DF"/>
    <w:rsid w:val="00474B30"/>
    <w:rsid w:val="00491C31"/>
    <w:rsid w:val="004A3ACE"/>
    <w:rsid w:val="004B1473"/>
    <w:rsid w:val="004B1AD2"/>
    <w:rsid w:val="004B5876"/>
    <w:rsid w:val="004C2BE9"/>
    <w:rsid w:val="004C4BF4"/>
    <w:rsid w:val="004D142E"/>
    <w:rsid w:val="004D387B"/>
    <w:rsid w:val="004E04F1"/>
    <w:rsid w:val="004E6BFB"/>
    <w:rsid w:val="004F1171"/>
    <w:rsid w:val="004F5FFB"/>
    <w:rsid w:val="0050575C"/>
    <w:rsid w:val="0050673E"/>
    <w:rsid w:val="005070F1"/>
    <w:rsid w:val="005108B0"/>
    <w:rsid w:val="005118FA"/>
    <w:rsid w:val="00514BFD"/>
    <w:rsid w:val="00535BA2"/>
    <w:rsid w:val="00540BDD"/>
    <w:rsid w:val="00541FCC"/>
    <w:rsid w:val="0055485C"/>
    <w:rsid w:val="005548A7"/>
    <w:rsid w:val="005622FC"/>
    <w:rsid w:val="0057230B"/>
    <w:rsid w:val="005761D9"/>
    <w:rsid w:val="005812AD"/>
    <w:rsid w:val="005837FF"/>
    <w:rsid w:val="0058433A"/>
    <w:rsid w:val="005911AE"/>
    <w:rsid w:val="00594B77"/>
    <w:rsid w:val="0059545F"/>
    <w:rsid w:val="005A1AA5"/>
    <w:rsid w:val="005A1C73"/>
    <w:rsid w:val="005A2427"/>
    <w:rsid w:val="005A6884"/>
    <w:rsid w:val="005B0268"/>
    <w:rsid w:val="005B5132"/>
    <w:rsid w:val="005C3484"/>
    <w:rsid w:val="005C6697"/>
    <w:rsid w:val="005D043F"/>
    <w:rsid w:val="005D1B80"/>
    <w:rsid w:val="005D21FF"/>
    <w:rsid w:val="005D50C2"/>
    <w:rsid w:val="005D564E"/>
    <w:rsid w:val="005D7459"/>
    <w:rsid w:val="005F20E6"/>
    <w:rsid w:val="005F2461"/>
    <w:rsid w:val="005F545D"/>
    <w:rsid w:val="0060061D"/>
    <w:rsid w:val="00603909"/>
    <w:rsid w:val="00604312"/>
    <w:rsid w:val="00605CC9"/>
    <w:rsid w:val="0061225C"/>
    <w:rsid w:val="00616832"/>
    <w:rsid w:val="006220DE"/>
    <w:rsid w:val="006260AB"/>
    <w:rsid w:val="00630C4D"/>
    <w:rsid w:val="00632BA3"/>
    <w:rsid w:val="00634EAF"/>
    <w:rsid w:val="00635D6D"/>
    <w:rsid w:val="00640F3C"/>
    <w:rsid w:val="0064455F"/>
    <w:rsid w:val="00653A6D"/>
    <w:rsid w:val="00654D95"/>
    <w:rsid w:val="00661205"/>
    <w:rsid w:val="00663ABB"/>
    <w:rsid w:val="00663BB6"/>
    <w:rsid w:val="00664038"/>
    <w:rsid w:val="00664306"/>
    <w:rsid w:val="00671318"/>
    <w:rsid w:val="00671EEC"/>
    <w:rsid w:val="00677391"/>
    <w:rsid w:val="00682922"/>
    <w:rsid w:val="00684F29"/>
    <w:rsid w:val="006965A4"/>
    <w:rsid w:val="006B0124"/>
    <w:rsid w:val="006B324B"/>
    <w:rsid w:val="006B7686"/>
    <w:rsid w:val="006C2CA7"/>
    <w:rsid w:val="006C5493"/>
    <w:rsid w:val="006D5562"/>
    <w:rsid w:val="006E19B4"/>
    <w:rsid w:val="006E2DC4"/>
    <w:rsid w:val="006F4FFD"/>
    <w:rsid w:val="00703AC7"/>
    <w:rsid w:val="00703D9C"/>
    <w:rsid w:val="0070611E"/>
    <w:rsid w:val="007102BD"/>
    <w:rsid w:val="007170C6"/>
    <w:rsid w:val="00717FEB"/>
    <w:rsid w:val="007273C9"/>
    <w:rsid w:val="007306B0"/>
    <w:rsid w:val="0074436B"/>
    <w:rsid w:val="007462CE"/>
    <w:rsid w:val="00756C22"/>
    <w:rsid w:val="0076189D"/>
    <w:rsid w:val="0076674E"/>
    <w:rsid w:val="0076785E"/>
    <w:rsid w:val="007718D6"/>
    <w:rsid w:val="00772C15"/>
    <w:rsid w:val="0077398D"/>
    <w:rsid w:val="00777023"/>
    <w:rsid w:val="00777D28"/>
    <w:rsid w:val="00780525"/>
    <w:rsid w:val="007915AE"/>
    <w:rsid w:val="007977F6"/>
    <w:rsid w:val="007A061E"/>
    <w:rsid w:val="007B3E1D"/>
    <w:rsid w:val="007B5F79"/>
    <w:rsid w:val="007C0B25"/>
    <w:rsid w:val="007F1AE0"/>
    <w:rsid w:val="007F1C28"/>
    <w:rsid w:val="007F3CB8"/>
    <w:rsid w:val="00802798"/>
    <w:rsid w:val="00810FB5"/>
    <w:rsid w:val="00810FE4"/>
    <w:rsid w:val="008221F9"/>
    <w:rsid w:val="00822E61"/>
    <w:rsid w:val="0082564B"/>
    <w:rsid w:val="00825ED5"/>
    <w:rsid w:val="00831142"/>
    <w:rsid w:val="0083213A"/>
    <w:rsid w:val="00837D67"/>
    <w:rsid w:val="0084281A"/>
    <w:rsid w:val="00844670"/>
    <w:rsid w:val="0084502C"/>
    <w:rsid w:val="00862C14"/>
    <w:rsid w:val="0086365E"/>
    <w:rsid w:val="00864D7E"/>
    <w:rsid w:val="00866ECC"/>
    <w:rsid w:val="00877749"/>
    <w:rsid w:val="00884296"/>
    <w:rsid w:val="008855DE"/>
    <w:rsid w:val="00894C26"/>
    <w:rsid w:val="008A1550"/>
    <w:rsid w:val="008A15E4"/>
    <w:rsid w:val="008A247C"/>
    <w:rsid w:val="008A26D2"/>
    <w:rsid w:val="008B20EC"/>
    <w:rsid w:val="008B3131"/>
    <w:rsid w:val="008B4F25"/>
    <w:rsid w:val="008B6528"/>
    <w:rsid w:val="008B67FC"/>
    <w:rsid w:val="008D418E"/>
    <w:rsid w:val="008F4354"/>
    <w:rsid w:val="008F588C"/>
    <w:rsid w:val="008F763F"/>
    <w:rsid w:val="0090353A"/>
    <w:rsid w:val="00904194"/>
    <w:rsid w:val="0091022A"/>
    <w:rsid w:val="00911447"/>
    <w:rsid w:val="00911E1D"/>
    <w:rsid w:val="0091456C"/>
    <w:rsid w:val="00915A04"/>
    <w:rsid w:val="00915DFD"/>
    <w:rsid w:val="00917115"/>
    <w:rsid w:val="00921002"/>
    <w:rsid w:val="00922BAA"/>
    <w:rsid w:val="00926540"/>
    <w:rsid w:val="0092666B"/>
    <w:rsid w:val="00936FF7"/>
    <w:rsid w:val="0093709B"/>
    <w:rsid w:val="009456A4"/>
    <w:rsid w:val="00947D1E"/>
    <w:rsid w:val="00953B27"/>
    <w:rsid w:val="009577A3"/>
    <w:rsid w:val="00960ECB"/>
    <w:rsid w:val="009643F7"/>
    <w:rsid w:val="00964F2F"/>
    <w:rsid w:val="009729EA"/>
    <w:rsid w:val="009741AF"/>
    <w:rsid w:val="00976FBE"/>
    <w:rsid w:val="00990454"/>
    <w:rsid w:val="00990970"/>
    <w:rsid w:val="0099616C"/>
    <w:rsid w:val="009A28FC"/>
    <w:rsid w:val="009A7878"/>
    <w:rsid w:val="009C0881"/>
    <w:rsid w:val="009C5456"/>
    <w:rsid w:val="009C6392"/>
    <w:rsid w:val="009C6661"/>
    <w:rsid w:val="009D6AC4"/>
    <w:rsid w:val="009E0C2A"/>
    <w:rsid w:val="009E27A0"/>
    <w:rsid w:val="009E7528"/>
    <w:rsid w:val="009F0B9C"/>
    <w:rsid w:val="009F45A2"/>
    <w:rsid w:val="00A013CF"/>
    <w:rsid w:val="00A04720"/>
    <w:rsid w:val="00A04BFB"/>
    <w:rsid w:val="00A0577F"/>
    <w:rsid w:val="00A17675"/>
    <w:rsid w:val="00A22BBC"/>
    <w:rsid w:val="00A25964"/>
    <w:rsid w:val="00A30881"/>
    <w:rsid w:val="00A312DD"/>
    <w:rsid w:val="00A32BC4"/>
    <w:rsid w:val="00A41CD0"/>
    <w:rsid w:val="00A42678"/>
    <w:rsid w:val="00A431F1"/>
    <w:rsid w:val="00A438D4"/>
    <w:rsid w:val="00A50440"/>
    <w:rsid w:val="00A65285"/>
    <w:rsid w:val="00A873F2"/>
    <w:rsid w:val="00A90415"/>
    <w:rsid w:val="00AA00DA"/>
    <w:rsid w:val="00AA4CAC"/>
    <w:rsid w:val="00AB1E2F"/>
    <w:rsid w:val="00AB33E1"/>
    <w:rsid w:val="00AB3A52"/>
    <w:rsid w:val="00AB5BC7"/>
    <w:rsid w:val="00AC1F7E"/>
    <w:rsid w:val="00AC5E84"/>
    <w:rsid w:val="00AD292D"/>
    <w:rsid w:val="00AD679B"/>
    <w:rsid w:val="00AE4C85"/>
    <w:rsid w:val="00AE5314"/>
    <w:rsid w:val="00AE592E"/>
    <w:rsid w:val="00AE7350"/>
    <w:rsid w:val="00AE7C3A"/>
    <w:rsid w:val="00AF62DE"/>
    <w:rsid w:val="00AF6749"/>
    <w:rsid w:val="00B00549"/>
    <w:rsid w:val="00B01E8F"/>
    <w:rsid w:val="00B02A84"/>
    <w:rsid w:val="00B02C6C"/>
    <w:rsid w:val="00B0446E"/>
    <w:rsid w:val="00B04B71"/>
    <w:rsid w:val="00B3672D"/>
    <w:rsid w:val="00B402AE"/>
    <w:rsid w:val="00B40635"/>
    <w:rsid w:val="00B430FB"/>
    <w:rsid w:val="00B45550"/>
    <w:rsid w:val="00B55EA6"/>
    <w:rsid w:val="00B609F3"/>
    <w:rsid w:val="00B60DAF"/>
    <w:rsid w:val="00B658F0"/>
    <w:rsid w:val="00B65B3E"/>
    <w:rsid w:val="00B728D6"/>
    <w:rsid w:val="00B72BE9"/>
    <w:rsid w:val="00B72C2F"/>
    <w:rsid w:val="00B74BBF"/>
    <w:rsid w:val="00B811C0"/>
    <w:rsid w:val="00B8715E"/>
    <w:rsid w:val="00B876BB"/>
    <w:rsid w:val="00B952EA"/>
    <w:rsid w:val="00BA379E"/>
    <w:rsid w:val="00BB0D8D"/>
    <w:rsid w:val="00BB6EA8"/>
    <w:rsid w:val="00BC05C6"/>
    <w:rsid w:val="00BC17AA"/>
    <w:rsid w:val="00BC2A26"/>
    <w:rsid w:val="00BC6D3E"/>
    <w:rsid w:val="00BD13E6"/>
    <w:rsid w:val="00BD2EA8"/>
    <w:rsid w:val="00BE1A91"/>
    <w:rsid w:val="00BE2F1C"/>
    <w:rsid w:val="00BE3FCC"/>
    <w:rsid w:val="00BF1BF6"/>
    <w:rsid w:val="00BF4D7A"/>
    <w:rsid w:val="00BF6F8F"/>
    <w:rsid w:val="00C04BA9"/>
    <w:rsid w:val="00C10954"/>
    <w:rsid w:val="00C11D05"/>
    <w:rsid w:val="00C12D4B"/>
    <w:rsid w:val="00C14506"/>
    <w:rsid w:val="00C1457C"/>
    <w:rsid w:val="00C17CF4"/>
    <w:rsid w:val="00C2411A"/>
    <w:rsid w:val="00C34B45"/>
    <w:rsid w:val="00C35684"/>
    <w:rsid w:val="00C4068A"/>
    <w:rsid w:val="00C502BD"/>
    <w:rsid w:val="00C526F9"/>
    <w:rsid w:val="00C528D5"/>
    <w:rsid w:val="00C53967"/>
    <w:rsid w:val="00C60C98"/>
    <w:rsid w:val="00C71876"/>
    <w:rsid w:val="00C72B6B"/>
    <w:rsid w:val="00C8005E"/>
    <w:rsid w:val="00C87054"/>
    <w:rsid w:val="00C908C3"/>
    <w:rsid w:val="00C90FB4"/>
    <w:rsid w:val="00C940D0"/>
    <w:rsid w:val="00CA43F7"/>
    <w:rsid w:val="00CB1AB7"/>
    <w:rsid w:val="00CB46CC"/>
    <w:rsid w:val="00CB4736"/>
    <w:rsid w:val="00CB67DB"/>
    <w:rsid w:val="00CC0377"/>
    <w:rsid w:val="00CD6110"/>
    <w:rsid w:val="00CF01A1"/>
    <w:rsid w:val="00CF02F6"/>
    <w:rsid w:val="00CF3806"/>
    <w:rsid w:val="00CF471B"/>
    <w:rsid w:val="00D01DAD"/>
    <w:rsid w:val="00D03F11"/>
    <w:rsid w:val="00D0755C"/>
    <w:rsid w:val="00D1402B"/>
    <w:rsid w:val="00D167DC"/>
    <w:rsid w:val="00D20D79"/>
    <w:rsid w:val="00D24B98"/>
    <w:rsid w:val="00D33F74"/>
    <w:rsid w:val="00D362B2"/>
    <w:rsid w:val="00D367A6"/>
    <w:rsid w:val="00D46967"/>
    <w:rsid w:val="00D53446"/>
    <w:rsid w:val="00D6335F"/>
    <w:rsid w:val="00D700F6"/>
    <w:rsid w:val="00D717E0"/>
    <w:rsid w:val="00D7403C"/>
    <w:rsid w:val="00D819AB"/>
    <w:rsid w:val="00D86B25"/>
    <w:rsid w:val="00D86BEF"/>
    <w:rsid w:val="00D871E6"/>
    <w:rsid w:val="00D909FD"/>
    <w:rsid w:val="00D96D31"/>
    <w:rsid w:val="00DA061A"/>
    <w:rsid w:val="00DA0829"/>
    <w:rsid w:val="00DA4F8F"/>
    <w:rsid w:val="00DB5BDF"/>
    <w:rsid w:val="00DC156D"/>
    <w:rsid w:val="00DC732E"/>
    <w:rsid w:val="00DD311E"/>
    <w:rsid w:val="00DD4BA7"/>
    <w:rsid w:val="00DE18EC"/>
    <w:rsid w:val="00DF117C"/>
    <w:rsid w:val="00E00360"/>
    <w:rsid w:val="00E04A89"/>
    <w:rsid w:val="00E14606"/>
    <w:rsid w:val="00E31A60"/>
    <w:rsid w:val="00E31B81"/>
    <w:rsid w:val="00E36964"/>
    <w:rsid w:val="00E36F03"/>
    <w:rsid w:val="00E40D04"/>
    <w:rsid w:val="00E44188"/>
    <w:rsid w:val="00E45387"/>
    <w:rsid w:val="00E458B9"/>
    <w:rsid w:val="00E50F21"/>
    <w:rsid w:val="00E54A5F"/>
    <w:rsid w:val="00E54E7E"/>
    <w:rsid w:val="00E63FAA"/>
    <w:rsid w:val="00E67832"/>
    <w:rsid w:val="00E750F2"/>
    <w:rsid w:val="00E77E1D"/>
    <w:rsid w:val="00E80B7E"/>
    <w:rsid w:val="00E81D40"/>
    <w:rsid w:val="00E826F3"/>
    <w:rsid w:val="00E8386A"/>
    <w:rsid w:val="00E8604C"/>
    <w:rsid w:val="00E86EB6"/>
    <w:rsid w:val="00E91614"/>
    <w:rsid w:val="00E9264A"/>
    <w:rsid w:val="00E96856"/>
    <w:rsid w:val="00EA2B48"/>
    <w:rsid w:val="00EB0A21"/>
    <w:rsid w:val="00EB32C0"/>
    <w:rsid w:val="00EC14A0"/>
    <w:rsid w:val="00EC2408"/>
    <w:rsid w:val="00EC5427"/>
    <w:rsid w:val="00EC63DA"/>
    <w:rsid w:val="00ED250B"/>
    <w:rsid w:val="00ED597D"/>
    <w:rsid w:val="00EE0CFF"/>
    <w:rsid w:val="00EF3B60"/>
    <w:rsid w:val="00EF3C2F"/>
    <w:rsid w:val="00F101A1"/>
    <w:rsid w:val="00F13BB2"/>
    <w:rsid w:val="00F16513"/>
    <w:rsid w:val="00F204B0"/>
    <w:rsid w:val="00F2492C"/>
    <w:rsid w:val="00F24A78"/>
    <w:rsid w:val="00F25736"/>
    <w:rsid w:val="00F3747A"/>
    <w:rsid w:val="00F54B89"/>
    <w:rsid w:val="00F55511"/>
    <w:rsid w:val="00F60096"/>
    <w:rsid w:val="00F61A42"/>
    <w:rsid w:val="00F65D05"/>
    <w:rsid w:val="00F66E79"/>
    <w:rsid w:val="00F83E30"/>
    <w:rsid w:val="00F900B1"/>
    <w:rsid w:val="00F9242E"/>
    <w:rsid w:val="00F92DBE"/>
    <w:rsid w:val="00F93A6E"/>
    <w:rsid w:val="00F968A6"/>
    <w:rsid w:val="00FB30CC"/>
    <w:rsid w:val="00FB5122"/>
    <w:rsid w:val="00FC0C80"/>
    <w:rsid w:val="00FC1E97"/>
    <w:rsid w:val="00FC1FA6"/>
    <w:rsid w:val="00FC3B63"/>
    <w:rsid w:val="00FC4D37"/>
    <w:rsid w:val="00FD1C80"/>
    <w:rsid w:val="00FD30AB"/>
    <w:rsid w:val="00FD48BA"/>
    <w:rsid w:val="00FE4B9E"/>
    <w:rsid w:val="00FE4F66"/>
    <w:rsid w:val="00FF43E9"/>
    <w:rsid w:val="00FF57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Akapitzlist1">
    <w:name w:val="Akapit z listą1"/>
    <w:basedOn w:val="Normalny"/>
    <w:rsid w:val="006C5493"/>
    <w:pPr>
      <w:spacing w:after="200" w:line="276" w:lineRule="auto"/>
      <w:ind w:left="720"/>
      <w:contextualSpacing/>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Akapitzlist1">
    <w:name w:val="Akapit z listą1"/>
    <w:basedOn w:val="Normalny"/>
    <w:rsid w:val="006C5493"/>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5647">
      <w:bodyDiv w:val="1"/>
      <w:marLeft w:val="0"/>
      <w:marRight w:val="0"/>
      <w:marTop w:val="0"/>
      <w:marBottom w:val="0"/>
      <w:divBdr>
        <w:top w:val="none" w:sz="0" w:space="0" w:color="auto"/>
        <w:left w:val="none" w:sz="0" w:space="0" w:color="auto"/>
        <w:bottom w:val="none" w:sz="0" w:space="0" w:color="auto"/>
        <w:right w:val="none" w:sz="0" w:space="0" w:color="auto"/>
      </w:divBdr>
    </w:div>
    <w:div w:id="168605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CAE1D-898C-4985-9825-2983C1EA9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2245</Words>
  <Characters>14503</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[projekt]</vt:lpstr>
    </vt:vector>
  </TitlesOfParts>
  <Company>Ministerstwo Gospodarki</Company>
  <LinksUpToDate>false</LinksUpToDate>
  <CharactersWithSpaces>16715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creator>Kolibabska Marta</dc:creator>
  <cp:lastModifiedBy>Ewa A. Genert</cp:lastModifiedBy>
  <cp:revision>2</cp:revision>
  <cp:lastPrinted>2018-03-05T09:21:00Z</cp:lastPrinted>
  <dcterms:created xsi:type="dcterms:W3CDTF">2018-03-22T09:51:00Z</dcterms:created>
  <dcterms:modified xsi:type="dcterms:W3CDTF">2018-03-22T09:51:00Z</dcterms:modified>
</cp:coreProperties>
</file>