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EFB" w:rsidRPr="00FF0EFB" w:rsidRDefault="00FF0EFB" w:rsidP="00F84648">
      <w:pPr>
        <w:pStyle w:val="Akapitzlist"/>
        <w:shd w:val="clear" w:color="auto" w:fill="FFFFFF"/>
        <w:spacing w:after="120" w:line="264" w:lineRule="auto"/>
        <w:ind w:left="714"/>
        <w:contextualSpacing w:val="0"/>
        <w:jc w:val="center"/>
        <w:rPr>
          <w:rFonts w:ascii="Segoe UI" w:eastAsia="Times New Roman" w:hAnsi="Segoe UI" w:cs="Segoe UI"/>
          <w:b/>
          <w:sz w:val="24"/>
          <w:szCs w:val="24"/>
          <w:lang w:eastAsia="pl-PL"/>
        </w:rPr>
      </w:pPr>
      <w:bookmarkStart w:id="0" w:name="_GoBack"/>
      <w:bookmarkEnd w:id="0"/>
    </w:p>
    <w:p w:rsidR="00BD7DCE" w:rsidRPr="005C0A8E" w:rsidRDefault="005C0A8E" w:rsidP="005C0A8E">
      <w:pPr>
        <w:pStyle w:val="Akapitzlist"/>
        <w:shd w:val="clear" w:color="auto" w:fill="FFFFFF"/>
        <w:spacing w:after="120" w:line="264" w:lineRule="auto"/>
        <w:ind w:left="714"/>
        <w:contextualSpacing w:val="0"/>
        <w:jc w:val="right"/>
        <w:rPr>
          <w:rFonts w:ascii="Times New Roman" w:eastAsia="Times New Roman" w:hAnsi="Times New Roman" w:cs="Times New Roman"/>
          <w:b/>
          <w:smallCap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  <w:lang w:eastAsia="pl-PL"/>
        </w:rPr>
        <w:t>Projekt</w:t>
      </w:r>
    </w:p>
    <w:p w:rsidR="005C0A8E" w:rsidRDefault="005C0A8E" w:rsidP="00F84648">
      <w:pPr>
        <w:pStyle w:val="Akapitzlist"/>
        <w:shd w:val="clear" w:color="auto" w:fill="FFFFFF"/>
        <w:spacing w:after="120" w:line="264" w:lineRule="auto"/>
        <w:ind w:left="714"/>
        <w:contextualSpacing w:val="0"/>
        <w:jc w:val="center"/>
        <w:rPr>
          <w:rFonts w:ascii="Segoe UI" w:eastAsia="Times New Roman" w:hAnsi="Segoe UI" w:cs="Segoe UI"/>
          <w:b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b/>
          <w:sz w:val="24"/>
          <w:szCs w:val="24"/>
          <w:lang w:eastAsia="pl-PL"/>
        </w:rPr>
        <w:t xml:space="preserve">Ustawa  </w:t>
      </w:r>
    </w:p>
    <w:p w:rsidR="00F84648" w:rsidRPr="00FF0EFB" w:rsidRDefault="006D33BF" w:rsidP="00F84648">
      <w:pPr>
        <w:pStyle w:val="Akapitzlist"/>
        <w:shd w:val="clear" w:color="auto" w:fill="FFFFFF"/>
        <w:spacing w:after="120" w:line="264" w:lineRule="auto"/>
        <w:ind w:left="714"/>
        <w:contextualSpacing w:val="0"/>
        <w:jc w:val="center"/>
        <w:rPr>
          <w:rFonts w:ascii="Segoe UI" w:eastAsia="Times New Roman" w:hAnsi="Segoe UI" w:cs="Segoe UI"/>
          <w:b/>
          <w:sz w:val="24"/>
          <w:szCs w:val="24"/>
          <w:lang w:eastAsia="pl-PL"/>
        </w:rPr>
      </w:pPr>
      <w:r w:rsidRPr="00FF0EFB">
        <w:rPr>
          <w:rFonts w:ascii="Segoe UI" w:eastAsia="Times New Roman" w:hAnsi="Segoe UI" w:cs="Segoe UI"/>
          <w:b/>
          <w:sz w:val="24"/>
          <w:szCs w:val="24"/>
          <w:lang w:eastAsia="pl-PL"/>
        </w:rPr>
        <w:t xml:space="preserve"> </w:t>
      </w:r>
      <w:r w:rsidR="00F84648" w:rsidRPr="00FF0EFB">
        <w:rPr>
          <w:rFonts w:ascii="Segoe UI" w:eastAsia="Times New Roman" w:hAnsi="Segoe UI" w:cs="Segoe UI"/>
          <w:b/>
          <w:sz w:val="24"/>
          <w:szCs w:val="24"/>
          <w:lang w:eastAsia="pl-PL"/>
        </w:rPr>
        <w:t>z dnia …………… 2018 r.</w:t>
      </w:r>
    </w:p>
    <w:p w:rsidR="0057705C" w:rsidRDefault="006D33BF" w:rsidP="00BD7DCE">
      <w:pPr>
        <w:pStyle w:val="Akapitzlist"/>
        <w:shd w:val="clear" w:color="auto" w:fill="FFFFFF"/>
        <w:spacing w:after="120" w:line="264" w:lineRule="auto"/>
        <w:ind w:left="714"/>
        <w:jc w:val="center"/>
        <w:rPr>
          <w:rFonts w:ascii="Segoe UI" w:eastAsia="Times New Roman" w:hAnsi="Segoe UI" w:cs="Segoe UI"/>
          <w:b/>
          <w:sz w:val="24"/>
          <w:szCs w:val="24"/>
          <w:lang w:eastAsia="pl-PL"/>
        </w:rPr>
      </w:pPr>
      <w:r w:rsidRPr="00FF0EFB">
        <w:rPr>
          <w:rFonts w:ascii="Segoe UI" w:eastAsia="Times New Roman" w:hAnsi="Segoe UI" w:cs="Segoe UI"/>
          <w:b/>
          <w:sz w:val="24"/>
          <w:szCs w:val="24"/>
          <w:lang w:eastAsia="pl-PL"/>
        </w:rPr>
        <w:t xml:space="preserve">o zmianie </w:t>
      </w:r>
      <w:r w:rsidR="00BD7DCE">
        <w:rPr>
          <w:rFonts w:ascii="Segoe UI" w:eastAsia="Times New Roman" w:hAnsi="Segoe UI" w:cs="Segoe UI"/>
          <w:b/>
          <w:sz w:val="24"/>
          <w:szCs w:val="24"/>
          <w:lang w:eastAsia="pl-PL"/>
        </w:rPr>
        <w:t>ustawy</w:t>
      </w:r>
      <w:r w:rsidR="0057705C" w:rsidRPr="0057705C">
        <w:rPr>
          <w:rFonts w:ascii="Segoe UI" w:eastAsia="Times New Roman" w:hAnsi="Segoe UI" w:cs="Segoe UI"/>
          <w:b/>
          <w:sz w:val="24"/>
          <w:szCs w:val="24"/>
          <w:lang w:eastAsia="pl-PL"/>
        </w:rPr>
        <w:t xml:space="preserve"> przepisy wprowadzające ustawę o</w:t>
      </w:r>
      <w:r w:rsidR="0057705C">
        <w:rPr>
          <w:rFonts w:ascii="Segoe UI" w:eastAsia="Times New Roman" w:hAnsi="Segoe UI" w:cs="Segoe UI"/>
          <w:b/>
          <w:sz w:val="24"/>
          <w:szCs w:val="24"/>
          <w:lang w:eastAsia="pl-PL"/>
        </w:rPr>
        <w:t> </w:t>
      </w:r>
      <w:r w:rsidR="0057705C" w:rsidRPr="0057705C">
        <w:rPr>
          <w:rFonts w:ascii="Segoe UI" w:eastAsia="Times New Roman" w:hAnsi="Segoe UI" w:cs="Segoe UI"/>
          <w:b/>
          <w:sz w:val="24"/>
          <w:szCs w:val="24"/>
          <w:lang w:eastAsia="pl-PL"/>
        </w:rPr>
        <w:t xml:space="preserve">organizacji i trybie postępowania przed Trybunałem Konstytucyjnym oraz ustawę o statusie sędziów Trybunału Konstytucyjnego </w:t>
      </w:r>
    </w:p>
    <w:p w:rsidR="00FF0EFB" w:rsidRPr="00FF0EFB" w:rsidRDefault="00FF0EFB" w:rsidP="00F84648">
      <w:pPr>
        <w:pStyle w:val="Akapitzlist"/>
        <w:shd w:val="clear" w:color="auto" w:fill="FFFFFF"/>
        <w:spacing w:after="120" w:line="264" w:lineRule="auto"/>
        <w:ind w:left="714"/>
        <w:contextualSpacing w:val="0"/>
        <w:jc w:val="center"/>
        <w:rPr>
          <w:rFonts w:ascii="Segoe UI" w:eastAsia="Times New Roman" w:hAnsi="Segoe UI" w:cs="Segoe UI"/>
          <w:b/>
          <w:sz w:val="24"/>
          <w:szCs w:val="24"/>
          <w:lang w:eastAsia="pl-PL"/>
        </w:rPr>
      </w:pPr>
    </w:p>
    <w:p w:rsidR="006E1306" w:rsidRPr="00FF0EFB" w:rsidRDefault="00E56CF0" w:rsidP="006E1306">
      <w:pPr>
        <w:pStyle w:val="Akapitzlist"/>
        <w:shd w:val="clear" w:color="auto" w:fill="FFFFFF"/>
        <w:spacing w:after="120" w:line="264" w:lineRule="auto"/>
        <w:ind w:left="714"/>
        <w:contextualSpacing w:val="0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FF0EFB">
        <w:rPr>
          <w:rFonts w:ascii="Segoe UI" w:eastAsia="Times New Roman" w:hAnsi="Segoe UI" w:cs="Segoe UI"/>
          <w:b/>
          <w:sz w:val="24"/>
          <w:szCs w:val="24"/>
          <w:lang w:eastAsia="pl-PL"/>
        </w:rPr>
        <w:t xml:space="preserve">Art. </w:t>
      </w:r>
      <w:r w:rsidR="006E1306">
        <w:rPr>
          <w:rFonts w:ascii="Segoe UI" w:eastAsia="Times New Roman" w:hAnsi="Segoe UI" w:cs="Segoe UI"/>
          <w:b/>
          <w:sz w:val="24"/>
          <w:szCs w:val="24"/>
          <w:lang w:eastAsia="pl-PL"/>
        </w:rPr>
        <w:t>1</w:t>
      </w:r>
      <w:r w:rsidRPr="00FF0EFB">
        <w:rPr>
          <w:rFonts w:ascii="Segoe UI" w:eastAsia="Times New Roman" w:hAnsi="Segoe UI" w:cs="Segoe UI"/>
          <w:b/>
          <w:sz w:val="24"/>
          <w:szCs w:val="24"/>
          <w:lang w:eastAsia="pl-PL"/>
        </w:rPr>
        <w:t xml:space="preserve">. </w:t>
      </w:r>
      <w:r w:rsidR="006E1306" w:rsidRPr="00FF0EFB">
        <w:rPr>
          <w:rFonts w:ascii="Segoe UI" w:eastAsia="Times New Roman" w:hAnsi="Segoe UI" w:cs="Segoe UI"/>
          <w:sz w:val="24"/>
          <w:szCs w:val="24"/>
          <w:lang w:eastAsia="pl-PL"/>
        </w:rPr>
        <w:t>W ustawie z dnia 13 grudnia 2016 r. – przepisy wprowadzające ustawę o</w:t>
      </w:r>
      <w:r w:rsidR="006E1306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 w:rsidR="006E1306" w:rsidRPr="00FF0EFB">
        <w:rPr>
          <w:rFonts w:ascii="Segoe UI" w:eastAsia="Times New Roman" w:hAnsi="Segoe UI" w:cs="Segoe UI"/>
          <w:sz w:val="24"/>
          <w:szCs w:val="24"/>
          <w:lang w:eastAsia="pl-PL"/>
        </w:rPr>
        <w:t>organizacji i trybie postępowania przed Trybunałem Konstytucyjnym oraz ustawę o</w:t>
      </w:r>
      <w:r w:rsidR="006E1306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 w:rsidR="006E1306" w:rsidRPr="00FF0EFB">
        <w:rPr>
          <w:rFonts w:ascii="Segoe UI" w:eastAsia="Times New Roman" w:hAnsi="Segoe UI" w:cs="Segoe UI"/>
          <w:sz w:val="24"/>
          <w:szCs w:val="24"/>
          <w:lang w:eastAsia="pl-PL"/>
        </w:rPr>
        <w:t>statusie sędziów Trybunału Konstytucyjnego (Dz.U. z 2016 r. poz. 2074)</w:t>
      </w:r>
      <w:r w:rsidR="0057705C">
        <w:rPr>
          <w:rFonts w:ascii="Segoe UI" w:eastAsia="Times New Roman" w:hAnsi="Segoe UI" w:cs="Segoe UI"/>
          <w:sz w:val="24"/>
          <w:szCs w:val="24"/>
          <w:lang w:eastAsia="pl-PL"/>
        </w:rPr>
        <w:t>,</w:t>
      </w:r>
      <w:r w:rsidR="006E1306" w:rsidRPr="00FF0EFB">
        <w:rPr>
          <w:rFonts w:ascii="Segoe UI" w:eastAsia="Times New Roman" w:hAnsi="Segoe UI" w:cs="Segoe UI"/>
          <w:sz w:val="24"/>
          <w:szCs w:val="24"/>
          <w:lang w:eastAsia="pl-PL"/>
        </w:rPr>
        <w:t xml:space="preserve"> art.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 w:rsidR="006E1306" w:rsidRPr="00FF0EFB">
        <w:rPr>
          <w:rFonts w:ascii="Segoe UI" w:eastAsia="Times New Roman" w:hAnsi="Segoe UI" w:cs="Segoe UI"/>
          <w:sz w:val="24"/>
          <w:szCs w:val="24"/>
          <w:lang w:eastAsia="pl-PL"/>
        </w:rPr>
        <w:t>19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 w:rsidR="006E1306" w:rsidRPr="00FF0EFB">
        <w:rPr>
          <w:rFonts w:ascii="Segoe UI" w:eastAsia="Times New Roman" w:hAnsi="Segoe UI" w:cs="Segoe UI"/>
          <w:sz w:val="24"/>
          <w:szCs w:val="24"/>
          <w:lang w:eastAsia="pl-PL"/>
        </w:rPr>
        <w:t>otrzymuje brzmienie:</w:t>
      </w:r>
    </w:p>
    <w:p w:rsidR="006E1306" w:rsidRPr="00FF0EFB" w:rsidRDefault="006E1306" w:rsidP="006E1306">
      <w:pPr>
        <w:pStyle w:val="Akapitzlist"/>
        <w:shd w:val="clear" w:color="auto" w:fill="FFFFFF"/>
        <w:spacing w:after="120" w:line="264" w:lineRule="auto"/>
        <w:ind w:left="1416"/>
        <w:contextualSpacing w:val="0"/>
        <w:jc w:val="both"/>
        <w:rPr>
          <w:rFonts w:ascii="Segoe UI" w:eastAsia="Times New Roman" w:hAnsi="Segoe UI" w:cs="Segoe UI"/>
          <w:i/>
          <w:sz w:val="24"/>
          <w:szCs w:val="24"/>
          <w:lang w:eastAsia="pl-PL"/>
        </w:rPr>
      </w:pPr>
      <w:r w:rsidRPr="00FF0EFB">
        <w:rPr>
          <w:rFonts w:ascii="Segoe UI" w:eastAsia="Times New Roman" w:hAnsi="Segoe UI" w:cs="Segoe UI"/>
          <w:i/>
          <w:sz w:val="24"/>
          <w:szCs w:val="24"/>
          <w:lang w:eastAsia="pl-PL"/>
        </w:rPr>
        <w:t>„Art. 19. Wyroki Trybunału oraz rozstrzygnięcia Trybunału podjęte z naruszeniem przepisów ustawy z dnia 25 czerwca 2015 r. o Trybunale Konstytucyjnym (Dz.U. z</w:t>
      </w:r>
      <w:r w:rsidR="00CB538D">
        <w:rPr>
          <w:rFonts w:ascii="Segoe UI" w:eastAsia="Times New Roman" w:hAnsi="Segoe UI" w:cs="Segoe UI"/>
          <w:i/>
          <w:sz w:val="24"/>
          <w:szCs w:val="24"/>
          <w:lang w:eastAsia="pl-PL"/>
        </w:rPr>
        <w:t> </w:t>
      </w:r>
      <w:r w:rsidRPr="00FF0EFB">
        <w:rPr>
          <w:rFonts w:ascii="Segoe UI" w:eastAsia="Times New Roman" w:hAnsi="Segoe UI" w:cs="Segoe UI"/>
          <w:i/>
          <w:sz w:val="24"/>
          <w:szCs w:val="24"/>
          <w:lang w:eastAsia="pl-PL"/>
        </w:rPr>
        <w:t>2016 r. poz. 293) albo ustawy z dnia 22 lipca 2016 r. o Trybunale Konstytucyjnym, wydane przed dniem wejścia w życie ustawy, o której mowa w</w:t>
      </w:r>
      <w:r w:rsidR="009F32A2">
        <w:rPr>
          <w:rFonts w:ascii="Segoe UI" w:eastAsia="Times New Roman" w:hAnsi="Segoe UI" w:cs="Segoe UI"/>
          <w:i/>
          <w:sz w:val="24"/>
          <w:szCs w:val="24"/>
          <w:lang w:eastAsia="pl-PL"/>
        </w:rPr>
        <w:t> </w:t>
      </w:r>
      <w:r w:rsidRPr="00FF0EFB">
        <w:rPr>
          <w:rFonts w:ascii="Segoe UI" w:eastAsia="Times New Roman" w:hAnsi="Segoe UI" w:cs="Segoe UI"/>
          <w:i/>
          <w:sz w:val="24"/>
          <w:szCs w:val="24"/>
          <w:lang w:eastAsia="pl-PL"/>
        </w:rPr>
        <w:t>art. 1, podlegają ogłoszeniu w odpowiednich dziennikach urzędowych po zarządzeniu ich ogłoszenia przez</w:t>
      </w:r>
      <w:r w:rsidR="00CB538D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 Prezesa Trybunału Konstytucyjnego lub</w:t>
      </w:r>
      <w:r w:rsidRPr="00FF0EFB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 sędziego pełniącego obowiązki Prezesa Trybunału. Jeżeli orzeczenia </w:t>
      </w:r>
      <w:r w:rsidR="0057705C" w:rsidRPr="00FF0EFB">
        <w:rPr>
          <w:rFonts w:ascii="Segoe UI" w:eastAsia="Times New Roman" w:hAnsi="Segoe UI" w:cs="Segoe UI"/>
          <w:i/>
          <w:sz w:val="24"/>
          <w:szCs w:val="24"/>
          <w:lang w:eastAsia="pl-PL"/>
        </w:rPr>
        <w:t>podjęte z naruszeniem przepisów</w:t>
      </w:r>
      <w:r w:rsidR="0057705C">
        <w:rPr>
          <w:rFonts w:ascii="Segoe UI" w:eastAsia="Times New Roman" w:hAnsi="Segoe UI" w:cs="Segoe UI"/>
          <w:i/>
          <w:sz w:val="24"/>
          <w:szCs w:val="24"/>
          <w:lang w:eastAsia="pl-PL"/>
        </w:rPr>
        <w:t>, o których mowa w zdaniu poprzednim,</w:t>
      </w:r>
      <w:r w:rsidRPr="00FF0EFB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 dotyczyły aktów normatywnych, które utraciły moc obowiązującą, publikuje się je w odpowiednich dziennikach urzędowych z</w:t>
      </w:r>
      <w:r>
        <w:rPr>
          <w:rFonts w:ascii="Segoe UI" w:eastAsia="Times New Roman" w:hAnsi="Segoe UI" w:cs="Segoe UI"/>
          <w:i/>
          <w:sz w:val="24"/>
          <w:szCs w:val="24"/>
          <w:lang w:eastAsia="pl-PL"/>
        </w:rPr>
        <w:t> </w:t>
      </w:r>
      <w:r w:rsidRPr="00FF0EFB">
        <w:rPr>
          <w:rFonts w:ascii="Segoe UI" w:eastAsia="Times New Roman" w:hAnsi="Segoe UI" w:cs="Segoe UI"/>
          <w:i/>
          <w:sz w:val="24"/>
          <w:szCs w:val="24"/>
          <w:lang w:eastAsia="pl-PL"/>
        </w:rPr>
        <w:t>zaznaczeniem tych okoliczności.”</w:t>
      </w:r>
    </w:p>
    <w:p w:rsidR="00BD7DCE" w:rsidRDefault="00BD7DCE" w:rsidP="00F84648">
      <w:pPr>
        <w:pStyle w:val="Akapitzlist"/>
        <w:shd w:val="clear" w:color="auto" w:fill="FFFFFF"/>
        <w:spacing w:after="120" w:line="264" w:lineRule="auto"/>
        <w:ind w:left="714"/>
        <w:contextualSpacing w:val="0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FF0EFB">
        <w:rPr>
          <w:rFonts w:ascii="Segoe UI" w:eastAsia="Times New Roman" w:hAnsi="Segoe UI" w:cs="Segoe UI"/>
          <w:b/>
          <w:sz w:val="24"/>
          <w:szCs w:val="24"/>
          <w:lang w:eastAsia="pl-PL"/>
        </w:rPr>
        <w:t xml:space="preserve">Art. </w:t>
      </w:r>
      <w:r w:rsidR="0057705C">
        <w:rPr>
          <w:rFonts w:ascii="Segoe UI" w:eastAsia="Times New Roman" w:hAnsi="Segoe UI" w:cs="Segoe UI"/>
          <w:b/>
          <w:sz w:val="24"/>
          <w:szCs w:val="24"/>
          <w:lang w:eastAsia="pl-PL"/>
        </w:rPr>
        <w:t>2</w:t>
      </w:r>
      <w:r w:rsidRPr="00FF0EFB">
        <w:rPr>
          <w:rFonts w:ascii="Segoe UI" w:eastAsia="Times New Roman" w:hAnsi="Segoe UI" w:cs="Segoe UI"/>
          <w:b/>
          <w:sz w:val="24"/>
          <w:szCs w:val="24"/>
          <w:lang w:eastAsia="pl-PL"/>
        </w:rPr>
        <w:t xml:space="preserve">. 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>Prezes Trybunału Konstytucyjnego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 zarządza ogłoszenie w odpowiednim dzienniku urzędowym wyroków i rozstrzygnięć Trybunału Konstytucyjnego wydanych </w:t>
      </w:r>
      <w:r w:rsidRPr="00BD7DCE">
        <w:rPr>
          <w:rFonts w:ascii="Segoe UI" w:eastAsia="Times New Roman" w:hAnsi="Segoe UI" w:cs="Segoe UI"/>
          <w:sz w:val="24"/>
          <w:szCs w:val="24"/>
          <w:lang w:eastAsia="pl-PL"/>
        </w:rPr>
        <w:t>z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 w:rsidRPr="00BD7DCE">
        <w:rPr>
          <w:rFonts w:ascii="Segoe UI" w:eastAsia="Times New Roman" w:hAnsi="Segoe UI" w:cs="Segoe UI"/>
          <w:sz w:val="24"/>
          <w:szCs w:val="24"/>
          <w:lang w:eastAsia="pl-PL"/>
        </w:rPr>
        <w:t xml:space="preserve">naruszeniem przepisów ustawy z dnia 25 czerwca 2015 r. o Trybunale Konstytucyjnym (Dz.U. z 2016 r. poz. 293) albo ustawy z dnia 22 lipca 2016 r. </w:t>
      </w:r>
      <w:r w:rsidR="00CB538D" w:rsidRPr="0057705C">
        <w:rPr>
          <w:rFonts w:ascii="Segoe UI" w:eastAsia="Times New Roman" w:hAnsi="Segoe UI" w:cs="Segoe UI"/>
          <w:sz w:val="24"/>
          <w:szCs w:val="24"/>
          <w:lang w:eastAsia="pl-PL"/>
        </w:rPr>
        <w:t>(Dz.U.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 xml:space="preserve"> z 2016 r.,</w:t>
      </w:r>
      <w:r w:rsidR="00CB538D" w:rsidRPr="0057705C">
        <w:rPr>
          <w:rFonts w:ascii="Segoe UI" w:eastAsia="Times New Roman" w:hAnsi="Segoe UI" w:cs="Segoe UI"/>
          <w:sz w:val="24"/>
          <w:szCs w:val="24"/>
          <w:lang w:eastAsia="pl-PL"/>
        </w:rPr>
        <w:t xml:space="preserve"> poz. 1157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 xml:space="preserve">) </w:t>
      </w:r>
      <w:r w:rsidRPr="00BD7DCE">
        <w:rPr>
          <w:rFonts w:ascii="Segoe UI" w:eastAsia="Times New Roman" w:hAnsi="Segoe UI" w:cs="Segoe UI"/>
          <w:sz w:val="24"/>
          <w:szCs w:val="24"/>
          <w:lang w:eastAsia="pl-PL"/>
        </w:rPr>
        <w:t>o Trybunale Konstytucyjnym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, stosownie do art. 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>1 niniejszej ustawy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, w terminie 7 dni od </w:t>
      </w:r>
      <w:r w:rsidR="005C0A8E">
        <w:rPr>
          <w:rFonts w:ascii="Segoe UI" w:eastAsia="Times New Roman" w:hAnsi="Segoe UI" w:cs="Segoe UI"/>
          <w:sz w:val="24"/>
          <w:szCs w:val="24"/>
          <w:lang w:eastAsia="pl-PL"/>
        </w:rPr>
        <w:t>dnia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 jej wejścia w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>życie.</w:t>
      </w:r>
    </w:p>
    <w:p w:rsidR="0057705C" w:rsidRDefault="00BD7DCE" w:rsidP="0057705C">
      <w:pPr>
        <w:pStyle w:val="Akapitzlist"/>
        <w:shd w:val="clear" w:color="auto" w:fill="FFFFFF"/>
        <w:spacing w:after="120" w:line="264" w:lineRule="auto"/>
        <w:ind w:left="714"/>
        <w:contextualSpacing w:val="0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FF0EFB">
        <w:rPr>
          <w:rFonts w:ascii="Segoe UI" w:eastAsia="Times New Roman" w:hAnsi="Segoe UI" w:cs="Segoe UI"/>
          <w:b/>
          <w:sz w:val="24"/>
          <w:szCs w:val="24"/>
          <w:lang w:eastAsia="pl-PL"/>
        </w:rPr>
        <w:t xml:space="preserve">Art. </w:t>
      </w:r>
      <w:r w:rsidR="0057705C">
        <w:rPr>
          <w:rFonts w:ascii="Segoe UI" w:eastAsia="Times New Roman" w:hAnsi="Segoe UI" w:cs="Segoe UI"/>
          <w:b/>
          <w:sz w:val="24"/>
          <w:szCs w:val="24"/>
          <w:lang w:eastAsia="pl-PL"/>
        </w:rPr>
        <w:t>3</w:t>
      </w:r>
      <w:r w:rsidRPr="00FF0EFB">
        <w:rPr>
          <w:rFonts w:ascii="Segoe UI" w:eastAsia="Times New Roman" w:hAnsi="Segoe UI" w:cs="Segoe UI"/>
          <w:b/>
          <w:sz w:val="24"/>
          <w:szCs w:val="24"/>
          <w:lang w:eastAsia="pl-PL"/>
        </w:rPr>
        <w:t xml:space="preserve">. </w:t>
      </w:r>
      <w:r w:rsidRPr="00FF0EFB">
        <w:rPr>
          <w:rFonts w:ascii="Segoe UI" w:eastAsia="Times New Roman" w:hAnsi="Segoe UI" w:cs="Segoe UI"/>
          <w:sz w:val="24"/>
          <w:szCs w:val="24"/>
          <w:lang w:eastAsia="pl-PL"/>
        </w:rPr>
        <w:t>Ustawa wchodzi w życie po upływie 14 dni od dnia ogłoszenia.</w:t>
      </w:r>
    </w:p>
    <w:p w:rsidR="0057705C" w:rsidRDefault="0057705C" w:rsidP="0057705C">
      <w:pPr>
        <w:shd w:val="clear" w:color="auto" w:fill="FFFFFF"/>
        <w:spacing w:after="120" w:line="264" w:lineRule="auto"/>
        <w:jc w:val="both"/>
        <w:rPr>
          <w:rFonts w:ascii="Segoe UI" w:eastAsia="Times New Roman" w:hAnsi="Segoe UI" w:cs="Segoe UI"/>
          <w:b/>
          <w:smallCaps/>
          <w:sz w:val="28"/>
          <w:szCs w:val="28"/>
          <w:lang w:eastAsia="pl-PL"/>
        </w:rPr>
      </w:pPr>
    </w:p>
    <w:p w:rsidR="00E27A6F" w:rsidRDefault="00E27A6F" w:rsidP="0057705C">
      <w:pPr>
        <w:shd w:val="clear" w:color="auto" w:fill="FFFFFF"/>
        <w:spacing w:after="120" w:line="264" w:lineRule="auto"/>
        <w:jc w:val="center"/>
        <w:rPr>
          <w:rFonts w:ascii="Segoe UI" w:eastAsia="Times New Roman" w:hAnsi="Segoe UI" w:cs="Segoe UI"/>
          <w:b/>
          <w:smallCaps/>
          <w:sz w:val="28"/>
          <w:szCs w:val="28"/>
          <w:lang w:eastAsia="pl-PL"/>
        </w:rPr>
      </w:pPr>
    </w:p>
    <w:p w:rsidR="00E27A6F" w:rsidRDefault="00E27A6F" w:rsidP="0057705C">
      <w:pPr>
        <w:shd w:val="clear" w:color="auto" w:fill="FFFFFF"/>
        <w:spacing w:after="120" w:line="264" w:lineRule="auto"/>
        <w:jc w:val="center"/>
        <w:rPr>
          <w:rFonts w:ascii="Segoe UI" w:eastAsia="Times New Roman" w:hAnsi="Segoe UI" w:cs="Segoe UI"/>
          <w:b/>
          <w:smallCaps/>
          <w:sz w:val="28"/>
          <w:szCs w:val="28"/>
          <w:lang w:eastAsia="pl-PL"/>
        </w:rPr>
      </w:pPr>
    </w:p>
    <w:p w:rsidR="00E27A6F" w:rsidRDefault="00E27A6F" w:rsidP="0057705C">
      <w:pPr>
        <w:shd w:val="clear" w:color="auto" w:fill="FFFFFF"/>
        <w:spacing w:after="120" w:line="264" w:lineRule="auto"/>
        <w:jc w:val="center"/>
        <w:rPr>
          <w:rFonts w:ascii="Segoe UI" w:eastAsia="Times New Roman" w:hAnsi="Segoe UI" w:cs="Segoe UI"/>
          <w:b/>
          <w:smallCaps/>
          <w:sz w:val="28"/>
          <w:szCs w:val="28"/>
          <w:lang w:eastAsia="pl-PL"/>
        </w:rPr>
      </w:pPr>
    </w:p>
    <w:p w:rsidR="00E27A6F" w:rsidRDefault="00E27A6F" w:rsidP="0057705C">
      <w:pPr>
        <w:shd w:val="clear" w:color="auto" w:fill="FFFFFF"/>
        <w:spacing w:after="120" w:line="264" w:lineRule="auto"/>
        <w:jc w:val="center"/>
        <w:rPr>
          <w:rFonts w:ascii="Segoe UI" w:eastAsia="Times New Roman" w:hAnsi="Segoe UI" w:cs="Segoe UI"/>
          <w:b/>
          <w:smallCaps/>
          <w:sz w:val="28"/>
          <w:szCs w:val="28"/>
          <w:lang w:eastAsia="pl-PL"/>
        </w:rPr>
      </w:pPr>
    </w:p>
    <w:p w:rsidR="00E27A6F" w:rsidRDefault="00E27A6F" w:rsidP="0057705C">
      <w:pPr>
        <w:shd w:val="clear" w:color="auto" w:fill="FFFFFF"/>
        <w:spacing w:after="120" w:line="264" w:lineRule="auto"/>
        <w:jc w:val="center"/>
        <w:rPr>
          <w:rFonts w:ascii="Segoe UI" w:eastAsia="Times New Roman" w:hAnsi="Segoe UI" w:cs="Segoe UI"/>
          <w:b/>
          <w:smallCaps/>
          <w:sz w:val="28"/>
          <w:szCs w:val="28"/>
          <w:lang w:eastAsia="pl-PL"/>
        </w:rPr>
      </w:pPr>
    </w:p>
    <w:p w:rsidR="00E27A6F" w:rsidRDefault="00E27A6F" w:rsidP="0057705C">
      <w:pPr>
        <w:shd w:val="clear" w:color="auto" w:fill="FFFFFF"/>
        <w:spacing w:after="120" w:line="264" w:lineRule="auto"/>
        <w:jc w:val="center"/>
        <w:rPr>
          <w:rFonts w:ascii="Segoe UI" w:eastAsia="Times New Roman" w:hAnsi="Segoe UI" w:cs="Segoe UI"/>
          <w:b/>
          <w:smallCaps/>
          <w:sz w:val="28"/>
          <w:szCs w:val="28"/>
          <w:lang w:eastAsia="pl-PL"/>
        </w:rPr>
      </w:pPr>
    </w:p>
    <w:p w:rsidR="0057705C" w:rsidRPr="00306AFA" w:rsidRDefault="0057705C" w:rsidP="0057705C">
      <w:pPr>
        <w:shd w:val="clear" w:color="auto" w:fill="FFFFFF"/>
        <w:spacing w:after="120" w:line="264" w:lineRule="auto"/>
        <w:jc w:val="center"/>
        <w:rPr>
          <w:rFonts w:ascii="Segoe UI" w:eastAsia="Times New Roman" w:hAnsi="Segoe UI" w:cs="Segoe UI"/>
          <w:b/>
          <w:smallCaps/>
          <w:sz w:val="28"/>
          <w:szCs w:val="28"/>
          <w:lang w:eastAsia="pl-PL"/>
        </w:rPr>
      </w:pPr>
      <w:r w:rsidRPr="0057705C">
        <w:rPr>
          <w:rFonts w:ascii="Segoe UI" w:eastAsia="Times New Roman" w:hAnsi="Segoe UI" w:cs="Segoe UI"/>
          <w:b/>
          <w:smallCaps/>
          <w:sz w:val="28"/>
          <w:szCs w:val="28"/>
          <w:lang w:eastAsia="pl-PL"/>
        </w:rPr>
        <w:lastRenderedPageBreak/>
        <w:t xml:space="preserve">Uzasadnienie </w:t>
      </w:r>
    </w:p>
    <w:p w:rsidR="0057705C" w:rsidRDefault="0057705C" w:rsidP="0057705C">
      <w:pPr>
        <w:shd w:val="clear" w:color="auto" w:fill="FFFFFF"/>
        <w:spacing w:after="120" w:line="264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Autorzy projektu stoją na stanowisku, że 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 xml:space="preserve">choć 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>publikacja rozstrzygnięć Trybunału Konstytucyjnego z 9 marca, 11 sierpnia i 7 listopada 2016 roku (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>sygn.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 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>K 47/15, K 39/16 oraz K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>44/16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>) co do zasady nie jest konieczna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 xml:space="preserve"> z punktu widzenia polskiego prawa, to istnieją powody dla których może być to pod pewnymi warunkami pożądane.</w:t>
      </w:r>
    </w:p>
    <w:p w:rsidR="0057705C" w:rsidRDefault="0057705C" w:rsidP="0057705C">
      <w:pPr>
        <w:shd w:val="clear" w:color="auto" w:fill="FFFFFF"/>
        <w:spacing w:after="120" w:line="264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Przede wszystkim należy podkreślić, że rozstrzygnięcia te zapadły z naruszeniem przepisów 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>ustawy z dnia 25 czerwca 2015 r. o Trybunale Konstytucyjnym (Dz.U. z 2016 r.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>,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 xml:space="preserve"> poz. 293) 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>lub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 xml:space="preserve"> ustawy z dnia 22 lipca 2016 r. o Trybunale Konstytucyjnym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 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>(Dz.U.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 z 2016 r.,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 xml:space="preserve"> poz. 1157)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. 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 xml:space="preserve"> 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Oznacza to, że problematyczny jest sam fakt określania ich „orzeczeniami Trybunału Konstytucyjnego” w rozumieniu art. 190 Konstytucji. </w:t>
      </w:r>
    </w:p>
    <w:p w:rsidR="00FE35B8" w:rsidRDefault="0057705C" w:rsidP="0057705C">
      <w:pPr>
        <w:shd w:val="clear" w:color="auto" w:fill="FFFFFF"/>
        <w:spacing w:after="120" w:line="264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sz w:val="24"/>
          <w:szCs w:val="24"/>
          <w:lang w:eastAsia="pl-PL"/>
        </w:rPr>
        <w:t>Niezależnie od tego należy zauważyć, że dotyczą one ustaw, które zostały już usunięte z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>polskiego porządku prawnego. U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>staw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>a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 xml:space="preserve"> z dnia 25 czerwca 2015 r. o Trybunale Konstytucyjnym (Dz.U. z 2016 r.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>,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 xml:space="preserve"> poz. 293)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 została uchylona 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>ustaw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>ą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 xml:space="preserve"> z dnia 22 lipca 2016 r. o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>Trybunale Konstytucyjnym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 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>(Dz.U.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 z 2016 r.,</w:t>
      </w:r>
      <w:r w:rsidRPr="0057705C">
        <w:rPr>
          <w:rFonts w:ascii="Segoe UI" w:eastAsia="Times New Roman" w:hAnsi="Segoe UI" w:cs="Segoe UI"/>
          <w:sz w:val="24"/>
          <w:szCs w:val="24"/>
          <w:lang w:eastAsia="pl-PL"/>
        </w:rPr>
        <w:t xml:space="preserve"> poz. 1157)</w:t>
      </w:r>
      <w:r w:rsidR="00FE35B8">
        <w:rPr>
          <w:rFonts w:ascii="Segoe UI" w:eastAsia="Times New Roman" w:hAnsi="Segoe UI" w:cs="Segoe UI"/>
          <w:sz w:val="24"/>
          <w:szCs w:val="24"/>
          <w:lang w:eastAsia="pl-PL"/>
        </w:rPr>
        <w:t xml:space="preserve">, z kolei ta ostatnia ustawa przestała obowiązywać wraz z wejściem w życie </w:t>
      </w:r>
      <w:r w:rsidR="00FE35B8" w:rsidRPr="00FE35B8">
        <w:rPr>
          <w:rFonts w:ascii="Segoe UI" w:eastAsia="Times New Roman" w:hAnsi="Segoe UI" w:cs="Segoe UI"/>
          <w:sz w:val="24"/>
          <w:szCs w:val="24"/>
          <w:lang w:eastAsia="pl-PL"/>
        </w:rPr>
        <w:t>ustawy z dnia 13 grudnia 2016 r. – przepisy wprowadzające ustawę o organizacji i trybie postępowania przed Trybunałem Konstytucyjnym oraz ustawę o statusie sędziów Trybunału Konstytucyjnego (Dz.U. z 2016 r. poz. 2074</w:t>
      </w:r>
      <w:r w:rsidR="00FE35B8">
        <w:rPr>
          <w:rFonts w:ascii="Segoe UI" w:eastAsia="Times New Roman" w:hAnsi="Segoe UI" w:cs="Segoe UI"/>
          <w:sz w:val="24"/>
          <w:szCs w:val="24"/>
          <w:lang w:eastAsia="pl-PL"/>
        </w:rPr>
        <w:t>).</w:t>
      </w:r>
    </w:p>
    <w:p w:rsidR="00FE35B8" w:rsidRDefault="00FE35B8" w:rsidP="0057705C">
      <w:pPr>
        <w:shd w:val="clear" w:color="auto" w:fill="FFFFFF"/>
        <w:spacing w:after="120" w:line="264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W myśl przepisów art. 188 i art. 190 ust. 3 Konstytucji RP, skutkiem ogłoszenia orzeczenia Trybunału Konstytucyjnego stwierdzającego niezgodność przepisu ustawy z Konstytucją jest utrata mocy obowiązującej przez ten przepis. </w:t>
      </w:r>
    </w:p>
    <w:p w:rsidR="00FE35B8" w:rsidRPr="005C0A8E" w:rsidRDefault="00FE35B8" w:rsidP="0057705C">
      <w:pPr>
        <w:shd w:val="clear" w:color="auto" w:fill="FFFFFF"/>
        <w:spacing w:after="120" w:line="264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sz w:val="24"/>
          <w:szCs w:val="24"/>
          <w:lang w:eastAsia="pl-PL"/>
        </w:rPr>
        <w:t>Oznacza to, że – niezależnie od oceny formalnej prawidłowości rozstrzygnięć Trybunału z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>9</w:t>
      </w:r>
      <w:r w:rsidR="00CB538D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marca, 11 sierpnia i 7 listopada 2016 roku – </w:t>
      </w:r>
      <w:r w:rsidRPr="005C0A8E">
        <w:rPr>
          <w:rFonts w:ascii="Segoe UI" w:eastAsia="Times New Roman" w:hAnsi="Segoe UI" w:cs="Segoe UI"/>
          <w:sz w:val="24"/>
          <w:szCs w:val="24"/>
          <w:lang w:eastAsia="pl-PL"/>
        </w:rPr>
        <w:t xml:space="preserve">wszystkie skutki, jakie mogłoby wywołać uznanie tych rozstrzygnięć za „orzeczenia Trybunału Konstytucyjnego” w rozumieniu art. 190 Konstytucji RP, już nastąpiły: przepisy uznane za niezgodne z Konstytucją przez pierwsze </w:t>
      </w:r>
      <w:r w:rsidR="0082114D" w:rsidRPr="005C0A8E">
        <w:rPr>
          <w:rFonts w:ascii="Segoe UI" w:eastAsia="Times New Roman" w:hAnsi="Segoe UI" w:cs="Segoe UI"/>
          <w:sz w:val="24"/>
          <w:szCs w:val="24"/>
          <w:lang w:eastAsia="pl-PL"/>
        </w:rPr>
        <w:t xml:space="preserve">dwa </w:t>
      </w:r>
      <w:r w:rsidRPr="005C0A8E">
        <w:rPr>
          <w:rFonts w:ascii="Segoe UI" w:eastAsia="Times New Roman" w:hAnsi="Segoe UI" w:cs="Segoe UI"/>
          <w:sz w:val="24"/>
          <w:szCs w:val="24"/>
          <w:lang w:eastAsia="pl-PL"/>
        </w:rPr>
        <w:t xml:space="preserve">z tych rozstrzygnięć nie obowiązują </w:t>
      </w:r>
      <w:r w:rsidR="009F32A2" w:rsidRPr="005C0A8E">
        <w:rPr>
          <w:rFonts w:ascii="Segoe UI" w:eastAsia="Times New Roman" w:hAnsi="Segoe UI" w:cs="Segoe UI"/>
          <w:sz w:val="24"/>
          <w:szCs w:val="24"/>
          <w:lang w:eastAsia="pl-PL"/>
        </w:rPr>
        <w:t xml:space="preserve">już od wielu miesięcy </w:t>
      </w:r>
      <w:r w:rsidRPr="005C0A8E">
        <w:rPr>
          <w:rFonts w:ascii="Segoe UI" w:eastAsia="Times New Roman" w:hAnsi="Segoe UI" w:cs="Segoe UI"/>
          <w:sz w:val="24"/>
          <w:szCs w:val="24"/>
          <w:lang w:eastAsia="pl-PL"/>
        </w:rPr>
        <w:t>(</w:t>
      </w:r>
      <w:r w:rsidR="0082114D" w:rsidRPr="005C0A8E">
        <w:rPr>
          <w:rFonts w:ascii="Segoe UI" w:eastAsia="Times New Roman" w:hAnsi="Segoe UI" w:cs="Segoe UI"/>
          <w:sz w:val="24"/>
          <w:szCs w:val="24"/>
          <w:lang w:eastAsia="pl-PL"/>
        </w:rPr>
        <w:t>trzecie</w:t>
      </w:r>
      <w:r w:rsidRPr="005C0A8E">
        <w:rPr>
          <w:rFonts w:ascii="Segoe UI" w:eastAsia="Times New Roman" w:hAnsi="Segoe UI" w:cs="Segoe UI"/>
          <w:sz w:val="24"/>
          <w:szCs w:val="24"/>
          <w:lang w:eastAsia="pl-PL"/>
        </w:rPr>
        <w:t xml:space="preserve"> z </w:t>
      </w:r>
      <w:r w:rsidR="0082114D" w:rsidRPr="005C0A8E">
        <w:rPr>
          <w:rFonts w:ascii="Segoe UI" w:eastAsia="Times New Roman" w:hAnsi="Segoe UI" w:cs="Segoe UI"/>
          <w:sz w:val="24"/>
          <w:szCs w:val="24"/>
          <w:lang w:eastAsia="pl-PL"/>
        </w:rPr>
        <w:t>nich</w:t>
      </w:r>
      <w:r w:rsidRPr="005C0A8E">
        <w:rPr>
          <w:rFonts w:ascii="Segoe UI" w:eastAsia="Times New Roman" w:hAnsi="Segoe UI" w:cs="Segoe UI"/>
          <w:sz w:val="24"/>
          <w:szCs w:val="24"/>
          <w:lang w:eastAsia="pl-PL"/>
        </w:rPr>
        <w:t xml:space="preserve"> stwierdza, że badane przepisy </w:t>
      </w:r>
      <w:r w:rsidR="0082114D" w:rsidRPr="005C0A8E">
        <w:rPr>
          <w:rFonts w:ascii="Segoe UI" w:eastAsia="Times New Roman" w:hAnsi="Segoe UI" w:cs="Segoe UI"/>
          <w:sz w:val="24"/>
          <w:szCs w:val="24"/>
          <w:lang w:eastAsia="pl-PL"/>
        </w:rPr>
        <w:t>były</w:t>
      </w:r>
      <w:r w:rsidRPr="005C0A8E">
        <w:rPr>
          <w:rFonts w:ascii="Segoe UI" w:eastAsia="Times New Roman" w:hAnsi="Segoe UI" w:cs="Segoe UI"/>
          <w:sz w:val="24"/>
          <w:szCs w:val="24"/>
          <w:lang w:eastAsia="pl-PL"/>
        </w:rPr>
        <w:t xml:space="preserve"> zgodne z Konstytucją i jego publikacja tym bardziej nie ma znaczenia dla </w:t>
      </w:r>
      <w:r w:rsidR="0082114D" w:rsidRPr="005C0A8E">
        <w:rPr>
          <w:rFonts w:ascii="Segoe UI" w:eastAsia="Times New Roman" w:hAnsi="Segoe UI" w:cs="Segoe UI"/>
          <w:sz w:val="24"/>
          <w:szCs w:val="24"/>
          <w:lang w:eastAsia="pl-PL"/>
        </w:rPr>
        <w:t xml:space="preserve">polskiego </w:t>
      </w:r>
      <w:r w:rsidRPr="005C0A8E">
        <w:rPr>
          <w:rFonts w:ascii="Segoe UI" w:eastAsia="Times New Roman" w:hAnsi="Segoe UI" w:cs="Segoe UI"/>
          <w:sz w:val="24"/>
          <w:szCs w:val="24"/>
          <w:lang w:eastAsia="pl-PL"/>
        </w:rPr>
        <w:t>systemu prawnego).</w:t>
      </w:r>
    </w:p>
    <w:p w:rsidR="00FE35B8" w:rsidRPr="005C0A8E" w:rsidRDefault="00FE35B8" w:rsidP="0057705C">
      <w:pPr>
        <w:shd w:val="clear" w:color="auto" w:fill="FFFFFF"/>
        <w:spacing w:after="120" w:line="264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5C0A8E">
        <w:rPr>
          <w:rFonts w:ascii="Segoe UI" w:eastAsia="Times New Roman" w:hAnsi="Segoe UI" w:cs="Segoe UI"/>
          <w:sz w:val="24"/>
          <w:szCs w:val="24"/>
          <w:lang w:eastAsia="pl-PL"/>
        </w:rPr>
        <w:t>Publikacja tych rozstrzygnięć jest zatem prawnie obojętna – i choć może budzić wątpliwości z</w:t>
      </w:r>
      <w:r w:rsidR="00CB538D" w:rsidRPr="005C0A8E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 w:rsidRPr="005C0A8E">
        <w:rPr>
          <w:rFonts w:ascii="Segoe UI" w:eastAsia="Times New Roman" w:hAnsi="Segoe UI" w:cs="Segoe UI"/>
          <w:sz w:val="24"/>
          <w:szCs w:val="24"/>
          <w:lang w:eastAsia="pl-PL"/>
        </w:rPr>
        <w:t>punktu widzenia ich zgodności z prawem i wyraźnych naruszeń procedury, jakich dopuszczono się przy ich wydawaniu, uzasadnione wydaje się ich ogłoszenie</w:t>
      </w:r>
      <w:r w:rsidR="0082114D" w:rsidRPr="005C0A8E">
        <w:rPr>
          <w:rFonts w:ascii="Segoe UI" w:eastAsia="Times New Roman" w:hAnsi="Segoe UI" w:cs="Segoe UI"/>
          <w:sz w:val="24"/>
          <w:szCs w:val="24"/>
          <w:lang w:eastAsia="pl-PL"/>
        </w:rPr>
        <w:t>, z</w:t>
      </w:r>
      <w:r w:rsidR="0040730E" w:rsidRPr="005C0A8E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 w:rsidR="0082114D" w:rsidRPr="005C0A8E">
        <w:rPr>
          <w:rFonts w:ascii="Segoe UI" w:eastAsia="Times New Roman" w:hAnsi="Segoe UI" w:cs="Segoe UI"/>
          <w:sz w:val="24"/>
          <w:szCs w:val="24"/>
          <w:lang w:eastAsia="pl-PL"/>
        </w:rPr>
        <w:t>zaznaczeniem szczególnych okoliczności jakie się z nimi wiążą</w:t>
      </w:r>
      <w:r w:rsidRPr="005C0A8E">
        <w:rPr>
          <w:rFonts w:ascii="Segoe UI" w:eastAsia="Times New Roman" w:hAnsi="Segoe UI" w:cs="Segoe UI"/>
          <w:sz w:val="24"/>
          <w:szCs w:val="24"/>
          <w:lang w:eastAsia="pl-PL"/>
        </w:rPr>
        <w:t>.</w:t>
      </w:r>
    </w:p>
    <w:p w:rsidR="00FE35B8" w:rsidRDefault="00FE35B8" w:rsidP="0057705C">
      <w:pPr>
        <w:shd w:val="clear" w:color="auto" w:fill="FFFFFF"/>
        <w:spacing w:after="120" w:line="264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5C0A8E">
        <w:rPr>
          <w:rFonts w:ascii="Segoe UI" w:eastAsia="Times New Roman" w:hAnsi="Segoe UI" w:cs="Segoe UI"/>
          <w:sz w:val="24"/>
          <w:szCs w:val="24"/>
          <w:lang w:eastAsia="pl-PL"/>
        </w:rPr>
        <w:t>Uzasadnieniem takiego rozwiązania jest dążenie do stabilizacji systemu prawnego i</w:t>
      </w:r>
      <w:r w:rsidR="00CB538D" w:rsidRPr="005C0A8E">
        <w:rPr>
          <w:rFonts w:ascii="Segoe UI" w:eastAsia="Times New Roman" w:hAnsi="Segoe UI" w:cs="Segoe UI"/>
          <w:sz w:val="24"/>
          <w:szCs w:val="24"/>
          <w:lang w:eastAsia="pl-PL"/>
        </w:rPr>
        <w:t> </w:t>
      </w:r>
      <w:r w:rsidRPr="005C0A8E">
        <w:rPr>
          <w:rFonts w:ascii="Segoe UI" w:eastAsia="Times New Roman" w:hAnsi="Segoe UI" w:cs="Segoe UI"/>
          <w:sz w:val="24"/>
          <w:szCs w:val="24"/>
          <w:lang w:eastAsia="pl-PL"/>
        </w:rPr>
        <w:t>zakończenia konfliktu wokół Trybunału Konstytucyjnego, który – niezależnie od nieuzasadnionych i niesprawiedliwych zarzutów kierowanych przez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 jego krytyków – negatywnie wpływa na społeczne oceny wymiaru sprawiedliwości i kontroli konstytucyjności polskiego prawa.</w:t>
      </w:r>
    </w:p>
    <w:p w:rsidR="00FE35B8" w:rsidRDefault="0082114D" w:rsidP="0057705C">
      <w:pPr>
        <w:shd w:val="clear" w:color="auto" w:fill="FFFFFF"/>
        <w:spacing w:after="120" w:line="264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sz w:val="24"/>
          <w:szCs w:val="24"/>
          <w:lang w:eastAsia="pl-PL"/>
        </w:rPr>
        <w:t xml:space="preserve">Z uwagi na to, że rozwiązanie to dotyczy sytuacji szczególnej, obejmującej swoim zakresem jedynie trzy rozstrzygnięcia, które zostały wydane z naruszeniem prawa, autorzy projektu </w:t>
      </w:r>
      <w:r>
        <w:rPr>
          <w:rFonts w:ascii="Segoe UI" w:eastAsia="Times New Roman" w:hAnsi="Segoe UI" w:cs="Segoe UI"/>
          <w:sz w:val="24"/>
          <w:szCs w:val="24"/>
          <w:lang w:eastAsia="pl-PL"/>
        </w:rPr>
        <w:lastRenderedPageBreak/>
        <w:t>postulują znalezienie kompromisu – i opublikowanie tych rozstrzygnięć z odpowiednimi adnotacjami, według wzoru:</w:t>
      </w:r>
    </w:p>
    <w:p w:rsidR="000D77A3" w:rsidRPr="0082114D" w:rsidRDefault="000D77A3" w:rsidP="0082114D">
      <w:pPr>
        <w:shd w:val="clear" w:color="auto" w:fill="FFFFFF"/>
        <w:spacing w:after="120" w:line="264" w:lineRule="auto"/>
        <w:ind w:left="708" w:firstLine="60"/>
        <w:jc w:val="both"/>
        <w:rPr>
          <w:rFonts w:ascii="Segoe UI" w:eastAsia="Times New Roman" w:hAnsi="Segoe UI" w:cs="Segoe UI"/>
          <w:i/>
          <w:sz w:val="24"/>
          <w:szCs w:val="24"/>
          <w:lang w:eastAsia="pl-PL"/>
        </w:rPr>
      </w:pPr>
      <w:r w:rsidRPr="0082114D">
        <w:rPr>
          <w:rFonts w:ascii="Segoe UI" w:eastAsia="Times New Roman" w:hAnsi="Segoe UI" w:cs="Segoe UI"/>
          <w:i/>
          <w:sz w:val="24"/>
          <w:szCs w:val="24"/>
          <w:lang w:eastAsia="pl-PL"/>
        </w:rPr>
        <w:t>„Wyrok</w:t>
      </w:r>
      <w:r w:rsidR="0082114D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 z dnia </w:t>
      </w:r>
      <w:r w:rsidR="00CB538D">
        <w:rPr>
          <w:rFonts w:ascii="Segoe UI" w:eastAsia="Times New Roman" w:hAnsi="Segoe UI" w:cs="Segoe UI"/>
          <w:i/>
          <w:sz w:val="24"/>
          <w:szCs w:val="24"/>
          <w:lang w:eastAsia="pl-PL"/>
        </w:rPr>
        <w:t>11 sierpnia 2016 roku</w:t>
      </w:r>
      <w:r w:rsidRPr="0082114D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 dotyczy </w:t>
      </w:r>
      <w:r w:rsidR="0082114D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zgodności z Konstytucją RP przepisów </w:t>
      </w:r>
      <w:r w:rsidRPr="0082114D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ustawy </w:t>
      </w:r>
      <w:r w:rsidR="00CB538D" w:rsidRPr="00CB538D">
        <w:rPr>
          <w:rFonts w:ascii="Segoe UI" w:eastAsia="Times New Roman" w:hAnsi="Segoe UI" w:cs="Segoe UI"/>
          <w:i/>
          <w:sz w:val="24"/>
          <w:szCs w:val="24"/>
          <w:lang w:eastAsia="pl-PL"/>
        </w:rPr>
        <w:t>z dnia 22 lipca 2016 r. o Trybunale Konstytucyjnym (Dz.U. poz. 1157)</w:t>
      </w:r>
      <w:r w:rsidRPr="0082114D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, która </w:t>
      </w:r>
      <w:r w:rsidR="00CB538D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z dniem 19 grudnia 2016 roku </w:t>
      </w:r>
      <w:r w:rsidRPr="0082114D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utraciła moc obowiązującą na mocy </w:t>
      </w:r>
      <w:r w:rsidR="00CB538D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art. 3 w zw. z art. 23 </w:t>
      </w:r>
      <w:r w:rsidRPr="0082114D">
        <w:rPr>
          <w:rFonts w:ascii="Segoe UI" w:eastAsia="Times New Roman" w:hAnsi="Segoe UI" w:cs="Segoe UI"/>
          <w:i/>
          <w:sz w:val="24"/>
          <w:szCs w:val="24"/>
          <w:lang w:eastAsia="pl-PL"/>
        </w:rPr>
        <w:t>ustawy z dnia 13 grudnia 2016 r. – przepisy wprowadzające ustawę o organizacji i trybie postępowania przed Trybunałem Konstytucyjnym oraz ustawę o statusie sędziów Trybunału Konstytucyjnego (Dz.U. z 2016 r. poz. 2074).</w:t>
      </w:r>
      <w:r w:rsidR="0082114D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 Wyrok ten wydany został z</w:t>
      </w:r>
      <w:r w:rsidR="00CB538D">
        <w:rPr>
          <w:rFonts w:ascii="Segoe UI" w:eastAsia="Times New Roman" w:hAnsi="Segoe UI" w:cs="Segoe UI"/>
          <w:i/>
          <w:sz w:val="24"/>
          <w:szCs w:val="24"/>
          <w:lang w:eastAsia="pl-PL"/>
        </w:rPr>
        <w:t> </w:t>
      </w:r>
      <w:r w:rsidR="0082114D">
        <w:rPr>
          <w:rFonts w:ascii="Segoe UI" w:eastAsia="Times New Roman" w:hAnsi="Segoe UI" w:cs="Segoe UI"/>
          <w:i/>
          <w:sz w:val="24"/>
          <w:szCs w:val="24"/>
          <w:lang w:eastAsia="pl-PL"/>
        </w:rPr>
        <w:t>naruszeniem przepisów ustawy</w:t>
      </w:r>
      <w:r w:rsidR="0082114D" w:rsidRPr="0082114D">
        <w:rPr>
          <w:rFonts w:ascii="Segoe UI" w:eastAsia="Times New Roman" w:hAnsi="Segoe UI" w:cs="Segoe UI"/>
          <w:i/>
          <w:sz w:val="24"/>
          <w:szCs w:val="24"/>
          <w:lang w:eastAsia="pl-PL"/>
        </w:rPr>
        <w:t xml:space="preserve"> </w:t>
      </w:r>
      <w:r w:rsidR="00CB538D" w:rsidRPr="00CB538D">
        <w:rPr>
          <w:rFonts w:ascii="Segoe UI" w:eastAsia="Times New Roman" w:hAnsi="Segoe UI" w:cs="Segoe UI"/>
          <w:i/>
          <w:sz w:val="24"/>
          <w:szCs w:val="24"/>
          <w:lang w:eastAsia="pl-PL"/>
        </w:rPr>
        <w:t>z dnia 22 lipca 2016 r. o Trybunale Konstytucyjnym (Dz.U. poz. 1157)</w:t>
      </w:r>
      <w:r w:rsidR="00CB538D">
        <w:rPr>
          <w:rFonts w:ascii="Segoe UI" w:eastAsia="Times New Roman" w:hAnsi="Segoe UI" w:cs="Segoe UI"/>
          <w:i/>
          <w:sz w:val="24"/>
          <w:szCs w:val="24"/>
          <w:lang w:eastAsia="pl-PL"/>
        </w:rPr>
        <w:t>.</w:t>
      </w:r>
      <w:r w:rsidR="0082114D">
        <w:rPr>
          <w:rFonts w:ascii="Segoe UI" w:eastAsia="Times New Roman" w:hAnsi="Segoe UI" w:cs="Segoe UI"/>
          <w:i/>
          <w:sz w:val="24"/>
          <w:szCs w:val="24"/>
          <w:lang w:eastAsia="pl-PL"/>
        </w:rPr>
        <w:t>”</w:t>
      </w:r>
    </w:p>
    <w:p w:rsidR="00E94636" w:rsidRDefault="00CB538D" w:rsidP="00F84648">
      <w:pPr>
        <w:shd w:val="clear" w:color="auto" w:fill="FFFFFF"/>
        <w:spacing w:after="120" w:line="264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sz w:val="24"/>
          <w:szCs w:val="24"/>
          <w:lang w:eastAsia="pl-PL"/>
        </w:rPr>
        <w:t>Rozwiązanie to powinno przyczynić się do zakończenia sporu o Trybunał Konstytucyjny i wzmocnienia jego pozycji ustrojowej, a także poprawy sytuacji Polski w sporze z Komisją Europejską.</w:t>
      </w:r>
    </w:p>
    <w:p w:rsidR="00C53119" w:rsidRPr="00C53119" w:rsidRDefault="00C53119" w:rsidP="00C53119">
      <w:pPr>
        <w:shd w:val="clear" w:color="auto" w:fill="FFFFFF"/>
        <w:spacing w:after="120" w:line="264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C53119">
        <w:rPr>
          <w:rFonts w:ascii="Segoe UI" w:eastAsia="Times New Roman" w:hAnsi="Segoe UI" w:cs="Segoe UI"/>
          <w:sz w:val="24"/>
          <w:szCs w:val="24"/>
          <w:lang w:eastAsia="pl-PL"/>
        </w:rPr>
        <w:t>Wejście w życie projektowanej ustawy nie wiąże się ze skutkami finansowymi dla budżetu państwa i budżetów jednostek samorządu terytorialnego.</w:t>
      </w:r>
    </w:p>
    <w:p w:rsidR="00C53119" w:rsidRPr="00C53119" w:rsidRDefault="00C53119" w:rsidP="00C53119">
      <w:pPr>
        <w:shd w:val="clear" w:color="auto" w:fill="FFFFFF"/>
        <w:spacing w:after="120" w:line="264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C53119">
        <w:rPr>
          <w:rFonts w:ascii="Segoe UI" w:eastAsia="Times New Roman" w:hAnsi="Segoe UI" w:cs="Segoe UI"/>
          <w:sz w:val="24"/>
          <w:szCs w:val="24"/>
          <w:lang w:eastAsia="pl-PL"/>
        </w:rPr>
        <w:t>Projekt ustawy wywołuje pozytywne skutki społeczne.</w:t>
      </w:r>
    </w:p>
    <w:p w:rsidR="005C0A8E" w:rsidRPr="00FF0EFB" w:rsidRDefault="005D4D74" w:rsidP="00C53119">
      <w:pPr>
        <w:shd w:val="clear" w:color="auto" w:fill="FFFFFF"/>
        <w:spacing w:after="120" w:line="264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sz w:val="24"/>
          <w:szCs w:val="24"/>
          <w:lang w:eastAsia="pl-PL"/>
        </w:rPr>
        <w:t>P</w:t>
      </w:r>
      <w:r w:rsidRPr="005D4D74">
        <w:rPr>
          <w:rFonts w:ascii="Segoe UI" w:eastAsia="Times New Roman" w:hAnsi="Segoe UI" w:cs="Segoe UI"/>
          <w:sz w:val="24"/>
          <w:szCs w:val="24"/>
          <w:lang w:eastAsia="pl-PL"/>
        </w:rPr>
        <w:t>rzedmiot projektowanej regulacji nie jest objęty prawem Unii Europejskiej.</w:t>
      </w:r>
    </w:p>
    <w:sectPr w:rsidR="005C0A8E" w:rsidRPr="00FF0EFB" w:rsidSect="00BD7DCE">
      <w:pgSz w:w="11906" w:h="16838"/>
      <w:pgMar w:top="1276" w:right="1274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6EC" w:rsidRDefault="007A26EC" w:rsidP="00ED6FA9">
      <w:pPr>
        <w:spacing w:after="0" w:line="240" w:lineRule="auto"/>
      </w:pPr>
      <w:r>
        <w:separator/>
      </w:r>
    </w:p>
  </w:endnote>
  <w:endnote w:type="continuationSeparator" w:id="0">
    <w:p w:rsidR="007A26EC" w:rsidRDefault="007A26EC" w:rsidP="00ED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6EC" w:rsidRDefault="007A26EC" w:rsidP="00ED6FA9">
      <w:pPr>
        <w:spacing w:after="0" w:line="240" w:lineRule="auto"/>
      </w:pPr>
      <w:r>
        <w:separator/>
      </w:r>
    </w:p>
  </w:footnote>
  <w:footnote w:type="continuationSeparator" w:id="0">
    <w:p w:rsidR="007A26EC" w:rsidRDefault="007A26EC" w:rsidP="00ED6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22838"/>
    <w:multiLevelType w:val="hybridMultilevel"/>
    <w:tmpl w:val="A8427054"/>
    <w:lvl w:ilvl="0" w:tplc="17AEF662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>
    <w:nsid w:val="12B96604"/>
    <w:multiLevelType w:val="hybridMultilevel"/>
    <w:tmpl w:val="CBA4E3A6"/>
    <w:lvl w:ilvl="0" w:tplc="D36A16A2">
      <w:start w:val="1"/>
      <w:numFmt w:val="decimal"/>
      <w:lvlText w:val="%1)"/>
      <w:lvlJc w:val="left"/>
      <w:pPr>
        <w:ind w:left="176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484" w:hanging="360"/>
      </w:pPr>
    </w:lvl>
    <w:lvl w:ilvl="2" w:tplc="0415001B" w:tentative="1">
      <w:start w:val="1"/>
      <w:numFmt w:val="lowerRoman"/>
      <w:lvlText w:val="%3."/>
      <w:lvlJc w:val="right"/>
      <w:pPr>
        <w:ind w:left="3204" w:hanging="180"/>
      </w:pPr>
    </w:lvl>
    <w:lvl w:ilvl="3" w:tplc="0415000F" w:tentative="1">
      <w:start w:val="1"/>
      <w:numFmt w:val="decimal"/>
      <w:lvlText w:val="%4."/>
      <w:lvlJc w:val="left"/>
      <w:pPr>
        <w:ind w:left="3924" w:hanging="360"/>
      </w:pPr>
    </w:lvl>
    <w:lvl w:ilvl="4" w:tplc="04150019" w:tentative="1">
      <w:start w:val="1"/>
      <w:numFmt w:val="lowerLetter"/>
      <w:lvlText w:val="%5."/>
      <w:lvlJc w:val="left"/>
      <w:pPr>
        <w:ind w:left="4644" w:hanging="360"/>
      </w:pPr>
    </w:lvl>
    <w:lvl w:ilvl="5" w:tplc="0415001B" w:tentative="1">
      <w:start w:val="1"/>
      <w:numFmt w:val="lowerRoman"/>
      <w:lvlText w:val="%6."/>
      <w:lvlJc w:val="right"/>
      <w:pPr>
        <w:ind w:left="5364" w:hanging="180"/>
      </w:pPr>
    </w:lvl>
    <w:lvl w:ilvl="6" w:tplc="0415000F" w:tentative="1">
      <w:start w:val="1"/>
      <w:numFmt w:val="decimal"/>
      <w:lvlText w:val="%7."/>
      <w:lvlJc w:val="left"/>
      <w:pPr>
        <w:ind w:left="6084" w:hanging="360"/>
      </w:pPr>
    </w:lvl>
    <w:lvl w:ilvl="7" w:tplc="04150019" w:tentative="1">
      <w:start w:val="1"/>
      <w:numFmt w:val="lowerLetter"/>
      <w:lvlText w:val="%8."/>
      <w:lvlJc w:val="left"/>
      <w:pPr>
        <w:ind w:left="6804" w:hanging="360"/>
      </w:pPr>
    </w:lvl>
    <w:lvl w:ilvl="8" w:tplc="0415001B" w:tentative="1">
      <w:start w:val="1"/>
      <w:numFmt w:val="lowerRoman"/>
      <w:lvlText w:val="%9."/>
      <w:lvlJc w:val="right"/>
      <w:pPr>
        <w:ind w:left="7524" w:hanging="180"/>
      </w:pPr>
    </w:lvl>
  </w:abstractNum>
  <w:abstractNum w:abstractNumId="2">
    <w:nsid w:val="143856B5"/>
    <w:multiLevelType w:val="hybridMultilevel"/>
    <w:tmpl w:val="82661F94"/>
    <w:lvl w:ilvl="0" w:tplc="D6C2841A">
      <w:start w:val="1"/>
      <w:numFmt w:val="decimal"/>
      <w:lvlText w:val="%1)"/>
      <w:lvlJc w:val="left"/>
      <w:pPr>
        <w:ind w:left="1764" w:hanging="360"/>
      </w:pPr>
      <w:rPr>
        <w:rFonts w:hint="default"/>
      </w:rPr>
    </w:lvl>
    <w:lvl w:ilvl="1" w:tplc="EEEC8226">
      <w:start w:val="1"/>
      <w:numFmt w:val="lowerLetter"/>
      <w:lvlText w:val="%2)"/>
      <w:lvlJc w:val="left"/>
      <w:pPr>
        <w:ind w:left="2484" w:hanging="360"/>
      </w:pPr>
      <w:rPr>
        <w:i w:val="0"/>
      </w:rPr>
    </w:lvl>
    <w:lvl w:ilvl="2" w:tplc="0415001B">
      <w:start w:val="1"/>
      <w:numFmt w:val="lowerRoman"/>
      <w:lvlText w:val="%3."/>
      <w:lvlJc w:val="right"/>
      <w:pPr>
        <w:ind w:left="3204" w:hanging="180"/>
      </w:pPr>
    </w:lvl>
    <w:lvl w:ilvl="3" w:tplc="0415000F" w:tentative="1">
      <w:start w:val="1"/>
      <w:numFmt w:val="decimal"/>
      <w:lvlText w:val="%4."/>
      <w:lvlJc w:val="left"/>
      <w:pPr>
        <w:ind w:left="3924" w:hanging="360"/>
      </w:pPr>
    </w:lvl>
    <w:lvl w:ilvl="4" w:tplc="04150019" w:tentative="1">
      <w:start w:val="1"/>
      <w:numFmt w:val="lowerLetter"/>
      <w:lvlText w:val="%5."/>
      <w:lvlJc w:val="left"/>
      <w:pPr>
        <w:ind w:left="4644" w:hanging="360"/>
      </w:pPr>
    </w:lvl>
    <w:lvl w:ilvl="5" w:tplc="0415001B" w:tentative="1">
      <w:start w:val="1"/>
      <w:numFmt w:val="lowerRoman"/>
      <w:lvlText w:val="%6."/>
      <w:lvlJc w:val="right"/>
      <w:pPr>
        <w:ind w:left="5364" w:hanging="180"/>
      </w:pPr>
    </w:lvl>
    <w:lvl w:ilvl="6" w:tplc="0415000F" w:tentative="1">
      <w:start w:val="1"/>
      <w:numFmt w:val="decimal"/>
      <w:lvlText w:val="%7."/>
      <w:lvlJc w:val="left"/>
      <w:pPr>
        <w:ind w:left="6084" w:hanging="360"/>
      </w:pPr>
    </w:lvl>
    <w:lvl w:ilvl="7" w:tplc="04150019" w:tentative="1">
      <w:start w:val="1"/>
      <w:numFmt w:val="lowerLetter"/>
      <w:lvlText w:val="%8."/>
      <w:lvlJc w:val="left"/>
      <w:pPr>
        <w:ind w:left="6804" w:hanging="360"/>
      </w:pPr>
    </w:lvl>
    <w:lvl w:ilvl="8" w:tplc="0415001B" w:tentative="1">
      <w:start w:val="1"/>
      <w:numFmt w:val="lowerRoman"/>
      <w:lvlText w:val="%9."/>
      <w:lvlJc w:val="right"/>
      <w:pPr>
        <w:ind w:left="7524" w:hanging="180"/>
      </w:pPr>
    </w:lvl>
  </w:abstractNum>
  <w:abstractNum w:abstractNumId="3">
    <w:nsid w:val="229B472D"/>
    <w:multiLevelType w:val="hybridMultilevel"/>
    <w:tmpl w:val="82661F94"/>
    <w:lvl w:ilvl="0" w:tplc="D6C2841A">
      <w:start w:val="1"/>
      <w:numFmt w:val="decimal"/>
      <w:lvlText w:val="%1)"/>
      <w:lvlJc w:val="left"/>
      <w:pPr>
        <w:ind w:left="1764" w:hanging="360"/>
      </w:pPr>
      <w:rPr>
        <w:rFonts w:hint="default"/>
      </w:rPr>
    </w:lvl>
    <w:lvl w:ilvl="1" w:tplc="EEEC8226">
      <w:start w:val="1"/>
      <w:numFmt w:val="lowerLetter"/>
      <w:lvlText w:val="%2)"/>
      <w:lvlJc w:val="left"/>
      <w:pPr>
        <w:ind w:left="2484" w:hanging="360"/>
      </w:pPr>
      <w:rPr>
        <w:i w:val="0"/>
      </w:rPr>
    </w:lvl>
    <w:lvl w:ilvl="2" w:tplc="0415001B">
      <w:start w:val="1"/>
      <w:numFmt w:val="lowerRoman"/>
      <w:lvlText w:val="%3."/>
      <w:lvlJc w:val="right"/>
      <w:pPr>
        <w:ind w:left="3204" w:hanging="180"/>
      </w:pPr>
    </w:lvl>
    <w:lvl w:ilvl="3" w:tplc="0415000F" w:tentative="1">
      <w:start w:val="1"/>
      <w:numFmt w:val="decimal"/>
      <w:lvlText w:val="%4."/>
      <w:lvlJc w:val="left"/>
      <w:pPr>
        <w:ind w:left="3924" w:hanging="360"/>
      </w:pPr>
    </w:lvl>
    <w:lvl w:ilvl="4" w:tplc="04150019" w:tentative="1">
      <w:start w:val="1"/>
      <w:numFmt w:val="lowerLetter"/>
      <w:lvlText w:val="%5."/>
      <w:lvlJc w:val="left"/>
      <w:pPr>
        <w:ind w:left="4644" w:hanging="360"/>
      </w:pPr>
    </w:lvl>
    <w:lvl w:ilvl="5" w:tplc="0415001B" w:tentative="1">
      <w:start w:val="1"/>
      <w:numFmt w:val="lowerRoman"/>
      <w:lvlText w:val="%6."/>
      <w:lvlJc w:val="right"/>
      <w:pPr>
        <w:ind w:left="5364" w:hanging="180"/>
      </w:pPr>
    </w:lvl>
    <w:lvl w:ilvl="6" w:tplc="0415000F" w:tentative="1">
      <w:start w:val="1"/>
      <w:numFmt w:val="decimal"/>
      <w:lvlText w:val="%7."/>
      <w:lvlJc w:val="left"/>
      <w:pPr>
        <w:ind w:left="6084" w:hanging="360"/>
      </w:pPr>
    </w:lvl>
    <w:lvl w:ilvl="7" w:tplc="04150019" w:tentative="1">
      <w:start w:val="1"/>
      <w:numFmt w:val="lowerLetter"/>
      <w:lvlText w:val="%8."/>
      <w:lvlJc w:val="left"/>
      <w:pPr>
        <w:ind w:left="6804" w:hanging="360"/>
      </w:pPr>
    </w:lvl>
    <w:lvl w:ilvl="8" w:tplc="0415001B" w:tentative="1">
      <w:start w:val="1"/>
      <w:numFmt w:val="lowerRoman"/>
      <w:lvlText w:val="%9."/>
      <w:lvlJc w:val="right"/>
      <w:pPr>
        <w:ind w:left="7524" w:hanging="180"/>
      </w:pPr>
    </w:lvl>
  </w:abstractNum>
  <w:abstractNum w:abstractNumId="4">
    <w:nsid w:val="37B97E5A"/>
    <w:multiLevelType w:val="multilevel"/>
    <w:tmpl w:val="3F5AC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64297F"/>
    <w:multiLevelType w:val="multilevel"/>
    <w:tmpl w:val="4A506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8C043F"/>
    <w:multiLevelType w:val="hybridMultilevel"/>
    <w:tmpl w:val="38A44A36"/>
    <w:lvl w:ilvl="0" w:tplc="70F4C43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>
    <w:nsid w:val="71686D08"/>
    <w:multiLevelType w:val="hybridMultilevel"/>
    <w:tmpl w:val="FD28B2FE"/>
    <w:lvl w:ilvl="0" w:tplc="B4663B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FC1"/>
    <w:rsid w:val="00024375"/>
    <w:rsid w:val="000B7512"/>
    <w:rsid w:val="000D77A3"/>
    <w:rsid w:val="00111311"/>
    <w:rsid w:val="001165D7"/>
    <w:rsid w:val="002131A1"/>
    <w:rsid w:val="00277F0D"/>
    <w:rsid w:val="002F1A1F"/>
    <w:rsid w:val="002F53D3"/>
    <w:rsid w:val="00393981"/>
    <w:rsid w:val="0040730E"/>
    <w:rsid w:val="004C725A"/>
    <w:rsid w:val="004D2205"/>
    <w:rsid w:val="0057705C"/>
    <w:rsid w:val="00584ACC"/>
    <w:rsid w:val="005B4E1C"/>
    <w:rsid w:val="005C0A8E"/>
    <w:rsid w:val="005D4D74"/>
    <w:rsid w:val="00615187"/>
    <w:rsid w:val="00650FF8"/>
    <w:rsid w:val="00675CF8"/>
    <w:rsid w:val="006D33BF"/>
    <w:rsid w:val="006D6659"/>
    <w:rsid w:val="006E1306"/>
    <w:rsid w:val="007A26EC"/>
    <w:rsid w:val="0082114D"/>
    <w:rsid w:val="008E63AB"/>
    <w:rsid w:val="009C559A"/>
    <w:rsid w:val="009F32A2"/>
    <w:rsid w:val="00A8237B"/>
    <w:rsid w:val="00AE33B0"/>
    <w:rsid w:val="00B53DB5"/>
    <w:rsid w:val="00BB6897"/>
    <w:rsid w:val="00BD7DCE"/>
    <w:rsid w:val="00BE5A1A"/>
    <w:rsid w:val="00C17706"/>
    <w:rsid w:val="00C2608A"/>
    <w:rsid w:val="00C53119"/>
    <w:rsid w:val="00C82ADA"/>
    <w:rsid w:val="00CB538D"/>
    <w:rsid w:val="00CB6016"/>
    <w:rsid w:val="00CE5886"/>
    <w:rsid w:val="00D200B5"/>
    <w:rsid w:val="00D52C34"/>
    <w:rsid w:val="00DA66D8"/>
    <w:rsid w:val="00DF3FC1"/>
    <w:rsid w:val="00DF4177"/>
    <w:rsid w:val="00E27A6F"/>
    <w:rsid w:val="00E56CF0"/>
    <w:rsid w:val="00E72AFF"/>
    <w:rsid w:val="00E94636"/>
    <w:rsid w:val="00ED6FA9"/>
    <w:rsid w:val="00EF6119"/>
    <w:rsid w:val="00F84648"/>
    <w:rsid w:val="00F91981"/>
    <w:rsid w:val="00F9215B"/>
    <w:rsid w:val="00FE35B8"/>
    <w:rsid w:val="00FF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F3FC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F3FC1"/>
    <w:pPr>
      <w:ind w:left="720"/>
      <w:contextualSpacing/>
    </w:pPr>
  </w:style>
  <w:style w:type="table" w:styleId="Tabela-Siatka">
    <w:name w:val="Table Grid"/>
    <w:basedOn w:val="Standardowy"/>
    <w:uiPriority w:val="39"/>
    <w:rsid w:val="00E94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6F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6F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6F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D7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F3FC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F3FC1"/>
    <w:pPr>
      <w:ind w:left="720"/>
      <w:contextualSpacing/>
    </w:pPr>
  </w:style>
  <w:style w:type="table" w:styleId="Tabela-Siatka">
    <w:name w:val="Table Grid"/>
    <w:basedOn w:val="Standardowy"/>
    <w:uiPriority w:val="39"/>
    <w:rsid w:val="00E94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6F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6F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6F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D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4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377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1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791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2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728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0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7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1347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13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0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0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666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13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301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8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2018-03-22T16:05:00Z</cp:lastPrinted>
  <dcterms:created xsi:type="dcterms:W3CDTF">2018-03-30T07:17:00Z</dcterms:created>
  <dcterms:modified xsi:type="dcterms:W3CDTF">2018-03-30T07:17:00Z</dcterms:modified>
</cp:coreProperties>
</file>