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6E7" w:rsidRPr="00F328DE" w:rsidRDefault="00C316E7" w:rsidP="00F328DE">
      <w:pPr>
        <w:pStyle w:val="Tytu"/>
        <w:spacing w:before="120"/>
        <w:rPr>
          <w:b w:val="0"/>
        </w:rPr>
      </w:pPr>
      <w:bookmarkStart w:id="0" w:name="_GoBack"/>
      <w:bookmarkEnd w:id="0"/>
      <w:r w:rsidRPr="009C3EB5">
        <w:rPr>
          <w:b w:val="0"/>
        </w:rPr>
        <w:t xml:space="preserve">UZASADNIENIE </w:t>
      </w:r>
    </w:p>
    <w:p w:rsidR="0003642E" w:rsidRPr="0003642E" w:rsidRDefault="00C54B98" w:rsidP="00F328DE">
      <w:pPr>
        <w:pStyle w:val="Akapitzlist"/>
        <w:numPr>
          <w:ilvl w:val="0"/>
          <w:numId w:val="15"/>
        </w:numPr>
        <w:spacing w:before="120" w:line="360" w:lineRule="auto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Cel przyjęcia ustawy</w:t>
      </w:r>
    </w:p>
    <w:p w:rsidR="00493FD8" w:rsidRDefault="00493FD8" w:rsidP="00F328DE">
      <w:pPr>
        <w:spacing w:before="120" w:line="360" w:lineRule="auto"/>
        <w:jc w:val="both"/>
      </w:pPr>
      <w:r>
        <w:t>W dniu 16 kwietnia</w:t>
      </w:r>
      <w:r w:rsidR="00C54B98">
        <w:t xml:space="preserve"> 2014 r. przyjęto w Strasburgu d</w:t>
      </w:r>
      <w:r>
        <w:t xml:space="preserve">yrektywę Parlamentu Europejskiego i Rady 2014/50/UE z dnia 16 kwietnia 2014 r. </w:t>
      </w:r>
      <w:r w:rsidRPr="00A166BC">
        <w:t>w sprawie minimalnych wymogów służących zwiększeniu</w:t>
      </w:r>
      <w:r w:rsidR="00C54B98" w:rsidRPr="00A166BC">
        <w:t xml:space="preserve"> mobilności pracowników między p</w:t>
      </w:r>
      <w:r w:rsidRPr="00A166BC">
        <w:t>aństwam</w:t>
      </w:r>
      <w:r w:rsidR="00C54B98" w:rsidRPr="00A166BC">
        <w:t>i c</w:t>
      </w:r>
      <w:r w:rsidRPr="00A166BC">
        <w:t>złonkowskimi dzięki łatwiejszemu nabywaniu i zachowywaniu uprawnień do dodatkowych emerytur</w:t>
      </w:r>
      <w:r w:rsidRPr="0003642E">
        <w:rPr>
          <w:i/>
        </w:rPr>
        <w:t xml:space="preserve"> </w:t>
      </w:r>
      <w:r w:rsidR="001A129A">
        <w:t>(Dz.</w:t>
      </w:r>
      <w:r w:rsidR="00F328DE">
        <w:t> </w:t>
      </w:r>
      <w:r w:rsidR="001A129A">
        <w:t>U</w:t>
      </w:r>
      <w:r w:rsidR="00C54B98">
        <w:t>rz</w:t>
      </w:r>
      <w:r w:rsidR="001A129A">
        <w:t>.</w:t>
      </w:r>
      <w:r w:rsidR="00F328DE">
        <w:t xml:space="preserve"> </w:t>
      </w:r>
      <w:r w:rsidR="00A039BD">
        <w:t>UE L</w:t>
      </w:r>
      <w:r w:rsidR="00F328DE">
        <w:t xml:space="preserve"> </w:t>
      </w:r>
      <w:r w:rsidR="00C54B98">
        <w:t>128 z 30.04.</w:t>
      </w:r>
      <w:r w:rsidR="00A039BD">
        <w:t>2014,</w:t>
      </w:r>
      <w:r>
        <w:t xml:space="preserve"> </w:t>
      </w:r>
      <w:r w:rsidR="00BB12A7">
        <w:t>s</w:t>
      </w:r>
      <w:r w:rsidR="006229F7">
        <w:t>tr</w:t>
      </w:r>
      <w:r w:rsidR="00BB12A7">
        <w:t>. 1</w:t>
      </w:r>
      <w:r>
        <w:t>).</w:t>
      </w:r>
      <w:r w:rsidRPr="00493FD8">
        <w:t xml:space="preserve"> </w:t>
      </w:r>
      <w:r>
        <w:t>Dyrektywa ta określa przepisy mające na celu ułatwienie korzystania z prawa do swobodnego przemieszczania się pracowników między państwami członkowskimi Unii Europejskiej poprzez ograni</w:t>
      </w:r>
      <w:r w:rsidR="00997F63">
        <w:t>czenie przeszkód wynikających z</w:t>
      </w:r>
      <w:r w:rsidR="00F328DE">
        <w:t xml:space="preserve"> </w:t>
      </w:r>
      <w:r>
        <w:t>niektórych zasad dotyczących dodatkowych programów emerytalnych związanych ze stosunkiem pracy.</w:t>
      </w:r>
    </w:p>
    <w:p w:rsidR="00493FD8" w:rsidRDefault="00997F63" w:rsidP="00F328DE">
      <w:pPr>
        <w:spacing w:before="120" w:line="360" w:lineRule="auto"/>
        <w:jc w:val="both"/>
      </w:pPr>
      <w:r>
        <w:t>Zgodnie z art. 8 ww. d</w:t>
      </w:r>
      <w:r w:rsidR="00493FD8">
        <w:t>yrektywy dnia 21 maja 2018 r. upływa termin przewidziany na przyjęcie przepisów ustawowych, wykonawczych i administracyjnych niezbędnych do jej wykonania.</w:t>
      </w:r>
      <w:r w:rsidR="0003642E">
        <w:t xml:space="preserve"> Projektowana ustawa wykonuje ten obowiązek.</w:t>
      </w:r>
    </w:p>
    <w:p w:rsidR="0003642E" w:rsidRPr="0003642E" w:rsidRDefault="0003642E" w:rsidP="00F328DE">
      <w:pPr>
        <w:pStyle w:val="Akapitzlist"/>
        <w:numPr>
          <w:ilvl w:val="0"/>
          <w:numId w:val="15"/>
        </w:numPr>
        <w:spacing w:before="240" w:line="360" w:lineRule="auto"/>
        <w:ind w:left="360"/>
        <w:jc w:val="both"/>
        <w:rPr>
          <w:b/>
          <w:sz w:val="24"/>
          <w:szCs w:val="24"/>
        </w:rPr>
      </w:pPr>
      <w:r w:rsidRPr="0003642E">
        <w:rPr>
          <w:b/>
          <w:sz w:val="24"/>
          <w:szCs w:val="24"/>
        </w:rPr>
        <w:t>Zakres zmienianej regulacji</w:t>
      </w:r>
    </w:p>
    <w:p w:rsidR="00E22426" w:rsidRDefault="0006753A" w:rsidP="00F328DE">
      <w:pPr>
        <w:spacing w:before="120" w:line="360" w:lineRule="auto"/>
        <w:jc w:val="both"/>
      </w:pPr>
      <w:r>
        <w:t>W celu</w:t>
      </w:r>
      <w:r w:rsidR="00493FD8">
        <w:t xml:space="preserve"> dokona</w:t>
      </w:r>
      <w:r w:rsidR="00A039BD">
        <w:t>nia transpozycji przepisów ww. dyrektywy</w:t>
      </w:r>
      <w:r w:rsidR="00493FD8">
        <w:t xml:space="preserve"> konieczne jest znowelizowanie przepisów ustawy z dnia 20 kwietnia 2004 r. </w:t>
      </w:r>
      <w:r w:rsidR="00493FD8" w:rsidRPr="00B92DFE">
        <w:t>o pracowniczych programach emerytalnych</w:t>
      </w:r>
      <w:r w:rsidR="00493FD8" w:rsidRPr="00493FD8">
        <w:rPr>
          <w:i/>
        </w:rPr>
        <w:t xml:space="preserve"> </w:t>
      </w:r>
      <w:r w:rsidR="00997F63">
        <w:t>(Dz. U. z 2016 r. poz. 1449), zwanej</w:t>
      </w:r>
      <w:r w:rsidR="00493FD8">
        <w:t xml:space="preserve"> dalej </w:t>
      </w:r>
      <w:r w:rsidR="00997F63">
        <w:t>„</w:t>
      </w:r>
      <w:r w:rsidR="00493FD8">
        <w:t xml:space="preserve">ustawą </w:t>
      </w:r>
      <w:r w:rsidR="00493FD8" w:rsidRPr="00FD60C0">
        <w:t>o ppe</w:t>
      </w:r>
      <w:r w:rsidR="00997F63">
        <w:t>”</w:t>
      </w:r>
      <w:r w:rsidR="006670B8">
        <w:t>,</w:t>
      </w:r>
      <w:r w:rsidR="00E22426">
        <w:t xml:space="preserve"> w</w:t>
      </w:r>
      <w:r w:rsidR="00F328DE">
        <w:t> </w:t>
      </w:r>
      <w:r w:rsidR="001A129A">
        <w:t>związku z</w:t>
      </w:r>
      <w:r w:rsidR="00F328DE">
        <w:t xml:space="preserve"> </w:t>
      </w:r>
      <w:r w:rsidR="0003642E">
        <w:t>określeniem</w:t>
      </w:r>
      <w:r w:rsidR="00E22426">
        <w:t xml:space="preserve"> maksymalnego okresu oczekiwania na nabycie prawa do przystąpienia do dodatkowego programu emerytalnego oraz </w:t>
      </w:r>
      <w:r w:rsidR="0003642E">
        <w:t xml:space="preserve">w związku z rozszerzeniem </w:t>
      </w:r>
      <w:r w:rsidR="00E22426">
        <w:t xml:space="preserve">obowiązków informacyjnych pracodawców prowadzących pracownicze programy emerytalne </w:t>
      </w:r>
      <w:r w:rsidR="0003642E">
        <w:t>względem ich członków, a</w:t>
      </w:r>
      <w:r w:rsidR="00F328DE">
        <w:t xml:space="preserve"> </w:t>
      </w:r>
      <w:r w:rsidR="00526F13">
        <w:t xml:space="preserve">także </w:t>
      </w:r>
      <w:r w:rsidR="0003642E">
        <w:t>przekazywania informacji</w:t>
      </w:r>
      <w:r w:rsidR="00526F13">
        <w:t xml:space="preserve"> przez zarządzających pracowniczymi programami emerytalnymi pracodawcom prowadzącym p</w:t>
      </w:r>
      <w:r w:rsidR="00997F63">
        <w:t xml:space="preserve">racownicze </w:t>
      </w:r>
      <w:r w:rsidR="00526F13">
        <w:t>p</w:t>
      </w:r>
      <w:r w:rsidR="00997F63">
        <w:t>rogramy emerytalne.</w:t>
      </w:r>
    </w:p>
    <w:p w:rsidR="00786AA5" w:rsidRPr="00F328DE" w:rsidRDefault="00493FD8" w:rsidP="00F328DE">
      <w:pPr>
        <w:spacing w:before="120" w:line="360" w:lineRule="auto"/>
        <w:jc w:val="both"/>
      </w:pPr>
      <w:r w:rsidRPr="00F328DE">
        <w:t>Projektowana n</w:t>
      </w:r>
      <w:r w:rsidR="00786AA5" w:rsidRPr="00F328DE">
        <w:t>owelizacja obe</w:t>
      </w:r>
      <w:r w:rsidR="00C97971" w:rsidRPr="00F328DE">
        <w:t>jmuje:</w:t>
      </w:r>
    </w:p>
    <w:p w:rsidR="00B26443" w:rsidRDefault="007F2D32" w:rsidP="00F328DE">
      <w:pPr>
        <w:spacing w:before="60" w:line="360" w:lineRule="auto"/>
        <w:ind w:left="425" w:hanging="426"/>
        <w:jc w:val="both"/>
      </w:pPr>
      <w:r>
        <w:t>1)</w:t>
      </w:r>
      <w:r w:rsidR="00493FD8">
        <w:tab/>
      </w:r>
      <w:r w:rsidR="0028296C">
        <w:t xml:space="preserve">Zmianę </w:t>
      </w:r>
      <w:r w:rsidR="00493FD8">
        <w:t xml:space="preserve">art. 5 ustawy </w:t>
      </w:r>
      <w:r w:rsidR="00493FD8" w:rsidRPr="00FD60C0">
        <w:t>o ppe</w:t>
      </w:r>
      <w:r w:rsidR="00493FD8" w:rsidRPr="00493FD8">
        <w:rPr>
          <w:i/>
        </w:rPr>
        <w:t xml:space="preserve"> </w:t>
      </w:r>
      <w:r w:rsidR="00493FD8">
        <w:t xml:space="preserve">poprzez </w:t>
      </w:r>
      <w:r w:rsidR="00DD311A">
        <w:t xml:space="preserve">zmianę brzmienia ust. 1 oraz </w:t>
      </w:r>
      <w:r w:rsidR="009E03CE">
        <w:t>dodanie ust. 1</w:t>
      </w:r>
      <w:r w:rsidR="00DD311A">
        <w:t>c, w</w:t>
      </w:r>
      <w:r w:rsidR="00F328DE">
        <w:t> </w:t>
      </w:r>
      <w:r w:rsidR="00EB6686">
        <w:t xml:space="preserve">którym </w:t>
      </w:r>
      <w:r w:rsidR="00DD68AF">
        <w:t>określa się</w:t>
      </w:r>
      <w:r w:rsidR="00EB6686">
        <w:t xml:space="preserve"> maksymalną dopuszczalną długość</w:t>
      </w:r>
      <w:r>
        <w:t xml:space="preserve"> okresu oczekiwania na nabycie</w:t>
      </w:r>
      <w:r w:rsidR="00493FD8">
        <w:t xml:space="preserve"> uprawnień – z</w:t>
      </w:r>
      <w:r w:rsidR="00EB6686">
        <w:t>godnie z art. 4 ust. 1 lit.</w:t>
      </w:r>
      <w:r w:rsidR="00F328DE">
        <w:t xml:space="preserve"> </w:t>
      </w:r>
      <w:r>
        <w:t>a d</w:t>
      </w:r>
      <w:r w:rsidR="00A039BD">
        <w:t>yrektywy; p</w:t>
      </w:r>
      <w:r>
        <w:t>rzepisy d</w:t>
      </w:r>
      <w:r w:rsidR="00493FD8">
        <w:t xml:space="preserve">yrektywy przewidują, że okres nabywania </w:t>
      </w:r>
      <w:r w:rsidR="00B26443">
        <w:t xml:space="preserve">nieprzepadalnych </w:t>
      </w:r>
      <w:r w:rsidR="00493FD8">
        <w:t>uprawnień lub okres oczekiwania</w:t>
      </w:r>
      <w:r w:rsidR="0048788B">
        <w:t xml:space="preserve"> </w:t>
      </w:r>
      <w:r w:rsidR="00B52E0C">
        <w:t>lub oba te okresy nie powin</w:t>
      </w:r>
      <w:r w:rsidR="00B26443">
        <w:t>ny</w:t>
      </w:r>
      <w:r w:rsidR="0048788B">
        <w:t xml:space="preserve"> przekraczać 3 lat</w:t>
      </w:r>
      <w:r w:rsidR="00493FD8">
        <w:t xml:space="preserve"> w pr</w:t>
      </w:r>
      <w:r w:rsidR="0048788B">
        <w:t>zypadku pracowników, których stosunek pracy ustaje z</w:t>
      </w:r>
      <w:r w:rsidR="00F328DE">
        <w:t xml:space="preserve"> </w:t>
      </w:r>
      <w:r w:rsidR="0048788B">
        <w:t>powodów innych niż nabycie uprawnień emerytalnych</w:t>
      </w:r>
      <w:r w:rsidR="00632BC2">
        <w:t>.</w:t>
      </w:r>
    </w:p>
    <w:p w:rsidR="00B26443" w:rsidRPr="00B26443" w:rsidRDefault="00632BC2" w:rsidP="00F328DE">
      <w:pPr>
        <w:spacing w:before="60" w:line="360" w:lineRule="auto"/>
        <w:ind w:left="425"/>
        <w:jc w:val="both"/>
      </w:pPr>
      <w:r>
        <w:lastRenderedPageBreak/>
        <w:t>O</w:t>
      </w:r>
      <w:r w:rsidR="00493FD8">
        <w:t xml:space="preserve">becnie obowiązujące przepisy ustawy </w:t>
      </w:r>
      <w:r w:rsidR="00493FD8" w:rsidRPr="00FD60C0">
        <w:t>o ppe</w:t>
      </w:r>
      <w:r w:rsidR="00493FD8">
        <w:rPr>
          <w:i/>
        </w:rPr>
        <w:t xml:space="preserve"> </w:t>
      </w:r>
      <w:r w:rsidR="00B26443">
        <w:t xml:space="preserve">nie przewidują określonego w art. 3 lit. e dyrektywy okresu gromadzenia nieprzepadalnych uprawnień. Prawo do zgromadzonych uprawnień do dodatkowej emerytury (na gruncie ustawy </w:t>
      </w:r>
      <w:r w:rsidR="00B26443" w:rsidRPr="00FD60C0">
        <w:t>o ppe</w:t>
      </w:r>
      <w:r w:rsidR="00B26443">
        <w:t xml:space="preserve"> – do zgromadzonych środków) przysługuje uczestnikowi programu już od pierwszego dnia uczestnictwa w programie (warunki wypłaty są określone w art. 42 ustawy </w:t>
      </w:r>
      <w:r w:rsidR="00B26443" w:rsidRPr="00FD60C0">
        <w:t>o ppe</w:t>
      </w:r>
      <w:r w:rsidR="00B26443">
        <w:t xml:space="preserve">). </w:t>
      </w:r>
    </w:p>
    <w:p w:rsidR="00493FD8" w:rsidRDefault="00B26443" w:rsidP="00F328DE">
      <w:pPr>
        <w:spacing w:before="60" w:line="360" w:lineRule="auto"/>
        <w:ind w:left="425"/>
        <w:jc w:val="both"/>
      </w:pPr>
      <w:r>
        <w:t xml:space="preserve">Jednocześnie, obecnie obowiązujące przepisy ustawy </w:t>
      </w:r>
      <w:r w:rsidRPr="00FD60C0">
        <w:t>o ppe</w:t>
      </w:r>
      <w:r>
        <w:t xml:space="preserve"> </w:t>
      </w:r>
      <w:r w:rsidR="00493FD8">
        <w:t xml:space="preserve">(art. 5 ust. 1) określają jedynie minimalny – nie krótszy niż 3 miesiące – nie zaś </w:t>
      </w:r>
      <w:r w:rsidR="0048788B">
        <w:t xml:space="preserve">maksymalny okres </w:t>
      </w:r>
      <w:r w:rsidR="00E8269F">
        <w:t>stażu pracy u</w:t>
      </w:r>
      <w:r w:rsidR="00F328DE">
        <w:t xml:space="preserve"> </w:t>
      </w:r>
      <w:r w:rsidR="004648D6">
        <w:t xml:space="preserve">danego pracodawcy, </w:t>
      </w:r>
      <w:r w:rsidR="00532776">
        <w:t>umożliwiający</w:t>
      </w:r>
      <w:r w:rsidR="0048788B">
        <w:t xml:space="preserve"> nabycie</w:t>
      </w:r>
      <w:r w:rsidR="00493FD8">
        <w:t xml:space="preserve"> przez pracownika pra</w:t>
      </w:r>
      <w:r>
        <w:t xml:space="preserve">wa do przystąpienia do programu. </w:t>
      </w:r>
    </w:p>
    <w:p w:rsidR="001A4D32" w:rsidRDefault="006130BE" w:rsidP="00F328DE">
      <w:pPr>
        <w:spacing w:before="120" w:line="360" w:lineRule="auto"/>
        <w:ind w:left="426" w:hanging="426"/>
        <w:jc w:val="both"/>
      </w:pPr>
      <w:r>
        <w:t>2)</w:t>
      </w:r>
      <w:r w:rsidR="00C97971">
        <w:tab/>
      </w:r>
      <w:r w:rsidR="0028296C">
        <w:t>D</w:t>
      </w:r>
      <w:r w:rsidR="00C97971">
        <w:t>odanie</w:t>
      </w:r>
      <w:r w:rsidR="00493FD8">
        <w:t xml:space="preserve"> art. 22</w:t>
      </w:r>
      <w:r w:rsidR="00C97971">
        <w:t>a</w:t>
      </w:r>
      <w:r>
        <w:t>,</w:t>
      </w:r>
      <w:r w:rsidR="00493FD8">
        <w:t xml:space="preserve"> </w:t>
      </w:r>
      <w:r w:rsidR="00C97971">
        <w:t>w którym określone zostają obowiązki informacyjne pracodawców</w:t>
      </w:r>
      <w:r w:rsidR="00493FD8">
        <w:t xml:space="preserve"> </w:t>
      </w:r>
      <w:r w:rsidR="00C97971">
        <w:t xml:space="preserve">względem uczestników programu, byłych </w:t>
      </w:r>
      <w:r w:rsidR="00435D1F">
        <w:t>pracowników</w:t>
      </w:r>
      <w:r w:rsidR="00C97971">
        <w:t xml:space="preserve"> oraz osób uprawnionych do otrzymania środków zgromadzonych przez uczestnika programu w przypadku jego śmierci, </w:t>
      </w:r>
      <w:r w:rsidR="00532776">
        <w:t>w</w:t>
      </w:r>
      <w:r w:rsidR="00F328DE">
        <w:t xml:space="preserve"> </w:t>
      </w:r>
      <w:r w:rsidR="00532776">
        <w:t>celu</w:t>
      </w:r>
      <w:r w:rsidR="00493FD8">
        <w:t xml:space="preserve"> dostarczenia</w:t>
      </w:r>
      <w:r w:rsidR="00C97971">
        <w:t xml:space="preserve"> zindywidualizowanej informacji.</w:t>
      </w:r>
    </w:p>
    <w:p w:rsidR="00C97971" w:rsidRDefault="00C97971" w:rsidP="00F328DE">
      <w:pPr>
        <w:spacing w:before="60" w:line="360" w:lineRule="auto"/>
        <w:ind w:left="425"/>
        <w:jc w:val="both"/>
      </w:pPr>
      <w:r>
        <w:t>W art. 22</w:t>
      </w:r>
      <w:r w:rsidR="007D233E">
        <w:t>a</w:t>
      </w:r>
      <w:r>
        <w:t xml:space="preserve"> ust. 1 określa się </w:t>
      </w:r>
      <w:r w:rsidR="00BA1917">
        <w:t xml:space="preserve">termin, </w:t>
      </w:r>
      <w:r>
        <w:t>formę</w:t>
      </w:r>
      <w:r w:rsidR="00435D1F">
        <w:t>, postać</w:t>
      </w:r>
      <w:r>
        <w:t xml:space="preserve"> i częstotliwość przekazywania aktywnemu uczestnikowi programu informacji na temat wpływu ustania zatrudnienia na jego uprawnienia do środków gromadzonych na rachunku</w:t>
      </w:r>
      <w:r w:rsidR="006130BE">
        <w:t xml:space="preserve"> – zgodnie z art. 6 ust. 4 d</w:t>
      </w:r>
      <w:r w:rsidR="00E36420">
        <w:t>yrektywy.</w:t>
      </w:r>
    </w:p>
    <w:p w:rsidR="007D233E" w:rsidRDefault="007D233E" w:rsidP="00F328DE">
      <w:pPr>
        <w:spacing w:before="60" w:line="360" w:lineRule="auto"/>
        <w:ind w:left="425"/>
        <w:jc w:val="both"/>
      </w:pPr>
      <w:r>
        <w:t>W art. 22a ust</w:t>
      </w:r>
      <w:r w:rsidR="008804CD">
        <w:t>.</w:t>
      </w:r>
      <w:r>
        <w:t xml:space="preserve"> 2 wskazuje się, co w szczególności powinna zawierać informacja</w:t>
      </w:r>
      <w:r w:rsidR="008804CD">
        <w:t>,</w:t>
      </w:r>
      <w:r>
        <w:t xml:space="preserve"> </w:t>
      </w:r>
      <w:r w:rsidR="005C422F">
        <w:t>o</w:t>
      </w:r>
      <w:r w:rsidR="00F328DE">
        <w:t> </w:t>
      </w:r>
      <w:r w:rsidR="005C422F">
        <w:t xml:space="preserve">której mowa </w:t>
      </w:r>
      <w:r>
        <w:t>w ust. 1 – zg</w:t>
      </w:r>
      <w:r w:rsidR="00227A71">
        <w:t>odnie z art. 6 ust. 1 lit. a–</w:t>
      </w:r>
      <w:r w:rsidR="005C422F">
        <w:t>c d</w:t>
      </w:r>
      <w:r>
        <w:t>yrektywy.</w:t>
      </w:r>
    </w:p>
    <w:p w:rsidR="00493FD8" w:rsidRDefault="007D233E" w:rsidP="00F328DE">
      <w:pPr>
        <w:spacing w:before="60" w:line="360" w:lineRule="auto"/>
        <w:ind w:left="425"/>
        <w:jc w:val="both"/>
      </w:pPr>
      <w:r>
        <w:t>Przepis ten określa zakres</w:t>
      </w:r>
      <w:r w:rsidR="00493FD8">
        <w:t xml:space="preserve"> indywidualnej informacji uczestn</w:t>
      </w:r>
      <w:r w:rsidR="00532776">
        <w:t>ika programu emerytalnego, który częściowo nie wynika z ustawy</w:t>
      </w:r>
      <w:r w:rsidR="00493FD8">
        <w:t xml:space="preserve"> </w:t>
      </w:r>
      <w:r w:rsidR="00493FD8" w:rsidRPr="00FD60C0">
        <w:t>o ppe</w:t>
      </w:r>
      <w:r w:rsidR="00493FD8">
        <w:t>, tj.:</w:t>
      </w:r>
    </w:p>
    <w:p w:rsidR="00493FD8" w:rsidRDefault="00493FD8" w:rsidP="00F328DE">
      <w:pPr>
        <w:numPr>
          <w:ilvl w:val="0"/>
          <w:numId w:val="17"/>
        </w:numPr>
        <w:spacing w:line="360" w:lineRule="auto"/>
        <w:ind w:left="850" w:hanging="425"/>
        <w:jc w:val="both"/>
      </w:pPr>
      <w:r>
        <w:t xml:space="preserve">wskazanie warunków nabycia uprawnień w ramach dodatkowego programu emerytalnego (częściowo pokrywa się z art. 22 ust. 1 ustawy </w:t>
      </w:r>
      <w:r w:rsidRPr="00FD60C0">
        <w:t>o ppe</w:t>
      </w:r>
      <w:r w:rsidR="00FE7B3B">
        <w:t>, zgodnie z</w:t>
      </w:r>
      <w:r w:rsidR="00F328DE">
        <w:t> </w:t>
      </w:r>
      <w:r w:rsidR="00FE7B3B">
        <w:t>którym</w:t>
      </w:r>
      <w:r>
        <w:t xml:space="preserve"> pracodawca przekazuje informację o warunkach funkcjonowania programu</w:t>
      </w:r>
      <w:r w:rsidR="00C544B2">
        <w:t>, w</w:t>
      </w:r>
      <w:r w:rsidR="00F328DE">
        <w:t xml:space="preserve"> </w:t>
      </w:r>
      <w:r w:rsidR="007D233E">
        <w:t>tym o zasadach wypłat, wypłat transferowych i zwrotów</w:t>
      </w:r>
      <w:r>
        <w:t>),</w:t>
      </w:r>
    </w:p>
    <w:p w:rsidR="008925F2" w:rsidRDefault="007D233E" w:rsidP="00F328DE">
      <w:pPr>
        <w:numPr>
          <w:ilvl w:val="0"/>
          <w:numId w:val="17"/>
        </w:numPr>
        <w:spacing w:line="360" w:lineRule="auto"/>
        <w:ind w:left="850" w:hanging="425"/>
        <w:jc w:val="both"/>
      </w:pPr>
      <w:r>
        <w:t xml:space="preserve">określenie </w:t>
      </w:r>
      <w:r w:rsidR="00493FD8">
        <w:t>wartości zgromadzonych uprawnień (zgodnie z art.</w:t>
      </w:r>
      <w:r w:rsidR="009111E4">
        <w:t xml:space="preserve"> </w:t>
      </w:r>
      <w:r w:rsidR="00493FD8">
        <w:t xml:space="preserve">8 ust. 5 ustawy </w:t>
      </w:r>
      <w:r w:rsidRPr="00FD60C0">
        <w:t>o</w:t>
      </w:r>
      <w:r w:rsidR="00F328DE" w:rsidRPr="00FD60C0">
        <w:t> </w:t>
      </w:r>
      <w:r w:rsidR="00493FD8" w:rsidRPr="00FD60C0">
        <w:t>ppe</w:t>
      </w:r>
      <w:r w:rsidR="00493FD8">
        <w:t xml:space="preserve"> </w:t>
      </w:r>
      <w:r>
        <w:t xml:space="preserve">zarządzający programem </w:t>
      </w:r>
      <w:r w:rsidR="00493FD8">
        <w:t xml:space="preserve">udziela </w:t>
      </w:r>
      <w:r w:rsidR="00526F13">
        <w:t>uczestnikowi programu</w:t>
      </w:r>
      <w:r>
        <w:t xml:space="preserve"> informacji na temat m.in. wysokości wpłat i wypłat transferowych</w:t>
      </w:r>
      <w:r w:rsidR="00526F13">
        <w:t xml:space="preserve"> </w:t>
      </w:r>
      <w:r w:rsidR="008925F2">
        <w:t>w</w:t>
      </w:r>
      <w:r w:rsidR="00F328DE">
        <w:t> </w:t>
      </w:r>
      <w:r w:rsidR="00493FD8">
        <w:t xml:space="preserve">przypadku </w:t>
      </w:r>
      <w:r>
        <w:t>dokonania wypłaty, jednakże</w:t>
      </w:r>
      <w:r w:rsidR="005C422F">
        <w:t xml:space="preserve"> d</w:t>
      </w:r>
      <w:r w:rsidR="00493FD8">
        <w:t>yrektywa wskazuje na prawo do informacji</w:t>
      </w:r>
      <w:r w:rsidR="0028296C">
        <w:t>,</w:t>
      </w:r>
      <w:r w:rsidR="00493FD8">
        <w:t xml:space="preserve"> jak określone postępowanie wpłynęłoby na wysokość przyszłej emerytury dodatkowej</w:t>
      </w:r>
      <w:r>
        <w:t xml:space="preserve"> – a więc przed podjęciem decyzji o wypłacie</w:t>
      </w:r>
      <w:r w:rsidR="00493FD8">
        <w:t>),</w:t>
      </w:r>
    </w:p>
    <w:p w:rsidR="00E463AE" w:rsidRDefault="001D4B48" w:rsidP="00F328DE">
      <w:pPr>
        <w:numPr>
          <w:ilvl w:val="0"/>
          <w:numId w:val="17"/>
        </w:numPr>
        <w:spacing w:line="360" w:lineRule="auto"/>
        <w:ind w:left="850" w:hanging="425"/>
        <w:jc w:val="both"/>
      </w:pPr>
      <w:r>
        <w:lastRenderedPageBreak/>
        <w:t xml:space="preserve">wskazanie </w:t>
      </w:r>
      <w:r w:rsidR="00493FD8">
        <w:t>warunków przyszłego traktowania nieaktywnych uprawnień emerytalnych</w:t>
      </w:r>
      <w:r w:rsidR="001A2435">
        <w:rPr>
          <w:rStyle w:val="Odwoanieprzypisudolnego"/>
        </w:rPr>
        <w:footnoteReference w:id="1"/>
      </w:r>
      <w:r w:rsidR="00493FD8">
        <w:t xml:space="preserve"> (</w:t>
      </w:r>
      <w:r w:rsidR="00B451FA">
        <w:t>na mocy art. 6 ust</w:t>
      </w:r>
      <w:r w:rsidR="006670B8">
        <w:t>. 1 lit. c dyrektywy). S</w:t>
      </w:r>
      <w:r w:rsidR="001A2435">
        <w:t>tatus tych uprawnień jest regulowany</w:t>
      </w:r>
      <w:r w:rsidR="00493FD8">
        <w:t xml:space="preserve"> przez art. 27 ustawy </w:t>
      </w:r>
      <w:r w:rsidR="00493FD8" w:rsidRPr="00FD60C0">
        <w:t>o ppe</w:t>
      </w:r>
      <w:r w:rsidR="00493FD8">
        <w:t>, jednak warunki</w:t>
      </w:r>
      <w:r w:rsidR="001A2435">
        <w:t xml:space="preserve"> te</w:t>
      </w:r>
      <w:r w:rsidR="00493FD8">
        <w:t xml:space="preserve"> nie są przedmiotem informacji</w:t>
      </w:r>
      <w:r w:rsidR="001A2435">
        <w:t xml:space="preserve"> przekazywanej pracownikowi</w:t>
      </w:r>
      <w:r w:rsidR="005678C3">
        <w:t>,</w:t>
      </w:r>
    </w:p>
    <w:p w:rsidR="00E36420" w:rsidRDefault="00493FD8" w:rsidP="00F328DE">
      <w:pPr>
        <w:numPr>
          <w:ilvl w:val="0"/>
          <w:numId w:val="17"/>
        </w:numPr>
        <w:spacing w:line="360" w:lineRule="auto"/>
        <w:ind w:left="850" w:hanging="425"/>
        <w:jc w:val="both"/>
      </w:pPr>
      <w:r>
        <w:t xml:space="preserve">pouczenie, że </w:t>
      </w:r>
      <w:r w:rsidR="00E463AE">
        <w:t xml:space="preserve">w przypadku dokonania zwrotu </w:t>
      </w:r>
      <w:r>
        <w:t>uczestnik programu powinien rozważyć zasięgnięcie porady w sprawie za</w:t>
      </w:r>
      <w:r w:rsidR="00A2477F">
        <w:t xml:space="preserve">inwestowania tego kapitału </w:t>
      </w:r>
      <w:r w:rsidR="0028296C">
        <w:t xml:space="preserve">w </w:t>
      </w:r>
      <w:r w:rsidR="00A2477F">
        <w:t>cel</w:t>
      </w:r>
      <w:r w:rsidR="0028296C">
        <w:t>u</w:t>
      </w:r>
      <w:r>
        <w:t xml:space="preserve"> uzys</w:t>
      </w:r>
      <w:r w:rsidR="00E463AE">
        <w:t>kania świadczenia emerytalnego</w:t>
      </w:r>
      <w:r w:rsidR="00A2477F">
        <w:t xml:space="preserve"> (pouczenie to dodaje się</w:t>
      </w:r>
      <w:r w:rsidR="005C131B">
        <w:t>,</w:t>
      </w:r>
      <w:r w:rsidR="00A2477F">
        <w:t xml:space="preserve"> aby przypomnieć</w:t>
      </w:r>
      <w:r w:rsidR="00497818">
        <w:t xml:space="preserve"> uczestnikowi</w:t>
      </w:r>
      <w:r w:rsidR="005C131B">
        <w:t>,</w:t>
      </w:r>
      <w:r w:rsidR="00497818">
        <w:t xml:space="preserve"> </w:t>
      </w:r>
      <w:r w:rsidR="00A2477F">
        <w:t>jaki jest cel</w:t>
      </w:r>
      <w:r w:rsidR="00497818">
        <w:t xml:space="preserve"> gromadzenia środków</w:t>
      </w:r>
      <w:r w:rsidR="005C131B">
        <w:t>,</w:t>
      </w:r>
      <w:r w:rsidR="00497818" w:rsidRPr="00497818">
        <w:t xml:space="preserve"> </w:t>
      </w:r>
      <w:r w:rsidR="00A2477F">
        <w:t>oraz uświadomić mu ich znaczenie</w:t>
      </w:r>
      <w:r w:rsidR="00497818">
        <w:t xml:space="preserve"> dla </w:t>
      </w:r>
      <w:r w:rsidR="00D53827">
        <w:t>przyszłyc</w:t>
      </w:r>
      <w:r w:rsidR="00A2477F">
        <w:t>h dochodów</w:t>
      </w:r>
      <w:r w:rsidR="00D53827">
        <w:t xml:space="preserve"> po zakończeniu</w:t>
      </w:r>
      <w:r w:rsidR="00A2477F">
        <w:t>,</w:t>
      </w:r>
      <w:r w:rsidR="00D53827">
        <w:t xml:space="preserve"> ze względu na wiek, aktywności zawodowej</w:t>
      </w:r>
      <w:r w:rsidR="008925F2">
        <w:t>)</w:t>
      </w:r>
      <w:r w:rsidR="00497818">
        <w:t>. Jednocześnie należy pamiętać, że katalog podmiotów</w:t>
      </w:r>
      <w:r w:rsidR="006670B8">
        <w:t>,</w:t>
      </w:r>
      <w:r w:rsidR="00497818">
        <w:t xml:space="preserve"> u których można zasięgnąć porady w ww. zakresie</w:t>
      </w:r>
      <w:r w:rsidR="00A2477F">
        <w:t>,</w:t>
      </w:r>
      <w:r w:rsidR="00497818">
        <w:t xml:space="preserve"> </w:t>
      </w:r>
      <w:r w:rsidR="00DB104B">
        <w:t xml:space="preserve">może być </w:t>
      </w:r>
      <w:r w:rsidR="00497818">
        <w:t>bardzo szeroki</w:t>
      </w:r>
      <w:r w:rsidR="00DB104B">
        <w:t xml:space="preserve"> i </w:t>
      </w:r>
      <w:r w:rsidR="008925F2">
        <w:t xml:space="preserve">może </w:t>
      </w:r>
      <w:r w:rsidR="00DB104B">
        <w:t xml:space="preserve">zależeć od wielu czynników, dlatego </w:t>
      </w:r>
      <w:r w:rsidR="00497818">
        <w:t xml:space="preserve">nieracjonalnym byłoby jego ustawowe </w:t>
      </w:r>
      <w:r w:rsidR="00B451FA">
        <w:t>do</w:t>
      </w:r>
      <w:r w:rsidR="008925F2">
        <w:t>określanie</w:t>
      </w:r>
      <w:r w:rsidR="00497818">
        <w:t>.</w:t>
      </w:r>
      <w:r w:rsidR="00FE221D">
        <w:t xml:space="preserve"> </w:t>
      </w:r>
      <w:r w:rsidR="00FE221D" w:rsidRPr="00FE221D">
        <w:t xml:space="preserve">Na polskim rynku kapitałowym działa szereg bardzo zróżnicowanych podmiotów, posiadających wiedzę w zakresie inwestowania, przykładowo: biura brokerskie, domy maklerskie, doradcy inwestycyjni, doradcy finansowi, firmy i fundusze inwestycyjne, stowarzyszenia inwestorów indywidualnych, etc. Brak jest jednak instytucji niezależnego doradcy, którego pracodawca mógłby wskazać jako osobę działającą tylko i wyłącznie w interesie pracownika. Dlatego trudno oczekiwać, </w:t>
      </w:r>
      <w:r w:rsidR="0028296C">
        <w:t>a</w:t>
      </w:r>
      <w:r w:rsidR="00FE221D" w:rsidRPr="00FE221D">
        <w:t>by pracodawca wskazywał w informacji przekazywanej pracownikowi zamknięty katalog firm, które świadczą usługi doradztwa inwestycyjnego.</w:t>
      </w:r>
    </w:p>
    <w:p w:rsidR="00493FD8" w:rsidRDefault="00B75518" w:rsidP="00F328DE">
      <w:pPr>
        <w:spacing w:before="120" w:line="360" w:lineRule="auto"/>
        <w:jc w:val="both"/>
      </w:pPr>
      <w:r>
        <w:t>W art.</w:t>
      </w:r>
      <w:r w:rsidR="00BE609A">
        <w:t xml:space="preserve"> 22</w:t>
      </w:r>
      <w:r w:rsidR="00770E46">
        <w:t>a</w:t>
      </w:r>
      <w:r w:rsidR="00BE609A">
        <w:t xml:space="preserve"> ust. 3 </w:t>
      </w:r>
      <w:r>
        <w:t xml:space="preserve">określa się </w:t>
      </w:r>
      <w:r w:rsidR="00DD6F08">
        <w:t xml:space="preserve">termin, </w:t>
      </w:r>
      <w:r>
        <w:t xml:space="preserve">zakres, </w:t>
      </w:r>
      <w:r w:rsidR="00AA471D">
        <w:t xml:space="preserve">postać, </w:t>
      </w:r>
      <w:r>
        <w:t xml:space="preserve">formę i częstotliwość udzielania informacji byłemu </w:t>
      </w:r>
      <w:r w:rsidR="0069686B">
        <w:t xml:space="preserve">pracownikowi </w:t>
      </w:r>
      <w:r w:rsidR="00BE609A">
        <w:t>(</w:t>
      </w:r>
      <w:r w:rsidR="0069686B">
        <w:t>który na gruncie polskim jest beneficjentem</w:t>
      </w:r>
      <w:r w:rsidR="00BE609A">
        <w:t xml:space="preserve"> z</w:t>
      </w:r>
      <w:r w:rsidR="00F328DE">
        <w:t> </w:t>
      </w:r>
      <w:r w:rsidR="00BE609A">
        <w:t>odroczonymi uprawnieniami</w:t>
      </w:r>
      <w:r w:rsidR="00BE609A">
        <w:rPr>
          <w:rStyle w:val="Odwoanieprzypisudolnego"/>
        </w:rPr>
        <w:footnoteReference w:id="2"/>
      </w:r>
      <w:r w:rsidR="00BE609A">
        <w:t>)</w:t>
      </w:r>
      <w:r>
        <w:t xml:space="preserve"> przez pracodaw</w:t>
      </w:r>
      <w:r w:rsidR="00805953">
        <w:t>cę</w:t>
      </w:r>
      <w:r w:rsidR="0069686B">
        <w:t xml:space="preserve"> prowadzącego program</w:t>
      </w:r>
      <w:r w:rsidR="00DE3DE8">
        <w:t xml:space="preserve"> </w:t>
      </w:r>
      <w:r w:rsidR="00BE609A">
        <w:t>– zgodnie z</w:t>
      </w:r>
      <w:r w:rsidR="00F328DE">
        <w:t> </w:t>
      </w:r>
      <w:r w:rsidR="00BE609A">
        <w:t>a</w:t>
      </w:r>
      <w:r w:rsidR="00493FD8">
        <w:t>rt. 6 ust.</w:t>
      </w:r>
      <w:r w:rsidR="00F328DE">
        <w:t xml:space="preserve"> </w:t>
      </w:r>
      <w:r w:rsidR="00805953">
        <w:t>2 d</w:t>
      </w:r>
      <w:r w:rsidR="00493FD8">
        <w:t>yrektywy</w:t>
      </w:r>
      <w:r w:rsidR="00BE609A">
        <w:t xml:space="preserve">. Kwestia ta nie była dotychczas uregulowana </w:t>
      </w:r>
      <w:r w:rsidR="00493FD8">
        <w:t xml:space="preserve">w ustawie </w:t>
      </w:r>
      <w:r w:rsidR="00493FD8" w:rsidRPr="00FD60C0">
        <w:t>o ppe</w:t>
      </w:r>
      <w:r w:rsidR="00BE609A">
        <w:t>.</w:t>
      </w:r>
    </w:p>
    <w:p w:rsidR="004A7169" w:rsidRDefault="002B5AC6" w:rsidP="00F328DE">
      <w:pPr>
        <w:spacing w:before="120" w:line="360" w:lineRule="auto"/>
        <w:jc w:val="both"/>
      </w:pPr>
      <w:r>
        <w:lastRenderedPageBreak/>
        <w:t xml:space="preserve">Projektowany art. 22a ust. 4 reguluje zagadnienie osób uprawnionych do otrzymania środków zgromadzonych przez uczestnika w przypadku jego śmierci, które </w:t>
      </w:r>
      <w:r w:rsidR="00562F90">
        <w:t xml:space="preserve">to osoby </w:t>
      </w:r>
      <w:r>
        <w:t>zamierzają otrzymać wypłatę środków ratalnie, w</w:t>
      </w:r>
      <w:r w:rsidR="00F328DE">
        <w:t xml:space="preserve"> </w:t>
      </w:r>
      <w:r>
        <w:t>terminie późniejszym (na mocy art</w:t>
      </w:r>
      <w:r w:rsidR="0052600F">
        <w:t>. </w:t>
      </w:r>
      <w:r>
        <w:t xml:space="preserve">42 ust. 3 ustawy </w:t>
      </w:r>
      <w:r w:rsidRPr="00FD60C0">
        <w:t>o</w:t>
      </w:r>
      <w:r w:rsidR="00F328DE" w:rsidRPr="00FD60C0">
        <w:t xml:space="preserve"> </w:t>
      </w:r>
      <w:r w:rsidRPr="00FD60C0">
        <w:t>ppe</w:t>
      </w:r>
      <w:r w:rsidR="008A2499">
        <w:t>) – zgodnie z art. 6 ust. 3 d</w:t>
      </w:r>
      <w:r>
        <w:t>yrektywy.</w:t>
      </w:r>
      <w:r w:rsidR="00ED37CD">
        <w:t xml:space="preserve"> </w:t>
      </w:r>
      <w:r>
        <w:t>Przepis ten stanowi, że w</w:t>
      </w:r>
      <w:r w:rsidR="00F328DE">
        <w:t> </w:t>
      </w:r>
      <w:r>
        <w:t>przypadku świadczeń dla spadkobierców związanych z</w:t>
      </w:r>
      <w:r w:rsidR="00F328DE">
        <w:t xml:space="preserve"> </w:t>
      </w:r>
      <w:r>
        <w:t>dodatko</w:t>
      </w:r>
      <w:r w:rsidR="00ED37CD">
        <w:t xml:space="preserve">wymi programami emerytalnymi (w </w:t>
      </w:r>
      <w:r>
        <w:t xml:space="preserve">tekście polskim – </w:t>
      </w:r>
      <w:r w:rsidRPr="00813407">
        <w:t>renty rodzinne</w:t>
      </w:r>
      <w:r>
        <w:t>, w</w:t>
      </w:r>
      <w:r w:rsidR="00F328DE">
        <w:t xml:space="preserve"> </w:t>
      </w:r>
      <w:r>
        <w:t>oryg.</w:t>
      </w:r>
      <w:r w:rsidR="00F328DE">
        <w:t xml:space="preserve"> </w:t>
      </w:r>
      <w:r>
        <w:t>ang.</w:t>
      </w:r>
      <w:r w:rsidR="00F328DE">
        <w:t xml:space="preserve"> </w:t>
      </w:r>
      <w:r w:rsidRPr="00EC310A">
        <w:rPr>
          <w:i/>
        </w:rPr>
        <w:t>survivor’s benefits attached to supplemetary pensions</w:t>
      </w:r>
      <w:r w:rsidR="008A2499">
        <w:t>) art. 6 ust. 2 d</w:t>
      </w:r>
      <w:r>
        <w:t>yrektywy ma zastosowanie do beneficjentów pozostałych przy życiu – czyli do osób uprawnionych do otrzymania środków z</w:t>
      </w:r>
      <w:r w:rsidR="00602119">
        <w:t>gromadzonych przez uczestnika w</w:t>
      </w:r>
      <w:r w:rsidR="00F328DE">
        <w:t xml:space="preserve"> </w:t>
      </w:r>
      <w:r>
        <w:t>przypadku jego śmierci.</w:t>
      </w:r>
      <w:r w:rsidR="004A7169">
        <w:t xml:space="preserve"> </w:t>
      </w:r>
    </w:p>
    <w:p w:rsidR="00493FD8" w:rsidRDefault="002B5AC6" w:rsidP="00F328DE">
      <w:pPr>
        <w:spacing w:before="120" w:line="360" w:lineRule="auto"/>
        <w:jc w:val="both"/>
      </w:pPr>
      <w:r>
        <w:t>Osoby te powinny być</w:t>
      </w:r>
      <w:r w:rsidRPr="002B5AC6">
        <w:t xml:space="preserve"> </w:t>
      </w:r>
      <w:r>
        <w:t>trakt</w:t>
      </w:r>
      <w:r w:rsidR="00464898">
        <w:t>owane, w świetle art. 6 ust. 3 d</w:t>
      </w:r>
      <w:r>
        <w:t>yrektywy, jak beneficjenci z</w:t>
      </w:r>
      <w:r w:rsidR="00F328DE">
        <w:t> </w:t>
      </w:r>
      <w:r>
        <w:t xml:space="preserve">odroczonymi uprawnieniami – </w:t>
      </w:r>
      <w:r w:rsidR="00096893">
        <w:t>czyli przysługuje</w:t>
      </w:r>
      <w:r>
        <w:t xml:space="preserve"> im prawo do uzyskania informac</w:t>
      </w:r>
      <w:r w:rsidR="00464898">
        <w:t>ji określonych w art. 6 ust. 2 d</w:t>
      </w:r>
      <w:r>
        <w:t>yrektywy</w:t>
      </w:r>
      <w:r w:rsidR="000C3E7D">
        <w:t xml:space="preserve"> (a więc w projektowanym art.</w:t>
      </w:r>
      <w:r w:rsidR="00F328DE">
        <w:t xml:space="preserve"> </w:t>
      </w:r>
      <w:r w:rsidR="000C3E7D">
        <w:t>22a ust. 3)</w:t>
      </w:r>
      <w:r>
        <w:t>.</w:t>
      </w:r>
      <w:r w:rsidR="00E36420" w:rsidRPr="00E36420">
        <w:t xml:space="preserve"> </w:t>
      </w:r>
      <w:r w:rsidR="00E36420">
        <w:t xml:space="preserve">Obecnie kwestia ta nie jest uregulowana w ustawie </w:t>
      </w:r>
      <w:r w:rsidR="00E36420" w:rsidRPr="00FD60C0">
        <w:t>o</w:t>
      </w:r>
      <w:r w:rsidR="00F328DE" w:rsidRPr="00FD60C0">
        <w:t xml:space="preserve"> </w:t>
      </w:r>
      <w:r w:rsidR="00E36420" w:rsidRPr="00FD60C0">
        <w:t>ppe</w:t>
      </w:r>
      <w:r w:rsidR="00E36420">
        <w:t>.</w:t>
      </w:r>
    </w:p>
    <w:p w:rsidR="00E36420" w:rsidRDefault="00E36420" w:rsidP="00F328DE">
      <w:pPr>
        <w:spacing w:before="120" w:line="360" w:lineRule="auto"/>
        <w:jc w:val="both"/>
      </w:pPr>
      <w:r>
        <w:t>W art. 22a ust. 5 zo</w:t>
      </w:r>
      <w:r w:rsidR="0070341A">
        <w:t>bowiązuje się zarządzających pracowniczymi programami emerytalnymi</w:t>
      </w:r>
      <w:r>
        <w:t xml:space="preserve"> do niezwłocznego przekazywania </w:t>
      </w:r>
      <w:r w:rsidR="00BE05DA">
        <w:t>pracodawcom prowadzącym program</w:t>
      </w:r>
      <w:r>
        <w:t xml:space="preserve"> </w:t>
      </w:r>
      <w:r w:rsidR="00BE05DA">
        <w:t>–</w:t>
      </w:r>
      <w:r>
        <w:t xml:space="preserve"> na ich wniosek – informacji</w:t>
      </w:r>
      <w:r w:rsidR="00FD4204">
        <w:t xml:space="preserve"> dotyczących wartości </w:t>
      </w:r>
      <w:r w:rsidR="00D53827">
        <w:t xml:space="preserve">środków </w:t>
      </w:r>
      <w:r w:rsidR="00FD4204">
        <w:t xml:space="preserve">zgromadzonych na rachunku </w:t>
      </w:r>
      <w:r w:rsidR="00D53827">
        <w:t>pracownika (</w:t>
      </w:r>
      <w:r w:rsidR="00FD4204">
        <w:t>aktywnego uczestnika</w:t>
      </w:r>
      <w:r w:rsidR="00D53827">
        <w:t>)</w:t>
      </w:r>
      <w:r w:rsidR="00FD4204">
        <w:t xml:space="preserve"> lub byłego pracownika</w:t>
      </w:r>
      <w:r>
        <w:t xml:space="preserve">. Przepis ten ma na celu umożliwienie </w:t>
      </w:r>
      <w:r w:rsidR="00577F0F">
        <w:t>pracodawcom realizacji</w:t>
      </w:r>
      <w:r w:rsidR="00661015">
        <w:t xml:space="preserve"> </w:t>
      </w:r>
      <w:r w:rsidR="001A129A">
        <w:t>obowiązków nałożonych na nich w</w:t>
      </w:r>
      <w:r w:rsidR="00F328DE">
        <w:t xml:space="preserve"> </w:t>
      </w:r>
      <w:r w:rsidR="00661015">
        <w:t>związku</w:t>
      </w:r>
      <w:r w:rsidR="00C80F7B">
        <w:t xml:space="preserve"> z</w:t>
      </w:r>
      <w:r w:rsidR="00F328DE">
        <w:t xml:space="preserve"> </w:t>
      </w:r>
      <w:r w:rsidR="00D7238E">
        <w:t>koniecznością implementacji d</w:t>
      </w:r>
      <w:r w:rsidR="00661015">
        <w:t>yrektywy,</w:t>
      </w:r>
      <w:r w:rsidR="00C80F7B">
        <w:t xml:space="preserve"> gdyż nie zawsze mogą być oni w</w:t>
      </w:r>
      <w:r w:rsidR="00F328DE">
        <w:t xml:space="preserve"> </w:t>
      </w:r>
      <w:r w:rsidR="00661015">
        <w:t>posiadaniu wymaganego przepisami kompletu informacji.</w:t>
      </w:r>
    </w:p>
    <w:p w:rsidR="00B31420" w:rsidRDefault="00B31420" w:rsidP="00F328DE">
      <w:pPr>
        <w:spacing w:before="120" w:line="360" w:lineRule="auto"/>
        <w:jc w:val="both"/>
      </w:pPr>
      <w:r>
        <w:t>Art. 2 projektowanej ustawy ustanawia okres przejściowy dla</w:t>
      </w:r>
      <w:r w:rsidR="001204BA">
        <w:t xml:space="preserve"> dostosowania</w:t>
      </w:r>
      <w:r>
        <w:t xml:space="preserve"> umów zakładowych, przewidujących w dniu poprzedzającym dzień wejścia w życie projektowanej ustawy dłuższy niż 3 lata staż pracy u danego pracodawcy,</w:t>
      </w:r>
      <w:r w:rsidR="001204BA">
        <w:t xml:space="preserve"> uprawniający do uczestnictwa w</w:t>
      </w:r>
      <w:r w:rsidR="00F328DE">
        <w:t xml:space="preserve"> </w:t>
      </w:r>
      <w:r w:rsidR="00A3125B">
        <w:t>programie emerytalnym oraz zwalnia pracodawców i zarządzających z konieczności uzyskania zgody organu nadzoru i wpisu do rejestru programów zmian określonych w</w:t>
      </w:r>
      <w:r w:rsidR="00F328DE">
        <w:t xml:space="preserve"> </w:t>
      </w:r>
      <w:r w:rsidR="00A3125B">
        <w:t>projektowanej ustawie.</w:t>
      </w:r>
    </w:p>
    <w:p w:rsidR="00FA1D33" w:rsidRDefault="000E583A" w:rsidP="00F328DE">
      <w:pPr>
        <w:spacing w:before="120" w:line="360" w:lineRule="auto"/>
        <w:jc w:val="both"/>
      </w:pPr>
      <w:r>
        <w:t xml:space="preserve">Zgodnie z art. 2 ust. 4 dyrektywy przepisy tej dyrektywy mają zastosowanie wyłącznie do okresów zatrudnienia przypadających po jej transponowaniu. Oznaczałoby to jednak wprowadzenie nierówności wobec prawa. Umowy przewidujące dłuższy niż 3 lata okres pracy uprawniający do uczestnictwa w programie stawiałyby uczestników programu w mniej korzystnej sytuacji niż umowy podpisane po transponowaniu dyrektywy. Art. 2 projektowanej ustawy ma na celu zapobieżenie tej sytuacji poprzez </w:t>
      </w:r>
      <w:r>
        <w:lastRenderedPageBreak/>
        <w:t>wprow</w:t>
      </w:r>
      <w:r w:rsidR="00A2477F">
        <w:t>adzenie okresu przejściowego, w</w:t>
      </w:r>
      <w:r w:rsidR="00F328DE">
        <w:t xml:space="preserve"> </w:t>
      </w:r>
      <w:r>
        <w:t>trakcie którego wszystkie umowy zakładowe zostaną dostosowane do wymogów określonych w dyr</w:t>
      </w:r>
      <w:r w:rsidR="00C80F7B">
        <w:t>ektywie, a także stanowi, że zmiana umów zakładowych w zakresie wskazanym w tym przepisie nie wymaga zgody organu nadzoru</w:t>
      </w:r>
      <w:r w:rsidR="009C39FB">
        <w:t xml:space="preserve"> (czyli Komisji Nadzoru Finansowego)</w:t>
      </w:r>
      <w:r w:rsidR="00C80F7B">
        <w:t>. Art. 2 określa również wzajemne obowi</w:t>
      </w:r>
      <w:r w:rsidR="00A2477F">
        <w:t>ązki informacyjne pracodawców i</w:t>
      </w:r>
      <w:r w:rsidR="00F328DE">
        <w:t xml:space="preserve"> </w:t>
      </w:r>
      <w:r w:rsidR="00C80F7B">
        <w:t>organu nadzoru dotyczące notyfikacji zmian wprowadzanych w umowach zakładowych.</w:t>
      </w:r>
    </w:p>
    <w:p w:rsidR="00A3125B" w:rsidRDefault="00A3125B" w:rsidP="00F328DE">
      <w:pPr>
        <w:spacing w:before="120" w:line="360" w:lineRule="auto"/>
        <w:jc w:val="both"/>
      </w:pPr>
      <w:r>
        <w:t xml:space="preserve">Projektowany art. 3 </w:t>
      </w:r>
      <w:r w:rsidR="005F7E94">
        <w:t xml:space="preserve">unieważnia </w:t>
      </w:r>
      <w:r>
        <w:t xml:space="preserve">z dniem </w:t>
      </w:r>
      <w:r w:rsidR="00A14BC6">
        <w:t>1 stycznia 2019 r. postanowienia umów zakładowych</w:t>
      </w:r>
      <w:r>
        <w:t xml:space="preserve"> niezgodnych z przepisami projektowanej ustawy oraz nakazuje w ich miejsce stosowanie</w:t>
      </w:r>
      <w:r w:rsidR="00FA1D33">
        <w:t xml:space="preserve"> </w:t>
      </w:r>
      <w:r w:rsidR="00A14BC6">
        <w:t xml:space="preserve">przepisów </w:t>
      </w:r>
      <w:r>
        <w:t>projektowanej ustawy.</w:t>
      </w:r>
    </w:p>
    <w:p w:rsidR="000E583A" w:rsidRDefault="000E583A" w:rsidP="00F328DE">
      <w:pPr>
        <w:spacing w:before="120" w:line="360" w:lineRule="auto"/>
        <w:jc w:val="both"/>
      </w:pPr>
      <w:r>
        <w:t xml:space="preserve">Art. 4 nakłada na organ nadzoru obowiązek dokonania </w:t>
      </w:r>
      <w:r w:rsidR="00BA0119">
        <w:t xml:space="preserve">do dnia 31 stycznia 2019 r. </w:t>
      </w:r>
      <w:r>
        <w:t xml:space="preserve">zmian w rejestrze pracowniczych programów emerytalnych, w odniesieniu do pracodawców, którzy nie dopełnili obowiązku </w:t>
      </w:r>
      <w:r w:rsidR="00BA0119">
        <w:t>poinformowania o dostosowaniu</w:t>
      </w:r>
      <w:r>
        <w:t xml:space="preserve"> umów zakładowych do brzmienia projektowanej ustawy.</w:t>
      </w:r>
    </w:p>
    <w:p w:rsidR="00A608AE" w:rsidRDefault="00A608AE" w:rsidP="00F328DE">
      <w:pPr>
        <w:pStyle w:val="Akapitzlist"/>
        <w:numPr>
          <w:ilvl w:val="0"/>
          <w:numId w:val="15"/>
        </w:numPr>
        <w:spacing w:before="240" w:line="360" w:lineRule="auto"/>
        <w:ind w:left="357" w:hanging="357"/>
        <w:contextualSpacing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Wpływ projektowanych zmian na mikro-, małych i średnich przedsiębiorców</w:t>
      </w:r>
    </w:p>
    <w:p w:rsidR="00A608AE" w:rsidRPr="00A608AE" w:rsidRDefault="00A608AE" w:rsidP="00F328DE">
      <w:pPr>
        <w:pStyle w:val="Akapitzlist"/>
        <w:spacing w:before="120" w:line="360" w:lineRule="auto"/>
        <w:ind w:left="0"/>
        <w:jc w:val="both"/>
        <w:rPr>
          <w:sz w:val="24"/>
          <w:szCs w:val="24"/>
        </w:rPr>
      </w:pPr>
      <w:r w:rsidRPr="00A608AE">
        <w:rPr>
          <w:sz w:val="24"/>
          <w:szCs w:val="24"/>
        </w:rPr>
        <w:t xml:space="preserve">Proponowane rozwiązania pozostają bez wpływu </w:t>
      </w:r>
      <w:r>
        <w:rPr>
          <w:sz w:val="24"/>
          <w:szCs w:val="24"/>
        </w:rPr>
        <w:t>na konkurencyjność gospodarki i</w:t>
      </w:r>
      <w:r w:rsidR="00F328DE">
        <w:rPr>
          <w:sz w:val="24"/>
          <w:szCs w:val="24"/>
        </w:rPr>
        <w:t> </w:t>
      </w:r>
      <w:r w:rsidRPr="00A608AE">
        <w:rPr>
          <w:sz w:val="24"/>
          <w:szCs w:val="24"/>
        </w:rPr>
        <w:t>przedsiębiorczość, w tym na działalność mikro-, małych i średnich przedsiębiorstw</w:t>
      </w:r>
      <w:r w:rsidR="00D53827">
        <w:rPr>
          <w:sz w:val="24"/>
          <w:szCs w:val="24"/>
        </w:rPr>
        <w:t>.</w:t>
      </w:r>
      <w:r w:rsidRPr="00A608AE">
        <w:rPr>
          <w:sz w:val="24"/>
          <w:szCs w:val="24"/>
        </w:rPr>
        <w:t xml:space="preserve"> Rozwiązania te nie powinny generować obciążeń dla pracodawców, ponieważ już dziś są oni zobowiązani do przekazywania pracownikom określonego w ustawie </w:t>
      </w:r>
      <w:r w:rsidRPr="00FD60C0">
        <w:rPr>
          <w:sz w:val="24"/>
          <w:szCs w:val="24"/>
        </w:rPr>
        <w:t>o ppe</w:t>
      </w:r>
      <w:r w:rsidRPr="00A608AE">
        <w:rPr>
          <w:sz w:val="24"/>
          <w:szCs w:val="24"/>
        </w:rPr>
        <w:t xml:space="preserve"> zakresu informacji.</w:t>
      </w:r>
    </w:p>
    <w:p w:rsidR="00806B45" w:rsidRPr="00806B45" w:rsidRDefault="00562F90" w:rsidP="00F328DE">
      <w:pPr>
        <w:pStyle w:val="Akapitzlist"/>
        <w:numPr>
          <w:ilvl w:val="0"/>
          <w:numId w:val="15"/>
        </w:numPr>
        <w:spacing w:before="240" w:line="360" w:lineRule="auto"/>
        <w:ind w:left="357" w:hanging="357"/>
        <w:contextualSpacing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Data wejścia w życie</w:t>
      </w:r>
    </w:p>
    <w:p w:rsidR="00D306C6" w:rsidRDefault="000F357E" w:rsidP="00F328DE">
      <w:pPr>
        <w:spacing w:before="120" w:line="360" w:lineRule="auto"/>
        <w:jc w:val="both"/>
      </w:pPr>
      <w:r>
        <w:t>Proponuje się</w:t>
      </w:r>
      <w:r w:rsidR="00562F90">
        <w:t>,</w:t>
      </w:r>
      <w:r>
        <w:t xml:space="preserve"> </w:t>
      </w:r>
      <w:r w:rsidR="0028296C">
        <w:t>a</w:t>
      </w:r>
      <w:r>
        <w:t>by proje</w:t>
      </w:r>
      <w:r w:rsidR="006B1097">
        <w:t>ktowana ustawa weszła w życie z dniem</w:t>
      </w:r>
      <w:r>
        <w:t xml:space="preserve"> </w:t>
      </w:r>
      <w:r w:rsidR="001A6F35">
        <w:t xml:space="preserve">następującym po dniu ogłoszenia, ponieważ w dniu 21 maja 2018 r. mija termin na dokonanie wdrożenia dyrektywy Parlamentu Europejskiego i Rady 2014/50/UE. Niezwłoczny termin wejścia w życie ustawy nie narusza zasad, o których mowa w art. 4 ust. 2 ustawy z dnia 20 lipca 2000 r. </w:t>
      </w:r>
      <w:r w:rsidR="001A6F35" w:rsidRPr="00813407">
        <w:t>o ogłaszaniu aktów normatywnych i niektórych innych aktów prawnych</w:t>
      </w:r>
      <w:r w:rsidR="001A6F35">
        <w:t xml:space="preserve"> (Dz.</w:t>
      </w:r>
      <w:r w:rsidR="0028296C">
        <w:t xml:space="preserve"> </w:t>
      </w:r>
      <w:r w:rsidR="001A6F35">
        <w:t>U. z 2017 r. poz. 1523), gdyż w projekcie znajdują się przepisy inter</w:t>
      </w:r>
      <w:r w:rsidR="00A2477F">
        <w:t>tempo</w:t>
      </w:r>
      <w:r w:rsidR="001A6F35">
        <w:t>r</w:t>
      </w:r>
      <w:r w:rsidR="00A2477F">
        <w:t>al</w:t>
      </w:r>
      <w:r w:rsidR="001A6F35">
        <w:t xml:space="preserve">ne, które gwarantują odpowiedni okres dostosowawczy dla podmiotów objętych ustawą. </w:t>
      </w:r>
    </w:p>
    <w:p w:rsidR="00806B45" w:rsidRPr="00806B45" w:rsidRDefault="00806B45" w:rsidP="00F328DE">
      <w:pPr>
        <w:pStyle w:val="Akapitzlist"/>
        <w:keepNext/>
        <w:numPr>
          <w:ilvl w:val="0"/>
          <w:numId w:val="15"/>
        </w:numPr>
        <w:spacing w:before="120" w:line="360" w:lineRule="auto"/>
        <w:ind w:left="360"/>
        <w:jc w:val="both"/>
        <w:rPr>
          <w:b/>
          <w:sz w:val="24"/>
          <w:szCs w:val="24"/>
        </w:rPr>
      </w:pPr>
      <w:r w:rsidRPr="00806B45">
        <w:rPr>
          <w:b/>
          <w:sz w:val="24"/>
          <w:szCs w:val="24"/>
        </w:rPr>
        <w:lastRenderedPageBreak/>
        <w:t>Info</w:t>
      </w:r>
      <w:r>
        <w:rPr>
          <w:b/>
          <w:sz w:val="24"/>
          <w:szCs w:val="24"/>
        </w:rPr>
        <w:t>r</w:t>
      </w:r>
      <w:r w:rsidR="006B1097">
        <w:rPr>
          <w:b/>
          <w:sz w:val="24"/>
          <w:szCs w:val="24"/>
        </w:rPr>
        <w:t>macja na temat</w:t>
      </w:r>
      <w:r w:rsidRPr="00806B45">
        <w:rPr>
          <w:b/>
          <w:sz w:val="24"/>
          <w:szCs w:val="24"/>
        </w:rPr>
        <w:t xml:space="preserve"> konieczności notyfikacji o</w:t>
      </w:r>
      <w:r w:rsidR="008928C4">
        <w:rPr>
          <w:b/>
          <w:sz w:val="24"/>
          <w:szCs w:val="24"/>
        </w:rPr>
        <w:t>raz przeprowadzonych</w:t>
      </w:r>
      <w:r w:rsidR="0056673A">
        <w:rPr>
          <w:b/>
          <w:sz w:val="24"/>
          <w:szCs w:val="24"/>
        </w:rPr>
        <w:t xml:space="preserve"> konsultacji</w:t>
      </w:r>
    </w:p>
    <w:p w:rsidR="009D7CB1" w:rsidRDefault="008928C4" w:rsidP="00F328DE">
      <w:pPr>
        <w:keepNext/>
        <w:spacing w:before="120" w:line="360" w:lineRule="auto"/>
        <w:jc w:val="both"/>
      </w:pPr>
      <w:r>
        <w:t>P</w:t>
      </w:r>
      <w:r w:rsidR="009D7CB1">
        <w:t>rzedmiot projektowanej regulacji nie jest sprzeczny z</w:t>
      </w:r>
      <w:r w:rsidR="00F328DE">
        <w:t xml:space="preserve"> </w:t>
      </w:r>
      <w:r w:rsidR="009D7CB1">
        <w:t>prawem Unii Europejskiej i nie podlega procedurze notyfikacji w rozumieniu przepisów</w:t>
      </w:r>
      <w:r>
        <w:t xml:space="preserve"> dotyczących notyfikacji norm i</w:t>
      </w:r>
      <w:r w:rsidR="00F328DE">
        <w:t> </w:t>
      </w:r>
      <w:r w:rsidR="009D7CB1">
        <w:t xml:space="preserve">aktów prawnych. </w:t>
      </w:r>
    </w:p>
    <w:p w:rsidR="00A608AE" w:rsidRDefault="009D7CB1" w:rsidP="00F328DE">
      <w:pPr>
        <w:spacing w:before="120" w:line="360" w:lineRule="auto"/>
        <w:jc w:val="both"/>
      </w:pPr>
      <w:r>
        <w:t xml:space="preserve">Zgodnie z § 27 ust. 4 uchwały nr 190 Rady Ministrów z dnia 29 października 2013 r. – </w:t>
      </w:r>
      <w:r w:rsidRPr="00813407">
        <w:t>Regulamin pracy Rady Ministrów</w:t>
      </w:r>
      <w:r>
        <w:t xml:space="preserve"> </w:t>
      </w:r>
      <w:r w:rsidR="00A2477F">
        <w:t>(M.P. z 2016 r. poz. 1006</w:t>
      </w:r>
      <w:r w:rsidR="005C131B">
        <w:t>,</w:t>
      </w:r>
      <w:r w:rsidR="00A2477F">
        <w:t xml:space="preserve"> z późn. zm.</w:t>
      </w:r>
      <w:r>
        <w:t>) projekt nie podlega opinii właściwych instytucji i organów Unii Europejskiej, w tym Europejskiego Banku Centralnego.</w:t>
      </w:r>
    </w:p>
    <w:p w:rsidR="009D7CB1" w:rsidRDefault="009D7CB1" w:rsidP="00F328DE">
      <w:pPr>
        <w:spacing w:before="120" w:line="360" w:lineRule="auto"/>
        <w:jc w:val="both"/>
      </w:pPr>
      <w:r>
        <w:t xml:space="preserve">Zgodnie z ustawą z dnia 7 lipca 2005 r. </w:t>
      </w:r>
      <w:r w:rsidRPr="00813407">
        <w:t>o działalności lobbingowej w procesie stanowienia prawa</w:t>
      </w:r>
      <w:r w:rsidRPr="009D7CB1">
        <w:rPr>
          <w:i/>
        </w:rPr>
        <w:t xml:space="preserve"> </w:t>
      </w:r>
      <w:r>
        <w:t xml:space="preserve">(Dz. U. z 2017 r. poz. 248) oraz § 52 </w:t>
      </w:r>
      <w:r w:rsidR="00057E65">
        <w:t>uchwały nr 190 Rady Ministrów z</w:t>
      </w:r>
      <w:r w:rsidR="00F328DE">
        <w:t xml:space="preserve"> </w:t>
      </w:r>
      <w:r w:rsidR="00057E65">
        <w:t xml:space="preserve">dnia 29 października 2013 r. – </w:t>
      </w:r>
      <w:r w:rsidR="00057E65" w:rsidRPr="00813407">
        <w:t>Regulamin pracy Rady Ministrów</w:t>
      </w:r>
      <w:r w:rsidR="00057E65">
        <w:t xml:space="preserve">, </w:t>
      </w:r>
      <w:r>
        <w:t>projekt został zamieszczony w Biuletynie Informacji Publicznej Ministerstwa Rodziny, Pracy i</w:t>
      </w:r>
      <w:r w:rsidR="00F328DE">
        <w:t> </w:t>
      </w:r>
      <w:r>
        <w:t xml:space="preserve">Polityki Społecznej oraz na stronie podmiotowej </w:t>
      </w:r>
      <w:r w:rsidR="00057E65">
        <w:t>Rządowego Centrum Legislacji, w</w:t>
      </w:r>
      <w:r w:rsidR="00F328DE">
        <w:t> </w:t>
      </w:r>
      <w:r>
        <w:t>serwisie Rządowy Proces Legislacyjny.</w:t>
      </w:r>
      <w:r w:rsidR="008928C4">
        <w:t xml:space="preserve"> We wskazanym wyżej trybie nie wpłynęło żadne stanowisko.</w:t>
      </w:r>
    </w:p>
    <w:p w:rsidR="00BA0119" w:rsidRDefault="008928C4" w:rsidP="00F328DE">
      <w:pPr>
        <w:spacing w:before="120" w:line="360" w:lineRule="auto"/>
        <w:jc w:val="both"/>
      </w:pPr>
      <w:r w:rsidRPr="008928C4">
        <w:t>W toku trwających 21 dni konsultacji uwagi zgłosiła I</w:t>
      </w:r>
      <w:r>
        <w:t xml:space="preserve">zba </w:t>
      </w:r>
      <w:r w:rsidRPr="008928C4">
        <w:t>Z</w:t>
      </w:r>
      <w:r>
        <w:t xml:space="preserve">arządzających </w:t>
      </w:r>
      <w:r w:rsidRPr="008928C4">
        <w:t>F</w:t>
      </w:r>
      <w:r>
        <w:t xml:space="preserve">unduszami </w:t>
      </w:r>
      <w:r w:rsidRPr="008928C4">
        <w:t>i</w:t>
      </w:r>
      <w:r w:rsidR="00F328DE">
        <w:t> </w:t>
      </w:r>
      <w:r w:rsidRPr="008928C4">
        <w:t>A</w:t>
      </w:r>
      <w:r>
        <w:t>ktywami</w:t>
      </w:r>
      <w:r w:rsidRPr="008928C4">
        <w:t xml:space="preserve"> oraz P</w:t>
      </w:r>
      <w:r>
        <w:t xml:space="preserve">olska </w:t>
      </w:r>
      <w:r w:rsidRPr="008928C4">
        <w:t>I</w:t>
      </w:r>
      <w:r>
        <w:t xml:space="preserve">zba </w:t>
      </w:r>
      <w:r w:rsidRPr="008928C4">
        <w:t>U</w:t>
      </w:r>
      <w:r>
        <w:t>bezpieczeń</w:t>
      </w:r>
      <w:r w:rsidRPr="008928C4">
        <w:t xml:space="preserve"> (zestawienie uwag w załączeniu). Pozostałe podmioty, które przesłały swoje stanowisko w sprawie projektu, tj.: Business Centre Club, Forum Związków Zawodowych, Ogólnopolskie Porozumienie Związków Zawodowych oraz Federacja Związków Pracodawców Ochrony Zdrowia Porozumienie Zielonogórskie</w:t>
      </w:r>
      <w:r w:rsidR="00BB5FBA">
        <w:t>,</w:t>
      </w:r>
      <w:r w:rsidRPr="008928C4">
        <w:t xml:space="preserve"> pozytywnie zaopiniowały przedmiotowy projekt ustawy lub nie zgłosiły uwag.</w:t>
      </w:r>
    </w:p>
    <w:p w:rsidR="00F328DE" w:rsidRPr="00F328DE" w:rsidRDefault="00F328DE" w:rsidP="00F328DE">
      <w:pPr>
        <w:spacing w:before="120" w:line="360" w:lineRule="auto"/>
        <w:jc w:val="both"/>
        <w:rPr>
          <w:sz w:val="22"/>
          <w:szCs w:val="22"/>
        </w:rPr>
      </w:pPr>
    </w:p>
    <w:sectPr w:rsidR="00F328DE" w:rsidRPr="00F328DE" w:rsidSect="00F328DE">
      <w:footerReference w:type="even" r:id="rId8"/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61A" w:rsidRDefault="0042061A">
      <w:r>
        <w:separator/>
      </w:r>
    </w:p>
  </w:endnote>
  <w:endnote w:type="continuationSeparator" w:id="0">
    <w:p w:rsidR="0042061A" w:rsidRDefault="0042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6E7" w:rsidRDefault="00C316E7" w:rsidP="00C5617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316E7" w:rsidRDefault="00C316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0815483"/>
      <w:docPartObj>
        <w:docPartGallery w:val="Page Numbers (Bottom of Page)"/>
        <w:docPartUnique/>
      </w:docPartObj>
    </w:sdtPr>
    <w:sdtEndPr/>
    <w:sdtContent>
      <w:p w:rsidR="00C316E7" w:rsidRDefault="00F328DE" w:rsidP="00F328D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CD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61A" w:rsidRDefault="0042061A">
      <w:r>
        <w:separator/>
      </w:r>
    </w:p>
  </w:footnote>
  <w:footnote w:type="continuationSeparator" w:id="0">
    <w:p w:rsidR="0042061A" w:rsidRDefault="0042061A">
      <w:r>
        <w:continuationSeparator/>
      </w:r>
    </w:p>
  </w:footnote>
  <w:footnote w:id="1">
    <w:p w:rsidR="001A2435" w:rsidRDefault="001A2435" w:rsidP="00F328DE">
      <w:pPr>
        <w:pStyle w:val="Tekstprzypisudolnego"/>
        <w:ind w:left="182" w:hanging="182"/>
        <w:jc w:val="both"/>
      </w:pPr>
      <w:r>
        <w:rPr>
          <w:rStyle w:val="Odwoanieprzypisudolnego"/>
        </w:rPr>
        <w:footnoteRef/>
      </w:r>
      <w:r w:rsidR="00F328DE">
        <w:rPr>
          <w:vertAlign w:val="superscript"/>
        </w:rPr>
        <w:t>)</w:t>
      </w:r>
      <w:r w:rsidR="00F328DE">
        <w:t xml:space="preserve"> </w:t>
      </w:r>
      <w:r w:rsidR="00F328DE">
        <w:tab/>
      </w:r>
      <w:r w:rsidRPr="0038210E">
        <w:t>Nieaktywne uprawnienia emerytalne – nieprzepadalne upraw</w:t>
      </w:r>
      <w:r>
        <w:t>nienia emerytalne przysługujące</w:t>
      </w:r>
      <w:r w:rsidR="00F328DE">
        <w:t xml:space="preserve"> w </w:t>
      </w:r>
      <w:r w:rsidRPr="0038210E">
        <w:t>ramach programu, w którym zostały uzyskane przez beneficjenta z odroczonymi uprawnieniami.</w:t>
      </w:r>
      <w:r w:rsidR="001D4B48">
        <w:t xml:space="preserve"> W</w:t>
      </w:r>
      <w:r w:rsidR="00F328DE">
        <w:t> </w:t>
      </w:r>
      <w:r w:rsidR="001D4B48">
        <w:t xml:space="preserve">ustawie </w:t>
      </w:r>
      <w:r w:rsidR="001D4B48" w:rsidRPr="00FD60C0">
        <w:t>o ppe</w:t>
      </w:r>
      <w:r w:rsidR="001D4B48">
        <w:t xml:space="preserve"> są to środki zg</w:t>
      </w:r>
      <w:r w:rsidR="00861146">
        <w:t>ro</w:t>
      </w:r>
      <w:r w:rsidR="001D4B48">
        <w:t xml:space="preserve">madzone na rachunku przez byłego </w:t>
      </w:r>
      <w:r w:rsidR="00D53827">
        <w:t>pracownika</w:t>
      </w:r>
      <w:r w:rsidR="001D4B48">
        <w:t>.</w:t>
      </w:r>
    </w:p>
  </w:footnote>
  <w:footnote w:id="2">
    <w:p w:rsidR="00BE609A" w:rsidRDefault="00BE609A" w:rsidP="00F328DE">
      <w:pPr>
        <w:pStyle w:val="Tekstprzypisudolnego"/>
        <w:ind w:left="182" w:hanging="182"/>
        <w:jc w:val="both"/>
      </w:pPr>
      <w:r>
        <w:rPr>
          <w:rStyle w:val="Odwoanieprzypisudolnego"/>
        </w:rPr>
        <w:footnoteRef/>
      </w:r>
      <w:r w:rsidR="00F328DE">
        <w:rPr>
          <w:vertAlign w:val="superscript"/>
        </w:rPr>
        <w:t>)</w:t>
      </w:r>
      <w:r w:rsidR="00F328DE">
        <w:tab/>
      </w:r>
      <w:r>
        <w:t xml:space="preserve">Beneficjent z odroczonymi uprawnieniami – były aktywny uczestnik programu, który zgromadził nieprzepadalne uprawnienia emerytalne w ramach dodatkowego programu emerytalnego, ale nie otrzymuje jeszcze dodatkowej emerytury z tego programu (w odniesieniu do ustawy </w:t>
      </w:r>
      <w:r w:rsidRPr="00FD60C0">
        <w:t>o ppe</w:t>
      </w:r>
      <w:r>
        <w:t xml:space="preserve"> – nie spełnił jeszcze warunków do uzyskania prawa do wypłaty środków).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F4E"/>
    <w:multiLevelType w:val="hybridMultilevel"/>
    <w:tmpl w:val="A9EC363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0D2C"/>
    <w:multiLevelType w:val="hybridMultilevel"/>
    <w:tmpl w:val="D0B44480"/>
    <w:lvl w:ilvl="0" w:tplc="73DC2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472AD"/>
    <w:multiLevelType w:val="hybridMultilevel"/>
    <w:tmpl w:val="2D380F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0984E35"/>
    <w:multiLevelType w:val="hybridMultilevel"/>
    <w:tmpl w:val="6370472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C6211"/>
    <w:multiLevelType w:val="hybridMultilevel"/>
    <w:tmpl w:val="7076E3D0"/>
    <w:lvl w:ilvl="0" w:tplc="734209B2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81040A"/>
    <w:multiLevelType w:val="hybridMultilevel"/>
    <w:tmpl w:val="4A4C9D96"/>
    <w:lvl w:ilvl="0" w:tplc="DE727D74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59C0B62"/>
    <w:multiLevelType w:val="hybridMultilevel"/>
    <w:tmpl w:val="D0B444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B2FE5"/>
    <w:multiLevelType w:val="hybridMultilevel"/>
    <w:tmpl w:val="2F72B190"/>
    <w:lvl w:ilvl="0" w:tplc="0415000F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586" w:hanging="360"/>
      </w:pPr>
    </w:lvl>
    <w:lvl w:ilvl="2" w:tplc="0415001B" w:tentative="1">
      <w:start w:val="1"/>
      <w:numFmt w:val="lowerRoman"/>
      <w:lvlText w:val="%3."/>
      <w:lvlJc w:val="right"/>
      <w:pPr>
        <w:ind w:left="10306" w:hanging="180"/>
      </w:pPr>
    </w:lvl>
    <w:lvl w:ilvl="3" w:tplc="0415000F" w:tentative="1">
      <w:start w:val="1"/>
      <w:numFmt w:val="decimal"/>
      <w:lvlText w:val="%4."/>
      <w:lvlJc w:val="left"/>
      <w:pPr>
        <w:ind w:left="11026" w:hanging="360"/>
      </w:pPr>
    </w:lvl>
    <w:lvl w:ilvl="4" w:tplc="04150019" w:tentative="1">
      <w:start w:val="1"/>
      <w:numFmt w:val="lowerLetter"/>
      <w:lvlText w:val="%5."/>
      <w:lvlJc w:val="left"/>
      <w:pPr>
        <w:ind w:left="11746" w:hanging="360"/>
      </w:pPr>
    </w:lvl>
    <w:lvl w:ilvl="5" w:tplc="0415001B" w:tentative="1">
      <w:start w:val="1"/>
      <w:numFmt w:val="lowerRoman"/>
      <w:lvlText w:val="%6."/>
      <w:lvlJc w:val="right"/>
      <w:pPr>
        <w:ind w:left="12466" w:hanging="180"/>
      </w:pPr>
    </w:lvl>
    <w:lvl w:ilvl="6" w:tplc="0415000F" w:tentative="1">
      <w:start w:val="1"/>
      <w:numFmt w:val="decimal"/>
      <w:lvlText w:val="%7."/>
      <w:lvlJc w:val="left"/>
      <w:pPr>
        <w:ind w:left="13186" w:hanging="360"/>
      </w:pPr>
    </w:lvl>
    <w:lvl w:ilvl="7" w:tplc="04150019" w:tentative="1">
      <w:start w:val="1"/>
      <w:numFmt w:val="lowerLetter"/>
      <w:lvlText w:val="%8."/>
      <w:lvlJc w:val="left"/>
      <w:pPr>
        <w:ind w:left="13906" w:hanging="360"/>
      </w:pPr>
    </w:lvl>
    <w:lvl w:ilvl="8" w:tplc="0415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8" w15:restartNumberingAfterBreak="0">
    <w:nsid w:val="2B3C5407"/>
    <w:multiLevelType w:val="hybridMultilevel"/>
    <w:tmpl w:val="017A0F3A"/>
    <w:lvl w:ilvl="0" w:tplc="7D06D7E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311E78E4"/>
    <w:multiLevelType w:val="hybridMultilevel"/>
    <w:tmpl w:val="4A285CA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51A57"/>
    <w:multiLevelType w:val="hybridMultilevel"/>
    <w:tmpl w:val="632640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50B23"/>
    <w:multiLevelType w:val="hybridMultilevel"/>
    <w:tmpl w:val="398AD0DC"/>
    <w:lvl w:ilvl="0" w:tplc="0262C52A">
      <w:start w:val="1"/>
      <w:numFmt w:val="decimal"/>
      <w:lvlText w:val="%1)"/>
      <w:lvlJc w:val="left"/>
      <w:pPr>
        <w:ind w:left="780" w:hanging="360"/>
      </w:pPr>
      <w:rPr>
        <w:rFonts w:ascii="Times" w:eastAsia="Times New Roman" w:hAnsi="Times" w:cs="Arial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293267A"/>
    <w:multiLevelType w:val="hybridMultilevel"/>
    <w:tmpl w:val="64AEC6C8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D9A3311"/>
    <w:multiLevelType w:val="hybridMultilevel"/>
    <w:tmpl w:val="91169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852D85"/>
    <w:multiLevelType w:val="hybridMultilevel"/>
    <w:tmpl w:val="46ACB98A"/>
    <w:lvl w:ilvl="0" w:tplc="C808795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 w15:restartNumberingAfterBreak="0">
    <w:nsid w:val="62B460B7"/>
    <w:multiLevelType w:val="hybridMultilevel"/>
    <w:tmpl w:val="A6523F10"/>
    <w:lvl w:ilvl="0" w:tplc="25D4A9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FEA6B6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6AE663F"/>
    <w:multiLevelType w:val="hybridMultilevel"/>
    <w:tmpl w:val="8878C6B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5"/>
  </w:num>
  <w:num w:numId="2">
    <w:abstractNumId w:val="1"/>
  </w:num>
  <w:num w:numId="3">
    <w:abstractNumId w:val="8"/>
  </w:num>
  <w:num w:numId="4">
    <w:abstractNumId w:val="14"/>
  </w:num>
  <w:num w:numId="5">
    <w:abstractNumId w:val="9"/>
  </w:num>
  <w:num w:numId="6">
    <w:abstractNumId w:val="3"/>
  </w:num>
  <w:num w:numId="7">
    <w:abstractNumId w:val="0"/>
  </w:num>
  <w:num w:numId="8">
    <w:abstractNumId w:val="4"/>
  </w:num>
  <w:num w:numId="9">
    <w:abstractNumId w:val="6"/>
  </w:num>
  <w:num w:numId="10">
    <w:abstractNumId w:val="16"/>
  </w:num>
  <w:num w:numId="11">
    <w:abstractNumId w:val="2"/>
  </w:num>
  <w:num w:numId="12">
    <w:abstractNumId w:val="13"/>
  </w:num>
  <w:num w:numId="13">
    <w:abstractNumId w:val="11"/>
  </w:num>
  <w:num w:numId="14">
    <w:abstractNumId w:val="10"/>
  </w:num>
  <w:num w:numId="15">
    <w:abstractNumId w:val="7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73"/>
    <w:rsid w:val="00006443"/>
    <w:rsid w:val="0000675C"/>
    <w:rsid w:val="00022CD2"/>
    <w:rsid w:val="00031CB1"/>
    <w:rsid w:val="0003642E"/>
    <w:rsid w:val="00057E65"/>
    <w:rsid w:val="0006753A"/>
    <w:rsid w:val="0007093F"/>
    <w:rsid w:val="00075BAB"/>
    <w:rsid w:val="00091AC7"/>
    <w:rsid w:val="00095C36"/>
    <w:rsid w:val="00096893"/>
    <w:rsid w:val="000968F6"/>
    <w:rsid w:val="0009755F"/>
    <w:rsid w:val="000A7121"/>
    <w:rsid w:val="000C3E7D"/>
    <w:rsid w:val="000C462F"/>
    <w:rsid w:val="000D0D64"/>
    <w:rsid w:val="000E2DAD"/>
    <w:rsid w:val="000E583A"/>
    <w:rsid w:val="000F1369"/>
    <w:rsid w:val="000F2ECB"/>
    <w:rsid w:val="000F357E"/>
    <w:rsid w:val="00104493"/>
    <w:rsid w:val="00107ADA"/>
    <w:rsid w:val="00112221"/>
    <w:rsid w:val="001204BA"/>
    <w:rsid w:val="0012497F"/>
    <w:rsid w:val="00127B64"/>
    <w:rsid w:val="001325C7"/>
    <w:rsid w:val="00137CDD"/>
    <w:rsid w:val="0014105A"/>
    <w:rsid w:val="00141898"/>
    <w:rsid w:val="001435CB"/>
    <w:rsid w:val="00155ACA"/>
    <w:rsid w:val="001A129A"/>
    <w:rsid w:val="001A2435"/>
    <w:rsid w:val="001A4D32"/>
    <w:rsid w:val="001A4DB2"/>
    <w:rsid w:val="001A6F35"/>
    <w:rsid w:val="001B7D12"/>
    <w:rsid w:val="001C5083"/>
    <w:rsid w:val="001C63AA"/>
    <w:rsid w:val="001D3DBA"/>
    <w:rsid w:val="001D4B48"/>
    <w:rsid w:val="001D53FB"/>
    <w:rsid w:val="001D64F1"/>
    <w:rsid w:val="001E096A"/>
    <w:rsid w:val="001E634A"/>
    <w:rsid w:val="001F367F"/>
    <w:rsid w:val="0020324F"/>
    <w:rsid w:val="0020450F"/>
    <w:rsid w:val="00204FC2"/>
    <w:rsid w:val="00227A71"/>
    <w:rsid w:val="00236B7F"/>
    <w:rsid w:val="00236C9C"/>
    <w:rsid w:val="002561C1"/>
    <w:rsid w:val="00260073"/>
    <w:rsid w:val="00263B03"/>
    <w:rsid w:val="0027648E"/>
    <w:rsid w:val="00280E70"/>
    <w:rsid w:val="0028296C"/>
    <w:rsid w:val="00282FE9"/>
    <w:rsid w:val="002957F4"/>
    <w:rsid w:val="002A034E"/>
    <w:rsid w:val="002B0128"/>
    <w:rsid w:val="002B039E"/>
    <w:rsid w:val="002B4674"/>
    <w:rsid w:val="002B5AC6"/>
    <w:rsid w:val="002C2C40"/>
    <w:rsid w:val="002C4F42"/>
    <w:rsid w:val="002E7661"/>
    <w:rsid w:val="0030778C"/>
    <w:rsid w:val="0031456F"/>
    <w:rsid w:val="00315D65"/>
    <w:rsid w:val="003254D3"/>
    <w:rsid w:val="0033503A"/>
    <w:rsid w:val="00351CC9"/>
    <w:rsid w:val="00353DEA"/>
    <w:rsid w:val="00361449"/>
    <w:rsid w:val="003631E6"/>
    <w:rsid w:val="00364EA1"/>
    <w:rsid w:val="00370B51"/>
    <w:rsid w:val="003A6C2F"/>
    <w:rsid w:val="003B0D6D"/>
    <w:rsid w:val="003B4566"/>
    <w:rsid w:val="003B625E"/>
    <w:rsid w:val="003C2C43"/>
    <w:rsid w:val="003D7889"/>
    <w:rsid w:val="00410326"/>
    <w:rsid w:val="00411E08"/>
    <w:rsid w:val="00412CB5"/>
    <w:rsid w:val="00417DDA"/>
    <w:rsid w:val="0042061A"/>
    <w:rsid w:val="00435D1F"/>
    <w:rsid w:val="00450841"/>
    <w:rsid w:val="00464898"/>
    <w:rsid w:val="004648D6"/>
    <w:rsid w:val="00467226"/>
    <w:rsid w:val="00467A7C"/>
    <w:rsid w:val="0047778A"/>
    <w:rsid w:val="0048788B"/>
    <w:rsid w:val="0049362F"/>
    <w:rsid w:val="00493BEF"/>
    <w:rsid w:val="00493FD8"/>
    <w:rsid w:val="00495BF0"/>
    <w:rsid w:val="00497818"/>
    <w:rsid w:val="004A6039"/>
    <w:rsid w:val="004A7169"/>
    <w:rsid w:val="004C0F0D"/>
    <w:rsid w:val="004D3536"/>
    <w:rsid w:val="004D7C74"/>
    <w:rsid w:val="004E3800"/>
    <w:rsid w:val="004F7964"/>
    <w:rsid w:val="00501A54"/>
    <w:rsid w:val="00501AB4"/>
    <w:rsid w:val="0052600F"/>
    <w:rsid w:val="005268BF"/>
    <w:rsid w:val="00526954"/>
    <w:rsid w:val="00526F13"/>
    <w:rsid w:val="00532776"/>
    <w:rsid w:val="00540CA6"/>
    <w:rsid w:val="005506FD"/>
    <w:rsid w:val="00552860"/>
    <w:rsid w:val="00562F90"/>
    <w:rsid w:val="005630E9"/>
    <w:rsid w:val="0056673A"/>
    <w:rsid w:val="005678C3"/>
    <w:rsid w:val="00577F0F"/>
    <w:rsid w:val="005837AD"/>
    <w:rsid w:val="0059406D"/>
    <w:rsid w:val="00597C1C"/>
    <w:rsid w:val="005C131B"/>
    <w:rsid w:val="005C2E62"/>
    <w:rsid w:val="005C3A1B"/>
    <w:rsid w:val="005C422F"/>
    <w:rsid w:val="005D414B"/>
    <w:rsid w:val="005D4FDF"/>
    <w:rsid w:val="005D6031"/>
    <w:rsid w:val="005E485A"/>
    <w:rsid w:val="005F265F"/>
    <w:rsid w:val="005F7E94"/>
    <w:rsid w:val="00600365"/>
    <w:rsid w:val="00602119"/>
    <w:rsid w:val="006130BE"/>
    <w:rsid w:val="006137EE"/>
    <w:rsid w:val="0061600B"/>
    <w:rsid w:val="00622649"/>
    <w:rsid w:val="006229F7"/>
    <w:rsid w:val="00626231"/>
    <w:rsid w:val="00631D33"/>
    <w:rsid w:val="00632BC2"/>
    <w:rsid w:val="006343DB"/>
    <w:rsid w:val="00635139"/>
    <w:rsid w:val="0063655B"/>
    <w:rsid w:val="0064211E"/>
    <w:rsid w:val="00644E3D"/>
    <w:rsid w:val="00652FC8"/>
    <w:rsid w:val="00655ABB"/>
    <w:rsid w:val="00661015"/>
    <w:rsid w:val="00663E3C"/>
    <w:rsid w:val="006670B8"/>
    <w:rsid w:val="0067719F"/>
    <w:rsid w:val="00680CE1"/>
    <w:rsid w:val="00683E15"/>
    <w:rsid w:val="0069686B"/>
    <w:rsid w:val="006B1097"/>
    <w:rsid w:val="006C2583"/>
    <w:rsid w:val="006C75C6"/>
    <w:rsid w:val="006D56A2"/>
    <w:rsid w:val="006D7E44"/>
    <w:rsid w:val="006E300D"/>
    <w:rsid w:val="006E433F"/>
    <w:rsid w:val="006E4A7C"/>
    <w:rsid w:val="006F7747"/>
    <w:rsid w:val="0070341A"/>
    <w:rsid w:val="00720E34"/>
    <w:rsid w:val="00725E64"/>
    <w:rsid w:val="00734753"/>
    <w:rsid w:val="0075673A"/>
    <w:rsid w:val="00770E46"/>
    <w:rsid w:val="007866D4"/>
    <w:rsid w:val="00786AA5"/>
    <w:rsid w:val="0079250B"/>
    <w:rsid w:val="00793082"/>
    <w:rsid w:val="00796EC6"/>
    <w:rsid w:val="007B00D8"/>
    <w:rsid w:val="007C4377"/>
    <w:rsid w:val="007C4DFD"/>
    <w:rsid w:val="007D233E"/>
    <w:rsid w:val="007D7BD2"/>
    <w:rsid w:val="007F2D32"/>
    <w:rsid w:val="007F701C"/>
    <w:rsid w:val="007F7253"/>
    <w:rsid w:val="00805953"/>
    <w:rsid w:val="00806B45"/>
    <w:rsid w:val="00812C0C"/>
    <w:rsid w:val="00813407"/>
    <w:rsid w:val="0082306C"/>
    <w:rsid w:val="0084263A"/>
    <w:rsid w:val="0085290B"/>
    <w:rsid w:val="00861146"/>
    <w:rsid w:val="00864E3B"/>
    <w:rsid w:val="008804CD"/>
    <w:rsid w:val="008925F2"/>
    <w:rsid w:val="008928C4"/>
    <w:rsid w:val="00893340"/>
    <w:rsid w:val="008A2499"/>
    <w:rsid w:val="008B1749"/>
    <w:rsid w:val="008B49C9"/>
    <w:rsid w:val="008C6E90"/>
    <w:rsid w:val="008D04A5"/>
    <w:rsid w:val="008E7D4A"/>
    <w:rsid w:val="008F0FF2"/>
    <w:rsid w:val="008F7EBE"/>
    <w:rsid w:val="009062CD"/>
    <w:rsid w:val="009111E4"/>
    <w:rsid w:val="00912F78"/>
    <w:rsid w:val="00917D50"/>
    <w:rsid w:val="009273F1"/>
    <w:rsid w:val="009303F2"/>
    <w:rsid w:val="0093142D"/>
    <w:rsid w:val="009361F6"/>
    <w:rsid w:val="00952839"/>
    <w:rsid w:val="00956051"/>
    <w:rsid w:val="00957818"/>
    <w:rsid w:val="00971810"/>
    <w:rsid w:val="00985706"/>
    <w:rsid w:val="00994CE3"/>
    <w:rsid w:val="00997F63"/>
    <w:rsid w:val="009A1486"/>
    <w:rsid w:val="009B212B"/>
    <w:rsid w:val="009B2ACD"/>
    <w:rsid w:val="009B46B1"/>
    <w:rsid w:val="009C2521"/>
    <w:rsid w:val="009C2D69"/>
    <w:rsid w:val="009C39FB"/>
    <w:rsid w:val="009C3EB5"/>
    <w:rsid w:val="009D0F0F"/>
    <w:rsid w:val="009D7CB1"/>
    <w:rsid w:val="009E03CE"/>
    <w:rsid w:val="009F1CF8"/>
    <w:rsid w:val="009F2ABA"/>
    <w:rsid w:val="00A01F20"/>
    <w:rsid w:val="00A039BD"/>
    <w:rsid w:val="00A14BC6"/>
    <w:rsid w:val="00A15888"/>
    <w:rsid w:val="00A15BB1"/>
    <w:rsid w:val="00A166BC"/>
    <w:rsid w:val="00A21673"/>
    <w:rsid w:val="00A2477F"/>
    <w:rsid w:val="00A256DB"/>
    <w:rsid w:val="00A25786"/>
    <w:rsid w:val="00A3125B"/>
    <w:rsid w:val="00A34F1C"/>
    <w:rsid w:val="00A36CCA"/>
    <w:rsid w:val="00A4714F"/>
    <w:rsid w:val="00A55EFC"/>
    <w:rsid w:val="00A608AE"/>
    <w:rsid w:val="00A62EEF"/>
    <w:rsid w:val="00A6512F"/>
    <w:rsid w:val="00A81622"/>
    <w:rsid w:val="00AA268B"/>
    <w:rsid w:val="00AA471D"/>
    <w:rsid w:val="00AA4BC5"/>
    <w:rsid w:val="00AB236C"/>
    <w:rsid w:val="00AB3C18"/>
    <w:rsid w:val="00AB4A4C"/>
    <w:rsid w:val="00AD1946"/>
    <w:rsid w:val="00AD2B02"/>
    <w:rsid w:val="00AD2E97"/>
    <w:rsid w:val="00AE1173"/>
    <w:rsid w:val="00AF5CEF"/>
    <w:rsid w:val="00AF678C"/>
    <w:rsid w:val="00B0047D"/>
    <w:rsid w:val="00B11488"/>
    <w:rsid w:val="00B13F0A"/>
    <w:rsid w:val="00B26443"/>
    <w:rsid w:val="00B31420"/>
    <w:rsid w:val="00B451FA"/>
    <w:rsid w:val="00B45584"/>
    <w:rsid w:val="00B52E0C"/>
    <w:rsid w:val="00B56A50"/>
    <w:rsid w:val="00B57511"/>
    <w:rsid w:val="00B578DA"/>
    <w:rsid w:val="00B6385F"/>
    <w:rsid w:val="00B75518"/>
    <w:rsid w:val="00B7687F"/>
    <w:rsid w:val="00B82135"/>
    <w:rsid w:val="00B87DAE"/>
    <w:rsid w:val="00B92DFE"/>
    <w:rsid w:val="00BA0119"/>
    <w:rsid w:val="00BA1917"/>
    <w:rsid w:val="00BB12A7"/>
    <w:rsid w:val="00BB5FBA"/>
    <w:rsid w:val="00BB7377"/>
    <w:rsid w:val="00BB78C8"/>
    <w:rsid w:val="00BC0E48"/>
    <w:rsid w:val="00BE05DA"/>
    <w:rsid w:val="00BE609A"/>
    <w:rsid w:val="00BF5EC1"/>
    <w:rsid w:val="00C0139E"/>
    <w:rsid w:val="00C015FF"/>
    <w:rsid w:val="00C07405"/>
    <w:rsid w:val="00C27F87"/>
    <w:rsid w:val="00C316E7"/>
    <w:rsid w:val="00C372D1"/>
    <w:rsid w:val="00C544B2"/>
    <w:rsid w:val="00C549CF"/>
    <w:rsid w:val="00C54B98"/>
    <w:rsid w:val="00C56178"/>
    <w:rsid w:val="00C605FA"/>
    <w:rsid w:val="00C74BC2"/>
    <w:rsid w:val="00C80F7B"/>
    <w:rsid w:val="00C812D3"/>
    <w:rsid w:val="00C81CB9"/>
    <w:rsid w:val="00C94569"/>
    <w:rsid w:val="00C94FB8"/>
    <w:rsid w:val="00C97971"/>
    <w:rsid w:val="00CA58C5"/>
    <w:rsid w:val="00CB74FA"/>
    <w:rsid w:val="00CC139F"/>
    <w:rsid w:val="00CC720D"/>
    <w:rsid w:val="00CD164E"/>
    <w:rsid w:val="00CD7636"/>
    <w:rsid w:val="00CE59B5"/>
    <w:rsid w:val="00D100F5"/>
    <w:rsid w:val="00D12622"/>
    <w:rsid w:val="00D154D2"/>
    <w:rsid w:val="00D306C6"/>
    <w:rsid w:val="00D31682"/>
    <w:rsid w:val="00D32943"/>
    <w:rsid w:val="00D444C7"/>
    <w:rsid w:val="00D53827"/>
    <w:rsid w:val="00D53BF8"/>
    <w:rsid w:val="00D54EEB"/>
    <w:rsid w:val="00D56A17"/>
    <w:rsid w:val="00D6045E"/>
    <w:rsid w:val="00D65B4A"/>
    <w:rsid w:val="00D7238E"/>
    <w:rsid w:val="00D74049"/>
    <w:rsid w:val="00D85717"/>
    <w:rsid w:val="00D919B0"/>
    <w:rsid w:val="00D92E89"/>
    <w:rsid w:val="00D95B35"/>
    <w:rsid w:val="00DB104B"/>
    <w:rsid w:val="00DB10EB"/>
    <w:rsid w:val="00DB41D2"/>
    <w:rsid w:val="00DB61A2"/>
    <w:rsid w:val="00DB7552"/>
    <w:rsid w:val="00DD29E3"/>
    <w:rsid w:val="00DD311A"/>
    <w:rsid w:val="00DD5C8A"/>
    <w:rsid w:val="00DD68AF"/>
    <w:rsid w:val="00DD6F08"/>
    <w:rsid w:val="00DE3DE8"/>
    <w:rsid w:val="00DE7C65"/>
    <w:rsid w:val="00E06C0D"/>
    <w:rsid w:val="00E16DE9"/>
    <w:rsid w:val="00E210C6"/>
    <w:rsid w:val="00E22426"/>
    <w:rsid w:val="00E25F5B"/>
    <w:rsid w:val="00E36420"/>
    <w:rsid w:val="00E463AE"/>
    <w:rsid w:val="00E46BD9"/>
    <w:rsid w:val="00E65E3E"/>
    <w:rsid w:val="00E768F1"/>
    <w:rsid w:val="00E80FE7"/>
    <w:rsid w:val="00E8269F"/>
    <w:rsid w:val="00E84F2B"/>
    <w:rsid w:val="00E86CB3"/>
    <w:rsid w:val="00E87878"/>
    <w:rsid w:val="00E91122"/>
    <w:rsid w:val="00EA1BA7"/>
    <w:rsid w:val="00EA2BBA"/>
    <w:rsid w:val="00EB6686"/>
    <w:rsid w:val="00EC310A"/>
    <w:rsid w:val="00EC4CA1"/>
    <w:rsid w:val="00ED2C61"/>
    <w:rsid w:val="00ED37CD"/>
    <w:rsid w:val="00EF5018"/>
    <w:rsid w:val="00F0363B"/>
    <w:rsid w:val="00F065AB"/>
    <w:rsid w:val="00F27078"/>
    <w:rsid w:val="00F328DE"/>
    <w:rsid w:val="00F447A0"/>
    <w:rsid w:val="00F50D1F"/>
    <w:rsid w:val="00F744D4"/>
    <w:rsid w:val="00F831BD"/>
    <w:rsid w:val="00F852B3"/>
    <w:rsid w:val="00F8592C"/>
    <w:rsid w:val="00F936DA"/>
    <w:rsid w:val="00FA1D33"/>
    <w:rsid w:val="00FA4A39"/>
    <w:rsid w:val="00FA4E28"/>
    <w:rsid w:val="00FA62EC"/>
    <w:rsid w:val="00FB5B5D"/>
    <w:rsid w:val="00FB69B7"/>
    <w:rsid w:val="00FC2557"/>
    <w:rsid w:val="00FC4408"/>
    <w:rsid w:val="00FC6705"/>
    <w:rsid w:val="00FD4204"/>
    <w:rsid w:val="00FD60C0"/>
    <w:rsid w:val="00FD6CA9"/>
    <w:rsid w:val="00FE221D"/>
    <w:rsid w:val="00FE409F"/>
    <w:rsid w:val="00FE7B3B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911162-7A69-4387-ABC1-AFAA6661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6A1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0">
    <w:name w:val="@STANDARDOWY"/>
    <w:basedOn w:val="Normalny"/>
    <w:uiPriority w:val="99"/>
    <w:rsid w:val="00D56A17"/>
    <w:pPr>
      <w:tabs>
        <w:tab w:val="left" w:pos="567"/>
      </w:tabs>
      <w:spacing w:line="360" w:lineRule="auto"/>
      <w:ind w:firstLine="397"/>
      <w:jc w:val="both"/>
    </w:pPr>
    <w:rPr>
      <w:sz w:val="28"/>
    </w:rPr>
  </w:style>
  <w:style w:type="paragraph" w:styleId="Tytu">
    <w:name w:val="Title"/>
    <w:basedOn w:val="Normalny"/>
    <w:link w:val="TytuZnak"/>
    <w:uiPriority w:val="99"/>
    <w:qFormat/>
    <w:rsid w:val="00D56A17"/>
    <w:pPr>
      <w:spacing w:line="360" w:lineRule="auto"/>
      <w:jc w:val="center"/>
    </w:pPr>
    <w:rPr>
      <w:b/>
      <w:bCs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wcity">
    <w:name w:val="Body Text Indent"/>
    <w:basedOn w:val="Normalny"/>
    <w:link w:val="TekstpodstawowywcityZnak"/>
    <w:uiPriority w:val="99"/>
    <w:rsid w:val="00D56A17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Tekstpodstawowy">
    <w:name w:val="Body Text"/>
    <w:aliases w:val="pomniejszony,Tekst wcięty 2 st,Tekst wci,b,ęty 2 st,bt,szaro,b1,Tekst podstawowy Znak Znak Znak Znak Znak Znak Znak Znak"/>
    <w:basedOn w:val="Normalny"/>
    <w:link w:val="TekstpodstawowyZnak"/>
    <w:uiPriority w:val="99"/>
    <w:rsid w:val="00D56A17"/>
    <w:pPr>
      <w:autoSpaceDE w:val="0"/>
      <w:autoSpaceDN w:val="0"/>
      <w:jc w:val="center"/>
    </w:pPr>
  </w:style>
  <w:style w:type="character" w:customStyle="1" w:styleId="TekstpodstawowyZnak">
    <w:name w:val="Tekst podstawowy Znak"/>
    <w:aliases w:val="pomniejszony Znak,Tekst wcięty 2 st Znak,Tekst wci Znak,b Znak,ęty 2 st Znak,bt Znak,szaro Znak,b1 Znak,Tekst podstawowy Znak Znak Znak Znak Znak Znak Znak Znak Znak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1"/>
    <w:uiPriority w:val="99"/>
    <w:rsid w:val="00D56A17"/>
    <w:pPr>
      <w:spacing w:after="120" w:line="276" w:lineRule="auto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Tekstpodstawowywcity3Znak1">
    <w:name w:val="Tekst podstawowy wcięty 3 Znak1"/>
    <w:link w:val="Tekstpodstawowywcity3"/>
    <w:uiPriority w:val="99"/>
    <w:semiHidden/>
    <w:locked/>
    <w:rPr>
      <w:rFonts w:cs="Times New Roman"/>
      <w:sz w:val="16"/>
      <w:szCs w:val="16"/>
    </w:rPr>
  </w:style>
  <w:style w:type="character" w:customStyle="1" w:styleId="Tekstpodstawowywcity3Znak">
    <w:name w:val="Tekst podstawowy wcięty 3 Znak"/>
    <w:uiPriority w:val="99"/>
    <w:rsid w:val="00D56A17"/>
    <w:rPr>
      <w:rFonts w:ascii="Calibri" w:hAnsi="Calibri" w:cs="Times New Roman"/>
      <w:sz w:val="16"/>
      <w:szCs w:val="16"/>
      <w:lang w:eastAsia="en-US"/>
    </w:rPr>
  </w:style>
  <w:style w:type="paragraph" w:styleId="Nagwek">
    <w:name w:val="header"/>
    <w:basedOn w:val="Normalny"/>
    <w:link w:val="NagwekZnak1"/>
    <w:uiPriority w:val="99"/>
    <w:rsid w:val="00D56A17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link w:val="Nagwek"/>
    <w:uiPriority w:val="99"/>
    <w:semiHidden/>
    <w:locked/>
    <w:rPr>
      <w:rFonts w:cs="Times New Roman"/>
      <w:sz w:val="24"/>
      <w:szCs w:val="24"/>
    </w:rPr>
  </w:style>
  <w:style w:type="character" w:customStyle="1" w:styleId="NagwekZnak">
    <w:name w:val="Nagłówek Znak"/>
    <w:uiPriority w:val="99"/>
    <w:semiHidden/>
    <w:rsid w:val="00D56A17"/>
    <w:rPr>
      <w:rFonts w:cs="Times New Roman"/>
      <w:sz w:val="24"/>
      <w:szCs w:val="24"/>
    </w:rPr>
  </w:style>
  <w:style w:type="paragraph" w:styleId="Stopka">
    <w:name w:val="footer"/>
    <w:basedOn w:val="Normalny"/>
    <w:link w:val="StopkaZnak1"/>
    <w:uiPriority w:val="99"/>
    <w:rsid w:val="00D56A17"/>
    <w:pPr>
      <w:tabs>
        <w:tab w:val="center" w:pos="4536"/>
        <w:tab w:val="right" w:pos="9072"/>
      </w:tabs>
    </w:pPr>
  </w:style>
  <w:style w:type="character" w:customStyle="1" w:styleId="StopkaZnak1">
    <w:name w:val="Stopka Znak1"/>
    <w:link w:val="Stopka"/>
    <w:uiPriority w:val="99"/>
    <w:semiHidden/>
    <w:locked/>
    <w:rPr>
      <w:rFonts w:cs="Times New Roman"/>
      <w:sz w:val="24"/>
      <w:szCs w:val="24"/>
    </w:rPr>
  </w:style>
  <w:style w:type="character" w:customStyle="1" w:styleId="StopkaZnak">
    <w:name w:val="Stopka Znak"/>
    <w:uiPriority w:val="99"/>
    <w:rsid w:val="00D56A17"/>
    <w:rPr>
      <w:rFonts w:cs="Times New Roman"/>
      <w:sz w:val="24"/>
      <w:szCs w:val="24"/>
    </w:rPr>
  </w:style>
  <w:style w:type="paragraph" w:styleId="NormalnyWeb">
    <w:name w:val="Normal (Web)"/>
    <w:basedOn w:val="Normalny"/>
    <w:uiPriority w:val="99"/>
    <w:rsid w:val="00D56A17"/>
    <w:pPr>
      <w:spacing w:before="100" w:beforeAutospacing="1" w:after="100" w:afterAutospacing="1"/>
    </w:pPr>
    <w:rPr>
      <w:color w:val="000000"/>
    </w:rPr>
  </w:style>
  <w:style w:type="character" w:styleId="Odwoaniedokomentarza">
    <w:name w:val="annotation reference"/>
    <w:uiPriority w:val="99"/>
    <w:semiHidden/>
    <w:rsid w:val="00D56A1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rsid w:val="00D56A17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locked/>
    <w:rPr>
      <w:rFonts w:cs="Times New Roman"/>
    </w:rPr>
  </w:style>
  <w:style w:type="character" w:customStyle="1" w:styleId="TekstkomentarzaZnak">
    <w:name w:val="Tekst komentarza Znak"/>
    <w:uiPriority w:val="99"/>
    <w:semiHidden/>
    <w:rsid w:val="00D56A17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rsid w:val="00D56A17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locked/>
    <w:rPr>
      <w:rFonts w:cs="Times New Roman"/>
      <w:b/>
      <w:bCs/>
    </w:rPr>
  </w:style>
  <w:style w:type="character" w:customStyle="1" w:styleId="TematkomentarzaZnak">
    <w:name w:val="Temat komentarza Znak"/>
    <w:uiPriority w:val="99"/>
    <w:semiHidden/>
    <w:rsid w:val="00D56A17"/>
    <w:rPr>
      <w:rFonts w:cs="Times New Roman"/>
      <w:b/>
      <w:bCs/>
    </w:rPr>
  </w:style>
  <w:style w:type="paragraph" w:styleId="Tekstdymka">
    <w:name w:val="Balloon Text"/>
    <w:basedOn w:val="Normalny"/>
    <w:link w:val="TekstdymkaZnak1"/>
    <w:uiPriority w:val="99"/>
    <w:semiHidden/>
    <w:rsid w:val="00D56A17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locked/>
    <w:rPr>
      <w:rFonts w:cs="Times New Roman"/>
      <w:sz w:val="2"/>
    </w:rPr>
  </w:style>
  <w:style w:type="character" w:customStyle="1" w:styleId="TekstdymkaZnak">
    <w:name w:val="Tekst dymka Znak"/>
    <w:uiPriority w:val="99"/>
    <w:semiHidden/>
    <w:rsid w:val="00D56A1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D56A17"/>
    <w:pPr>
      <w:ind w:left="720"/>
      <w:contextualSpacing/>
    </w:pPr>
    <w:rPr>
      <w:sz w:val="20"/>
      <w:szCs w:val="20"/>
    </w:rPr>
  </w:style>
  <w:style w:type="character" w:styleId="Numerstrony">
    <w:name w:val="page number"/>
    <w:uiPriority w:val="99"/>
    <w:rsid w:val="004D3536"/>
    <w:rPr>
      <w:rFonts w:cs="Times New Roman"/>
    </w:rPr>
  </w:style>
  <w:style w:type="paragraph" w:customStyle="1" w:styleId="Default">
    <w:name w:val="Default"/>
    <w:uiPriority w:val="99"/>
    <w:rsid w:val="00F936D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USTustnpkodeksu">
    <w:name w:val="UST(§) – ust. (§ np. kodeksu)"/>
    <w:basedOn w:val="Normalny"/>
    <w:uiPriority w:val="99"/>
    <w:rsid w:val="00C015FF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D6CA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FD6CA9"/>
    <w:rPr>
      <w:rFonts w:cs="Times New Roman"/>
    </w:rPr>
  </w:style>
  <w:style w:type="character" w:styleId="Odwoanieprzypisudolnego">
    <w:name w:val="footnote reference"/>
    <w:uiPriority w:val="99"/>
    <w:semiHidden/>
    <w:rsid w:val="00FD6CA9"/>
    <w:rPr>
      <w:rFonts w:cs="Times New Roman"/>
      <w:vertAlign w:val="superscript"/>
    </w:rPr>
  </w:style>
  <w:style w:type="character" w:styleId="Pogrubienie">
    <w:name w:val="Strong"/>
    <w:uiPriority w:val="99"/>
    <w:qFormat/>
    <w:rsid w:val="001D64F1"/>
    <w:rPr>
      <w:rFonts w:cs="Times New Roman"/>
      <w:b/>
      <w:bCs/>
    </w:rPr>
  </w:style>
  <w:style w:type="table" w:styleId="Tabela-Siatka">
    <w:name w:val="Table Grid"/>
    <w:basedOn w:val="Standardowy"/>
    <w:uiPriority w:val="99"/>
    <w:rsid w:val="001D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84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92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90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86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8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8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8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4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485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AB26E-C358-40F4-8010-2B97860D0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1710</Words>
  <Characters>10266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 28.12</vt:lpstr>
    </vt:vector>
  </TitlesOfParts>
  <Company>KPRM</Company>
  <LinksUpToDate>false</LinksUpToDate>
  <CharactersWithSpaces>11953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 28.12</dc:title>
  <dc:creator>Eliza_Wiśniewska</dc:creator>
  <cp:lastModifiedBy>Grażyna D. Grabowska</cp:lastModifiedBy>
  <cp:revision>2</cp:revision>
  <cp:lastPrinted>2018-04-05T07:38:00Z</cp:lastPrinted>
  <dcterms:created xsi:type="dcterms:W3CDTF">2018-04-06T10:15:00Z</dcterms:created>
  <dcterms:modified xsi:type="dcterms:W3CDTF">2018-04-06T10:15:00Z</dcterms:modified>
</cp:coreProperties>
</file>