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7B97" w:rsidRPr="002B31A4" w:rsidRDefault="00F97B97" w:rsidP="00F97B97">
      <w:pPr>
        <w:spacing w:line="360" w:lineRule="auto"/>
        <w:jc w:val="right"/>
        <w:rPr>
          <w:rFonts w:ascii="Cambria" w:eastAsia="Calibri" w:hAnsi="Cambria" w:cs="Times New Roman"/>
          <w:i/>
          <w:sz w:val="24"/>
          <w:szCs w:val="24"/>
        </w:rPr>
      </w:pPr>
      <w:bookmarkStart w:id="0" w:name="_GoBack"/>
      <w:bookmarkEnd w:id="0"/>
      <w:r w:rsidRPr="002B31A4">
        <w:rPr>
          <w:rFonts w:ascii="Cambria" w:eastAsia="Calibri" w:hAnsi="Cambria" w:cs="Times New Roman"/>
          <w:i/>
          <w:sz w:val="24"/>
          <w:szCs w:val="24"/>
        </w:rPr>
        <w:t>PROJEKT</w:t>
      </w:r>
    </w:p>
    <w:p w:rsidR="00F97B97" w:rsidRPr="002B31A4" w:rsidRDefault="00F97B97" w:rsidP="00F97B97">
      <w:pPr>
        <w:spacing w:line="360" w:lineRule="auto"/>
        <w:jc w:val="center"/>
        <w:rPr>
          <w:rFonts w:ascii="Cambria" w:eastAsia="Calibri" w:hAnsi="Cambria" w:cs="Times New Roman"/>
          <w:sz w:val="24"/>
          <w:szCs w:val="24"/>
        </w:rPr>
      </w:pPr>
      <w:r w:rsidRPr="002B31A4">
        <w:rPr>
          <w:rFonts w:ascii="Cambria" w:eastAsia="Calibri" w:hAnsi="Cambria" w:cs="Times New Roman"/>
          <w:sz w:val="24"/>
          <w:szCs w:val="24"/>
        </w:rPr>
        <w:t xml:space="preserve">USTAWA </w:t>
      </w:r>
    </w:p>
    <w:p w:rsidR="00F97B97" w:rsidRPr="002B31A4" w:rsidRDefault="00F97B97" w:rsidP="00F97B97">
      <w:pPr>
        <w:spacing w:line="360" w:lineRule="auto"/>
        <w:jc w:val="center"/>
        <w:rPr>
          <w:rFonts w:ascii="Cambria" w:eastAsia="Calibri" w:hAnsi="Cambria" w:cs="Times New Roman"/>
          <w:sz w:val="24"/>
          <w:szCs w:val="24"/>
        </w:rPr>
      </w:pPr>
      <w:r w:rsidRPr="002B31A4">
        <w:rPr>
          <w:rFonts w:ascii="Cambria" w:eastAsia="Calibri" w:hAnsi="Cambria" w:cs="Times New Roman"/>
          <w:sz w:val="24"/>
          <w:szCs w:val="24"/>
        </w:rPr>
        <w:t>z dnia …………………… 2017 r.</w:t>
      </w:r>
    </w:p>
    <w:p w:rsidR="00F97B97" w:rsidRPr="002B31A4" w:rsidRDefault="00F97B97" w:rsidP="00F97B97">
      <w:pPr>
        <w:spacing w:line="360" w:lineRule="auto"/>
        <w:jc w:val="center"/>
        <w:rPr>
          <w:rFonts w:ascii="Cambria" w:eastAsia="Calibri" w:hAnsi="Cambria" w:cs="Times New Roman"/>
          <w:sz w:val="24"/>
          <w:szCs w:val="24"/>
        </w:rPr>
      </w:pPr>
      <w:r w:rsidRPr="002B31A4">
        <w:rPr>
          <w:rFonts w:ascii="Cambria" w:eastAsia="Calibri" w:hAnsi="Cambria" w:cs="Times New Roman"/>
          <w:sz w:val="24"/>
          <w:szCs w:val="24"/>
        </w:rPr>
        <w:t>o zmianie ustawy - Kodeks karny</w:t>
      </w:r>
    </w:p>
    <w:p w:rsidR="00F97B97" w:rsidRPr="002B31A4" w:rsidRDefault="00F97B97" w:rsidP="00F97B97">
      <w:pPr>
        <w:spacing w:line="360" w:lineRule="auto"/>
        <w:jc w:val="center"/>
        <w:rPr>
          <w:rFonts w:ascii="Cambria" w:eastAsia="Calibri" w:hAnsi="Cambria" w:cs="Times New Roman"/>
          <w:sz w:val="24"/>
          <w:szCs w:val="24"/>
        </w:rPr>
      </w:pPr>
    </w:p>
    <w:p w:rsidR="00F97B97" w:rsidRPr="002B31A4" w:rsidRDefault="00F97B97" w:rsidP="00E70AAD">
      <w:pPr>
        <w:spacing w:after="120" w:line="360" w:lineRule="auto"/>
        <w:ind w:firstLine="851"/>
        <w:jc w:val="both"/>
        <w:rPr>
          <w:rFonts w:ascii="Cambria" w:eastAsia="Calibri" w:hAnsi="Cambria" w:cs="Times New Roman"/>
          <w:sz w:val="24"/>
          <w:szCs w:val="24"/>
        </w:rPr>
      </w:pPr>
      <w:r w:rsidRPr="002B31A4">
        <w:rPr>
          <w:rFonts w:ascii="Cambria" w:eastAsia="Calibri" w:hAnsi="Cambria" w:cs="Times New Roman"/>
          <w:b/>
          <w:sz w:val="24"/>
          <w:szCs w:val="24"/>
        </w:rPr>
        <w:t xml:space="preserve">Art. 1. </w:t>
      </w:r>
      <w:r w:rsidRPr="002B31A4">
        <w:rPr>
          <w:rFonts w:ascii="Cambria" w:eastAsia="Calibri" w:hAnsi="Cambria" w:cs="Times New Roman"/>
          <w:sz w:val="24"/>
          <w:szCs w:val="24"/>
        </w:rPr>
        <w:t>W ustawie z dnia 6 czerwca 1997 r. - Kodeks karny (Dz. U. z 2016 r. poz. 1137 oraz z 2017 r. poz. 773) wprowadza się następujące zmiany:</w:t>
      </w:r>
    </w:p>
    <w:p w:rsidR="00F97B97" w:rsidRPr="0098526A" w:rsidRDefault="00E70AAD" w:rsidP="0098526A">
      <w:pPr>
        <w:spacing w:after="120" w:line="360" w:lineRule="auto"/>
        <w:jc w:val="both"/>
        <w:rPr>
          <w:rFonts w:ascii="Cambria" w:eastAsia="Calibri" w:hAnsi="Cambria" w:cs="Times New Roman"/>
          <w:b/>
          <w:sz w:val="24"/>
          <w:szCs w:val="24"/>
        </w:rPr>
      </w:pPr>
      <w:r w:rsidRPr="0098526A">
        <w:rPr>
          <w:rFonts w:ascii="Cambria" w:eastAsia="Calibri" w:hAnsi="Cambria" w:cs="Times New Roman"/>
          <w:sz w:val="24"/>
          <w:szCs w:val="24"/>
        </w:rPr>
        <w:t xml:space="preserve">1) </w:t>
      </w:r>
      <w:r>
        <w:rPr>
          <w:rFonts w:ascii="Cambria" w:eastAsia="Calibri" w:hAnsi="Cambria" w:cs="Times New Roman"/>
          <w:sz w:val="24"/>
          <w:szCs w:val="24"/>
        </w:rPr>
        <w:t>p</w:t>
      </w:r>
      <w:r w:rsidR="00F97B97" w:rsidRPr="0098526A">
        <w:rPr>
          <w:rFonts w:ascii="Cambria" w:eastAsia="Calibri" w:hAnsi="Cambria" w:cs="Times New Roman"/>
          <w:sz w:val="24"/>
          <w:szCs w:val="24"/>
        </w:rPr>
        <w:t>o art. 127 dodaje się art. 127a w brzmieniu:</w:t>
      </w:r>
    </w:p>
    <w:p w:rsidR="00F97B97" w:rsidRPr="004D635D" w:rsidRDefault="00F97B97" w:rsidP="0098526A">
      <w:pPr>
        <w:spacing w:after="120" w:line="360" w:lineRule="auto"/>
        <w:ind w:firstLine="357"/>
        <w:jc w:val="both"/>
        <w:rPr>
          <w:rFonts w:ascii="Cambria" w:eastAsia="Calibri" w:hAnsi="Cambria" w:cs="Times New Roman"/>
          <w:b/>
          <w:sz w:val="24"/>
          <w:szCs w:val="24"/>
        </w:rPr>
      </w:pPr>
      <w:r>
        <w:rPr>
          <w:rFonts w:ascii="Cambria" w:eastAsia="Calibri" w:hAnsi="Cambria" w:cs="Times New Roman"/>
          <w:b/>
          <w:sz w:val="24"/>
          <w:szCs w:val="24"/>
        </w:rPr>
        <w:t>„</w:t>
      </w:r>
      <w:r w:rsidR="00E70AAD">
        <w:rPr>
          <w:rFonts w:ascii="Cambria" w:eastAsia="Calibri" w:hAnsi="Cambria" w:cs="Times New Roman"/>
          <w:b/>
          <w:sz w:val="24"/>
          <w:szCs w:val="24"/>
        </w:rPr>
        <w:t xml:space="preserve">Art. 127a. </w:t>
      </w:r>
      <w:r w:rsidRPr="004D635D">
        <w:rPr>
          <w:rFonts w:ascii="Cambria" w:eastAsia="Calibri" w:hAnsi="Cambria" w:cs="Times New Roman"/>
          <w:b/>
          <w:sz w:val="24"/>
          <w:szCs w:val="24"/>
        </w:rPr>
        <w:t xml:space="preserve">Kto, mając na celu zmianę konstytucyjnego ustroju Rzeczypospolitej Polskiej w sposób sprzeczny lub niezgodny z Konstytucją RP, podejmuje samodzielnie lub w porozumieniu z innymi osobami działalność zmierzającą bezpośrednio lub pośrednio do urzeczywistnienia tego celu, podlega karze pozbawienia wolności na czas nie krótszy od lat </w:t>
      </w:r>
      <w:r>
        <w:rPr>
          <w:rFonts w:ascii="Cambria" w:eastAsia="Calibri" w:hAnsi="Cambria" w:cs="Times New Roman"/>
          <w:b/>
          <w:sz w:val="24"/>
          <w:szCs w:val="24"/>
        </w:rPr>
        <w:t>5</w:t>
      </w:r>
      <w:r w:rsidRPr="004D635D">
        <w:rPr>
          <w:rFonts w:ascii="Cambria" w:eastAsia="Calibri" w:hAnsi="Cambria" w:cs="Times New Roman"/>
          <w:b/>
          <w:sz w:val="24"/>
          <w:szCs w:val="24"/>
        </w:rPr>
        <w:t>.</w:t>
      </w:r>
      <w:r>
        <w:rPr>
          <w:rFonts w:ascii="Cambria" w:eastAsia="Calibri" w:hAnsi="Cambria" w:cs="Times New Roman"/>
          <w:b/>
          <w:sz w:val="24"/>
          <w:szCs w:val="24"/>
        </w:rPr>
        <w:t>”.</w:t>
      </w:r>
    </w:p>
    <w:p w:rsidR="00F97B97" w:rsidRPr="0098526A" w:rsidRDefault="00E70AAD" w:rsidP="0098526A">
      <w:pPr>
        <w:spacing w:after="120" w:line="360" w:lineRule="auto"/>
        <w:jc w:val="both"/>
        <w:rPr>
          <w:rFonts w:ascii="Cambria" w:eastAsia="Calibri" w:hAnsi="Cambria" w:cs="Times New Roman"/>
          <w:b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2) p</w:t>
      </w:r>
      <w:r w:rsidR="00F97B97" w:rsidRPr="0098526A">
        <w:rPr>
          <w:rFonts w:ascii="Cambria" w:eastAsia="Calibri" w:hAnsi="Cambria" w:cs="Times New Roman"/>
          <w:sz w:val="24"/>
          <w:szCs w:val="24"/>
        </w:rPr>
        <w:t>o art. 128 dodaje się art. 128a w brzmieniu:</w:t>
      </w:r>
    </w:p>
    <w:p w:rsidR="00F97B97" w:rsidRPr="002B31A4" w:rsidRDefault="00F97B97" w:rsidP="0098526A">
      <w:pPr>
        <w:spacing w:after="120" w:line="360" w:lineRule="auto"/>
        <w:ind w:firstLine="357"/>
        <w:jc w:val="both"/>
        <w:rPr>
          <w:rFonts w:ascii="Cambria" w:eastAsia="Calibri" w:hAnsi="Cambria" w:cs="Times New Roman"/>
          <w:b/>
          <w:sz w:val="24"/>
          <w:szCs w:val="24"/>
        </w:rPr>
      </w:pPr>
      <w:r w:rsidRPr="002B31A4">
        <w:rPr>
          <w:rFonts w:ascii="Cambria" w:eastAsia="Calibri" w:hAnsi="Cambria" w:cs="Times New Roman"/>
          <w:b/>
          <w:sz w:val="24"/>
          <w:szCs w:val="24"/>
        </w:rPr>
        <w:t>„</w:t>
      </w:r>
      <w:r w:rsidR="00E70AAD">
        <w:rPr>
          <w:rFonts w:ascii="Cambria" w:eastAsia="Calibri" w:hAnsi="Cambria" w:cs="Times New Roman"/>
          <w:b/>
          <w:sz w:val="24"/>
          <w:szCs w:val="24"/>
        </w:rPr>
        <w:t xml:space="preserve">Art.128a. </w:t>
      </w:r>
      <w:r w:rsidRPr="002B31A4">
        <w:rPr>
          <w:rFonts w:ascii="Cambria" w:eastAsia="Calibri" w:hAnsi="Cambria" w:cs="Times New Roman"/>
          <w:b/>
          <w:sz w:val="24"/>
          <w:szCs w:val="24"/>
        </w:rPr>
        <w:t>Kto kandyduje, lub wyraża zgodę na wybór, powołanie albo mianowanie na stanowisko w centralnym, konstytucyjnym organie państwa, opróżnione w sposób niezgodny z Konstytucją RP, podlega grzywnie, karze ograniczenia wolności, albo pozbawienia wolności od roku do lat 3.”</w:t>
      </w:r>
    </w:p>
    <w:p w:rsidR="00F97B97" w:rsidRPr="0098526A" w:rsidRDefault="00E70AAD" w:rsidP="0098526A">
      <w:pPr>
        <w:spacing w:after="120" w:line="360" w:lineRule="auto"/>
        <w:ind w:left="360"/>
        <w:jc w:val="both"/>
        <w:rPr>
          <w:rFonts w:ascii="Cambria" w:eastAsia="Calibri" w:hAnsi="Cambria" w:cs="Times New Roman"/>
          <w:b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3) p</w:t>
      </w:r>
      <w:r w:rsidR="00F97B97" w:rsidRPr="0098526A">
        <w:rPr>
          <w:rFonts w:ascii="Cambria" w:eastAsia="Calibri" w:hAnsi="Cambria" w:cs="Times New Roman"/>
          <w:sz w:val="24"/>
          <w:szCs w:val="24"/>
        </w:rPr>
        <w:t>o art. 247a dodaje się art. 247b w brzmieniu:</w:t>
      </w:r>
    </w:p>
    <w:p w:rsidR="00F97B97" w:rsidRPr="002B31A4" w:rsidRDefault="00F97B97" w:rsidP="0098526A">
      <w:pPr>
        <w:spacing w:after="120" w:line="360" w:lineRule="auto"/>
        <w:ind w:firstLine="360"/>
        <w:jc w:val="both"/>
        <w:rPr>
          <w:rFonts w:ascii="Cambria" w:eastAsia="Calibri" w:hAnsi="Cambria" w:cs="Times New Roman"/>
          <w:b/>
          <w:sz w:val="24"/>
          <w:szCs w:val="24"/>
        </w:rPr>
      </w:pPr>
      <w:r w:rsidRPr="002B31A4">
        <w:rPr>
          <w:rFonts w:ascii="Cambria" w:eastAsia="Calibri" w:hAnsi="Cambria" w:cs="Times New Roman"/>
          <w:b/>
          <w:sz w:val="24"/>
          <w:szCs w:val="24"/>
        </w:rPr>
        <w:t>„</w:t>
      </w:r>
      <w:r w:rsidR="00E70AAD">
        <w:rPr>
          <w:rFonts w:ascii="Cambria" w:eastAsia="Calibri" w:hAnsi="Cambria" w:cs="Times New Roman"/>
          <w:b/>
          <w:sz w:val="24"/>
          <w:szCs w:val="24"/>
        </w:rPr>
        <w:t xml:space="preserve">Art. 247b. </w:t>
      </w:r>
      <w:r w:rsidRPr="002B31A4">
        <w:rPr>
          <w:rFonts w:ascii="Cambria" w:eastAsia="Calibri" w:hAnsi="Cambria" w:cs="Times New Roman"/>
          <w:b/>
          <w:sz w:val="24"/>
          <w:szCs w:val="24"/>
        </w:rPr>
        <w:t xml:space="preserve">Kto kandyduje, lub wyraża zgodę na wybór, powołanie albo mianowanie na stanowisko sędziego, opróżnione w sposób niezgodny z Konstytucją RP, podlega grzywnie, karze ograniczenia wolności, albo </w:t>
      </w:r>
      <w:r>
        <w:rPr>
          <w:rFonts w:ascii="Cambria" w:eastAsia="Calibri" w:hAnsi="Cambria" w:cs="Times New Roman"/>
          <w:b/>
          <w:sz w:val="24"/>
          <w:szCs w:val="24"/>
        </w:rPr>
        <w:t>pozbawienia wolności od roku do</w:t>
      </w:r>
      <w:r w:rsidR="00E70AAD">
        <w:rPr>
          <w:rFonts w:ascii="Cambria" w:eastAsia="Calibri" w:hAnsi="Cambria" w:cs="Times New Roman"/>
          <w:b/>
          <w:sz w:val="24"/>
          <w:szCs w:val="24"/>
        </w:rPr>
        <w:t xml:space="preserve"> </w:t>
      </w:r>
      <w:r w:rsidRPr="002B31A4">
        <w:rPr>
          <w:rFonts w:ascii="Cambria" w:eastAsia="Calibri" w:hAnsi="Cambria" w:cs="Times New Roman"/>
          <w:b/>
          <w:sz w:val="24"/>
          <w:szCs w:val="24"/>
        </w:rPr>
        <w:t>lat 3.</w:t>
      </w:r>
    </w:p>
    <w:p w:rsidR="00F97B97" w:rsidRPr="002B31A4" w:rsidRDefault="00F97B97" w:rsidP="0098526A">
      <w:pPr>
        <w:spacing w:line="360" w:lineRule="auto"/>
        <w:ind w:firstLine="709"/>
        <w:jc w:val="both"/>
        <w:rPr>
          <w:rFonts w:ascii="Cambria" w:eastAsia="Calibri" w:hAnsi="Cambria" w:cs="Times New Roman"/>
          <w:sz w:val="24"/>
          <w:szCs w:val="24"/>
        </w:rPr>
      </w:pPr>
      <w:r w:rsidRPr="002B31A4">
        <w:rPr>
          <w:rFonts w:ascii="Cambria" w:eastAsia="Calibri" w:hAnsi="Cambria" w:cs="Times New Roman"/>
          <w:b/>
          <w:sz w:val="24"/>
          <w:szCs w:val="24"/>
        </w:rPr>
        <w:t xml:space="preserve">Art. 2. </w:t>
      </w:r>
      <w:r w:rsidRPr="002B31A4">
        <w:rPr>
          <w:rFonts w:ascii="Cambria" w:eastAsia="Calibri" w:hAnsi="Cambria" w:cs="Times New Roman"/>
          <w:sz w:val="24"/>
          <w:szCs w:val="24"/>
        </w:rPr>
        <w:t>Ustawa wchodzi w życie w terminie 14 dni od dnia jej ogłoszenia.</w:t>
      </w:r>
    </w:p>
    <w:p w:rsidR="00F97B97" w:rsidRDefault="00F97B97" w:rsidP="00F97B97">
      <w:pPr>
        <w:rPr>
          <w:rFonts w:ascii="Cambria" w:eastAsia="Calibri" w:hAnsi="Cambria" w:cs="Times New Roman"/>
          <w:b/>
          <w:sz w:val="24"/>
          <w:szCs w:val="24"/>
        </w:rPr>
      </w:pPr>
      <w:r>
        <w:rPr>
          <w:rFonts w:ascii="Cambria" w:eastAsia="Calibri" w:hAnsi="Cambria" w:cs="Times New Roman"/>
          <w:b/>
          <w:sz w:val="24"/>
          <w:szCs w:val="24"/>
        </w:rPr>
        <w:br w:type="page"/>
      </w:r>
    </w:p>
    <w:p w:rsidR="00F97B97" w:rsidRPr="002B31A4" w:rsidRDefault="00F97B97" w:rsidP="00F97B97">
      <w:pPr>
        <w:spacing w:line="360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  <w:r w:rsidRPr="002B31A4">
        <w:rPr>
          <w:rFonts w:ascii="Cambria" w:eastAsia="Calibri" w:hAnsi="Cambria" w:cs="Times New Roman"/>
          <w:b/>
          <w:sz w:val="24"/>
          <w:szCs w:val="24"/>
        </w:rPr>
        <w:lastRenderedPageBreak/>
        <w:t>UZASADNIENIE</w:t>
      </w:r>
    </w:p>
    <w:p w:rsidR="00F97B97" w:rsidRPr="002B31A4" w:rsidRDefault="00F97B97" w:rsidP="00F97B97">
      <w:pPr>
        <w:pStyle w:val="Akapitzlist"/>
        <w:numPr>
          <w:ilvl w:val="0"/>
          <w:numId w:val="2"/>
        </w:numPr>
        <w:spacing w:after="120" w:line="360" w:lineRule="auto"/>
        <w:ind w:left="714" w:hanging="357"/>
        <w:jc w:val="both"/>
        <w:rPr>
          <w:rFonts w:ascii="Cambria" w:eastAsia="Calibri" w:hAnsi="Cambria" w:cs="Times New Roman"/>
          <w:b/>
          <w:sz w:val="24"/>
          <w:szCs w:val="24"/>
        </w:rPr>
      </w:pPr>
      <w:r w:rsidRPr="002B31A4">
        <w:rPr>
          <w:rFonts w:ascii="Cambria" w:eastAsia="Calibri" w:hAnsi="Cambria" w:cs="Times New Roman"/>
          <w:b/>
          <w:sz w:val="24"/>
          <w:szCs w:val="24"/>
        </w:rPr>
        <w:t>Potrzeba i cel projektu ustawy</w:t>
      </w:r>
    </w:p>
    <w:p w:rsidR="00F97B97" w:rsidRPr="002B31A4" w:rsidRDefault="00F97B97" w:rsidP="00F97B97">
      <w:pPr>
        <w:spacing w:after="120" w:line="360" w:lineRule="auto"/>
        <w:jc w:val="both"/>
        <w:rPr>
          <w:rFonts w:ascii="Cambria" w:eastAsia="Calibri" w:hAnsi="Cambria" w:cs="Times New Roman"/>
          <w:sz w:val="24"/>
          <w:szCs w:val="24"/>
        </w:rPr>
      </w:pPr>
      <w:r w:rsidRPr="002B31A4">
        <w:rPr>
          <w:rFonts w:ascii="Cambria" w:eastAsia="Calibri" w:hAnsi="Cambria" w:cs="Times New Roman"/>
          <w:sz w:val="24"/>
          <w:szCs w:val="24"/>
        </w:rPr>
        <w:t xml:space="preserve">Głównym celem przedmiotowego projektu jest penalizacja w Kodeksie karnym </w:t>
      </w:r>
      <w:r>
        <w:rPr>
          <w:rFonts w:ascii="Cambria" w:eastAsia="Calibri" w:hAnsi="Cambria" w:cs="Times New Roman"/>
          <w:sz w:val="24"/>
          <w:szCs w:val="24"/>
        </w:rPr>
        <w:t xml:space="preserve">czynności polegających na naruszeniu konstytucyjnego ustroju Rzeczypospolitej Polskiej. Projekt zawiera określenie dwóch zasadniczych czynów zabronionych oraz ich sankcji. Pierwszym z nich jest dokonanie zmiany konstytucyjnego ustroju państwa wbrew lub z pominięciem przepisów obowiązującej Konstytucji Rzeczypospolitej Polskiej. Do tej pory art. 127 Kodeksu karnego penalizował działanie polegające na zmianie ustroju z wykorzystaniem siły lub przemocy. Niniejsza nowelizacja ma za zadanie zapobiegać zmianom ustroju, które dokonywane są metodami na pozór demokratycznymi, tj. w formie ustaw uchwalanych przez Sejm i Senat, natomiast w sposób sprzeczny z ustawą zasadniczą. Ponadto, zgodnie z przedmiotową nowelizacją, czynem zabronionym uczyniono </w:t>
      </w:r>
      <w:r w:rsidRPr="002B31A4">
        <w:rPr>
          <w:rFonts w:ascii="Cambria" w:eastAsia="Calibri" w:hAnsi="Cambria" w:cs="Times New Roman"/>
          <w:sz w:val="24"/>
          <w:szCs w:val="24"/>
        </w:rPr>
        <w:t>kandydowani</w:t>
      </w:r>
      <w:r>
        <w:rPr>
          <w:rFonts w:ascii="Cambria" w:eastAsia="Calibri" w:hAnsi="Cambria" w:cs="Times New Roman"/>
          <w:sz w:val="24"/>
          <w:szCs w:val="24"/>
        </w:rPr>
        <w:t>e oraz wyrażenie</w:t>
      </w:r>
      <w:r w:rsidRPr="002B31A4">
        <w:rPr>
          <w:rFonts w:ascii="Cambria" w:eastAsia="Calibri" w:hAnsi="Cambria" w:cs="Times New Roman"/>
          <w:sz w:val="24"/>
          <w:szCs w:val="24"/>
        </w:rPr>
        <w:t xml:space="preserve"> zgody na wybór, powołanie albo mianowanie na stanowisko w centralnym, konstytucyjnym organie państwa, opróżnione w sposób niezgodny z Konstytucją RP, a także </w:t>
      </w:r>
      <w:r>
        <w:rPr>
          <w:rFonts w:ascii="Cambria" w:eastAsia="Calibri" w:hAnsi="Cambria" w:cs="Times New Roman"/>
          <w:sz w:val="24"/>
          <w:szCs w:val="24"/>
        </w:rPr>
        <w:t xml:space="preserve">kandydowanie, </w:t>
      </w:r>
      <w:r w:rsidRPr="002B31A4">
        <w:rPr>
          <w:rFonts w:ascii="Cambria" w:eastAsia="Calibri" w:hAnsi="Cambria" w:cs="Times New Roman"/>
          <w:sz w:val="24"/>
          <w:szCs w:val="24"/>
        </w:rPr>
        <w:t>wyrażeni</w:t>
      </w:r>
      <w:r>
        <w:rPr>
          <w:rFonts w:ascii="Cambria" w:eastAsia="Calibri" w:hAnsi="Cambria" w:cs="Times New Roman"/>
          <w:sz w:val="24"/>
          <w:szCs w:val="24"/>
        </w:rPr>
        <w:t>e</w:t>
      </w:r>
      <w:r w:rsidRPr="002B31A4">
        <w:rPr>
          <w:rFonts w:ascii="Cambria" w:eastAsia="Calibri" w:hAnsi="Cambria" w:cs="Times New Roman"/>
          <w:sz w:val="24"/>
          <w:szCs w:val="24"/>
        </w:rPr>
        <w:t xml:space="preserve"> zgody na wybór, powołanie albo mianowanie na stanowisko sędziego opróżnione w sposób niezgodny z Konstytucją RP.</w:t>
      </w:r>
    </w:p>
    <w:p w:rsidR="00F97B97" w:rsidRDefault="00F97B97" w:rsidP="00F97B97">
      <w:pPr>
        <w:spacing w:after="120" w:line="360" w:lineRule="auto"/>
        <w:jc w:val="both"/>
        <w:rPr>
          <w:rFonts w:ascii="Cambria" w:eastAsia="Calibri" w:hAnsi="Cambria" w:cs="Times New Roman"/>
          <w:sz w:val="24"/>
          <w:szCs w:val="24"/>
        </w:rPr>
      </w:pPr>
      <w:r w:rsidRPr="002B31A4">
        <w:rPr>
          <w:rFonts w:ascii="Cambria" w:eastAsia="Calibri" w:hAnsi="Cambria" w:cs="Times New Roman"/>
          <w:sz w:val="24"/>
          <w:szCs w:val="24"/>
        </w:rPr>
        <w:t xml:space="preserve">Przedmiotowe zmiany są konieczne ze względu na całokształt </w:t>
      </w:r>
      <w:r>
        <w:rPr>
          <w:rFonts w:ascii="Cambria" w:eastAsia="Calibri" w:hAnsi="Cambria" w:cs="Times New Roman"/>
          <w:sz w:val="24"/>
          <w:szCs w:val="24"/>
        </w:rPr>
        <w:t>procedowanych</w:t>
      </w:r>
      <w:r w:rsidRPr="002B31A4">
        <w:rPr>
          <w:rFonts w:ascii="Cambria" w:eastAsia="Calibri" w:hAnsi="Cambria" w:cs="Times New Roman"/>
          <w:sz w:val="24"/>
          <w:szCs w:val="24"/>
        </w:rPr>
        <w:t xml:space="preserve"> </w:t>
      </w:r>
      <w:r>
        <w:rPr>
          <w:rFonts w:ascii="Cambria" w:eastAsia="Calibri" w:hAnsi="Cambria" w:cs="Times New Roman"/>
          <w:sz w:val="24"/>
          <w:szCs w:val="24"/>
        </w:rPr>
        <w:t xml:space="preserve">obecnie </w:t>
      </w:r>
      <w:r w:rsidRPr="002B31A4">
        <w:rPr>
          <w:rFonts w:ascii="Cambria" w:eastAsia="Calibri" w:hAnsi="Cambria" w:cs="Times New Roman"/>
          <w:sz w:val="24"/>
          <w:szCs w:val="24"/>
        </w:rPr>
        <w:t xml:space="preserve">przepisów dotyczących funkcjonowania </w:t>
      </w:r>
      <w:r>
        <w:rPr>
          <w:rFonts w:ascii="Cambria" w:eastAsia="Calibri" w:hAnsi="Cambria" w:cs="Times New Roman"/>
          <w:sz w:val="24"/>
          <w:szCs w:val="24"/>
        </w:rPr>
        <w:t xml:space="preserve">państwa, przede wszystkim </w:t>
      </w:r>
      <w:r w:rsidRPr="002B31A4">
        <w:rPr>
          <w:rFonts w:ascii="Cambria" w:eastAsia="Calibri" w:hAnsi="Cambria" w:cs="Times New Roman"/>
          <w:sz w:val="24"/>
          <w:szCs w:val="24"/>
        </w:rPr>
        <w:t xml:space="preserve">sądownictwa, </w:t>
      </w:r>
      <w:r>
        <w:rPr>
          <w:rFonts w:ascii="Cambria" w:eastAsia="Calibri" w:hAnsi="Cambria" w:cs="Times New Roman"/>
          <w:sz w:val="24"/>
          <w:szCs w:val="24"/>
        </w:rPr>
        <w:t>a w szczególności</w:t>
      </w:r>
      <w:r w:rsidRPr="002B31A4">
        <w:rPr>
          <w:rFonts w:ascii="Cambria" w:eastAsia="Calibri" w:hAnsi="Cambria" w:cs="Times New Roman"/>
          <w:sz w:val="24"/>
          <w:szCs w:val="24"/>
        </w:rPr>
        <w:t xml:space="preserve"> Krajowej Rady Sądownictwa, Sądu Najwyższego oraz sądów powszechnych.</w:t>
      </w:r>
      <w:r>
        <w:rPr>
          <w:rFonts w:ascii="Cambria" w:eastAsia="Calibri" w:hAnsi="Cambria" w:cs="Times New Roman"/>
          <w:sz w:val="24"/>
          <w:szCs w:val="24"/>
        </w:rPr>
        <w:t xml:space="preserve"> Wprowadzenie zmian dotyczących sądownictwa, w procedowanym kształcie, stanowić będzie naruszenie podstawowych </w:t>
      </w:r>
      <w:r w:rsidRPr="0029427B">
        <w:rPr>
          <w:rFonts w:ascii="Cambria" w:eastAsia="Calibri" w:hAnsi="Cambria" w:cs="Times New Roman"/>
          <w:sz w:val="24"/>
          <w:szCs w:val="24"/>
        </w:rPr>
        <w:t>wartości demokratycznego państwa prawnego</w:t>
      </w:r>
      <w:r>
        <w:rPr>
          <w:rFonts w:ascii="Cambria" w:eastAsia="Calibri" w:hAnsi="Cambria" w:cs="Times New Roman"/>
          <w:sz w:val="24"/>
          <w:szCs w:val="24"/>
        </w:rPr>
        <w:t xml:space="preserve"> w postaci niezależnego i niezawisłego wymiaru sprawiedliwości.</w:t>
      </w:r>
    </w:p>
    <w:p w:rsidR="00F97B97" w:rsidRDefault="00F97B97" w:rsidP="00F97B97">
      <w:pPr>
        <w:spacing w:after="120" w:line="360" w:lineRule="auto"/>
        <w:jc w:val="both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Zaproponowane zmiany dotyczące organizacji władzy sądowniczej, a przede wszystkim powodujące wygaśnięcie kadencji centralnych, konstytucyjnych organów państwa,</w:t>
      </w:r>
      <w:r>
        <w:rPr>
          <w:rFonts w:ascii="Cambria" w:eastAsia="Calibri" w:hAnsi="Cambria" w:cs="Times New Roman"/>
          <w:sz w:val="24"/>
          <w:szCs w:val="24"/>
        </w:rPr>
        <w:br/>
        <w:t>a także usunięcie ze stanowisk sędziów, którzy z natury i istoty funkcji sędziego są niezawiśli, a co za tym idzie nieusuwalni (art. 180 ust. 1 Konstytucji RP). Projektowana nowelizacja ustawy o Sądzie Najwyższym czyni SN organem podległym politykom oraz władzy wykonawczej w osobie Ministra Sprawiedliwości.</w:t>
      </w:r>
    </w:p>
    <w:p w:rsidR="00F97B97" w:rsidRDefault="00F97B97" w:rsidP="00F97B97">
      <w:pPr>
        <w:spacing w:after="120" w:line="360" w:lineRule="auto"/>
        <w:jc w:val="both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Niniejsze zmiany w oczywisty sposób dążą do ominięcia przepisów Konstytucji i zawartych w niej gwarancji niezależności i niezawisłości sądownictwa. Skoro zatem niemożliwym jest zatrzymanie tego procederu odgórnie, w sposób instytucjonalny, </w:t>
      </w:r>
      <w:r>
        <w:rPr>
          <w:rFonts w:ascii="Cambria" w:eastAsia="Calibri" w:hAnsi="Cambria" w:cs="Times New Roman"/>
          <w:sz w:val="24"/>
          <w:szCs w:val="24"/>
        </w:rPr>
        <w:lastRenderedPageBreak/>
        <w:t>bowiem przepisy Konstytucji nie w obecnej sytuacji są dla zachowania niezależnego sądownictwa wystarczające, należy wprowadzić inne gwarancje demokratycznego i prawnego ładu Rzeczypospolitej Polskiej.</w:t>
      </w:r>
    </w:p>
    <w:p w:rsidR="00F97B97" w:rsidRDefault="00F97B97" w:rsidP="00F97B97">
      <w:pPr>
        <w:spacing w:after="120" w:line="360" w:lineRule="auto"/>
        <w:jc w:val="both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Przedmiotowa nowelizacja kodeksu karnego ma za zadanie </w:t>
      </w:r>
      <w:r w:rsidRPr="002B31A4">
        <w:rPr>
          <w:rFonts w:ascii="Cambria" w:eastAsia="Calibri" w:hAnsi="Cambria" w:cs="Times New Roman"/>
          <w:sz w:val="24"/>
          <w:szCs w:val="24"/>
        </w:rPr>
        <w:t>penalizacj</w:t>
      </w:r>
      <w:r>
        <w:rPr>
          <w:rFonts w:ascii="Cambria" w:eastAsia="Calibri" w:hAnsi="Cambria" w:cs="Times New Roman"/>
          <w:sz w:val="24"/>
          <w:szCs w:val="24"/>
        </w:rPr>
        <w:t>ę</w:t>
      </w:r>
      <w:r w:rsidRPr="002B31A4">
        <w:rPr>
          <w:rFonts w:ascii="Cambria" w:eastAsia="Calibri" w:hAnsi="Cambria" w:cs="Times New Roman"/>
          <w:sz w:val="24"/>
          <w:szCs w:val="24"/>
        </w:rPr>
        <w:t xml:space="preserve"> kandydowania oraz wyrażenia zgody na wybór, powołanie albo mianowanie na stanowisko w centralnym, konstytucyjnym organie państwa, opróżnione w sposób niezgodny z Konstytucją RP, a także wyrażenia zgody na wybór, powołanie albo mianowanie na stanowisko sędziego opróżnione w sposób niezgodny z Konstytucją RP.</w:t>
      </w:r>
      <w:r>
        <w:rPr>
          <w:rFonts w:ascii="Cambria" w:eastAsia="Calibri" w:hAnsi="Cambria" w:cs="Times New Roman"/>
          <w:sz w:val="24"/>
          <w:szCs w:val="24"/>
        </w:rPr>
        <w:t xml:space="preserve"> Niniejsze ma za zadanie niedopuszczenie do obsadzenia opróżnionych niezgodnie z Konstytucją stanowisk, a zatem zagwarantowanie niezależności i niezawisłości sądownictwa.</w:t>
      </w:r>
    </w:p>
    <w:p w:rsidR="00F97B97" w:rsidRDefault="00F97B97" w:rsidP="00F97B97">
      <w:pPr>
        <w:spacing w:after="120" w:line="360" w:lineRule="auto"/>
        <w:jc w:val="both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 xml:space="preserve">Zgodnie z niniejszym projektem, karze grzywny, ograniczenia wolności lub pozbawienia wolności od roku do lat 3, podlegać mają osoby, które kandydują lub wyrażają zgodę na </w:t>
      </w:r>
      <w:r w:rsidRPr="002B31A4">
        <w:rPr>
          <w:rFonts w:ascii="Cambria" w:eastAsia="Calibri" w:hAnsi="Cambria" w:cs="Times New Roman"/>
          <w:sz w:val="24"/>
          <w:szCs w:val="24"/>
        </w:rPr>
        <w:t>wybór, powołanie albo mianowanie na stanowisko w centralnym, konstytucyjnym organie państwa, opróżnione w sposób niezgodny z Konstytucją RP</w:t>
      </w:r>
      <w:r>
        <w:rPr>
          <w:rFonts w:ascii="Cambria" w:eastAsia="Calibri" w:hAnsi="Cambria" w:cs="Times New Roman"/>
          <w:sz w:val="24"/>
          <w:szCs w:val="24"/>
        </w:rPr>
        <w:t xml:space="preserve">, a także kandydują lub wyrażają zgodę na </w:t>
      </w:r>
      <w:r w:rsidRPr="002B31A4">
        <w:rPr>
          <w:rFonts w:ascii="Cambria" w:eastAsia="Calibri" w:hAnsi="Cambria" w:cs="Times New Roman"/>
          <w:sz w:val="24"/>
          <w:szCs w:val="24"/>
        </w:rPr>
        <w:t>wybór, powołanie albo mianowanie na stanowisko</w:t>
      </w:r>
      <w:r>
        <w:rPr>
          <w:rFonts w:ascii="Cambria" w:eastAsia="Calibri" w:hAnsi="Cambria" w:cs="Times New Roman"/>
          <w:sz w:val="24"/>
          <w:szCs w:val="24"/>
        </w:rPr>
        <w:t xml:space="preserve"> sędziego opróżnione w sposób niezgody z Konstytucją.</w:t>
      </w:r>
    </w:p>
    <w:p w:rsidR="00F97B97" w:rsidRDefault="00F97B97" w:rsidP="00F97B97">
      <w:pPr>
        <w:spacing w:after="120" w:line="360" w:lineRule="auto"/>
        <w:jc w:val="both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Zmiana ustroju Rzeczypospolitej w sposób sprzeczny, lub z pominięciem Konstytucji Rzeczypospolitej Polskiej, została usankcjonowana karą co najmniej 5 lat pozbawienia wolności.</w:t>
      </w:r>
    </w:p>
    <w:p w:rsidR="00F97B97" w:rsidRDefault="00F97B97" w:rsidP="00F97B97">
      <w:pPr>
        <w:pStyle w:val="Akapitzlist"/>
        <w:numPr>
          <w:ilvl w:val="0"/>
          <w:numId w:val="2"/>
        </w:numPr>
        <w:spacing w:after="120" w:line="360" w:lineRule="auto"/>
        <w:ind w:left="714" w:hanging="357"/>
        <w:jc w:val="both"/>
        <w:rPr>
          <w:rFonts w:ascii="Cambria" w:eastAsia="Calibri" w:hAnsi="Cambria" w:cs="Times New Roman"/>
          <w:b/>
          <w:sz w:val="24"/>
          <w:szCs w:val="24"/>
        </w:rPr>
      </w:pPr>
      <w:r w:rsidRPr="00AB2848">
        <w:rPr>
          <w:rFonts w:ascii="Cambria" w:eastAsia="Calibri" w:hAnsi="Cambria" w:cs="Times New Roman"/>
          <w:b/>
          <w:sz w:val="24"/>
          <w:szCs w:val="24"/>
        </w:rPr>
        <w:t>Rzeczywisty stan w dziedzinie, która ma być unormowana oraz różnica pomiędzy dotychczasowym, a projektowanym stanem prawnym</w:t>
      </w:r>
    </w:p>
    <w:p w:rsidR="00F97B97" w:rsidRDefault="00F97B97" w:rsidP="00F97B97">
      <w:pPr>
        <w:spacing w:after="120" w:line="360" w:lineRule="auto"/>
        <w:jc w:val="both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Obecnie Kodeks karny nie penalizuje tego typu zachowań. Ustawodawca do tej pory nie musiał wprowadzać norm prawnych o charakterze karnym zapobiegających niezgodnym z Konstytucją zmianom ustroju państwa, a także zmianom personalnym wśród sędziów oraz w centralnych, konstytucyjnych organach państwa.</w:t>
      </w:r>
    </w:p>
    <w:p w:rsidR="00F97B97" w:rsidRDefault="00F97B97" w:rsidP="00F97B97">
      <w:pPr>
        <w:pStyle w:val="Akapitzlist"/>
        <w:numPr>
          <w:ilvl w:val="0"/>
          <w:numId w:val="2"/>
        </w:numPr>
        <w:spacing w:after="120" w:line="360" w:lineRule="auto"/>
        <w:ind w:left="714" w:hanging="357"/>
        <w:jc w:val="both"/>
        <w:rPr>
          <w:rFonts w:ascii="Cambria" w:eastAsia="Calibri" w:hAnsi="Cambria" w:cs="Times New Roman"/>
          <w:b/>
          <w:sz w:val="24"/>
          <w:szCs w:val="24"/>
        </w:rPr>
      </w:pPr>
      <w:r w:rsidRPr="00AB2848">
        <w:rPr>
          <w:rFonts w:ascii="Cambria" w:eastAsia="Calibri" w:hAnsi="Cambria" w:cs="Times New Roman"/>
          <w:b/>
          <w:sz w:val="24"/>
          <w:szCs w:val="24"/>
        </w:rPr>
        <w:t>Przewidywane skutki społeczne, gospodarcze, finansowe i źródła finansowania</w:t>
      </w:r>
    </w:p>
    <w:p w:rsidR="00F97B97" w:rsidRDefault="00F97B97" w:rsidP="00F97B97">
      <w:pPr>
        <w:spacing w:after="120" w:line="360" w:lineRule="auto"/>
        <w:jc w:val="both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Proponowane zmiany mają za zadanie zagwarantować podtrzymanie dotychczasowych, konstytucyjnych zasad demokratycznego państwa prawnego, którego jednym z gwarantów jest niezależne i niezawisłe sądownictwo.</w:t>
      </w:r>
    </w:p>
    <w:p w:rsidR="00F97B97" w:rsidRDefault="00F97B97" w:rsidP="00F97B97">
      <w:pPr>
        <w:spacing w:after="120" w:line="360" w:lineRule="auto"/>
        <w:jc w:val="both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lastRenderedPageBreak/>
        <w:t>Niezależny od władzy ustawodawczej oraz wykonawczej, a także przede wszystkim woli politycznej osób sprawujących kierownicze funkcje w państwie wymiar sprawiedliwości jest gwarancją realizacji i przestrzegania konstytucyjnych praw i wolności człowieka i obywatela. Z tego względu, niniejszy projekt ma niebagatelne skutki społeczne, gdyż zachowanie niezależnego i niezawisłego sądownictwa leży w interesie każdego członka społeczności pozostającego pod jurysdykcją polskiego wymiaru sprawiedliwości.</w:t>
      </w:r>
    </w:p>
    <w:p w:rsidR="00F97B97" w:rsidRPr="00B361B9" w:rsidRDefault="00F97B97" w:rsidP="00F97B97">
      <w:pPr>
        <w:spacing w:after="120" w:line="360" w:lineRule="auto"/>
        <w:jc w:val="both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Co więcej, obecne rozwiązania ustrojowe, wprowadzone Konstytucją z 1997 r. zostały poprzedzone ogólnokrajowym referendum, w którym tekst ustawy zasadniczej został przez większość obywateli przyjęty. W konsekwencji, zmiana ustroju państwa, oraz rządzących nim zasad i praw, może być dokonana tylko i wyłącznie w sposób określony w Konstytucji. Pozakonstytucyjne zmiany ustroju są niedopuszczalne, a dokonujący ich ludzie winni w ocenie Projektodawcy podlegać odpowiedzialności karnej.</w:t>
      </w:r>
    </w:p>
    <w:p w:rsidR="00F97B97" w:rsidRDefault="00F97B97" w:rsidP="00F97B97">
      <w:pPr>
        <w:pStyle w:val="Akapitzlist"/>
        <w:numPr>
          <w:ilvl w:val="0"/>
          <w:numId w:val="2"/>
        </w:numPr>
        <w:spacing w:after="120" w:line="360" w:lineRule="auto"/>
        <w:ind w:left="714" w:hanging="357"/>
        <w:jc w:val="both"/>
        <w:rPr>
          <w:rFonts w:ascii="Cambria" w:eastAsia="Calibri" w:hAnsi="Cambria" w:cs="Times New Roman"/>
          <w:b/>
          <w:sz w:val="24"/>
          <w:szCs w:val="24"/>
        </w:rPr>
      </w:pPr>
      <w:r w:rsidRPr="00AB2848">
        <w:rPr>
          <w:rFonts w:ascii="Cambria" w:eastAsia="Calibri" w:hAnsi="Cambria" w:cs="Times New Roman"/>
          <w:b/>
          <w:sz w:val="24"/>
          <w:szCs w:val="24"/>
        </w:rPr>
        <w:t>Ocena zgodności projektu z prawem Unii Europejskiej</w:t>
      </w:r>
    </w:p>
    <w:p w:rsidR="00F97B97" w:rsidRPr="00AB2848" w:rsidRDefault="00F97B97" w:rsidP="00F97B97">
      <w:pPr>
        <w:spacing w:line="360" w:lineRule="auto"/>
        <w:jc w:val="both"/>
        <w:rPr>
          <w:rFonts w:ascii="Cambria" w:eastAsia="Calibri" w:hAnsi="Cambria" w:cs="Times New Roman"/>
          <w:sz w:val="24"/>
          <w:szCs w:val="24"/>
        </w:rPr>
      </w:pPr>
      <w:r w:rsidRPr="00AB2848">
        <w:rPr>
          <w:rFonts w:ascii="Cambria" w:eastAsia="Calibri" w:hAnsi="Cambria" w:cs="Times New Roman"/>
          <w:sz w:val="24"/>
          <w:szCs w:val="24"/>
        </w:rPr>
        <w:t>Przedmiot projektu niniejszej ustawy jest zgodny z prawem Unii Europejskiej.</w:t>
      </w:r>
    </w:p>
    <w:p w:rsidR="001827CD" w:rsidRDefault="001827CD"/>
    <w:sectPr w:rsidR="001827CD" w:rsidSect="00311D6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2399" w:rsidRDefault="0098526A">
      <w:r>
        <w:separator/>
      </w:r>
    </w:p>
  </w:endnote>
  <w:endnote w:type="continuationSeparator" w:id="0">
    <w:p w:rsidR="00D42399" w:rsidRDefault="00985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06204"/>
      <w:docPartObj>
        <w:docPartGallery w:val="Page Numbers (Bottom of Page)"/>
        <w:docPartUnique/>
      </w:docPartObj>
    </w:sdtPr>
    <w:sdtEndPr/>
    <w:sdtContent>
      <w:p w:rsidR="0049005C" w:rsidRDefault="00E70AAD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7712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9005C" w:rsidRDefault="0077712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2399" w:rsidRDefault="0098526A">
      <w:r>
        <w:separator/>
      </w:r>
    </w:p>
  </w:footnote>
  <w:footnote w:type="continuationSeparator" w:id="0">
    <w:p w:rsidR="00D42399" w:rsidRDefault="009852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CD49EA"/>
    <w:multiLevelType w:val="hybridMultilevel"/>
    <w:tmpl w:val="CC00C316"/>
    <w:lvl w:ilvl="0" w:tplc="B09AB2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8806AC"/>
    <w:multiLevelType w:val="hybridMultilevel"/>
    <w:tmpl w:val="4E94E1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B97"/>
    <w:rsid w:val="00132747"/>
    <w:rsid w:val="001827CD"/>
    <w:rsid w:val="006E77C8"/>
    <w:rsid w:val="00777125"/>
    <w:rsid w:val="0098526A"/>
    <w:rsid w:val="009A2483"/>
    <w:rsid w:val="00CD1E61"/>
    <w:rsid w:val="00D42399"/>
    <w:rsid w:val="00E70AAD"/>
    <w:rsid w:val="00F97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97B97"/>
    <w:pPr>
      <w:spacing w:after="0" w:line="240" w:lineRule="auto"/>
    </w:pPr>
    <w:rPr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97B97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F97B9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97B97"/>
    <w:rPr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0AA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0AAD"/>
    <w:rPr>
      <w:rFonts w:ascii="Segoe UI" w:hAnsi="Segoe UI" w:cs="Segoe UI"/>
      <w:sz w:val="18"/>
      <w:szCs w:val="18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97B97"/>
    <w:pPr>
      <w:spacing w:after="0" w:line="240" w:lineRule="auto"/>
    </w:pPr>
    <w:rPr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97B97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F97B9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97B97"/>
    <w:rPr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0AA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0AAD"/>
    <w:rPr>
      <w:rFonts w:ascii="Segoe UI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980</Words>
  <Characters>5881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A. Genert</dc:creator>
  <cp:lastModifiedBy>Ewa A. Genert</cp:lastModifiedBy>
  <cp:revision>2</cp:revision>
  <dcterms:created xsi:type="dcterms:W3CDTF">2018-04-11T11:55:00Z</dcterms:created>
  <dcterms:modified xsi:type="dcterms:W3CDTF">2018-04-11T11:55:00Z</dcterms:modified>
</cp:coreProperties>
</file>