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AC" w:rsidRPr="00366D6D" w:rsidRDefault="00DE7EAC" w:rsidP="00DE7EAC">
      <w:pPr>
        <w:jc w:val="right"/>
        <w:rPr>
          <w:rFonts w:eastAsia="Times New Roman"/>
          <w:bCs/>
          <w:i/>
          <w:color w:val="000000"/>
          <w:spacing w:val="20"/>
          <w:sz w:val="24"/>
          <w:szCs w:val="24"/>
        </w:rPr>
      </w:pPr>
      <w:bookmarkStart w:id="0" w:name="_GoBack"/>
      <w:bookmarkEnd w:id="0"/>
      <w:r>
        <w:rPr>
          <w:rFonts w:eastAsia="Times New Roman"/>
          <w:bCs/>
          <w:i/>
          <w:color w:val="000000"/>
          <w:spacing w:val="20"/>
          <w:sz w:val="24"/>
          <w:szCs w:val="24"/>
        </w:rPr>
        <w:t>projekt</w:t>
      </w:r>
    </w:p>
    <w:p w:rsidR="00DE7EAC" w:rsidRPr="007C1BDF" w:rsidRDefault="00DE7EAC" w:rsidP="00DE7EAC">
      <w:pPr>
        <w:jc w:val="center"/>
        <w:rPr>
          <w:rFonts w:eastAsia="Times New Roman"/>
          <w:color w:val="000000"/>
          <w:spacing w:val="20"/>
          <w:sz w:val="24"/>
          <w:szCs w:val="24"/>
        </w:rPr>
      </w:pPr>
      <w:r w:rsidRPr="007C1BDF">
        <w:rPr>
          <w:rFonts w:eastAsia="Times New Roman"/>
          <w:b/>
          <w:bCs/>
          <w:color w:val="000000"/>
          <w:spacing w:val="20"/>
          <w:sz w:val="24"/>
          <w:szCs w:val="24"/>
        </w:rPr>
        <w:t>USTAWA</w:t>
      </w:r>
    </w:p>
    <w:p w:rsidR="00DE7EAC" w:rsidRPr="007C1BDF" w:rsidRDefault="00DE7EAC" w:rsidP="00DE7EAC">
      <w:pPr>
        <w:jc w:val="center"/>
        <w:rPr>
          <w:rFonts w:eastAsia="Times New Roman"/>
          <w:color w:val="000000"/>
          <w:sz w:val="24"/>
          <w:szCs w:val="24"/>
        </w:rPr>
      </w:pPr>
      <w:r w:rsidRPr="007C1BDF">
        <w:rPr>
          <w:rFonts w:eastAsia="Times New Roman"/>
          <w:color w:val="000000"/>
          <w:sz w:val="24"/>
          <w:szCs w:val="24"/>
        </w:rPr>
        <w:t xml:space="preserve">z dnia </w:t>
      </w:r>
      <w:r>
        <w:rPr>
          <w:rFonts w:eastAsia="Times New Roman"/>
          <w:color w:val="000000"/>
          <w:sz w:val="24"/>
          <w:szCs w:val="24"/>
        </w:rPr>
        <w:t>…….</w:t>
      </w:r>
      <w:r w:rsidRPr="003165D6">
        <w:rPr>
          <w:rFonts w:eastAsia="Times New Roman"/>
          <w:color w:val="000000"/>
          <w:sz w:val="24"/>
          <w:szCs w:val="24"/>
        </w:rPr>
        <w:t>….</w:t>
      </w:r>
    </w:p>
    <w:p w:rsidR="00DE7EAC" w:rsidRPr="00130D73" w:rsidRDefault="00DE7EAC" w:rsidP="00DE7EAC">
      <w:pPr>
        <w:spacing w:before="240" w:after="120"/>
        <w:ind w:firstLine="431"/>
        <w:jc w:val="center"/>
        <w:rPr>
          <w:b/>
          <w:sz w:val="24"/>
          <w:szCs w:val="24"/>
        </w:rPr>
      </w:pPr>
      <w:r w:rsidRPr="00130D73">
        <w:rPr>
          <w:b/>
          <w:sz w:val="24"/>
          <w:szCs w:val="24"/>
        </w:rPr>
        <w:t>o zmianie ustawy o podatku od towarów i usług</w:t>
      </w:r>
    </w:p>
    <w:p w:rsidR="004E00B0" w:rsidRPr="004E00B0" w:rsidRDefault="00DE7EAC" w:rsidP="004E00B0">
      <w:pPr>
        <w:spacing w:before="240" w:after="120"/>
        <w:ind w:firstLine="431"/>
        <w:rPr>
          <w:sz w:val="24"/>
          <w:szCs w:val="24"/>
        </w:rPr>
      </w:pPr>
      <w:r w:rsidRPr="00130D73">
        <w:rPr>
          <w:sz w:val="24"/>
          <w:szCs w:val="24"/>
        </w:rPr>
        <w:t xml:space="preserve"> Art. 1. W ustawie z dnia 11 marca 2004 r. o podatku o</w:t>
      </w:r>
      <w:r>
        <w:rPr>
          <w:sz w:val="24"/>
          <w:szCs w:val="24"/>
        </w:rPr>
        <w:t>d towarów i usług (Dz. U. z 2017 r. poz. 1221</w:t>
      </w:r>
      <w:r w:rsidR="00256A9F">
        <w:rPr>
          <w:sz w:val="24"/>
          <w:szCs w:val="24"/>
        </w:rPr>
        <w:t xml:space="preserve"> z </w:t>
      </w:r>
      <w:proofErr w:type="spellStart"/>
      <w:r w:rsidR="00256A9F">
        <w:rPr>
          <w:sz w:val="24"/>
          <w:szCs w:val="24"/>
        </w:rPr>
        <w:t>późn</w:t>
      </w:r>
      <w:proofErr w:type="spellEnd"/>
      <w:r w:rsidR="00256A9F">
        <w:rPr>
          <w:sz w:val="24"/>
          <w:szCs w:val="24"/>
        </w:rPr>
        <w:t>. zm.</w:t>
      </w:r>
      <w:r w:rsidR="00256A9F">
        <w:rPr>
          <w:rStyle w:val="Odwoanieprzypisudolnego"/>
          <w:sz w:val="24"/>
          <w:szCs w:val="24"/>
        </w:rPr>
        <w:footnoteReference w:id="1"/>
      </w:r>
      <w:r w:rsidR="007869F5">
        <w:rPr>
          <w:sz w:val="24"/>
          <w:szCs w:val="24"/>
        </w:rPr>
        <w:t xml:space="preserve">) </w:t>
      </w:r>
      <w:r w:rsidR="004E00B0" w:rsidRPr="004E00B0">
        <w:rPr>
          <w:sz w:val="24"/>
          <w:szCs w:val="24"/>
        </w:rPr>
        <w:t>art. 146a we wprowadzeniu do wyliczenia wyrazy „</w:t>
      </w:r>
      <w:r w:rsidR="004E00B0">
        <w:rPr>
          <w:sz w:val="24"/>
          <w:szCs w:val="24"/>
        </w:rPr>
        <w:t xml:space="preserve">31 grudnia </w:t>
      </w:r>
      <w:r w:rsidR="004E00B0" w:rsidRPr="004E00B0">
        <w:rPr>
          <w:sz w:val="24"/>
          <w:szCs w:val="24"/>
        </w:rPr>
        <w:t>2018 r.” zastępuje się</w:t>
      </w:r>
      <w:r w:rsidR="004E00B0">
        <w:rPr>
          <w:sz w:val="24"/>
          <w:szCs w:val="24"/>
        </w:rPr>
        <w:t xml:space="preserve"> </w:t>
      </w:r>
      <w:r w:rsidR="004E00B0" w:rsidRPr="004E00B0">
        <w:rPr>
          <w:sz w:val="24"/>
          <w:szCs w:val="24"/>
        </w:rPr>
        <w:t>wyrazami „</w:t>
      </w:r>
      <w:r w:rsidR="004E00B0">
        <w:rPr>
          <w:sz w:val="24"/>
          <w:szCs w:val="24"/>
        </w:rPr>
        <w:t>30 czerwca 2018 r.”</w:t>
      </w:r>
    </w:p>
    <w:p w:rsidR="00DE7EAC" w:rsidRDefault="004E00B0" w:rsidP="004E00B0">
      <w:pPr>
        <w:spacing w:before="240" w:after="120"/>
        <w:ind w:firstLine="431"/>
        <w:rPr>
          <w:bCs/>
          <w:sz w:val="24"/>
          <w:szCs w:val="24"/>
        </w:rPr>
      </w:pPr>
      <w:r w:rsidRPr="004E00B0">
        <w:rPr>
          <w:sz w:val="24"/>
          <w:szCs w:val="24"/>
        </w:rPr>
        <w:t>Art. 2. Ustawa wchodzi w życie po upływie 14 dni od ogłoszenia.</w:t>
      </w:r>
      <w:r w:rsidR="00DE7EAC">
        <w:rPr>
          <w:bCs/>
          <w:sz w:val="24"/>
          <w:szCs w:val="24"/>
        </w:rPr>
        <w:br w:type="page"/>
      </w:r>
    </w:p>
    <w:p w:rsidR="00BF022E" w:rsidRDefault="00BF022E" w:rsidP="00DE7EAC">
      <w:pPr>
        <w:pStyle w:val="Nagwek1"/>
      </w:pPr>
      <w:r w:rsidRPr="009E7887">
        <w:lastRenderedPageBreak/>
        <w:t>Potrzeba i cel wydania ustawy</w:t>
      </w:r>
    </w:p>
    <w:p w:rsidR="00BF022E" w:rsidRDefault="00BF022E" w:rsidP="00BF022E">
      <w:r>
        <w:t>Celem niniejszej ustawy jest obniżenie stawek podatku od towarów i usług do stanu sprzed 1 stycznia 2011 roku</w:t>
      </w:r>
      <w:r w:rsidR="007F1503">
        <w:t xml:space="preserve">. Oznacza to zmniejszenie opodatkowania VAT towarów i usług obciążonych obecnie stawką 23% do 22%, a towarów i usług obciążonych stawką 8% do 7%. Nie ulegnie zmianie stawka podatkowa dla </w:t>
      </w:r>
      <w:r w:rsidR="005647D4">
        <w:t>towarów i usług opodatkowanych stawką 5%.</w:t>
      </w:r>
    </w:p>
    <w:p w:rsidR="00C12752" w:rsidRDefault="007869F5" w:rsidP="0085799B">
      <w:r>
        <w:t>Podwyżka stawek podatku VAT,</w:t>
      </w:r>
      <w:r w:rsidR="002A40BC">
        <w:t xml:space="preserve"> wprowadzona </w:t>
      </w:r>
      <w:r w:rsidR="00DB0601">
        <w:t>u</w:t>
      </w:r>
      <w:r w:rsidR="00603F36">
        <w:t xml:space="preserve">stawą z dnia 26 listopada 2010 r. </w:t>
      </w:r>
      <w:r w:rsidR="00603F36" w:rsidRPr="00603F36">
        <w:t>o zmianie niektórych ustaw związanych z realizacją ustawy budżetowej</w:t>
      </w:r>
      <w:r>
        <w:t>,</w:t>
      </w:r>
      <w:r w:rsidR="00603F36">
        <w:t xml:space="preserve"> motywowana była nadzwyczajną sytuacja, jaką był globalny kryzys gospodarczy. </w:t>
      </w:r>
      <w:r w:rsidR="003E2C97">
        <w:t>Miało być to rozwiązanie tymczasowe, którego celem było ograniczenie kryzysowego wzrostu zadłużenia finansów publicznych w celu uniknięcia przekroczenia drugiego progu ostrożnościowego (55% PKB). Z tego powodu w we wspomnianej wyżej ustawie wprowadzono termin obowiązywania wyższych stawek – 31 grudnia 2013  r.</w:t>
      </w:r>
      <w:r w:rsidR="00DB0601">
        <w:t xml:space="preserve"> – od 1 stycznia </w:t>
      </w:r>
      <w:r>
        <w:t xml:space="preserve">2014r. </w:t>
      </w:r>
      <w:r w:rsidR="00DB0601">
        <w:t>stawki miały wrócić do wysokości odpowiednio 22% i 7%. Tak się jednak nie stało – ustawa z dn. 8 listopada 2013</w:t>
      </w:r>
      <w:r>
        <w:t xml:space="preserve"> r.</w:t>
      </w:r>
      <w:r w:rsidR="00DB0601">
        <w:t xml:space="preserve"> </w:t>
      </w:r>
      <w:r w:rsidR="00DB0601" w:rsidRPr="00DB0601">
        <w:t>o zmianie ustawy o podatku od towarów i usług oraz niektórych innych ustaw</w:t>
      </w:r>
      <w:r w:rsidR="00DB0601">
        <w:t xml:space="preserve"> wydłużyła okres obowiązywania podwyższonych stawek do końca roku 2016, podważając w ten sposób zaufanie obywatel</w:t>
      </w:r>
      <w:r w:rsidR="00C12752">
        <w:t>i do państwa. „Nadzwyczajny środek kryzysowy” okazał się zakamuflowaną d</w:t>
      </w:r>
      <w:r w:rsidR="0085799B">
        <w:t>ługoterminową podwyżką podatków.</w:t>
      </w:r>
    </w:p>
    <w:p w:rsidR="007869F5" w:rsidRDefault="0085799B" w:rsidP="0085799B">
      <w:r>
        <w:t>„Tymczasowa” zmiana została też podtrzymana ustawą z dnia 1 grudnia 2016</w:t>
      </w:r>
      <w:r w:rsidR="007869F5">
        <w:t xml:space="preserve"> r.</w:t>
      </w:r>
      <w:r>
        <w:t xml:space="preserve"> o </w:t>
      </w:r>
      <w:r w:rsidRPr="0085799B">
        <w:t>zmianie ustawy o podatku od towarów i usług oraz niektórych innych ustaw</w:t>
      </w:r>
      <w:r>
        <w:t xml:space="preserve"> – podwyższone stawki o</w:t>
      </w:r>
      <w:r w:rsidR="009B302F">
        <w:t xml:space="preserve">bowiązywać mają do końca roku 2018. Stało się tak pomimo tego, że obecnie rządząca partia obiecywała w kampanii wyborczej wycofanie się z podwyższonej stawki – obietnica ta padła z ust </w:t>
      </w:r>
      <w:r w:rsidR="007869F5">
        <w:t>poprzedniej</w:t>
      </w:r>
      <w:r w:rsidR="009B302F">
        <w:t xml:space="preserve"> Prezes Rady Ministrów</w:t>
      </w:r>
      <w:r w:rsidR="007869F5">
        <w:t xml:space="preserve"> Beaty Szydło</w:t>
      </w:r>
      <w:r w:rsidR="009B302F">
        <w:t>.</w:t>
      </w:r>
    </w:p>
    <w:p w:rsidR="00DB0601" w:rsidRDefault="009B302F" w:rsidP="00DB0601">
      <w:r>
        <w:t>Autorzy niniejszej ustawy stoją na stanowisku, że w związku z zakończeniem globalnego kryzysu gospodarczego nie ma już uzasadnienia do utrzymywania podwyższonych stawek podatku VAT. Co więcej, Ministerstwo Finansów regularnie informuje o skutecznej walce z luką VAT i oszustwami podatkowymi, co drastycznie zwiększa wpływy z tego podatku</w:t>
      </w:r>
      <w:r w:rsidR="008E1E4F">
        <w:t xml:space="preserve"> (wzrost o 28% rok do roku w I półroczu 2017)</w:t>
      </w:r>
      <w:r>
        <w:t xml:space="preserve"> bez dalszego podnoszenia stawek. </w:t>
      </w:r>
      <w:r w:rsidR="008E1E4F">
        <w:t>Obniżenie podatku VAT do stawek przedkryzysowych byłoby też dowodem szacunku państwa do obywateli, którym obiecano, że wyższy VAT to środek tymczasowy.</w:t>
      </w:r>
    </w:p>
    <w:p w:rsidR="00170E44" w:rsidRDefault="00170E44" w:rsidP="00DB0601">
      <w:r>
        <w:t xml:space="preserve">Ostatecznym argumentem dla jak najszybszego przywrócenia niższych stawek VAT jest skala marnotrawstwa publicznych pieniędzy przez obecną administrację rządową, nie tylko na nieprzemyślane i zbędne reformy (np. nowi urzędnicy wyborczy), ale przede wszystkim na wydatki personalne, odprawy, nagrody, niewytłumaczone wydatki służbowe w MON a zapewne i innych resortach oraz wydatki propagandowe, takie </w:t>
      </w:r>
      <w:r w:rsidR="00840712">
        <w:t xml:space="preserve">wsparcie tracącej oglądalność TVP. </w:t>
      </w:r>
    </w:p>
    <w:p w:rsidR="00840712" w:rsidRPr="00BF022E" w:rsidRDefault="00840712" w:rsidP="00DB0601">
      <w:r>
        <w:t xml:space="preserve">Wnioskodawcy są zdania, że </w:t>
      </w:r>
      <w:r w:rsidR="002863A6">
        <w:t>takie gospodarowanie środkami publicznymi jest nie do zaakceptowania.</w:t>
      </w:r>
    </w:p>
    <w:p w:rsidR="00BF022E" w:rsidRDefault="00BF022E" w:rsidP="00BF022E">
      <w:pPr>
        <w:pStyle w:val="Nagwek1"/>
      </w:pPr>
      <w:r w:rsidRPr="009E7887">
        <w:lastRenderedPageBreak/>
        <w:t>Rzeczywisty stan oraz wskazanie różnic pomiędzy dotychczasowym a projektowanym stanem prawnym.</w:t>
      </w:r>
    </w:p>
    <w:p w:rsidR="00060C1B" w:rsidRDefault="00840712" w:rsidP="00060C1B">
      <w:r>
        <w:t>Obecnie art. 146a ustawy z</w:t>
      </w:r>
      <w:r w:rsidR="008E1E4F" w:rsidRPr="008E1E4F">
        <w:t xml:space="preserve"> dnia 11 marca 2004 r. o podatku od towarów i usług</w:t>
      </w:r>
      <w:r w:rsidR="008E1E4F">
        <w:t xml:space="preserve"> stanowi, że podwyższone stawki podatku VAT obowiązują</w:t>
      </w:r>
      <w:r w:rsidR="00060C1B">
        <w:t xml:space="preserve"> „w</w:t>
      </w:r>
      <w:r w:rsidR="008E1E4F" w:rsidRPr="008E1E4F">
        <w:t xml:space="preserve"> okresie od dnia 1 stycznia 2011 r. do dnia 31 grudnia 201</w:t>
      </w:r>
      <w:r w:rsidR="008E1E4F">
        <w:t xml:space="preserve">8 r.”. Proponowana ustawa zakłada </w:t>
      </w:r>
      <w:r w:rsidR="00060C1B">
        <w:t xml:space="preserve">skrócenie terminu obowiązywania wyższych stawek VAT o </w:t>
      </w:r>
      <w:r>
        <w:t xml:space="preserve">pół roku </w:t>
      </w:r>
      <w:r w:rsidR="00060C1B">
        <w:t xml:space="preserve"> – przestałyby one obowią</w:t>
      </w:r>
      <w:r>
        <w:t>zywać 1 lipca 2018</w:t>
      </w:r>
      <w:r w:rsidR="00060C1B">
        <w:t xml:space="preserve"> roku.</w:t>
      </w:r>
    </w:p>
    <w:p w:rsidR="00BF022E" w:rsidRPr="009E7887" w:rsidRDefault="00BF022E" w:rsidP="00BF022E">
      <w:pPr>
        <w:pStyle w:val="Nagwek1"/>
      </w:pPr>
      <w:r w:rsidRPr="009E7887">
        <w:t>Przedstawienie przewidywanych skutków ustawy</w:t>
      </w:r>
    </w:p>
    <w:p w:rsidR="00BF022E" w:rsidRDefault="00BF022E" w:rsidP="00BF022E">
      <w:pPr>
        <w:pStyle w:val="Nagwek2"/>
      </w:pPr>
      <w:r w:rsidRPr="009E7887">
        <w:t>Skutki społeczne</w:t>
      </w:r>
    </w:p>
    <w:p w:rsidR="00060C1B" w:rsidRPr="00060C1B" w:rsidRDefault="00060C1B" w:rsidP="00060C1B">
      <w:r>
        <w:t>Obniżka podatku od towarów i usług przełoży się na niższe ceny, przez co zwiększy się siła nabywcza wynagrodzeń Polaków, co zaowocuje wyższą konsumpcją oraz dobrobytem.</w:t>
      </w:r>
      <w:r w:rsidR="001224FC">
        <w:t xml:space="preserve"> Zgodnie </w:t>
      </w:r>
      <w:r w:rsidR="006305DA">
        <w:t xml:space="preserve">z szacunkami </w:t>
      </w:r>
      <w:proofErr w:type="spellStart"/>
      <w:r w:rsidR="006305DA">
        <w:t>CenEA</w:t>
      </w:r>
      <w:proofErr w:type="spellEnd"/>
      <w:r w:rsidR="006305DA">
        <w:t xml:space="preserve"> w 2014</w:t>
      </w:r>
      <w:r w:rsidR="001224FC">
        <w:t xml:space="preserve"> r. podwyższony VAT </w:t>
      </w:r>
      <w:r w:rsidR="0010154A">
        <w:t xml:space="preserve">kosztował </w:t>
      </w:r>
      <w:r w:rsidR="006305DA">
        <w:t>polskie gospodarstwa domowe od 7,60 zł miesięcznie (pierwsza grupa decylowa) do</w:t>
      </w:r>
      <w:r w:rsidR="0010154A">
        <w:t xml:space="preserve"> 35,40 zł miesięcznie</w:t>
      </w:r>
      <w:r w:rsidR="006305DA">
        <w:t xml:space="preserve"> </w:t>
      </w:r>
      <w:r w:rsidR="001224FC">
        <w:t>.</w:t>
      </w:r>
      <w:r w:rsidR="006305DA">
        <w:t xml:space="preserve"> Podwyższony VAT był też najbardziej dotkliwy dla najmniej zamożnych gospodarstw, gdyż wydatki konsumpcyjne pochłaniają u nich odpowiednio większą część dochodu.</w:t>
      </w:r>
      <w:r w:rsidR="00840712">
        <w:t xml:space="preserve"> Faktycznie więc obniżenie VAT będzie znacznym odciążeniem dla wszystkich, a zwłaszcza najbiedniejszych gospodarstw domowych. </w:t>
      </w:r>
    </w:p>
    <w:p w:rsidR="00BF022E" w:rsidRDefault="00BF022E" w:rsidP="00BF022E">
      <w:pPr>
        <w:pStyle w:val="Nagwek2"/>
      </w:pPr>
      <w:r w:rsidRPr="009E7887">
        <w:t>Skutki gospodarcze</w:t>
      </w:r>
    </w:p>
    <w:p w:rsidR="00060C1B" w:rsidRPr="00060C1B" w:rsidRDefault="003D21FB" w:rsidP="00060C1B">
      <w:r>
        <w:t xml:space="preserve">Obniżenie stawki </w:t>
      </w:r>
      <w:r w:rsidR="00060C1B">
        <w:t>podatku od towarów i usług</w:t>
      </w:r>
      <w:r>
        <w:t xml:space="preserve"> przyniesie pozytywne skutku gospodarcze. Należy spodziewać się zwiększonego popytu konsumpcyjnego. </w:t>
      </w:r>
    </w:p>
    <w:p w:rsidR="00BF022E" w:rsidRDefault="00BF022E" w:rsidP="00BF022E">
      <w:pPr>
        <w:pStyle w:val="Nagwek2"/>
      </w:pPr>
      <w:r w:rsidRPr="009E7887">
        <w:t>Skutki finansowe</w:t>
      </w:r>
    </w:p>
    <w:p w:rsidR="001224FC" w:rsidRPr="001224FC" w:rsidRDefault="001224FC" w:rsidP="001224FC">
      <w:r>
        <w:t xml:space="preserve">Szacowane koszty obniżenia stawek VAT o 1 pkt procentowy wynoszą ok. </w:t>
      </w:r>
      <w:r w:rsidR="0010154A">
        <w:t>6,2</w:t>
      </w:r>
      <w:r w:rsidR="006305DA">
        <w:t xml:space="preserve"> mld zł rocznie. </w:t>
      </w:r>
      <w:r w:rsidR="0010154A">
        <w:t>Mogą więc być one pokryte przez poprawę ściągalności podatku – w roku 2018 ma ona przynieść ok</w:t>
      </w:r>
      <w:r w:rsidR="00840712">
        <w:t xml:space="preserve">. 30 mld zł dodatkowego dochodu, a także bardziej racjonalnym gospodarowaniem środkami budżetowymi, w tym wydatkami administracyjnymi. </w:t>
      </w:r>
    </w:p>
    <w:p w:rsidR="00BF022E" w:rsidRPr="009E7887" w:rsidRDefault="00BF022E" w:rsidP="00BF022E">
      <w:pPr>
        <w:pStyle w:val="Nagwek2"/>
      </w:pPr>
      <w:r w:rsidRPr="009E7887">
        <w:t xml:space="preserve">Skutki prawne </w:t>
      </w:r>
    </w:p>
    <w:p w:rsidR="00967715" w:rsidRDefault="0010154A" w:rsidP="00BF022E">
      <w:r>
        <w:t xml:space="preserve">Postulowana ustawa </w:t>
      </w:r>
      <w:r w:rsidR="00840712">
        <w:t>wykreśla</w:t>
      </w:r>
      <w:r>
        <w:t xml:space="preserve"> </w:t>
      </w:r>
      <w:r w:rsidR="00DE7EAC">
        <w:t>art. 146a ustawy</w:t>
      </w:r>
      <w:r w:rsidR="00DE7EAC" w:rsidRPr="00DE7EAC">
        <w:t xml:space="preserve"> z dnia 11 marca 2004 r. o podatku od towarów i usług (Dz. U. z 2017 r. poz. 1221)</w:t>
      </w:r>
      <w:r w:rsidR="00840712">
        <w:t xml:space="preserve">. Ustawa nie niesie znaczących skutków prawnych. </w:t>
      </w:r>
    </w:p>
    <w:p w:rsidR="00DE7EAC" w:rsidRDefault="00DE7EAC" w:rsidP="00DE7EAC">
      <w:pPr>
        <w:pStyle w:val="Nagwek1"/>
      </w:pPr>
      <w:r w:rsidRPr="00DE7EAC">
        <w:t>Projekt w zakresie swojej regulacji nie jest objęty prawem Unii Europejskiej.</w:t>
      </w:r>
    </w:p>
    <w:p w:rsidR="00DE7EAC" w:rsidRDefault="00DE7EAC" w:rsidP="00DE7EAC">
      <w:pPr>
        <w:pStyle w:val="Nagwek1"/>
      </w:pPr>
      <w:r>
        <w:t>Wejście w życie ustawy</w:t>
      </w:r>
    </w:p>
    <w:p w:rsidR="00DE7EAC" w:rsidRPr="00DE7EAC" w:rsidRDefault="00DE7EAC" w:rsidP="00DE7EAC">
      <w:r>
        <w:t xml:space="preserve">Ustawa wchodzi w życie </w:t>
      </w:r>
      <w:r w:rsidR="00840712">
        <w:t>1 lipca 2018 r.</w:t>
      </w:r>
    </w:p>
    <w:sectPr w:rsidR="00DE7EAC" w:rsidRPr="00DE7EAC" w:rsidSect="00F80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BF8" w:rsidRDefault="00073BF8" w:rsidP="00BF022E">
      <w:r>
        <w:separator/>
      </w:r>
    </w:p>
  </w:endnote>
  <w:endnote w:type="continuationSeparator" w:id="0">
    <w:p w:rsidR="00073BF8" w:rsidRDefault="00073BF8" w:rsidP="00BF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BF8" w:rsidRDefault="00073BF8" w:rsidP="00BF022E">
      <w:r>
        <w:separator/>
      </w:r>
    </w:p>
  </w:footnote>
  <w:footnote w:type="continuationSeparator" w:id="0">
    <w:p w:rsidR="00073BF8" w:rsidRDefault="00073BF8" w:rsidP="00BF022E">
      <w:r>
        <w:continuationSeparator/>
      </w:r>
    </w:p>
  </w:footnote>
  <w:footnote w:id="1">
    <w:p w:rsidR="00256A9F" w:rsidRPr="00256A9F" w:rsidRDefault="00256A9F">
      <w:pPr>
        <w:pStyle w:val="Tekstprzypisudolnego"/>
        <w:rPr>
          <w:sz w:val="20"/>
          <w:szCs w:val="20"/>
        </w:rPr>
      </w:pPr>
      <w:r w:rsidRPr="00256A9F">
        <w:rPr>
          <w:rStyle w:val="Odwoanieprzypisudolnego"/>
          <w:sz w:val="20"/>
          <w:szCs w:val="20"/>
        </w:rPr>
        <w:footnoteRef/>
      </w:r>
      <w:r w:rsidRPr="00256A9F">
        <w:rPr>
          <w:sz w:val="20"/>
          <w:szCs w:val="20"/>
        </w:rPr>
        <w:t xml:space="preserve"> Zmiany tekstu jednolitego ustawy opublikowano w Dz. U. z 2017 r. poz. 2491</w:t>
      </w:r>
      <w:r>
        <w:rPr>
          <w:sz w:val="20"/>
          <w:szCs w:val="20"/>
        </w:rPr>
        <w:t xml:space="preserve"> i 2018 r. poz. 62 i 86.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62276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22E"/>
    <w:rsid w:val="0004695F"/>
    <w:rsid w:val="00060C1B"/>
    <w:rsid w:val="00063E63"/>
    <w:rsid w:val="00073BF8"/>
    <w:rsid w:val="0010154A"/>
    <w:rsid w:val="001224FC"/>
    <w:rsid w:val="001248E9"/>
    <w:rsid w:val="00170E44"/>
    <w:rsid w:val="00256A9F"/>
    <w:rsid w:val="00285F4B"/>
    <w:rsid w:val="002863A6"/>
    <w:rsid w:val="002A40BC"/>
    <w:rsid w:val="003977D9"/>
    <w:rsid w:val="003D21FB"/>
    <w:rsid w:val="003E2C97"/>
    <w:rsid w:val="004E00B0"/>
    <w:rsid w:val="0053617E"/>
    <w:rsid w:val="005647D4"/>
    <w:rsid w:val="00603F36"/>
    <w:rsid w:val="006305DA"/>
    <w:rsid w:val="007869F5"/>
    <w:rsid w:val="007F1503"/>
    <w:rsid w:val="00840712"/>
    <w:rsid w:val="0085799B"/>
    <w:rsid w:val="008E1E4F"/>
    <w:rsid w:val="00947BC0"/>
    <w:rsid w:val="00967715"/>
    <w:rsid w:val="009B302F"/>
    <w:rsid w:val="00A34F94"/>
    <w:rsid w:val="00A53C88"/>
    <w:rsid w:val="00AC76EC"/>
    <w:rsid w:val="00B37B90"/>
    <w:rsid w:val="00B433FD"/>
    <w:rsid w:val="00BF022E"/>
    <w:rsid w:val="00C12752"/>
    <w:rsid w:val="00C3095F"/>
    <w:rsid w:val="00C52A62"/>
    <w:rsid w:val="00DB0601"/>
    <w:rsid w:val="00DE7EAC"/>
    <w:rsid w:val="00F80338"/>
    <w:rsid w:val="00F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22E"/>
    <w:pPr>
      <w:spacing w:after="200" w:line="360" w:lineRule="auto"/>
      <w:ind w:firstLine="567"/>
      <w:contextualSpacing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022E"/>
    <w:pPr>
      <w:numPr>
        <w:numId w:val="1"/>
      </w:numPr>
      <w:spacing w:before="120" w:after="160" w:line="259" w:lineRule="auto"/>
      <w:outlineLvl w:val="0"/>
    </w:pPr>
    <w:rPr>
      <w:b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022E"/>
    <w:pPr>
      <w:numPr>
        <w:ilvl w:val="1"/>
        <w:numId w:val="1"/>
      </w:numPr>
      <w:spacing w:after="16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7EAC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7EAC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7EAC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7EAC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7EAC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7EAC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7EAC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22E"/>
    <w:rPr>
      <w:rFonts w:ascii="Times New Roman" w:eastAsiaTheme="minorEastAsia" w:hAnsi="Times New Roman" w:cs="Times New Roman"/>
      <w:b/>
      <w:sz w:val="26"/>
      <w:szCs w:val="2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F022E"/>
    <w:rPr>
      <w:rFonts w:ascii="Times New Roman" w:eastAsiaTheme="minorEastAsia" w:hAnsi="Times New Roman" w:cs="Times New Roman"/>
      <w:b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022E"/>
    <w:rPr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BF022E"/>
    <w:pPr>
      <w:ind w:firstLine="0"/>
      <w:jc w:val="left"/>
    </w:pPr>
    <w:rPr>
      <w:sz w:val="18"/>
    </w:rPr>
  </w:style>
  <w:style w:type="character" w:customStyle="1" w:styleId="przypisZnak">
    <w:name w:val="przypis Znak"/>
    <w:basedOn w:val="TekstprzypisudolnegoZnak"/>
    <w:link w:val="przypis"/>
    <w:rsid w:val="00BF022E"/>
    <w:rPr>
      <w:rFonts w:ascii="Times New Roman" w:eastAsiaTheme="minorEastAsia" w:hAnsi="Times New Roman" w:cs="Times New Roman"/>
      <w:sz w:val="1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022E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022E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7E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7EAC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7EAC"/>
    <w:rPr>
      <w:rFonts w:asciiTheme="majorHAnsi" w:eastAsiaTheme="majorEastAsia" w:hAnsiTheme="majorHAnsi" w:cstheme="majorBidi"/>
      <w:color w:val="2F5496" w:themeColor="accent1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7EAC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7EAC"/>
    <w:rPr>
      <w:rFonts w:asciiTheme="majorHAnsi" w:eastAsiaTheme="majorEastAsia" w:hAnsiTheme="majorHAnsi" w:cstheme="majorBidi"/>
      <w:i/>
      <w:iCs/>
      <w:color w:val="1F3763" w:themeColor="accent1" w:themeShade="7F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7E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7E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C88"/>
    <w:rPr>
      <w:rFonts w:ascii="Segoe UI" w:eastAsiaTheme="minorEastAsia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256A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22E"/>
    <w:pPr>
      <w:spacing w:after="200" w:line="360" w:lineRule="auto"/>
      <w:ind w:firstLine="567"/>
      <w:contextualSpacing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022E"/>
    <w:pPr>
      <w:numPr>
        <w:numId w:val="1"/>
      </w:numPr>
      <w:spacing w:before="120" w:after="160" w:line="259" w:lineRule="auto"/>
      <w:outlineLvl w:val="0"/>
    </w:pPr>
    <w:rPr>
      <w:b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022E"/>
    <w:pPr>
      <w:numPr>
        <w:ilvl w:val="1"/>
        <w:numId w:val="1"/>
      </w:numPr>
      <w:spacing w:after="16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7EAC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7EAC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7EAC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7EAC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7EAC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7EAC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7EAC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22E"/>
    <w:rPr>
      <w:rFonts w:ascii="Times New Roman" w:eastAsiaTheme="minorEastAsia" w:hAnsi="Times New Roman" w:cs="Times New Roman"/>
      <w:b/>
      <w:sz w:val="26"/>
      <w:szCs w:val="2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F022E"/>
    <w:rPr>
      <w:rFonts w:ascii="Times New Roman" w:eastAsiaTheme="minorEastAsia" w:hAnsi="Times New Roman" w:cs="Times New Roman"/>
      <w:b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022E"/>
    <w:rPr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BF022E"/>
    <w:pPr>
      <w:ind w:firstLine="0"/>
      <w:jc w:val="left"/>
    </w:pPr>
    <w:rPr>
      <w:sz w:val="18"/>
    </w:rPr>
  </w:style>
  <w:style w:type="character" w:customStyle="1" w:styleId="przypisZnak">
    <w:name w:val="przypis Znak"/>
    <w:basedOn w:val="TekstprzypisudolnegoZnak"/>
    <w:link w:val="przypis"/>
    <w:rsid w:val="00BF022E"/>
    <w:rPr>
      <w:rFonts w:ascii="Times New Roman" w:eastAsiaTheme="minorEastAsia" w:hAnsi="Times New Roman" w:cs="Times New Roman"/>
      <w:sz w:val="1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022E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022E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7E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7EAC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7EAC"/>
    <w:rPr>
      <w:rFonts w:asciiTheme="majorHAnsi" w:eastAsiaTheme="majorEastAsia" w:hAnsiTheme="majorHAnsi" w:cstheme="majorBidi"/>
      <w:color w:val="2F5496" w:themeColor="accent1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7EAC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7EAC"/>
    <w:rPr>
      <w:rFonts w:asciiTheme="majorHAnsi" w:eastAsiaTheme="majorEastAsia" w:hAnsiTheme="majorHAnsi" w:cstheme="majorBidi"/>
      <w:i/>
      <w:iCs/>
      <w:color w:val="1F3763" w:themeColor="accent1" w:themeShade="7F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7E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7E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C88"/>
    <w:rPr>
      <w:rFonts w:ascii="Segoe UI" w:eastAsiaTheme="minorEastAsia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256A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35BE4-6376-4D38-A7E1-6708AD649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D.</dc:creator>
  <cp:lastModifiedBy>Ewa A. Genert</cp:lastModifiedBy>
  <cp:revision>2</cp:revision>
  <cp:lastPrinted>2018-03-07T08:23:00Z</cp:lastPrinted>
  <dcterms:created xsi:type="dcterms:W3CDTF">2018-04-13T09:11:00Z</dcterms:created>
  <dcterms:modified xsi:type="dcterms:W3CDTF">2018-04-13T09:11:00Z</dcterms:modified>
</cp:coreProperties>
</file>