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37B" w:rsidRPr="00E939EA" w:rsidRDefault="0027437B" w:rsidP="003B79D3">
      <w:pPr>
        <w:autoSpaceDE w:val="0"/>
        <w:autoSpaceDN w:val="0"/>
        <w:adjustRightInd w:val="0"/>
        <w:spacing w:line="360" w:lineRule="auto"/>
        <w:jc w:val="center"/>
      </w:pPr>
      <w:bookmarkStart w:id="0" w:name="_GoBack"/>
      <w:bookmarkEnd w:id="0"/>
      <w:r w:rsidRPr="00E939EA">
        <w:t>UZASADNIENIE</w:t>
      </w:r>
    </w:p>
    <w:p w:rsidR="007F5CC8" w:rsidRPr="00E939EA" w:rsidRDefault="007C18DC" w:rsidP="003B79D3">
      <w:pPr>
        <w:spacing w:before="240" w:line="360" w:lineRule="auto"/>
        <w:jc w:val="both"/>
      </w:pPr>
      <w:r w:rsidRPr="00E939EA">
        <w:t>Głównym c</w:t>
      </w:r>
      <w:r w:rsidR="00AC07AF" w:rsidRPr="00E939EA">
        <w:t>elem projektowanej ustawy jest dostosowanie</w:t>
      </w:r>
      <w:r w:rsidR="000E5650">
        <w:t>,</w:t>
      </w:r>
      <w:r w:rsidR="00AC07AF" w:rsidRPr="00E939EA">
        <w:t xml:space="preserve"> </w:t>
      </w:r>
      <w:r w:rsidR="00D5782E" w:rsidRPr="00E939EA">
        <w:t xml:space="preserve">na poziomie minimum implementacyjnego, </w:t>
      </w:r>
      <w:r w:rsidR="00AC07AF" w:rsidRPr="00E939EA">
        <w:t>krajowych aktów prawnych do rozporządzenia Parlamentu Europejskiego</w:t>
      </w:r>
      <w:r w:rsidR="0045589C">
        <w:t xml:space="preserve"> </w:t>
      </w:r>
      <w:r w:rsidR="00AC07AF" w:rsidRPr="00E939EA">
        <w:t>i Rady (UE) nr 165/2014 z dnia 4 lutego 2014 r. w sprawie tachografów stosowanych w</w:t>
      </w:r>
      <w:r w:rsidR="0045589C">
        <w:t xml:space="preserve"> </w:t>
      </w:r>
      <w:r w:rsidR="00AC07AF" w:rsidRPr="00E939EA">
        <w:t>transporcie drogowym i uchylające</w:t>
      </w:r>
      <w:r w:rsidR="00AD3919" w:rsidRPr="00E939EA">
        <w:t>go</w:t>
      </w:r>
      <w:r w:rsidR="0045589C">
        <w:t xml:space="preserve"> rozporządzenie Rady (EWG) nr </w:t>
      </w:r>
      <w:r w:rsidR="00AC07AF" w:rsidRPr="00E939EA">
        <w:t>3821/85 w sprawie urządzeń rejestrujących stosowanych w transporcie drogowym oraz zmieniające</w:t>
      </w:r>
      <w:r w:rsidR="00AD3919" w:rsidRPr="00E939EA">
        <w:t>go</w:t>
      </w:r>
      <w:r w:rsidR="00AC07AF" w:rsidRPr="00E939EA">
        <w:t xml:space="preserve"> rozporządzenie (WE) nr 561/2006 Parlamentu Europejskiego i</w:t>
      </w:r>
      <w:r w:rsidR="001601FB" w:rsidRPr="00E939EA">
        <w:t xml:space="preserve"> </w:t>
      </w:r>
      <w:r w:rsidR="00AC07AF" w:rsidRPr="00E939EA">
        <w:t xml:space="preserve">Rady w sprawie harmonizacji niektórych przepisów socjalnych odnoszących się do transportu drogowego, zwanego dalej „rozporządzeniem (UE) nr 165/2014”. Projektowana regulacja zwiększa skuteczność i sprawność systemu tachografów oraz </w:t>
      </w:r>
      <w:r w:rsidR="00A0011C" w:rsidRPr="00E939EA">
        <w:t xml:space="preserve">zapewnia </w:t>
      </w:r>
      <w:r w:rsidR="00AC07AF" w:rsidRPr="00E939EA">
        <w:t>lepsze egzekwowanie przepisów socjalnych w transporcie drogowym.</w:t>
      </w:r>
      <w:r w:rsidR="00C25105" w:rsidRPr="00E939EA">
        <w:t xml:space="preserve"> </w:t>
      </w:r>
      <w:r w:rsidR="0045589C">
        <w:t>Rozporządzenie (UE) nr </w:t>
      </w:r>
      <w:r w:rsidR="00AC07AF" w:rsidRPr="00E939EA">
        <w:t>165/2014 wiąże w</w:t>
      </w:r>
      <w:r w:rsidR="0045589C">
        <w:t xml:space="preserve"> </w:t>
      </w:r>
      <w:r w:rsidR="00AC07AF" w:rsidRPr="00E939EA">
        <w:t>całości i ma zastosowanie bezpośrednio w państwach członkowskich</w:t>
      </w:r>
      <w:r w:rsidR="00C25105" w:rsidRPr="00E939EA">
        <w:t>.</w:t>
      </w:r>
    </w:p>
    <w:p w:rsidR="009F3D1D" w:rsidRPr="00E939EA" w:rsidRDefault="007F5CC8" w:rsidP="003B79D3">
      <w:pPr>
        <w:spacing w:before="120" w:line="360" w:lineRule="auto"/>
        <w:jc w:val="both"/>
      </w:pPr>
      <w:r w:rsidRPr="00E939EA">
        <w:t>Projekt ustawy został wpisany do Wykazu prac legislacyjnych i programowych Rady Ministrów pod tytułem „projekt ustawy o zmianie ustawy o systemie tachografów cyfrowych oraz o zmianie ni</w:t>
      </w:r>
      <w:r w:rsidR="00960151">
        <w:t>ektórych innych ustaw” (UC 25). J</w:t>
      </w:r>
      <w:r w:rsidRPr="00E939EA">
        <w:t>ednakże w toku prac nad dokumentem oraz w</w:t>
      </w:r>
      <w:r w:rsidR="0045589C">
        <w:t xml:space="preserve"> </w:t>
      </w:r>
      <w:r w:rsidRPr="00E939EA">
        <w:t>wyniku zgłoszonych na etapi</w:t>
      </w:r>
      <w:r w:rsidR="0045589C">
        <w:t>e uzgodnień międzyresortowych i </w:t>
      </w:r>
      <w:r w:rsidRPr="00E939EA">
        <w:t>konsultacji publicznych uwag</w:t>
      </w:r>
      <w:r w:rsidR="00960151">
        <w:t>, ze względu</w:t>
      </w:r>
      <w:r w:rsidRPr="00E939EA">
        <w:t xml:space="preserve"> na skomplikowany i wysoce techniczny charakter regulacji, przewidujący zmianę niema</w:t>
      </w:r>
      <w:r w:rsidR="00960151">
        <w:t>l wszystkich artykułów ustawy o </w:t>
      </w:r>
      <w:r w:rsidRPr="00E939EA">
        <w:t>systemie tachografów cyfrowych, przystąpiono do prac nad projektem now</w:t>
      </w:r>
      <w:r w:rsidR="00960151">
        <w:t>ej ustawy o </w:t>
      </w:r>
      <w:r w:rsidRPr="00E939EA">
        <w:t>tachografach. Takie rozwiązanie ułatwiło również zapewnienie pełnej spójności przepisów ustawy, obejmującej swoim zakresem zagadnienia dotyczące tachografów cyfrowych i analogowych, regulowane obecnie oddzieln</w:t>
      </w:r>
      <w:r w:rsidR="000E5650">
        <w:t>i</w:t>
      </w:r>
      <w:r w:rsidRPr="00E939EA">
        <w:t>e w</w:t>
      </w:r>
      <w:r w:rsidR="0045589C">
        <w:t xml:space="preserve"> </w:t>
      </w:r>
      <w:r w:rsidRPr="00E939EA">
        <w:t>dwóch ustawach</w:t>
      </w:r>
      <w:r w:rsidR="000E5650">
        <w:t>:</w:t>
      </w:r>
      <w:r w:rsidRPr="00E939EA">
        <w:t xml:space="preserve"> </w:t>
      </w:r>
      <w:r w:rsidR="00960151">
        <w:t>z dnia 29 </w:t>
      </w:r>
      <w:r w:rsidR="00234A98" w:rsidRPr="00E939EA">
        <w:t xml:space="preserve">lipca 2005 r. </w:t>
      </w:r>
      <w:r w:rsidRPr="00E939EA">
        <w:t xml:space="preserve">o systemie tachografów cyfrowych oraz </w:t>
      </w:r>
      <w:r w:rsidR="00234A98" w:rsidRPr="00E939EA">
        <w:t xml:space="preserve">z dnia 11 maja 2001 r. </w:t>
      </w:r>
      <w:r w:rsidR="000E5650">
        <w:t xml:space="preserve">– </w:t>
      </w:r>
      <w:r w:rsidRPr="00E939EA">
        <w:t xml:space="preserve">Prawo o miarach. </w:t>
      </w:r>
    </w:p>
    <w:p w:rsidR="007F5CC8" w:rsidRPr="00E939EA" w:rsidRDefault="007F5CC8" w:rsidP="003B79D3">
      <w:pPr>
        <w:spacing w:before="120" w:line="360" w:lineRule="auto"/>
        <w:jc w:val="both"/>
      </w:pPr>
      <w:r w:rsidRPr="00E939EA">
        <w:t xml:space="preserve">Szczegółowego </w:t>
      </w:r>
      <w:r w:rsidR="009F3D1D" w:rsidRPr="00E939EA">
        <w:t xml:space="preserve">uregulowania </w:t>
      </w:r>
      <w:r w:rsidRPr="00E939EA">
        <w:t>w projekcie wymagały kwestie wysoce techniczne, dlatego też projekt był przedmiotem prac powołane</w:t>
      </w:r>
      <w:r w:rsidR="00C25842">
        <w:t>j w tym celu grupy roboczej ds. </w:t>
      </w:r>
      <w:r w:rsidRPr="00E939EA">
        <w:t xml:space="preserve">tachografów przy Konsultacyjnym Zespole Metrologicznym ds. Regulacji Rynku, działającym przy </w:t>
      </w:r>
      <w:r w:rsidR="009F3D1D" w:rsidRPr="00E939EA">
        <w:t xml:space="preserve">Prezesie </w:t>
      </w:r>
      <w:r w:rsidRPr="00E939EA">
        <w:t>Główn</w:t>
      </w:r>
      <w:r w:rsidR="009F3D1D" w:rsidRPr="00E939EA">
        <w:t xml:space="preserve">ego </w:t>
      </w:r>
      <w:r w:rsidRPr="00E939EA">
        <w:t>Urzęd</w:t>
      </w:r>
      <w:r w:rsidR="009F3D1D" w:rsidRPr="00E939EA">
        <w:t xml:space="preserve">u </w:t>
      </w:r>
      <w:r w:rsidRPr="00E939EA">
        <w:t>Miar. W</w:t>
      </w:r>
      <w:r w:rsidR="0045589C">
        <w:t xml:space="preserve"> </w:t>
      </w:r>
      <w:r w:rsidRPr="00E939EA">
        <w:t xml:space="preserve">skład grupy roboczej wchodzili </w:t>
      </w:r>
      <w:r w:rsidR="006D45FC" w:rsidRPr="00E939EA">
        <w:t xml:space="preserve">przedstawiciele podmiotów prowadzących warsztaty, producentów tachografów i ich elementów składowych oraz </w:t>
      </w:r>
      <w:r w:rsidRPr="00E939EA">
        <w:t xml:space="preserve">przedstawiciele </w:t>
      </w:r>
      <w:r w:rsidR="006D45FC" w:rsidRPr="00E939EA">
        <w:t xml:space="preserve">Głównego Urzędu Miar, </w:t>
      </w:r>
      <w:r w:rsidRPr="00E939EA">
        <w:t>Ministerstwa Infrastruktury, Głównego Inspektoratu Transportu Drogowego</w:t>
      </w:r>
      <w:r w:rsidR="00CC7700" w:rsidRPr="00E939EA">
        <w:t xml:space="preserve"> oraz</w:t>
      </w:r>
      <w:r w:rsidRPr="00E939EA">
        <w:t xml:space="preserve"> Polskiej Wytwórni </w:t>
      </w:r>
      <w:r w:rsidRPr="00E939EA">
        <w:lastRenderedPageBreak/>
        <w:t xml:space="preserve">Papierów Wartościowych S.A </w:t>
      </w:r>
      <w:r w:rsidR="00CC7700" w:rsidRPr="00E939EA">
        <w:t xml:space="preserve">(PWPW S.A.) </w:t>
      </w:r>
      <w:r w:rsidRPr="00E939EA">
        <w:t>– jako podmiotu wydającego</w:t>
      </w:r>
      <w:r w:rsidR="00A80890" w:rsidRPr="00E939EA">
        <w:t xml:space="preserve"> karty do tachografów cyfrowych</w:t>
      </w:r>
      <w:r w:rsidRPr="00E939EA">
        <w:t>.</w:t>
      </w:r>
    </w:p>
    <w:p w:rsidR="000B137C" w:rsidRPr="00E939EA" w:rsidRDefault="005C1259" w:rsidP="003B79D3">
      <w:pPr>
        <w:spacing w:before="120" w:line="360" w:lineRule="auto"/>
        <w:jc w:val="both"/>
      </w:pPr>
      <w:r w:rsidRPr="00E939EA">
        <w:t xml:space="preserve">Projekt ustawy jest zgodny z projektem ustawy o dokumentach publicznych, </w:t>
      </w:r>
      <w:r w:rsidR="00CC7700" w:rsidRPr="00E939EA">
        <w:t>nad którym prace obecnie toczą się w Sejmie RP</w:t>
      </w:r>
      <w:r w:rsidR="00FB73B4">
        <w:t xml:space="preserve"> </w:t>
      </w:r>
      <w:r w:rsidR="00FB73B4" w:rsidRPr="00E939EA">
        <w:t>(druk 2153)</w:t>
      </w:r>
      <w:r w:rsidR="00CC7700" w:rsidRPr="00E939EA">
        <w:t xml:space="preserve">, </w:t>
      </w:r>
      <w:r w:rsidRPr="00E939EA">
        <w:t xml:space="preserve">szczegółowo regulującym obszar związany z wytwarzaniem dokumentów publicznych w kraju. </w:t>
      </w:r>
      <w:r w:rsidR="00CC7700" w:rsidRPr="00E939EA">
        <w:t>Projekt ustawy o</w:t>
      </w:r>
      <w:r w:rsidR="0045589C">
        <w:t> </w:t>
      </w:r>
      <w:r w:rsidR="00CC7700" w:rsidRPr="00E939EA">
        <w:t>dokumentach publicznych dotyczy skategoryz</w:t>
      </w:r>
      <w:r w:rsidR="0045589C">
        <w:t>owania dokumentów publicznych w </w:t>
      </w:r>
      <w:r w:rsidR="00CC7700" w:rsidRPr="00E939EA">
        <w:t>zależności od ich wpływu na bezpieczeństwo państwa, określenia wymaganego poziomu ich zabezpieczeń, określenia wymogów dla wytwórców dokumentów publicznych, ustalenia zasad opracowywania wzorów dokumentów publicznych, ustalenia obowiązków podmiotów odpowiedzialnych za emisję dokumentów</w:t>
      </w:r>
      <w:r w:rsidR="0045589C">
        <w:t xml:space="preserve"> i </w:t>
      </w:r>
      <w:r w:rsidR="00CC7700" w:rsidRPr="00E939EA">
        <w:t xml:space="preserve">obowiązków funkcjonariuszy publicznych w zakresie weryfikacji autentyczności dokumentów. </w:t>
      </w:r>
      <w:r w:rsidRPr="00E939EA">
        <w:t xml:space="preserve">Zgodnie z art. 14 ust. 2 pkt 19 </w:t>
      </w:r>
      <w:r w:rsidR="00CC7700" w:rsidRPr="00E939EA">
        <w:t>ww.</w:t>
      </w:r>
      <w:r w:rsidRPr="00E939EA">
        <w:t xml:space="preserve"> projektu ustawy, karta do tachografu podlega regulacjom przedmiotowej ustawy, w</w:t>
      </w:r>
      <w:r w:rsidR="0045589C">
        <w:t xml:space="preserve"> </w:t>
      </w:r>
      <w:r w:rsidRPr="00E939EA">
        <w:t>tym także minimalnym zabezpieczeniom</w:t>
      </w:r>
      <w:r w:rsidR="000E5650">
        <w:t>,</w:t>
      </w:r>
      <w:r w:rsidRPr="00E939EA">
        <w:t xml:space="preserve"> oraz </w:t>
      </w:r>
      <w:r w:rsidR="00A0011C" w:rsidRPr="00E939EA">
        <w:t>jest wydawana przez</w:t>
      </w:r>
      <w:r w:rsidR="000B137C" w:rsidRPr="00E939EA">
        <w:t xml:space="preserve"> jednoosobową spółkę Skarbu Państwa, której przedmiotem działalności jest wytwarzanie blankietów dokumentów publicznych </w:t>
      </w:r>
      <w:r w:rsidR="00FB73B4">
        <w:t>i druków zabezpieczonych, mającą</w:t>
      </w:r>
      <w:r w:rsidR="000B137C" w:rsidRPr="00E939EA">
        <w:t xml:space="preserve"> siedzibę oraz zakład produkcyjny, w którym wytwarzane są blankiety dokumentów publicznych na terytorium Rzeczypospolitej Polskiej</w:t>
      </w:r>
      <w:r w:rsidR="00FB73B4">
        <w:t>. Spółką, o </w:t>
      </w:r>
      <w:r w:rsidR="000B137C" w:rsidRPr="00E939EA">
        <w:t>której mowa w</w:t>
      </w:r>
      <w:r w:rsidR="0045589C">
        <w:t xml:space="preserve"> </w:t>
      </w:r>
      <w:r w:rsidR="00FB73B4">
        <w:t xml:space="preserve">projekcie </w:t>
      </w:r>
      <w:r w:rsidR="000B137C" w:rsidRPr="00E939EA">
        <w:t>ustaw</w:t>
      </w:r>
      <w:r w:rsidR="00FB73B4">
        <w:t>y</w:t>
      </w:r>
      <w:r w:rsidR="000B137C" w:rsidRPr="00E939EA">
        <w:t xml:space="preserve"> o</w:t>
      </w:r>
      <w:r w:rsidR="0045589C">
        <w:t xml:space="preserve"> </w:t>
      </w:r>
      <w:r w:rsidR="000B137C" w:rsidRPr="00E939EA">
        <w:t xml:space="preserve">dokumentach publicznych, będzie Polska Wytwórnia Papierów Wartościowych S.A. </w:t>
      </w:r>
      <w:r w:rsidR="009F3D1D" w:rsidRPr="00E939EA">
        <w:t xml:space="preserve">PWPW </w:t>
      </w:r>
      <w:r w:rsidR="00CC7700" w:rsidRPr="00E939EA">
        <w:t xml:space="preserve">S.A. </w:t>
      </w:r>
      <w:r w:rsidR="000B137C" w:rsidRPr="00E939EA">
        <w:t>wydaje karty do ta</w:t>
      </w:r>
      <w:r w:rsidR="0045589C">
        <w:t xml:space="preserve">chografów </w:t>
      </w:r>
      <w:r w:rsidR="00FB73B4">
        <w:t>w </w:t>
      </w:r>
      <w:r w:rsidR="0045589C">
        <w:t>Polsce od 2006 r. W </w:t>
      </w:r>
      <w:r w:rsidR="000B137C" w:rsidRPr="00E939EA">
        <w:t>dniu 27</w:t>
      </w:r>
      <w:r w:rsidR="0045589C">
        <w:t xml:space="preserve"> </w:t>
      </w:r>
      <w:r w:rsidR="000B137C" w:rsidRPr="00E939EA">
        <w:t>września 2016 r. została zawarta mi</w:t>
      </w:r>
      <w:r w:rsidR="0045589C">
        <w:t>ędzy Ministrem Infrastruktury i </w:t>
      </w:r>
      <w:r w:rsidR="000B137C" w:rsidRPr="00E939EA">
        <w:t>Budownictwa a PWPW</w:t>
      </w:r>
      <w:r w:rsidR="00CC7700" w:rsidRPr="00E939EA">
        <w:t xml:space="preserve"> S.A.</w:t>
      </w:r>
      <w:r w:rsidR="000B137C" w:rsidRPr="00E939EA">
        <w:t xml:space="preserve"> umowa w sprawie wydawania kart do tachografów cyfrowych. Umowa obowiązywać będzie przez 24 miesiące od dnia jej zawarcia, a jej</w:t>
      </w:r>
      <w:r w:rsidR="0045589C">
        <w:t xml:space="preserve"> </w:t>
      </w:r>
      <w:r w:rsidR="000B137C" w:rsidRPr="00E939EA">
        <w:t>realizacja rozpoczęła się 1 października 2016</w:t>
      </w:r>
      <w:r w:rsidR="0045589C">
        <w:t xml:space="preserve"> </w:t>
      </w:r>
      <w:r w:rsidR="000B137C" w:rsidRPr="00E939EA">
        <w:t>r. Podpisanie umowy zapewniło zachowanie ciągłości procesu wydawania kart do tachografów cyfrowych.</w:t>
      </w:r>
    </w:p>
    <w:p w:rsidR="00D67B0B" w:rsidRPr="00E939EA" w:rsidRDefault="006C0090" w:rsidP="003B79D3">
      <w:pPr>
        <w:spacing w:before="120" w:line="360" w:lineRule="auto"/>
        <w:jc w:val="both"/>
      </w:pPr>
      <w:r w:rsidRPr="00E939EA">
        <w:t>Obecnie zagadnienia dotyczące dwóch gener</w:t>
      </w:r>
      <w:r w:rsidR="0045589C">
        <w:t>acji tachografów (analogowych i </w:t>
      </w:r>
      <w:r w:rsidRPr="00E939EA">
        <w:t xml:space="preserve">cyfrowych) regulują dwie ustawy: </w:t>
      </w:r>
      <w:r w:rsidR="00720136" w:rsidRPr="00E939EA">
        <w:t xml:space="preserve">z dnia 11 maja 2001 r. </w:t>
      </w:r>
      <w:r w:rsidR="000E5650">
        <w:t xml:space="preserve">– </w:t>
      </w:r>
      <w:r w:rsidRPr="00E939EA">
        <w:t xml:space="preserve">Prawo o miarach oraz </w:t>
      </w:r>
      <w:r w:rsidR="00720136" w:rsidRPr="00E939EA">
        <w:t xml:space="preserve">z dnia 29 lipca 2005 r. </w:t>
      </w:r>
      <w:r w:rsidRPr="00E939EA">
        <w:t xml:space="preserve">o systemie tachografów cyfrowych. Nowy projekt ustawy </w:t>
      </w:r>
      <w:r w:rsidR="0045589C">
        <w:t>o </w:t>
      </w:r>
      <w:r w:rsidR="00720136" w:rsidRPr="00E939EA">
        <w:t xml:space="preserve">tachografach </w:t>
      </w:r>
      <w:r w:rsidRPr="00E939EA">
        <w:t xml:space="preserve">ujednolicił i objął swoim zakresem w jednym akcie prawnym wszystkie wymagania dotyczące obu generacji tachografów. Takie rozwiązanie ułatwia również zapewnienie pełnej spójności przepisów ustawy oraz wpływa na ich większą czytelność i zgodność z unijnymi przepisami. </w:t>
      </w:r>
      <w:r w:rsidR="003D1EC8" w:rsidRPr="00E939EA">
        <w:t>Podobnie jak w p</w:t>
      </w:r>
      <w:r w:rsidR="0045589C">
        <w:t>rzypadku rozporządzenia (UE) nr </w:t>
      </w:r>
      <w:r w:rsidR="003D1EC8" w:rsidRPr="00E939EA">
        <w:t>165/2014, proponowane zmiany mają na celu zapewnienie większej przejrzystości przepisów poprzez ich uproszczenie i uporządkowanie.</w:t>
      </w:r>
      <w:r w:rsidR="00351D2E" w:rsidRPr="00E939EA">
        <w:t xml:space="preserve"> Mając na uwadze obowiązek </w:t>
      </w:r>
      <w:r w:rsidR="00351D2E" w:rsidRPr="00E939EA">
        <w:lastRenderedPageBreak/>
        <w:t>instalowania w nowych pojazdach wyłącznie tachografów cyfrowych i związane z tym oczekiwane zmniejszenie liczby pojazdów z zainstalowanymi tachografami analogowymi, przewiduje się stopniowe zmniejszanie liczby tachografów analogowych obsługiwanych przez warsztaty na rzecz tachografów cyfrowych, w tym urządzeń najnowszej generacji – tachografów inteligentnych.</w:t>
      </w:r>
    </w:p>
    <w:p w:rsidR="003D1EC8" w:rsidRPr="00E939EA" w:rsidRDefault="00FC01D6" w:rsidP="003B79D3">
      <w:pPr>
        <w:spacing w:before="120" w:line="360" w:lineRule="auto"/>
        <w:jc w:val="both"/>
      </w:pPr>
      <w:r w:rsidRPr="00E939EA">
        <w:t>W rozdziale 1 projektu (w art. 1</w:t>
      </w:r>
      <w:r w:rsidR="0045589C">
        <w:t>–</w:t>
      </w:r>
      <w:r w:rsidRPr="00E939EA">
        <w:t xml:space="preserve">3) </w:t>
      </w:r>
      <w:r w:rsidR="008D7876" w:rsidRPr="00E939EA">
        <w:t xml:space="preserve">został </w:t>
      </w:r>
      <w:r w:rsidRPr="00E939EA">
        <w:t>wskazany zakres proj</w:t>
      </w:r>
      <w:r w:rsidR="008D7876">
        <w:t>ektowanej regulacji, ustanowiono słowniczek oraz wskazano</w:t>
      </w:r>
      <w:r w:rsidRPr="00E939EA">
        <w:t xml:space="preserve"> zobowiązania organów państwa członkowskiego do wykonania danych czynności określonych w rozporządzeniu (UE) nr 165/2014. </w:t>
      </w:r>
      <w:r w:rsidR="003D1EC8" w:rsidRPr="00E939EA">
        <w:t>Projekt ustawy nie przewiduje zmian w zakresie dotychczasowej właściwości organów administracji rządowej w systemie tachografów.</w:t>
      </w:r>
      <w:r w:rsidR="0045589C">
        <w:t xml:space="preserve"> Projekt ustawy o </w:t>
      </w:r>
      <w:r w:rsidR="003D1EC8" w:rsidRPr="00E939EA">
        <w:t>tachografach reguluje zagadnienia pozostające w kompetencji dwóch organów:</w:t>
      </w:r>
    </w:p>
    <w:p w:rsidR="003D1EC8" w:rsidRPr="00E939EA" w:rsidRDefault="003D1EC8" w:rsidP="003B79D3">
      <w:pPr>
        <w:numPr>
          <w:ilvl w:val="0"/>
          <w:numId w:val="16"/>
        </w:numPr>
        <w:spacing w:line="360" w:lineRule="auto"/>
        <w:ind w:left="425" w:hanging="425"/>
        <w:jc w:val="both"/>
      </w:pPr>
      <w:r w:rsidRPr="00E939EA">
        <w:t>Prezesa Głównego Urzędu Miar (w zakresie m.in. uzyskiwan</w:t>
      </w:r>
      <w:r w:rsidR="00677125">
        <w:t>i</w:t>
      </w:r>
      <w:r w:rsidRPr="00E939EA">
        <w:t>a homologacji typu</w:t>
      </w:r>
      <w:r w:rsidR="006C0090" w:rsidRPr="00E939EA">
        <w:t xml:space="preserve"> tachografów i ich elementów składowych</w:t>
      </w:r>
      <w:r w:rsidRPr="00E939EA">
        <w:t xml:space="preserve">, </w:t>
      </w:r>
      <w:r w:rsidR="00BC2174" w:rsidRPr="00E939EA">
        <w:t xml:space="preserve">świadectw </w:t>
      </w:r>
      <w:r w:rsidRPr="00E939EA">
        <w:t xml:space="preserve">funkcjonalności, badań </w:t>
      </w:r>
      <w:r w:rsidR="00354BFF" w:rsidRPr="00E939EA">
        <w:t>eksploatacyjnych</w:t>
      </w:r>
      <w:r w:rsidRPr="00E939EA">
        <w:t xml:space="preserve">, </w:t>
      </w:r>
      <w:r w:rsidR="00BC2174" w:rsidRPr="00E939EA">
        <w:t xml:space="preserve">nadawania uprawnień </w:t>
      </w:r>
      <w:r w:rsidR="006C0090" w:rsidRPr="00E939EA">
        <w:t>techników warsztatu</w:t>
      </w:r>
      <w:r w:rsidRPr="00E939EA">
        <w:t xml:space="preserve">, </w:t>
      </w:r>
      <w:r w:rsidR="006C0090" w:rsidRPr="00E939EA">
        <w:t xml:space="preserve">prowadzenia działalności w zakresie instalacji, sprawdzania, przeglądów i napraw tachografów </w:t>
      </w:r>
      <w:r w:rsidRPr="00E939EA">
        <w:t xml:space="preserve">oraz audytu i kontroli </w:t>
      </w:r>
      <w:r w:rsidR="006C0090" w:rsidRPr="00E939EA">
        <w:t xml:space="preserve">podmiotów prowadzących tę </w:t>
      </w:r>
      <w:r w:rsidRPr="00E939EA">
        <w:t>działalnoś</w:t>
      </w:r>
      <w:r w:rsidR="006C0090" w:rsidRPr="00E939EA">
        <w:t>ć</w:t>
      </w:r>
      <w:r w:rsidRPr="00E939EA">
        <w:t xml:space="preserve">), </w:t>
      </w:r>
    </w:p>
    <w:p w:rsidR="003D1EC8" w:rsidRPr="00E939EA" w:rsidRDefault="003D1EC8" w:rsidP="003B79D3">
      <w:pPr>
        <w:numPr>
          <w:ilvl w:val="0"/>
          <w:numId w:val="16"/>
        </w:numPr>
        <w:spacing w:line="360" w:lineRule="auto"/>
        <w:ind w:left="425" w:hanging="425"/>
        <w:jc w:val="both"/>
      </w:pPr>
      <w:r w:rsidRPr="00E939EA">
        <w:t xml:space="preserve">Ministra Infrastruktury (w zakresie m.in. wydawania kart do tachografów cyfrowych </w:t>
      </w:r>
      <w:r w:rsidR="00720136" w:rsidRPr="00E939EA">
        <w:t xml:space="preserve">oraz </w:t>
      </w:r>
      <w:r w:rsidRPr="00E939EA">
        <w:t>kontroli przewoźników drogowych i kierowców pod kątem prawidłowego użytkowania tachografów).</w:t>
      </w:r>
    </w:p>
    <w:p w:rsidR="00FC01D6" w:rsidRPr="00E939EA" w:rsidRDefault="00FC01D6" w:rsidP="003B79D3">
      <w:pPr>
        <w:spacing w:before="120" w:line="360" w:lineRule="auto"/>
        <w:jc w:val="both"/>
      </w:pPr>
      <w:r w:rsidRPr="00E939EA">
        <w:t xml:space="preserve">Rozporządzenie (UE) nr 165/2014 i projekt niniejszej ustawy reguluje m.in. zagadnienia związane z </w:t>
      </w:r>
      <w:r w:rsidR="008778D1" w:rsidRPr="00E939EA">
        <w:t xml:space="preserve">wprowadzeniem do obrotu lub użytkowania tachografów lub ich elementów składowych, </w:t>
      </w:r>
      <w:r w:rsidRPr="00E939EA">
        <w:t>homologacją typu tachografów</w:t>
      </w:r>
      <w:r w:rsidR="008778D1" w:rsidRPr="00E939EA">
        <w:t>,</w:t>
      </w:r>
      <w:r w:rsidR="00AB6473" w:rsidRPr="00E939EA">
        <w:t xml:space="preserve"> świadectwami funkcjonalności,</w:t>
      </w:r>
      <w:r w:rsidRPr="00E939EA">
        <w:t xml:space="preserve"> </w:t>
      </w:r>
      <w:r w:rsidR="00AB6473" w:rsidRPr="00E939EA">
        <w:t>prowadzeniem działalności w zakresie instalacji, sprawdzania, przeglądów i napraw tachografów, uzyskiwaniem uprawnień technika warsztatu</w:t>
      </w:r>
      <w:r w:rsidR="0045589C">
        <w:t>, szkoleniem i </w:t>
      </w:r>
      <w:r w:rsidR="00AB6473" w:rsidRPr="00E939EA">
        <w:t xml:space="preserve">egzaminowaniem w tym zakresie oraz wydawaniem kart do tachografów cyfrowych. </w:t>
      </w:r>
      <w:r w:rsidRPr="00E939EA">
        <w:t xml:space="preserve">W prawie krajowym przedmiotowe zagadnienia regulowane są obecnie ustawą z dnia 29 lipca 2005 r. o systemie tachografów cyfrowych i ustawą z dnia 11 maja 2001 r. </w:t>
      </w:r>
      <w:r w:rsidR="000E5650">
        <w:t xml:space="preserve">– </w:t>
      </w:r>
      <w:r w:rsidRPr="00E939EA">
        <w:t xml:space="preserve">Prawo o miarach. </w:t>
      </w:r>
      <w:r w:rsidR="008D7876">
        <w:t>Projektowana</w:t>
      </w:r>
      <w:r w:rsidRPr="00E939EA">
        <w:t xml:space="preserve"> ustawa wprowadza jednolite rozwiązania zarówno dla </w:t>
      </w:r>
      <w:r w:rsidR="004F341F" w:rsidRPr="00E939EA">
        <w:t xml:space="preserve">tachografów </w:t>
      </w:r>
      <w:r w:rsidRPr="00E939EA">
        <w:t>analogowych, jak i cyfrowych, przez co dostosowuje obecnie obowiązujące krajowe akty prawne do rozporządzenia (UE) nr 165/2014, w tym w</w:t>
      </w:r>
      <w:r w:rsidR="0045589C">
        <w:t> </w:t>
      </w:r>
      <w:r w:rsidRPr="00E939EA">
        <w:t>zakresie zagadnień, w których zgodnie z tym rozporządzeniem państwa członkowskie są obowiązane do określenia przepisów krajowych lub w których państwa członkowskie mają swobodę do określonego uregulowania danego zagadnienia.</w:t>
      </w:r>
    </w:p>
    <w:p w:rsidR="003D1EC8" w:rsidRPr="00E939EA" w:rsidRDefault="00FC01D6" w:rsidP="003B79D3">
      <w:pPr>
        <w:spacing w:before="120" w:line="360" w:lineRule="auto"/>
        <w:jc w:val="both"/>
      </w:pPr>
      <w:r w:rsidRPr="00E939EA">
        <w:lastRenderedPageBreak/>
        <w:t>Rozdział 2 (art. 4</w:t>
      </w:r>
      <w:r w:rsidR="0045589C">
        <w:t>–</w:t>
      </w:r>
      <w:r w:rsidRPr="00E939EA">
        <w:t xml:space="preserve">9) </w:t>
      </w:r>
      <w:r w:rsidR="00BC2174" w:rsidRPr="00E939EA">
        <w:t xml:space="preserve">określa zasady i tryb </w:t>
      </w:r>
      <w:r w:rsidRPr="00E939EA">
        <w:t xml:space="preserve">wydawania </w:t>
      </w:r>
      <w:r w:rsidR="00AB6473" w:rsidRPr="00E939EA">
        <w:t>ś</w:t>
      </w:r>
      <w:r w:rsidR="0045589C">
        <w:t>wiadectwa funkcjonalności i </w:t>
      </w:r>
      <w:r w:rsidR="00AB6473" w:rsidRPr="00E939EA">
        <w:t xml:space="preserve">świadectwa </w:t>
      </w:r>
      <w:r w:rsidRPr="00E939EA">
        <w:t xml:space="preserve">homologacji typu </w:t>
      </w:r>
      <w:r w:rsidR="00AB6473" w:rsidRPr="00E939EA">
        <w:t>tachografu lub jego elementów składowych.</w:t>
      </w:r>
      <w:r w:rsidRPr="00E939EA">
        <w:t xml:space="preserve"> Szczegółowo </w:t>
      </w:r>
      <w:r w:rsidR="008D7876" w:rsidRPr="00E939EA">
        <w:t xml:space="preserve">zostały </w:t>
      </w:r>
      <w:r w:rsidRPr="00E939EA">
        <w:t>określone kwestie zwi</w:t>
      </w:r>
      <w:r w:rsidR="0045589C">
        <w:t>ązane z wnioskami o wydanie ww. </w:t>
      </w:r>
      <w:r w:rsidRPr="00E939EA">
        <w:t>dokumentów, niezbędnych załączników, sytuacje związane z</w:t>
      </w:r>
      <w:r w:rsidR="0045589C">
        <w:t xml:space="preserve"> </w:t>
      </w:r>
      <w:r w:rsidRPr="00E939EA">
        <w:t xml:space="preserve">modyfikacjami programowymi lub sprzętowymi tachografu lub elementu składowego tachografu czy też modyfikacjami związanymi z rodzajem materiałów użytych do wytworzenia tych urządzeń. Istotą proponowanych rozwiązań jest zapewnienie, aby w procesie homologacji typu </w:t>
      </w:r>
      <w:r w:rsidR="008D7876" w:rsidRPr="00E939EA">
        <w:t xml:space="preserve">było </w:t>
      </w:r>
      <w:r w:rsidRPr="00E939EA">
        <w:t>potwierdzone, że dany typ przyrządu rejestrującego, czujnika ruchu, wzoru wykresówki lub karty do tachografu spełnia wymagania rozporządzenia (UE) nr 165/2014. Obecnie w procesie homologacji typu sprawdzane jest spełnianie wymagań określonych w rozporządzeniu Rady (EWG) nr 3821/85. W rozporządzeniu (UE) 165/2014 wprowadzone zostały poprawki do określonych elementów technicznych tachografów i procedur kontroli, w</w:t>
      </w:r>
      <w:r w:rsidR="0045589C">
        <w:t xml:space="preserve"> celu zapewnienia skuteczności i </w:t>
      </w:r>
      <w:r w:rsidRPr="00E939EA">
        <w:t>sprawności systemu tachografów.</w:t>
      </w:r>
    </w:p>
    <w:p w:rsidR="003D1EC8" w:rsidRPr="00E939EA" w:rsidRDefault="003D1EC8" w:rsidP="003B79D3">
      <w:pPr>
        <w:spacing w:before="120" w:line="360" w:lineRule="auto"/>
        <w:jc w:val="both"/>
      </w:pPr>
      <w:r w:rsidRPr="00E939EA">
        <w:t>W projekcie ustawy proponuje się m.in.:</w:t>
      </w:r>
    </w:p>
    <w:p w:rsidR="003D1EC8" w:rsidRPr="00E939EA" w:rsidRDefault="00E939EA" w:rsidP="00282682">
      <w:pPr>
        <w:spacing w:line="360" w:lineRule="auto"/>
        <w:ind w:left="420" w:hanging="420"/>
        <w:jc w:val="both"/>
      </w:pPr>
      <w:r>
        <w:t>a)</w:t>
      </w:r>
      <w:r>
        <w:tab/>
      </w:r>
      <w:r w:rsidR="00351D2E" w:rsidRPr="00E939EA">
        <w:t xml:space="preserve">wprowadzenie </w:t>
      </w:r>
      <w:r w:rsidR="003D1EC8" w:rsidRPr="00E939EA">
        <w:t xml:space="preserve">zmiany </w:t>
      </w:r>
      <w:r w:rsidR="002013AA" w:rsidRPr="00E939EA">
        <w:t xml:space="preserve">przedmiotu </w:t>
      </w:r>
      <w:r w:rsidR="000A297C" w:rsidRPr="00E939EA">
        <w:t xml:space="preserve">świadectwa </w:t>
      </w:r>
      <w:r w:rsidR="003D1EC8" w:rsidRPr="00E939EA">
        <w:t xml:space="preserve">homologacji typu </w:t>
      </w:r>
      <w:r w:rsidR="0045589C">
        <w:t>–</w:t>
      </w:r>
      <w:r w:rsidR="00282682">
        <w:t xml:space="preserve"> zgodnie z </w:t>
      </w:r>
      <w:r w:rsidR="008D7876">
        <w:t>dotychczasową regulacją</w:t>
      </w:r>
      <w:r w:rsidR="003D1EC8" w:rsidRPr="00E939EA">
        <w:t xml:space="preserve"> świadectwo homologacji typu dotyczy </w:t>
      </w:r>
      <w:r w:rsidR="00063E80" w:rsidRPr="00E939EA">
        <w:t>tachografu cyfrowego albo karty; n</w:t>
      </w:r>
      <w:r w:rsidR="003D1EC8" w:rsidRPr="00E939EA">
        <w:t>atomiast zgodnie z</w:t>
      </w:r>
      <w:r w:rsidR="0045589C">
        <w:t xml:space="preserve"> </w:t>
      </w:r>
      <w:r w:rsidR="003D1EC8" w:rsidRPr="00E939EA">
        <w:t xml:space="preserve">rozporządzeniem (UE) nr 165/2014 państwo członkowskie udziela homologacji typu </w:t>
      </w:r>
      <w:r w:rsidR="002013AA" w:rsidRPr="00E939EA">
        <w:t>tachografu lub jego elementu składowego.</w:t>
      </w:r>
      <w:r w:rsidR="008D7876">
        <w:t xml:space="preserve"> W związku z </w:t>
      </w:r>
      <w:r w:rsidR="008C4B41">
        <w:t>tym w</w:t>
      </w:r>
      <w:r w:rsidR="00282682">
        <w:t xml:space="preserve"> </w:t>
      </w:r>
      <w:r w:rsidR="003D1EC8" w:rsidRPr="00E939EA">
        <w:t xml:space="preserve">projekcie ustawy proponuje się, aby homologacja typu dotyczyła </w:t>
      </w:r>
      <w:r w:rsidR="002013AA" w:rsidRPr="00E939EA">
        <w:t>tachografu lub jego elementu składowego</w:t>
      </w:r>
      <w:r w:rsidR="000A297C" w:rsidRPr="00E939EA">
        <w:t xml:space="preserve"> (przyrządu rejestrującego, czujnika ruchu, karty do tachografu, wykresówki, urządzenia zewnętrznego GNSS, urządzenia wczesnego wykrywania na odległość, adapter oraz papieru do tachografu cyfrowego)</w:t>
      </w:r>
      <w:r w:rsidR="003D1EC8" w:rsidRPr="00E939EA">
        <w:t xml:space="preserve">, </w:t>
      </w:r>
    </w:p>
    <w:p w:rsidR="003D1EC8" w:rsidRPr="00E939EA" w:rsidRDefault="00E939EA" w:rsidP="00282682">
      <w:pPr>
        <w:spacing w:line="360" w:lineRule="auto"/>
        <w:ind w:left="420" w:hanging="420"/>
        <w:jc w:val="both"/>
      </w:pPr>
      <w:r>
        <w:t>b)</w:t>
      </w:r>
      <w:r>
        <w:tab/>
      </w:r>
      <w:r w:rsidR="003D1EC8" w:rsidRPr="00E939EA">
        <w:t>odstąpienie od enumeratywnego określenia załączników do wniosków; w projekcie ustawy proponuje się wprowadzenie obowiązku doł</w:t>
      </w:r>
      <w:r w:rsidR="008C4B41">
        <w:t>ączenia do wniosku informacji i </w:t>
      </w:r>
      <w:r w:rsidR="003D1EC8" w:rsidRPr="00E939EA">
        <w:t xml:space="preserve">dokumentów określonych w rozporządzeniu 165/2014, przy jednoczesnym pozostawieniu możliwości żądania przez Prezesa GUM informacji i dokumentów niezbędnych do rozpatrzenia wniosku, </w:t>
      </w:r>
    </w:p>
    <w:p w:rsidR="003D1EC8" w:rsidRPr="00E939EA" w:rsidRDefault="00351D2E" w:rsidP="00282682">
      <w:pPr>
        <w:spacing w:line="360" w:lineRule="auto"/>
        <w:ind w:left="420" w:hanging="420"/>
        <w:jc w:val="both"/>
      </w:pPr>
      <w:r w:rsidRPr="00E939EA">
        <w:t>c</w:t>
      </w:r>
      <w:r w:rsidR="00E939EA">
        <w:t>)</w:t>
      </w:r>
      <w:r w:rsidR="00E939EA">
        <w:tab/>
      </w:r>
      <w:r w:rsidR="003D1EC8" w:rsidRPr="00E939EA">
        <w:t>określenie warunków udzielenia homologacji typu</w:t>
      </w:r>
      <w:r w:rsidR="000A297C" w:rsidRPr="00E939EA">
        <w:t>; w</w:t>
      </w:r>
      <w:r w:rsidR="003D1EC8" w:rsidRPr="00E939EA">
        <w:t>arunkiem udzielenia homologacji typu jest złożenie wniosku w określonej</w:t>
      </w:r>
      <w:r w:rsidR="008C4B41">
        <w:t xml:space="preserve"> formie (wraz z załącznikami) i </w:t>
      </w:r>
      <w:r w:rsidR="003D1EC8" w:rsidRPr="00E939EA">
        <w:t xml:space="preserve">spełnianie przez dany typ urządzenia wymagań rozporządzenia (UE) nr 165/2014, </w:t>
      </w:r>
    </w:p>
    <w:p w:rsidR="003D1EC8" w:rsidRPr="00E939EA" w:rsidRDefault="00351D2E" w:rsidP="00282682">
      <w:pPr>
        <w:spacing w:line="360" w:lineRule="auto"/>
        <w:ind w:left="420" w:hanging="420"/>
        <w:jc w:val="both"/>
      </w:pPr>
      <w:r w:rsidRPr="00E939EA">
        <w:lastRenderedPageBreak/>
        <w:t>d</w:t>
      </w:r>
      <w:r w:rsidR="00E939EA">
        <w:t>)</w:t>
      </w:r>
      <w:r w:rsidR="00E939EA">
        <w:tab/>
      </w:r>
      <w:r w:rsidR="003D1EC8" w:rsidRPr="00E939EA">
        <w:t xml:space="preserve">określenie w świadectwie homologacji typu znaku homologacji typu o określonym wzorze, </w:t>
      </w:r>
    </w:p>
    <w:p w:rsidR="003D1EC8" w:rsidRPr="00E939EA" w:rsidRDefault="00351D2E" w:rsidP="00282682">
      <w:pPr>
        <w:spacing w:line="360" w:lineRule="auto"/>
        <w:ind w:left="420" w:hanging="420"/>
        <w:jc w:val="both"/>
      </w:pPr>
      <w:r w:rsidRPr="00E939EA">
        <w:t>e</w:t>
      </w:r>
      <w:r w:rsidR="00E939EA">
        <w:t>)</w:t>
      </w:r>
      <w:r w:rsidR="00E939EA">
        <w:tab/>
      </w:r>
      <w:r w:rsidR="003D1EC8" w:rsidRPr="00E939EA">
        <w:t xml:space="preserve">określenie trybu zmian </w:t>
      </w:r>
      <w:r w:rsidR="00BC2174" w:rsidRPr="00E939EA">
        <w:t xml:space="preserve">świadectwa </w:t>
      </w:r>
      <w:r w:rsidR="003D1EC8" w:rsidRPr="00E939EA">
        <w:t xml:space="preserve">homologacji typu poprzez odpowiednie stosowanie trybu </w:t>
      </w:r>
      <w:r w:rsidR="00BC2174" w:rsidRPr="00E939EA">
        <w:t xml:space="preserve">wydawania świadectwa </w:t>
      </w:r>
      <w:r w:rsidR="003D1EC8" w:rsidRPr="00E939EA">
        <w:t>homologacji typu,</w:t>
      </w:r>
    </w:p>
    <w:p w:rsidR="003D1EC8" w:rsidRPr="00E939EA" w:rsidRDefault="00351D2E" w:rsidP="00282682">
      <w:pPr>
        <w:spacing w:line="360" w:lineRule="auto"/>
        <w:ind w:left="420" w:hanging="420"/>
        <w:jc w:val="both"/>
      </w:pPr>
      <w:r w:rsidRPr="00E939EA">
        <w:t>f</w:t>
      </w:r>
      <w:r w:rsidR="00E939EA">
        <w:t>)</w:t>
      </w:r>
      <w:r w:rsidR="00E939EA">
        <w:tab/>
      </w:r>
      <w:r w:rsidR="008D7876">
        <w:t xml:space="preserve">wskazanie realizacji </w:t>
      </w:r>
      <w:r w:rsidR="003D1EC8" w:rsidRPr="00E939EA">
        <w:t xml:space="preserve">obowiązku przekazania przez Prezesa GUM właściwym organom innych państw członkowskich kopii świadectwa homologacji typu wraz z kopią odpowiednich specyfikacji, w tym dotyczących plombowania (zabezpieczania) albo decyzji o odmowie </w:t>
      </w:r>
      <w:r w:rsidR="00BC2174" w:rsidRPr="00E939EA">
        <w:t xml:space="preserve">wydania świadectwa </w:t>
      </w:r>
      <w:r w:rsidR="003D1EC8" w:rsidRPr="00E939EA">
        <w:t>hom</w:t>
      </w:r>
      <w:r w:rsidR="008C4B41">
        <w:t>ologacji typu oraz informacji o </w:t>
      </w:r>
      <w:r w:rsidR="003D1EC8" w:rsidRPr="00E939EA">
        <w:t xml:space="preserve">cofnięciu </w:t>
      </w:r>
      <w:r w:rsidR="00BC2174" w:rsidRPr="00E939EA">
        <w:t xml:space="preserve">świadectwa </w:t>
      </w:r>
      <w:r w:rsidR="003D1EC8" w:rsidRPr="00E939EA">
        <w:t>homologacji typu lub o działaniach podjętych w celu zapewnienia zgodności urządzeń z homolog</w:t>
      </w:r>
      <w:r w:rsidR="00BC2174" w:rsidRPr="00E939EA">
        <w:t xml:space="preserve">owanym </w:t>
      </w:r>
      <w:r w:rsidR="003D1EC8" w:rsidRPr="00E939EA">
        <w:t>typ</w:t>
      </w:r>
      <w:r w:rsidR="00BC2174" w:rsidRPr="00E939EA">
        <w:t>em</w:t>
      </w:r>
      <w:r w:rsidR="003D1EC8" w:rsidRPr="00E939EA">
        <w:t xml:space="preserve">, </w:t>
      </w:r>
    </w:p>
    <w:p w:rsidR="003D1EC8" w:rsidRPr="00E939EA" w:rsidRDefault="00351D2E" w:rsidP="00282682">
      <w:pPr>
        <w:spacing w:line="360" w:lineRule="auto"/>
        <w:ind w:left="420" w:hanging="420"/>
        <w:jc w:val="both"/>
      </w:pPr>
      <w:r w:rsidRPr="00E939EA">
        <w:t>g</w:t>
      </w:r>
      <w:r w:rsidR="00E939EA">
        <w:t>)</w:t>
      </w:r>
      <w:r w:rsidR="00E939EA">
        <w:tab/>
      </w:r>
      <w:r w:rsidR="003D1EC8" w:rsidRPr="00E939EA">
        <w:t>określenie działań podejmowanych w celu zapewnienia zgodności produkowanych urządzeń z homologowanym typem, opartych na</w:t>
      </w:r>
      <w:r w:rsidR="008C4B41">
        <w:t xml:space="preserve"> systemie działań określonych w </w:t>
      </w:r>
      <w:r w:rsidR="003D1EC8" w:rsidRPr="00E939EA">
        <w:t>ustawie o</w:t>
      </w:r>
      <w:r w:rsidR="0045589C">
        <w:t xml:space="preserve"> </w:t>
      </w:r>
      <w:r w:rsidR="003D1EC8" w:rsidRPr="00E939EA">
        <w:t>system</w:t>
      </w:r>
      <w:r w:rsidR="00BC2174" w:rsidRPr="00E939EA">
        <w:t xml:space="preserve">ach </w:t>
      </w:r>
      <w:r w:rsidR="003D1EC8" w:rsidRPr="00E939EA">
        <w:t xml:space="preserve">oceny zgodności </w:t>
      </w:r>
      <w:r w:rsidR="00BC2174" w:rsidRPr="00E939EA">
        <w:t xml:space="preserve">i nadzoru rynku </w:t>
      </w:r>
      <w:r w:rsidR="003D1EC8" w:rsidRPr="00E939EA">
        <w:t>podejmo</w:t>
      </w:r>
      <w:r w:rsidR="008C4B41">
        <w:t>wanych w </w:t>
      </w:r>
      <w:r w:rsidR="003D1EC8" w:rsidRPr="00E939EA">
        <w:t xml:space="preserve">przypadku wprowadzenia do obrotu wyrobu niespełniającego wymagań zasadniczych (zwrócenie się do producenta o usunięcie niezgodności lub wycofanie urządzenia z obrotu lub z użytku, czasowy lub stały zakaz udostępniania urządzenia, nakaz wycofania urządzenia z obrotu lub z użytku). Środkiem najdalej idącym powinno być cofnięcie </w:t>
      </w:r>
      <w:r w:rsidR="004567C8" w:rsidRPr="00E939EA">
        <w:t xml:space="preserve">świadectwa </w:t>
      </w:r>
      <w:r w:rsidR="003D1EC8" w:rsidRPr="00E939EA">
        <w:t>homologacji typu</w:t>
      </w:r>
      <w:r w:rsidR="000A297C" w:rsidRPr="00E939EA">
        <w:t>;</w:t>
      </w:r>
      <w:r w:rsidR="003D1EC8" w:rsidRPr="00E939EA">
        <w:t xml:space="preserve"> </w:t>
      </w:r>
      <w:r w:rsidR="000A297C" w:rsidRPr="00E939EA">
        <w:t>ś</w:t>
      </w:r>
      <w:r w:rsidR="003D1EC8" w:rsidRPr="00E939EA">
        <w:t xml:space="preserve">rodek ten może być poprzedzony czasowym zakazem wprowadzania do obrotu i użytkowania danego urządzenia, </w:t>
      </w:r>
    </w:p>
    <w:p w:rsidR="003D1EC8" w:rsidRPr="00E939EA" w:rsidRDefault="00351D2E" w:rsidP="00282682">
      <w:pPr>
        <w:spacing w:line="360" w:lineRule="auto"/>
        <w:ind w:left="420" w:hanging="420"/>
        <w:jc w:val="both"/>
      </w:pPr>
      <w:r w:rsidRPr="00E939EA">
        <w:t>h</w:t>
      </w:r>
      <w:r w:rsidR="00E939EA">
        <w:t>)</w:t>
      </w:r>
      <w:r w:rsidR="00E939EA">
        <w:tab/>
      </w:r>
      <w:r w:rsidR="003D1EC8" w:rsidRPr="00E939EA">
        <w:t xml:space="preserve">określenie przesłanek cofnięcia przez Prezesa GUM </w:t>
      </w:r>
      <w:r w:rsidR="004567C8" w:rsidRPr="00E939EA">
        <w:t xml:space="preserve">świadectwa </w:t>
      </w:r>
      <w:r w:rsidR="003D1EC8" w:rsidRPr="00E939EA">
        <w:t>homologacji typu, w tym wynikając</w:t>
      </w:r>
      <w:r w:rsidR="008D7876">
        <w:t>ych</w:t>
      </w:r>
      <w:r w:rsidR="003D1EC8" w:rsidRPr="00E939EA">
        <w:t xml:space="preserve"> z rozporządzenia (UE) nr 165/2014</w:t>
      </w:r>
      <w:r w:rsidR="000E5650">
        <w:t>,</w:t>
      </w:r>
      <w:r w:rsidR="003D1EC8" w:rsidRPr="00E939EA">
        <w:t xml:space="preserve"> tj. jeżeli urządzenie po homologacji typu nie spełnia wymaga</w:t>
      </w:r>
      <w:r w:rsidR="00282682">
        <w:t>ń rozporządzenia lub wykazuje w </w:t>
      </w:r>
      <w:r w:rsidR="003D1EC8" w:rsidRPr="00E939EA">
        <w:t xml:space="preserve">użytkowaniu wadę, która powoduje jego nieprzydatność do osiągnięcia celu, dla którego jest przeznaczony. Przesłanką cofnięcia </w:t>
      </w:r>
      <w:r w:rsidR="004567C8" w:rsidRPr="00E939EA">
        <w:t xml:space="preserve">świadectwa </w:t>
      </w:r>
      <w:r w:rsidR="003D1EC8" w:rsidRPr="00E939EA">
        <w:t xml:space="preserve">homologacji typu jest również wykrycie braków w zakresie zabezpieczeń urządzenia, </w:t>
      </w:r>
    </w:p>
    <w:p w:rsidR="003D1EC8" w:rsidRPr="00E939EA" w:rsidRDefault="00351D2E" w:rsidP="00282682">
      <w:pPr>
        <w:spacing w:line="360" w:lineRule="auto"/>
        <w:ind w:left="420" w:hanging="420"/>
        <w:jc w:val="both"/>
      </w:pPr>
      <w:r w:rsidRPr="00E939EA">
        <w:t>i</w:t>
      </w:r>
      <w:r w:rsidR="00E939EA">
        <w:t>)</w:t>
      </w:r>
      <w:r w:rsidR="00E939EA">
        <w:tab/>
      </w:r>
      <w:r w:rsidR="003D1EC8" w:rsidRPr="00E939EA">
        <w:t xml:space="preserve">określenie obowiązku przeprowadzania przez producentów badań wprowadzonych do produkcji przyrządów rejestrujących, czujników ruchu i kart do tachografu, wykonywanych w celu wykrycia ich braków w zabezpieczeniach, które mogą powstać na każdym etapie użytkowania produktów i zapobiegania ich wykorzystaniu oraz ograniczaniu </w:t>
      </w:r>
      <w:r w:rsidR="0045589C">
        <w:t>–</w:t>
      </w:r>
      <w:r w:rsidR="003D1EC8" w:rsidRPr="00E939EA">
        <w:t xml:space="preserve"> co najmniej raz w okresie 2 lat. W przypadku wykrycia podczas badań braków w zakresie zabezpieczeń urządzeń dostępnych już na rynku Prezes GUM podejmuje działania w celu zapewnienia z</w:t>
      </w:r>
      <w:r w:rsidR="008C4B41">
        <w:t xml:space="preserve">godności </w:t>
      </w:r>
      <w:r w:rsidR="008C4B41">
        <w:lastRenderedPageBreak/>
        <w:t>produkowanych wzorów z</w:t>
      </w:r>
      <w:r w:rsidR="00282682">
        <w:t xml:space="preserve"> </w:t>
      </w:r>
      <w:r w:rsidR="003D1EC8" w:rsidRPr="00E939EA">
        <w:t>homologowanym typem</w:t>
      </w:r>
      <w:r w:rsidR="000A297C" w:rsidRPr="00E939EA">
        <w:t>;</w:t>
      </w:r>
      <w:r w:rsidR="003D1EC8" w:rsidRPr="00E939EA">
        <w:t xml:space="preserve"> </w:t>
      </w:r>
      <w:r w:rsidR="000A297C" w:rsidRPr="00E939EA">
        <w:t>j</w:t>
      </w:r>
      <w:r w:rsidR="003D1EC8" w:rsidRPr="00E939EA">
        <w:t xml:space="preserve">ednocześnie Prezes GUM przekazuje informacje Komisji Europejskiej o wykrytych brakach w zakresie zabezpieczeń i o planowanych lub zastosowanych środkach, w tym o cofnięciu homologacji typu, </w:t>
      </w:r>
    </w:p>
    <w:p w:rsidR="003D1EC8" w:rsidRPr="00E939EA" w:rsidRDefault="00351D2E" w:rsidP="00282682">
      <w:pPr>
        <w:spacing w:line="360" w:lineRule="auto"/>
        <w:ind w:left="420" w:hanging="420"/>
        <w:jc w:val="both"/>
      </w:pPr>
      <w:r w:rsidRPr="00E939EA">
        <w:t>j</w:t>
      </w:r>
      <w:r w:rsidR="00E939EA">
        <w:t>)</w:t>
      </w:r>
      <w:r w:rsidR="00E939EA">
        <w:tab/>
      </w:r>
      <w:r w:rsidR="003D1EC8" w:rsidRPr="00E939EA">
        <w:t>upoważnienie Prezesa GUM do zatwierdzania</w:t>
      </w:r>
      <w:r w:rsidR="000E5650">
        <w:t>,</w:t>
      </w:r>
      <w:r w:rsidR="003D1EC8" w:rsidRPr="00E939EA">
        <w:t xml:space="preserve"> na wniosek producenta tachografu cyfrowego albo jego przedstawiciela, badania eksploatacyjne</w:t>
      </w:r>
      <w:r w:rsidR="002013AA" w:rsidRPr="00E939EA">
        <w:t>go</w:t>
      </w:r>
      <w:r w:rsidR="003D1EC8" w:rsidRPr="00E939EA">
        <w:t xml:space="preserve"> tachografów, które nie otrzymały jeszcze homologacji typu.</w:t>
      </w:r>
    </w:p>
    <w:p w:rsidR="002013AA" w:rsidRPr="00E939EA" w:rsidRDefault="002013AA" w:rsidP="003B79D3">
      <w:pPr>
        <w:spacing w:before="120" w:line="360" w:lineRule="auto"/>
        <w:jc w:val="both"/>
      </w:pPr>
      <w:r w:rsidRPr="00E939EA">
        <w:t>W projekcie ustawy proponuje się rozszerzenie możliwości złożenia wniosku o</w:t>
      </w:r>
      <w:r w:rsidR="0045589C">
        <w:t xml:space="preserve"> </w:t>
      </w:r>
      <w:r w:rsidR="004567C8" w:rsidRPr="00E939EA">
        <w:t xml:space="preserve">wydanie świadectwa </w:t>
      </w:r>
      <w:r w:rsidRPr="00E939EA">
        <w:t>homologacj</w:t>
      </w:r>
      <w:r w:rsidR="004567C8" w:rsidRPr="00E939EA">
        <w:t>i</w:t>
      </w:r>
      <w:r w:rsidRPr="00E939EA">
        <w:t xml:space="preserve"> typu. Obecnie taki wniosek może być złożony wyłącznie przez producenta. Zgodnie z rozporządzeniem (UE) nr 165/2014 wniosek może być złożony także przez przedstawiciela producenta tachografów cyfrowych, co jest szczególnie istotne w przypadku, gdy producent tachografów cyfrowych ma siedzibę poza terytorium państw UE. </w:t>
      </w:r>
    </w:p>
    <w:p w:rsidR="003D1EC8" w:rsidRPr="00E939EA" w:rsidRDefault="003D1EC8" w:rsidP="003B79D3">
      <w:pPr>
        <w:spacing w:before="120" w:line="360" w:lineRule="auto"/>
        <w:jc w:val="both"/>
      </w:pPr>
      <w:r w:rsidRPr="00E939EA">
        <w:t>Rozdział 3 projektu (art. 10</w:t>
      </w:r>
      <w:r w:rsidR="0045589C">
        <w:t>–</w:t>
      </w:r>
      <w:r w:rsidRPr="00E939EA">
        <w:t>27) reguluje zagadnienia związane z prowadzeniem działalności w zakresie instalacji, sprawdzania, przeglądów i napraw tachografów.</w:t>
      </w:r>
      <w:r w:rsidRPr="00E939EA">
        <w:rPr>
          <w:bCs/>
        </w:rPr>
        <w:t xml:space="preserve"> </w:t>
      </w:r>
      <w:r w:rsidR="004567C8" w:rsidRPr="00E939EA">
        <w:rPr>
          <w:bCs/>
        </w:rPr>
        <w:t>W</w:t>
      </w:r>
      <w:r w:rsidR="008C4B41">
        <w:rPr>
          <w:bCs/>
        </w:rPr>
        <w:t> </w:t>
      </w:r>
      <w:r w:rsidRPr="00E939EA">
        <w:rPr>
          <w:bCs/>
        </w:rPr>
        <w:t xml:space="preserve">związku z tym, że </w:t>
      </w:r>
      <w:r w:rsidRPr="00E939EA">
        <w:t>warsztaty odgrywają istotną rolę w bezpieczeństwie tachografów, istotą proponowanych rozwiązań jest zwiększenie wiarygodności tych podmiotów, przy jednoczesnym zmniejszeniu ryzyka popełniania przez nich oszustw. W tym celu proponuje się przyjęcie odpowiednich środków zapobiegających konfliktom interesów między</w:t>
      </w:r>
      <w:r w:rsidR="002013AA" w:rsidRPr="00E939EA">
        <w:t xml:space="preserve"> podmiotami prowadzącymi działalność w zakresie instalacji, sprawdzania, przeglądów i napraw tachografów</w:t>
      </w:r>
      <w:r w:rsidRPr="00E939EA">
        <w:t xml:space="preserve"> a przedsiębiorstwami przewozowymi. Proponuje się ponadto dostosowanie zakresu czynności </w:t>
      </w:r>
      <w:r w:rsidR="002013AA" w:rsidRPr="00E939EA">
        <w:t xml:space="preserve">podmiotów </w:t>
      </w:r>
      <w:bookmarkStart w:id="1" w:name="_Hlk499809647"/>
      <w:r w:rsidR="002013AA" w:rsidRPr="00E939EA">
        <w:t xml:space="preserve">prowadzących działalność </w:t>
      </w:r>
      <w:r w:rsidR="008C4B41">
        <w:t>w </w:t>
      </w:r>
      <w:r w:rsidR="002013AA" w:rsidRPr="00E939EA">
        <w:t>zakresie instalacji, sprawdzania, przeglądów i</w:t>
      </w:r>
      <w:r w:rsidR="0045589C">
        <w:t xml:space="preserve"> </w:t>
      </w:r>
      <w:r w:rsidR="002013AA" w:rsidRPr="00E939EA">
        <w:t xml:space="preserve">napraw tachografów </w:t>
      </w:r>
      <w:bookmarkEnd w:id="1"/>
      <w:r w:rsidRPr="00E939EA">
        <w:t xml:space="preserve">do zakresu wynikającego z art. 23 rozporządzenia (UE) nr 165/2014 poprzez uwzględnienie czynności „przeglądu”. </w:t>
      </w:r>
      <w:r w:rsidR="00F240B9" w:rsidRPr="00E939EA">
        <w:t>Proponowane przepisy dotyczące określenia warunków i trybu udzielania zezwoleń na prowadzenie działalności w zakresie instalacji, sprawdzania, przeglądów i</w:t>
      </w:r>
      <w:r w:rsidR="0045589C">
        <w:t xml:space="preserve"> </w:t>
      </w:r>
      <w:r w:rsidR="00F240B9" w:rsidRPr="00E939EA">
        <w:t>napraw tachografów w</w:t>
      </w:r>
      <w:r w:rsidR="0045589C">
        <w:t xml:space="preserve"> </w:t>
      </w:r>
      <w:r w:rsidR="00F240B9" w:rsidRPr="00E939EA">
        <w:t>istotny sposób upraszczają i porządkują dotychczasowe przepisy ustawy o systemie tachografów cyfrowych, w celu zapewnienia większej ich przejrzystości.</w:t>
      </w:r>
    </w:p>
    <w:p w:rsidR="002F2261" w:rsidRPr="00E939EA" w:rsidRDefault="00351D2E" w:rsidP="003B79D3">
      <w:pPr>
        <w:spacing w:before="120" w:line="360" w:lineRule="auto"/>
        <w:jc w:val="both"/>
      </w:pPr>
      <w:r w:rsidRPr="00E939EA">
        <w:t xml:space="preserve">Rozporządzenie (UE) nr 165/2014 jako podmioty zatwierdzone do wykonywania określonych czynności wymienia instalatora, warsztat i producenta pojazdów. </w:t>
      </w:r>
    </w:p>
    <w:p w:rsidR="002F2261" w:rsidRPr="00E939EA" w:rsidRDefault="002F2261" w:rsidP="008C4B41">
      <w:pPr>
        <w:keepNext/>
        <w:spacing w:before="120" w:line="360" w:lineRule="auto"/>
        <w:jc w:val="both"/>
      </w:pPr>
      <w:r w:rsidRPr="00E939EA">
        <w:lastRenderedPageBreak/>
        <w:t xml:space="preserve">W projekcie </w:t>
      </w:r>
      <w:r w:rsidR="000A297C" w:rsidRPr="00E939EA">
        <w:t xml:space="preserve">(art. 10 ust. 2) </w:t>
      </w:r>
      <w:r w:rsidRPr="00E939EA">
        <w:t xml:space="preserve">proponuje się, aby zezwolenia na prowadzenie działalności w zakresie instalacji, sprawdzania, przeglądów i napraw tachografów wydawane były </w:t>
      </w:r>
      <w:r w:rsidR="008C4B41">
        <w:t>w </w:t>
      </w:r>
      <w:r w:rsidRPr="00E939EA">
        <w:t xml:space="preserve">zakresie: </w:t>
      </w:r>
    </w:p>
    <w:p w:rsidR="002F2261" w:rsidRPr="00E939EA" w:rsidRDefault="00E939EA" w:rsidP="008C4B41">
      <w:pPr>
        <w:pStyle w:val="PKTpunkt"/>
        <w:keepNext/>
        <w:tabs>
          <w:tab w:val="left" w:pos="426"/>
        </w:tabs>
        <w:ind w:left="0" w:firstLine="0"/>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rPr>
        <w:tab/>
      </w:r>
      <w:r w:rsidR="002F2261" w:rsidRPr="00E939EA">
        <w:rPr>
          <w:rFonts w:ascii="Times New Roman" w:hAnsi="Times New Roman" w:cs="Times New Roman"/>
          <w:szCs w:val="24"/>
        </w:rPr>
        <w:t xml:space="preserve">instalacji tachografów </w:t>
      </w:r>
      <w:r w:rsidR="004567C8" w:rsidRPr="00E939EA">
        <w:rPr>
          <w:rFonts w:ascii="Times New Roman" w:hAnsi="Times New Roman" w:cs="Times New Roman"/>
          <w:szCs w:val="24"/>
        </w:rPr>
        <w:t>(</w:t>
      </w:r>
      <w:r w:rsidR="002F2261" w:rsidRPr="00E939EA">
        <w:rPr>
          <w:rFonts w:ascii="Times New Roman" w:hAnsi="Times New Roman" w:cs="Times New Roman"/>
          <w:szCs w:val="24"/>
        </w:rPr>
        <w:t>dla producentów pojazdów</w:t>
      </w:r>
      <w:r w:rsidR="004567C8" w:rsidRPr="00E939EA">
        <w:rPr>
          <w:rFonts w:ascii="Times New Roman" w:hAnsi="Times New Roman" w:cs="Times New Roman"/>
          <w:szCs w:val="24"/>
        </w:rPr>
        <w:t>)</w:t>
      </w:r>
      <w:r w:rsidR="002F2261" w:rsidRPr="00E939EA">
        <w:rPr>
          <w:rFonts w:ascii="Times New Roman" w:hAnsi="Times New Roman" w:cs="Times New Roman"/>
          <w:szCs w:val="24"/>
        </w:rPr>
        <w:t xml:space="preserve">; </w:t>
      </w:r>
    </w:p>
    <w:p w:rsidR="002F2261" w:rsidRPr="00E939EA" w:rsidRDefault="002F2261" w:rsidP="008C4B41">
      <w:pPr>
        <w:pStyle w:val="PKTpunkt"/>
        <w:keepNext/>
        <w:tabs>
          <w:tab w:val="left" w:pos="426"/>
        </w:tabs>
        <w:ind w:left="0" w:firstLine="0"/>
        <w:rPr>
          <w:rFonts w:ascii="Times New Roman" w:hAnsi="Times New Roman" w:cs="Times New Roman"/>
          <w:szCs w:val="24"/>
        </w:rPr>
      </w:pPr>
      <w:r w:rsidRPr="00E939EA">
        <w:rPr>
          <w:rFonts w:ascii="Times New Roman" w:hAnsi="Times New Roman" w:cs="Times New Roman"/>
          <w:szCs w:val="24"/>
        </w:rPr>
        <w:t>2)</w:t>
      </w:r>
      <w:r w:rsidR="00E939EA">
        <w:rPr>
          <w:rFonts w:ascii="Times New Roman" w:hAnsi="Times New Roman" w:cs="Times New Roman"/>
          <w:szCs w:val="24"/>
        </w:rPr>
        <w:tab/>
      </w:r>
      <w:r w:rsidRPr="00E939EA">
        <w:rPr>
          <w:rFonts w:ascii="Times New Roman" w:hAnsi="Times New Roman" w:cs="Times New Roman"/>
          <w:szCs w:val="24"/>
        </w:rPr>
        <w:t xml:space="preserve">instalacji i sprawdzania tachografów </w:t>
      </w:r>
      <w:r w:rsidR="004567C8" w:rsidRPr="00E939EA">
        <w:rPr>
          <w:rFonts w:ascii="Times New Roman" w:hAnsi="Times New Roman" w:cs="Times New Roman"/>
          <w:szCs w:val="24"/>
        </w:rPr>
        <w:t>(</w:t>
      </w:r>
      <w:r w:rsidRPr="00E939EA">
        <w:rPr>
          <w:rFonts w:ascii="Times New Roman" w:hAnsi="Times New Roman" w:cs="Times New Roman"/>
          <w:szCs w:val="24"/>
        </w:rPr>
        <w:t>dla instalatorów</w:t>
      </w:r>
      <w:r w:rsidR="004567C8" w:rsidRPr="00E939EA">
        <w:rPr>
          <w:rFonts w:ascii="Times New Roman" w:hAnsi="Times New Roman" w:cs="Times New Roman"/>
          <w:szCs w:val="24"/>
        </w:rPr>
        <w:t>)</w:t>
      </w:r>
      <w:r w:rsidRPr="00E939EA">
        <w:rPr>
          <w:rFonts w:ascii="Times New Roman" w:hAnsi="Times New Roman" w:cs="Times New Roman"/>
          <w:szCs w:val="24"/>
        </w:rPr>
        <w:t xml:space="preserve">; </w:t>
      </w:r>
    </w:p>
    <w:p w:rsidR="002F2261" w:rsidRPr="00E939EA" w:rsidRDefault="002F2261" w:rsidP="008C4B41">
      <w:pPr>
        <w:pStyle w:val="PKTpunkt"/>
        <w:keepNext/>
        <w:tabs>
          <w:tab w:val="left" w:pos="426"/>
        </w:tabs>
        <w:ind w:left="0" w:firstLine="0"/>
        <w:rPr>
          <w:rFonts w:ascii="Times New Roman" w:hAnsi="Times New Roman" w:cs="Times New Roman"/>
          <w:szCs w:val="24"/>
        </w:rPr>
      </w:pPr>
      <w:r w:rsidRPr="00E939EA">
        <w:rPr>
          <w:rFonts w:ascii="Times New Roman" w:hAnsi="Times New Roman" w:cs="Times New Roman"/>
          <w:szCs w:val="24"/>
        </w:rPr>
        <w:t>3)</w:t>
      </w:r>
      <w:r w:rsidR="00E939EA">
        <w:rPr>
          <w:rFonts w:ascii="Times New Roman" w:hAnsi="Times New Roman" w:cs="Times New Roman"/>
          <w:szCs w:val="24"/>
        </w:rPr>
        <w:tab/>
      </w:r>
      <w:r w:rsidRPr="00E939EA">
        <w:rPr>
          <w:rFonts w:ascii="Times New Roman" w:hAnsi="Times New Roman" w:cs="Times New Roman"/>
          <w:szCs w:val="24"/>
        </w:rPr>
        <w:t xml:space="preserve">instalacji, sprawdzania, przeglądów i napraw tachografów </w:t>
      </w:r>
      <w:r w:rsidR="004567C8" w:rsidRPr="00E939EA">
        <w:rPr>
          <w:rFonts w:ascii="Times New Roman" w:hAnsi="Times New Roman" w:cs="Times New Roman"/>
          <w:szCs w:val="24"/>
        </w:rPr>
        <w:t>(</w:t>
      </w:r>
      <w:r w:rsidRPr="00E939EA">
        <w:rPr>
          <w:rFonts w:ascii="Times New Roman" w:hAnsi="Times New Roman" w:cs="Times New Roman"/>
          <w:szCs w:val="24"/>
        </w:rPr>
        <w:t>dla warsztatów</w:t>
      </w:r>
      <w:r w:rsidR="004567C8" w:rsidRPr="00E939EA">
        <w:rPr>
          <w:rFonts w:ascii="Times New Roman" w:hAnsi="Times New Roman" w:cs="Times New Roman"/>
          <w:szCs w:val="24"/>
        </w:rPr>
        <w:t>)</w:t>
      </w:r>
      <w:r w:rsidRPr="00E939EA">
        <w:rPr>
          <w:rFonts w:ascii="Times New Roman" w:hAnsi="Times New Roman" w:cs="Times New Roman"/>
          <w:szCs w:val="24"/>
        </w:rPr>
        <w:t xml:space="preserve">. </w:t>
      </w:r>
    </w:p>
    <w:p w:rsidR="00351D2E" w:rsidRPr="00E939EA" w:rsidRDefault="00351D2E" w:rsidP="008C4B41">
      <w:pPr>
        <w:keepNext/>
        <w:spacing w:before="120" w:line="360" w:lineRule="auto"/>
        <w:jc w:val="both"/>
      </w:pPr>
      <w:r w:rsidRPr="00E939EA">
        <w:t>W stosunku do ustawy</w:t>
      </w:r>
      <w:r w:rsidR="00F73ACB">
        <w:t xml:space="preserve"> z dnia 29 lipca 2005 r.</w:t>
      </w:r>
      <w:r w:rsidRPr="00E939EA">
        <w:t xml:space="preserve"> o systemie tachografów cyfrowych proponuje się wprowadzenie następujących zmian: </w:t>
      </w:r>
    </w:p>
    <w:p w:rsidR="00351D2E" w:rsidRPr="00E939EA" w:rsidRDefault="00E939EA" w:rsidP="003B79D3">
      <w:pPr>
        <w:tabs>
          <w:tab w:val="left" w:pos="336"/>
        </w:tabs>
        <w:spacing w:line="360" w:lineRule="auto"/>
        <w:ind w:left="336" w:hanging="336"/>
        <w:jc w:val="both"/>
      </w:pPr>
      <w:r>
        <w:t>a)</w:t>
      </w:r>
      <w:r>
        <w:tab/>
      </w:r>
      <w:r w:rsidR="00F73ACB">
        <w:t>zmiany</w:t>
      </w:r>
      <w:r w:rsidR="00351D2E" w:rsidRPr="00E939EA">
        <w:t xml:space="preserve"> zakresu czynności będących przedmiotem zezwolenia poprzez wyszczególnienie jako jednej z czynności – przeglądów, </w:t>
      </w:r>
    </w:p>
    <w:p w:rsidR="00351D2E" w:rsidRPr="00E939EA" w:rsidRDefault="00E939EA" w:rsidP="003B79D3">
      <w:pPr>
        <w:tabs>
          <w:tab w:val="left" w:pos="336"/>
        </w:tabs>
        <w:spacing w:line="360" w:lineRule="auto"/>
        <w:ind w:left="336" w:hanging="336"/>
        <w:jc w:val="both"/>
      </w:pPr>
      <w:r>
        <w:t>b)</w:t>
      </w:r>
      <w:r>
        <w:tab/>
      </w:r>
      <w:r w:rsidR="00351D2E" w:rsidRPr="00E939EA">
        <w:t xml:space="preserve">zmiany w zakresie wymagań dla warsztatów: </w:t>
      </w:r>
    </w:p>
    <w:p w:rsidR="00351D2E" w:rsidRPr="00E939EA" w:rsidRDefault="00E939EA" w:rsidP="003B79D3">
      <w:pPr>
        <w:spacing w:line="360" w:lineRule="auto"/>
        <w:ind w:left="708" w:hanging="344"/>
        <w:jc w:val="both"/>
      </w:pPr>
      <w:r>
        <w:t>–</w:t>
      </w:r>
      <w:r>
        <w:tab/>
      </w:r>
      <w:r w:rsidR="00351D2E" w:rsidRPr="00E939EA">
        <w:t xml:space="preserve">określenie warunku nieposzlakowanej reputacji warsztatów, czego kryterium jest: </w:t>
      </w:r>
    </w:p>
    <w:p w:rsidR="00351D2E" w:rsidRPr="00E939EA" w:rsidRDefault="00F03CF9" w:rsidP="00F03CF9">
      <w:pPr>
        <w:tabs>
          <w:tab w:val="left" w:pos="350"/>
          <w:tab w:val="left" w:pos="1276"/>
        </w:tabs>
        <w:spacing w:line="360" w:lineRule="auto"/>
        <w:ind w:left="1134" w:hanging="425"/>
        <w:jc w:val="both"/>
      </w:pPr>
      <w:r>
        <w:t>– –</w:t>
      </w:r>
      <w:r>
        <w:tab/>
      </w:r>
      <w:r w:rsidR="00351D2E" w:rsidRPr="00E939EA">
        <w:t xml:space="preserve">niekaralność osób fizycznych </w:t>
      </w:r>
      <w:r w:rsidR="002F2261" w:rsidRPr="00E939EA">
        <w:t xml:space="preserve">prowadzących działalność i osób </w:t>
      </w:r>
      <w:r w:rsidR="00351D2E" w:rsidRPr="00E939EA">
        <w:t xml:space="preserve">reprezentujących podmiot za określone przestępstwa, </w:t>
      </w:r>
    </w:p>
    <w:p w:rsidR="00351D2E" w:rsidRPr="00E939EA" w:rsidRDefault="00F03CF9" w:rsidP="00F03CF9">
      <w:pPr>
        <w:tabs>
          <w:tab w:val="left" w:pos="350"/>
          <w:tab w:val="left" w:pos="1276"/>
        </w:tabs>
        <w:spacing w:line="360" w:lineRule="auto"/>
        <w:ind w:left="1134" w:hanging="425"/>
        <w:jc w:val="both"/>
      </w:pPr>
      <w:r>
        <w:t>– –</w:t>
      </w:r>
      <w:r>
        <w:tab/>
      </w:r>
      <w:r w:rsidR="00351D2E" w:rsidRPr="00E939EA">
        <w:t>brak zarzutów wobec podmiotu i osób fizycznych reprezentujących ten podmiot związanych z prowadzeniem dz</w:t>
      </w:r>
      <w:r w:rsidR="008C4B41">
        <w:t>iałalności naruszającej prawo o </w:t>
      </w:r>
      <w:r w:rsidR="00351D2E" w:rsidRPr="00E939EA">
        <w:t>tachograf</w:t>
      </w:r>
      <w:r w:rsidR="00366005" w:rsidRPr="00E939EA">
        <w:t xml:space="preserve">ach, w tym skutkujących wydaniem </w:t>
      </w:r>
      <w:r w:rsidR="00351D2E" w:rsidRPr="00E939EA">
        <w:t>decyzj</w:t>
      </w:r>
      <w:r w:rsidR="00366005" w:rsidRPr="00E939EA">
        <w:t>i</w:t>
      </w:r>
      <w:r w:rsidR="00351D2E" w:rsidRPr="00E939EA">
        <w:t xml:space="preserve"> w sprawie cofnięcia zezwolenia lub nałożenia kary pieniężnej, </w:t>
      </w:r>
    </w:p>
    <w:p w:rsidR="00351D2E" w:rsidRPr="00E939EA" w:rsidRDefault="00E939EA" w:rsidP="003B79D3">
      <w:pPr>
        <w:spacing w:line="360" w:lineRule="auto"/>
        <w:ind w:left="708" w:hanging="344"/>
        <w:jc w:val="both"/>
      </w:pPr>
      <w:r>
        <w:t>–</w:t>
      </w:r>
      <w:r w:rsidR="003B79D3">
        <w:tab/>
      </w:r>
      <w:r w:rsidR="00351D2E" w:rsidRPr="00E939EA">
        <w:t>określenie warunk</w:t>
      </w:r>
      <w:r w:rsidR="00366005" w:rsidRPr="00E939EA">
        <w:t>u</w:t>
      </w:r>
      <w:r w:rsidR="00351D2E" w:rsidRPr="00E939EA">
        <w:t xml:space="preserve"> braku konfliktu interesów między </w:t>
      </w:r>
      <w:r w:rsidR="00366005" w:rsidRPr="00E939EA">
        <w:t>podmiotami prowadzącymi działalność w zakresie instalacji, sprawdzania, przeglądów i</w:t>
      </w:r>
      <w:r w:rsidR="008C4B41">
        <w:t> </w:t>
      </w:r>
      <w:r w:rsidR="00366005" w:rsidRPr="00E939EA">
        <w:t xml:space="preserve">napraw tachografów </w:t>
      </w:r>
      <w:r w:rsidR="00351D2E" w:rsidRPr="00E939EA">
        <w:t>a przedsiębiorstwami</w:t>
      </w:r>
      <w:r w:rsidR="008C4B41">
        <w:t xml:space="preserve"> transportowymi; wnioskodawca i </w:t>
      </w:r>
      <w:r w:rsidR="00351D2E" w:rsidRPr="00E939EA">
        <w:t>osoby reprezentujące wnioskodawcę nie mogą być przewoźnikiem drogowym,</w:t>
      </w:r>
      <w:r w:rsidR="0045589C">
        <w:t xml:space="preserve"> </w:t>
      </w:r>
    </w:p>
    <w:p w:rsidR="00351D2E" w:rsidRPr="00E939EA" w:rsidRDefault="003B79D3" w:rsidP="003B79D3">
      <w:pPr>
        <w:spacing w:line="360" w:lineRule="auto"/>
        <w:ind w:left="708" w:hanging="344"/>
        <w:jc w:val="both"/>
      </w:pPr>
      <w:r>
        <w:t>–</w:t>
      </w:r>
      <w:r>
        <w:tab/>
      </w:r>
      <w:r w:rsidR="00351D2E" w:rsidRPr="00E939EA">
        <w:t xml:space="preserve">rozszerzenie zakresu właściwych procedur stosowanych przy wykonywaniu określonych czynności oraz przy zabezpieczaniu i posługiwaniu się kartami warsztatowymi poprzez określenie: </w:t>
      </w:r>
    </w:p>
    <w:p w:rsidR="00351D2E" w:rsidRPr="00E939EA" w:rsidRDefault="00F03CF9" w:rsidP="00F03CF9">
      <w:pPr>
        <w:tabs>
          <w:tab w:val="left" w:pos="350"/>
          <w:tab w:val="left" w:pos="993"/>
        </w:tabs>
        <w:spacing w:line="360" w:lineRule="auto"/>
        <w:ind w:firstLine="709"/>
        <w:jc w:val="both"/>
      </w:pPr>
      <w:r>
        <w:t xml:space="preserve">– – </w:t>
      </w:r>
      <w:r w:rsidR="00351D2E" w:rsidRPr="00E939EA">
        <w:t xml:space="preserve">zakresu odpowiedzialności i uprawnień pracowników, </w:t>
      </w:r>
    </w:p>
    <w:p w:rsidR="00351D2E" w:rsidRPr="00E939EA" w:rsidRDefault="00F03CF9" w:rsidP="00F03CF9">
      <w:pPr>
        <w:tabs>
          <w:tab w:val="left" w:pos="350"/>
          <w:tab w:val="left" w:pos="993"/>
        </w:tabs>
        <w:spacing w:line="360" w:lineRule="auto"/>
        <w:ind w:firstLine="709"/>
        <w:jc w:val="both"/>
      </w:pPr>
      <w:r>
        <w:t xml:space="preserve">– – </w:t>
      </w:r>
      <w:r w:rsidR="00351D2E" w:rsidRPr="00E939EA">
        <w:t>o</w:t>
      </w:r>
      <w:r w:rsidR="00DB7414">
        <w:t>rganizacji kontroli wewnętrznej</w:t>
      </w:r>
    </w:p>
    <w:p w:rsidR="00351D2E" w:rsidRPr="00E939EA" w:rsidRDefault="00351D2E" w:rsidP="00EC7BBF">
      <w:pPr>
        <w:spacing w:line="360" w:lineRule="auto"/>
        <w:ind w:left="350" w:hanging="14"/>
        <w:jc w:val="both"/>
      </w:pPr>
      <w:r w:rsidRPr="00E939EA">
        <w:t xml:space="preserve">oraz wprowadzenie wymagania, aby stosowane procedury zapewniały bezstronność i niezależność </w:t>
      </w:r>
      <w:r w:rsidR="00366005" w:rsidRPr="00E939EA">
        <w:t>podmiotów prowadzących działalność w zakresie instalacji, sprawdzania, przeglądów i napraw tachografów</w:t>
      </w:r>
      <w:r w:rsidRPr="00E939EA">
        <w:t xml:space="preserve"> od podmiotów, na rzecz których świadczone będą usługi</w:t>
      </w:r>
      <w:r w:rsidR="000E5650">
        <w:t>,</w:t>
      </w:r>
      <w:r w:rsidRPr="00E939EA">
        <w:t xml:space="preserve"> oraz brak konfliktu interesów między tymi podmiotami, </w:t>
      </w:r>
    </w:p>
    <w:p w:rsidR="00351D2E" w:rsidRPr="00E939EA" w:rsidRDefault="003B79D3" w:rsidP="003B79D3">
      <w:pPr>
        <w:spacing w:line="360" w:lineRule="auto"/>
        <w:ind w:left="708" w:hanging="344"/>
        <w:jc w:val="both"/>
      </w:pPr>
      <w:r>
        <w:lastRenderedPageBreak/>
        <w:t>–</w:t>
      </w:r>
      <w:r>
        <w:tab/>
      </w:r>
      <w:r w:rsidR="00351D2E" w:rsidRPr="00E939EA">
        <w:t xml:space="preserve">odstąpienie od określonych </w:t>
      </w:r>
      <w:r w:rsidR="00DB7414">
        <w:t xml:space="preserve">dotychczas </w:t>
      </w:r>
      <w:r w:rsidR="00351D2E" w:rsidRPr="00E939EA">
        <w:t xml:space="preserve">w ustawie wymagań w zakresie posiadania danych warunków lokalowych, w tym miejsc parkingowych, </w:t>
      </w:r>
    </w:p>
    <w:p w:rsidR="00351D2E" w:rsidRPr="00E939EA" w:rsidRDefault="003B79D3" w:rsidP="003B79D3">
      <w:pPr>
        <w:spacing w:line="360" w:lineRule="auto"/>
        <w:ind w:left="708" w:hanging="344"/>
        <w:jc w:val="both"/>
      </w:pPr>
      <w:r>
        <w:t>–</w:t>
      </w:r>
      <w:r>
        <w:tab/>
      </w:r>
      <w:r w:rsidR="00351D2E" w:rsidRPr="00E939EA">
        <w:t xml:space="preserve">odstąpienie od obowiązku podawania we wniosku o zezwolenie numeru REGON. </w:t>
      </w:r>
    </w:p>
    <w:p w:rsidR="00366005" w:rsidRDefault="00351D2E" w:rsidP="003B79D3">
      <w:pPr>
        <w:spacing w:before="120" w:line="360" w:lineRule="auto"/>
        <w:jc w:val="both"/>
      </w:pPr>
      <w:r w:rsidRPr="00E939EA">
        <w:t xml:space="preserve">Określone w projekcie ustawy „osoby </w:t>
      </w:r>
      <w:r w:rsidR="00366005" w:rsidRPr="00E939EA">
        <w:t xml:space="preserve">uprawnione do </w:t>
      </w:r>
      <w:r w:rsidRPr="00E939EA">
        <w:t>reprezent</w:t>
      </w:r>
      <w:r w:rsidR="00366005" w:rsidRPr="00E939EA">
        <w:t>acji</w:t>
      </w:r>
      <w:r w:rsidRPr="00E939EA">
        <w:t xml:space="preserve">” należy rozumieć jako osoby reprezentujące dany podmiot zgodnie z zasadami </w:t>
      </w:r>
      <w:r w:rsidR="00366005" w:rsidRPr="00E939EA">
        <w:t xml:space="preserve">jego </w:t>
      </w:r>
      <w:r w:rsidRPr="00E939EA">
        <w:t xml:space="preserve">reprezentacji. Tym samym z kręgu tych osób wyłączeni są np. pełnomocnicy. </w:t>
      </w:r>
    </w:p>
    <w:p w:rsidR="004A6FFD" w:rsidRPr="004A6FFD" w:rsidRDefault="004A6FFD" w:rsidP="004A6FFD">
      <w:pPr>
        <w:spacing w:before="120" w:after="120" w:line="360" w:lineRule="auto"/>
        <w:jc w:val="both"/>
      </w:pPr>
      <w:r w:rsidRPr="004A6FFD">
        <w:t>Kategorie przestępstw, określonych w art. 11 ust. 2 pkt 3 lit. a projektowanej ustawy, są powtórzeniem kategorii przestępstw określonych w ustawie o systemie tachografów cyfrowych, uzupełnionych o przestępstwa przeciwko obrotowi pieniędzmi i papierami wartościowymi oraz za przestępstwo określone w art. 50 projektowanej ustawy (kto produkuje, dystrybuuje, reklamuje, sprzedaje lub w inny sposób udostępnia urządzenia, przedmioty lub oprogramowanie wykonane lub przeznaczone do celów podrabiania lub przerabiania danych rejestrowanych przez tachograf</w:t>
      </w:r>
      <w:r>
        <w:t xml:space="preserve"> </w:t>
      </w:r>
      <w:r w:rsidRPr="004A6FFD">
        <w:t>– podlega grzywnie, karze ograniczenia wolności albo pozbawienia wolności do lat 2).</w:t>
      </w:r>
    </w:p>
    <w:p w:rsidR="004A6FFD" w:rsidRPr="004A6FFD" w:rsidRDefault="004A6FFD" w:rsidP="004A6FFD">
      <w:pPr>
        <w:spacing w:before="120" w:after="120" w:line="360" w:lineRule="auto"/>
        <w:jc w:val="both"/>
      </w:pPr>
      <w:r w:rsidRPr="004A6FFD">
        <w:t>W opinii projektodawcy, osoby popełniające te przestępstwa nie mogą być uznane za osoby o nieposzlakowanej reputacji, co stanowi jedno z kryteriów dopuszczalności wykonywania czynności w zakresie tachografów, zgodnie z art. 24 ust. 2 lit. c rozporządzenia (UE) nr 165/2014. Ponadto ch</w:t>
      </w:r>
      <w:r w:rsidR="00DB7414">
        <w:t>arakter chronionych interesów w </w:t>
      </w:r>
      <w:r w:rsidRPr="004A6FFD">
        <w:t>przepisach dotyczących tych przestępstw jest bardzo zbliżony do charakteru interesu, który ma być chroniony projektowanymi przepisami – zapewnienie wiarygodności danych rejestrowanych przez tachograf.</w:t>
      </w:r>
    </w:p>
    <w:p w:rsidR="00366005" w:rsidRPr="00E939EA" w:rsidRDefault="00351D2E" w:rsidP="003B79D3">
      <w:pPr>
        <w:spacing w:before="120" w:line="360" w:lineRule="auto"/>
        <w:jc w:val="both"/>
      </w:pPr>
      <w:r w:rsidRPr="00E939EA">
        <w:t xml:space="preserve">W proponowanych przesłankach </w:t>
      </w:r>
      <w:r w:rsidR="00366005" w:rsidRPr="00E939EA">
        <w:t xml:space="preserve">wydania </w:t>
      </w:r>
      <w:r w:rsidRPr="00E939EA">
        <w:t>zezwolenia wskazano, że nie można wydać zezwolenia wnioskodawcy</w:t>
      </w:r>
      <w:r w:rsidR="000E5650">
        <w:t>,</w:t>
      </w:r>
      <w:r w:rsidRPr="00E939EA">
        <w:t xml:space="preserve"> w stosunku do którego wydano decyzję o cofnięciu zezwolenia – w</w:t>
      </w:r>
      <w:r w:rsidR="0045589C">
        <w:t xml:space="preserve"> </w:t>
      </w:r>
      <w:r w:rsidRPr="00E939EA">
        <w:t>okresie 4 lat od dnia, w którym decyzja ta stała się ostateczna.</w:t>
      </w:r>
      <w:r w:rsidR="00531C07" w:rsidRPr="00E939EA">
        <w:t xml:space="preserve"> </w:t>
      </w:r>
    </w:p>
    <w:p w:rsidR="00366005" w:rsidRPr="00E939EA" w:rsidRDefault="00351D2E" w:rsidP="003B79D3">
      <w:pPr>
        <w:spacing w:before="120" w:line="360" w:lineRule="auto"/>
        <w:jc w:val="both"/>
      </w:pPr>
      <w:r w:rsidRPr="00E939EA">
        <w:t xml:space="preserve">W projekcie ustawy proponuje się określenie trybu zmian zezwoleń poprzez odpowiednie stosowanie trybu udzielania zezwoleń. </w:t>
      </w:r>
    </w:p>
    <w:p w:rsidR="00366005" w:rsidRPr="00E939EA" w:rsidRDefault="00351D2E" w:rsidP="003B79D3">
      <w:pPr>
        <w:spacing w:before="120" w:line="360" w:lineRule="auto"/>
        <w:jc w:val="both"/>
      </w:pPr>
      <w:r w:rsidRPr="00E939EA">
        <w:t xml:space="preserve">W projekcie ustawy proponuje się utrzymanie obowiązku przekazywania informacji Prezesowi GUM o zmianach danych w zakresie </w:t>
      </w:r>
      <w:r w:rsidR="00366005" w:rsidRPr="00E939EA">
        <w:t xml:space="preserve">osoby, która wykonuje czynności technika </w:t>
      </w:r>
      <w:r w:rsidR="000A297C" w:rsidRPr="00E939EA">
        <w:t>warsztatu</w:t>
      </w:r>
      <w:r w:rsidR="000E5650">
        <w:t>,</w:t>
      </w:r>
      <w:r w:rsidR="00366005" w:rsidRPr="00E939EA">
        <w:t xml:space="preserve"> oraz posiadanych urządzeń niezbędnych </w:t>
      </w:r>
      <w:r w:rsidR="000E5650">
        <w:t>d</w:t>
      </w:r>
      <w:r w:rsidR="00366005" w:rsidRPr="00E939EA">
        <w:t xml:space="preserve">o wykonywania danej działalności. </w:t>
      </w:r>
    </w:p>
    <w:p w:rsidR="00351D2E" w:rsidRPr="00E939EA" w:rsidRDefault="00351D2E" w:rsidP="003B79D3">
      <w:pPr>
        <w:spacing w:before="120" w:line="360" w:lineRule="auto"/>
        <w:jc w:val="both"/>
      </w:pPr>
      <w:r w:rsidRPr="00E939EA">
        <w:lastRenderedPageBreak/>
        <w:t xml:space="preserve">W projekcie ustawy proponuje się wprowadzenie zmian w zakresie obowiązków </w:t>
      </w:r>
      <w:r w:rsidR="00794F3D" w:rsidRPr="00E939EA">
        <w:t>podmiotów prowadzących działalność w zakresie instalacji, sprawdzania, przeglądów i</w:t>
      </w:r>
      <w:r w:rsidR="008C4B41">
        <w:t> </w:t>
      </w:r>
      <w:r w:rsidR="00794F3D" w:rsidRPr="00E939EA">
        <w:t>napraw tachografów</w:t>
      </w:r>
      <w:r w:rsidRPr="00E939EA">
        <w:t xml:space="preserve">. Proponuje się </w:t>
      </w:r>
      <w:r w:rsidR="00794F3D" w:rsidRPr="00E939EA">
        <w:t>wprowadzenie nowych obowiązków tych podmiotów</w:t>
      </w:r>
      <w:r w:rsidRPr="00E939EA">
        <w:t xml:space="preserve">: </w:t>
      </w:r>
    </w:p>
    <w:p w:rsidR="00351D2E" w:rsidRPr="00E939EA" w:rsidRDefault="003B79D3" w:rsidP="003B79D3">
      <w:pPr>
        <w:tabs>
          <w:tab w:val="left" w:pos="284"/>
        </w:tabs>
        <w:spacing w:line="360" w:lineRule="auto"/>
        <w:ind w:left="284" w:hanging="284"/>
        <w:jc w:val="both"/>
      </w:pPr>
      <w:r>
        <w:t>a)</w:t>
      </w:r>
      <w:r>
        <w:tab/>
      </w:r>
      <w:r w:rsidR="00351D2E" w:rsidRPr="00E939EA">
        <w:t xml:space="preserve">określenie obowiązku bycia niezależnym i bezstronnym w stosunku do podmiotów, na rzecz których warsztat świadczy usługi, </w:t>
      </w:r>
    </w:p>
    <w:p w:rsidR="00351D2E" w:rsidRPr="00E939EA" w:rsidRDefault="003B79D3" w:rsidP="003B79D3">
      <w:pPr>
        <w:tabs>
          <w:tab w:val="left" w:pos="284"/>
        </w:tabs>
        <w:spacing w:line="360" w:lineRule="auto"/>
        <w:ind w:left="284" w:hanging="284"/>
        <w:jc w:val="both"/>
      </w:pPr>
      <w:r>
        <w:t>b)</w:t>
      </w:r>
      <w:r>
        <w:tab/>
      </w:r>
      <w:r w:rsidR="00351D2E" w:rsidRPr="00E939EA">
        <w:t>określenie zakazu prowadzenia działalności</w:t>
      </w:r>
      <w:r w:rsidR="00794F3D" w:rsidRPr="00E939EA">
        <w:t xml:space="preserve"> zawodowej</w:t>
      </w:r>
      <w:r w:rsidR="00351D2E" w:rsidRPr="00E939EA">
        <w:t xml:space="preserve">, która mogłoby stanowić zagrożenie dla ogólnego bezpieczeństwa systemu tachografów. </w:t>
      </w:r>
    </w:p>
    <w:p w:rsidR="00351D2E" w:rsidRPr="00E939EA" w:rsidRDefault="00351D2E" w:rsidP="003B79D3">
      <w:pPr>
        <w:spacing w:before="120" w:line="360" w:lineRule="auto"/>
        <w:jc w:val="both"/>
      </w:pPr>
      <w:r w:rsidRPr="00E939EA">
        <w:t xml:space="preserve">W projekcie ustawy proponuje się upoważnienie Prezesa GUM do przeprowadzenia kontroli </w:t>
      </w:r>
      <w:r w:rsidR="00794F3D" w:rsidRPr="00E939EA">
        <w:t xml:space="preserve">podmiotów prowadzących działalność w zakresie instalacji, sprawdzania, przeglądów i napraw tachografów </w:t>
      </w:r>
      <w:r w:rsidRPr="00E939EA">
        <w:t>zgodnie z zasadami określonymi w rozporządzeniu (UE) nr 165/2014. Przedmiotem kontroli powinno być przestrzeganie rozporządzenia 165/2014 i ustawy</w:t>
      </w:r>
      <w:r w:rsidR="00794F3D" w:rsidRPr="00E939EA">
        <w:t xml:space="preserve"> oraz </w:t>
      </w:r>
      <w:r w:rsidRPr="00E939EA">
        <w:t xml:space="preserve">spełnianie warunków niezbędnych do otrzymania zezwolenia. </w:t>
      </w:r>
    </w:p>
    <w:p w:rsidR="00351D2E" w:rsidRPr="00E939EA" w:rsidRDefault="00351D2E" w:rsidP="008C4B41">
      <w:pPr>
        <w:keepNext/>
        <w:spacing w:before="120" w:line="360" w:lineRule="auto"/>
        <w:jc w:val="both"/>
      </w:pPr>
      <w:r w:rsidRPr="00E939EA">
        <w:t xml:space="preserve">W stosunku do ustawy </w:t>
      </w:r>
      <w:r w:rsidR="00AE1A88" w:rsidRPr="00E939EA">
        <w:t xml:space="preserve">o systemie tachografów cyfrowych </w:t>
      </w:r>
      <w:r w:rsidRPr="00E939EA">
        <w:t xml:space="preserve">proponuje się wprowadzenie następujących zmian: </w:t>
      </w:r>
    </w:p>
    <w:p w:rsidR="00351D2E" w:rsidRPr="00E939EA" w:rsidRDefault="003B79D3" w:rsidP="008C4B41">
      <w:pPr>
        <w:keepNext/>
        <w:spacing w:line="360" w:lineRule="auto"/>
        <w:ind w:left="364" w:hanging="364"/>
        <w:jc w:val="both"/>
      </w:pPr>
      <w:r>
        <w:t>a)</w:t>
      </w:r>
      <w:r>
        <w:tab/>
      </w:r>
      <w:r w:rsidR="00351D2E" w:rsidRPr="00E939EA">
        <w:t>określenie podstawy bezpośredniego stosowania ro</w:t>
      </w:r>
      <w:r w:rsidR="008C4B41">
        <w:t>zporządzenia (UE) nr 165/2014 w </w:t>
      </w:r>
      <w:r w:rsidR="00351D2E" w:rsidRPr="00E939EA">
        <w:t xml:space="preserve">zakresie przeprowadzania audytu procedur i audytu technicznego, </w:t>
      </w:r>
    </w:p>
    <w:p w:rsidR="00351D2E" w:rsidRPr="00E939EA" w:rsidRDefault="003B79D3" w:rsidP="008C4B41">
      <w:pPr>
        <w:keepNext/>
        <w:spacing w:line="360" w:lineRule="auto"/>
        <w:ind w:left="364" w:hanging="364"/>
        <w:jc w:val="both"/>
      </w:pPr>
      <w:r>
        <w:t>b)</w:t>
      </w:r>
      <w:r>
        <w:tab/>
      </w:r>
      <w:r w:rsidR="00351D2E" w:rsidRPr="00E939EA">
        <w:t>rozszerzenie zakresu kontroli na przestrzeganie rozporządzenia (UE) nr 165/</w:t>
      </w:r>
      <w:r w:rsidR="008C4B41">
        <w:t>2014 i </w:t>
      </w:r>
      <w:r w:rsidR="00351D2E" w:rsidRPr="00E939EA">
        <w:t>ustawy</w:t>
      </w:r>
      <w:r w:rsidR="00794F3D" w:rsidRPr="00E939EA">
        <w:t>.</w:t>
      </w:r>
      <w:r w:rsidR="0045589C">
        <w:t xml:space="preserve"> </w:t>
      </w:r>
    </w:p>
    <w:p w:rsidR="00AE1A88" w:rsidRPr="00E939EA" w:rsidRDefault="00351D2E" w:rsidP="003B79D3">
      <w:pPr>
        <w:spacing w:before="120" w:line="360" w:lineRule="auto"/>
        <w:jc w:val="both"/>
      </w:pPr>
      <w:r w:rsidRPr="00E939EA">
        <w:t xml:space="preserve">W projekcie ustawy proponuje się określenie trybu postępowania w przypadku prowadzenia przez </w:t>
      </w:r>
      <w:r w:rsidR="00794F3D" w:rsidRPr="00E939EA">
        <w:t>podmioty prowadzące działalność w zakresie instalacji, sprawdzania, przeglądów i napraw tachografów</w:t>
      </w:r>
      <w:r w:rsidRPr="00E939EA">
        <w:t xml:space="preserve"> z naruszeniem prawa. Wprowadzono zasadę wydawania przez Prezesa GUM zaleceń dostosowania przez </w:t>
      </w:r>
      <w:r w:rsidR="00794F3D" w:rsidRPr="00E939EA">
        <w:t xml:space="preserve">te podmioty </w:t>
      </w:r>
      <w:r w:rsidRPr="00E939EA">
        <w:t xml:space="preserve">działalności do przepisów prawa w wyznaczonym terminie, w przypadku stwierdzenia, że działalność jest prowadzona z naruszeniem wymagań określonych w rozporządzeniu (UE) nr 165/2014 lub w ustawie. Obowiązujący </w:t>
      </w:r>
      <w:r w:rsidR="00DB7414">
        <w:t xml:space="preserve">obecnie art. 12 ust. 2 pkt 2 ustawy </w:t>
      </w:r>
      <w:r w:rsidR="00AC75E6">
        <w:t>z </w:t>
      </w:r>
      <w:r w:rsidR="00B73240">
        <w:t xml:space="preserve">dnia </w:t>
      </w:r>
      <w:r w:rsidR="00DB7414">
        <w:t>29</w:t>
      </w:r>
      <w:r w:rsidR="00AC75E6">
        <w:t xml:space="preserve"> </w:t>
      </w:r>
      <w:r w:rsidR="00DB7414" w:rsidRPr="00E939EA">
        <w:t xml:space="preserve">lipca 2005 r. </w:t>
      </w:r>
      <w:r w:rsidR="00DB7414">
        <w:t xml:space="preserve">o </w:t>
      </w:r>
      <w:r w:rsidRPr="00E939EA">
        <w:t xml:space="preserve">systemie tachografów cyfrowych ogranicza możliwość wydawania zaleceń wyłącznie do zaleceń pokontrolnych, co ogranicza środki, które mogą być podejmowane przez Prezesa GUM w celu dostosowania przez </w:t>
      </w:r>
      <w:r w:rsidR="00794F3D" w:rsidRPr="00E939EA">
        <w:t>te podmioty</w:t>
      </w:r>
      <w:r w:rsidR="0045589C">
        <w:t xml:space="preserve"> </w:t>
      </w:r>
      <w:r w:rsidRPr="00E939EA">
        <w:t xml:space="preserve">działalności do przepisów prawa. W projekcie ustawy proponuje się również określenie przesłanek cofania udzielonych zezwoleń. Cofnięcie udzielonych zezwoleń może być poprzedzone czasowym zakazem wykonywania czynności objętych zezwoleniem. </w:t>
      </w:r>
      <w:r w:rsidRPr="00E939EA">
        <w:lastRenderedPageBreak/>
        <w:t>Podstawową przesłank</w:t>
      </w:r>
      <w:r w:rsidR="000E5650">
        <w:t>ą</w:t>
      </w:r>
      <w:r w:rsidRPr="00E939EA">
        <w:t xml:space="preserve"> cofnięcia zezwolenia jest niewykonywanie obowiązków wynika</w:t>
      </w:r>
      <w:r w:rsidR="008C4B41">
        <w:t>jących z rozporządzenia (UE) nr </w:t>
      </w:r>
      <w:r w:rsidRPr="00E939EA">
        <w:t>165/2014 oraz niespełnienie warunków koniecznych do</w:t>
      </w:r>
      <w:r w:rsidR="00531C07" w:rsidRPr="00E939EA">
        <w:t xml:space="preserve"> uzyskania zezwolenia. </w:t>
      </w:r>
    </w:p>
    <w:p w:rsidR="00351D2E" w:rsidRPr="00E939EA" w:rsidRDefault="00351D2E" w:rsidP="003B79D3">
      <w:pPr>
        <w:spacing w:before="120" w:line="360" w:lineRule="auto"/>
        <w:jc w:val="both"/>
      </w:pPr>
      <w:r w:rsidRPr="00E939EA">
        <w:t xml:space="preserve">W stosunku do ustawy o systemie tachografów cyfrowych proponuje się wprowadzenie następujących zmian: </w:t>
      </w:r>
    </w:p>
    <w:p w:rsidR="00351D2E" w:rsidRPr="00E939EA" w:rsidRDefault="003B79D3" w:rsidP="008C4B41">
      <w:pPr>
        <w:tabs>
          <w:tab w:val="left" w:pos="406"/>
        </w:tabs>
        <w:spacing w:line="360" w:lineRule="auto"/>
        <w:jc w:val="both"/>
      </w:pPr>
      <w:r>
        <w:t>a)</w:t>
      </w:r>
      <w:r>
        <w:tab/>
      </w:r>
      <w:r w:rsidR="00351D2E" w:rsidRPr="00E939EA">
        <w:t xml:space="preserve">wprowadzenie fakultatywności i obligatoryjności cofnięcia zezwolenia, </w:t>
      </w:r>
    </w:p>
    <w:p w:rsidR="00794F3D" w:rsidRPr="00E939EA" w:rsidRDefault="00351D2E" w:rsidP="008C4B41">
      <w:pPr>
        <w:tabs>
          <w:tab w:val="left" w:pos="406"/>
        </w:tabs>
        <w:spacing w:line="360" w:lineRule="auto"/>
        <w:ind w:left="406" w:hanging="406"/>
        <w:jc w:val="both"/>
      </w:pPr>
      <w:r w:rsidRPr="00E939EA">
        <w:t>b)</w:t>
      </w:r>
      <w:r w:rsidR="003B79D3">
        <w:tab/>
      </w:r>
      <w:r w:rsidRPr="00E939EA">
        <w:t>odstąpienie od konstrukcji rażącego naruszenia prawa (dotychczasowe przesłanki rażącego naruszenia prawa stają się przesłankami obligatoryjnego cofnięcia zezwolenia)</w:t>
      </w:r>
      <w:r w:rsidR="00794F3D" w:rsidRPr="00E939EA">
        <w:t xml:space="preserve">, </w:t>
      </w:r>
    </w:p>
    <w:p w:rsidR="00AE1A88" w:rsidRPr="00E939EA" w:rsidRDefault="003B79D3" w:rsidP="008C4B41">
      <w:pPr>
        <w:tabs>
          <w:tab w:val="left" w:pos="406"/>
        </w:tabs>
        <w:spacing w:line="360" w:lineRule="auto"/>
        <w:ind w:left="406" w:hanging="406"/>
        <w:jc w:val="both"/>
      </w:pPr>
      <w:r>
        <w:t>c)</w:t>
      </w:r>
      <w:r>
        <w:tab/>
      </w:r>
      <w:r w:rsidR="00794F3D" w:rsidRPr="00E939EA">
        <w:t>wprowadzenie możliwości czasowego cofnięcia zezwolenia na okres do 2 lat</w:t>
      </w:r>
      <w:r w:rsidR="00AE1A88" w:rsidRPr="00E939EA">
        <w:t xml:space="preserve">, </w:t>
      </w:r>
    </w:p>
    <w:p w:rsidR="003D1EC8" w:rsidRPr="00E939EA" w:rsidRDefault="00AE1A88" w:rsidP="008C4B41">
      <w:pPr>
        <w:tabs>
          <w:tab w:val="left" w:pos="406"/>
        </w:tabs>
        <w:spacing w:line="360" w:lineRule="auto"/>
        <w:ind w:left="406" w:hanging="406"/>
        <w:jc w:val="both"/>
      </w:pPr>
      <w:r w:rsidRPr="00E939EA">
        <w:t>d)</w:t>
      </w:r>
      <w:r w:rsidR="003B79D3">
        <w:tab/>
      </w:r>
      <w:r w:rsidRPr="00E939EA">
        <w:t>możliwość zawieszenia działalności w przypadku niespełniania wymagań niezbędnych do uzyskania zezwolenia w zakresie zatrudnienia technika warsztatu lub posiadania niezbędnego wyposażenia technicznego (urządzeń).</w:t>
      </w:r>
      <w:r w:rsidR="0045589C">
        <w:t xml:space="preserve"> </w:t>
      </w:r>
    </w:p>
    <w:p w:rsidR="000A297C" w:rsidRPr="00E939EA" w:rsidRDefault="000A297C" w:rsidP="008C4B41">
      <w:pPr>
        <w:keepNext/>
        <w:spacing w:before="120" w:line="360" w:lineRule="auto"/>
        <w:jc w:val="both"/>
      </w:pPr>
      <w:r w:rsidRPr="00E939EA">
        <w:t>W a</w:t>
      </w:r>
      <w:r w:rsidR="005139BC" w:rsidRPr="00E939EA">
        <w:t>rt. 23</w:t>
      </w:r>
      <w:r w:rsidR="001809E8">
        <w:t xml:space="preserve"> projektu</w:t>
      </w:r>
      <w:r w:rsidRPr="00E939EA">
        <w:t xml:space="preserve"> wprowadzono także</w:t>
      </w:r>
      <w:r w:rsidR="001809E8">
        <w:t>:</w:t>
      </w:r>
    </w:p>
    <w:p w:rsidR="00081664" w:rsidRDefault="003B79D3" w:rsidP="00081664">
      <w:pPr>
        <w:keepNext/>
        <w:tabs>
          <w:tab w:val="left" w:pos="392"/>
        </w:tabs>
        <w:spacing w:line="360" w:lineRule="auto"/>
        <w:ind w:left="993" w:hanging="426"/>
        <w:jc w:val="both"/>
      </w:pPr>
      <w:r>
        <w:t>1)</w:t>
      </w:r>
      <w:r>
        <w:tab/>
      </w:r>
      <w:r w:rsidR="001809E8" w:rsidRPr="00E939EA">
        <w:t xml:space="preserve">możliwość cofnięcia zezwolenia </w:t>
      </w:r>
      <w:r w:rsidR="000A297C" w:rsidRPr="00E939EA">
        <w:t>na wniosek podmiotu posiadającego zezwolenie;</w:t>
      </w:r>
      <w:r w:rsidR="0045589C">
        <w:t xml:space="preserve"> </w:t>
      </w:r>
    </w:p>
    <w:p w:rsidR="00081664" w:rsidRDefault="003B79D3" w:rsidP="00081664">
      <w:pPr>
        <w:keepNext/>
        <w:tabs>
          <w:tab w:val="left" w:pos="392"/>
        </w:tabs>
        <w:spacing w:line="360" w:lineRule="auto"/>
        <w:ind w:left="993" w:hanging="426"/>
        <w:jc w:val="both"/>
      </w:pPr>
      <w:r>
        <w:t>2)</w:t>
      </w:r>
      <w:r>
        <w:tab/>
      </w:r>
      <w:r w:rsidR="001809E8">
        <w:t xml:space="preserve">stwierdzenia, w drodze decyzji, przez Prezesa GUM, wygaśnięcia zezwolenia – </w:t>
      </w:r>
      <w:r w:rsidR="00081664">
        <w:t>w </w:t>
      </w:r>
      <w:r w:rsidR="000A297C" w:rsidRPr="00E939EA">
        <w:t xml:space="preserve">przypadku </w:t>
      </w:r>
      <w:r w:rsidR="001809E8">
        <w:t xml:space="preserve">zakończenia </w:t>
      </w:r>
      <w:r w:rsidR="00081664">
        <w:t xml:space="preserve">działalności, </w:t>
      </w:r>
      <w:r w:rsidR="000A297C" w:rsidRPr="00E939EA">
        <w:t xml:space="preserve">likwidacji albo upadłości podmiotu posiadającego zezwolenie </w:t>
      </w:r>
      <w:r w:rsidR="00AE1A88" w:rsidRPr="00E939EA">
        <w:t xml:space="preserve">albo gdy z innych powodów zezwolenie stało się bezprzedmiotowe. </w:t>
      </w:r>
    </w:p>
    <w:p w:rsidR="00351D2E" w:rsidRPr="00E939EA" w:rsidRDefault="00351D2E" w:rsidP="001809E8">
      <w:pPr>
        <w:keepNext/>
        <w:tabs>
          <w:tab w:val="left" w:pos="392"/>
        </w:tabs>
        <w:spacing w:line="360" w:lineRule="auto"/>
        <w:jc w:val="both"/>
      </w:pPr>
      <w:r w:rsidRPr="00E939EA">
        <w:t>Zgodnie z art. 38 ust. 2 i 3 rozporządzenia (UE) nr 165/2014</w:t>
      </w:r>
      <w:r w:rsidR="000E5650">
        <w:t>,</w:t>
      </w:r>
      <w:r w:rsidRPr="00E939EA">
        <w:t xml:space="preserve"> jeżeli w wyniku kontroli funkcjonariusze służb kontrolnych znajdą wystarczające dowody pozwalające podejrzewać, że dokonano manipulacji, są oni upoważnieni do skierowania pojazdu do zatwierdzonego warsztatu w celu przeprowadzenia dodatkow</w:t>
      </w:r>
      <w:r w:rsidR="00B71D80">
        <w:t xml:space="preserve">ych badań służących ustaleniu w </w:t>
      </w:r>
      <w:r w:rsidRPr="00E939EA">
        <w:t>szczególności, czy tachograf:</w:t>
      </w:r>
    </w:p>
    <w:p w:rsidR="00351D2E" w:rsidRPr="00E939EA" w:rsidRDefault="003B79D3" w:rsidP="008C4B41">
      <w:pPr>
        <w:spacing w:line="360" w:lineRule="auto"/>
        <w:ind w:firstLine="392"/>
        <w:jc w:val="both"/>
      </w:pPr>
      <w:r>
        <w:t>a)</w:t>
      </w:r>
      <w:r>
        <w:tab/>
      </w:r>
      <w:r w:rsidR="00351D2E" w:rsidRPr="00E939EA">
        <w:t>działa poprawnie;</w:t>
      </w:r>
    </w:p>
    <w:p w:rsidR="00351D2E" w:rsidRPr="00E939EA" w:rsidRDefault="00351D2E" w:rsidP="008C4B41">
      <w:pPr>
        <w:spacing w:line="360" w:lineRule="auto"/>
        <w:ind w:left="708" w:hanging="316"/>
        <w:jc w:val="both"/>
      </w:pPr>
      <w:r w:rsidRPr="00E939EA">
        <w:t>b)</w:t>
      </w:r>
      <w:r w:rsidR="003B79D3">
        <w:tab/>
      </w:r>
      <w:r w:rsidRPr="00E939EA">
        <w:t>prawidłowo rejestruje i przechowuje dane, i czy poprawne są parametry kalibracji.</w:t>
      </w:r>
    </w:p>
    <w:p w:rsidR="00351D2E" w:rsidRPr="00E939EA" w:rsidRDefault="00351D2E" w:rsidP="003B79D3">
      <w:pPr>
        <w:spacing w:before="120" w:line="360" w:lineRule="auto"/>
        <w:jc w:val="both"/>
      </w:pPr>
      <w:r w:rsidRPr="00E939EA">
        <w:t xml:space="preserve">Zgodnie z powyższymi przepisami funkcjonariusze służb kontrolnych są uprawnieni do polecenia zatwierdzonym warsztatom przeprowadzenia ww. badania i szczegółowych badań służących zbadaniu obecności urządzeń manipulacyjnych. W przypadku wykrycia urządzeń manipulacyjnych sprzęt ten, w tym samo urządzenie, przyrząd </w:t>
      </w:r>
      <w:r w:rsidRPr="00E939EA">
        <w:lastRenderedPageBreak/>
        <w:t>rejestrujący lub jego elementy oraz karta kierowcy m</w:t>
      </w:r>
      <w:r w:rsidR="008C4B41">
        <w:t>ogą zostać usunięte z pojazdu i </w:t>
      </w:r>
      <w:r w:rsidRPr="00E939EA">
        <w:t>wykorzystane jako dowód zgodnie z krajowymi przepisami dotyczącymi postępowania z takimi dowodami.</w:t>
      </w:r>
    </w:p>
    <w:p w:rsidR="00351D2E" w:rsidRPr="00E939EA" w:rsidRDefault="00351D2E" w:rsidP="003B79D3">
      <w:pPr>
        <w:spacing w:before="120" w:line="360" w:lineRule="auto"/>
        <w:jc w:val="both"/>
      </w:pPr>
      <w:r w:rsidRPr="00E939EA">
        <w:t>W celu realizacji powyższych praw zostało wprowadzone w art. 2</w:t>
      </w:r>
      <w:r w:rsidR="00794F3D" w:rsidRPr="00E939EA">
        <w:t>6</w:t>
      </w:r>
      <w:r w:rsidR="008C4B41">
        <w:t xml:space="preserve"> projektu ustawy o </w:t>
      </w:r>
      <w:r w:rsidRPr="00E939EA">
        <w:t>tachografach uprawnienie do skierowania pojazdu do warsztat</w:t>
      </w:r>
      <w:r w:rsidR="00794F3D" w:rsidRPr="00E939EA">
        <w:t>u</w:t>
      </w:r>
      <w:r w:rsidRPr="00E939EA">
        <w:t xml:space="preserve">, które to uprawnienie zostało powiązane z obowiązkiem </w:t>
      </w:r>
      <w:r w:rsidR="00794F3D" w:rsidRPr="00E939EA">
        <w:t xml:space="preserve">warsztatu </w:t>
      </w:r>
      <w:r w:rsidRPr="00E939EA">
        <w:t>do zapewnienia niezwłocznego sprawdzenia funkcjonowania tachografu lub podłączenia do niego urządzeń manipulacyjnych.</w:t>
      </w:r>
    </w:p>
    <w:p w:rsidR="00351D2E" w:rsidRPr="00E939EA" w:rsidRDefault="00351D2E" w:rsidP="003B79D3">
      <w:pPr>
        <w:spacing w:before="120" w:line="360" w:lineRule="auto"/>
        <w:jc w:val="both"/>
      </w:pPr>
      <w:r w:rsidRPr="00E939EA">
        <w:t>W przypadku stwierdzenia podłączenia do tachografu urządzeń manipulacyjnych lub innego manipulowania danymi rejestrowanymi prze</w:t>
      </w:r>
      <w:r w:rsidR="008C4B41">
        <w:t>z tachograf koszty związane ze </w:t>
      </w:r>
      <w:r w:rsidRPr="00E939EA">
        <w:t>sprawdzeniem tachografu ponosić będzie przewoźnik drogowy lub inny podmiot wykonujący przewozy drogowe, będący właścicielem lub użytkownikiem pojazdu samochodowego objętego obowiązkiem instalacji i użytkowania tachografu, o którym mowa w rozporządzeniu (UE) nr 165/2014. Natomiast w przypadku stwierdzenia braku podłączenia do tachografu urządzeń manipulacyjnych ani innego manipulowania danymi rejestrowanymi przez tachograf koszty związane ze sprawdzeniem tachografu ponosić będzie Skarb Państwa. Należy podkreślić, że</w:t>
      </w:r>
      <w:r w:rsidR="008C4B41">
        <w:t xml:space="preserve"> pojazdy </w:t>
      </w:r>
      <w:r w:rsidR="00081664">
        <w:t xml:space="preserve">będą </w:t>
      </w:r>
      <w:r w:rsidR="008C4B41">
        <w:t>kierowane tylko w </w:t>
      </w:r>
      <w:r w:rsidRPr="00E939EA">
        <w:t>przypadku uzasadnionego podejrzenia funkcjonariusza kontrolującego</w:t>
      </w:r>
      <w:r w:rsidR="009E7A6B" w:rsidRPr="00E939EA">
        <w:t xml:space="preserve">. </w:t>
      </w:r>
      <w:r w:rsidRPr="00E939EA">
        <w:t>Średniorocznie Inspekcja Transportu Drogowego wykrywa ok. 270 przypadków podłączenia niedozwolonego urządzenia do tachografu oraz ok. 380 przypadków samowolnej ingerencji w pracę tachografu (dane GITD).</w:t>
      </w:r>
    </w:p>
    <w:p w:rsidR="00B221E6" w:rsidRPr="00E939EA" w:rsidRDefault="009E7A6B" w:rsidP="003B79D3">
      <w:pPr>
        <w:pStyle w:val="USTustnpkodeksu"/>
        <w:spacing w:before="120"/>
        <w:ind w:firstLine="0"/>
        <w:rPr>
          <w:rFonts w:ascii="Times New Roman" w:hAnsi="Times New Roman" w:cs="Times New Roman"/>
          <w:szCs w:val="24"/>
        </w:rPr>
      </w:pPr>
      <w:r w:rsidRPr="00E939EA">
        <w:rPr>
          <w:rFonts w:ascii="Times New Roman" w:hAnsi="Times New Roman" w:cs="Times New Roman"/>
          <w:szCs w:val="24"/>
        </w:rPr>
        <w:t>Zgodnie z projektowanym art. 2</w:t>
      </w:r>
      <w:r w:rsidR="00794F3D" w:rsidRPr="00E939EA">
        <w:rPr>
          <w:rFonts w:ascii="Times New Roman" w:hAnsi="Times New Roman" w:cs="Times New Roman"/>
          <w:szCs w:val="24"/>
        </w:rPr>
        <w:t>6</w:t>
      </w:r>
      <w:r w:rsidRPr="00E939EA">
        <w:rPr>
          <w:rFonts w:ascii="Times New Roman" w:hAnsi="Times New Roman" w:cs="Times New Roman"/>
          <w:szCs w:val="24"/>
        </w:rPr>
        <w:t xml:space="preserve"> ust. </w:t>
      </w:r>
      <w:r w:rsidR="00794F3D" w:rsidRPr="00E939EA">
        <w:rPr>
          <w:rFonts w:ascii="Times New Roman" w:hAnsi="Times New Roman" w:cs="Times New Roman"/>
          <w:szCs w:val="24"/>
        </w:rPr>
        <w:t>5</w:t>
      </w:r>
      <w:r w:rsidRPr="00E939EA">
        <w:rPr>
          <w:rFonts w:ascii="Times New Roman" w:hAnsi="Times New Roman" w:cs="Times New Roman"/>
          <w:szCs w:val="24"/>
        </w:rPr>
        <w:t xml:space="preserve"> wysokość opłat za poszczególne czynności związane z przeprowadzeniem dodatkowych badań, o których mowa w art. 38 ust. 3 rozporządzenia (UE) nr 165/2014</w:t>
      </w:r>
      <w:r w:rsidR="000E5650">
        <w:rPr>
          <w:rFonts w:ascii="Times New Roman" w:hAnsi="Times New Roman" w:cs="Times New Roman"/>
          <w:szCs w:val="24"/>
        </w:rPr>
        <w:t>,</w:t>
      </w:r>
      <w:r w:rsidRPr="00E939EA">
        <w:rPr>
          <w:rFonts w:ascii="Times New Roman" w:hAnsi="Times New Roman" w:cs="Times New Roman"/>
          <w:szCs w:val="24"/>
        </w:rPr>
        <w:t xml:space="preserve"> i doprowadzeniem do prawidłowego działania badanego tachografu nie może być łącznie wyższa niż </w:t>
      </w:r>
      <w:r w:rsidR="00794F3D" w:rsidRPr="00E939EA">
        <w:rPr>
          <w:rFonts w:ascii="Times New Roman" w:hAnsi="Times New Roman" w:cs="Times New Roman"/>
          <w:szCs w:val="24"/>
        </w:rPr>
        <w:t>1</w:t>
      </w:r>
      <w:r w:rsidRPr="00E939EA">
        <w:rPr>
          <w:rFonts w:ascii="Times New Roman" w:hAnsi="Times New Roman" w:cs="Times New Roman"/>
          <w:szCs w:val="24"/>
        </w:rPr>
        <w:t xml:space="preserve">5 000 zł. Z informacji przedstawionych przez </w:t>
      </w:r>
      <w:r w:rsidR="00791068" w:rsidRPr="00E939EA">
        <w:rPr>
          <w:rFonts w:ascii="Times New Roman" w:hAnsi="Times New Roman" w:cs="Times New Roman"/>
          <w:szCs w:val="24"/>
        </w:rPr>
        <w:t>podmioty prowadzące działalność w zakresie sprawdzeń tachografów wynika, że koszt wszystkich czynności podejmowanych w zakresie sprawdzenia tachografu może wynieść od 1600 do 2900 zł, a koszt wszystkich czynności w zakresie dostosowania tachografu do wymagań od 10</w:t>
      </w:r>
      <w:r w:rsidR="0045589C">
        <w:rPr>
          <w:rFonts w:ascii="Times New Roman" w:hAnsi="Times New Roman" w:cs="Times New Roman"/>
          <w:szCs w:val="24"/>
        </w:rPr>
        <w:t xml:space="preserve"> </w:t>
      </w:r>
      <w:r w:rsidR="00791068" w:rsidRPr="00E939EA">
        <w:rPr>
          <w:rFonts w:ascii="Times New Roman" w:hAnsi="Times New Roman" w:cs="Times New Roman"/>
          <w:szCs w:val="24"/>
        </w:rPr>
        <w:t>000 zł do 13</w:t>
      </w:r>
      <w:r w:rsidR="0045589C">
        <w:rPr>
          <w:rFonts w:ascii="Times New Roman" w:hAnsi="Times New Roman" w:cs="Times New Roman"/>
          <w:szCs w:val="24"/>
        </w:rPr>
        <w:t xml:space="preserve"> </w:t>
      </w:r>
      <w:r w:rsidR="00791068" w:rsidRPr="00E939EA">
        <w:rPr>
          <w:rFonts w:ascii="Times New Roman" w:hAnsi="Times New Roman" w:cs="Times New Roman"/>
          <w:szCs w:val="24"/>
        </w:rPr>
        <w:t>500 zł. Przyjmując wartości maksymalne, wysokość opłat za wszystkie czynności nie powinna przekroczyć 16</w:t>
      </w:r>
      <w:r w:rsidR="0045589C">
        <w:rPr>
          <w:rFonts w:ascii="Times New Roman" w:hAnsi="Times New Roman" w:cs="Times New Roman"/>
          <w:szCs w:val="24"/>
        </w:rPr>
        <w:t xml:space="preserve"> </w:t>
      </w:r>
      <w:r w:rsidR="00791068" w:rsidRPr="00E939EA">
        <w:rPr>
          <w:rFonts w:ascii="Times New Roman" w:hAnsi="Times New Roman" w:cs="Times New Roman"/>
          <w:szCs w:val="24"/>
        </w:rPr>
        <w:t xml:space="preserve">400 zł. </w:t>
      </w:r>
      <w:r w:rsidR="00B221E6" w:rsidRPr="00E939EA">
        <w:rPr>
          <w:rFonts w:ascii="Times New Roman" w:hAnsi="Times New Roman" w:cs="Times New Roman"/>
          <w:szCs w:val="24"/>
        </w:rPr>
        <w:t xml:space="preserve">Zauważyć jednak należy, że nie powinny być wykonywane wszystkie czynności jednocześnie – wykonanie czynności np. dostosowania tachografu </w:t>
      </w:r>
      <w:r w:rsidR="00B221E6" w:rsidRPr="00E939EA">
        <w:rPr>
          <w:rFonts w:ascii="Times New Roman" w:hAnsi="Times New Roman" w:cs="Times New Roman"/>
          <w:szCs w:val="24"/>
        </w:rPr>
        <w:lastRenderedPageBreak/>
        <w:t>do wymagań powinno wykluczać wykonanie czynności np. dostosowania czujnika ruchu do wymagań. Przy założeniu racjonalności zlecanych czynności w ramach badań maksymalny koszt badania nie powinien przekroczyć 7000</w:t>
      </w:r>
      <w:r w:rsidR="0045589C">
        <w:rPr>
          <w:rFonts w:ascii="Times New Roman" w:hAnsi="Times New Roman" w:cs="Times New Roman"/>
          <w:szCs w:val="24"/>
        </w:rPr>
        <w:t xml:space="preserve"> </w:t>
      </w:r>
      <w:r w:rsidR="00B221E6" w:rsidRPr="00E939EA">
        <w:rPr>
          <w:rFonts w:ascii="Times New Roman" w:hAnsi="Times New Roman" w:cs="Times New Roman"/>
          <w:szCs w:val="24"/>
        </w:rPr>
        <w:t>zł. Przyjmując stosunek określonej stawki godzinowej za czas pracy pracownika administracji miar przy tachografach cyfrowych (200 zł) do maksymalnej stawki określonej w ustawie (350</w:t>
      </w:r>
      <w:r w:rsidR="0045589C">
        <w:rPr>
          <w:rFonts w:ascii="Times New Roman" w:hAnsi="Times New Roman" w:cs="Times New Roman"/>
          <w:szCs w:val="24"/>
        </w:rPr>
        <w:t xml:space="preserve"> </w:t>
      </w:r>
      <w:r w:rsidR="00B221E6" w:rsidRPr="00E939EA">
        <w:rPr>
          <w:rFonts w:ascii="Times New Roman" w:hAnsi="Times New Roman" w:cs="Times New Roman"/>
          <w:szCs w:val="24"/>
        </w:rPr>
        <w:t>zł), maksymalna wysokość opłat za czynności związane z przeprowadzeniem badań i</w:t>
      </w:r>
      <w:r w:rsidR="008C4B41">
        <w:rPr>
          <w:rFonts w:ascii="Times New Roman" w:hAnsi="Times New Roman" w:cs="Times New Roman"/>
          <w:szCs w:val="24"/>
        </w:rPr>
        <w:t> </w:t>
      </w:r>
      <w:r w:rsidR="00B221E6" w:rsidRPr="00E939EA">
        <w:rPr>
          <w:rFonts w:ascii="Times New Roman" w:hAnsi="Times New Roman" w:cs="Times New Roman"/>
          <w:szCs w:val="24"/>
        </w:rPr>
        <w:t>doprowadzeniem do prawidłowego działania badanego tachografu</w:t>
      </w:r>
      <w:r w:rsidR="008C4B41">
        <w:rPr>
          <w:rFonts w:ascii="Times New Roman" w:hAnsi="Times New Roman" w:cs="Times New Roman"/>
          <w:szCs w:val="24"/>
        </w:rPr>
        <w:t>, określona w </w:t>
      </w:r>
      <w:r w:rsidR="00B221E6" w:rsidRPr="00E939EA">
        <w:rPr>
          <w:rFonts w:ascii="Times New Roman" w:hAnsi="Times New Roman" w:cs="Times New Roman"/>
          <w:szCs w:val="24"/>
        </w:rPr>
        <w:t>ustawie</w:t>
      </w:r>
      <w:r w:rsidR="000E5650">
        <w:rPr>
          <w:rFonts w:ascii="Times New Roman" w:hAnsi="Times New Roman" w:cs="Times New Roman"/>
          <w:szCs w:val="24"/>
        </w:rPr>
        <w:t>,</w:t>
      </w:r>
      <w:r w:rsidR="00B221E6" w:rsidRPr="00E939EA">
        <w:rPr>
          <w:rFonts w:ascii="Times New Roman" w:hAnsi="Times New Roman" w:cs="Times New Roman"/>
          <w:szCs w:val="24"/>
        </w:rPr>
        <w:t xml:space="preserve"> powinna wynieść 12</w:t>
      </w:r>
      <w:r w:rsidR="0045589C">
        <w:rPr>
          <w:rFonts w:ascii="Times New Roman" w:hAnsi="Times New Roman" w:cs="Times New Roman"/>
          <w:szCs w:val="24"/>
        </w:rPr>
        <w:t xml:space="preserve"> </w:t>
      </w:r>
      <w:r w:rsidR="00B221E6" w:rsidRPr="00E939EA">
        <w:rPr>
          <w:rFonts w:ascii="Times New Roman" w:hAnsi="Times New Roman" w:cs="Times New Roman"/>
          <w:szCs w:val="24"/>
        </w:rPr>
        <w:t>250</w:t>
      </w:r>
      <w:r w:rsidR="0045589C">
        <w:rPr>
          <w:rFonts w:ascii="Times New Roman" w:hAnsi="Times New Roman" w:cs="Times New Roman"/>
          <w:szCs w:val="24"/>
        </w:rPr>
        <w:t xml:space="preserve"> </w:t>
      </w:r>
      <w:r w:rsidR="00B221E6" w:rsidRPr="00E939EA">
        <w:rPr>
          <w:rFonts w:ascii="Times New Roman" w:hAnsi="Times New Roman" w:cs="Times New Roman"/>
          <w:szCs w:val="24"/>
        </w:rPr>
        <w:t>zł. Różnica między 15</w:t>
      </w:r>
      <w:r w:rsidR="0045589C">
        <w:rPr>
          <w:rFonts w:ascii="Times New Roman" w:hAnsi="Times New Roman" w:cs="Times New Roman"/>
          <w:szCs w:val="24"/>
        </w:rPr>
        <w:t xml:space="preserve"> </w:t>
      </w:r>
      <w:r w:rsidR="00B221E6" w:rsidRPr="00E939EA">
        <w:rPr>
          <w:rFonts w:ascii="Times New Roman" w:hAnsi="Times New Roman" w:cs="Times New Roman"/>
          <w:szCs w:val="24"/>
        </w:rPr>
        <w:t>000 zł a 12</w:t>
      </w:r>
      <w:r w:rsidR="0045589C">
        <w:rPr>
          <w:rFonts w:ascii="Times New Roman" w:hAnsi="Times New Roman" w:cs="Times New Roman"/>
          <w:szCs w:val="24"/>
        </w:rPr>
        <w:t xml:space="preserve"> </w:t>
      </w:r>
      <w:r w:rsidR="00B221E6" w:rsidRPr="00E939EA">
        <w:rPr>
          <w:rFonts w:ascii="Times New Roman" w:hAnsi="Times New Roman" w:cs="Times New Roman"/>
          <w:szCs w:val="24"/>
        </w:rPr>
        <w:t>250 zł umożliwiłaby ewentualne podniesienie opłat be</w:t>
      </w:r>
      <w:r w:rsidR="008C4B41">
        <w:rPr>
          <w:rFonts w:ascii="Times New Roman" w:hAnsi="Times New Roman" w:cs="Times New Roman"/>
          <w:szCs w:val="24"/>
        </w:rPr>
        <w:t>z konieczności zmiany ustawy, w </w:t>
      </w:r>
      <w:r w:rsidR="00B221E6" w:rsidRPr="00E939EA">
        <w:rPr>
          <w:rFonts w:ascii="Times New Roman" w:hAnsi="Times New Roman" w:cs="Times New Roman"/>
          <w:szCs w:val="24"/>
        </w:rPr>
        <w:t>przypadku gdyby koszty sprawdzania tachografów inteligentnych, które jeszcze nie są dostępne na rynku (nieznane są koszty sprawdzeń i napraw tych tachograf</w:t>
      </w:r>
      <w:r w:rsidR="002931E3" w:rsidRPr="00E939EA">
        <w:rPr>
          <w:rFonts w:ascii="Times New Roman" w:hAnsi="Times New Roman" w:cs="Times New Roman"/>
          <w:szCs w:val="24"/>
        </w:rPr>
        <w:t>ó</w:t>
      </w:r>
      <w:r w:rsidR="00B221E6" w:rsidRPr="00E939EA">
        <w:rPr>
          <w:rFonts w:ascii="Times New Roman" w:hAnsi="Times New Roman" w:cs="Times New Roman"/>
          <w:szCs w:val="24"/>
        </w:rPr>
        <w:t xml:space="preserve">w), były znacznie wyższe niż obecnie dostępnych tachografów. </w:t>
      </w:r>
    </w:p>
    <w:p w:rsidR="00D0569C" w:rsidRPr="00E939EA" w:rsidRDefault="00791068" w:rsidP="003B79D3">
      <w:pPr>
        <w:pStyle w:val="USTustnpkodeksu"/>
        <w:spacing w:before="120"/>
        <w:ind w:firstLine="0"/>
        <w:rPr>
          <w:rFonts w:ascii="Times New Roman" w:hAnsi="Times New Roman" w:cs="Times New Roman"/>
          <w:szCs w:val="24"/>
        </w:rPr>
      </w:pPr>
      <w:r w:rsidRPr="00E939EA">
        <w:rPr>
          <w:rFonts w:ascii="Times New Roman" w:hAnsi="Times New Roman" w:cs="Times New Roman"/>
          <w:szCs w:val="24"/>
        </w:rPr>
        <w:t xml:space="preserve">Podkreślić jednak należy, że zlecenia dokonania badań </w:t>
      </w:r>
      <w:r w:rsidR="00003CDF" w:rsidRPr="00E939EA">
        <w:rPr>
          <w:rFonts w:ascii="Times New Roman" w:hAnsi="Times New Roman" w:cs="Times New Roman"/>
          <w:szCs w:val="24"/>
        </w:rPr>
        <w:t>w</w:t>
      </w:r>
      <w:r w:rsidR="0045589C">
        <w:rPr>
          <w:rFonts w:ascii="Times New Roman" w:hAnsi="Times New Roman" w:cs="Times New Roman"/>
          <w:szCs w:val="24"/>
        </w:rPr>
        <w:t xml:space="preserve"> </w:t>
      </w:r>
      <w:r w:rsidR="00003CDF" w:rsidRPr="00E939EA">
        <w:rPr>
          <w:rFonts w:ascii="Times New Roman" w:hAnsi="Times New Roman" w:cs="Times New Roman"/>
          <w:szCs w:val="24"/>
        </w:rPr>
        <w:t xml:space="preserve">większości przypadków </w:t>
      </w:r>
      <w:r w:rsidRPr="00E939EA">
        <w:rPr>
          <w:rFonts w:ascii="Times New Roman" w:hAnsi="Times New Roman" w:cs="Times New Roman"/>
          <w:szCs w:val="24"/>
        </w:rPr>
        <w:t xml:space="preserve">dotyczyć </w:t>
      </w:r>
      <w:r w:rsidR="00F97BBE" w:rsidRPr="00E939EA">
        <w:rPr>
          <w:rFonts w:ascii="Times New Roman" w:hAnsi="Times New Roman" w:cs="Times New Roman"/>
          <w:szCs w:val="24"/>
        </w:rPr>
        <w:t xml:space="preserve">będą </w:t>
      </w:r>
      <w:r w:rsidR="00003CDF" w:rsidRPr="00E939EA">
        <w:rPr>
          <w:rFonts w:ascii="Times New Roman" w:hAnsi="Times New Roman" w:cs="Times New Roman"/>
          <w:szCs w:val="24"/>
        </w:rPr>
        <w:t>ty</w:t>
      </w:r>
      <w:r w:rsidR="00AE1A88" w:rsidRPr="00E939EA">
        <w:rPr>
          <w:rFonts w:ascii="Times New Roman" w:hAnsi="Times New Roman" w:cs="Times New Roman"/>
          <w:szCs w:val="24"/>
        </w:rPr>
        <w:t>l</w:t>
      </w:r>
      <w:r w:rsidR="00003CDF" w:rsidRPr="00E939EA">
        <w:rPr>
          <w:rFonts w:ascii="Times New Roman" w:hAnsi="Times New Roman" w:cs="Times New Roman"/>
          <w:szCs w:val="24"/>
        </w:rPr>
        <w:t xml:space="preserve">ko </w:t>
      </w:r>
      <w:r w:rsidRPr="00E939EA">
        <w:rPr>
          <w:rFonts w:ascii="Times New Roman" w:hAnsi="Times New Roman" w:cs="Times New Roman"/>
          <w:szCs w:val="24"/>
        </w:rPr>
        <w:t xml:space="preserve">określonych czynności, </w:t>
      </w:r>
      <w:r w:rsidR="00003CDF" w:rsidRPr="00E939EA">
        <w:rPr>
          <w:rFonts w:ascii="Times New Roman" w:hAnsi="Times New Roman" w:cs="Times New Roman"/>
          <w:szCs w:val="24"/>
        </w:rPr>
        <w:t xml:space="preserve">wobec czego opłaty ponoszone z tego tytułu będą znacznie niższe od przyjętej maksymalnej kwoty opłat za wykonanie wszystkich czynności. </w:t>
      </w:r>
      <w:r w:rsidR="00F85CFE" w:rsidRPr="00E939EA">
        <w:rPr>
          <w:rFonts w:ascii="Times New Roman" w:hAnsi="Times New Roman" w:cs="Times New Roman"/>
          <w:szCs w:val="24"/>
        </w:rPr>
        <w:t xml:space="preserve">Dla oszacowania OSR przyjęto, że </w:t>
      </w:r>
      <w:r w:rsidR="00B221E6" w:rsidRPr="00E939EA">
        <w:rPr>
          <w:rFonts w:ascii="Times New Roman" w:hAnsi="Times New Roman" w:cs="Times New Roman"/>
          <w:szCs w:val="24"/>
        </w:rPr>
        <w:t>o</w:t>
      </w:r>
      <w:r w:rsidR="00003CDF" w:rsidRPr="00E939EA">
        <w:rPr>
          <w:rFonts w:ascii="Times New Roman" w:hAnsi="Times New Roman" w:cs="Times New Roman"/>
          <w:szCs w:val="24"/>
        </w:rPr>
        <w:t xml:space="preserve">płaty te </w:t>
      </w:r>
      <w:r w:rsidR="00B221E6" w:rsidRPr="00E939EA">
        <w:rPr>
          <w:rFonts w:ascii="Times New Roman" w:hAnsi="Times New Roman" w:cs="Times New Roman"/>
          <w:szCs w:val="24"/>
        </w:rPr>
        <w:t xml:space="preserve">w większości </w:t>
      </w:r>
      <w:r w:rsidR="00003CDF" w:rsidRPr="00E939EA">
        <w:rPr>
          <w:rFonts w:ascii="Times New Roman" w:hAnsi="Times New Roman" w:cs="Times New Roman"/>
          <w:szCs w:val="24"/>
        </w:rPr>
        <w:t>mogą</w:t>
      </w:r>
      <w:r w:rsidR="005B1C92" w:rsidRPr="00E939EA">
        <w:rPr>
          <w:rFonts w:ascii="Times New Roman" w:hAnsi="Times New Roman" w:cs="Times New Roman"/>
          <w:szCs w:val="24"/>
        </w:rPr>
        <w:t xml:space="preserve"> </w:t>
      </w:r>
      <w:r w:rsidR="00003CDF" w:rsidRPr="00E939EA">
        <w:rPr>
          <w:rFonts w:ascii="Times New Roman" w:hAnsi="Times New Roman" w:cs="Times New Roman"/>
          <w:szCs w:val="24"/>
        </w:rPr>
        <w:t xml:space="preserve">wynosić od </w:t>
      </w:r>
      <w:r w:rsidR="00F85CFE" w:rsidRPr="00E939EA">
        <w:rPr>
          <w:rFonts w:ascii="Times New Roman" w:hAnsi="Times New Roman" w:cs="Times New Roman"/>
          <w:szCs w:val="24"/>
        </w:rPr>
        <w:t>600</w:t>
      </w:r>
      <w:r w:rsidR="00003CDF" w:rsidRPr="00E939EA">
        <w:rPr>
          <w:rFonts w:ascii="Times New Roman" w:hAnsi="Times New Roman" w:cs="Times New Roman"/>
          <w:szCs w:val="24"/>
        </w:rPr>
        <w:t xml:space="preserve"> do </w:t>
      </w:r>
      <w:r w:rsidR="00F85CFE" w:rsidRPr="00E939EA">
        <w:rPr>
          <w:rFonts w:ascii="Times New Roman" w:hAnsi="Times New Roman" w:cs="Times New Roman"/>
          <w:szCs w:val="24"/>
        </w:rPr>
        <w:t>50</w:t>
      </w:r>
      <w:r w:rsidR="00B221E6" w:rsidRPr="00E939EA">
        <w:rPr>
          <w:rFonts w:ascii="Times New Roman" w:hAnsi="Times New Roman" w:cs="Times New Roman"/>
          <w:szCs w:val="24"/>
        </w:rPr>
        <w:t>00</w:t>
      </w:r>
      <w:r w:rsidR="008C4B41">
        <w:rPr>
          <w:rFonts w:ascii="Times New Roman" w:hAnsi="Times New Roman" w:cs="Times New Roman"/>
          <w:szCs w:val="24"/>
        </w:rPr>
        <w:t xml:space="preserve"> </w:t>
      </w:r>
      <w:r w:rsidR="00003CDF" w:rsidRPr="00E939EA">
        <w:rPr>
          <w:rFonts w:ascii="Times New Roman" w:hAnsi="Times New Roman" w:cs="Times New Roman"/>
          <w:szCs w:val="24"/>
        </w:rPr>
        <w:t xml:space="preserve">zł. </w:t>
      </w:r>
    </w:p>
    <w:p w:rsidR="00D0569C" w:rsidRPr="00E939EA" w:rsidRDefault="00D0569C" w:rsidP="003B79D3">
      <w:pPr>
        <w:pStyle w:val="USTustnpkodeksu"/>
        <w:spacing w:before="120"/>
        <w:ind w:firstLine="0"/>
        <w:rPr>
          <w:rFonts w:ascii="Times New Roman" w:hAnsi="Times New Roman" w:cs="Times New Roman"/>
          <w:szCs w:val="24"/>
        </w:rPr>
      </w:pPr>
      <w:r w:rsidRPr="00E939EA">
        <w:rPr>
          <w:rFonts w:ascii="Times New Roman" w:hAnsi="Times New Roman" w:cs="Times New Roman"/>
          <w:szCs w:val="24"/>
        </w:rPr>
        <w:t xml:space="preserve">Prezes Głównego </w:t>
      </w:r>
      <w:r w:rsidR="00AE1A88" w:rsidRPr="00E939EA">
        <w:rPr>
          <w:rFonts w:ascii="Times New Roman" w:hAnsi="Times New Roman" w:cs="Times New Roman"/>
          <w:szCs w:val="24"/>
        </w:rPr>
        <w:t>U</w:t>
      </w:r>
      <w:r w:rsidRPr="00E939EA">
        <w:rPr>
          <w:rFonts w:ascii="Times New Roman" w:hAnsi="Times New Roman" w:cs="Times New Roman"/>
          <w:szCs w:val="24"/>
        </w:rPr>
        <w:t>rzędu Miar</w:t>
      </w:r>
      <w:r w:rsidR="000E5650">
        <w:rPr>
          <w:rFonts w:ascii="Times New Roman" w:hAnsi="Times New Roman" w:cs="Times New Roman"/>
          <w:szCs w:val="24"/>
        </w:rPr>
        <w:t>,</w:t>
      </w:r>
      <w:r w:rsidRPr="00E939EA">
        <w:rPr>
          <w:rFonts w:ascii="Times New Roman" w:hAnsi="Times New Roman" w:cs="Times New Roman"/>
          <w:szCs w:val="24"/>
        </w:rPr>
        <w:t xml:space="preserve"> realizując zadania </w:t>
      </w:r>
      <w:r w:rsidR="008C4B41">
        <w:rPr>
          <w:rFonts w:ascii="Times New Roman" w:hAnsi="Times New Roman" w:cs="Times New Roman"/>
          <w:szCs w:val="24"/>
        </w:rPr>
        <w:t>publiczne na podstawie ustawy o </w:t>
      </w:r>
      <w:r w:rsidRPr="00E939EA">
        <w:rPr>
          <w:rFonts w:ascii="Times New Roman" w:hAnsi="Times New Roman" w:cs="Times New Roman"/>
          <w:szCs w:val="24"/>
        </w:rPr>
        <w:t>tachografach</w:t>
      </w:r>
      <w:r w:rsidR="000E5650">
        <w:rPr>
          <w:rFonts w:ascii="Times New Roman" w:hAnsi="Times New Roman" w:cs="Times New Roman"/>
          <w:szCs w:val="24"/>
        </w:rPr>
        <w:t>,</w:t>
      </w:r>
      <w:r w:rsidRPr="00E939EA">
        <w:rPr>
          <w:rFonts w:ascii="Times New Roman" w:hAnsi="Times New Roman" w:cs="Times New Roman"/>
          <w:szCs w:val="24"/>
        </w:rPr>
        <w:t xml:space="preserve"> </w:t>
      </w:r>
      <w:r w:rsidR="00F97BBE">
        <w:rPr>
          <w:rFonts w:ascii="Times New Roman" w:hAnsi="Times New Roman" w:cs="Times New Roman"/>
          <w:szCs w:val="24"/>
        </w:rPr>
        <w:t xml:space="preserve">będzie </w:t>
      </w:r>
      <w:r w:rsidRPr="00E939EA">
        <w:rPr>
          <w:rFonts w:ascii="Times New Roman" w:hAnsi="Times New Roman" w:cs="Times New Roman"/>
          <w:szCs w:val="24"/>
        </w:rPr>
        <w:t>przetwarza</w:t>
      </w:r>
      <w:r w:rsidR="00F97BBE">
        <w:rPr>
          <w:rFonts w:ascii="Times New Roman" w:hAnsi="Times New Roman" w:cs="Times New Roman"/>
          <w:szCs w:val="24"/>
        </w:rPr>
        <w:t>ć</w:t>
      </w:r>
      <w:r w:rsidRPr="00E939EA">
        <w:rPr>
          <w:rFonts w:ascii="Times New Roman" w:hAnsi="Times New Roman" w:cs="Times New Roman"/>
          <w:szCs w:val="24"/>
        </w:rPr>
        <w:t xml:space="preserve"> dane techników warsztatu, podmiotów posiadających zezwolenie oraz podmiotów szkolących</w:t>
      </w:r>
      <w:r w:rsidR="000E5650">
        <w:rPr>
          <w:rFonts w:ascii="Times New Roman" w:hAnsi="Times New Roman" w:cs="Times New Roman"/>
          <w:szCs w:val="24"/>
        </w:rPr>
        <w:t>,</w:t>
      </w:r>
      <w:r w:rsidR="00AE1A88" w:rsidRPr="00E939EA">
        <w:rPr>
          <w:rFonts w:ascii="Times New Roman" w:hAnsi="Times New Roman" w:cs="Times New Roman"/>
          <w:szCs w:val="24"/>
        </w:rPr>
        <w:t xml:space="preserve"> z uwzględnieniem </w:t>
      </w:r>
      <w:r w:rsidRPr="00E939EA">
        <w:rPr>
          <w:rFonts w:ascii="Times New Roman" w:hAnsi="Times New Roman" w:cs="Times New Roman"/>
          <w:szCs w:val="24"/>
        </w:rPr>
        <w:t xml:space="preserve">rozporządzenia </w:t>
      </w:r>
      <w:r w:rsidR="00AE1A88" w:rsidRPr="00E939EA">
        <w:rPr>
          <w:rFonts w:ascii="Times New Roman" w:hAnsi="Times New Roman" w:cs="Times New Roman"/>
          <w:szCs w:val="24"/>
        </w:rPr>
        <w:t>Parlamentu Europejskiego i Rady (UE) 2016/679 z dnia 27 kwietnia 2016 r. w sprawie ochrony osób fizycznych w związku z przetwarzaniem danych osobowych i w sprawie swobodnego przepływu takich danych oraz uchylenia dyrektywy 95/46/WE (Dz. Urz. UE L 119 z 04.05.2016, str. 1)</w:t>
      </w:r>
      <w:r w:rsidRPr="00E939EA">
        <w:rPr>
          <w:rFonts w:ascii="Times New Roman" w:hAnsi="Times New Roman" w:cs="Times New Roman"/>
          <w:szCs w:val="24"/>
        </w:rPr>
        <w:t>.</w:t>
      </w:r>
      <w:r w:rsidR="0045589C">
        <w:rPr>
          <w:rFonts w:ascii="Times New Roman" w:hAnsi="Times New Roman" w:cs="Times New Roman"/>
          <w:szCs w:val="24"/>
        </w:rPr>
        <w:t xml:space="preserve"> </w:t>
      </w:r>
    </w:p>
    <w:p w:rsidR="005B1C92" w:rsidRPr="00E939EA" w:rsidRDefault="00FB49DA" w:rsidP="003B79D3">
      <w:pPr>
        <w:spacing w:before="120" w:line="360" w:lineRule="auto"/>
        <w:jc w:val="both"/>
      </w:pPr>
      <w:r w:rsidRPr="00E939EA">
        <w:t>W rozdziale 4 (art. 28–</w:t>
      </w:r>
      <w:r w:rsidR="005B1C92" w:rsidRPr="00E939EA">
        <w:t>3</w:t>
      </w:r>
      <w:r w:rsidRPr="00E939EA">
        <w:t xml:space="preserve">9) </w:t>
      </w:r>
      <w:r w:rsidR="005B1C92" w:rsidRPr="00E939EA">
        <w:t>określa się wymagania dla techników warsztatu</w:t>
      </w:r>
      <w:r w:rsidR="00430EF6" w:rsidRPr="00E939EA">
        <w:t>, którzy są uprawnieni do dokonywania instalacji, sprawdzania, przeglądów i napraw tachografów. Warunkiem posiadania uprawnienia technika warsztatu jest posiadanie</w:t>
      </w:r>
      <w:r w:rsidR="000E5650">
        <w:t>,</w:t>
      </w:r>
      <w:r w:rsidR="00430EF6" w:rsidRPr="00E939EA">
        <w:t xml:space="preserve"> wydawanego przez Prezesa GUM, certyfikatu technika warsztat</w:t>
      </w:r>
      <w:r w:rsidR="008C4B41">
        <w:t>u. Certyfikat wydawany będzie w </w:t>
      </w:r>
      <w:r w:rsidR="00430EF6" w:rsidRPr="00E939EA">
        <w:t>zakresie tachografów analogowych lub cyfrowych.</w:t>
      </w:r>
      <w:r w:rsidR="0045589C">
        <w:t xml:space="preserve"> </w:t>
      </w:r>
    </w:p>
    <w:p w:rsidR="005B1C92" w:rsidRPr="00E939EA" w:rsidRDefault="00430EF6" w:rsidP="003B79D3">
      <w:pPr>
        <w:spacing w:before="120" w:line="360" w:lineRule="auto"/>
        <w:jc w:val="both"/>
      </w:pPr>
      <w:r w:rsidRPr="00E939EA">
        <w:t>W projekcie określa się wymagania, które muszą być spełnione, aby taki certyfikat uzyskać.</w:t>
      </w:r>
      <w:r w:rsidR="0045589C">
        <w:t xml:space="preserve"> </w:t>
      </w:r>
      <w:r w:rsidRPr="00E939EA">
        <w:t xml:space="preserve">Podstawowymi wymaganiami będą: </w:t>
      </w:r>
    </w:p>
    <w:p w:rsidR="00430EF6" w:rsidRPr="00E939EA" w:rsidRDefault="003B79D3" w:rsidP="003B79D3">
      <w:pPr>
        <w:tabs>
          <w:tab w:val="left" w:pos="426"/>
        </w:tabs>
        <w:spacing w:line="360" w:lineRule="auto"/>
        <w:ind w:left="426" w:hanging="426"/>
        <w:jc w:val="both"/>
      </w:pPr>
      <w:r>
        <w:lastRenderedPageBreak/>
        <w:t>1)</w:t>
      </w:r>
      <w:r>
        <w:tab/>
      </w:r>
      <w:r w:rsidR="00430EF6" w:rsidRPr="00E939EA">
        <w:t xml:space="preserve">ukończenie szkolenia z zakresu instalacji, sprawdzania, przeglądów i napraw tachografów analogowych lub cyfrowych, </w:t>
      </w:r>
    </w:p>
    <w:p w:rsidR="00430EF6" w:rsidRPr="00E939EA" w:rsidRDefault="003B79D3" w:rsidP="003B79D3">
      <w:pPr>
        <w:tabs>
          <w:tab w:val="left" w:pos="426"/>
        </w:tabs>
        <w:spacing w:line="360" w:lineRule="auto"/>
        <w:ind w:left="426" w:hanging="426"/>
        <w:jc w:val="both"/>
      </w:pPr>
      <w:r>
        <w:t>2)</w:t>
      </w:r>
      <w:r>
        <w:tab/>
      </w:r>
      <w:r w:rsidR="00430EF6" w:rsidRPr="00E939EA">
        <w:t xml:space="preserve">zdanie egzaminu z zakresu sprawdzania i przeglądów tachografów analogowych lub cyfrowych, przed powołaną przez Prezesa GUM komisją egzaminacyjną. </w:t>
      </w:r>
    </w:p>
    <w:p w:rsidR="002A3517" w:rsidRPr="00E939EA" w:rsidRDefault="00430EF6" w:rsidP="003B79D3">
      <w:pPr>
        <w:spacing w:before="120" w:line="360" w:lineRule="auto"/>
        <w:jc w:val="both"/>
      </w:pPr>
      <w:r w:rsidRPr="00E939EA">
        <w:t xml:space="preserve">W projekcie określa się obowiązki technika warsztatu. Jednym z tych obowiązków jest </w:t>
      </w:r>
      <w:r w:rsidR="002A3517" w:rsidRPr="00E939EA">
        <w:t xml:space="preserve">uczestniczenie w okresowych szkoleniach z zakresu instalacji, sprawdzania, przeglądów i napraw tachografów analogowych lub cyfrowych. </w:t>
      </w:r>
      <w:r w:rsidR="008C4B41">
        <w:t>W przypadku nieuczestniczenia w </w:t>
      </w:r>
      <w:r w:rsidR="002A3517" w:rsidRPr="00E939EA">
        <w:t xml:space="preserve">takich szkoleniach certyfikat technika warsztatu będzie zawieszany </w:t>
      </w:r>
      <w:r w:rsidR="000E5650">
        <w:t xml:space="preserve">przez </w:t>
      </w:r>
      <w:r w:rsidR="002A3517" w:rsidRPr="00E939EA">
        <w:t xml:space="preserve">Prezesa GUM, do czasu przedłożenia zaświadczenia o ukończeniu okresowego szkolenia. </w:t>
      </w:r>
    </w:p>
    <w:p w:rsidR="005B1C92" w:rsidRPr="00E939EA" w:rsidRDefault="002A3517" w:rsidP="003B79D3">
      <w:pPr>
        <w:spacing w:before="120" w:line="360" w:lineRule="auto"/>
        <w:jc w:val="both"/>
      </w:pPr>
      <w:r w:rsidRPr="00E939EA">
        <w:t xml:space="preserve">Pozostałe obowiązki mają na celu zapewnienie prawidłowego wykonywania czynności instalacji, sprawdzania, przeglądów i napraw tachografów. W przypadku </w:t>
      </w:r>
      <w:r w:rsidR="003443CE" w:rsidRPr="00E939EA">
        <w:t>naruszenia tych obowiązków</w:t>
      </w:r>
      <w:r w:rsidR="00F97BBE">
        <w:t>,</w:t>
      </w:r>
      <w:r w:rsidR="003443CE" w:rsidRPr="00E939EA">
        <w:t xml:space="preserve"> Prezes GUM cofa certyfikat technika warsztatu. </w:t>
      </w:r>
    </w:p>
    <w:p w:rsidR="00C8246B" w:rsidRPr="00E939EA" w:rsidRDefault="003443CE" w:rsidP="003B79D3">
      <w:pPr>
        <w:spacing w:before="120" w:line="360" w:lineRule="auto"/>
        <w:jc w:val="both"/>
      </w:pPr>
      <w:r w:rsidRPr="00E939EA">
        <w:t xml:space="preserve">W projekcie określa się wymagania dla podmiotów szkolących techników warsztatu. Podmioty te </w:t>
      </w:r>
      <w:r w:rsidR="00F97BBE" w:rsidRPr="00E939EA">
        <w:t xml:space="preserve">mają </w:t>
      </w:r>
      <w:r w:rsidRPr="00E939EA">
        <w:t xml:space="preserve">podlegać certyfikacji dokonywanej przez Prezesa GUM i jego kontroli. </w:t>
      </w:r>
      <w:r w:rsidR="00C8246B" w:rsidRPr="00E939EA">
        <w:t>Certyfikat będzie wydawany na okres 3 lat przedsiębiorcy, który:</w:t>
      </w:r>
    </w:p>
    <w:p w:rsidR="00820008" w:rsidRPr="00E939EA" w:rsidRDefault="00C8246B" w:rsidP="003B79D3">
      <w:pPr>
        <w:numPr>
          <w:ilvl w:val="0"/>
          <w:numId w:val="26"/>
        </w:numPr>
        <w:spacing w:line="360" w:lineRule="auto"/>
        <w:ind w:left="426" w:hanging="426"/>
        <w:jc w:val="both"/>
      </w:pPr>
      <w:r w:rsidRPr="00E939EA">
        <w:t>nie był prawomocnie skazany za przestępstw</w:t>
      </w:r>
      <w:r w:rsidR="000E5650">
        <w:t>a</w:t>
      </w:r>
      <w:r w:rsidRPr="00E939EA">
        <w:t xml:space="preserve">, </w:t>
      </w:r>
      <w:r w:rsidR="00820008" w:rsidRPr="00E939EA">
        <w:t>o kt</w:t>
      </w:r>
      <w:r w:rsidR="008C4B41">
        <w:t>órych mowa w art. 11 ust. 2 pkt </w:t>
      </w:r>
      <w:r w:rsidR="00820008" w:rsidRPr="00E939EA">
        <w:t>3 lit. a</w:t>
      </w:r>
      <w:r w:rsidR="00F97BBE">
        <w:t xml:space="preserve"> projektu</w:t>
      </w:r>
      <w:r w:rsidR="000E5650">
        <w:t>,</w:t>
      </w:r>
    </w:p>
    <w:p w:rsidR="00C8246B" w:rsidRPr="00E939EA" w:rsidRDefault="00C8246B" w:rsidP="003B79D3">
      <w:pPr>
        <w:numPr>
          <w:ilvl w:val="0"/>
          <w:numId w:val="26"/>
        </w:numPr>
        <w:spacing w:line="360" w:lineRule="auto"/>
        <w:ind w:left="426" w:hanging="426"/>
        <w:jc w:val="both"/>
      </w:pPr>
      <w:r w:rsidRPr="00E939EA">
        <w:t>posiada wyposażenie dydaktyczne zapewniające właściwe przeprowadzenie szkolenia podstawowego i szkolenia okresowego,</w:t>
      </w:r>
    </w:p>
    <w:p w:rsidR="00C8246B" w:rsidRPr="00E939EA" w:rsidRDefault="00C8246B" w:rsidP="003B79D3">
      <w:pPr>
        <w:numPr>
          <w:ilvl w:val="0"/>
          <w:numId w:val="26"/>
        </w:numPr>
        <w:spacing w:line="360" w:lineRule="auto"/>
        <w:ind w:left="426" w:hanging="426"/>
        <w:jc w:val="both"/>
      </w:pPr>
      <w:r w:rsidRPr="00E939EA">
        <w:t>zatrudnia co najmniej jednego wykładowcę lub sam jest wykładowcą spełniającym odpowiednie wymagania,</w:t>
      </w:r>
    </w:p>
    <w:p w:rsidR="00C8246B" w:rsidRPr="00E939EA" w:rsidRDefault="00C8246B" w:rsidP="003B79D3">
      <w:pPr>
        <w:numPr>
          <w:ilvl w:val="0"/>
          <w:numId w:val="26"/>
        </w:numPr>
        <w:spacing w:line="360" w:lineRule="auto"/>
        <w:ind w:left="426" w:hanging="426"/>
        <w:jc w:val="both"/>
      </w:pPr>
      <w:r w:rsidRPr="00E939EA">
        <w:t xml:space="preserve">posiada szczegółowe programy szkoleń podstawowych i szkoleń okresowych oraz właściwe warunki organizacji tych szkoleń. </w:t>
      </w:r>
    </w:p>
    <w:p w:rsidR="00C8246B" w:rsidRPr="00E939EA" w:rsidRDefault="00C8246B" w:rsidP="003B79D3">
      <w:pPr>
        <w:spacing w:before="120" w:line="360" w:lineRule="auto"/>
        <w:jc w:val="both"/>
      </w:pPr>
      <w:r w:rsidRPr="00E939EA">
        <w:t>Podmiot szkolący będzie wyda</w:t>
      </w:r>
      <w:r w:rsidR="000E5650">
        <w:t>wa</w:t>
      </w:r>
      <w:r w:rsidRPr="00E939EA">
        <w:t>ć zaświadczenie o ukoń</w:t>
      </w:r>
      <w:r w:rsidR="00B71D80">
        <w:t xml:space="preserve">czeniu szkolenia podstawowego i </w:t>
      </w:r>
      <w:r w:rsidRPr="00E939EA">
        <w:t>szkolenia okresowego, zgodne ze wzorami, określonymi w akcie wykonawczym</w:t>
      </w:r>
      <w:r w:rsidR="000E5650">
        <w:t>,</w:t>
      </w:r>
      <w:r w:rsidRPr="00E939EA">
        <w:t xml:space="preserve"> oraz przekazywać stosowną informację</w:t>
      </w:r>
      <w:r w:rsidR="0045589C">
        <w:t xml:space="preserve"> </w:t>
      </w:r>
      <w:r w:rsidRPr="00E939EA">
        <w:t>Prezesowi GUM.</w:t>
      </w:r>
    </w:p>
    <w:p w:rsidR="004044C8" w:rsidRPr="00E939EA" w:rsidRDefault="003443CE" w:rsidP="003B79D3">
      <w:pPr>
        <w:spacing w:line="360" w:lineRule="auto"/>
        <w:jc w:val="both"/>
      </w:pPr>
      <w:r w:rsidRPr="00E939EA">
        <w:t xml:space="preserve">W rozdziale 5 (art. 40–41) </w:t>
      </w:r>
      <w:r w:rsidR="00FB49DA" w:rsidRPr="00E939EA">
        <w:t xml:space="preserve">dotyczącym opłat za czynności organów administracji miar wskazano </w:t>
      </w:r>
      <w:r w:rsidRPr="00E939EA">
        <w:t>czynności</w:t>
      </w:r>
      <w:r w:rsidR="000E5650">
        <w:t>,</w:t>
      </w:r>
      <w:r w:rsidRPr="00E939EA">
        <w:t xml:space="preserve"> za które pobiera się opłaty</w:t>
      </w:r>
      <w:r w:rsidR="000E5650">
        <w:t>,</w:t>
      </w:r>
      <w:r w:rsidRPr="00E939EA">
        <w:t xml:space="preserve"> i </w:t>
      </w:r>
      <w:r w:rsidR="00FB49DA" w:rsidRPr="00E939EA">
        <w:t>maksymalne wysokości tych opłat.</w:t>
      </w:r>
      <w:r w:rsidR="004044C8" w:rsidRPr="00E939EA">
        <w:t xml:space="preserve"> Opłatę pobiera się za:</w:t>
      </w:r>
    </w:p>
    <w:p w:rsidR="004044C8" w:rsidRPr="00E939EA" w:rsidRDefault="004044C8" w:rsidP="003B79D3">
      <w:pPr>
        <w:tabs>
          <w:tab w:val="left" w:pos="426"/>
        </w:tabs>
        <w:spacing w:line="360" w:lineRule="auto"/>
        <w:jc w:val="both"/>
      </w:pPr>
      <w:r w:rsidRPr="00E939EA">
        <w:t>1)</w:t>
      </w:r>
      <w:r w:rsidRPr="00E939EA">
        <w:tab/>
        <w:t xml:space="preserve">wydanie </w:t>
      </w:r>
      <w:r w:rsidR="005139BC" w:rsidRPr="00E939EA">
        <w:t xml:space="preserve">i odmowę wydania </w:t>
      </w:r>
      <w:r w:rsidRPr="00E939EA">
        <w:t>świadectwa funkcjonalności;</w:t>
      </w:r>
    </w:p>
    <w:p w:rsidR="004044C8" w:rsidRPr="00E939EA" w:rsidRDefault="004044C8" w:rsidP="003B79D3">
      <w:pPr>
        <w:tabs>
          <w:tab w:val="left" w:pos="426"/>
        </w:tabs>
        <w:spacing w:line="360" w:lineRule="auto"/>
        <w:jc w:val="both"/>
      </w:pPr>
      <w:r w:rsidRPr="00E939EA">
        <w:t>2)</w:t>
      </w:r>
      <w:r w:rsidRPr="00E939EA">
        <w:tab/>
        <w:t>wydanie</w:t>
      </w:r>
      <w:r w:rsidR="005139BC" w:rsidRPr="00E939EA">
        <w:t>,</w:t>
      </w:r>
      <w:r w:rsidRPr="00E939EA">
        <w:t xml:space="preserve"> </w:t>
      </w:r>
      <w:r w:rsidR="005139BC" w:rsidRPr="00E939EA">
        <w:t xml:space="preserve">zmianę i odmowę wydania świadectwa </w:t>
      </w:r>
      <w:r w:rsidRPr="00E939EA">
        <w:t>homologacji typu;</w:t>
      </w:r>
    </w:p>
    <w:p w:rsidR="004044C8" w:rsidRPr="00E939EA" w:rsidRDefault="004044C8" w:rsidP="003B79D3">
      <w:pPr>
        <w:tabs>
          <w:tab w:val="left" w:pos="426"/>
        </w:tabs>
        <w:spacing w:line="360" w:lineRule="auto"/>
        <w:jc w:val="both"/>
      </w:pPr>
      <w:r w:rsidRPr="00E939EA">
        <w:t>3)</w:t>
      </w:r>
      <w:r w:rsidRPr="00E939EA">
        <w:tab/>
        <w:t>zatwierdzenie badania eksploatacyjnego;</w:t>
      </w:r>
    </w:p>
    <w:p w:rsidR="004044C8" w:rsidRPr="00E939EA" w:rsidRDefault="004044C8" w:rsidP="003B79D3">
      <w:pPr>
        <w:tabs>
          <w:tab w:val="left" w:pos="426"/>
        </w:tabs>
        <w:spacing w:line="360" w:lineRule="auto"/>
        <w:jc w:val="both"/>
      </w:pPr>
      <w:r w:rsidRPr="00E939EA">
        <w:lastRenderedPageBreak/>
        <w:t>4)</w:t>
      </w:r>
      <w:r w:rsidRPr="00E939EA">
        <w:tab/>
        <w:t>wydanie i zmianę zezwolenia;</w:t>
      </w:r>
    </w:p>
    <w:p w:rsidR="004044C8" w:rsidRPr="00E939EA" w:rsidRDefault="004044C8" w:rsidP="003B79D3">
      <w:pPr>
        <w:tabs>
          <w:tab w:val="left" w:pos="426"/>
        </w:tabs>
        <w:spacing w:line="360" w:lineRule="auto"/>
        <w:jc w:val="both"/>
      </w:pPr>
      <w:r w:rsidRPr="00E939EA">
        <w:t>5)</w:t>
      </w:r>
      <w:r w:rsidRPr="00E939EA">
        <w:tab/>
        <w:t xml:space="preserve">wydanie </w:t>
      </w:r>
      <w:r w:rsidR="00A80890" w:rsidRPr="00E939EA">
        <w:t>certyfikatu</w:t>
      </w:r>
      <w:r w:rsidRPr="00E939EA">
        <w:t xml:space="preserve"> technika warsztatu;</w:t>
      </w:r>
    </w:p>
    <w:p w:rsidR="004044C8" w:rsidRPr="00E939EA" w:rsidRDefault="004044C8" w:rsidP="003B79D3">
      <w:pPr>
        <w:tabs>
          <w:tab w:val="left" w:pos="426"/>
        </w:tabs>
        <w:spacing w:line="360" w:lineRule="auto"/>
        <w:ind w:left="426" w:hanging="426"/>
        <w:jc w:val="both"/>
      </w:pPr>
      <w:r w:rsidRPr="00E939EA">
        <w:t>6)</w:t>
      </w:r>
      <w:r w:rsidRPr="00E939EA">
        <w:tab/>
        <w:t>przystąpienie do egzaminu</w:t>
      </w:r>
      <w:r w:rsidR="0045589C">
        <w:t xml:space="preserve"> </w:t>
      </w:r>
      <w:r w:rsidRPr="00E939EA">
        <w:t>z zakresu przepisów o sprawdzaniu i przeglądach tachografów analogowych lub</w:t>
      </w:r>
      <w:r w:rsidR="0045589C">
        <w:t xml:space="preserve"> </w:t>
      </w:r>
      <w:r w:rsidRPr="00E939EA">
        <w:t>tachografów cyfrowych;</w:t>
      </w:r>
    </w:p>
    <w:p w:rsidR="00820008" w:rsidRPr="00E939EA" w:rsidRDefault="00282682" w:rsidP="003B79D3">
      <w:pPr>
        <w:tabs>
          <w:tab w:val="left" w:pos="426"/>
        </w:tabs>
        <w:spacing w:line="360" w:lineRule="auto"/>
        <w:jc w:val="both"/>
      </w:pPr>
      <w:r>
        <w:t>7)</w:t>
      </w:r>
      <w:r w:rsidR="00820008" w:rsidRPr="00E939EA">
        <w:tab/>
        <w:t>wydanie certyfikatu podmiotu szkolącego;</w:t>
      </w:r>
    </w:p>
    <w:p w:rsidR="00351D2E" w:rsidRPr="00E939EA" w:rsidRDefault="00820008" w:rsidP="003B79D3">
      <w:pPr>
        <w:tabs>
          <w:tab w:val="left" w:pos="426"/>
        </w:tabs>
        <w:spacing w:line="360" w:lineRule="auto"/>
        <w:ind w:left="426" w:hanging="426"/>
        <w:jc w:val="both"/>
      </w:pPr>
      <w:r w:rsidRPr="00E939EA">
        <w:t>8</w:t>
      </w:r>
      <w:r w:rsidR="00282682">
        <w:t>)</w:t>
      </w:r>
      <w:r w:rsidR="004044C8" w:rsidRPr="00E939EA">
        <w:tab/>
        <w:t>umorzenie post</w:t>
      </w:r>
      <w:r w:rsidRPr="00E939EA">
        <w:t>ę</w:t>
      </w:r>
      <w:r w:rsidR="004044C8" w:rsidRPr="00E939EA">
        <w:t>powania na skutek wycofania wniosku przez stronę, na której żądani</w:t>
      </w:r>
      <w:r w:rsidR="00531C07" w:rsidRPr="00E939EA">
        <w:t>e postępowanie zostało wszczęte. W tym przypadku</w:t>
      </w:r>
      <w:r w:rsidR="004044C8" w:rsidRPr="00E939EA">
        <w:t xml:space="preserve"> strona ponosi opłatę za badania wykonane do dnia wycofania wniosku.</w:t>
      </w:r>
      <w:r w:rsidR="003443CE" w:rsidRPr="00E939EA">
        <w:t xml:space="preserve"> </w:t>
      </w:r>
    </w:p>
    <w:p w:rsidR="00063E80" w:rsidRPr="00E939EA" w:rsidRDefault="003443CE" w:rsidP="003B79D3">
      <w:pPr>
        <w:spacing w:before="120" w:line="360" w:lineRule="auto"/>
        <w:jc w:val="both"/>
      </w:pPr>
      <w:r w:rsidRPr="00E939EA">
        <w:t xml:space="preserve">Wysokość maksymalnych opłat pozostaje na dotychczasowym poziomie. </w:t>
      </w:r>
      <w:r w:rsidR="00C8246B" w:rsidRPr="00E939EA">
        <w:t>Stawka godzinowa za czas pracy pracownika administracji m</w:t>
      </w:r>
      <w:r w:rsidR="008C4B41">
        <w:t>iar nie może być wyższa niż 350 </w:t>
      </w:r>
      <w:r w:rsidR="00C8246B" w:rsidRPr="00E939EA">
        <w:t>zł, a czas trwania przeprowadzanych czynnoś</w:t>
      </w:r>
      <w:r w:rsidR="008C4B41">
        <w:t>ci nie może być dłuższy niż 250 </w:t>
      </w:r>
      <w:r w:rsidR="00C8246B" w:rsidRPr="00E939EA">
        <w:t>godzin.</w:t>
      </w:r>
      <w:r w:rsidR="00063E80" w:rsidRPr="00E939EA">
        <w:t xml:space="preserve"> Wysokość opłaty za:</w:t>
      </w:r>
    </w:p>
    <w:p w:rsidR="00063E80" w:rsidRPr="00E939EA" w:rsidRDefault="00063E80" w:rsidP="003B79D3">
      <w:pPr>
        <w:numPr>
          <w:ilvl w:val="0"/>
          <w:numId w:val="27"/>
        </w:numPr>
        <w:spacing w:line="360" w:lineRule="auto"/>
        <w:ind w:left="364" w:hanging="350"/>
        <w:jc w:val="both"/>
      </w:pPr>
      <w:r w:rsidRPr="00E939EA">
        <w:t>wydanie, zmianę lub odmowę wydania świadectwa homologacji typu albo zatwierdzenie badania eksploatacyjnego – nie może być wyższa niż 4000 zł,</w:t>
      </w:r>
    </w:p>
    <w:p w:rsidR="00063E80" w:rsidRPr="00E939EA" w:rsidRDefault="00063E80" w:rsidP="003B79D3">
      <w:pPr>
        <w:numPr>
          <w:ilvl w:val="0"/>
          <w:numId w:val="27"/>
        </w:numPr>
        <w:spacing w:line="360" w:lineRule="auto"/>
        <w:ind w:left="364" w:hanging="350"/>
        <w:jc w:val="both"/>
      </w:pPr>
      <w:r w:rsidRPr="00E939EA">
        <w:t>wydanie zezwolenia – nie może być wyższa niż 17 000 zł,</w:t>
      </w:r>
    </w:p>
    <w:p w:rsidR="00063E80" w:rsidRPr="00E939EA" w:rsidRDefault="00063E80" w:rsidP="003B79D3">
      <w:pPr>
        <w:numPr>
          <w:ilvl w:val="0"/>
          <w:numId w:val="27"/>
        </w:numPr>
        <w:spacing w:line="360" w:lineRule="auto"/>
        <w:ind w:left="364" w:hanging="350"/>
        <w:jc w:val="both"/>
      </w:pPr>
      <w:r w:rsidRPr="00E939EA">
        <w:t>zmianę zezwolenia – nie może być wyższa niż 5000 zł,</w:t>
      </w:r>
    </w:p>
    <w:p w:rsidR="00063E80" w:rsidRPr="00E939EA" w:rsidRDefault="00063E80" w:rsidP="003B79D3">
      <w:pPr>
        <w:numPr>
          <w:ilvl w:val="0"/>
          <w:numId w:val="27"/>
        </w:numPr>
        <w:spacing w:line="360" w:lineRule="auto"/>
        <w:ind w:left="364" w:hanging="350"/>
        <w:jc w:val="both"/>
      </w:pPr>
      <w:r w:rsidRPr="00E939EA">
        <w:t>przystąpienie do egzaminu dla technika warsztatu – nie może być wyższa niż 500 zł</w:t>
      </w:r>
      <w:r w:rsidR="008D4A84">
        <w:t>,</w:t>
      </w:r>
      <w:r w:rsidRPr="00E939EA">
        <w:t xml:space="preserve"> </w:t>
      </w:r>
    </w:p>
    <w:p w:rsidR="00820008" w:rsidRPr="00E939EA" w:rsidRDefault="00820008" w:rsidP="003B79D3">
      <w:pPr>
        <w:pStyle w:val="LITlitera"/>
        <w:numPr>
          <w:ilvl w:val="0"/>
          <w:numId w:val="27"/>
        </w:numPr>
        <w:ind w:left="364" w:hanging="350"/>
        <w:rPr>
          <w:rFonts w:ascii="Times New Roman" w:hAnsi="Times New Roman" w:cs="Times New Roman"/>
          <w:szCs w:val="24"/>
        </w:rPr>
      </w:pPr>
      <w:r w:rsidRPr="00E939EA">
        <w:rPr>
          <w:rFonts w:ascii="Times New Roman" w:hAnsi="Times New Roman" w:cs="Times New Roman"/>
          <w:szCs w:val="24"/>
        </w:rPr>
        <w:t>wydanie certyfikatu technika warsztatu – nie może być wyższa niż 300 zł</w:t>
      </w:r>
      <w:r w:rsidR="008D4A84">
        <w:rPr>
          <w:rFonts w:ascii="Times New Roman" w:hAnsi="Times New Roman" w:cs="Times New Roman"/>
          <w:szCs w:val="24"/>
        </w:rPr>
        <w:t>,</w:t>
      </w:r>
    </w:p>
    <w:p w:rsidR="00820008" w:rsidRPr="00E939EA" w:rsidRDefault="00820008" w:rsidP="003B79D3">
      <w:pPr>
        <w:pStyle w:val="LITlitera"/>
        <w:numPr>
          <w:ilvl w:val="0"/>
          <w:numId w:val="27"/>
        </w:numPr>
        <w:ind w:left="364" w:hanging="350"/>
        <w:rPr>
          <w:rFonts w:ascii="Times New Roman" w:hAnsi="Times New Roman" w:cs="Times New Roman"/>
          <w:szCs w:val="24"/>
        </w:rPr>
      </w:pPr>
      <w:r w:rsidRPr="00E939EA">
        <w:rPr>
          <w:rFonts w:ascii="Times New Roman" w:hAnsi="Times New Roman" w:cs="Times New Roman"/>
          <w:szCs w:val="24"/>
        </w:rPr>
        <w:t>wydanie certyfikatu podmiotu szkolącego – nie może być wyższa niż 2000</w:t>
      </w:r>
      <w:r w:rsidR="0045589C">
        <w:rPr>
          <w:rFonts w:ascii="Times New Roman" w:hAnsi="Times New Roman" w:cs="Times New Roman"/>
          <w:szCs w:val="24"/>
        </w:rPr>
        <w:t xml:space="preserve"> </w:t>
      </w:r>
      <w:r w:rsidRPr="00E939EA">
        <w:rPr>
          <w:rFonts w:ascii="Times New Roman" w:hAnsi="Times New Roman" w:cs="Times New Roman"/>
          <w:szCs w:val="24"/>
        </w:rPr>
        <w:t xml:space="preserve">zł. </w:t>
      </w:r>
    </w:p>
    <w:p w:rsidR="00063E80" w:rsidRPr="00E939EA" w:rsidRDefault="00063E80" w:rsidP="003B79D3">
      <w:pPr>
        <w:spacing w:before="120" w:line="360" w:lineRule="auto"/>
        <w:jc w:val="both"/>
      </w:pPr>
      <w:r w:rsidRPr="00E939EA">
        <w:t>Wysokość stawki godzinowej za czas pracy pracownika administracji miar oraz konkretnych opłat określi</w:t>
      </w:r>
      <w:r w:rsidR="002E68F9">
        <w:t>,</w:t>
      </w:r>
      <w:r w:rsidRPr="00E939EA">
        <w:t xml:space="preserve"> w drodze rozporządzenia</w:t>
      </w:r>
      <w:r w:rsidR="002E68F9">
        <w:t>,</w:t>
      </w:r>
      <w:r w:rsidRPr="00E939EA">
        <w:t xml:space="preserve"> Minister </w:t>
      </w:r>
      <w:r w:rsidR="008C4B41">
        <w:t>Przedsiębiorczości i </w:t>
      </w:r>
      <w:r w:rsidRPr="00E939EA">
        <w:t>Technologii w porozumieniu z Ministrem Finansów.</w:t>
      </w:r>
    </w:p>
    <w:p w:rsidR="00F427F5" w:rsidRPr="00E939EA" w:rsidRDefault="00AC351E" w:rsidP="003B79D3">
      <w:pPr>
        <w:spacing w:before="120" w:line="360" w:lineRule="auto"/>
        <w:jc w:val="both"/>
      </w:pPr>
      <w:r w:rsidRPr="00E939EA">
        <w:t xml:space="preserve">Rozdział </w:t>
      </w:r>
      <w:r w:rsidR="003443CE" w:rsidRPr="00E939EA">
        <w:t>6</w:t>
      </w:r>
      <w:r w:rsidRPr="00E939EA">
        <w:t xml:space="preserve"> (art. </w:t>
      </w:r>
      <w:r w:rsidR="003443CE" w:rsidRPr="00E939EA">
        <w:t>42</w:t>
      </w:r>
      <w:r w:rsidRPr="00E939EA">
        <w:t>–</w:t>
      </w:r>
      <w:r w:rsidR="003443CE" w:rsidRPr="00E939EA">
        <w:t>49</w:t>
      </w:r>
      <w:r w:rsidRPr="00E939EA">
        <w:t xml:space="preserve">) dotyczy wydawania, </w:t>
      </w:r>
      <w:r w:rsidR="00F97BBE">
        <w:t>przedłużania</w:t>
      </w:r>
      <w:r w:rsidRPr="00E939EA">
        <w:t xml:space="preserve"> oraz wymiany kart do tachografów cyfrowych oraz praw i obowiązków podmiotu wydającego karty.</w:t>
      </w:r>
      <w:r w:rsidR="00530863" w:rsidRPr="00E939EA">
        <w:t xml:space="preserve"> Zakres proponowanych zmian uwzględnia wymagania dla kart najnowszej generacji, które zostały określone w Załączniku 1C do rozporządzenia wykonawczego Komisji (UE) 2016/799 z dnia 18 marca 2016 r. w sprawie wykonania rozporządzenia Parlamentu Europejskiego i Rady (UE) nr 165/2014 ustanawiającego wymogi dotyczące budowy, sprawdzania, instalacji, użytkowania i naprawy tachografów oraz ich elementów składowych.</w:t>
      </w:r>
      <w:r w:rsidR="0045589C">
        <w:t xml:space="preserve"> </w:t>
      </w:r>
    </w:p>
    <w:p w:rsidR="00530863" w:rsidRPr="00E939EA" w:rsidRDefault="00530863" w:rsidP="003B79D3">
      <w:pPr>
        <w:spacing w:line="360" w:lineRule="auto"/>
        <w:jc w:val="both"/>
      </w:pPr>
      <w:r w:rsidRPr="00E939EA">
        <w:t xml:space="preserve">Minister właściwy do spraw transportu powierza podmiotowi wydającemu karty przetwarzanie danych zawartych w ewidencji kart, w tym także dane osobowe </w:t>
      </w:r>
      <w:r w:rsidRPr="00E939EA">
        <w:lastRenderedPageBreak/>
        <w:t>wnioskodawców, narodowe klucze kryptografi</w:t>
      </w:r>
      <w:r w:rsidR="008C4B41">
        <w:t>czne oraz wymianę z krajowymi i </w:t>
      </w:r>
      <w:r w:rsidRPr="00E939EA">
        <w:t>zagranicznymi organami oraz uprawnionymi służbami i instytucjami danych oraz informacji niezbędnych w procesach wydawania kart i kontroli stosowania tachografów cyfrowych w transp</w:t>
      </w:r>
      <w:r w:rsidR="00F97BBE">
        <w:t>orcie drogowym. W art. 44 ust. 3</w:t>
      </w:r>
      <w:r w:rsidRPr="00E939EA">
        <w:t xml:space="preserve"> pkt 1 lit. a, pkt 3 oraz pkt 4 projektu określa się wymaganie dołączenia do wniosku o wydanie karty fotografii kierowcy, technika warsztatu oraz osoby uprawnionej do kontroli, w przypadku karty kontrolnej imiennej. Przetwarzanie powyższych danych, w tym wizerunku osoby</w:t>
      </w:r>
      <w:r w:rsidR="000E5650">
        <w:t>,</w:t>
      </w:r>
      <w:r w:rsidRPr="00E939EA">
        <w:t xml:space="preserve"> jest niezbędne do celu</w:t>
      </w:r>
      <w:r w:rsidR="000E5650">
        <w:t>,</w:t>
      </w:r>
      <w:r w:rsidRPr="00E939EA">
        <w:t xml:space="preserve"> jakim jest wydanie karty zgodnie z przepisami UE, tj. aktami wykonawczymi do rozporządzenie (UE) nr 165/2014:</w:t>
      </w:r>
    </w:p>
    <w:p w:rsidR="00530863" w:rsidRPr="00E939EA" w:rsidRDefault="00530863" w:rsidP="003B79D3">
      <w:pPr>
        <w:numPr>
          <w:ilvl w:val="0"/>
          <w:numId w:val="24"/>
        </w:numPr>
        <w:spacing w:line="360" w:lineRule="auto"/>
        <w:ind w:left="350" w:hanging="336"/>
        <w:jc w:val="both"/>
      </w:pPr>
      <w:r w:rsidRPr="00E939EA">
        <w:t>załącznikiem 1B do rozporządzenia Rady (EWG) nr 3821/85 z dnia 2</w:t>
      </w:r>
      <w:r w:rsidR="008C4B41">
        <w:t>0 grudnia 1985 </w:t>
      </w:r>
      <w:r w:rsidRPr="00E939EA">
        <w:t>r. w sprawie urządzeń rejestrujących stosowan</w:t>
      </w:r>
      <w:r w:rsidR="008C4B41">
        <w:t>ych w transporcie drogowym (Dz. </w:t>
      </w:r>
      <w:r w:rsidRPr="00E939EA">
        <w:t xml:space="preserve">Urz. WE L 370 z 31.12.1985, str. 8 oraz Dz. </w:t>
      </w:r>
      <w:r w:rsidR="008C4B41">
        <w:t xml:space="preserve">Urz. WE L 274 z </w:t>
      </w:r>
      <w:r w:rsidR="00A955D6">
        <w:t>0</w:t>
      </w:r>
      <w:r w:rsidR="008C4B41">
        <w:t>9.10.1998, str. </w:t>
      </w:r>
      <w:r w:rsidRPr="00E939EA">
        <w:t xml:space="preserve">1), </w:t>
      </w:r>
    </w:p>
    <w:p w:rsidR="0095506D" w:rsidRPr="00E939EA" w:rsidRDefault="00530863" w:rsidP="003B79D3">
      <w:pPr>
        <w:numPr>
          <w:ilvl w:val="0"/>
          <w:numId w:val="24"/>
        </w:numPr>
        <w:spacing w:line="360" w:lineRule="auto"/>
        <w:ind w:left="350" w:hanging="336"/>
        <w:jc w:val="both"/>
      </w:pPr>
      <w:r w:rsidRPr="00E939EA">
        <w:t>załącznikiem 1C do rozporządzenia wykonawczego Komisji (UE) 2016/799 z dnia 18 marca 2016 r. w sprawie wykonania rozporządz</w:t>
      </w:r>
      <w:r w:rsidR="008C4B41">
        <w:t>enia Parlamentu Europejskiego i </w:t>
      </w:r>
      <w:r w:rsidRPr="00E939EA">
        <w:t>Rady (UE) nr 165/2014 ustanawiającego wymogi dotyczące budowy, sprawdzania, instalacji, użytkowania i naprawy tachografów ora</w:t>
      </w:r>
      <w:r w:rsidR="008C4B41">
        <w:t>z ich elementów składowych (Dz. </w:t>
      </w:r>
      <w:r w:rsidRPr="00E939EA">
        <w:t>Urz. UE L 139 z 26.05.2016, str. 1).</w:t>
      </w:r>
    </w:p>
    <w:p w:rsidR="0095506D" w:rsidRPr="00E939EA" w:rsidRDefault="0095506D" w:rsidP="003B79D3">
      <w:pPr>
        <w:spacing w:before="120" w:line="360" w:lineRule="auto"/>
        <w:jc w:val="both"/>
      </w:pPr>
      <w:r w:rsidRPr="00E939EA">
        <w:t>Rozporządzeniem (UE) nr 165/2014 zobowiązano państwa członkowskie do wymiany danych drogą elektroniczną w celu zapewnienia niepowtarzalności wydanych kart kierowcy. W celu ułatwienia wymiany danych elektronicznych dotyczących kart kierowcy między państwami członkowskimi</w:t>
      </w:r>
      <w:r w:rsidR="00F97BBE">
        <w:t>,</w:t>
      </w:r>
      <w:r w:rsidRPr="00E939EA">
        <w:t xml:space="preserve"> Komisja utworzyła system informacyjny </w:t>
      </w:r>
      <w:proofErr w:type="spellStart"/>
      <w:r w:rsidRPr="00E939EA">
        <w:t>T</w:t>
      </w:r>
      <w:r w:rsidR="00437C3D">
        <w:t>acho</w:t>
      </w:r>
      <w:r w:rsidRPr="00E939EA">
        <w:t>net</w:t>
      </w:r>
      <w:proofErr w:type="spellEnd"/>
      <w:r w:rsidRPr="00E939EA">
        <w:t>, który umożliwia państwom członkowskim przekazywanie innym państwom członkowskim zapytań w sprawie informacji dotycz</w:t>
      </w:r>
      <w:r w:rsidR="00B71D80">
        <w:t>ących wydawania kart kierowcy i </w:t>
      </w:r>
      <w:r w:rsidRPr="00E939EA">
        <w:t xml:space="preserve">ich statusu. W rozporządzeniu (UE) nr 165/2014 wprowadzono obowiązek wzajemnego połączenia krajowych rejestrów elektronicznych dotyczących kart kierowcy w całej Unii </w:t>
      </w:r>
      <w:r w:rsidR="00F97BBE">
        <w:t xml:space="preserve">Europejskiej </w:t>
      </w:r>
      <w:r w:rsidRPr="00E939EA">
        <w:t xml:space="preserve">przy wykorzystaniu systemu informacyjnego </w:t>
      </w:r>
      <w:proofErr w:type="spellStart"/>
      <w:r w:rsidRPr="00E939EA">
        <w:t>T</w:t>
      </w:r>
      <w:r w:rsidR="00437C3D">
        <w:t>acho</w:t>
      </w:r>
      <w:r w:rsidRPr="00E939EA">
        <w:t>net</w:t>
      </w:r>
      <w:proofErr w:type="spellEnd"/>
      <w:r w:rsidRPr="00E939EA">
        <w:t xml:space="preserve"> lub systemu z nim kompatybilnego. Jednak w przypadku systemu kompatybilnego wymiana danych elektronicznych ze wszystkimi pozostałymi państwami członkowskimi musi być możliwa za pośrednictwem systemu informacyjnego </w:t>
      </w:r>
      <w:proofErr w:type="spellStart"/>
      <w:r w:rsidRPr="00E939EA">
        <w:t>T</w:t>
      </w:r>
      <w:r w:rsidR="00437C3D">
        <w:t>acho</w:t>
      </w:r>
      <w:r w:rsidRPr="00E939EA">
        <w:t>net</w:t>
      </w:r>
      <w:proofErr w:type="spellEnd"/>
      <w:r w:rsidRPr="00E939EA">
        <w:t xml:space="preserve">. Wspólne procedury i specyfikacje techniczne dla systemu informacyjnego </w:t>
      </w:r>
      <w:proofErr w:type="spellStart"/>
      <w:r w:rsidRPr="00E939EA">
        <w:t>T</w:t>
      </w:r>
      <w:r w:rsidR="00437C3D">
        <w:t>acho</w:t>
      </w:r>
      <w:r w:rsidRPr="00E939EA">
        <w:t>net</w:t>
      </w:r>
      <w:proofErr w:type="spellEnd"/>
      <w:r w:rsidRPr="00E939EA">
        <w:t xml:space="preserve">, z uwzględnieniem formatu wymienianych danych, procedur technicznych do celów konsultacji elektronicznych w krajowych rejestrach </w:t>
      </w:r>
      <w:r w:rsidRPr="00E939EA">
        <w:lastRenderedPageBreak/>
        <w:t>elektronicznych, procedur dostępu i mechanizmów zabezpieczenia zostały ustanowione w rozporządzeniu wykonawczym Komisji (UE) 2016/68 z dnia 21 stycznia 2016 r. w sprawie wspólnych procedur i specyfikacji koniecznych do wzajemnego połączenia elektronicznych rejestrów kart kierowcy</w:t>
      </w:r>
      <w:r w:rsidR="0051350C">
        <w:t>.</w:t>
      </w:r>
    </w:p>
    <w:p w:rsidR="002D0542" w:rsidRPr="00E939EA" w:rsidRDefault="007A7BC3" w:rsidP="003B79D3">
      <w:pPr>
        <w:spacing w:before="120" w:line="360" w:lineRule="auto"/>
        <w:jc w:val="both"/>
      </w:pPr>
      <w:r w:rsidRPr="00E939EA">
        <w:t>W</w:t>
      </w:r>
      <w:r w:rsidR="00AC351E" w:rsidRPr="00E939EA">
        <w:t xml:space="preserve"> przypadku przedłużania ważności karty warsztatowej projektowana regulacja uwzględnia zapewnienie przez właściwy organ (GUM) spełnienia przez instalatora, warsztat lub producenta pojazdów kryteriów wymienionych w art. 24 ust. 2 rozporządzenia (UE) nr 165/2014 (spełnienie procedur krajowych w zakresie przeszkolenia, dostępu do niezbędnych urządzeń, nieposzlakow</w:t>
      </w:r>
      <w:r w:rsidR="000E5650">
        <w:t>an</w:t>
      </w:r>
      <w:r w:rsidR="00AC351E" w:rsidRPr="00E939EA">
        <w:t>ej reputacji). Zgo</w:t>
      </w:r>
      <w:r w:rsidR="008C4B41">
        <w:t>dnie z </w:t>
      </w:r>
      <w:r w:rsidR="00AC351E" w:rsidRPr="00E939EA">
        <w:t>rozporządzenie (UE) 165/2014 przedłużenie karty nastąpi w ciągu 15 dni roboczych od otrzymania ważnego wniosku o przedłużenie i całej niezbędnej dokumentacji, a</w:t>
      </w:r>
      <w:r w:rsidR="008C4B41">
        <w:t> </w:t>
      </w:r>
      <w:r w:rsidR="00AC351E" w:rsidRPr="00E939EA">
        <w:t>wydawanie karty warsztatowej zastępczej (w przypadku</w:t>
      </w:r>
      <w:r w:rsidR="000E5650">
        <w:t>,</w:t>
      </w:r>
      <w:r w:rsidR="00AC351E" w:rsidRPr="00E939EA">
        <w:t xml:space="preserve"> gdy karta została uszkodzona, działa wadliwie lub została zagubiona albo skradziona) </w:t>
      </w:r>
      <w:r w:rsidR="0045589C">
        <w:t>–</w:t>
      </w:r>
      <w:r w:rsidR="00AC351E" w:rsidRPr="00E939EA">
        <w:t xml:space="preserve"> w ciągu pięciu dni roboczych od dnia otrzymania wniosku. Wprowadzono także procedurę cofania (czasowo lub na stałe) kart warsztatowych w przypadku cofnięcia upoważnienia dla instalatora, warsztatu lub producenta pojazdów zgodnie z art. 24 rozporządzenia (UE) 165/2014.</w:t>
      </w:r>
    </w:p>
    <w:p w:rsidR="0027437B" w:rsidRPr="00E939EA" w:rsidRDefault="0027437B" w:rsidP="003B79D3">
      <w:pPr>
        <w:spacing w:before="120" w:line="360" w:lineRule="auto"/>
        <w:jc w:val="both"/>
      </w:pPr>
      <w:r w:rsidRPr="00E939EA">
        <w:t xml:space="preserve">W projekcie ustawy </w:t>
      </w:r>
      <w:r w:rsidR="00F97BBE">
        <w:t>wskazuje</w:t>
      </w:r>
      <w:r w:rsidRPr="00E939EA">
        <w:t xml:space="preserve"> się określenie </w:t>
      </w:r>
      <w:r w:rsidR="00F97BBE">
        <w:t xml:space="preserve">realizacji </w:t>
      </w:r>
      <w:r w:rsidRPr="00E939EA">
        <w:t>obowiązku przekazywania Komisji Europejskiej co roku, drogą elektroniczną, wykazów zatwierdzonych warsztatów oraz kart im wydanych, a także rejestru użytych znaków przez upoważnione warsztaty oraz elektronicznych danych zabezpieczających i</w:t>
      </w:r>
      <w:r w:rsidR="00CF0702" w:rsidRPr="00E939EA">
        <w:t xml:space="preserve"> </w:t>
      </w:r>
      <w:r w:rsidRPr="00E939EA">
        <w:t>niezbędnych informacji dotyczących wykorzystanych elektronicznych danych zabezpieczających. Informacje te przekazywane będ</w:t>
      </w:r>
      <w:r w:rsidR="00CF0702" w:rsidRPr="00E939EA">
        <w:t>ą</w:t>
      </w:r>
      <w:r w:rsidRPr="00E939EA">
        <w:t xml:space="preserve"> na podstawie wykazu warsztatów prowadzonego przez Prezesa GUM i danych przekazywanych przez podmiot wydający karty. </w:t>
      </w:r>
    </w:p>
    <w:p w:rsidR="00FF4024" w:rsidRPr="00E939EA" w:rsidRDefault="0040242C" w:rsidP="003B79D3">
      <w:pPr>
        <w:spacing w:before="120" w:line="360" w:lineRule="auto"/>
        <w:jc w:val="both"/>
      </w:pPr>
      <w:r w:rsidRPr="00E939EA">
        <w:t>Ponadto projektowana regulacja doprecyzowuje w odpowiednim zakresie procedury związane z w</w:t>
      </w:r>
      <w:r w:rsidR="00AD3919" w:rsidRPr="00E939EA">
        <w:t xml:space="preserve">ydawaniem, </w:t>
      </w:r>
      <w:r w:rsidR="00F97BBE">
        <w:t>prze</w:t>
      </w:r>
      <w:r w:rsidR="00F2181C">
        <w:t xml:space="preserve">dłużaniem </w:t>
      </w:r>
      <w:r w:rsidR="00AD3919" w:rsidRPr="00E939EA">
        <w:t>i wymianą</w:t>
      </w:r>
      <w:r w:rsidR="00A22987" w:rsidRPr="00E939EA">
        <w:t xml:space="preserve"> kart do tachografu cyfrowego. </w:t>
      </w:r>
      <w:r w:rsidR="00AC351E" w:rsidRPr="00E939EA">
        <w:t>Zgodnie z rozporządzenie</w:t>
      </w:r>
      <w:r w:rsidR="00F97BBE">
        <w:t>m</w:t>
      </w:r>
      <w:r w:rsidR="00AC351E" w:rsidRPr="00E939EA">
        <w:t xml:space="preserve"> (UE) nr 165/2014 </w:t>
      </w:r>
      <w:r w:rsidR="00FF4024" w:rsidRPr="00E939EA">
        <w:t xml:space="preserve">wydanie karty kierowcy </w:t>
      </w:r>
      <w:r w:rsidR="00AC351E" w:rsidRPr="00E939EA">
        <w:t xml:space="preserve">nastąpi </w:t>
      </w:r>
      <w:r w:rsidR="00FF4024" w:rsidRPr="00E939EA">
        <w:t xml:space="preserve">w </w:t>
      </w:r>
      <w:r w:rsidR="000E5650">
        <w:t xml:space="preserve">ciągu </w:t>
      </w:r>
      <w:r w:rsidR="00AC351E" w:rsidRPr="00E939EA">
        <w:t>30</w:t>
      </w:r>
      <w:r w:rsidR="000E5650">
        <w:t> </w:t>
      </w:r>
      <w:r w:rsidR="00AC351E" w:rsidRPr="00E939EA">
        <w:t>dni</w:t>
      </w:r>
      <w:r w:rsidR="00FF4024" w:rsidRPr="00E939EA">
        <w:t xml:space="preserve"> od otrzymania przez </w:t>
      </w:r>
      <w:r w:rsidR="00AC351E" w:rsidRPr="00E939EA">
        <w:t>podmiot wydający karty</w:t>
      </w:r>
      <w:r w:rsidR="00FF4024" w:rsidRPr="00E939EA">
        <w:t xml:space="preserve"> wniosku i</w:t>
      </w:r>
      <w:r w:rsidR="0045589C">
        <w:t xml:space="preserve"> </w:t>
      </w:r>
      <w:r w:rsidR="00FF4024" w:rsidRPr="00E939EA">
        <w:t>ws</w:t>
      </w:r>
      <w:r w:rsidR="00AC351E" w:rsidRPr="00E939EA">
        <w:t>zelkich niezbędnych dokumentów. Zamiast każdorazowego przedstawiania</w:t>
      </w:r>
      <w:r w:rsidR="00A22987" w:rsidRPr="00E939EA">
        <w:t xml:space="preserve"> </w:t>
      </w:r>
      <w:r w:rsidR="00AC351E" w:rsidRPr="00E939EA">
        <w:t>dowo</w:t>
      </w:r>
      <w:r w:rsidR="00FF4024" w:rsidRPr="00E939EA">
        <w:t>d</w:t>
      </w:r>
      <w:r w:rsidR="00AC351E" w:rsidRPr="00E939EA">
        <w:t>u potwierdzającego</w:t>
      </w:r>
      <w:r w:rsidR="00FF4024" w:rsidRPr="00E939EA">
        <w:t xml:space="preserve"> miejsce normalnego zamieszkania kierowcy </w:t>
      </w:r>
      <w:r w:rsidR="00AC351E" w:rsidRPr="00E939EA">
        <w:t xml:space="preserve">przyjęto oświadczenie, a w przypadku wątpliwości co </w:t>
      </w:r>
      <w:r w:rsidR="006B4C8A" w:rsidRPr="006B4C8A">
        <w:t xml:space="preserve">do </w:t>
      </w:r>
      <w:r w:rsidR="00AC351E" w:rsidRPr="00E939EA">
        <w:t>prawdziwości ww. oświadczenia</w:t>
      </w:r>
      <w:r w:rsidR="00F97BBE">
        <w:t>,</w:t>
      </w:r>
      <w:r w:rsidR="00AC351E" w:rsidRPr="00E939EA">
        <w:t xml:space="preserve"> dowodem w sprawie może być zgodnie z rozporządzenie</w:t>
      </w:r>
      <w:r w:rsidR="00F97BBE">
        <w:t>m</w:t>
      </w:r>
      <w:r w:rsidR="00AC351E" w:rsidRPr="00E939EA">
        <w:t xml:space="preserve"> (UE) 165/2014</w:t>
      </w:r>
      <w:r w:rsidR="00FF4024" w:rsidRPr="00E939EA">
        <w:t xml:space="preserve"> jakikolwiek właściwy środek</w:t>
      </w:r>
      <w:r w:rsidR="000E5650">
        <w:t>,</w:t>
      </w:r>
      <w:r w:rsidR="00FF4024" w:rsidRPr="00E939EA">
        <w:t xml:space="preserve"> tj. dowód </w:t>
      </w:r>
      <w:r w:rsidR="00FF4024" w:rsidRPr="00E939EA">
        <w:lastRenderedPageBreak/>
        <w:t>toż</w:t>
      </w:r>
      <w:r w:rsidR="00AC351E" w:rsidRPr="00E939EA">
        <w:t>samości czy inny ważny dokument.</w:t>
      </w:r>
      <w:r w:rsidR="0095506D" w:rsidRPr="00E939EA">
        <w:t xml:space="preserve"> </w:t>
      </w:r>
      <w:r w:rsidR="00AC351E" w:rsidRPr="00E939EA">
        <w:t xml:space="preserve">W przypadku </w:t>
      </w:r>
      <w:r w:rsidR="00FF4024" w:rsidRPr="00E939EA">
        <w:t>przed</w:t>
      </w:r>
      <w:r w:rsidR="00AC351E" w:rsidRPr="00E939EA">
        <w:t>łużeni</w:t>
      </w:r>
      <w:r w:rsidR="007A7BC3" w:rsidRPr="00E939EA">
        <w:t>a</w:t>
      </w:r>
      <w:r w:rsidR="00AC351E" w:rsidRPr="00E939EA">
        <w:t xml:space="preserve"> ważności karty kierowcy</w:t>
      </w:r>
      <w:r w:rsidR="00FF4024" w:rsidRPr="00E939EA">
        <w:t xml:space="preserve"> wniosek </w:t>
      </w:r>
      <w:r w:rsidR="00AC351E" w:rsidRPr="00E939EA">
        <w:t>powinien być złożony</w:t>
      </w:r>
      <w:r w:rsidR="00FF4024" w:rsidRPr="00E939EA">
        <w:t xml:space="preserve"> nie później niż na 15 dni roboczych przed upływem okresu ważności karty, nowa karta wydana </w:t>
      </w:r>
      <w:r w:rsidR="00AC351E" w:rsidRPr="00E939EA">
        <w:t xml:space="preserve">zostanie wówczas </w:t>
      </w:r>
      <w:r w:rsidR="00FF4024" w:rsidRPr="00E939EA">
        <w:t>przed upływ</w:t>
      </w:r>
      <w:r w:rsidR="00AC351E" w:rsidRPr="00E939EA">
        <w:t xml:space="preserve">em okresu ważności starej karty. </w:t>
      </w:r>
      <w:r w:rsidR="00A22987" w:rsidRPr="00E939EA">
        <w:t xml:space="preserve">Weryfikacja danych w systemie </w:t>
      </w:r>
      <w:proofErr w:type="spellStart"/>
      <w:r w:rsidR="00A22987" w:rsidRPr="00E939EA">
        <w:t>T</w:t>
      </w:r>
      <w:r w:rsidR="00437C3D">
        <w:t>acho</w:t>
      </w:r>
      <w:r w:rsidR="00A22987" w:rsidRPr="00E939EA">
        <w:t>net</w:t>
      </w:r>
      <w:proofErr w:type="spellEnd"/>
      <w:r w:rsidR="00A22987" w:rsidRPr="00E939EA">
        <w:t xml:space="preserve"> związana jest z</w:t>
      </w:r>
      <w:r w:rsidR="00B71D80">
        <w:t> </w:t>
      </w:r>
      <w:r w:rsidR="00AC351E" w:rsidRPr="00E939EA">
        <w:t>podjęcie</w:t>
      </w:r>
      <w:r w:rsidR="00A22987" w:rsidRPr="00E939EA">
        <w:t>m</w:t>
      </w:r>
      <w:r w:rsidR="00AC351E" w:rsidRPr="00E939EA">
        <w:t xml:space="preserve"> </w:t>
      </w:r>
      <w:r w:rsidR="00FF4024" w:rsidRPr="00E939EA">
        <w:t>odpowiednich środków w celu zapewnienia, by wnioskodawca nie posiadał już ważnej karty kierowcy</w:t>
      </w:r>
      <w:r w:rsidR="008778D1" w:rsidRPr="00E939EA">
        <w:t>.</w:t>
      </w:r>
    </w:p>
    <w:p w:rsidR="00FF4024" w:rsidRPr="00E939EA" w:rsidRDefault="00A22987" w:rsidP="003B79D3">
      <w:pPr>
        <w:spacing w:line="360" w:lineRule="auto"/>
        <w:jc w:val="both"/>
      </w:pPr>
      <w:r w:rsidRPr="00E939EA">
        <w:t>C</w:t>
      </w:r>
      <w:r w:rsidR="00FF4024" w:rsidRPr="00E939EA">
        <w:t>ofanie</w:t>
      </w:r>
      <w:r w:rsidR="00AD3919" w:rsidRPr="00E939EA">
        <w:t xml:space="preserve"> karty kierowcy </w:t>
      </w:r>
      <w:r w:rsidR="000E5650">
        <w:t xml:space="preserve">jest </w:t>
      </w:r>
      <w:r w:rsidR="00AD3919" w:rsidRPr="00E939EA">
        <w:t>możliwe</w:t>
      </w:r>
      <w:r w:rsidR="00FF4024" w:rsidRPr="00E939EA">
        <w:t xml:space="preserve"> tylko i wyłącznie w przypadku:</w:t>
      </w:r>
    </w:p>
    <w:p w:rsidR="00FF4024" w:rsidRPr="00E939EA" w:rsidRDefault="00856AB9" w:rsidP="003B79D3">
      <w:pPr>
        <w:numPr>
          <w:ilvl w:val="0"/>
          <w:numId w:val="6"/>
        </w:numPr>
        <w:spacing w:line="360" w:lineRule="auto"/>
        <w:ind w:left="420" w:hanging="392"/>
        <w:jc w:val="both"/>
      </w:pPr>
      <w:r w:rsidRPr="00E939EA">
        <w:t xml:space="preserve">gdy karta </w:t>
      </w:r>
      <w:r w:rsidR="00FF4024" w:rsidRPr="00E939EA">
        <w:t>zostanie uznana przez właściwe o</w:t>
      </w:r>
      <w:r w:rsidR="00C25842">
        <w:t>rgany państwa członkowskiego za </w:t>
      </w:r>
      <w:r w:rsidR="00FF4024" w:rsidRPr="00E939EA">
        <w:t>sfałszowaną,</w:t>
      </w:r>
    </w:p>
    <w:p w:rsidR="00FF4024" w:rsidRPr="00E939EA" w:rsidRDefault="00FF4024" w:rsidP="003B79D3">
      <w:pPr>
        <w:numPr>
          <w:ilvl w:val="0"/>
          <w:numId w:val="6"/>
        </w:numPr>
        <w:spacing w:line="360" w:lineRule="auto"/>
        <w:ind w:left="420" w:hanging="392"/>
        <w:jc w:val="both"/>
      </w:pPr>
      <w:r w:rsidRPr="00E939EA">
        <w:t>gdy kierowca korzysta z karty, której nie jest posiadaczem,</w:t>
      </w:r>
    </w:p>
    <w:p w:rsidR="00FF4024" w:rsidRPr="00E939EA" w:rsidRDefault="00FF4024" w:rsidP="003B79D3">
      <w:pPr>
        <w:numPr>
          <w:ilvl w:val="0"/>
          <w:numId w:val="6"/>
        </w:numPr>
        <w:spacing w:line="360" w:lineRule="auto"/>
        <w:ind w:left="420" w:hanging="392"/>
        <w:jc w:val="both"/>
      </w:pPr>
      <w:r w:rsidRPr="00E939EA">
        <w:t>gdy karta, w której posiadaniu jest kierowca, została wydana na podstawie fałszywych oświadcz</w:t>
      </w:r>
      <w:r w:rsidR="00AD3919" w:rsidRPr="00E939EA">
        <w:t>eń lub sfałszowanych dokumentów</w:t>
      </w:r>
      <w:r w:rsidR="00A22987" w:rsidRPr="00E939EA">
        <w:t>.</w:t>
      </w:r>
    </w:p>
    <w:p w:rsidR="00FF4024" w:rsidRPr="00E939EA" w:rsidRDefault="00856AB9" w:rsidP="003B79D3">
      <w:pPr>
        <w:spacing w:before="120" w:line="360" w:lineRule="auto"/>
        <w:jc w:val="both"/>
      </w:pPr>
      <w:r w:rsidRPr="00E939EA">
        <w:t xml:space="preserve">Rozporządzenie (UE) nr 165/2014 przewiduje </w:t>
      </w:r>
      <w:r w:rsidR="00A22987" w:rsidRPr="00E939EA">
        <w:t xml:space="preserve">także </w:t>
      </w:r>
      <w:r w:rsidR="00FF4024" w:rsidRPr="00E939EA">
        <w:t xml:space="preserve">obowiązek jak najszybszego zwrotu zawieszonej lub cofniętej karty przez państwo członkowskie inne </w:t>
      </w:r>
      <w:r w:rsidRPr="00E939EA">
        <w:t xml:space="preserve">niż państwo, które wydało kartę. </w:t>
      </w:r>
      <w:r w:rsidR="00A22987" w:rsidRPr="00E939EA">
        <w:t xml:space="preserve">Ww. obowiązek został nałożony bezpośrednio w projekcie na podmiot wydający karty. </w:t>
      </w:r>
      <w:r w:rsidRPr="00E939EA">
        <w:t>Ponadto</w:t>
      </w:r>
      <w:r w:rsidR="000E5650">
        <w:t>,</w:t>
      </w:r>
      <w:r w:rsidRPr="00E939EA">
        <w:t xml:space="preserve"> </w:t>
      </w:r>
      <w:r w:rsidR="00FF4024" w:rsidRPr="00E939EA">
        <w:t>jeżeli zwrot karty ma nastąpić w okresie dłuższym niż dwa tygodnie, państwo członkowskie, które ją zawiesiło lub cofnęło</w:t>
      </w:r>
      <w:r w:rsidR="000E5650">
        <w:t>,</w:t>
      </w:r>
      <w:r w:rsidR="00FF4024" w:rsidRPr="00E939EA">
        <w:t xml:space="preserve"> powiadamia w</w:t>
      </w:r>
      <w:r w:rsidR="008C4B41">
        <w:t> </w:t>
      </w:r>
      <w:r w:rsidR="00FF4024" w:rsidRPr="00E939EA">
        <w:t>ciągu tych dwóch tygodni państwo, które wydało kartę, o powodach</w:t>
      </w:r>
      <w:r w:rsidR="00A22987" w:rsidRPr="00E939EA">
        <w:t xml:space="preserve"> tego zawieszenia lub cofnięcia</w:t>
      </w:r>
      <w:r w:rsidR="008D4A84">
        <w:t>.</w:t>
      </w:r>
    </w:p>
    <w:p w:rsidR="00FF4024" w:rsidRPr="00E939EA" w:rsidRDefault="00A22987" w:rsidP="003B79D3">
      <w:pPr>
        <w:spacing w:before="120" w:line="360" w:lineRule="auto"/>
        <w:jc w:val="both"/>
      </w:pPr>
      <w:r w:rsidRPr="00E939EA">
        <w:t xml:space="preserve">W związku z </w:t>
      </w:r>
      <w:r w:rsidR="00FF4024" w:rsidRPr="00E939EA">
        <w:t>wprowadzenie</w:t>
      </w:r>
      <w:r w:rsidRPr="00E939EA">
        <w:t>m</w:t>
      </w:r>
      <w:r w:rsidR="00FF4024" w:rsidRPr="00E939EA">
        <w:t xml:space="preserve"> możliwości wydania czasowej i nieodnawialnej karty kierowcy dla kierowców z państw trzecich, które nie podpisały umowy AETR, na okres nieprzekraczający 185 dni,</w:t>
      </w:r>
      <w:r w:rsidRPr="00E939EA">
        <w:t xml:space="preserve"> ustanowiono procedury umożliwiające weryfikację</w:t>
      </w:r>
      <w:r w:rsidR="000E5650">
        <w:t>,</w:t>
      </w:r>
      <w:r w:rsidRPr="00E939EA">
        <w:t xml:space="preserve"> czy </w:t>
      </w:r>
      <w:r w:rsidR="00FF4024" w:rsidRPr="00E939EA">
        <w:t>kierowcę takiego łączy stosunek pracy z przedsiębiorstwem transportowym mającym siedzibę w państwie członkowskim wydania</w:t>
      </w:r>
      <w:r w:rsidRPr="00E939EA">
        <w:t xml:space="preserve"> oraz czy w przedmiotowym przypadku </w:t>
      </w:r>
      <w:r w:rsidR="00FF4024" w:rsidRPr="00E939EA">
        <w:t>zastosowanie ma rozporządzenie Parlamentu Europejskie</w:t>
      </w:r>
      <w:r w:rsidRPr="00E939EA">
        <w:t>go i Rady (WE) nr 1072/2009.</w:t>
      </w:r>
    </w:p>
    <w:p w:rsidR="00FF4024" w:rsidRPr="00E939EA" w:rsidRDefault="00AC4C52" w:rsidP="003B79D3">
      <w:pPr>
        <w:spacing w:before="120" w:line="360" w:lineRule="auto"/>
        <w:jc w:val="both"/>
      </w:pPr>
      <w:r w:rsidRPr="00E939EA">
        <w:t>Zgodnie z rozporządzenie</w:t>
      </w:r>
      <w:r w:rsidR="000E5650">
        <w:t>m</w:t>
      </w:r>
      <w:r w:rsidRPr="00E939EA">
        <w:t xml:space="preserve"> (UE) nr 165/2014 </w:t>
      </w:r>
      <w:r w:rsidR="00FF4024" w:rsidRPr="00E939EA">
        <w:t xml:space="preserve">w przypadku uszkodzenia lub wadliwego działania karty kierowcy, jej zagubienia lub kradzieży </w:t>
      </w:r>
      <w:r w:rsidR="0045589C">
        <w:t>–</w:t>
      </w:r>
      <w:r w:rsidR="00FF4024" w:rsidRPr="00E939EA">
        <w:t xml:space="preserve"> kierowca może kontynuować jazdę bez karty kierowcy przez maksymalnie 15 dni kalendarzowych (dłużej</w:t>
      </w:r>
      <w:r w:rsidR="000E5650">
        <w:t>,</w:t>
      </w:r>
      <w:r w:rsidR="00FF4024" w:rsidRPr="00E939EA">
        <w:t xml:space="preserve"> gdy </w:t>
      </w:r>
      <w:r w:rsidR="00F97BBE" w:rsidRPr="00E939EA">
        <w:t xml:space="preserve">jest </w:t>
      </w:r>
      <w:r w:rsidR="00FF4024" w:rsidRPr="00E939EA">
        <w:t xml:space="preserve">konieczny powrót pojazdu do bazy) </w:t>
      </w:r>
      <w:r w:rsidR="0045589C">
        <w:t>–</w:t>
      </w:r>
      <w:r w:rsidR="00FF4024" w:rsidRPr="00E939EA">
        <w:t xml:space="preserve"> pod warunkiem</w:t>
      </w:r>
      <w:r w:rsidR="000E5650">
        <w:t>,</w:t>
      </w:r>
      <w:r w:rsidR="00FF4024" w:rsidRPr="00E939EA">
        <w:t xml:space="preserve"> że kierowca może wykazać brak możliwości przedstawienia lub u</w:t>
      </w:r>
      <w:r w:rsidR="00A22987" w:rsidRPr="00E939EA">
        <w:t>życia karty po</w:t>
      </w:r>
      <w:r w:rsidR="008C4B41">
        <w:t>dczas tego okresu. W związku z </w:t>
      </w:r>
      <w:r w:rsidR="00A22987" w:rsidRPr="00E939EA">
        <w:t>powyższym projekt ustawy nakłada obowiązek wystawiania przez podmiot wydający karty stosownych zaświadczeń.</w:t>
      </w:r>
    </w:p>
    <w:p w:rsidR="00A22987" w:rsidRPr="00E939EA" w:rsidRDefault="00A22987" w:rsidP="003B79D3">
      <w:pPr>
        <w:spacing w:before="120" w:line="360" w:lineRule="auto"/>
        <w:jc w:val="both"/>
      </w:pPr>
      <w:r w:rsidRPr="00E939EA">
        <w:lastRenderedPageBreak/>
        <w:t xml:space="preserve">Wymiana karty kierowcy </w:t>
      </w:r>
      <w:r w:rsidR="00FF4024" w:rsidRPr="00E939EA">
        <w:t xml:space="preserve">na jej odpowiednik </w:t>
      </w:r>
      <w:r w:rsidRPr="00E939EA">
        <w:t xml:space="preserve">możliwa jest </w:t>
      </w:r>
      <w:r w:rsidR="00FF4024" w:rsidRPr="00E939EA">
        <w:t>na wniosek kierowcy, który zmienił państwo członkowsk</w:t>
      </w:r>
      <w:r w:rsidRPr="00E939EA">
        <w:t>ie swojego miejsca zamieszkania. P</w:t>
      </w:r>
      <w:r w:rsidR="00FF4024" w:rsidRPr="00E939EA">
        <w:t>aństwo członkowskie, które dokonuje wymiany</w:t>
      </w:r>
      <w:r w:rsidR="00CC2EB5">
        <w:t>,</w:t>
      </w:r>
      <w:r w:rsidR="00FF4024" w:rsidRPr="00E939EA">
        <w:t xml:space="preserve"> ponosi odpowiedzialność za sprawdzenie</w:t>
      </w:r>
      <w:r w:rsidR="00CC2EB5">
        <w:t>,</w:t>
      </w:r>
      <w:r w:rsidR="00FF4024" w:rsidRPr="00E939EA">
        <w:t xml:space="preserve"> czy</w:t>
      </w:r>
      <w:r w:rsidRPr="00E939EA">
        <w:t xml:space="preserve"> przedstawiona karta jest ważna. Państwo</w:t>
      </w:r>
      <w:r w:rsidR="00FF4024" w:rsidRPr="00E939EA">
        <w:t xml:space="preserve"> dokonujące wymiany zwra</w:t>
      </w:r>
      <w:r w:rsidR="00AC4C52" w:rsidRPr="00E939EA">
        <w:t>ca starą</w:t>
      </w:r>
      <w:r w:rsidR="005D7AC0" w:rsidRPr="00E939EA">
        <w:t xml:space="preserve"> kartę organom, które ją</w:t>
      </w:r>
      <w:r w:rsidR="00FF4024" w:rsidRPr="00E939EA">
        <w:t xml:space="preserve"> wydały</w:t>
      </w:r>
      <w:r w:rsidR="00CC2EB5">
        <w:t>,</w:t>
      </w:r>
      <w:r w:rsidR="00FF4024" w:rsidRPr="00E939EA">
        <w:t xml:space="preserve"> ze wskazaniem </w:t>
      </w:r>
      <w:r w:rsidRPr="00E939EA">
        <w:t>powodów tego zwrotu. Z</w:t>
      </w:r>
      <w:r w:rsidR="00FF4024" w:rsidRPr="00E939EA">
        <w:t>astąpienie lub wymiana i inne dalsze zastąpienia oraz wymiany kart kierowcy są rejestrowane w państwie członkowskim</w:t>
      </w:r>
      <w:r w:rsidR="005D7AC0" w:rsidRPr="00E939EA">
        <w:t>,</w:t>
      </w:r>
      <w:r w:rsidRPr="00E939EA">
        <w:t xml:space="preserve"> które tego dokonuje.</w:t>
      </w:r>
    </w:p>
    <w:p w:rsidR="00FF4024" w:rsidRPr="00E939EA" w:rsidRDefault="00A22987" w:rsidP="003B79D3">
      <w:pPr>
        <w:spacing w:line="360" w:lineRule="auto"/>
        <w:jc w:val="both"/>
      </w:pPr>
      <w:r w:rsidRPr="00E939EA">
        <w:t xml:space="preserve">Zgodnie z art. 31 rozporządzenia (UE) nr 165/2014 </w:t>
      </w:r>
      <w:r w:rsidR="00F97BBE">
        <w:t xml:space="preserve">krajowy rejestr elektroniczny </w:t>
      </w:r>
      <w:r w:rsidR="00FF4024" w:rsidRPr="00E939EA">
        <w:t>kart kierowcy</w:t>
      </w:r>
      <w:r w:rsidRPr="00E939EA">
        <w:t xml:space="preserve"> </w:t>
      </w:r>
      <w:r w:rsidR="00FF4024" w:rsidRPr="00E939EA">
        <w:t>gromadzi dane w okresie co najmniej równoważnym z okresem ważności kart kierowcy:</w:t>
      </w:r>
    </w:p>
    <w:p w:rsidR="00FF4024" w:rsidRPr="00E939EA" w:rsidRDefault="00FF4024" w:rsidP="003B79D3">
      <w:pPr>
        <w:numPr>
          <w:ilvl w:val="0"/>
          <w:numId w:val="17"/>
        </w:numPr>
        <w:spacing w:line="360" w:lineRule="auto"/>
        <w:ind w:left="364" w:hanging="350"/>
        <w:jc w:val="both"/>
      </w:pPr>
      <w:r w:rsidRPr="00E939EA">
        <w:t>nazwisko i imię kierowcy,</w:t>
      </w:r>
    </w:p>
    <w:p w:rsidR="00FF4024" w:rsidRPr="00E939EA" w:rsidRDefault="00FF4024" w:rsidP="003B79D3">
      <w:pPr>
        <w:numPr>
          <w:ilvl w:val="0"/>
          <w:numId w:val="17"/>
        </w:numPr>
        <w:spacing w:line="360" w:lineRule="auto"/>
        <w:ind w:left="364" w:hanging="350"/>
        <w:jc w:val="both"/>
      </w:pPr>
      <w:r w:rsidRPr="00E939EA">
        <w:t xml:space="preserve">data i </w:t>
      </w:r>
      <w:r w:rsidR="0045589C">
        <w:t>–</w:t>
      </w:r>
      <w:r w:rsidR="00F97BBE">
        <w:t xml:space="preserve"> jeże</w:t>
      </w:r>
      <w:r w:rsidRPr="00E939EA">
        <w:t xml:space="preserve">li ta informacja jest dostępna </w:t>
      </w:r>
      <w:r w:rsidR="0045589C">
        <w:t>–</w:t>
      </w:r>
      <w:r w:rsidRPr="00E939EA">
        <w:t xml:space="preserve"> miejsce urodzenia kierowcy,</w:t>
      </w:r>
    </w:p>
    <w:p w:rsidR="00FF4024" w:rsidRPr="00E939EA" w:rsidRDefault="00FF4024" w:rsidP="003B79D3">
      <w:pPr>
        <w:numPr>
          <w:ilvl w:val="0"/>
          <w:numId w:val="17"/>
        </w:numPr>
        <w:spacing w:line="360" w:lineRule="auto"/>
        <w:ind w:left="364" w:hanging="350"/>
        <w:jc w:val="both"/>
      </w:pPr>
      <w:r w:rsidRPr="00E939EA">
        <w:t>numer ważnego prawa jazdy i kraj wydający prawo jazdy (w stosownych przypadkach),</w:t>
      </w:r>
    </w:p>
    <w:p w:rsidR="00FF4024" w:rsidRPr="00E939EA" w:rsidRDefault="00FF4024" w:rsidP="003B79D3">
      <w:pPr>
        <w:numPr>
          <w:ilvl w:val="0"/>
          <w:numId w:val="17"/>
        </w:numPr>
        <w:spacing w:line="360" w:lineRule="auto"/>
        <w:ind w:left="364" w:hanging="350"/>
        <w:jc w:val="both"/>
      </w:pPr>
      <w:r w:rsidRPr="00E939EA">
        <w:t>status karty kierowcy,</w:t>
      </w:r>
    </w:p>
    <w:p w:rsidR="00D0569C" w:rsidRPr="00E939EA" w:rsidRDefault="00A80890" w:rsidP="003B79D3">
      <w:pPr>
        <w:numPr>
          <w:ilvl w:val="0"/>
          <w:numId w:val="17"/>
        </w:numPr>
        <w:spacing w:line="360" w:lineRule="auto"/>
        <w:ind w:left="364" w:hanging="350"/>
        <w:jc w:val="both"/>
      </w:pPr>
      <w:r w:rsidRPr="00E939EA">
        <w:t>numer karty kierowcy.</w:t>
      </w:r>
    </w:p>
    <w:p w:rsidR="00D67B0B" w:rsidRPr="00E939EA" w:rsidRDefault="00D0569C" w:rsidP="003B79D3">
      <w:pPr>
        <w:spacing w:before="120" w:line="360" w:lineRule="auto"/>
        <w:jc w:val="both"/>
      </w:pPr>
      <w:r w:rsidRPr="00E939EA">
        <w:t>Podmiot wydający karty oraz minister właściwy do spraw transportu w zakresie rozpatrywania skarg i wniosków związan</w:t>
      </w:r>
      <w:r w:rsidR="00CC2EB5">
        <w:t>ych</w:t>
      </w:r>
      <w:r w:rsidRPr="00E939EA">
        <w:t xml:space="preserve"> z wykonywaniem przez podmiot wydający karty swoich zadań przetwarzają dane osobowe</w:t>
      </w:r>
      <w:r w:rsidR="00CC2EB5">
        <w:t>,</w:t>
      </w:r>
      <w:r w:rsidRPr="00E939EA">
        <w:t xml:space="preserve"> realizując zadania</w:t>
      </w:r>
      <w:r w:rsidR="0045589C">
        <w:t xml:space="preserve"> </w:t>
      </w:r>
      <w:r w:rsidRPr="00E939EA">
        <w:t>zwi</w:t>
      </w:r>
      <w:r w:rsidR="008C4B41">
        <w:t>ązane z </w:t>
      </w:r>
      <w:r w:rsidRPr="00E939EA">
        <w:t>wydawanie</w:t>
      </w:r>
      <w:r w:rsidR="00CC2EB5">
        <w:t>m</w:t>
      </w:r>
      <w:r w:rsidRPr="00E939EA">
        <w:t xml:space="preserve"> kart do tachografów cyfrowych. Zapewnienie sprawności wydawania kart leży w interesie publicznym oraz warunkuje możliwość prawidłowego funkcjonowania transportu drogowego. </w:t>
      </w:r>
      <w:r w:rsidR="008778D1" w:rsidRPr="00E939EA">
        <w:t>Zgodnie z rozporządzenie</w:t>
      </w:r>
      <w:r w:rsidR="00CC2EB5">
        <w:t>m</w:t>
      </w:r>
      <w:r w:rsidR="008778D1" w:rsidRPr="00E939EA">
        <w:t xml:space="preserve"> (UE) nr 165/2014 oraz rozporządzeniem wykonawczym Komisji (UE) 2016/68 </w:t>
      </w:r>
      <w:r w:rsidR="00FF4024" w:rsidRPr="00E939EA">
        <w:t>Komisja i państwa członkowskie przyjmują wszelkie niezbędne środki w celu zapewnienia wzajemnych połączeń rejestrów elektronicznych i ich dostępności w</w:t>
      </w:r>
      <w:r w:rsidR="0045589C">
        <w:t xml:space="preserve"> </w:t>
      </w:r>
      <w:r w:rsidR="008C4B41">
        <w:t>całej Unii, korzystając z </w:t>
      </w:r>
      <w:r w:rsidR="00FF4024" w:rsidRPr="00E939EA">
        <w:t xml:space="preserve">systemu informacyjnego </w:t>
      </w:r>
      <w:proofErr w:type="spellStart"/>
      <w:r w:rsidR="00FF4024" w:rsidRPr="00E939EA">
        <w:t>T</w:t>
      </w:r>
      <w:r w:rsidR="00437C3D">
        <w:t>acho</w:t>
      </w:r>
      <w:r w:rsidR="00FF4024" w:rsidRPr="00E939EA">
        <w:t>net</w:t>
      </w:r>
      <w:proofErr w:type="spellEnd"/>
      <w:r w:rsidR="00FF4024" w:rsidRPr="00E939EA">
        <w:t xml:space="preserve"> lub systemu z nim </w:t>
      </w:r>
      <w:r w:rsidR="00A22987" w:rsidRPr="00E939EA">
        <w:t>kompatybilnego. S</w:t>
      </w:r>
      <w:r w:rsidR="00FF4024" w:rsidRPr="00E939EA">
        <w:t>tatus karty sprawdzany jest w każdym przypadku wydawania, wymiany lub, w razie konieczności, przedłużenia karty kierowcy</w:t>
      </w:r>
      <w:r w:rsidR="00A22987" w:rsidRPr="00E939EA">
        <w:t>. F</w:t>
      </w:r>
      <w:r w:rsidR="00FF4024" w:rsidRPr="00E939EA">
        <w:t>unkcjonariusze służb kontrolnych mogą mieć dostęp do rejestru elektronicznego w</w:t>
      </w:r>
      <w:r w:rsidR="0045589C">
        <w:t xml:space="preserve"> </w:t>
      </w:r>
      <w:r w:rsidR="00FF4024" w:rsidRPr="00E939EA">
        <w:t>celu spr</w:t>
      </w:r>
      <w:r w:rsidR="005D7AC0" w:rsidRPr="00E939EA">
        <w:t>awdzenia statusu karty kierowcy.</w:t>
      </w:r>
    </w:p>
    <w:p w:rsidR="00530863" w:rsidRPr="00E939EA" w:rsidRDefault="00373053" w:rsidP="003B79D3">
      <w:pPr>
        <w:spacing w:before="120" w:line="360" w:lineRule="auto"/>
        <w:jc w:val="both"/>
      </w:pPr>
      <w:r w:rsidRPr="00E939EA">
        <w:t xml:space="preserve">Rozdział </w:t>
      </w:r>
      <w:r w:rsidR="007A7BC3" w:rsidRPr="00E939EA">
        <w:t>7</w:t>
      </w:r>
      <w:r w:rsidRPr="00E939EA">
        <w:t xml:space="preserve"> (art. </w:t>
      </w:r>
      <w:r w:rsidR="007A7BC3" w:rsidRPr="00E939EA">
        <w:t>50</w:t>
      </w:r>
      <w:r w:rsidRPr="00E939EA">
        <w:t>–</w:t>
      </w:r>
      <w:r w:rsidR="007A7BC3" w:rsidRPr="00E939EA">
        <w:t>5</w:t>
      </w:r>
      <w:r w:rsidR="00305612" w:rsidRPr="00E939EA">
        <w:t>7</w:t>
      </w:r>
      <w:r w:rsidRPr="00E939EA">
        <w:t xml:space="preserve">) określa przepisy karne oraz przepisy o karach pieniężnych za naruszenia </w:t>
      </w:r>
      <w:r w:rsidR="00F97BBE">
        <w:t xml:space="preserve">przepisów </w:t>
      </w:r>
      <w:r w:rsidRPr="00E939EA">
        <w:t xml:space="preserve">ustawy oraz rozporządzenia (UE) nr 165/2014. </w:t>
      </w:r>
      <w:r w:rsidR="00530863" w:rsidRPr="00E939EA">
        <w:t>Zgodnie z art. 41 rozporządzenia (UE) nr 165/2014 państwa czł</w:t>
      </w:r>
      <w:r w:rsidR="008C4B41">
        <w:t xml:space="preserve">onkowskie ustanawiają zgodnie </w:t>
      </w:r>
      <w:r w:rsidR="008C4B41">
        <w:lastRenderedPageBreak/>
        <w:t>z </w:t>
      </w:r>
      <w:r w:rsidR="00530863" w:rsidRPr="00E939EA">
        <w:t>krajowym prawem przepisy dotyczące sankcj</w:t>
      </w:r>
      <w:r w:rsidR="008C4B41">
        <w:t>i nakładanych za naruszenia ww. </w:t>
      </w:r>
      <w:r w:rsidR="00530863" w:rsidRPr="00E939EA">
        <w:t>rozporządzenia i podejmują wszelkie konieczne środki, by zapewnić ich wykonywanie. Sankcje te muszą być zgodne z kat</w:t>
      </w:r>
      <w:r w:rsidR="008C4B41">
        <w:t>egoriami naruszeń określonymi w </w:t>
      </w:r>
      <w:r w:rsidR="00530863" w:rsidRPr="00E939EA">
        <w:t>dyrektywie 2006/22/WE Parlamentu Europejskiego i Rady z dnia 15 marca 2006</w:t>
      </w:r>
      <w:r w:rsidR="0045589C">
        <w:t xml:space="preserve"> </w:t>
      </w:r>
      <w:r w:rsidR="008C4B41">
        <w:t>r. w </w:t>
      </w:r>
      <w:r w:rsidR="00530863" w:rsidRPr="00E939EA">
        <w:t>sprawie minimalnych warunków wykonania rozpo</w:t>
      </w:r>
      <w:r w:rsidR="008C4B41">
        <w:t>rządzeń Rady (EWG) nr 3820/85 i </w:t>
      </w:r>
      <w:r w:rsidR="00530863" w:rsidRPr="00E939EA">
        <w:t>(EWG) nr 3821/85 dotyczących przepisów socjalnych odnoszących się do działalności w transporcie drogowym oraz uchylając</w:t>
      </w:r>
      <w:r w:rsidR="00CC2EB5">
        <w:t>ej</w:t>
      </w:r>
      <w:r w:rsidR="00530863" w:rsidRPr="00E939EA">
        <w:t xml:space="preserve"> dyrektywę Rady 88/599/EWG (która została zmieniona rozporządzeniem Komisji (UE) 2016/403 z dnia 18 marca 2016 r. uzupełniającym rozporządzenie Parlamentu Europejskiego i Rady (WE) nr 1071/2009 w odniesieniu do klasyfikacji poważnych naruszeń przepisów unijnych, które mogą prowadzić do utraty dobrej reputacji przez przewoźnika drogowego oraz zmieniającym załącznik III do dyrektywy 2006/22/WE Parlamentu Europejskiego i Rady).</w:t>
      </w:r>
    </w:p>
    <w:p w:rsidR="00530863" w:rsidRPr="00E939EA" w:rsidRDefault="00530863" w:rsidP="003B79D3">
      <w:pPr>
        <w:spacing w:before="120" w:line="360" w:lineRule="auto"/>
        <w:jc w:val="both"/>
      </w:pPr>
      <w:r w:rsidRPr="00E939EA">
        <w:t>Sankcje nakładane za naruszeni</w:t>
      </w:r>
      <w:r w:rsidR="006C744F">
        <w:t>e</w:t>
      </w:r>
      <w:r w:rsidRPr="00E939EA">
        <w:t xml:space="preserve"> przepisów rozporządzeni</w:t>
      </w:r>
      <w:r w:rsidR="00CC2EB5">
        <w:t>a</w:t>
      </w:r>
      <w:r w:rsidRPr="00E939EA">
        <w:t xml:space="preserve"> (UE) nr 165/2014,</w:t>
      </w:r>
      <w:r w:rsidR="0045589C">
        <w:t xml:space="preserve"> </w:t>
      </w:r>
      <w:r w:rsidRPr="00E939EA">
        <w:t>zgodne ze znowelizowanym katalogiem naruszeń przepisów o używaniu tachografów, wykresówek i kart kierowców w</w:t>
      </w:r>
      <w:r w:rsidR="0045589C">
        <w:t xml:space="preserve"> </w:t>
      </w:r>
      <w:r w:rsidRPr="00E939EA">
        <w:t>zmienionym załączniku III dyrektywy 2006/22/WE</w:t>
      </w:r>
      <w:r w:rsidR="00CC2EB5">
        <w:t>,</w:t>
      </w:r>
      <w:r w:rsidRPr="00E939EA">
        <w:t xml:space="preserve"> wprowadza projekt ustawy o zmianie</w:t>
      </w:r>
      <w:r w:rsidR="00CC2EB5">
        <w:t xml:space="preserve"> ustawy</w:t>
      </w:r>
      <w:r w:rsidRPr="00E939EA">
        <w:t xml:space="preserve"> o transporcie drogowym oraz </w:t>
      </w:r>
      <w:r w:rsidR="00CC2EB5">
        <w:t xml:space="preserve">o </w:t>
      </w:r>
      <w:r w:rsidRPr="00E939EA">
        <w:t>zmianie niektórych innych ustaw (UC 90). Rewizja załącznika III dyrektywy 2006/22/WE miała na celu zapewnienie spójności prawnej i przejrzystości obowiązujących przepisów poprzez ujednolicenie poziomu wagi niektórych określ</w:t>
      </w:r>
      <w:r w:rsidR="008C4B41">
        <w:t>onych w nim naruszeń, zgodnie z </w:t>
      </w:r>
      <w:r w:rsidRPr="00E939EA">
        <w:t>wykazem najpoważniejszych naruszeń ustanowionym w załączniku IV do rozporządzenia (WE) nr 1071/2009. Jednakż</w:t>
      </w:r>
      <w:r w:rsidR="008C4B41">
        <w:t>e</w:t>
      </w:r>
      <w:r w:rsidR="00CC2EB5">
        <w:t>,</w:t>
      </w:r>
      <w:r w:rsidR="00744566">
        <w:t xml:space="preserve"> mając na uwadze toczące się w </w:t>
      </w:r>
      <w:r w:rsidR="004A6FFD">
        <w:t xml:space="preserve">byłym </w:t>
      </w:r>
      <w:r w:rsidRPr="00E939EA">
        <w:t>Ministerstwie Infrastruktury i Budownictwa pra</w:t>
      </w:r>
      <w:r w:rsidR="008C4B41">
        <w:t>ce nad nowym projektem ustawy w</w:t>
      </w:r>
      <w:r w:rsidR="00744566">
        <w:t> </w:t>
      </w:r>
      <w:r w:rsidR="00B71D80">
        <w:t>całości i </w:t>
      </w:r>
      <w:r w:rsidRPr="00E939EA">
        <w:t>jednolicie wdrażającym do polskiego porządku prawnego wszystkie kary, określone w rozporządzeniu Komisji (UE) 2016/403, zasadne było na dalszym etapie prac nad projektem usunięcie z niniejszego projektu wszystkich sankcji, wprowadzonych do załączników do ustawy o transporcie drogowym i przeniesienie ich do nowo procedowanej regulacji. Zgodnie z harmonogra</w:t>
      </w:r>
      <w:r w:rsidR="00B71D80">
        <w:t>mem prac nad projektem ustawy o </w:t>
      </w:r>
      <w:r w:rsidRPr="00E939EA">
        <w:t>zmianie ustawy o transporcie drogowym oraz o zmianie niektórych innych ustaw (UC90), dostosowującym wszystkie sankcje do rozporządzenia Komisji (UE) 2016/403, projekt w dniu 20 lipca 2017 r. został przyjęty przez Komitet do Spraw Europejskich, natomiast w dniu 28 września 2017 r. został przyjęty przez Stały Komitet Rady Ministrów. Prace nad dwoma dokumentami – UC25 i UC90</w:t>
      </w:r>
      <w:r w:rsidR="008C4B41">
        <w:t xml:space="preserve"> – </w:t>
      </w:r>
      <w:r w:rsidR="00744566">
        <w:t xml:space="preserve">były </w:t>
      </w:r>
      <w:r w:rsidR="008C4B41">
        <w:t>prowadzone w</w:t>
      </w:r>
      <w:r w:rsidR="00744566">
        <w:t> </w:t>
      </w:r>
      <w:r w:rsidRPr="00E939EA">
        <w:t xml:space="preserve">sposób skorelowany i spójny. Wcześniejsze wejście w życie jednego z projektów nie </w:t>
      </w:r>
      <w:r w:rsidRPr="00E939EA">
        <w:lastRenderedPageBreak/>
        <w:t xml:space="preserve">ma wpływu </w:t>
      </w:r>
      <w:r w:rsidR="00556113">
        <w:t xml:space="preserve">na </w:t>
      </w:r>
      <w:r w:rsidRPr="00E939EA">
        <w:t>zakres obowiązywania drugiego projektu. Wszystkie kary nakładan</w:t>
      </w:r>
      <w:r w:rsidR="004000CE">
        <w:t>e</w:t>
      </w:r>
      <w:r w:rsidRPr="00E939EA">
        <w:t xml:space="preserve"> na kierowcę, zarządzającego transportem oraz przedsiębiorstwo transportowe zostały uregulowane w jednym projekcie ustawy o zmianie ustawy o transporcie drogowym oraz o zmianie niektórych innych ustaw (UC90) jako dokumencie całościowo regulującym obowiązki i warunki związane z wykonywaniem przewozu drogowego </w:t>
      </w:r>
      <w:r w:rsidR="003F30C1">
        <w:t>oraz kontrolą tego przewozu. W projekcie</w:t>
      </w:r>
      <w:r w:rsidRPr="00E939EA">
        <w:t xml:space="preserve"> UC90 </w:t>
      </w:r>
      <w:r w:rsidR="003F30C1">
        <w:t>zawarto</w:t>
      </w:r>
      <w:r w:rsidRPr="00E939EA">
        <w:t xml:space="preserve"> </w:t>
      </w:r>
      <w:r w:rsidR="00354BFF" w:rsidRPr="00E939EA">
        <w:t xml:space="preserve">także </w:t>
      </w:r>
      <w:r w:rsidRPr="00E939EA">
        <w:t>zmiany w zakresie art. 4 w pkt 22 lit. a (zmiany odniesienia do rozporządzenia (EWG) nr 3821/85 na rozporządzenie (UE) nr 165/2014) oraz mającą podobny charakter nowelizację art. 92b ust. 1.</w:t>
      </w:r>
    </w:p>
    <w:p w:rsidR="00354BFF" w:rsidRPr="00E939EA" w:rsidRDefault="00C226A1" w:rsidP="003B79D3">
      <w:pPr>
        <w:spacing w:before="120" w:line="360" w:lineRule="auto"/>
        <w:jc w:val="both"/>
      </w:pPr>
      <w:r w:rsidRPr="00E939EA">
        <w:t>P</w:t>
      </w:r>
      <w:r w:rsidR="00530863" w:rsidRPr="00E939EA">
        <w:t xml:space="preserve">rojekt zawiera natomiast katalog sankcji za naruszenia </w:t>
      </w:r>
      <w:r w:rsidR="003F30C1">
        <w:t>wymagań i obowiązków określonych w u</w:t>
      </w:r>
      <w:r w:rsidR="00530863" w:rsidRPr="00E939EA">
        <w:t>staw</w:t>
      </w:r>
      <w:r w:rsidR="003F30C1">
        <w:t>ie</w:t>
      </w:r>
      <w:r w:rsidR="00354BFF" w:rsidRPr="00E939EA">
        <w:t xml:space="preserve">, w tym dla </w:t>
      </w:r>
      <w:r w:rsidR="00530863" w:rsidRPr="00E939EA">
        <w:t xml:space="preserve">podmiotów posiadających zezwolenie, </w:t>
      </w:r>
      <w:r w:rsidR="00354BFF" w:rsidRPr="00E939EA">
        <w:t xml:space="preserve">techników warsztatu, </w:t>
      </w:r>
      <w:r w:rsidR="00530863" w:rsidRPr="00E939EA">
        <w:t xml:space="preserve">producentów </w:t>
      </w:r>
      <w:r w:rsidR="00354BFF" w:rsidRPr="00E939EA">
        <w:t>tachografów i ich części składowych</w:t>
      </w:r>
      <w:r w:rsidR="003F30C1">
        <w:t xml:space="preserve">, a także </w:t>
      </w:r>
      <w:r w:rsidR="008C4B41">
        <w:t>kierowców w </w:t>
      </w:r>
      <w:r w:rsidR="00354BFF" w:rsidRPr="00E939EA">
        <w:t>zakresie obowiązków określonych w:</w:t>
      </w:r>
    </w:p>
    <w:p w:rsidR="00354BFF" w:rsidRPr="00E939EA" w:rsidRDefault="00354BFF" w:rsidP="003B79D3">
      <w:pPr>
        <w:numPr>
          <w:ilvl w:val="0"/>
          <w:numId w:val="25"/>
        </w:numPr>
        <w:spacing w:line="360" w:lineRule="auto"/>
        <w:ind w:left="322" w:hanging="336"/>
        <w:jc w:val="both"/>
      </w:pPr>
      <w:r w:rsidRPr="00E939EA">
        <w:t>art. 29 ust. 2 rozporządzenia (UE) nr 165/2014, czyli niezgłoszenia faktu kradzieży karty właściwemu organowi państwa, w którym dokonano kradzieży,</w:t>
      </w:r>
    </w:p>
    <w:p w:rsidR="00354BFF" w:rsidRPr="00E939EA" w:rsidRDefault="00354BFF" w:rsidP="003B79D3">
      <w:pPr>
        <w:numPr>
          <w:ilvl w:val="0"/>
          <w:numId w:val="25"/>
        </w:numPr>
        <w:spacing w:line="360" w:lineRule="auto"/>
        <w:ind w:left="322" w:hanging="336"/>
        <w:jc w:val="both"/>
      </w:pPr>
      <w:r w:rsidRPr="00E939EA">
        <w:t>art. 29 ust. 3 rozporządzenia (UE) nr 165/2014, czyli niezgłoszenia faktu utraty karty właściwym organom, o których mowa w tym artykule,</w:t>
      </w:r>
    </w:p>
    <w:p w:rsidR="00354BFF" w:rsidRPr="00E939EA" w:rsidRDefault="00354BFF" w:rsidP="003B79D3">
      <w:pPr>
        <w:numPr>
          <w:ilvl w:val="0"/>
          <w:numId w:val="25"/>
        </w:numPr>
        <w:spacing w:line="360" w:lineRule="auto"/>
        <w:ind w:left="322" w:hanging="336"/>
        <w:jc w:val="both"/>
      </w:pPr>
      <w:r w:rsidRPr="00E939EA">
        <w:t>art. 47 ust. 2 pkt 1, czyli</w:t>
      </w:r>
      <w:r w:rsidR="0045589C">
        <w:t xml:space="preserve"> </w:t>
      </w:r>
      <w:r w:rsidRPr="00E939EA">
        <w:t>niezawiadomienia o uszkodzeniu karty podmiotu wydającego karty,</w:t>
      </w:r>
    </w:p>
    <w:p w:rsidR="00354BFF" w:rsidRPr="00E939EA" w:rsidRDefault="00354BFF" w:rsidP="003B79D3">
      <w:pPr>
        <w:numPr>
          <w:ilvl w:val="0"/>
          <w:numId w:val="25"/>
        </w:numPr>
        <w:spacing w:line="360" w:lineRule="auto"/>
        <w:ind w:left="322" w:hanging="336"/>
        <w:jc w:val="both"/>
      </w:pPr>
      <w:r w:rsidRPr="00E939EA">
        <w:t>art. 47 ust. 2 pkt 2 lit. a, czyli niezwrócenia uszkodzonej karty do podmiotu wydającego karty,</w:t>
      </w:r>
    </w:p>
    <w:p w:rsidR="00530863" w:rsidRPr="00E939EA" w:rsidRDefault="00354BFF" w:rsidP="003B79D3">
      <w:pPr>
        <w:numPr>
          <w:ilvl w:val="0"/>
          <w:numId w:val="25"/>
        </w:numPr>
        <w:spacing w:line="360" w:lineRule="auto"/>
        <w:ind w:left="322" w:hanging="336"/>
        <w:jc w:val="both"/>
      </w:pPr>
      <w:r w:rsidRPr="00E939EA">
        <w:t>art. 47 ust. 2 pkt 2 lit. c, czyli niezwrócenia karty wymienianej z powodu zmiany danych zawartych na karci</w:t>
      </w:r>
      <w:r w:rsidR="00B008DD">
        <w:t>e do podmiotu wydającego karty.</w:t>
      </w:r>
    </w:p>
    <w:p w:rsidR="00823789" w:rsidRPr="00E939EA" w:rsidRDefault="00373053" w:rsidP="003B79D3">
      <w:pPr>
        <w:spacing w:before="120" w:line="360" w:lineRule="auto"/>
        <w:jc w:val="both"/>
      </w:pPr>
      <w:r w:rsidRPr="00E939EA">
        <w:t>Przepisy dotyczące wysokości kary pieniężnej określa</w:t>
      </w:r>
      <w:r w:rsidR="007A7BC3" w:rsidRPr="00E939EA">
        <w:t xml:space="preserve">ją </w:t>
      </w:r>
      <w:r w:rsidRPr="00E939EA">
        <w:t>wysokość tych kar</w:t>
      </w:r>
      <w:r w:rsidR="00CC2EB5">
        <w:t>,</w:t>
      </w:r>
      <w:r w:rsidRPr="00E939EA">
        <w:t xml:space="preserve"> wskazując </w:t>
      </w:r>
      <w:r w:rsidR="003F30C1">
        <w:t xml:space="preserve">ich </w:t>
      </w:r>
      <w:r w:rsidRPr="00E939EA">
        <w:t>górn</w:t>
      </w:r>
      <w:r w:rsidR="007A7BC3" w:rsidRPr="00E939EA">
        <w:t>ą</w:t>
      </w:r>
      <w:r w:rsidRPr="00E939EA">
        <w:t xml:space="preserve"> i doln</w:t>
      </w:r>
      <w:r w:rsidR="007A7BC3" w:rsidRPr="00E939EA">
        <w:t>ą</w:t>
      </w:r>
      <w:r w:rsidRPr="00E939EA">
        <w:t xml:space="preserve"> granic</w:t>
      </w:r>
      <w:r w:rsidR="003F30C1">
        <w:t>ę</w:t>
      </w:r>
      <w:r w:rsidRPr="00E939EA">
        <w:t>.</w:t>
      </w:r>
    </w:p>
    <w:p w:rsidR="00373053" w:rsidRPr="00E939EA" w:rsidRDefault="00373053" w:rsidP="003B79D3">
      <w:pPr>
        <w:spacing w:before="120" w:line="360" w:lineRule="auto"/>
        <w:jc w:val="both"/>
      </w:pPr>
      <w:r w:rsidRPr="00E939EA">
        <w:t xml:space="preserve">Rozdział </w:t>
      </w:r>
      <w:r w:rsidR="007A7BC3" w:rsidRPr="00E939EA">
        <w:t>8</w:t>
      </w:r>
      <w:r w:rsidRPr="00E939EA">
        <w:t xml:space="preserve"> (art. </w:t>
      </w:r>
      <w:r w:rsidR="007A7BC3" w:rsidRPr="00E939EA">
        <w:t>5</w:t>
      </w:r>
      <w:r w:rsidR="00305612" w:rsidRPr="00E939EA">
        <w:t>8</w:t>
      </w:r>
      <w:r w:rsidRPr="00E939EA">
        <w:t>–</w:t>
      </w:r>
      <w:r w:rsidR="00305612" w:rsidRPr="00E939EA">
        <w:t>63</w:t>
      </w:r>
      <w:r w:rsidRPr="00E939EA">
        <w:t>) wprowadza zmiany w obowiązujących przepisach:</w:t>
      </w:r>
    </w:p>
    <w:p w:rsidR="00373053" w:rsidRPr="00E939EA" w:rsidRDefault="00373053" w:rsidP="003B79D3">
      <w:pPr>
        <w:numPr>
          <w:ilvl w:val="0"/>
          <w:numId w:val="22"/>
        </w:numPr>
        <w:spacing w:line="360" w:lineRule="auto"/>
        <w:ind w:left="350" w:hanging="350"/>
        <w:jc w:val="both"/>
      </w:pPr>
      <w:r w:rsidRPr="00E939EA">
        <w:t xml:space="preserve">ustawie z dnia 20 czerwca 1997 r. </w:t>
      </w:r>
      <w:r w:rsidR="0045589C">
        <w:t>–</w:t>
      </w:r>
      <w:r w:rsidRPr="00E939EA">
        <w:t xml:space="preserve"> Prawo o ruchu drogowym</w:t>
      </w:r>
      <w:r w:rsidR="007A7BC3" w:rsidRPr="00E939EA">
        <w:t>,</w:t>
      </w:r>
    </w:p>
    <w:p w:rsidR="00373053" w:rsidRPr="00E939EA" w:rsidRDefault="00373053" w:rsidP="003B79D3">
      <w:pPr>
        <w:numPr>
          <w:ilvl w:val="0"/>
          <w:numId w:val="22"/>
        </w:numPr>
        <w:spacing w:line="360" w:lineRule="auto"/>
        <w:ind w:left="350" w:hanging="350"/>
        <w:jc w:val="both"/>
      </w:pPr>
      <w:r w:rsidRPr="00E939EA">
        <w:t xml:space="preserve">ustawie z dnia 11 maja 2001 r. </w:t>
      </w:r>
      <w:r w:rsidR="0045589C">
        <w:t>–</w:t>
      </w:r>
      <w:r w:rsidRPr="00E939EA">
        <w:t xml:space="preserve"> Prawo o miarach</w:t>
      </w:r>
      <w:r w:rsidR="007A7BC3" w:rsidRPr="00E939EA">
        <w:t>,</w:t>
      </w:r>
    </w:p>
    <w:p w:rsidR="00373053" w:rsidRPr="00E939EA" w:rsidRDefault="00373053" w:rsidP="003B79D3">
      <w:pPr>
        <w:numPr>
          <w:ilvl w:val="0"/>
          <w:numId w:val="22"/>
        </w:numPr>
        <w:spacing w:line="360" w:lineRule="auto"/>
        <w:ind w:left="350" w:hanging="350"/>
        <w:jc w:val="both"/>
      </w:pPr>
      <w:r w:rsidRPr="00E939EA">
        <w:t>ustawie z dnia 24 sierpnia 2001 r. – K</w:t>
      </w:r>
      <w:r w:rsidR="008C4B41">
        <w:t>odeks postępowania w sprawach o </w:t>
      </w:r>
      <w:r w:rsidRPr="00E939EA">
        <w:t>wykroczenia</w:t>
      </w:r>
      <w:r w:rsidR="007A7BC3" w:rsidRPr="00E939EA">
        <w:t>,</w:t>
      </w:r>
    </w:p>
    <w:p w:rsidR="00373053" w:rsidRPr="00E939EA" w:rsidRDefault="00373053" w:rsidP="003B79D3">
      <w:pPr>
        <w:numPr>
          <w:ilvl w:val="0"/>
          <w:numId w:val="22"/>
        </w:numPr>
        <w:spacing w:line="360" w:lineRule="auto"/>
        <w:ind w:left="350" w:hanging="350"/>
        <w:jc w:val="both"/>
      </w:pPr>
      <w:r w:rsidRPr="00E939EA">
        <w:t>ustawie z dnia 6 września 2001 r. o transporcie drogowym</w:t>
      </w:r>
      <w:r w:rsidR="007A7BC3" w:rsidRPr="00E939EA">
        <w:t>,</w:t>
      </w:r>
    </w:p>
    <w:p w:rsidR="00373053" w:rsidRPr="00E939EA" w:rsidRDefault="00373053" w:rsidP="003B79D3">
      <w:pPr>
        <w:numPr>
          <w:ilvl w:val="0"/>
          <w:numId w:val="22"/>
        </w:numPr>
        <w:spacing w:line="360" w:lineRule="auto"/>
        <w:ind w:left="350" w:hanging="350"/>
        <w:jc w:val="both"/>
      </w:pPr>
      <w:r w:rsidRPr="00E939EA">
        <w:t>ustawie z dnia 16 kwietnia 2004 r. o czasie pracy kierowców</w:t>
      </w:r>
      <w:r w:rsidR="007A7BC3" w:rsidRPr="00E939EA">
        <w:t>,</w:t>
      </w:r>
    </w:p>
    <w:p w:rsidR="00373053" w:rsidRPr="00E939EA" w:rsidRDefault="00373053" w:rsidP="003B79D3">
      <w:pPr>
        <w:numPr>
          <w:ilvl w:val="0"/>
          <w:numId w:val="22"/>
        </w:numPr>
        <w:spacing w:line="360" w:lineRule="auto"/>
        <w:ind w:left="350" w:hanging="350"/>
        <w:jc w:val="both"/>
      </w:pPr>
      <w:r w:rsidRPr="00E939EA">
        <w:lastRenderedPageBreak/>
        <w:t xml:space="preserve">ustawie z </w:t>
      </w:r>
      <w:r w:rsidR="003F30C1">
        <w:t>… 201</w:t>
      </w:r>
      <w:r w:rsidR="00305612" w:rsidRPr="00E939EA">
        <w:t>8</w:t>
      </w:r>
      <w:r w:rsidRPr="00E939EA">
        <w:t xml:space="preserve"> r. o </w:t>
      </w:r>
      <w:r w:rsidR="00305612" w:rsidRPr="00E939EA">
        <w:t>dokumentach publicznych</w:t>
      </w:r>
      <w:r w:rsidR="003C0BAD" w:rsidRPr="00E939EA">
        <w:t>.</w:t>
      </w:r>
    </w:p>
    <w:p w:rsidR="007E1A9E" w:rsidRPr="00E939EA" w:rsidRDefault="00D67B0B" w:rsidP="003B79D3">
      <w:pPr>
        <w:spacing w:before="120" w:line="360" w:lineRule="auto"/>
        <w:jc w:val="both"/>
      </w:pPr>
      <w:r w:rsidRPr="00E939EA">
        <w:t>W ustawie</w:t>
      </w:r>
      <w:r w:rsidR="000131C7" w:rsidRPr="00E939EA">
        <w:t xml:space="preserve"> – Prawo o ruchu drogowym</w:t>
      </w:r>
      <w:r w:rsidRPr="00E939EA">
        <w:t xml:space="preserve"> p</w:t>
      </w:r>
      <w:r w:rsidR="000131C7" w:rsidRPr="00E939EA">
        <w:t>roponuje się ujedno</w:t>
      </w:r>
      <w:r w:rsidR="003F30C1">
        <w:t>licenie stosowanej terminologii</w:t>
      </w:r>
      <w:r w:rsidR="000131C7" w:rsidRPr="00E939EA">
        <w:t xml:space="preserve"> tak</w:t>
      </w:r>
      <w:r w:rsidR="003F30C1">
        <w:t>,</w:t>
      </w:r>
      <w:r w:rsidR="000131C7" w:rsidRPr="00E939EA">
        <w:t xml:space="preserve"> aby zgodnie z nowym rozporządzeniem zamiast sformułowania „urządzenie rejestrujące samoczynnie prędkość jazdy, czas jazdy i czas postoju, obowiązkowe przerwy i czas odpoczynku” używać </w:t>
      </w:r>
      <w:r w:rsidR="003F30C1">
        <w:t>wyrazu</w:t>
      </w:r>
      <w:r w:rsidR="000131C7" w:rsidRPr="00E939EA">
        <w:t xml:space="preserve"> „tachograf”. Ponadto konieczna jest zm</w:t>
      </w:r>
      <w:r w:rsidR="00823789" w:rsidRPr="00E939EA">
        <w:t>iana odniesienia do rozporządzenia</w:t>
      </w:r>
      <w:r w:rsidR="000131C7" w:rsidRPr="00E939EA">
        <w:t xml:space="preserve"> (EWG) 3821/85 na </w:t>
      </w:r>
      <w:r w:rsidR="00856870" w:rsidRPr="00E939EA">
        <w:t xml:space="preserve">odniesienie do </w:t>
      </w:r>
      <w:r w:rsidR="000131C7" w:rsidRPr="00E939EA">
        <w:t>rozporządzeni</w:t>
      </w:r>
      <w:r w:rsidR="00856870" w:rsidRPr="00E939EA">
        <w:t>a</w:t>
      </w:r>
      <w:r w:rsidR="000131C7" w:rsidRPr="00E939EA">
        <w:t xml:space="preserve"> (UE) 165/2014.</w:t>
      </w:r>
      <w:r w:rsidR="007E1A9E" w:rsidRPr="00E939EA">
        <w:t xml:space="preserve"> </w:t>
      </w:r>
    </w:p>
    <w:p w:rsidR="0080323A" w:rsidRPr="00E939EA" w:rsidRDefault="0080323A" w:rsidP="003B79D3">
      <w:pPr>
        <w:spacing w:before="120" w:line="360" w:lineRule="auto"/>
        <w:jc w:val="both"/>
      </w:pPr>
      <w:r w:rsidRPr="00E939EA">
        <w:t xml:space="preserve">W projekcie przewidziano zmianę ustawy </w:t>
      </w:r>
      <w:r w:rsidR="0045589C">
        <w:t>–</w:t>
      </w:r>
      <w:r w:rsidRPr="00E939EA">
        <w:t xml:space="preserve"> Prawo o ruchu drogowym poprzez umożliwienie stałego dos</w:t>
      </w:r>
      <w:r w:rsidR="003F30C1">
        <w:t>tępu do bazy CEPIK urzędom miar. P</w:t>
      </w:r>
      <w:r w:rsidRPr="00E939EA">
        <w:t>ozwoli</w:t>
      </w:r>
      <w:r w:rsidR="003F30C1">
        <w:t xml:space="preserve"> to</w:t>
      </w:r>
      <w:r w:rsidRPr="00E939EA">
        <w:t>, przy analizach wykonywanych przez GUM zgłaszanych ostatnio licznie przez Wojewódzkie Inspektoraty Transportu Drogowego i dyrektorów Okręgowych Urzędów Miar oraz inne podmioty</w:t>
      </w:r>
      <w:r w:rsidR="003F30C1">
        <w:t>,</w:t>
      </w:r>
      <w:r w:rsidRPr="00E939EA">
        <w:t xml:space="preserve"> domniemanych przypadków narusze</w:t>
      </w:r>
      <w:r w:rsidR="00C25842">
        <w:t>nia przepisów dotyczących m.in. </w:t>
      </w:r>
      <w:r w:rsidRPr="00E939EA">
        <w:t>wymagań rozporządzenia (UE) nr 1266/2009</w:t>
      </w:r>
      <w:r w:rsidR="00CC2EB5">
        <w:t xml:space="preserve">, </w:t>
      </w:r>
      <w:r w:rsidRPr="00E939EA">
        <w:t>sprawne określanie lub potwierdzanie daty pierwszej rejestracji pojazdu, w którym zainstalowany jest kontrolowany tachograf cyfrowy. Tym samym możliwe byłoby, gdyby data pierwszej rejestracji pojazdu była późniejsza niż w tym przypadku 1 października 2012 r., szybkie stwierdzenie z całą pewnością, że w pojeździe powinien być zainstalowany tachograf „trzeciej generacji” wraz z czujnikiem ruchu KITAS 2+, a niezależny sygnał ruchu powinien być dostępny. Tym samym stanowiłoby to podstawę do wszczęcia postępowania w sprawie cofnięcia zezwolenia na prowadzenie warsztatu tachografów cyfrowych. Informacja z bazy danych CEPIK dotycząca daty pierwszej rejestracji pojazdu byłaby przydatna także przy analizie przypadków, gdy pojazd został zarejestrowany po raz pierwszy przed dniem 1 października 2012 r., a także po wdrożeniu do użytkowania inteligentnych tachografów. Informacje dotyczące daty pierwszej rejestracji pojazdu będą miały istotne znaczenie w przypadku wdrożenia do krajowego porządku prawnego wytycznych Dyrekcji Generalnej Komisji Europejskiej ds. Tr</w:t>
      </w:r>
      <w:r w:rsidR="008C4B41">
        <w:t>ansportu i Mobilności (MOVE) w</w:t>
      </w:r>
      <w:r w:rsidR="00B71D80">
        <w:t xml:space="preserve"> </w:t>
      </w:r>
      <w:r w:rsidRPr="00E939EA">
        <w:t>projektowanym kształcie.</w:t>
      </w:r>
    </w:p>
    <w:p w:rsidR="006C6E7A" w:rsidRPr="00E939EA" w:rsidRDefault="0027437B" w:rsidP="003B79D3">
      <w:pPr>
        <w:spacing w:before="120" w:line="360" w:lineRule="auto"/>
        <w:jc w:val="both"/>
      </w:pPr>
      <w:r w:rsidRPr="00E939EA">
        <w:t xml:space="preserve">W ustawie </w:t>
      </w:r>
      <w:r w:rsidR="0045589C">
        <w:t>–</w:t>
      </w:r>
      <w:r w:rsidRPr="00E939EA">
        <w:t xml:space="preserve"> Prawo o miarach </w:t>
      </w:r>
      <w:r w:rsidR="00157663" w:rsidRPr="00E939EA">
        <w:t>proponuje się uchylenie wszystkich przepisów dotyczących tachografów analogowych tak</w:t>
      </w:r>
      <w:r w:rsidR="003F30C1">
        <w:t>, aby wszystkie urządzenia</w:t>
      </w:r>
      <w:r w:rsidR="00157663" w:rsidRPr="00E939EA">
        <w:t xml:space="preserve"> zarówno cyfrowe</w:t>
      </w:r>
      <w:r w:rsidR="00437C3D">
        <w:t>,</w:t>
      </w:r>
      <w:r w:rsidR="00157663" w:rsidRPr="00E939EA">
        <w:t xml:space="preserve"> jak i analogowe były</w:t>
      </w:r>
      <w:r w:rsidR="003F30C1">
        <w:t xml:space="preserve"> objęte</w:t>
      </w:r>
      <w:r w:rsidR="00157663" w:rsidRPr="00E939EA">
        <w:t xml:space="preserve"> </w:t>
      </w:r>
      <w:r w:rsidR="003F30C1">
        <w:t xml:space="preserve">regulacją </w:t>
      </w:r>
      <w:r w:rsidR="00157663" w:rsidRPr="00E939EA">
        <w:t>w jednej ustawie.</w:t>
      </w:r>
      <w:r w:rsidR="007A7BC3" w:rsidRPr="00E939EA">
        <w:t xml:space="preserve"> </w:t>
      </w:r>
    </w:p>
    <w:p w:rsidR="007A7BC3" w:rsidRPr="00E939EA" w:rsidRDefault="006C6E7A" w:rsidP="003B79D3">
      <w:pPr>
        <w:spacing w:before="120" w:line="360" w:lineRule="auto"/>
        <w:jc w:val="both"/>
      </w:pPr>
      <w:r w:rsidRPr="00E939EA">
        <w:t xml:space="preserve">W art. 24a ustawy – Prawo o miarach proponuje się wprowadzenie ust. 1a określającego maksymalną wysokość stawek godzinowych za czas pracy pracowników administracji </w:t>
      </w:r>
      <w:r w:rsidRPr="00E939EA">
        <w:lastRenderedPageBreak/>
        <w:t xml:space="preserve">miar. Stawka ta jest ustalona w wysokości określonej w projektowanej ustawie – 350 zł, co odpowiada stawce ustalonej w obowiązującej ustawie o systemie tachografów cyfrowych. </w:t>
      </w:r>
      <w:r w:rsidR="007A7BC3" w:rsidRPr="00E939EA">
        <w:t>Ponadto w związku ze</w:t>
      </w:r>
      <w:r w:rsidR="00354BFF" w:rsidRPr="00E939EA">
        <w:t xml:space="preserve"> </w:t>
      </w:r>
      <w:r w:rsidR="007A7BC3" w:rsidRPr="00E939EA">
        <w:t xml:space="preserve">zmianą art. 24a ust. 4 </w:t>
      </w:r>
      <w:r w:rsidR="008C4B41">
        <w:t>ustawy – Prawo o</w:t>
      </w:r>
      <w:r w:rsidR="00B71D80">
        <w:t xml:space="preserve"> </w:t>
      </w:r>
      <w:r w:rsidR="00255C8D" w:rsidRPr="00E939EA">
        <w:t>miarach stanowiącego podstawę do wydania aktu przez m</w:t>
      </w:r>
      <w:r w:rsidR="007A7BC3" w:rsidRPr="00E939EA">
        <w:t>inistr</w:t>
      </w:r>
      <w:r w:rsidR="00255C8D" w:rsidRPr="00E939EA">
        <w:t>a</w:t>
      </w:r>
      <w:r w:rsidR="007A7BC3" w:rsidRPr="00E939EA">
        <w:t xml:space="preserve"> właściw</w:t>
      </w:r>
      <w:r w:rsidR="00255C8D" w:rsidRPr="00E939EA">
        <w:t xml:space="preserve">ego </w:t>
      </w:r>
      <w:r w:rsidR="007A7BC3" w:rsidRPr="00E939EA">
        <w:t>do spraw finansów publicznych</w:t>
      </w:r>
      <w:r w:rsidR="00255C8D" w:rsidRPr="00E939EA">
        <w:t xml:space="preserve"> konieczne będzie </w:t>
      </w:r>
      <w:r w:rsidR="007A7BC3" w:rsidRPr="00E939EA">
        <w:t>wydani</w:t>
      </w:r>
      <w:r w:rsidR="00255C8D" w:rsidRPr="00E939EA">
        <w:t>e</w:t>
      </w:r>
      <w:r w:rsidR="007A7BC3" w:rsidRPr="00E939EA">
        <w:t xml:space="preserve"> nowego rozporządzenia</w:t>
      </w:r>
      <w:r w:rsidR="00B71D80">
        <w:t xml:space="preserve"> w sprawie wysokości i </w:t>
      </w:r>
      <w:r w:rsidR="00255C8D" w:rsidRPr="00E939EA">
        <w:t xml:space="preserve">trybu pobierania opłat. </w:t>
      </w:r>
    </w:p>
    <w:p w:rsidR="0080323A" w:rsidRPr="00E939EA" w:rsidRDefault="0080323A" w:rsidP="003B79D3">
      <w:pPr>
        <w:spacing w:before="120" w:line="360" w:lineRule="auto"/>
        <w:jc w:val="both"/>
      </w:pPr>
      <w:r w:rsidRPr="00E939EA">
        <w:t xml:space="preserve">W ustawie </w:t>
      </w:r>
      <w:r w:rsidR="00437C3D">
        <w:t xml:space="preserve">– </w:t>
      </w:r>
      <w:r w:rsidRPr="00E939EA">
        <w:t>Kodeks postępowania w sprawach o wykroczenia wprowadzono zmianę, polegając</w:t>
      </w:r>
      <w:r w:rsidR="00437C3D">
        <w:t>ą</w:t>
      </w:r>
      <w:r w:rsidRPr="00E939EA">
        <w:t xml:space="preserve"> na dodaniu w post</w:t>
      </w:r>
      <w:r w:rsidR="00437C3D">
        <w:t>ę</w:t>
      </w:r>
      <w:r w:rsidRPr="00E939EA">
        <w:t>powaniu mandatowym w sprawach naruszeń przestrzegania obowiązków lub warunków pr</w:t>
      </w:r>
      <w:r w:rsidR="008C4B41">
        <w:t>zewozu drogowego wymienionych w </w:t>
      </w:r>
      <w:r w:rsidRPr="00E939EA">
        <w:t>załączniku nr 1 i 2 do ustawy z dnia 6 września 20</w:t>
      </w:r>
      <w:r w:rsidR="008C4B41">
        <w:t>01 r. o transporcie drogowym, w </w:t>
      </w:r>
      <w:r w:rsidRPr="00E939EA">
        <w:t>których oskarżycielem publicznym jest właściwy organ Inspekcji Transportu Drogowego, Policji – także właściwy organ Straży Granicznej. W ww. post</w:t>
      </w:r>
      <w:r w:rsidR="00437C3D">
        <w:t>ę</w:t>
      </w:r>
      <w:r w:rsidRPr="00E939EA">
        <w:t>powaniu można nałożyć grzywnę w wysokości do 2000 zł.</w:t>
      </w:r>
    </w:p>
    <w:p w:rsidR="00823789" w:rsidRPr="00E939EA" w:rsidRDefault="00D00777" w:rsidP="003B79D3">
      <w:pPr>
        <w:spacing w:before="120" w:line="360" w:lineRule="auto"/>
        <w:jc w:val="both"/>
      </w:pPr>
      <w:r w:rsidRPr="00E939EA">
        <w:t xml:space="preserve">W ustawie o transporcie drogowym proponuje się wprowadzenie </w:t>
      </w:r>
      <w:r w:rsidR="001E74CB" w:rsidRPr="00E939EA">
        <w:t>szeregu zmian związanych z dostosowaniem przedmiotowych przep</w:t>
      </w:r>
      <w:r w:rsidR="008C4B41">
        <w:t>isów do nowego rozporządzenia w </w:t>
      </w:r>
      <w:r w:rsidR="001E74CB" w:rsidRPr="00E939EA">
        <w:t>sprawie tachografó</w:t>
      </w:r>
      <w:r w:rsidR="00823789" w:rsidRPr="00E939EA">
        <w:t xml:space="preserve">w, w tym m.in. ujednolicenie terminologii. </w:t>
      </w:r>
    </w:p>
    <w:p w:rsidR="0021181D" w:rsidRPr="00E939EA" w:rsidRDefault="000131C7" w:rsidP="003B79D3">
      <w:pPr>
        <w:spacing w:before="120" w:line="360" w:lineRule="auto"/>
        <w:jc w:val="both"/>
      </w:pPr>
      <w:r w:rsidRPr="00E939EA">
        <w:t xml:space="preserve">W projekcie ustawy </w:t>
      </w:r>
      <w:r w:rsidR="00EB40F6" w:rsidRPr="00E939EA">
        <w:t xml:space="preserve">o czasie pracy kierowców </w:t>
      </w:r>
      <w:r w:rsidRPr="00E939EA">
        <w:t>wprowadzono zmiany związane z</w:t>
      </w:r>
      <w:r w:rsidR="008C4B41">
        <w:t> </w:t>
      </w:r>
      <w:r w:rsidRPr="00E939EA">
        <w:t xml:space="preserve">dostosowaniem obowiązujących przepisów do </w:t>
      </w:r>
      <w:r w:rsidR="0021181D" w:rsidRPr="00E939EA">
        <w:t xml:space="preserve">rozporządzenia (UE) nr 165/2014 oraz doprecyzowaniem terminu „czas wolny” określonego </w:t>
      </w:r>
      <w:r w:rsidR="00CC7B6A" w:rsidRPr="00E939EA">
        <w:t xml:space="preserve">w </w:t>
      </w:r>
      <w:r w:rsidR="0021181D" w:rsidRPr="00E939EA">
        <w:t>formularzu zaświadczenia</w:t>
      </w:r>
      <w:r w:rsidR="008C4B41">
        <w:t>, o </w:t>
      </w:r>
      <w:r w:rsidR="0021181D" w:rsidRPr="00E939EA">
        <w:t>którym mowa w decyzji Komisji nr 2007/230/WE (art. 31 ustawy</w:t>
      </w:r>
      <w:r w:rsidR="00936778" w:rsidRPr="00E939EA">
        <w:t xml:space="preserve"> o czasie pracy kierowców</w:t>
      </w:r>
      <w:r w:rsidR="0021181D" w:rsidRPr="00E939EA">
        <w:t>)</w:t>
      </w:r>
      <w:r w:rsidR="00051481" w:rsidRPr="00E939EA">
        <w:t>.</w:t>
      </w:r>
    </w:p>
    <w:p w:rsidR="00255C8D" w:rsidRPr="00E939EA" w:rsidRDefault="0080323A" w:rsidP="003B79D3">
      <w:pPr>
        <w:pStyle w:val="CZWSPPKTczwsplnapunktw"/>
        <w:spacing w:before="120"/>
        <w:rPr>
          <w:rFonts w:ascii="Times New Roman" w:hAnsi="Times New Roman" w:cs="Times New Roman"/>
          <w:szCs w:val="24"/>
        </w:rPr>
      </w:pPr>
      <w:r w:rsidRPr="00E939EA">
        <w:rPr>
          <w:rFonts w:ascii="Times New Roman" w:hAnsi="Times New Roman" w:cs="Times New Roman"/>
          <w:szCs w:val="24"/>
        </w:rPr>
        <w:t xml:space="preserve">Rozdział </w:t>
      </w:r>
      <w:r w:rsidR="00255C8D" w:rsidRPr="00E939EA">
        <w:rPr>
          <w:rFonts w:ascii="Times New Roman" w:hAnsi="Times New Roman" w:cs="Times New Roman"/>
          <w:szCs w:val="24"/>
        </w:rPr>
        <w:t>9</w:t>
      </w:r>
      <w:r w:rsidRPr="00E939EA">
        <w:rPr>
          <w:rFonts w:ascii="Times New Roman" w:hAnsi="Times New Roman" w:cs="Times New Roman"/>
          <w:szCs w:val="24"/>
        </w:rPr>
        <w:t xml:space="preserve"> (art. </w:t>
      </w:r>
      <w:r w:rsidR="00305612" w:rsidRPr="00E939EA">
        <w:rPr>
          <w:rFonts w:ascii="Times New Roman" w:hAnsi="Times New Roman" w:cs="Times New Roman"/>
          <w:szCs w:val="24"/>
        </w:rPr>
        <w:t>6</w:t>
      </w:r>
      <w:r w:rsidR="00815CE0" w:rsidRPr="00E939EA">
        <w:rPr>
          <w:rFonts w:ascii="Times New Roman" w:hAnsi="Times New Roman" w:cs="Times New Roman"/>
          <w:szCs w:val="24"/>
        </w:rPr>
        <w:t>4</w:t>
      </w:r>
      <w:r w:rsidRPr="00E939EA">
        <w:rPr>
          <w:rFonts w:ascii="Times New Roman" w:hAnsi="Times New Roman" w:cs="Times New Roman"/>
          <w:szCs w:val="24"/>
        </w:rPr>
        <w:t>–</w:t>
      </w:r>
      <w:r w:rsidR="00305612" w:rsidRPr="00E939EA">
        <w:rPr>
          <w:rFonts w:ascii="Times New Roman" w:hAnsi="Times New Roman" w:cs="Times New Roman"/>
          <w:szCs w:val="24"/>
        </w:rPr>
        <w:t>7</w:t>
      </w:r>
      <w:r w:rsidR="00815CE0" w:rsidRPr="00E939EA">
        <w:rPr>
          <w:rFonts w:ascii="Times New Roman" w:hAnsi="Times New Roman" w:cs="Times New Roman"/>
          <w:szCs w:val="24"/>
        </w:rPr>
        <w:t>5</w:t>
      </w:r>
      <w:r w:rsidRPr="00E939EA">
        <w:rPr>
          <w:rFonts w:ascii="Times New Roman" w:hAnsi="Times New Roman" w:cs="Times New Roman"/>
          <w:szCs w:val="24"/>
        </w:rPr>
        <w:t xml:space="preserve">) określa przepisy przejściowe i końcowe. </w:t>
      </w:r>
      <w:r w:rsidR="00811EC2" w:rsidRPr="00E939EA">
        <w:rPr>
          <w:rFonts w:ascii="Times New Roman" w:hAnsi="Times New Roman" w:cs="Times New Roman"/>
          <w:szCs w:val="24"/>
        </w:rPr>
        <w:t xml:space="preserve">W projekcie ustawy </w:t>
      </w:r>
      <w:r w:rsidR="0027437B" w:rsidRPr="00E939EA">
        <w:rPr>
          <w:rFonts w:ascii="Times New Roman" w:hAnsi="Times New Roman" w:cs="Times New Roman"/>
          <w:szCs w:val="24"/>
        </w:rPr>
        <w:t xml:space="preserve">proponuje się </w:t>
      </w:r>
      <w:r w:rsidRPr="00E939EA">
        <w:rPr>
          <w:rFonts w:ascii="Times New Roman" w:hAnsi="Times New Roman" w:cs="Times New Roman"/>
          <w:szCs w:val="24"/>
        </w:rPr>
        <w:t xml:space="preserve">m.in. </w:t>
      </w:r>
      <w:r w:rsidR="00CC7B6A" w:rsidRPr="00E939EA">
        <w:rPr>
          <w:rFonts w:ascii="Times New Roman" w:hAnsi="Times New Roman" w:cs="Times New Roman"/>
          <w:szCs w:val="24"/>
        </w:rPr>
        <w:t>wprowadzenie przepisów przejściowych w zakresie spraw wszczętych i</w:t>
      </w:r>
      <w:r w:rsidR="0045589C">
        <w:rPr>
          <w:rFonts w:ascii="Times New Roman" w:hAnsi="Times New Roman" w:cs="Times New Roman"/>
          <w:szCs w:val="24"/>
        </w:rPr>
        <w:t xml:space="preserve"> </w:t>
      </w:r>
      <w:r w:rsidR="00CC7B6A" w:rsidRPr="00E939EA">
        <w:rPr>
          <w:rFonts w:ascii="Times New Roman" w:hAnsi="Times New Roman" w:cs="Times New Roman"/>
          <w:szCs w:val="24"/>
        </w:rPr>
        <w:t xml:space="preserve">niezakończonych przed dniem wejścia w życie </w:t>
      </w:r>
      <w:r w:rsidR="00815CE0" w:rsidRPr="00E939EA">
        <w:rPr>
          <w:rFonts w:ascii="Times New Roman" w:hAnsi="Times New Roman" w:cs="Times New Roman"/>
          <w:szCs w:val="24"/>
        </w:rPr>
        <w:t xml:space="preserve">projektowanej </w:t>
      </w:r>
      <w:r w:rsidR="00CC7B6A" w:rsidRPr="00E939EA">
        <w:rPr>
          <w:rFonts w:ascii="Times New Roman" w:hAnsi="Times New Roman" w:cs="Times New Roman"/>
          <w:szCs w:val="24"/>
        </w:rPr>
        <w:t xml:space="preserve">ustawy oraz wydanych zezwoleń i zaświadczeń potwierdzających posiadanie uprawnień przez technika warsztatu. </w:t>
      </w:r>
      <w:r w:rsidR="00255C8D" w:rsidRPr="00E939EA">
        <w:rPr>
          <w:rFonts w:ascii="Times New Roman" w:hAnsi="Times New Roman" w:cs="Times New Roman"/>
          <w:szCs w:val="24"/>
        </w:rPr>
        <w:t>Do postępowań w sprawach uzyskania praw, wszczętych i</w:t>
      </w:r>
      <w:r w:rsidR="008C4B41">
        <w:rPr>
          <w:rFonts w:ascii="Times New Roman" w:hAnsi="Times New Roman" w:cs="Times New Roman"/>
          <w:szCs w:val="24"/>
        </w:rPr>
        <w:t> </w:t>
      </w:r>
      <w:r w:rsidR="00255C8D" w:rsidRPr="00E939EA">
        <w:rPr>
          <w:rFonts w:ascii="Times New Roman" w:hAnsi="Times New Roman" w:cs="Times New Roman"/>
          <w:szCs w:val="24"/>
        </w:rPr>
        <w:t xml:space="preserve">niezakończonych przed dniem wejścia w życie projektowanej ustawy, proponuje się stosować przepisy dotychczasowe. Natomiast w sprawach o cofnięcie uprawnień proponuje się stosować przepisy nowe, które są korzystniejsze dla stron tych postępowań. </w:t>
      </w:r>
    </w:p>
    <w:p w:rsidR="008F671E" w:rsidRPr="00E939EA" w:rsidRDefault="00CC7B6A" w:rsidP="003B79D3">
      <w:pPr>
        <w:spacing w:before="120" w:line="360" w:lineRule="auto"/>
        <w:jc w:val="both"/>
      </w:pPr>
      <w:r w:rsidRPr="00E939EA">
        <w:t>Zezwolenia na prowadzeni</w:t>
      </w:r>
      <w:r w:rsidR="00157FD2" w:rsidRPr="00E939EA">
        <w:t>e</w:t>
      </w:r>
      <w:r w:rsidRPr="00E939EA">
        <w:t xml:space="preserve"> warsztatu obsługującego tachografy analogowe </w:t>
      </w:r>
      <w:r w:rsidR="003F30C1" w:rsidRPr="00E939EA">
        <w:t xml:space="preserve">są </w:t>
      </w:r>
      <w:r w:rsidRPr="00E939EA">
        <w:t xml:space="preserve">wydawane </w:t>
      </w:r>
      <w:r w:rsidR="00255C8D" w:rsidRPr="00E939EA">
        <w:t xml:space="preserve">dotychczas </w:t>
      </w:r>
      <w:r w:rsidRPr="00E939EA">
        <w:t xml:space="preserve">na okres </w:t>
      </w:r>
      <w:r w:rsidR="00255C8D" w:rsidRPr="00E939EA">
        <w:t xml:space="preserve">od </w:t>
      </w:r>
      <w:r w:rsidRPr="00E939EA">
        <w:t xml:space="preserve">roku </w:t>
      </w:r>
      <w:r w:rsidR="00255C8D" w:rsidRPr="00E939EA">
        <w:t xml:space="preserve">do </w:t>
      </w:r>
      <w:r w:rsidRPr="00E939EA">
        <w:t xml:space="preserve">4 lat. </w:t>
      </w:r>
      <w:r w:rsidR="00255C8D" w:rsidRPr="00E939EA">
        <w:t xml:space="preserve">W projekcie proponuje się, aby </w:t>
      </w:r>
      <w:r w:rsidR="00255C8D" w:rsidRPr="00E939EA">
        <w:lastRenderedPageBreak/>
        <w:t xml:space="preserve">zezwolenia te zachowały ważność przez okres, na który zostały wydane, pod warunkiem, że działalność wykonywana na podstawie tych zezwoleń nie jest </w:t>
      </w:r>
      <w:r w:rsidR="008C4B41">
        <w:t>prowadzona łącznie z </w:t>
      </w:r>
      <w:r w:rsidR="00255C8D" w:rsidRPr="00E939EA">
        <w:t xml:space="preserve">działalnością zawodową, która mogłaby stanowić zagrożenie dla bezpieczeństwa systemu tachografów zdefiniowanego w dodatku 10 załącznika 1B do rozporządzenia Rady (EWG) nr 3821/85 oraz załączniku 1C do rozporządzenia (UE) 2016/799 i jest niezależna od działalności związanej z wykonywaniem przewozów drogowych pojazdem objętym obowiązkiem instalacji i użytkowania tachografu. Ze względu na fakt, że </w:t>
      </w:r>
      <w:r w:rsidR="005B32B5" w:rsidRPr="00E939EA">
        <w:t xml:space="preserve">okres ważności tych zezwoleń może upływać w bardzo krótkim okresie po wejściu w życie nowych przepisów, proponuje się, aby </w:t>
      </w:r>
      <w:r w:rsidR="00255C8D" w:rsidRPr="00E939EA">
        <w:t xml:space="preserve">Prezes GUM </w:t>
      </w:r>
      <w:r w:rsidR="005B32B5" w:rsidRPr="00E939EA">
        <w:t xml:space="preserve">w takim przypadku mógł </w:t>
      </w:r>
      <w:r w:rsidR="00255C8D" w:rsidRPr="00E939EA">
        <w:t>przedłużyć</w:t>
      </w:r>
      <w:r w:rsidR="005B32B5" w:rsidRPr="00E939EA">
        <w:t xml:space="preserve"> dotychczasowe zezwolenie </w:t>
      </w:r>
      <w:r w:rsidR="00255C8D" w:rsidRPr="00E939EA">
        <w:t>na okres nieprzekraczający 2 lat od dnia wejścia w życie ustawy</w:t>
      </w:r>
      <w:r w:rsidR="005B32B5" w:rsidRPr="00E939EA">
        <w:t xml:space="preserve">. </w:t>
      </w:r>
      <w:r w:rsidR="008F671E" w:rsidRPr="00E939EA">
        <w:t>Dotyczy to w s</w:t>
      </w:r>
      <w:r w:rsidR="008C4B41">
        <w:t>zczególności podmiotów, które z </w:t>
      </w:r>
      <w:r w:rsidR="008F671E" w:rsidRPr="00E939EA">
        <w:t xml:space="preserve">przyczyn obiektywnych nie mogą spełnić nowego wymagania – zatrudnienia technika warsztatu. Celem tego przepisu jest zapewnienie możliwości dostosowania działalności przedsiębiorców do nowych wymagań. Podmioty te </w:t>
      </w:r>
      <w:r w:rsidR="00815CE0" w:rsidRPr="00E939EA">
        <w:t xml:space="preserve">muszą </w:t>
      </w:r>
      <w:r w:rsidR="008F671E" w:rsidRPr="00E939EA">
        <w:t>mieć wystarczając</w:t>
      </w:r>
      <w:r w:rsidR="00815CE0" w:rsidRPr="00E939EA">
        <w:t xml:space="preserve">y </w:t>
      </w:r>
      <w:r w:rsidR="008F671E" w:rsidRPr="00E939EA">
        <w:t>czas na zatrudnienie techników warsztatu, którzy muszą być odpowiednio wyszkoleni i zdać egzamin. Szczegółowe przepisy o szkoleniach i</w:t>
      </w:r>
      <w:r w:rsidR="008C4B41">
        <w:t xml:space="preserve"> egzaminach zostaną określone w </w:t>
      </w:r>
      <w:r w:rsidR="008F671E" w:rsidRPr="00E939EA">
        <w:t>przepisach wykonawczych do ustawy. Dopiero po ogłoszeniu tych przepisów podjęte mogą być czynności przez podmioty prowadzące działalność w zakresie tachografów analogowych, w</w:t>
      </w:r>
      <w:r w:rsidR="0045589C">
        <w:t xml:space="preserve"> </w:t>
      </w:r>
      <w:r w:rsidR="008F671E" w:rsidRPr="00E939EA">
        <w:t>celu uzyskania nowych zezwoleń na prowadzenie tej działalności.</w:t>
      </w:r>
      <w:r w:rsidR="0045589C">
        <w:t xml:space="preserve"> </w:t>
      </w:r>
    </w:p>
    <w:p w:rsidR="005B32B5" w:rsidRPr="00E939EA" w:rsidRDefault="005B32B5" w:rsidP="003B79D3">
      <w:pPr>
        <w:spacing w:before="120" w:line="360" w:lineRule="auto"/>
        <w:jc w:val="both"/>
      </w:pPr>
      <w:r w:rsidRPr="00E939EA">
        <w:t xml:space="preserve">W przypadku tachografów cyfrowych, z uwagi na bezterminową ważność zezwoleń na prowadzenie warsztatów obsługujących tachografy cyfrowe, zasadne jest ustanowienie w tym przypadku obowiązku dostosowania się do nowych wymagań. </w:t>
      </w:r>
      <w:r w:rsidR="008C4B41">
        <w:t>Podmioty, które w </w:t>
      </w:r>
      <w:r w:rsidR="00255C8D" w:rsidRPr="00E939EA">
        <w:t>dniu wejścia w życie ustawy prowadzą warsztat tachografów cyfrowych, mogą prowadzić nadal swoją działalność w dotychczasowym zakresie przez okres 2 lat od dnia wejścia w życie ustawy.</w:t>
      </w:r>
      <w:r w:rsidRPr="00E939EA">
        <w:t xml:space="preserve"> W</w:t>
      </w:r>
      <w:r w:rsidR="0045589C">
        <w:t xml:space="preserve"> </w:t>
      </w:r>
      <w:r w:rsidRPr="00E939EA">
        <w:t>celu dostosowania swojej działalności do nowych przepisów, n</w:t>
      </w:r>
      <w:r w:rsidR="00255C8D" w:rsidRPr="00E939EA">
        <w:t xml:space="preserve">ie później niż na 3 miesiące przed upływem </w:t>
      </w:r>
      <w:r w:rsidRPr="00E939EA">
        <w:t xml:space="preserve">tego </w:t>
      </w:r>
      <w:r w:rsidR="00255C8D" w:rsidRPr="00E939EA">
        <w:t xml:space="preserve">okresu, </w:t>
      </w:r>
      <w:r w:rsidRPr="00E939EA">
        <w:t xml:space="preserve">podmioty te </w:t>
      </w:r>
      <w:r w:rsidR="00255C8D" w:rsidRPr="00E939EA">
        <w:t>mogą złożyć wniosek o wydanie zezwolenia</w:t>
      </w:r>
      <w:r w:rsidRPr="00E939EA">
        <w:t xml:space="preserve"> na podstawie nowych przepisów. </w:t>
      </w:r>
      <w:r w:rsidR="00255C8D" w:rsidRPr="00E939EA">
        <w:t xml:space="preserve">Za wydanie zezwolenia na podstawie </w:t>
      </w:r>
      <w:r w:rsidRPr="00E939EA">
        <w:t xml:space="preserve">takiego </w:t>
      </w:r>
      <w:r w:rsidR="00255C8D" w:rsidRPr="00E939EA">
        <w:t xml:space="preserve">wniosku nie pobiera się opłaty. </w:t>
      </w:r>
    </w:p>
    <w:p w:rsidR="008F671E" w:rsidRPr="00E939EA" w:rsidRDefault="005B32B5" w:rsidP="003B79D3">
      <w:pPr>
        <w:spacing w:before="120" w:line="360" w:lineRule="auto"/>
        <w:jc w:val="both"/>
      </w:pPr>
      <w:r w:rsidRPr="00E939EA">
        <w:t xml:space="preserve">W projektowanej ustawie proponuje się również wprowadzenie przepisów przejściowych dla osób posiadających obecnie uprawnienia </w:t>
      </w:r>
      <w:r w:rsidR="00255C8D" w:rsidRPr="00E939EA">
        <w:t>technika warsztatu</w:t>
      </w:r>
      <w:r w:rsidRPr="00E939EA">
        <w:t>. Uprawnienia te n</w:t>
      </w:r>
      <w:r w:rsidR="00255C8D" w:rsidRPr="00E939EA">
        <w:t xml:space="preserve">abyte na podstawie </w:t>
      </w:r>
      <w:r w:rsidRPr="00E939EA">
        <w:t xml:space="preserve">dotychczasowych przepisów </w:t>
      </w:r>
      <w:r w:rsidR="00255C8D" w:rsidRPr="00E939EA">
        <w:t>zachowują ważność, pod warunkiem, że osoba posiadająca te uprawnienia nie była skazana prawomocnie za przestępstwa określone w</w:t>
      </w:r>
      <w:r w:rsidR="0045589C">
        <w:t xml:space="preserve"> </w:t>
      </w:r>
      <w:r w:rsidRPr="00E939EA">
        <w:t xml:space="preserve">projektowanej ustawie i </w:t>
      </w:r>
      <w:r w:rsidR="00255C8D" w:rsidRPr="00E939EA">
        <w:t>nie jest osobą</w:t>
      </w:r>
      <w:r w:rsidRPr="00E939EA">
        <w:t xml:space="preserve">, której działalność </w:t>
      </w:r>
      <w:r w:rsidRPr="00E939EA">
        <w:lastRenderedPageBreak/>
        <w:t xml:space="preserve">może powodować konflikt interesów. </w:t>
      </w:r>
      <w:r w:rsidR="00255C8D" w:rsidRPr="00E939EA">
        <w:t>Przez okres 2 lat od dnia wejścia w życie ustawy technik warsztatu posiadający uprawnienia</w:t>
      </w:r>
      <w:r w:rsidRPr="00E939EA">
        <w:t xml:space="preserve"> </w:t>
      </w:r>
      <w:r w:rsidR="00255C8D" w:rsidRPr="00E939EA">
        <w:t xml:space="preserve">może wykonywać </w:t>
      </w:r>
      <w:r w:rsidRPr="00E939EA">
        <w:t xml:space="preserve">swoje </w:t>
      </w:r>
      <w:r w:rsidR="00255C8D" w:rsidRPr="00E939EA">
        <w:t>czynności</w:t>
      </w:r>
      <w:r w:rsidRPr="00E939EA">
        <w:t xml:space="preserve"> </w:t>
      </w:r>
      <w:r w:rsidR="008C4B41">
        <w:t>w </w:t>
      </w:r>
      <w:r w:rsidR="00255C8D" w:rsidRPr="00E939EA">
        <w:t>zakresie tachografów cyfrowych</w:t>
      </w:r>
      <w:r w:rsidRPr="00E939EA">
        <w:t xml:space="preserve"> na podstawie </w:t>
      </w:r>
      <w:r w:rsidR="00255C8D" w:rsidRPr="00E939EA">
        <w:t>zaświadczeni</w:t>
      </w:r>
      <w:r w:rsidRPr="00E939EA">
        <w:t>a</w:t>
      </w:r>
      <w:r w:rsidR="00255C8D" w:rsidRPr="00E939EA">
        <w:t xml:space="preserve"> wydane</w:t>
      </w:r>
      <w:r w:rsidR="008F671E" w:rsidRPr="00E939EA">
        <w:t xml:space="preserve">go </w:t>
      </w:r>
      <w:r w:rsidR="00255C8D" w:rsidRPr="00E939EA">
        <w:t xml:space="preserve">przez Prezesa GUM na podstawie </w:t>
      </w:r>
      <w:r w:rsidR="008F671E" w:rsidRPr="00E939EA">
        <w:t xml:space="preserve">dotychczasowych przepisów. </w:t>
      </w:r>
      <w:r w:rsidR="00255C8D" w:rsidRPr="00E939EA">
        <w:t>W</w:t>
      </w:r>
      <w:r w:rsidR="0045589C">
        <w:t xml:space="preserve"> </w:t>
      </w:r>
      <w:r w:rsidR="008F671E" w:rsidRPr="00E939EA">
        <w:t xml:space="preserve">tym </w:t>
      </w:r>
      <w:r w:rsidR="00255C8D" w:rsidRPr="00E939EA">
        <w:t>okresie</w:t>
      </w:r>
      <w:r w:rsidR="008F671E" w:rsidRPr="00E939EA">
        <w:t xml:space="preserve"> </w:t>
      </w:r>
      <w:r w:rsidR="00255C8D" w:rsidRPr="00E939EA">
        <w:t>technik warsztatu posiadający uprawnienia</w:t>
      </w:r>
      <w:r w:rsidR="008F671E" w:rsidRPr="00E939EA">
        <w:t xml:space="preserve"> </w:t>
      </w:r>
      <w:r w:rsidR="00255C8D" w:rsidRPr="00E939EA">
        <w:t>może wystąpić z wnioskiem o wydanie certyfikatu technika warsztatu w zakresie tachografów cyfrowych</w:t>
      </w:r>
      <w:r w:rsidR="008F671E" w:rsidRPr="00E939EA">
        <w:t xml:space="preserve"> na podstawie nowych przepisów. </w:t>
      </w:r>
      <w:r w:rsidR="00255C8D" w:rsidRPr="00E939EA">
        <w:rPr>
          <w:lang w:eastAsia="en-US"/>
        </w:rPr>
        <w:t xml:space="preserve">Za wydanie </w:t>
      </w:r>
      <w:r w:rsidR="008F671E" w:rsidRPr="00E939EA">
        <w:rPr>
          <w:lang w:eastAsia="en-US"/>
        </w:rPr>
        <w:t xml:space="preserve">takiego </w:t>
      </w:r>
      <w:r w:rsidR="00255C8D" w:rsidRPr="00E939EA">
        <w:rPr>
          <w:lang w:eastAsia="en-US"/>
        </w:rPr>
        <w:t>certyfikatu nie pobiera się opłaty.</w:t>
      </w:r>
      <w:r w:rsidR="00255C8D" w:rsidRPr="00E939EA">
        <w:t xml:space="preserve"> </w:t>
      </w:r>
    </w:p>
    <w:p w:rsidR="006C6E7A" w:rsidRPr="00E939EA" w:rsidRDefault="006C6E7A" w:rsidP="003B79D3">
      <w:pPr>
        <w:spacing w:before="120" w:line="360" w:lineRule="auto"/>
        <w:jc w:val="both"/>
      </w:pPr>
      <w:r w:rsidRPr="00E939EA">
        <w:t xml:space="preserve">W projekcie proponuje się, aby: </w:t>
      </w:r>
    </w:p>
    <w:p w:rsidR="006C6E7A" w:rsidRPr="00E939EA" w:rsidRDefault="003B79D3" w:rsidP="003B79D3">
      <w:pPr>
        <w:pStyle w:val="ARTartustawynprozporzdzenia"/>
        <w:tabs>
          <w:tab w:val="left" w:pos="284"/>
        </w:tabs>
        <w:spacing w:before="0"/>
        <w:ind w:left="284" w:hanging="284"/>
        <w:rPr>
          <w:rFonts w:ascii="Times New Roman" w:hAnsi="Times New Roman" w:cs="Times New Roman"/>
          <w:szCs w:val="24"/>
        </w:rPr>
      </w:pPr>
      <w:r>
        <w:rPr>
          <w:rFonts w:ascii="Times New Roman" w:hAnsi="Times New Roman" w:cs="Times New Roman"/>
          <w:szCs w:val="24"/>
        </w:rPr>
        <w:t>a)</w:t>
      </w:r>
      <w:r>
        <w:rPr>
          <w:rFonts w:ascii="Times New Roman" w:hAnsi="Times New Roman" w:cs="Times New Roman"/>
          <w:szCs w:val="24"/>
        </w:rPr>
        <w:tab/>
      </w:r>
      <w:r w:rsidR="006C6E7A" w:rsidRPr="00E939EA">
        <w:rPr>
          <w:rFonts w:ascii="Times New Roman" w:hAnsi="Times New Roman" w:cs="Times New Roman"/>
          <w:szCs w:val="24"/>
        </w:rPr>
        <w:t xml:space="preserve">dotychczasowe przepisy wykonawcze wydane na podstawie art. 89 ust. 5 ustawy </w:t>
      </w:r>
      <w:r w:rsidR="008C4B41">
        <w:rPr>
          <w:rFonts w:ascii="Times New Roman" w:hAnsi="Times New Roman" w:cs="Times New Roman"/>
          <w:szCs w:val="24"/>
        </w:rPr>
        <w:t>o </w:t>
      </w:r>
      <w:r w:rsidR="006C6E7A" w:rsidRPr="00E939EA">
        <w:rPr>
          <w:rFonts w:ascii="Times New Roman" w:hAnsi="Times New Roman" w:cs="Times New Roman"/>
          <w:szCs w:val="24"/>
        </w:rPr>
        <w:t>transporcie drogowym zachowały moc do dnia wejścia w życie przepisów wykonawczych wydanych na podstawie art. 89 ust. 5 tej ustawy po jej nowelizacji, nie dłużej jednak niż przez okres 12 miesięcy od dnia wejścia w życie projektowanej ustawy</w:t>
      </w:r>
      <w:r w:rsidR="008D4A84">
        <w:rPr>
          <w:rFonts w:ascii="Times New Roman" w:hAnsi="Times New Roman" w:cs="Times New Roman"/>
          <w:szCs w:val="24"/>
        </w:rPr>
        <w:t>,</w:t>
      </w:r>
      <w:r w:rsidR="006C6E7A" w:rsidRPr="00E939EA">
        <w:rPr>
          <w:rFonts w:ascii="Times New Roman" w:hAnsi="Times New Roman" w:cs="Times New Roman"/>
          <w:szCs w:val="24"/>
        </w:rPr>
        <w:t xml:space="preserve"> </w:t>
      </w:r>
    </w:p>
    <w:p w:rsidR="006C6E7A" w:rsidRPr="00E939EA" w:rsidRDefault="003B79D3" w:rsidP="003B79D3">
      <w:pPr>
        <w:pStyle w:val="ARTartustawynprozporzdzenia"/>
        <w:tabs>
          <w:tab w:val="left" w:pos="284"/>
        </w:tabs>
        <w:spacing w:before="0"/>
        <w:ind w:left="284" w:hanging="284"/>
        <w:rPr>
          <w:rFonts w:ascii="Times New Roman" w:hAnsi="Times New Roman" w:cs="Times New Roman"/>
          <w:szCs w:val="24"/>
        </w:rPr>
      </w:pPr>
      <w:r>
        <w:rPr>
          <w:rFonts w:ascii="Times New Roman" w:hAnsi="Times New Roman" w:cs="Times New Roman"/>
          <w:szCs w:val="24"/>
        </w:rPr>
        <w:t>b)</w:t>
      </w:r>
      <w:r>
        <w:rPr>
          <w:rFonts w:ascii="Times New Roman" w:hAnsi="Times New Roman" w:cs="Times New Roman"/>
          <w:szCs w:val="24"/>
        </w:rPr>
        <w:tab/>
      </w:r>
      <w:r w:rsidR="006C6E7A" w:rsidRPr="00E939EA">
        <w:rPr>
          <w:rFonts w:ascii="Times New Roman" w:hAnsi="Times New Roman" w:cs="Times New Roman"/>
          <w:szCs w:val="24"/>
        </w:rPr>
        <w:t xml:space="preserve">dotychczasowe przepisy wykonawcze wydane na podstawie art. 24a ust. 4 ustawy </w:t>
      </w:r>
      <w:r w:rsidR="0045589C">
        <w:rPr>
          <w:rFonts w:ascii="Times New Roman" w:hAnsi="Times New Roman" w:cs="Times New Roman"/>
          <w:szCs w:val="24"/>
        </w:rPr>
        <w:t>–</w:t>
      </w:r>
      <w:r w:rsidR="006C6E7A" w:rsidRPr="00E939EA">
        <w:rPr>
          <w:rFonts w:ascii="Times New Roman" w:hAnsi="Times New Roman" w:cs="Times New Roman"/>
          <w:szCs w:val="24"/>
        </w:rPr>
        <w:t xml:space="preserve"> Prawo o miarach zachowały moc do dnia wejścia w życie przepisów wykonawczych wydanych na podstawie art. 24a ust. 4 tej ustawy po jej nowelizacji, nie dłużej jednak niż przez okres 12 miesięcy od dnia wejścia w życie niniejszej ustawy.</w:t>
      </w:r>
    </w:p>
    <w:p w:rsidR="006C6E7A" w:rsidRPr="00E939EA" w:rsidRDefault="006C6E7A" w:rsidP="003B79D3">
      <w:pPr>
        <w:pStyle w:val="ARTartustawynprozporzdzenia"/>
        <w:ind w:firstLine="0"/>
        <w:rPr>
          <w:rFonts w:ascii="Times New Roman" w:hAnsi="Times New Roman" w:cs="Times New Roman"/>
          <w:szCs w:val="24"/>
        </w:rPr>
      </w:pPr>
      <w:r w:rsidRPr="00E939EA">
        <w:rPr>
          <w:rFonts w:ascii="Times New Roman" w:hAnsi="Times New Roman" w:cs="Times New Roman"/>
          <w:szCs w:val="24"/>
        </w:rPr>
        <w:t>Zmiana wspomnianych przepisów wykonawczych nie jest konieczna z dniem wejścia w</w:t>
      </w:r>
      <w:r w:rsidR="008C4B41">
        <w:rPr>
          <w:rFonts w:ascii="Times New Roman" w:hAnsi="Times New Roman" w:cs="Times New Roman"/>
          <w:szCs w:val="24"/>
        </w:rPr>
        <w:t> </w:t>
      </w:r>
      <w:r w:rsidRPr="00E939EA">
        <w:rPr>
          <w:rFonts w:ascii="Times New Roman" w:hAnsi="Times New Roman" w:cs="Times New Roman"/>
          <w:szCs w:val="24"/>
        </w:rPr>
        <w:t xml:space="preserve">życie projektowanej ustawy. Zmiany te mają charakter dostosowania do zmienianych projektowaną ustawą przepisów. </w:t>
      </w:r>
    </w:p>
    <w:p w:rsidR="00FC1195" w:rsidRPr="00E939EA" w:rsidRDefault="006C6E7A" w:rsidP="003B79D3">
      <w:pPr>
        <w:spacing w:before="120" w:line="360" w:lineRule="auto"/>
        <w:jc w:val="both"/>
      </w:pPr>
      <w:r w:rsidRPr="00E939EA">
        <w:t xml:space="preserve">W projekcie proponuje się ponadto, aby przepisy wykonawcze wydane na podstawie art. 8 ust. 6 ustawy – Prawo o miarach zachowały moc i mogły być zmieniane odpowiednio na podstawie tych przepisów. Jest to zmiana wynikająca z konieczności dostosowania przepisów wykonawczych wydanych na podstawie art. 8 ust. 6 ustawy – Prawo o miarach do zmian wprowadzanych projektowaną ustawą. </w:t>
      </w:r>
      <w:r w:rsidR="00206A91">
        <w:t>Zgodnie z § </w:t>
      </w:r>
      <w:r w:rsidR="00FC1195" w:rsidRPr="00E939EA">
        <w:t>7</w:t>
      </w:r>
      <w:r w:rsidR="00206A91">
        <w:t> </w:t>
      </w:r>
      <w:r w:rsidR="00FC1195" w:rsidRPr="00E939EA">
        <w:t>obowiązującego r</w:t>
      </w:r>
      <w:r w:rsidR="00FC1195" w:rsidRPr="00E939EA">
        <w:rPr>
          <w:bCs/>
          <w:kern w:val="36"/>
        </w:rPr>
        <w:t xml:space="preserve">ozporządzenia Ministra Rozwoju i Finansów w sprawie rodzajów przyrządów pomiarowych podlegających prawnej kontroli metrologicznej oraz zakresu tej kontroli, </w:t>
      </w:r>
      <w:bookmarkStart w:id="2" w:name="mip38701853"/>
      <w:bookmarkStart w:id="3" w:name="mip38701854"/>
      <w:bookmarkStart w:id="4" w:name="mip38701856"/>
      <w:bookmarkStart w:id="5" w:name="mip38701857"/>
      <w:bookmarkStart w:id="6" w:name="mip38701858"/>
      <w:bookmarkStart w:id="7" w:name="mip38701859"/>
      <w:bookmarkStart w:id="8" w:name="mip38701860"/>
      <w:bookmarkStart w:id="9" w:name="mip38701861"/>
      <w:bookmarkStart w:id="10" w:name="mip38701862"/>
      <w:bookmarkStart w:id="11" w:name="mip38701863"/>
      <w:bookmarkStart w:id="12" w:name="mip38701865"/>
      <w:bookmarkStart w:id="13" w:name="mip38701866"/>
      <w:bookmarkStart w:id="14" w:name="mip38701867"/>
      <w:bookmarkStart w:id="15" w:name="mip38701868"/>
      <w:bookmarkStart w:id="16" w:name="mip38701870"/>
      <w:bookmarkStart w:id="17" w:name="mip38701871"/>
      <w:bookmarkStart w:id="18" w:name="mip38701872"/>
      <w:bookmarkStart w:id="19" w:name="mip38701873"/>
      <w:bookmarkStart w:id="20" w:name="mip38701874"/>
      <w:bookmarkStart w:id="21" w:name="mip38701875"/>
      <w:bookmarkStart w:id="22" w:name="mip38701877"/>
      <w:bookmarkStart w:id="23" w:name="mip38701878"/>
      <w:bookmarkStart w:id="24" w:name="mip38701879"/>
      <w:bookmarkStart w:id="25" w:name="mip38701880"/>
      <w:bookmarkStart w:id="26" w:name="mip38701881"/>
      <w:bookmarkStart w:id="27" w:name="mip38701882"/>
      <w:bookmarkStart w:id="28" w:name="mip38701883"/>
      <w:bookmarkStart w:id="29" w:name="mip38701884"/>
      <w:bookmarkStart w:id="30" w:name="mip38701885"/>
      <w:bookmarkStart w:id="31" w:name="mip38701886"/>
      <w:bookmarkStart w:id="32" w:name="mip38701887"/>
      <w:bookmarkStart w:id="33" w:name="mip38701888"/>
      <w:bookmarkStart w:id="34" w:name="mip38701890"/>
      <w:bookmarkStart w:id="35" w:name="mip38701891"/>
      <w:bookmarkStart w:id="36" w:name="mip38701892"/>
      <w:bookmarkStart w:id="37" w:name="mip38701893"/>
      <w:bookmarkStart w:id="38" w:name="mip38701894"/>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sidR="00FC1195" w:rsidRPr="00E939EA">
        <w:rPr>
          <w:bCs/>
          <w:kern w:val="36"/>
        </w:rPr>
        <w:t>p</w:t>
      </w:r>
      <w:r w:rsidR="00FC1195" w:rsidRPr="00E939EA">
        <w:t xml:space="preserve">rawnej kontroli metrologicznej w zakresie zatwierdzenia typu, legalizacji pierwotnej i legalizacji ponownej po naprawie podlegają urządzenia rejestrujące stosowane w transporcie drogowym </w:t>
      </w:r>
      <w:r w:rsidR="0045589C">
        <w:t>–</w:t>
      </w:r>
      <w:r w:rsidR="00FC1195" w:rsidRPr="00E939EA">
        <w:t xml:space="preserve"> tachografy samochodowe na zasadach określonych w rozporządzeniu Parlamentu Europejskiego i Rady (UE) </w:t>
      </w:r>
      <w:hyperlink r:id="rId9" w:history="1">
        <w:r w:rsidR="00206A91">
          <w:t>nr </w:t>
        </w:r>
        <w:r w:rsidR="00FC1195" w:rsidRPr="00E939EA">
          <w:t>165/2014</w:t>
        </w:r>
      </w:hyperlink>
      <w:r w:rsidR="00FC1195" w:rsidRPr="00E939EA">
        <w:t xml:space="preserve"> z dnia 4 lutego 2014 r. w sprawie tachografów stosowanych w transporcie </w:t>
      </w:r>
      <w:r w:rsidR="00FC1195" w:rsidRPr="00E939EA">
        <w:lastRenderedPageBreak/>
        <w:t xml:space="preserve">drogowym i uchylającym rozporządzenie Rady (EWG) </w:t>
      </w:r>
      <w:hyperlink r:id="rId10" w:history="1">
        <w:r w:rsidR="00FC1195" w:rsidRPr="00E939EA">
          <w:t>nr 3821/85</w:t>
        </w:r>
      </w:hyperlink>
      <w:r w:rsidR="00FC1195" w:rsidRPr="00E939EA">
        <w:t xml:space="preserve"> w sprawie urządzeń rejestrujących stosowanych w</w:t>
      </w:r>
      <w:r w:rsidR="0045589C">
        <w:t xml:space="preserve"> </w:t>
      </w:r>
      <w:r w:rsidR="00FC1195" w:rsidRPr="00E939EA">
        <w:t xml:space="preserve">transporcie drogowym oraz zmieniającym rozporządzenie (WE) </w:t>
      </w:r>
      <w:hyperlink r:id="rId11" w:history="1">
        <w:r w:rsidR="00FC1195" w:rsidRPr="00E939EA">
          <w:t>nr 561/2006</w:t>
        </w:r>
      </w:hyperlink>
      <w:r w:rsidR="00FC1195" w:rsidRPr="00E939EA">
        <w:t xml:space="preserve"> Parlamentu Europejskiego i Rady w sprawie harmonizacji niektórych przepisów socjalnych odnoszących się do transportu drogowego (Dz.</w:t>
      </w:r>
      <w:r w:rsidR="006D5F54" w:rsidRPr="00E939EA">
        <w:t xml:space="preserve"> </w:t>
      </w:r>
      <w:r w:rsidR="00FC1195" w:rsidRPr="00E939EA">
        <w:t xml:space="preserve">Urz. UE L 60 z 28.02.2014, </w:t>
      </w:r>
      <w:hyperlink r:id="rId12" w:history="1">
        <w:r w:rsidR="00FC1195" w:rsidRPr="00E939EA">
          <w:t>str. 1</w:t>
        </w:r>
      </w:hyperlink>
      <w:r w:rsidR="00FC1195" w:rsidRPr="00E939EA">
        <w:t>).</w:t>
      </w:r>
      <w:r w:rsidR="006D5F54" w:rsidRPr="00E939EA">
        <w:t xml:space="preserve"> Z dniem wejścia w życie projektowanej ustawy urządzenia te będą regulowane przepisami tej ustawy, w związku z czym konieczna będzie nowelizacja rozporządzenia wy</w:t>
      </w:r>
      <w:r w:rsidR="00206A91">
        <w:t>danego na podstawie art. 8 ust. </w:t>
      </w:r>
      <w:r w:rsidR="006D5F54" w:rsidRPr="00E939EA">
        <w:t xml:space="preserve">6 ustawy – Prawo o miarach. </w:t>
      </w:r>
    </w:p>
    <w:p w:rsidR="006D5F54" w:rsidRPr="00E939EA" w:rsidRDefault="006D5F54" w:rsidP="003B79D3">
      <w:pPr>
        <w:spacing w:before="120" w:line="360" w:lineRule="auto"/>
        <w:jc w:val="both"/>
      </w:pPr>
      <w:r w:rsidRPr="00E939EA">
        <w:t xml:space="preserve">W projekcie proponuje się wprowadzenie przepisów o wysokości opłat za: </w:t>
      </w:r>
    </w:p>
    <w:p w:rsidR="006D5F54" w:rsidRPr="00E939EA" w:rsidRDefault="00282682" w:rsidP="003B79D3">
      <w:pPr>
        <w:pStyle w:val="PKTpunkt"/>
        <w:ind w:left="462" w:hanging="462"/>
        <w:rPr>
          <w:rFonts w:ascii="Times New Roman" w:hAnsi="Times New Roman" w:cs="Times New Roman"/>
          <w:szCs w:val="24"/>
        </w:rPr>
      </w:pPr>
      <w:r>
        <w:rPr>
          <w:rFonts w:ascii="Times New Roman" w:hAnsi="Times New Roman" w:cs="Times New Roman"/>
          <w:szCs w:val="24"/>
        </w:rPr>
        <w:t>1)</w:t>
      </w:r>
      <w:r w:rsidR="006C6E7A" w:rsidRPr="00E939EA">
        <w:rPr>
          <w:rFonts w:ascii="Times New Roman" w:hAnsi="Times New Roman" w:cs="Times New Roman"/>
          <w:szCs w:val="24"/>
        </w:rPr>
        <w:tab/>
        <w:t xml:space="preserve">wydanie świadectwa funkcjonalności i odmowę wydania świadectwa funkcjonalności </w:t>
      </w:r>
      <w:r w:rsidR="00A11B23">
        <w:rPr>
          <w:rFonts w:ascii="Times New Roman" w:hAnsi="Times New Roman" w:cs="Times New Roman"/>
          <w:szCs w:val="24"/>
        </w:rPr>
        <w:t xml:space="preserve">– </w:t>
      </w:r>
      <w:r w:rsidR="006C6E7A" w:rsidRPr="00E939EA">
        <w:rPr>
          <w:rFonts w:ascii="Times New Roman" w:hAnsi="Times New Roman" w:cs="Times New Roman"/>
          <w:szCs w:val="24"/>
        </w:rPr>
        <w:t xml:space="preserve">ustala, w drodze decyzji, Prezes GUM na podstawie liczby godzin przeznaczonych na wykonanie czynności związanych z wydaniem albo odmową wydania świadectwa funkcjonalności i stawki godzinowej za czas pracy pracowników administracji miar </w:t>
      </w:r>
      <w:r w:rsidR="0045589C">
        <w:rPr>
          <w:rFonts w:ascii="Times New Roman" w:hAnsi="Times New Roman" w:cs="Times New Roman"/>
          <w:szCs w:val="24"/>
        </w:rPr>
        <w:t xml:space="preserve">– </w:t>
      </w:r>
      <w:r w:rsidR="006C6E7A" w:rsidRPr="00E939EA">
        <w:rPr>
          <w:rFonts w:ascii="Times New Roman" w:hAnsi="Times New Roman" w:cs="Times New Roman"/>
          <w:szCs w:val="24"/>
        </w:rPr>
        <w:t>w</w:t>
      </w:r>
      <w:r w:rsidR="0045589C">
        <w:rPr>
          <w:rFonts w:ascii="Times New Roman" w:hAnsi="Times New Roman" w:cs="Times New Roman"/>
          <w:szCs w:val="24"/>
        </w:rPr>
        <w:t xml:space="preserve"> </w:t>
      </w:r>
      <w:r w:rsidR="006C6E7A" w:rsidRPr="00E939EA">
        <w:rPr>
          <w:rFonts w:ascii="Times New Roman" w:hAnsi="Times New Roman" w:cs="Times New Roman"/>
          <w:szCs w:val="24"/>
        </w:rPr>
        <w:t>wysokości 220 zł;</w:t>
      </w:r>
      <w:r w:rsidR="0045589C">
        <w:rPr>
          <w:rFonts w:ascii="Times New Roman" w:hAnsi="Times New Roman" w:cs="Times New Roman"/>
          <w:szCs w:val="24"/>
        </w:rPr>
        <w:t xml:space="preserve"> </w:t>
      </w:r>
    </w:p>
    <w:p w:rsidR="006D5F54" w:rsidRPr="00E939EA" w:rsidRDefault="006D5F54" w:rsidP="003B79D3">
      <w:pPr>
        <w:pStyle w:val="PKTpunkt"/>
        <w:ind w:left="462" w:hanging="462"/>
        <w:rPr>
          <w:rFonts w:ascii="Times New Roman" w:hAnsi="Times New Roman" w:cs="Times New Roman"/>
          <w:szCs w:val="24"/>
        </w:rPr>
      </w:pPr>
      <w:r w:rsidRPr="00E939EA">
        <w:rPr>
          <w:rFonts w:ascii="Times New Roman" w:hAnsi="Times New Roman" w:cs="Times New Roman"/>
          <w:szCs w:val="24"/>
        </w:rPr>
        <w:t>2)</w:t>
      </w:r>
      <w:r w:rsidRPr="00E939EA">
        <w:rPr>
          <w:rFonts w:ascii="Times New Roman" w:hAnsi="Times New Roman" w:cs="Times New Roman"/>
          <w:szCs w:val="24"/>
        </w:rPr>
        <w:tab/>
      </w:r>
      <w:r w:rsidR="006C6E7A" w:rsidRPr="00E939EA">
        <w:rPr>
          <w:rFonts w:ascii="Times New Roman" w:hAnsi="Times New Roman" w:cs="Times New Roman"/>
          <w:szCs w:val="24"/>
        </w:rPr>
        <w:t>wydanie świadectwa homologacji typu, zmianę świadectwa homologac</w:t>
      </w:r>
      <w:r w:rsidR="00206A91">
        <w:rPr>
          <w:rFonts w:ascii="Times New Roman" w:hAnsi="Times New Roman" w:cs="Times New Roman"/>
          <w:szCs w:val="24"/>
        </w:rPr>
        <w:t>ji typu i </w:t>
      </w:r>
      <w:r w:rsidR="006C6E7A" w:rsidRPr="00E939EA">
        <w:rPr>
          <w:rFonts w:ascii="Times New Roman" w:hAnsi="Times New Roman" w:cs="Times New Roman"/>
          <w:szCs w:val="24"/>
        </w:rPr>
        <w:t xml:space="preserve">odmowę wydania świadectwa homologacji typu </w:t>
      </w:r>
      <w:r w:rsidR="0045589C">
        <w:rPr>
          <w:rFonts w:ascii="Times New Roman" w:hAnsi="Times New Roman" w:cs="Times New Roman"/>
          <w:szCs w:val="24"/>
        </w:rPr>
        <w:t>–</w:t>
      </w:r>
      <w:r w:rsidRPr="00E939EA">
        <w:rPr>
          <w:rFonts w:ascii="Times New Roman" w:hAnsi="Times New Roman" w:cs="Times New Roman"/>
          <w:szCs w:val="24"/>
        </w:rPr>
        <w:t xml:space="preserve"> w wysokości </w:t>
      </w:r>
      <w:r w:rsidR="006C6E7A" w:rsidRPr="00E939EA">
        <w:rPr>
          <w:rFonts w:ascii="Times New Roman" w:hAnsi="Times New Roman" w:cs="Times New Roman"/>
          <w:szCs w:val="24"/>
        </w:rPr>
        <w:t>1000 zł</w:t>
      </w:r>
      <w:r w:rsidR="00A5649D">
        <w:rPr>
          <w:rFonts w:ascii="Times New Roman" w:hAnsi="Times New Roman" w:cs="Times New Roman"/>
          <w:szCs w:val="24"/>
        </w:rPr>
        <w:t>;</w:t>
      </w:r>
    </w:p>
    <w:p w:rsidR="006D5F54" w:rsidRPr="00E939EA" w:rsidRDefault="006D5F54" w:rsidP="003B79D3">
      <w:pPr>
        <w:pStyle w:val="PKTpunkt"/>
        <w:ind w:left="462" w:hanging="462"/>
        <w:rPr>
          <w:rFonts w:ascii="Times New Roman" w:hAnsi="Times New Roman" w:cs="Times New Roman"/>
          <w:szCs w:val="24"/>
        </w:rPr>
      </w:pPr>
      <w:r w:rsidRPr="00E939EA">
        <w:rPr>
          <w:rFonts w:ascii="Times New Roman" w:hAnsi="Times New Roman" w:cs="Times New Roman"/>
          <w:szCs w:val="24"/>
        </w:rPr>
        <w:t>3)</w:t>
      </w:r>
      <w:r w:rsidRPr="00E939EA">
        <w:rPr>
          <w:rFonts w:ascii="Times New Roman" w:hAnsi="Times New Roman" w:cs="Times New Roman"/>
          <w:szCs w:val="24"/>
        </w:rPr>
        <w:tab/>
      </w:r>
      <w:r w:rsidR="006C6E7A" w:rsidRPr="00E939EA">
        <w:rPr>
          <w:rFonts w:ascii="Times New Roman" w:hAnsi="Times New Roman" w:cs="Times New Roman"/>
          <w:szCs w:val="24"/>
        </w:rPr>
        <w:t xml:space="preserve">zatwierdzenie badania eksploatacyjnego </w:t>
      </w:r>
      <w:r w:rsidR="0045589C">
        <w:rPr>
          <w:rFonts w:ascii="Times New Roman" w:hAnsi="Times New Roman" w:cs="Times New Roman"/>
          <w:szCs w:val="24"/>
        </w:rPr>
        <w:t>–</w:t>
      </w:r>
      <w:r w:rsidRPr="00E939EA">
        <w:rPr>
          <w:rFonts w:ascii="Times New Roman" w:hAnsi="Times New Roman" w:cs="Times New Roman"/>
          <w:szCs w:val="24"/>
        </w:rPr>
        <w:t xml:space="preserve"> w wysokości </w:t>
      </w:r>
      <w:r w:rsidR="006C6E7A" w:rsidRPr="00E939EA">
        <w:rPr>
          <w:rFonts w:ascii="Times New Roman" w:hAnsi="Times New Roman" w:cs="Times New Roman"/>
          <w:szCs w:val="24"/>
        </w:rPr>
        <w:t xml:space="preserve">5000 zł; </w:t>
      </w:r>
    </w:p>
    <w:p w:rsidR="006C6E7A" w:rsidRPr="00E939EA" w:rsidRDefault="006C6E7A" w:rsidP="003B79D3">
      <w:pPr>
        <w:pStyle w:val="PKTpunkt"/>
        <w:ind w:left="462" w:hanging="462"/>
        <w:rPr>
          <w:rFonts w:ascii="Times New Roman" w:hAnsi="Times New Roman" w:cs="Times New Roman"/>
          <w:szCs w:val="24"/>
        </w:rPr>
      </w:pPr>
      <w:r w:rsidRPr="00E939EA">
        <w:rPr>
          <w:rFonts w:ascii="Times New Roman" w:hAnsi="Times New Roman" w:cs="Times New Roman"/>
          <w:szCs w:val="24"/>
        </w:rPr>
        <w:t>4)</w:t>
      </w:r>
      <w:r w:rsidRPr="00E939EA">
        <w:rPr>
          <w:rFonts w:ascii="Times New Roman" w:hAnsi="Times New Roman" w:cs="Times New Roman"/>
          <w:szCs w:val="24"/>
        </w:rPr>
        <w:tab/>
        <w:t xml:space="preserve">wydanie certyfikatu podmiotu szkolącego </w:t>
      </w:r>
      <w:r w:rsidR="0045589C">
        <w:rPr>
          <w:rFonts w:ascii="Times New Roman" w:hAnsi="Times New Roman" w:cs="Times New Roman"/>
          <w:szCs w:val="24"/>
        </w:rPr>
        <w:t>–</w:t>
      </w:r>
      <w:r w:rsidR="006D5F54" w:rsidRPr="00E939EA">
        <w:rPr>
          <w:rFonts w:ascii="Times New Roman" w:hAnsi="Times New Roman" w:cs="Times New Roman"/>
          <w:szCs w:val="24"/>
        </w:rPr>
        <w:t xml:space="preserve"> w wysokości </w:t>
      </w:r>
      <w:r w:rsidRPr="00E939EA">
        <w:rPr>
          <w:rFonts w:ascii="Times New Roman" w:hAnsi="Times New Roman" w:cs="Times New Roman"/>
          <w:szCs w:val="24"/>
        </w:rPr>
        <w:t>1000 zł.</w:t>
      </w:r>
      <w:r w:rsidR="0045589C">
        <w:rPr>
          <w:rFonts w:ascii="Times New Roman" w:hAnsi="Times New Roman" w:cs="Times New Roman"/>
          <w:szCs w:val="24"/>
        </w:rPr>
        <w:t xml:space="preserve"> </w:t>
      </w:r>
    </w:p>
    <w:p w:rsidR="002C350C" w:rsidRPr="00E939EA" w:rsidRDefault="006D5F54" w:rsidP="003B79D3">
      <w:pPr>
        <w:autoSpaceDE w:val="0"/>
        <w:autoSpaceDN w:val="0"/>
        <w:adjustRightInd w:val="0"/>
        <w:spacing w:before="120" w:line="360" w:lineRule="auto"/>
        <w:jc w:val="both"/>
      </w:pPr>
      <w:r w:rsidRPr="00E939EA">
        <w:t xml:space="preserve">Stawki te będą obowiązywać do dnia 31 grudnia 2018 r., tj. do czasu wejścia w życie przepisów o opłatach wydanych na podstawie art. 41 ust. 3 projektowanej ustawy. </w:t>
      </w:r>
      <w:r w:rsidR="0027437B" w:rsidRPr="00E939EA">
        <w:t>Projekt ustawy przewiduje wejście w życ</w:t>
      </w:r>
      <w:r w:rsidR="005D7AC0" w:rsidRPr="00E939EA">
        <w:t xml:space="preserve">ie ustawy </w:t>
      </w:r>
      <w:r w:rsidR="002C350C" w:rsidRPr="00E939EA">
        <w:t>z dniem 1 czerwca 2018 r.</w:t>
      </w:r>
      <w:r w:rsidR="00206A91">
        <w:t>, z </w:t>
      </w:r>
      <w:r w:rsidR="00354BFF" w:rsidRPr="00E939EA">
        <w:t xml:space="preserve">wyjątkiem przepisów dotyczących prowadzenia działalności w zakresie instalacji, sprawdzania, przeglądów i napraw tachografów, </w:t>
      </w:r>
      <w:r w:rsidR="00206A91">
        <w:t>które wchodzą w życie z dniem 1 </w:t>
      </w:r>
      <w:r w:rsidR="00354BFF" w:rsidRPr="00E939EA">
        <w:t>stycznia 2019 r.</w:t>
      </w:r>
      <w:r w:rsidR="00437C3D">
        <w:t>,</w:t>
      </w:r>
      <w:r w:rsidR="00354BFF" w:rsidRPr="00E939EA">
        <w:t xml:space="preserve"> oraz</w:t>
      </w:r>
      <w:r w:rsidR="00EB40F6" w:rsidRPr="00E939EA">
        <w:t xml:space="preserve"> </w:t>
      </w:r>
      <w:r w:rsidR="00157FD2" w:rsidRPr="00E939EA">
        <w:t xml:space="preserve">z </w:t>
      </w:r>
      <w:r w:rsidR="00EB40F6" w:rsidRPr="00E939EA">
        <w:t>uwzglę</w:t>
      </w:r>
      <w:r w:rsidR="00E7029C" w:rsidRPr="00E939EA">
        <w:t>dnieniem obowiązywania od dnia 15 czerwca</w:t>
      </w:r>
      <w:r w:rsidR="00EB40F6" w:rsidRPr="00E939EA">
        <w:t xml:space="preserve"> 2019 r. </w:t>
      </w:r>
      <w:r w:rsidR="00926FC0" w:rsidRPr="00E939EA">
        <w:t xml:space="preserve">(obowiązku instalowania </w:t>
      </w:r>
      <w:r w:rsidR="003E28F2" w:rsidRPr="00E939EA">
        <w:t xml:space="preserve">i użytkowania </w:t>
      </w:r>
      <w:r w:rsidR="00926FC0" w:rsidRPr="00E939EA">
        <w:t xml:space="preserve">w pojazdach </w:t>
      </w:r>
      <w:r w:rsidR="003E28F2" w:rsidRPr="00E939EA">
        <w:t xml:space="preserve">po raz pierwszy rejestrowanym na terytorium UE po tej dacie </w:t>
      </w:r>
      <w:r w:rsidR="00926FC0" w:rsidRPr="00E939EA">
        <w:t xml:space="preserve">inteligentnych tachografów) </w:t>
      </w:r>
      <w:r w:rsidR="00EB40F6" w:rsidRPr="00E939EA">
        <w:t xml:space="preserve">wymogów dotyczących okresu ważności kart do tachografów oraz obowiązku nałożonego na podmiot wydający karty produkcji lub zakupu kart, spełniających wymogi określone w załączniku </w:t>
      </w:r>
      <w:r w:rsidR="00C8246B" w:rsidRPr="00E939EA">
        <w:t>1</w:t>
      </w:r>
      <w:r w:rsidR="00EB40F6" w:rsidRPr="00E939EA">
        <w:t xml:space="preserve">C do rozporządzenia (UE) 2016/799. </w:t>
      </w:r>
    </w:p>
    <w:p w:rsidR="00BC4548" w:rsidRPr="00E939EA" w:rsidRDefault="00234A98" w:rsidP="003B79D3">
      <w:pPr>
        <w:autoSpaceDE w:val="0"/>
        <w:autoSpaceDN w:val="0"/>
        <w:adjustRightInd w:val="0"/>
        <w:spacing w:before="120" w:line="360" w:lineRule="auto"/>
        <w:jc w:val="both"/>
      </w:pPr>
      <w:r w:rsidRPr="00E939EA">
        <w:t xml:space="preserve">Do dnia 1 stycznia 2019 r. do prowadzenia działalności w zakresie instalacji, sprawdzania, przeglądów i napraw analogowych i cyfrowych tachografów będą </w:t>
      </w:r>
      <w:r w:rsidRPr="00E939EA">
        <w:lastRenderedPageBreak/>
        <w:t>stosowane dotychczasowe regulacje, ujęte w dwóch ustawach</w:t>
      </w:r>
      <w:r w:rsidR="00437C3D">
        <w:t>:</w:t>
      </w:r>
      <w:r w:rsidRPr="00E939EA">
        <w:t xml:space="preserve"> </w:t>
      </w:r>
      <w:r w:rsidR="00BC4548" w:rsidRPr="00E939EA">
        <w:t xml:space="preserve">z dnia 11 maja 2001 r. </w:t>
      </w:r>
      <w:r w:rsidR="00437C3D">
        <w:t xml:space="preserve">– </w:t>
      </w:r>
      <w:r w:rsidR="00BC4548" w:rsidRPr="00E939EA">
        <w:t xml:space="preserve">Prawo o miarach oraz </w:t>
      </w:r>
      <w:r w:rsidRPr="00E939EA">
        <w:t>z dnia 29 lipca 2005 r. o sys</w:t>
      </w:r>
      <w:r w:rsidR="00BC4548" w:rsidRPr="00E939EA">
        <w:t>temie tachografów cyfrowych</w:t>
      </w:r>
      <w:r w:rsidRPr="00E939EA">
        <w:t>.</w:t>
      </w:r>
      <w:r w:rsidR="00BC4548" w:rsidRPr="00E939EA">
        <w:t xml:space="preserve"> </w:t>
      </w:r>
    </w:p>
    <w:p w:rsidR="00234A98" w:rsidRPr="00E939EA" w:rsidRDefault="00234A98" w:rsidP="003B79D3">
      <w:pPr>
        <w:autoSpaceDE w:val="0"/>
        <w:autoSpaceDN w:val="0"/>
        <w:adjustRightInd w:val="0"/>
        <w:spacing w:before="120" w:line="360" w:lineRule="auto"/>
        <w:jc w:val="both"/>
      </w:pPr>
      <w:r w:rsidRPr="00E939EA">
        <w:t>Termin wejścia w życie przepisów określających warunki wykonywania działalności gospodarczej</w:t>
      </w:r>
      <w:r w:rsidR="00926FC0" w:rsidRPr="00E939EA">
        <w:t xml:space="preserve"> w zakresie prowadzenie warsztatów</w:t>
      </w:r>
      <w:r w:rsidRPr="00E939EA">
        <w:t xml:space="preserve"> został wyznacz</w:t>
      </w:r>
      <w:r w:rsidR="00437C3D">
        <w:t>o</w:t>
      </w:r>
      <w:r w:rsidRPr="00E939EA">
        <w:t>ny na dzi</w:t>
      </w:r>
      <w:r w:rsidR="00206A91">
        <w:t>eń 1 </w:t>
      </w:r>
      <w:r w:rsidRPr="00E939EA">
        <w:t>stycznia 2019 r., co jest zgodne z uchwałą nr 20 Rady Ministrów z dnia 18 lutego 2014 r. w sprawie zaleceń ujednolicenia terminów wejścia w życie niektórych aktów normatywnych.</w:t>
      </w:r>
    </w:p>
    <w:p w:rsidR="002271C4" w:rsidRDefault="002271C4" w:rsidP="00DB7282">
      <w:pPr>
        <w:autoSpaceDE w:val="0"/>
        <w:autoSpaceDN w:val="0"/>
        <w:adjustRightInd w:val="0"/>
        <w:spacing w:before="120" w:line="360" w:lineRule="auto"/>
        <w:jc w:val="both"/>
      </w:pPr>
      <w:r w:rsidRPr="00E939EA">
        <w:t>Mając na uwadze zaawansowane prace w S</w:t>
      </w:r>
      <w:r w:rsidR="00206A91">
        <w:t>ejmie RP nad projektem ustawy o </w:t>
      </w:r>
      <w:r w:rsidRPr="00E939EA">
        <w:t xml:space="preserve">dokumentach publicznych, został zaproponowany oddzielny termin wejścia w życie art. 63. Mając na uwadze 6-miesięczne </w:t>
      </w:r>
      <w:r w:rsidR="0086517B" w:rsidRPr="00E939EA">
        <w:t xml:space="preserve">od dnia ogłoszenia </w:t>
      </w:r>
      <w:r w:rsidRPr="00EC7BBF">
        <w:rPr>
          <w:i/>
        </w:rPr>
        <w:t>vacatio legis</w:t>
      </w:r>
      <w:r w:rsidRPr="00E939EA">
        <w:t xml:space="preserve"> tego projektu, uzasadnione jest wskazanie konkretnego, oznaczonego dnia, z którym wejdzie w życie ten przepis.</w:t>
      </w:r>
    </w:p>
    <w:p w:rsidR="00F833CD" w:rsidRDefault="00F833CD" w:rsidP="00DB7282">
      <w:pPr>
        <w:spacing w:before="120" w:line="360" w:lineRule="auto"/>
        <w:jc w:val="both"/>
      </w:pPr>
      <w:r>
        <w:t xml:space="preserve">Projektowane przepisy wpłyną na działalność </w:t>
      </w:r>
      <w:proofErr w:type="spellStart"/>
      <w:r>
        <w:t>mikroprzedsiębiorców</w:t>
      </w:r>
      <w:proofErr w:type="spellEnd"/>
      <w:r>
        <w:t xml:space="preserve">, małych i średnich przedsiębiorców w zakresie instalacji, sprawdzania, przeglądów i napraw tachografów. Zwiększone zostaną wymagania niezbędne do prowadzenia działalności, co zwiększyć ma wiarygodność i rzetelność wykonywanych przez te podmioty usług. Wprowadzane są także ułatwienia w prowadzeniu tej działalności. Do podstawowych ułatwień zaliczyć należy: wydawanie bezterminowych zezwoleń na prowadzenie działalności, możliwość zawieszenia zezwolenia, wprowadzenie mniej dotkliwych sankcji nakładanych w przypadku naruszenia obowiązków. Celem projektowanych przepisów jest również ograniczenie obowiązkowych opłat ponoszonych przez te podmioty w związku z ich działalnością. Ponadto, oceniając wpływ projektu na sektor mikro-, małych i średnich przedsiębiorstw, należy wskazać, że wprowadzane rozwiązania przyczynią się także do zapewnienia uczciwej konkurencji na rynku transportu drogowego poprzez ograniczenie możliwości manipulowania danymi rejestrowanymi przez tachograf. </w:t>
      </w:r>
    </w:p>
    <w:p w:rsidR="002271C4" w:rsidRPr="00E939EA" w:rsidRDefault="002B7BD6" w:rsidP="003B79D3">
      <w:pPr>
        <w:autoSpaceDE w:val="0"/>
        <w:autoSpaceDN w:val="0"/>
        <w:adjustRightInd w:val="0"/>
        <w:spacing w:before="120" w:line="360" w:lineRule="auto"/>
        <w:jc w:val="both"/>
      </w:pPr>
      <w:r w:rsidRPr="00E939EA">
        <w:t>Zgodnie z rozporządzeniem Rady Ministrów z dnia 23 grudnia 2002 r. w sprawie sposobu funkcjonowania krajowego systemu notyfik</w:t>
      </w:r>
      <w:r w:rsidR="00206A91">
        <w:t>acji norm i aktów prawnych (Dz. </w:t>
      </w:r>
      <w:r w:rsidRPr="00E939EA">
        <w:t>U.</w:t>
      </w:r>
      <w:r w:rsidR="0045589C">
        <w:t xml:space="preserve"> </w:t>
      </w:r>
      <w:r w:rsidRPr="00E939EA">
        <w:t xml:space="preserve">poz. 2039, z </w:t>
      </w:r>
      <w:proofErr w:type="spellStart"/>
      <w:r w:rsidRPr="00E939EA">
        <w:t>późn</w:t>
      </w:r>
      <w:proofErr w:type="spellEnd"/>
      <w:r w:rsidRPr="00E939EA">
        <w:t xml:space="preserve">. zm.), projekt </w:t>
      </w:r>
      <w:r w:rsidR="008A6B95" w:rsidRPr="00E939EA">
        <w:t xml:space="preserve">ustawy </w:t>
      </w:r>
      <w:r w:rsidRPr="00E939EA">
        <w:t>nie podlega notyfikacji.</w:t>
      </w:r>
    </w:p>
    <w:p w:rsidR="002B7BD6" w:rsidRPr="00E939EA" w:rsidRDefault="002B7BD6" w:rsidP="003B79D3">
      <w:pPr>
        <w:autoSpaceDE w:val="0"/>
        <w:autoSpaceDN w:val="0"/>
        <w:adjustRightInd w:val="0"/>
        <w:spacing w:before="120" w:line="360" w:lineRule="auto"/>
        <w:jc w:val="both"/>
      </w:pPr>
      <w:r w:rsidRPr="00E939EA">
        <w:t>Projekt ustawy nie wymaga przedłożenia instytucjom i organom Unii Europejskiej</w:t>
      </w:r>
      <w:r w:rsidR="00410018">
        <w:t>, w </w:t>
      </w:r>
      <w:r w:rsidR="00A5649D">
        <w:t>tym</w:t>
      </w:r>
      <w:r w:rsidRPr="00E939EA">
        <w:t xml:space="preserve"> Europejskiemu Bankowi Centralnemu</w:t>
      </w:r>
      <w:r w:rsidR="00A5649D">
        <w:t>,</w:t>
      </w:r>
      <w:r w:rsidRPr="00E939EA">
        <w:t xml:space="preserve"> w celu uzyskania opinii, dokonania konsultacji lub uzgodnienia, o której mowa w § 39 uchwały </w:t>
      </w:r>
      <w:r w:rsidR="00410018">
        <w:t xml:space="preserve">nr 190 Rady Ministrów </w:t>
      </w:r>
      <w:r w:rsidR="00410018">
        <w:lastRenderedPageBreak/>
        <w:t>z </w:t>
      </w:r>
      <w:r w:rsidR="00206A91">
        <w:t>dnia 29 </w:t>
      </w:r>
      <w:r w:rsidRPr="00E939EA">
        <w:t>października 2013</w:t>
      </w:r>
      <w:r w:rsidR="0045589C">
        <w:t xml:space="preserve"> </w:t>
      </w:r>
      <w:r w:rsidRPr="00E939EA">
        <w:t>r. – Regulamin pracy Rady</w:t>
      </w:r>
      <w:r w:rsidR="00410018">
        <w:t xml:space="preserve"> Ministrów (M.P. z 2016 r. poz. </w:t>
      </w:r>
      <w:r w:rsidRPr="00E939EA">
        <w:t xml:space="preserve">1006, z </w:t>
      </w:r>
      <w:proofErr w:type="spellStart"/>
      <w:r w:rsidRPr="00E939EA">
        <w:t>późn</w:t>
      </w:r>
      <w:proofErr w:type="spellEnd"/>
      <w:r w:rsidRPr="00E939EA">
        <w:t>. zm.).</w:t>
      </w:r>
    </w:p>
    <w:p w:rsidR="008F671E" w:rsidRPr="00E939EA" w:rsidRDefault="002B7BD6" w:rsidP="003B79D3">
      <w:pPr>
        <w:autoSpaceDE w:val="0"/>
        <w:autoSpaceDN w:val="0"/>
        <w:adjustRightInd w:val="0"/>
        <w:spacing w:before="120" w:line="360" w:lineRule="auto"/>
        <w:jc w:val="both"/>
      </w:pPr>
      <w:r w:rsidRPr="00E939EA">
        <w:t>Zgodnie z ustawą z dnia 7 lipca 2005 r. o działalności lobbingowej w procesie stanowienia prawa (Dz. U. z 2017 r. poz. 248) projekt ustawy został udostępniony na stronach urzędowego informatora teleinformatycznego – Biuletynu Informacji Publicznej. Ponadto, stosownie do postanowień § 52 uchwały nr 190 R</w:t>
      </w:r>
      <w:r w:rsidR="00206A91">
        <w:t>ady Ministrów z </w:t>
      </w:r>
      <w:r w:rsidRPr="00E939EA">
        <w:t xml:space="preserve">dnia 29 października 2013 r. – Regulamin pracy Rady Ministrów, projekt ustawy został udostępniony w Biuletynie Informacji Publicznej na stronie podmiotowej Rządowego Centrum Legislacji w serwisie Rządowy Proces Legislacyjny. </w:t>
      </w:r>
    </w:p>
    <w:p w:rsidR="002B7BD6" w:rsidRDefault="002B7BD6" w:rsidP="003B79D3">
      <w:pPr>
        <w:autoSpaceDE w:val="0"/>
        <w:autoSpaceDN w:val="0"/>
        <w:adjustRightInd w:val="0"/>
        <w:spacing w:before="120" w:line="360" w:lineRule="auto"/>
        <w:jc w:val="both"/>
      </w:pPr>
      <w:r w:rsidRPr="00E939EA">
        <w:t>Projektowana regulacja jest zgodna z prawem Unii Europejskiej.</w:t>
      </w:r>
    </w:p>
    <w:p w:rsidR="008C6DE4" w:rsidRDefault="008C6DE4" w:rsidP="008C6DE4">
      <w:pPr>
        <w:autoSpaceDE w:val="0"/>
        <w:autoSpaceDN w:val="0"/>
        <w:adjustRightInd w:val="0"/>
        <w:spacing w:before="120" w:line="360" w:lineRule="auto"/>
        <w:jc w:val="both"/>
      </w:pPr>
    </w:p>
    <w:sectPr w:rsidR="008C6DE4" w:rsidSect="000E5650">
      <w:headerReference w:type="even" r:id="rId13"/>
      <w:headerReference w:type="default" r:id="rId14"/>
      <w:footerReference w:type="even" r:id="rId15"/>
      <w:footerReference w:type="default" r:id="rId16"/>
      <w:headerReference w:type="first" r:id="rId17"/>
      <w:footerReference w:type="first" r:id="rId18"/>
      <w:pgSz w:w="11907" w:h="16840" w:code="9"/>
      <w:pgMar w:top="1588" w:right="1418" w:bottom="1418" w:left="1985" w:header="709" w:footer="709" w:gutter="0"/>
      <w:cols w:space="708"/>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F60" w:rsidRDefault="00676F60">
      <w:r>
        <w:separator/>
      </w:r>
    </w:p>
  </w:endnote>
  <w:endnote w:type="continuationSeparator" w:id="0">
    <w:p w:rsidR="00676F60" w:rsidRDefault="00676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EE"/>
    <w:family w:val="swiss"/>
    <w:notTrueType/>
    <w:pitch w:val="default"/>
    <w:sig w:usb0="00000005" w:usb1="00000000" w:usb2="00000000" w:usb3="00000000" w:csb0="00000002"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03B" w:rsidRDefault="0081103B">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9995720"/>
      <w:docPartObj>
        <w:docPartGallery w:val="Page Numbers (Bottom of Page)"/>
        <w:docPartUnique/>
      </w:docPartObj>
    </w:sdtPr>
    <w:sdtEndPr/>
    <w:sdtContent>
      <w:p w:rsidR="00E939EA" w:rsidRDefault="00E939EA" w:rsidP="003B79D3">
        <w:pPr>
          <w:pStyle w:val="Stopka"/>
          <w:tabs>
            <w:tab w:val="left" w:pos="3795"/>
            <w:tab w:val="center" w:pos="4252"/>
          </w:tabs>
          <w:jc w:val="center"/>
        </w:pPr>
        <w:r>
          <w:fldChar w:fldCharType="begin"/>
        </w:r>
        <w:r>
          <w:instrText>PAGE   \* MERGEFORMAT</w:instrText>
        </w:r>
        <w:r>
          <w:fldChar w:fldCharType="separate"/>
        </w:r>
        <w:r w:rsidR="00DE4CDE">
          <w:rPr>
            <w:noProof/>
          </w:rPr>
          <w:t>27</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03B" w:rsidRDefault="0081103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F60" w:rsidRDefault="00676F60">
      <w:r>
        <w:separator/>
      </w:r>
    </w:p>
  </w:footnote>
  <w:footnote w:type="continuationSeparator" w:id="0">
    <w:p w:rsidR="00676F60" w:rsidRDefault="00676F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03B" w:rsidRDefault="0081103B">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03B" w:rsidRDefault="0081103B">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03B" w:rsidRDefault="0081103B">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F443B"/>
    <w:multiLevelType w:val="hybridMultilevel"/>
    <w:tmpl w:val="88908980"/>
    <w:lvl w:ilvl="0" w:tplc="9A7612F0">
      <w:start w:val="1"/>
      <w:numFmt w:val="bullet"/>
      <w:lvlText w:val=""/>
      <w:lvlJc w:val="left"/>
      <w:pPr>
        <w:ind w:left="1490" w:hanging="360"/>
      </w:pPr>
      <w:rPr>
        <w:rFonts w:ascii="Symbol" w:hAnsi="Symbol" w:hint="default"/>
      </w:rPr>
    </w:lvl>
    <w:lvl w:ilvl="1" w:tplc="04150003" w:tentative="1">
      <w:start w:val="1"/>
      <w:numFmt w:val="bullet"/>
      <w:lvlText w:val="o"/>
      <w:lvlJc w:val="left"/>
      <w:pPr>
        <w:ind w:left="2210" w:hanging="360"/>
      </w:pPr>
      <w:rPr>
        <w:rFonts w:ascii="Courier New" w:hAnsi="Courier New" w:cs="Courier New" w:hint="default"/>
      </w:rPr>
    </w:lvl>
    <w:lvl w:ilvl="2" w:tplc="04150005" w:tentative="1">
      <w:start w:val="1"/>
      <w:numFmt w:val="bullet"/>
      <w:lvlText w:val=""/>
      <w:lvlJc w:val="left"/>
      <w:pPr>
        <w:ind w:left="2930" w:hanging="360"/>
      </w:pPr>
      <w:rPr>
        <w:rFonts w:ascii="Wingdings" w:hAnsi="Wingdings" w:hint="default"/>
      </w:rPr>
    </w:lvl>
    <w:lvl w:ilvl="3" w:tplc="04150001" w:tentative="1">
      <w:start w:val="1"/>
      <w:numFmt w:val="bullet"/>
      <w:lvlText w:val=""/>
      <w:lvlJc w:val="left"/>
      <w:pPr>
        <w:ind w:left="3650" w:hanging="360"/>
      </w:pPr>
      <w:rPr>
        <w:rFonts w:ascii="Symbol" w:hAnsi="Symbol" w:hint="default"/>
      </w:rPr>
    </w:lvl>
    <w:lvl w:ilvl="4" w:tplc="04150003" w:tentative="1">
      <w:start w:val="1"/>
      <w:numFmt w:val="bullet"/>
      <w:lvlText w:val="o"/>
      <w:lvlJc w:val="left"/>
      <w:pPr>
        <w:ind w:left="4370" w:hanging="360"/>
      </w:pPr>
      <w:rPr>
        <w:rFonts w:ascii="Courier New" w:hAnsi="Courier New" w:cs="Courier New" w:hint="default"/>
      </w:rPr>
    </w:lvl>
    <w:lvl w:ilvl="5" w:tplc="04150005" w:tentative="1">
      <w:start w:val="1"/>
      <w:numFmt w:val="bullet"/>
      <w:lvlText w:val=""/>
      <w:lvlJc w:val="left"/>
      <w:pPr>
        <w:ind w:left="5090" w:hanging="360"/>
      </w:pPr>
      <w:rPr>
        <w:rFonts w:ascii="Wingdings" w:hAnsi="Wingdings" w:hint="default"/>
      </w:rPr>
    </w:lvl>
    <w:lvl w:ilvl="6" w:tplc="04150001" w:tentative="1">
      <w:start w:val="1"/>
      <w:numFmt w:val="bullet"/>
      <w:lvlText w:val=""/>
      <w:lvlJc w:val="left"/>
      <w:pPr>
        <w:ind w:left="5810" w:hanging="360"/>
      </w:pPr>
      <w:rPr>
        <w:rFonts w:ascii="Symbol" w:hAnsi="Symbol" w:hint="default"/>
      </w:rPr>
    </w:lvl>
    <w:lvl w:ilvl="7" w:tplc="04150003" w:tentative="1">
      <w:start w:val="1"/>
      <w:numFmt w:val="bullet"/>
      <w:lvlText w:val="o"/>
      <w:lvlJc w:val="left"/>
      <w:pPr>
        <w:ind w:left="6530" w:hanging="360"/>
      </w:pPr>
      <w:rPr>
        <w:rFonts w:ascii="Courier New" w:hAnsi="Courier New" w:cs="Courier New" w:hint="default"/>
      </w:rPr>
    </w:lvl>
    <w:lvl w:ilvl="8" w:tplc="04150005" w:tentative="1">
      <w:start w:val="1"/>
      <w:numFmt w:val="bullet"/>
      <w:lvlText w:val=""/>
      <w:lvlJc w:val="left"/>
      <w:pPr>
        <w:ind w:left="7250" w:hanging="360"/>
      </w:pPr>
      <w:rPr>
        <w:rFonts w:ascii="Wingdings" w:hAnsi="Wingdings" w:hint="default"/>
      </w:rPr>
    </w:lvl>
  </w:abstractNum>
  <w:abstractNum w:abstractNumId="1">
    <w:nsid w:val="0543168F"/>
    <w:multiLevelType w:val="hybridMultilevel"/>
    <w:tmpl w:val="A3C2BF96"/>
    <w:lvl w:ilvl="0" w:tplc="09545D38">
      <w:start w:val="1"/>
      <w:numFmt w:val="lowerRoman"/>
      <w:lvlText w:val="%1)"/>
      <w:lvlJc w:val="left"/>
      <w:pPr>
        <w:ind w:left="1638" w:hanging="93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nsid w:val="0D6A3C18"/>
    <w:multiLevelType w:val="hybridMultilevel"/>
    <w:tmpl w:val="3698F2B0"/>
    <w:lvl w:ilvl="0" w:tplc="9A7612F0">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
    <w:nsid w:val="12701972"/>
    <w:multiLevelType w:val="hybridMultilevel"/>
    <w:tmpl w:val="D5662546"/>
    <w:lvl w:ilvl="0" w:tplc="9A7612F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
    <w:nsid w:val="19712B79"/>
    <w:multiLevelType w:val="hybridMultilevel"/>
    <w:tmpl w:val="09CAC404"/>
    <w:lvl w:ilvl="0" w:tplc="04150001">
      <w:start w:val="1"/>
      <w:numFmt w:val="bullet"/>
      <w:lvlText w:val=""/>
      <w:lvlJc w:val="left"/>
      <w:pPr>
        <w:ind w:left="1070" w:hanging="360"/>
      </w:pPr>
      <w:rPr>
        <w:rFonts w:ascii="Symbol" w:hAnsi="Symbol"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5">
    <w:nsid w:val="2069104D"/>
    <w:multiLevelType w:val="hybridMultilevel"/>
    <w:tmpl w:val="E1A63C14"/>
    <w:lvl w:ilvl="0" w:tplc="9A7612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20C00CE2"/>
    <w:multiLevelType w:val="hybridMultilevel"/>
    <w:tmpl w:val="BBB0ED5A"/>
    <w:lvl w:ilvl="0" w:tplc="D0200F00">
      <w:start w:val="1"/>
      <w:numFmt w:val="lowerRoman"/>
      <w:lvlText w:val="%1)"/>
      <w:lvlJc w:val="left"/>
      <w:pPr>
        <w:ind w:left="1428" w:hanging="72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nsid w:val="28CA1371"/>
    <w:multiLevelType w:val="hybridMultilevel"/>
    <w:tmpl w:val="F86602F2"/>
    <w:lvl w:ilvl="0" w:tplc="9A7612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29F00DC3"/>
    <w:multiLevelType w:val="hybridMultilevel"/>
    <w:tmpl w:val="27A4452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2ADF667B"/>
    <w:multiLevelType w:val="hybridMultilevel"/>
    <w:tmpl w:val="855A622E"/>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nsid w:val="2AE26929"/>
    <w:multiLevelType w:val="hybridMultilevel"/>
    <w:tmpl w:val="0AB28EE8"/>
    <w:lvl w:ilvl="0" w:tplc="9A7612F0">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1">
    <w:nsid w:val="2CA90046"/>
    <w:multiLevelType w:val="hybridMultilevel"/>
    <w:tmpl w:val="3B1AD902"/>
    <w:lvl w:ilvl="0" w:tplc="9A7612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2D0E1D4A"/>
    <w:multiLevelType w:val="hybridMultilevel"/>
    <w:tmpl w:val="7352B576"/>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EEE17D6"/>
    <w:multiLevelType w:val="hybridMultilevel"/>
    <w:tmpl w:val="BDC26CD6"/>
    <w:lvl w:ilvl="0" w:tplc="04150017">
      <w:start w:val="1"/>
      <w:numFmt w:val="lowerLetter"/>
      <w:lvlText w:val="%1)"/>
      <w:lvlJc w:val="left"/>
      <w:pPr>
        <w:ind w:left="644" w:hanging="360"/>
      </w:pPr>
    </w:lvl>
    <w:lvl w:ilvl="1" w:tplc="A49A1F16">
      <w:start w:val="1"/>
      <w:numFmt w:val="lowerRoman"/>
      <w:lvlText w:val="%2)"/>
      <w:lvlJc w:val="left"/>
      <w:pPr>
        <w:ind w:left="1724" w:hanging="720"/>
      </w:pPr>
      <w:rPr>
        <w:rFonts w:hint="default"/>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nsid w:val="35D742D2"/>
    <w:multiLevelType w:val="hybridMultilevel"/>
    <w:tmpl w:val="58900410"/>
    <w:lvl w:ilvl="0" w:tplc="9A7612F0">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5">
    <w:nsid w:val="36F3372F"/>
    <w:multiLevelType w:val="hybridMultilevel"/>
    <w:tmpl w:val="6B96EB8C"/>
    <w:lvl w:ilvl="0" w:tplc="A49A1F16">
      <w:start w:val="1"/>
      <w:numFmt w:val="lowerRoman"/>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3AA9258F"/>
    <w:multiLevelType w:val="hybridMultilevel"/>
    <w:tmpl w:val="5660FAE6"/>
    <w:lvl w:ilvl="0" w:tplc="9A7612F0">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7">
    <w:nsid w:val="3C2F1C2F"/>
    <w:multiLevelType w:val="hybridMultilevel"/>
    <w:tmpl w:val="73F0271A"/>
    <w:lvl w:ilvl="0" w:tplc="9A7612F0">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8">
    <w:nsid w:val="42D93E1A"/>
    <w:multiLevelType w:val="hybridMultilevel"/>
    <w:tmpl w:val="6F5A5054"/>
    <w:lvl w:ilvl="0" w:tplc="9A7612F0">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9">
    <w:nsid w:val="4CEE7C3A"/>
    <w:multiLevelType w:val="hybridMultilevel"/>
    <w:tmpl w:val="FAE6E752"/>
    <w:lvl w:ilvl="0" w:tplc="9A7612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4D2B20BC"/>
    <w:multiLevelType w:val="hybridMultilevel"/>
    <w:tmpl w:val="0698711C"/>
    <w:lvl w:ilvl="0" w:tplc="9A7612F0">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1">
    <w:nsid w:val="61000666"/>
    <w:multiLevelType w:val="hybridMultilevel"/>
    <w:tmpl w:val="7310A84E"/>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2">
    <w:nsid w:val="63B57357"/>
    <w:multiLevelType w:val="hybridMultilevel"/>
    <w:tmpl w:val="789454D4"/>
    <w:lvl w:ilvl="0" w:tplc="9A7612F0">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3">
    <w:nsid w:val="68A300FC"/>
    <w:multiLevelType w:val="hybridMultilevel"/>
    <w:tmpl w:val="E2B61534"/>
    <w:lvl w:ilvl="0" w:tplc="9A7612F0">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4">
    <w:nsid w:val="6BE21AEF"/>
    <w:multiLevelType w:val="hybridMultilevel"/>
    <w:tmpl w:val="FD1233AA"/>
    <w:lvl w:ilvl="0" w:tplc="9A7612F0">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5">
    <w:nsid w:val="724F7ECC"/>
    <w:multiLevelType w:val="hybridMultilevel"/>
    <w:tmpl w:val="556A4EAA"/>
    <w:lvl w:ilvl="0" w:tplc="9A7612F0">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6">
    <w:nsid w:val="749133E9"/>
    <w:multiLevelType w:val="hybridMultilevel"/>
    <w:tmpl w:val="84F666D4"/>
    <w:lvl w:ilvl="0" w:tplc="9A7612F0">
      <w:start w:val="1"/>
      <w:numFmt w:val="bullet"/>
      <w:lvlText w:val=""/>
      <w:lvlJc w:val="left"/>
      <w:pPr>
        <w:ind w:left="1070" w:hanging="360"/>
      </w:pPr>
      <w:rPr>
        <w:rFonts w:ascii="Symbol" w:hAnsi="Symbol"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27">
    <w:nsid w:val="76932A52"/>
    <w:multiLevelType w:val="hybridMultilevel"/>
    <w:tmpl w:val="8F2894C0"/>
    <w:lvl w:ilvl="0" w:tplc="9A7612F0">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28">
    <w:nsid w:val="7EF54A2F"/>
    <w:multiLevelType w:val="hybridMultilevel"/>
    <w:tmpl w:val="5C3A7FBA"/>
    <w:lvl w:ilvl="0" w:tplc="9A7612F0">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num w:numId="1">
    <w:abstractNumId w:val="8"/>
  </w:num>
  <w:num w:numId="2">
    <w:abstractNumId w:val="13"/>
  </w:num>
  <w:num w:numId="3">
    <w:abstractNumId w:val="9"/>
  </w:num>
  <w:num w:numId="4">
    <w:abstractNumId w:val="22"/>
  </w:num>
  <w:num w:numId="5">
    <w:abstractNumId w:val="16"/>
  </w:num>
  <w:num w:numId="6">
    <w:abstractNumId w:val="20"/>
  </w:num>
  <w:num w:numId="7">
    <w:abstractNumId w:val="25"/>
  </w:num>
  <w:num w:numId="8">
    <w:abstractNumId w:val="28"/>
  </w:num>
  <w:num w:numId="9">
    <w:abstractNumId w:val="18"/>
  </w:num>
  <w:num w:numId="10">
    <w:abstractNumId w:val="2"/>
  </w:num>
  <w:num w:numId="11">
    <w:abstractNumId w:val="14"/>
  </w:num>
  <w:num w:numId="12">
    <w:abstractNumId w:val="24"/>
  </w:num>
  <w:num w:numId="13">
    <w:abstractNumId w:val="10"/>
  </w:num>
  <w:num w:numId="14">
    <w:abstractNumId w:val="15"/>
  </w:num>
  <w:num w:numId="15">
    <w:abstractNumId w:val="3"/>
  </w:num>
  <w:num w:numId="16">
    <w:abstractNumId w:val="17"/>
  </w:num>
  <w:num w:numId="17">
    <w:abstractNumId w:val="7"/>
  </w:num>
  <w:num w:numId="18">
    <w:abstractNumId w:val="4"/>
  </w:num>
  <w:num w:numId="19">
    <w:abstractNumId w:val="1"/>
  </w:num>
  <w:num w:numId="20">
    <w:abstractNumId w:val="21"/>
  </w:num>
  <w:num w:numId="21">
    <w:abstractNumId w:val="6"/>
  </w:num>
  <w:num w:numId="22">
    <w:abstractNumId w:val="27"/>
  </w:num>
  <w:num w:numId="23">
    <w:abstractNumId w:val="23"/>
  </w:num>
  <w:num w:numId="24">
    <w:abstractNumId w:val="5"/>
  </w:num>
  <w:num w:numId="25">
    <w:abstractNumId w:val="0"/>
  </w:num>
  <w:num w:numId="26">
    <w:abstractNumId w:val="19"/>
  </w:num>
  <w:num w:numId="27">
    <w:abstractNumId w:val="11"/>
  </w:num>
  <w:num w:numId="28">
    <w:abstractNumId w:val="12"/>
  </w:num>
  <w:num w:numId="29">
    <w:abstractNumId w:val="26"/>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oczewko Aleksander">
    <w15:presenceInfo w15:providerId="AD" w15:userId="S-1-5-21-2123185800-3696071044-3552850296-25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403"/>
    <w:rsid w:val="00003CDF"/>
    <w:rsid w:val="0000489F"/>
    <w:rsid w:val="000131C7"/>
    <w:rsid w:val="000157AB"/>
    <w:rsid w:val="00021768"/>
    <w:rsid w:val="00051481"/>
    <w:rsid w:val="000531A2"/>
    <w:rsid w:val="00054EB0"/>
    <w:rsid w:val="0005563B"/>
    <w:rsid w:val="000636FB"/>
    <w:rsid w:val="00063E80"/>
    <w:rsid w:val="00081664"/>
    <w:rsid w:val="00096106"/>
    <w:rsid w:val="000A297C"/>
    <w:rsid w:val="000B137C"/>
    <w:rsid w:val="000B175B"/>
    <w:rsid w:val="000B3A6A"/>
    <w:rsid w:val="000B6418"/>
    <w:rsid w:val="000B781D"/>
    <w:rsid w:val="000C3546"/>
    <w:rsid w:val="000C3B2E"/>
    <w:rsid w:val="000D499F"/>
    <w:rsid w:val="000E5650"/>
    <w:rsid w:val="000F49D9"/>
    <w:rsid w:val="000F71BA"/>
    <w:rsid w:val="001156A2"/>
    <w:rsid w:val="00133403"/>
    <w:rsid w:val="00141510"/>
    <w:rsid w:val="00141751"/>
    <w:rsid w:val="00157663"/>
    <w:rsid w:val="00157FD2"/>
    <w:rsid w:val="001601FB"/>
    <w:rsid w:val="00163668"/>
    <w:rsid w:val="00174897"/>
    <w:rsid w:val="00174B2F"/>
    <w:rsid w:val="001809E8"/>
    <w:rsid w:val="00196D0E"/>
    <w:rsid w:val="001B28F0"/>
    <w:rsid w:val="001B5F7F"/>
    <w:rsid w:val="001C2D4B"/>
    <w:rsid w:val="001C608A"/>
    <w:rsid w:val="001E6EF3"/>
    <w:rsid w:val="001E74CB"/>
    <w:rsid w:val="0020082C"/>
    <w:rsid w:val="002013AA"/>
    <w:rsid w:val="00206A91"/>
    <w:rsid w:val="002071FC"/>
    <w:rsid w:val="0021181D"/>
    <w:rsid w:val="00213B58"/>
    <w:rsid w:val="002271C4"/>
    <w:rsid w:val="00234A98"/>
    <w:rsid w:val="0023712B"/>
    <w:rsid w:val="00254012"/>
    <w:rsid w:val="00255C8D"/>
    <w:rsid w:val="0027019B"/>
    <w:rsid w:val="0027437B"/>
    <w:rsid w:val="0027611E"/>
    <w:rsid w:val="00282094"/>
    <w:rsid w:val="00282682"/>
    <w:rsid w:val="002931E3"/>
    <w:rsid w:val="002965ED"/>
    <w:rsid w:val="00296BEF"/>
    <w:rsid w:val="002A3517"/>
    <w:rsid w:val="002A67B4"/>
    <w:rsid w:val="002B7BD6"/>
    <w:rsid w:val="002C00E2"/>
    <w:rsid w:val="002C350C"/>
    <w:rsid w:val="002D0542"/>
    <w:rsid w:val="002D21AC"/>
    <w:rsid w:val="002D7145"/>
    <w:rsid w:val="002D7BA4"/>
    <w:rsid w:val="002E0845"/>
    <w:rsid w:val="002E2D28"/>
    <w:rsid w:val="002E531B"/>
    <w:rsid w:val="002E5E8B"/>
    <w:rsid w:val="002E68F9"/>
    <w:rsid w:val="002F2261"/>
    <w:rsid w:val="002F3E4E"/>
    <w:rsid w:val="00302EFC"/>
    <w:rsid w:val="00305612"/>
    <w:rsid w:val="00307CEF"/>
    <w:rsid w:val="00311279"/>
    <w:rsid w:val="0031130A"/>
    <w:rsid w:val="00316CDF"/>
    <w:rsid w:val="003342AA"/>
    <w:rsid w:val="00335926"/>
    <w:rsid w:val="003443CE"/>
    <w:rsid w:val="00351D2E"/>
    <w:rsid w:val="00354BFF"/>
    <w:rsid w:val="003550FA"/>
    <w:rsid w:val="00366005"/>
    <w:rsid w:val="00373053"/>
    <w:rsid w:val="003B0B61"/>
    <w:rsid w:val="003B79D3"/>
    <w:rsid w:val="003C0BAD"/>
    <w:rsid w:val="003D1BE0"/>
    <w:rsid w:val="003D1EC8"/>
    <w:rsid w:val="003D3336"/>
    <w:rsid w:val="003E28F2"/>
    <w:rsid w:val="003E7D81"/>
    <w:rsid w:val="003F30C1"/>
    <w:rsid w:val="003F4599"/>
    <w:rsid w:val="003F6123"/>
    <w:rsid w:val="003F7A72"/>
    <w:rsid w:val="004000CE"/>
    <w:rsid w:val="00400DE3"/>
    <w:rsid w:val="0040242C"/>
    <w:rsid w:val="00403156"/>
    <w:rsid w:val="004044C8"/>
    <w:rsid w:val="00410018"/>
    <w:rsid w:val="00430EF6"/>
    <w:rsid w:val="00436189"/>
    <w:rsid w:val="00436829"/>
    <w:rsid w:val="00437C3D"/>
    <w:rsid w:val="0044185B"/>
    <w:rsid w:val="00445AAC"/>
    <w:rsid w:val="00454485"/>
    <w:rsid w:val="0045589C"/>
    <w:rsid w:val="004567C8"/>
    <w:rsid w:val="00463B3A"/>
    <w:rsid w:val="00465854"/>
    <w:rsid w:val="00472820"/>
    <w:rsid w:val="00473691"/>
    <w:rsid w:val="00483385"/>
    <w:rsid w:val="00485DF7"/>
    <w:rsid w:val="004926A3"/>
    <w:rsid w:val="004A6FFD"/>
    <w:rsid w:val="004F1869"/>
    <w:rsid w:val="004F324D"/>
    <w:rsid w:val="004F341F"/>
    <w:rsid w:val="005047AD"/>
    <w:rsid w:val="00511E63"/>
    <w:rsid w:val="0051350C"/>
    <w:rsid w:val="005139BC"/>
    <w:rsid w:val="00520789"/>
    <w:rsid w:val="00530863"/>
    <w:rsid w:val="00531C07"/>
    <w:rsid w:val="00535D7C"/>
    <w:rsid w:val="00556113"/>
    <w:rsid w:val="00557A79"/>
    <w:rsid w:val="0057059D"/>
    <w:rsid w:val="00591FA3"/>
    <w:rsid w:val="0059215A"/>
    <w:rsid w:val="005B1C92"/>
    <w:rsid w:val="005B32B5"/>
    <w:rsid w:val="005C1259"/>
    <w:rsid w:val="005C29A6"/>
    <w:rsid w:val="005C4C59"/>
    <w:rsid w:val="005D3447"/>
    <w:rsid w:val="005D7AC0"/>
    <w:rsid w:val="005E0DE1"/>
    <w:rsid w:val="005E218F"/>
    <w:rsid w:val="005E2B31"/>
    <w:rsid w:val="005E2D04"/>
    <w:rsid w:val="005E5AD7"/>
    <w:rsid w:val="005E5EA6"/>
    <w:rsid w:val="005E721A"/>
    <w:rsid w:val="006113EC"/>
    <w:rsid w:val="00615BF8"/>
    <w:rsid w:val="006272C9"/>
    <w:rsid w:val="006273D6"/>
    <w:rsid w:val="00642CFC"/>
    <w:rsid w:val="00653654"/>
    <w:rsid w:val="00656185"/>
    <w:rsid w:val="006662C8"/>
    <w:rsid w:val="006668C1"/>
    <w:rsid w:val="006714C8"/>
    <w:rsid w:val="00675B24"/>
    <w:rsid w:val="00676F60"/>
    <w:rsid w:val="00677125"/>
    <w:rsid w:val="00682715"/>
    <w:rsid w:val="006A003F"/>
    <w:rsid w:val="006B4C8A"/>
    <w:rsid w:val="006B6EFC"/>
    <w:rsid w:val="006C0090"/>
    <w:rsid w:val="006C0FB0"/>
    <w:rsid w:val="006C5F3D"/>
    <w:rsid w:val="006C6E7A"/>
    <w:rsid w:val="006C744F"/>
    <w:rsid w:val="006D4308"/>
    <w:rsid w:val="006D45FC"/>
    <w:rsid w:val="006D5F54"/>
    <w:rsid w:val="006D64FB"/>
    <w:rsid w:val="006D705F"/>
    <w:rsid w:val="006E4C0B"/>
    <w:rsid w:val="006E7BE1"/>
    <w:rsid w:val="006F2569"/>
    <w:rsid w:val="0071354A"/>
    <w:rsid w:val="00720136"/>
    <w:rsid w:val="00744566"/>
    <w:rsid w:val="00754A43"/>
    <w:rsid w:val="00766962"/>
    <w:rsid w:val="00790B93"/>
    <w:rsid w:val="00791068"/>
    <w:rsid w:val="00794F3D"/>
    <w:rsid w:val="007A73C2"/>
    <w:rsid w:val="007A7BC3"/>
    <w:rsid w:val="007B0871"/>
    <w:rsid w:val="007C18DC"/>
    <w:rsid w:val="007C3441"/>
    <w:rsid w:val="007D70AB"/>
    <w:rsid w:val="007E1A9E"/>
    <w:rsid w:val="007E4A3C"/>
    <w:rsid w:val="007F5CC8"/>
    <w:rsid w:val="0080047E"/>
    <w:rsid w:val="0080258C"/>
    <w:rsid w:val="0080323A"/>
    <w:rsid w:val="0081103B"/>
    <w:rsid w:val="00811EC2"/>
    <w:rsid w:val="00815CE0"/>
    <w:rsid w:val="00820008"/>
    <w:rsid w:val="008232C5"/>
    <w:rsid w:val="00823789"/>
    <w:rsid w:val="00841F3B"/>
    <w:rsid w:val="00844C21"/>
    <w:rsid w:val="0085458C"/>
    <w:rsid w:val="00856870"/>
    <w:rsid w:val="00856AB9"/>
    <w:rsid w:val="0086517B"/>
    <w:rsid w:val="008778D1"/>
    <w:rsid w:val="00890C04"/>
    <w:rsid w:val="008A31B5"/>
    <w:rsid w:val="008A6B95"/>
    <w:rsid w:val="008C4B41"/>
    <w:rsid w:val="008C6DE4"/>
    <w:rsid w:val="008D4A84"/>
    <w:rsid w:val="008D7876"/>
    <w:rsid w:val="008E1E41"/>
    <w:rsid w:val="008E49B8"/>
    <w:rsid w:val="008E54F4"/>
    <w:rsid w:val="008E6E55"/>
    <w:rsid w:val="008F43E6"/>
    <w:rsid w:val="008F671E"/>
    <w:rsid w:val="009252B9"/>
    <w:rsid w:val="00926FC0"/>
    <w:rsid w:val="00932386"/>
    <w:rsid w:val="00936778"/>
    <w:rsid w:val="00942520"/>
    <w:rsid w:val="00947044"/>
    <w:rsid w:val="0095506D"/>
    <w:rsid w:val="00960151"/>
    <w:rsid w:val="0098134D"/>
    <w:rsid w:val="009839BA"/>
    <w:rsid w:val="00983ECB"/>
    <w:rsid w:val="00987418"/>
    <w:rsid w:val="009901C3"/>
    <w:rsid w:val="00993FA8"/>
    <w:rsid w:val="009A3B3E"/>
    <w:rsid w:val="009B789B"/>
    <w:rsid w:val="009D4C1E"/>
    <w:rsid w:val="009D7941"/>
    <w:rsid w:val="009E12AE"/>
    <w:rsid w:val="009E7A6B"/>
    <w:rsid w:val="009F0674"/>
    <w:rsid w:val="009F3D1D"/>
    <w:rsid w:val="009F5C85"/>
    <w:rsid w:val="00A0011C"/>
    <w:rsid w:val="00A02386"/>
    <w:rsid w:val="00A0681B"/>
    <w:rsid w:val="00A11B23"/>
    <w:rsid w:val="00A22987"/>
    <w:rsid w:val="00A30C0D"/>
    <w:rsid w:val="00A32A22"/>
    <w:rsid w:val="00A44DD9"/>
    <w:rsid w:val="00A46AC0"/>
    <w:rsid w:val="00A47FE9"/>
    <w:rsid w:val="00A5649D"/>
    <w:rsid w:val="00A67EC3"/>
    <w:rsid w:val="00A76E27"/>
    <w:rsid w:val="00A770DD"/>
    <w:rsid w:val="00A80890"/>
    <w:rsid w:val="00A84408"/>
    <w:rsid w:val="00A955D6"/>
    <w:rsid w:val="00AA143D"/>
    <w:rsid w:val="00AB1CFF"/>
    <w:rsid w:val="00AB6473"/>
    <w:rsid w:val="00AC07AF"/>
    <w:rsid w:val="00AC351E"/>
    <w:rsid w:val="00AC4C52"/>
    <w:rsid w:val="00AC7563"/>
    <w:rsid w:val="00AC75E6"/>
    <w:rsid w:val="00AD3919"/>
    <w:rsid w:val="00AE1A88"/>
    <w:rsid w:val="00AE5A53"/>
    <w:rsid w:val="00AF669D"/>
    <w:rsid w:val="00B008DD"/>
    <w:rsid w:val="00B11541"/>
    <w:rsid w:val="00B15461"/>
    <w:rsid w:val="00B17252"/>
    <w:rsid w:val="00B221E6"/>
    <w:rsid w:val="00B40849"/>
    <w:rsid w:val="00B45D07"/>
    <w:rsid w:val="00B51EBD"/>
    <w:rsid w:val="00B52D3E"/>
    <w:rsid w:val="00B53413"/>
    <w:rsid w:val="00B56C74"/>
    <w:rsid w:val="00B71D80"/>
    <w:rsid w:val="00B73240"/>
    <w:rsid w:val="00B96240"/>
    <w:rsid w:val="00BC0208"/>
    <w:rsid w:val="00BC2174"/>
    <w:rsid w:val="00BC4548"/>
    <w:rsid w:val="00BD04FD"/>
    <w:rsid w:val="00BE2701"/>
    <w:rsid w:val="00BF03C5"/>
    <w:rsid w:val="00BF1679"/>
    <w:rsid w:val="00BF3773"/>
    <w:rsid w:val="00BF4BD4"/>
    <w:rsid w:val="00C00424"/>
    <w:rsid w:val="00C17DCA"/>
    <w:rsid w:val="00C20FCB"/>
    <w:rsid w:val="00C226A1"/>
    <w:rsid w:val="00C25105"/>
    <w:rsid w:val="00C25842"/>
    <w:rsid w:val="00C27E73"/>
    <w:rsid w:val="00C304C7"/>
    <w:rsid w:val="00C3705F"/>
    <w:rsid w:val="00C40EA4"/>
    <w:rsid w:val="00C72500"/>
    <w:rsid w:val="00C75D76"/>
    <w:rsid w:val="00C814C2"/>
    <w:rsid w:val="00C8246B"/>
    <w:rsid w:val="00CA725B"/>
    <w:rsid w:val="00CB41CA"/>
    <w:rsid w:val="00CC2EB5"/>
    <w:rsid w:val="00CC7700"/>
    <w:rsid w:val="00CC7B6A"/>
    <w:rsid w:val="00CF0702"/>
    <w:rsid w:val="00D00777"/>
    <w:rsid w:val="00D0569C"/>
    <w:rsid w:val="00D13652"/>
    <w:rsid w:val="00D5782E"/>
    <w:rsid w:val="00D631C1"/>
    <w:rsid w:val="00D67687"/>
    <w:rsid w:val="00D67B0B"/>
    <w:rsid w:val="00D76DC7"/>
    <w:rsid w:val="00D840A4"/>
    <w:rsid w:val="00D95D1A"/>
    <w:rsid w:val="00DA25A7"/>
    <w:rsid w:val="00DB7282"/>
    <w:rsid w:val="00DB7414"/>
    <w:rsid w:val="00DC2453"/>
    <w:rsid w:val="00DD0AF2"/>
    <w:rsid w:val="00DD5948"/>
    <w:rsid w:val="00DE1927"/>
    <w:rsid w:val="00DE4CDE"/>
    <w:rsid w:val="00DF08F5"/>
    <w:rsid w:val="00E16C37"/>
    <w:rsid w:val="00E34006"/>
    <w:rsid w:val="00E34085"/>
    <w:rsid w:val="00E5563C"/>
    <w:rsid w:val="00E7029C"/>
    <w:rsid w:val="00E82380"/>
    <w:rsid w:val="00E85E3B"/>
    <w:rsid w:val="00E914B3"/>
    <w:rsid w:val="00E915D1"/>
    <w:rsid w:val="00E918A7"/>
    <w:rsid w:val="00E939EA"/>
    <w:rsid w:val="00E957EC"/>
    <w:rsid w:val="00EB1049"/>
    <w:rsid w:val="00EB40F6"/>
    <w:rsid w:val="00EC2BE6"/>
    <w:rsid w:val="00EC2CF4"/>
    <w:rsid w:val="00EC7BBF"/>
    <w:rsid w:val="00EE2BA5"/>
    <w:rsid w:val="00EE2F4B"/>
    <w:rsid w:val="00EE57C3"/>
    <w:rsid w:val="00EF125E"/>
    <w:rsid w:val="00F03CF9"/>
    <w:rsid w:val="00F1774B"/>
    <w:rsid w:val="00F2181C"/>
    <w:rsid w:val="00F240B9"/>
    <w:rsid w:val="00F27AC3"/>
    <w:rsid w:val="00F36F92"/>
    <w:rsid w:val="00F427F5"/>
    <w:rsid w:val="00F64A1D"/>
    <w:rsid w:val="00F6798B"/>
    <w:rsid w:val="00F73ACB"/>
    <w:rsid w:val="00F810AE"/>
    <w:rsid w:val="00F816E3"/>
    <w:rsid w:val="00F833CD"/>
    <w:rsid w:val="00F85CFE"/>
    <w:rsid w:val="00F95E58"/>
    <w:rsid w:val="00F97BBE"/>
    <w:rsid w:val="00FA4B4F"/>
    <w:rsid w:val="00FB49DA"/>
    <w:rsid w:val="00FB73B4"/>
    <w:rsid w:val="00FC01D6"/>
    <w:rsid w:val="00FC1195"/>
    <w:rsid w:val="00FF40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rPr>
      <w:rFonts w:cs="Times New Roman"/>
      <w:color w:val="auto"/>
    </w:rPr>
  </w:style>
  <w:style w:type="paragraph" w:customStyle="1" w:styleId="CM3">
    <w:name w:val="CM3"/>
    <w:basedOn w:val="Default"/>
    <w:next w:val="Default"/>
    <w:rPr>
      <w:rFonts w:cs="Times New Roman"/>
      <w:color w:val="auto"/>
    </w:rPr>
  </w:style>
  <w:style w:type="paragraph" w:styleId="Tekstprzypisukocowego">
    <w:name w:val="endnote text"/>
    <w:basedOn w:val="Normalny"/>
    <w:semiHidden/>
    <w:rPr>
      <w:sz w:val="20"/>
      <w:szCs w:val="20"/>
    </w:rPr>
  </w:style>
  <w:style w:type="character" w:styleId="Odwoanieprzypisukocowego">
    <w:name w:val="endnote reference"/>
    <w:semiHidden/>
    <w:rPr>
      <w:vertAlign w:val="superscript"/>
    </w:rPr>
  </w:style>
  <w:style w:type="character" w:customStyle="1" w:styleId="tabulatory">
    <w:name w:val="tabulatory"/>
    <w:basedOn w:val="Domylnaczcionkaakapitu"/>
  </w:style>
  <w:style w:type="character" w:styleId="Hipercze">
    <w:name w:val="Hyperlink"/>
    <w:rPr>
      <w:color w:val="0000FF"/>
      <w:u w:val="single"/>
    </w:rPr>
  </w:style>
  <w:style w:type="paragraph" w:styleId="Nagwek">
    <w:name w:val="header"/>
    <w:basedOn w:val="Normalny"/>
    <w:pPr>
      <w:tabs>
        <w:tab w:val="center" w:pos="4536"/>
        <w:tab w:val="right" w:pos="9072"/>
      </w:tabs>
    </w:pPr>
  </w:style>
  <w:style w:type="paragraph" w:styleId="Stopka">
    <w:name w:val="footer"/>
    <w:basedOn w:val="Normalny"/>
    <w:link w:val="StopkaZnak"/>
    <w:uiPriority w:val="99"/>
    <w:pPr>
      <w:tabs>
        <w:tab w:val="center" w:pos="4536"/>
        <w:tab w:val="right" w:pos="9072"/>
      </w:tabs>
    </w:pPr>
  </w:style>
  <w:style w:type="paragraph" w:customStyle="1" w:styleId="CM4">
    <w:name w:val="CM4"/>
    <w:basedOn w:val="Default"/>
    <w:next w:val="Default"/>
    <w:rPr>
      <w:rFonts w:cs="Times New Roman"/>
      <w:color w:val="auto"/>
    </w:rPr>
  </w:style>
  <w:style w:type="paragraph" w:styleId="Tekstdymka">
    <w:name w:val="Balloon Text"/>
    <w:basedOn w:val="Normalny"/>
    <w:link w:val="TekstdymkaZnak"/>
    <w:rsid w:val="00E34006"/>
    <w:rPr>
      <w:rFonts w:ascii="Tahoma" w:hAnsi="Tahoma"/>
      <w:sz w:val="16"/>
      <w:szCs w:val="16"/>
      <w:lang w:val="x-none" w:eastAsia="x-none"/>
    </w:rPr>
  </w:style>
  <w:style w:type="character" w:customStyle="1" w:styleId="TekstdymkaZnak">
    <w:name w:val="Tekst dymka Znak"/>
    <w:link w:val="Tekstdymka"/>
    <w:rsid w:val="00E34006"/>
    <w:rPr>
      <w:rFonts w:ascii="Tahoma" w:hAnsi="Tahoma" w:cs="Tahoma"/>
      <w:sz w:val="16"/>
      <w:szCs w:val="16"/>
    </w:rPr>
  </w:style>
  <w:style w:type="character" w:styleId="Odwoaniedokomentarza">
    <w:name w:val="annotation reference"/>
    <w:rsid w:val="00EB1049"/>
    <w:rPr>
      <w:sz w:val="16"/>
      <w:szCs w:val="16"/>
    </w:rPr>
  </w:style>
  <w:style w:type="paragraph" w:styleId="Tekstkomentarza">
    <w:name w:val="annotation text"/>
    <w:basedOn w:val="Normalny"/>
    <w:link w:val="TekstkomentarzaZnak"/>
    <w:rsid w:val="00EB1049"/>
    <w:rPr>
      <w:sz w:val="20"/>
      <w:szCs w:val="20"/>
    </w:rPr>
  </w:style>
  <w:style w:type="character" w:customStyle="1" w:styleId="TekstkomentarzaZnak">
    <w:name w:val="Tekst komentarza Znak"/>
    <w:basedOn w:val="Domylnaczcionkaakapitu"/>
    <w:link w:val="Tekstkomentarza"/>
    <w:rsid w:val="00EB1049"/>
  </w:style>
  <w:style w:type="paragraph" w:styleId="Tematkomentarza">
    <w:name w:val="annotation subject"/>
    <w:basedOn w:val="Tekstkomentarza"/>
    <w:next w:val="Tekstkomentarza"/>
    <w:link w:val="TematkomentarzaZnak"/>
    <w:rsid w:val="00EB1049"/>
    <w:rPr>
      <w:b/>
      <w:bCs/>
      <w:lang w:val="x-none" w:eastAsia="x-none"/>
    </w:rPr>
  </w:style>
  <w:style w:type="character" w:customStyle="1" w:styleId="TematkomentarzaZnak">
    <w:name w:val="Temat komentarza Znak"/>
    <w:link w:val="Tematkomentarza"/>
    <w:rsid w:val="00EB1049"/>
    <w:rPr>
      <w:b/>
      <w:bCs/>
    </w:rPr>
  </w:style>
  <w:style w:type="paragraph" w:customStyle="1" w:styleId="NIEARTTEKSTtekstnieartykuowanynppreambua">
    <w:name w:val="NIEART_TEKST – tekst nieartykułowany (np. preambuła)"/>
    <w:basedOn w:val="Normalny"/>
    <w:next w:val="Normalny"/>
    <w:link w:val="NIEARTTEKSTtekstnieartykuowanynppreambuaZnak"/>
    <w:uiPriority w:val="4"/>
    <w:qFormat/>
    <w:rsid w:val="00141751"/>
    <w:pPr>
      <w:suppressAutoHyphens/>
      <w:autoSpaceDE w:val="0"/>
      <w:autoSpaceDN w:val="0"/>
      <w:adjustRightInd w:val="0"/>
      <w:spacing w:before="120" w:line="360" w:lineRule="auto"/>
      <w:ind w:firstLine="510"/>
      <w:jc w:val="both"/>
    </w:pPr>
    <w:rPr>
      <w:rFonts w:ascii="Times" w:hAnsi="Times"/>
      <w:bCs/>
      <w:szCs w:val="20"/>
      <w:lang w:val="x-none" w:eastAsia="x-none"/>
    </w:rPr>
  </w:style>
  <w:style w:type="character" w:customStyle="1" w:styleId="NIEARTTEKSTtekstnieartykuowanynppreambuaZnak">
    <w:name w:val="NIEART_TEKST – tekst nieartykułowany (np. preambuła) Znak"/>
    <w:link w:val="NIEARTTEKSTtekstnieartykuowanynppreambua"/>
    <w:uiPriority w:val="4"/>
    <w:rsid w:val="00141751"/>
    <w:rPr>
      <w:rFonts w:ascii="Times" w:hAnsi="Times" w:cs="Arial"/>
      <w:bCs/>
      <w:sz w:val="24"/>
    </w:rPr>
  </w:style>
  <w:style w:type="paragraph" w:styleId="Mapadokumentu">
    <w:name w:val="Document Map"/>
    <w:basedOn w:val="Normalny"/>
    <w:semiHidden/>
    <w:rsid w:val="000157AB"/>
    <w:pPr>
      <w:shd w:val="clear" w:color="auto" w:fill="000080"/>
    </w:pPr>
    <w:rPr>
      <w:rFonts w:ascii="Tahoma" w:hAnsi="Tahoma" w:cs="Tahoma"/>
      <w:sz w:val="20"/>
      <w:szCs w:val="20"/>
    </w:rPr>
  </w:style>
  <w:style w:type="paragraph" w:customStyle="1" w:styleId="USTustnpkodeksu">
    <w:name w:val="UST(§) – ust. (§ np. kodeksu)"/>
    <w:basedOn w:val="Normalny"/>
    <w:uiPriority w:val="99"/>
    <w:rsid w:val="009E7A6B"/>
    <w:pPr>
      <w:suppressAutoHyphens/>
      <w:autoSpaceDE w:val="0"/>
      <w:autoSpaceDN w:val="0"/>
      <w:adjustRightInd w:val="0"/>
      <w:spacing w:line="360" w:lineRule="auto"/>
      <w:ind w:firstLine="510"/>
      <w:jc w:val="both"/>
    </w:pPr>
    <w:rPr>
      <w:rFonts w:ascii="Times" w:hAnsi="Times" w:cs="Arial"/>
      <w:bCs/>
      <w:szCs w:val="20"/>
    </w:rPr>
  </w:style>
  <w:style w:type="paragraph" w:customStyle="1" w:styleId="ARTartustawynprozporzdzenia">
    <w:name w:val="ART(§) – art. ustawy (§ np. rozporządzenia)"/>
    <w:uiPriority w:val="99"/>
    <w:rsid w:val="00003CDF"/>
    <w:pPr>
      <w:suppressAutoHyphens/>
      <w:autoSpaceDE w:val="0"/>
      <w:autoSpaceDN w:val="0"/>
      <w:adjustRightInd w:val="0"/>
      <w:spacing w:before="120" w:line="360" w:lineRule="auto"/>
      <w:ind w:firstLine="510"/>
      <w:jc w:val="both"/>
    </w:pPr>
    <w:rPr>
      <w:rFonts w:ascii="Times" w:hAnsi="Times" w:cs="Arial"/>
      <w:sz w:val="24"/>
    </w:rPr>
  </w:style>
  <w:style w:type="paragraph" w:customStyle="1" w:styleId="PKTpunkt">
    <w:name w:val="PKT – punkt"/>
    <w:uiPriority w:val="99"/>
    <w:rsid w:val="002F2261"/>
    <w:pPr>
      <w:spacing w:line="360" w:lineRule="auto"/>
      <w:ind w:left="510" w:hanging="510"/>
      <w:jc w:val="both"/>
    </w:pPr>
    <w:rPr>
      <w:rFonts w:ascii="Times" w:hAnsi="Times" w:cs="Arial"/>
      <w:bCs/>
      <w:sz w:val="24"/>
    </w:rPr>
  </w:style>
  <w:style w:type="paragraph" w:customStyle="1" w:styleId="CZWSPPKTczwsplnapunktw">
    <w:name w:val="CZ_WSP_PKT – część wspólna punktów"/>
    <w:basedOn w:val="PKTpunkt"/>
    <w:next w:val="USTustnpkodeksu"/>
    <w:uiPriority w:val="99"/>
    <w:rsid w:val="00255C8D"/>
    <w:pPr>
      <w:ind w:left="0" w:firstLine="0"/>
    </w:pPr>
  </w:style>
  <w:style w:type="paragraph" w:customStyle="1" w:styleId="LITlitera">
    <w:name w:val="LIT – litera"/>
    <w:basedOn w:val="PKTpunkt"/>
    <w:uiPriority w:val="99"/>
    <w:rsid w:val="00820008"/>
    <w:pPr>
      <w:ind w:left="986" w:hanging="476"/>
    </w:pPr>
    <w:rPr>
      <w:lang w:eastAsia="en-US"/>
    </w:rPr>
  </w:style>
  <w:style w:type="character" w:customStyle="1" w:styleId="StopkaZnak">
    <w:name w:val="Stopka Znak"/>
    <w:basedOn w:val="Domylnaczcionkaakapitu"/>
    <w:link w:val="Stopka"/>
    <w:uiPriority w:val="99"/>
    <w:rsid w:val="00E939E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rPr>
      <w:rFonts w:cs="Times New Roman"/>
      <w:color w:val="auto"/>
    </w:rPr>
  </w:style>
  <w:style w:type="paragraph" w:customStyle="1" w:styleId="CM3">
    <w:name w:val="CM3"/>
    <w:basedOn w:val="Default"/>
    <w:next w:val="Default"/>
    <w:rPr>
      <w:rFonts w:cs="Times New Roman"/>
      <w:color w:val="auto"/>
    </w:rPr>
  </w:style>
  <w:style w:type="paragraph" w:styleId="Tekstprzypisukocowego">
    <w:name w:val="endnote text"/>
    <w:basedOn w:val="Normalny"/>
    <w:semiHidden/>
    <w:rPr>
      <w:sz w:val="20"/>
      <w:szCs w:val="20"/>
    </w:rPr>
  </w:style>
  <w:style w:type="character" w:styleId="Odwoanieprzypisukocowego">
    <w:name w:val="endnote reference"/>
    <w:semiHidden/>
    <w:rPr>
      <w:vertAlign w:val="superscript"/>
    </w:rPr>
  </w:style>
  <w:style w:type="character" w:customStyle="1" w:styleId="tabulatory">
    <w:name w:val="tabulatory"/>
    <w:basedOn w:val="Domylnaczcionkaakapitu"/>
  </w:style>
  <w:style w:type="character" w:styleId="Hipercze">
    <w:name w:val="Hyperlink"/>
    <w:rPr>
      <w:color w:val="0000FF"/>
      <w:u w:val="single"/>
    </w:rPr>
  </w:style>
  <w:style w:type="paragraph" w:styleId="Nagwek">
    <w:name w:val="header"/>
    <w:basedOn w:val="Normalny"/>
    <w:pPr>
      <w:tabs>
        <w:tab w:val="center" w:pos="4536"/>
        <w:tab w:val="right" w:pos="9072"/>
      </w:tabs>
    </w:pPr>
  </w:style>
  <w:style w:type="paragraph" w:styleId="Stopka">
    <w:name w:val="footer"/>
    <w:basedOn w:val="Normalny"/>
    <w:link w:val="StopkaZnak"/>
    <w:uiPriority w:val="99"/>
    <w:pPr>
      <w:tabs>
        <w:tab w:val="center" w:pos="4536"/>
        <w:tab w:val="right" w:pos="9072"/>
      </w:tabs>
    </w:pPr>
  </w:style>
  <w:style w:type="paragraph" w:customStyle="1" w:styleId="CM4">
    <w:name w:val="CM4"/>
    <w:basedOn w:val="Default"/>
    <w:next w:val="Default"/>
    <w:rPr>
      <w:rFonts w:cs="Times New Roman"/>
      <w:color w:val="auto"/>
    </w:rPr>
  </w:style>
  <w:style w:type="paragraph" w:styleId="Tekstdymka">
    <w:name w:val="Balloon Text"/>
    <w:basedOn w:val="Normalny"/>
    <w:link w:val="TekstdymkaZnak"/>
    <w:rsid w:val="00E34006"/>
    <w:rPr>
      <w:rFonts w:ascii="Tahoma" w:hAnsi="Tahoma"/>
      <w:sz w:val="16"/>
      <w:szCs w:val="16"/>
      <w:lang w:val="x-none" w:eastAsia="x-none"/>
    </w:rPr>
  </w:style>
  <w:style w:type="character" w:customStyle="1" w:styleId="TekstdymkaZnak">
    <w:name w:val="Tekst dymka Znak"/>
    <w:link w:val="Tekstdymka"/>
    <w:rsid w:val="00E34006"/>
    <w:rPr>
      <w:rFonts w:ascii="Tahoma" w:hAnsi="Tahoma" w:cs="Tahoma"/>
      <w:sz w:val="16"/>
      <w:szCs w:val="16"/>
    </w:rPr>
  </w:style>
  <w:style w:type="character" w:styleId="Odwoaniedokomentarza">
    <w:name w:val="annotation reference"/>
    <w:rsid w:val="00EB1049"/>
    <w:rPr>
      <w:sz w:val="16"/>
      <w:szCs w:val="16"/>
    </w:rPr>
  </w:style>
  <w:style w:type="paragraph" w:styleId="Tekstkomentarza">
    <w:name w:val="annotation text"/>
    <w:basedOn w:val="Normalny"/>
    <w:link w:val="TekstkomentarzaZnak"/>
    <w:rsid w:val="00EB1049"/>
    <w:rPr>
      <w:sz w:val="20"/>
      <w:szCs w:val="20"/>
    </w:rPr>
  </w:style>
  <w:style w:type="character" w:customStyle="1" w:styleId="TekstkomentarzaZnak">
    <w:name w:val="Tekst komentarza Znak"/>
    <w:basedOn w:val="Domylnaczcionkaakapitu"/>
    <w:link w:val="Tekstkomentarza"/>
    <w:rsid w:val="00EB1049"/>
  </w:style>
  <w:style w:type="paragraph" w:styleId="Tematkomentarza">
    <w:name w:val="annotation subject"/>
    <w:basedOn w:val="Tekstkomentarza"/>
    <w:next w:val="Tekstkomentarza"/>
    <w:link w:val="TematkomentarzaZnak"/>
    <w:rsid w:val="00EB1049"/>
    <w:rPr>
      <w:b/>
      <w:bCs/>
      <w:lang w:val="x-none" w:eastAsia="x-none"/>
    </w:rPr>
  </w:style>
  <w:style w:type="character" w:customStyle="1" w:styleId="TematkomentarzaZnak">
    <w:name w:val="Temat komentarza Znak"/>
    <w:link w:val="Tematkomentarza"/>
    <w:rsid w:val="00EB1049"/>
    <w:rPr>
      <w:b/>
      <w:bCs/>
    </w:rPr>
  </w:style>
  <w:style w:type="paragraph" w:customStyle="1" w:styleId="NIEARTTEKSTtekstnieartykuowanynppreambua">
    <w:name w:val="NIEART_TEKST – tekst nieartykułowany (np. preambuła)"/>
    <w:basedOn w:val="Normalny"/>
    <w:next w:val="Normalny"/>
    <w:link w:val="NIEARTTEKSTtekstnieartykuowanynppreambuaZnak"/>
    <w:uiPriority w:val="4"/>
    <w:qFormat/>
    <w:rsid w:val="00141751"/>
    <w:pPr>
      <w:suppressAutoHyphens/>
      <w:autoSpaceDE w:val="0"/>
      <w:autoSpaceDN w:val="0"/>
      <w:adjustRightInd w:val="0"/>
      <w:spacing w:before="120" w:line="360" w:lineRule="auto"/>
      <w:ind w:firstLine="510"/>
      <w:jc w:val="both"/>
    </w:pPr>
    <w:rPr>
      <w:rFonts w:ascii="Times" w:hAnsi="Times"/>
      <w:bCs/>
      <w:szCs w:val="20"/>
      <w:lang w:val="x-none" w:eastAsia="x-none"/>
    </w:rPr>
  </w:style>
  <w:style w:type="character" w:customStyle="1" w:styleId="NIEARTTEKSTtekstnieartykuowanynppreambuaZnak">
    <w:name w:val="NIEART_TEKST – tekst nieartykułowany (np. preambuła) Znak"/>
    <w:link w:val="NIEARTTEKSTtekstnieartykuowanynppreambua"/>
    <w:uiPriority w:val="4"/>
    <w:rsid w:val="00141751"/>
    <w:rPr>
      <w:rFonts w:ascii="Times" w:hAnsi="Times" w:cs="Arial"/>
      <w:bCs/>
      <w:sz w:val="24"/>
    </w:rPr>
  </w:style>
  <w:style w:type="paragraph" w:styleId="Mapadokumentu">
    <w:name w:val="Document Map"/>
    <w:basedOn w:val="Normalny"/>
    <w:semiHidden/>
    <w:rsid w:val="000157AB"/>
    <w:pPr>
      <w:shd w:val="clear" w:color="auto" w:fill="000080"/>
    </w:pPr>
    <w:rPr>
      <w:rFonts w:ascii="Tahoma" w:hAnsi="Tahoma" w:cs="Tahoma"/>
      <w:sz w:val="20"/>
      <w:szCs w:val="20"/>
    </w:rPr>
  </w:style>
  <w:style w:type="paragraph" w:customStyle="1" w:styleId="USTustnpkodeksu">
    <w:name w:val="UST(§) – ust. (§ np. kodeksu)"/>
    <w:basedOn w:val="Normalny"/>
    <w:uiPriority w:val="99"/>
    <w:rsid w:val="009E7A6B"/>
    <w:pPr>
      <w:suppressAutoHyphens/>
      <w:autoSpaceDE w:val="0"/>
      <w:autoSpaceDN w:val="0"/>
      <w:adjustRightInd w:val="0"/>
      <w:spacing w:line="360" w:lineRule="auto"/>
      <w:ind w:firstLine="510"/>
      <w:jc w:val="both"/>
    </w:pPr>
    <w:rPr>
      <w:rFonts w:ascii="Times" w:hAnsi="Times" w:cs="Arial"/>
      <w:bCs/>
      <w:szCs w:val="20"/>
    </w:rPr>
  </w:style>
  <w:style w:type="paragraph" w:customStyle="1" w:styleId="ARTartustawynprozporzdzenia">
    <w:name w:val="ART(§) – art. ustawy (§ np. rozporządzenia)"/>
    <w:uiPriority w:val="99"/>
    <w:rsid w:val="00003CDF"/>
    <w:pPr>
      <w:suppressAutoHyphens/>
      <w:autoSpaceDE w:val="0"/>
      <w:autoSpaceDN w:val="0"/>
      <w:adjustRightInd w:val="0"/>
      <w:spacing w:before="120" w:line="360" w:lineRule="auto"/>
      <w:ind w:firstLine="510"/>
      <w:jc w:val="both"/>
    </w:pPr>
    <w:rPr>
      <w:rFonts w:ascii="Times" w:hAnsi="Times" w:cs="Arial"/>
      <w:sz w:val="24"/>
    </w:rPr>
  </w:style>
  <w:style w:type="paragraph" w:customStyle="1" w:styleId="PKTpunkt">
    <w:name w:val="PKT – punkt"/>
    <w:uiPriority w:val="99"/>
    <w:rsid w:val="002F2261"/>
    <w:pPr>
      <w:spacing w:line="360" w:lineRule="auto"/>
      <w:ind w:left="510" w:hanging="510"/>
      <w:jc w:val="both"/>
    </w:pPr>
    <w:rPr>
      <w:rFonts w:ascii="Times" w:hAnsi="Times" w:cs="Arial"/>
      <w:bCs/>
      <w:sz w:val="24"/>
    </w:rPr>
  </w:style>
  <w:style w:type="paragraph" w:customStyle="1" w:styleId="CZWSPPKTczwsplnapunktw">
    <w:name w:val="CZ_WSP_PKT – część wspólna punktów"/>
    <w:basedOn w:val="PKTpunkt"/>
    <w:next w:val="USTustnpkodeksu"/>
    <w:uiPriority w:val="99"/>
    <w:rsid w:val="00255C8D"/>
    <w:pPr>
      <w:ind w:left="0" w:firstLine="0"/>
    </w:pPr>
  </w:style>
  <w:style w:type="paragraph" w:customStyle="1" w:styleId="LITlitera">
    <w:name w:val="LIT – litera"/>
    <w:basedOn w:val="PKTpunkt"/>
    <w:uiPriority w:val="99"/>
    <w:rsid w:val="00820008"/>
    <w:pPr>
      <w:ind w:left="986" w:hanging="476"/>
    </w:pPr>
    <w:rPr>
      <w:lang w:eastAsia="en-US"/>
    </w:rPr>
  </w:style>
  <w:style w:type="character" w:customStyle="1" w:styleId="StopkaZnak">
    <w:name w:val="Stopka Znak"/>
    <w:basedOn w:val="Domylnaczcionkaakapitu"/>
    <w:link w:val="Stopka"/>
    <w:uiPriority w:val="99"/>
    <w:rsid w:val="00E939E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505545">
      <w:bodyDiv w:val="1"/>
      <w:marLeft w:val="0"/>
      <w:marRight w:val="0"/>
      <w:marTop w:val="0"/>
      <w:marBottom w:val="0"/>
      <w:divBdr>
        <w:top w:val="none" w:sz="0" w:space="0" w:color="auto"/>
        <w:left w:val="none" w:sz="0" w:space="0" w:color="auto"/>
        <w:bottom w:val="none" w:sz="0" w:space="0" w:color="auto"/>
        <w:right w:val="none" w:sz="0" w:space="0" w:color="auto"/>
      </w:divBdr>
    </w:div>
    <w:div w:id="1776822067">
      <w:bodyDiv w:val="1"/>
      <w:marLeft w:val="0"/>
      <w:marRight w:val="0"/>
      <w:marTop w:val="0"/>
      <w:marBottom w:val="0"/>
      <w:divBdr>
        <w:top w:val="none" w:sz="0" w:space="0" w:color="auto"/>
        <w:left w:val="none" w:sz="0" w:space="0" w:color="auto"/>
        <w:bottom w:val="none" w:sz="0" w:space="0" w:color="auto"/>
        <w:right w:val="none" w:sz="0" w:space="0" w:color="auto"/>
      </w:divBdr>
    </w:div>
    <w:div w:id="1894467928">
      <w:bodyDiv w:val="1"/>
      <w:marLeft w:val="0"/>
      <w:marRight w:val="0"/>
      <w:marTop w:val="0"/>
      <w:marBottom w:val="0"/>
      <w:divBdr>
        <w:top w:val="none" w:sz="0" w:space="0" w:color="auto"/>
        <w:left w:val="none" w:sz="0" w:space="0" w:color="auto"/>
        <w:bottom w:val="none" w:sz="0" w:space="0" w:color="auto"/>
        <w:right w:val="none" w:sz="0" w:space="0" w:color="auto"/>
      </w:divBdr>
      <w:divsChild>
        <w:div w:id="703675514">
          <w:marLeft w:val="0"/>
          <w:marRight w:val="0"/>
          <w:marTop w:val="0"/>
          <w:marBottom w:val="0"/>
          <w:divBdr>
            <w:top w:val="none" w:sz="0" w:space="0" w:color="auto"/>
            <w:left w:val="none" w:sz="0" w:space="0" w:color="auto"/>
            <w:bottom w:val="none" w:sz="0" w:space="0" w:color="auto"/>
            <w:right w:val="none" w:sz="0" w:space="0" w:color="auto"/>
          </w:divBdr>
          <w:divsChild>
            <w:div w:id="220560746">
              <w:marLeft w:val="0"/>
              <w:marRight w:val="0"/>
              <w:marTop w:val="0"/>
              <w:marBottom w:val="0"/>
              <w:divBdr>
                <w:top w:val="none" w:sz="0" w:space="0" w:color="auto"/>
                <w:left w:val="none" w:sz="0" w:space="0" w:color="auto"/>
                <w:bottom w:val="none" w:sz="0" w:space="0" w:color="auto"/>
                <w:right w:val="none" w:sz="0" w:space="0" w:color="auto"/>
              </w:divBdr>
            </w:div>
            <w:div w:id="2077580813">
              <w:marLeft w:val="0"/>
              <w:marRight w:val="0"/>
              <w:marTop w:val="0"/>
              <w:marBottom w:val="0"/>
              <w:divBdr>
                <w:top w:val="none" w:sz="0" w:space="0" w:color="auto"/>
                <w:left w:val="none" w:sz="0" w:space="0" w:color="auto"/>
                <w:bottom w:val="none" w:sz="0" w:space="0" w:color="auto"/>
                <w:right w:val="none" w:sz="0" w:space="0" w:color="auto"/>
              </w:divBdr>
              <w:divsChild>
                <w:div w:id="204289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25884">
          <w:marLeft w:val="0"/>
          <w:marRight w:val="0"/>
          <w:marTop w:val="0"/>
          <w:marBottom w:val="0"/>
          <w:divBdr>
            <w:top w:val="none" w:sz="0" w:space="0" w:color="auto"/>
            <w:left w:val="none" w:sz="0" w:space="0" w:color="auto"/>
            <w:bottom w:val="none" w:sz="0" w:space="0" w:color="auto"/>
            <w:right w:val="none" w:sz="0" w:space="0" w:color="auto"/>
          </w:divBdr>
          <w:divsChild>
            <w:div w:id="829449623">
              <w:marLeft w:val="0"/>
              <w:marRight w:val="0"/>
              <w:marTop w:val="0"/>
              <w:marBottom w:val="0"/>
              <w:divBdr>
                <w:top w:val="none" w:sz="0" w:space="0" w:color="auto"/>
                <w:left w:val="none" w:sz="0" w:space="0" w:color="auto"/>
                <w:bottom w:val="none" w:sz="0" w:space="0" w:color="auto"/>
                <w:right w:val="none" w:sz="0" w:space="0" w:color="auto"/>
              </w:divBdr>
            </w:div>
            <w:div w:id="223492983">
              <w:marLeft w:val="0"/>
              <w:marRight w:val="0"/>
              <w:marTop w:val="0"/>
              <w:marBottom w:val="0"/>
              <w:divBdr>
                <w:top w:val="none" w:sz="0" w:space="0" w:color="auto"/>
                <w:left w:val="none" w:sz="0" w:space="0" w:color="auto"/>
                <w:bottom w:val="none" w:sz="0" w:space="0" w:color="auto"/>
                <w:right w:val="none" w:sz="0" w:space="0" w:color="auto"/>
              </w:divBdr>
              <w:divsChild>
                <w:div w:id="2106068149">
                  <w:marLeft w:val="0"/>
                  <w:marRight w:val="0"/>
                  <w:marTop w:val="0"/>
                  <w:marBottom w:val="0"/>
                  <w:divBdr>
                    <w:top w:val="none" w:sz="0" w:space="0" w:color="auto"/>
                    <w:left w:val="none" w:sz="0" w:space="0" w:color="auto"/>
                    <w:bottom w:val="none" w:sz="0" w:space="0" w:color="auto"/>
                    <w:right w:val="none" w:sz="0" w:space="0" w:color="auto"/>
                  </w:divBdr>
                </w:div>
                <w:div w:id="11150438">
                  <w:marLeft w:val="0"/>
                  <w:marRight w:val="0"/>
                  <w:marTop w:val="0"/>
                  <w:marBottom w:val="0"/>
                  <w:divBdr>
                    <w:top w:val="none" w:sz="0" w:space="0" w:color="auto"/>
                    <w:left w:val="none" w:sz="0" w:space="0" w:color="auto"/>
                    <w:bottom w:val="none" w:sz="0" w:space="0" w:color="auto"/>
                    <w:right w:val="none" w:sz="0" w:space="0" w:color="auto"/>
                  </w:divBdr>
                  <w:divsChild>
                    <w:div w:id="1479148204">
                      <w:marLeft w:val="0"/>
                      <w:marRight w:val="0"/>
                      <w:marTop w:val="0"/>
                      <w:marBottom w:val="0"/>
                      <w:divBdr>
                        <w:top w:val="none" w:sz="0" w:space="0" w:color="auto"/>
                        <w:left w:val="none" w:sz="0" w:space="0" w:color="auto"/>
                        <w:bottom w:val="none" w:sz="0" w:space="0" w:color="auto"/>
                        <w:right w:val="none" w:sz="0" w:space="0" w:color="auto"/>
                      </w:divBdr>
                      <w:divsChild>
                        <w:div w:id="38961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358129">
                  <w:marLeft w:val="0"/>
                  <w:marRight w:val="0"/>
                  <w:marTop w:val="0"/>
                  <w:marBottom w:val="0"/>
                  <w:divBdr>
                    <w:top w:val="none" w:sz="0" w:space="0" w:color="auto"/>
                    <w:left w:val="none" w:sz="0" w:space="0" w:color="auto"/>
                    <w:bottom w:val="none" w:sz="0" w:space="0" w:color="auto"/>
                    <w:right w:val="none" w:sz="0" w:space="0" w:color="auto"/>
                  </w:divBdr>
                  <w:divsChild>
                    <w:div w:id="77294592">
                      <w:marLeft w:val="0"/>
                      <w:marRight w:val="0"/>
                      <w:marTop w:val="0"/>
                      <w:marBottom w:val="0"/>
                      <w:divBdr>
                        <w:top w:val="none" w:sz="0" w:space="0" w:color="auto"/>
                        <w:left w:val="none" w:sz="0" w:space="0" w:color="auto"/>
                        <w:bottom w:val="none" w:sz="0" w:space="0" w:color="auto"/>
                        <w:right w:val="none" w:sz="0" w:space="0" w:color="auto"/>
                      </w:divBdr>
                      <w:divsChild>
                        <w:div w:id="203634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49194">
                  <w:marLeft w:val="0"/>
                  <w:marRight w:val="0"/>
                  <w:marTop w:val="0"/>
                  <w:marBottom w:val="0"/>
                  <w:divBdr>
                    <w:top w:val="none" w:sz="0" w:space="0" w:color="auto"/>
                    <w:left w:val="none" w:sz="0" w:space="0" w:color="auto"/>
                    <w:bottom w:val="none" w:sz="0" w:space="0" w:color="auto"/>
                    <w:right w:val="none" w:sz="0" w:space="0" w:color="auto"/>
                  </w:divBdr>
                  <w:divsChild>
                    <w:div w:id="497385366">
                      <w:marLeft w:val="0"/>
                      <w:marRight w:val="0"/>
                      <w:marTop w:val="0"/>
                      <w:marBottom w:val="0"/>
                      <w:divBdr>
                        <w:top w:val="none" w:sz="0" w:space="0" w:color="auto"/>
                        <w:left w:val="none" w:sz="0" w:space="0" w:color="auto"/>
                        <w:bottom w:val="none" w:sz="0" w:space="0" w:color="auto"/>
                        <w:right w:val="none" w:sz="0" w:space="0" w:color="auto"/>
                      </w:divBdr>
                      <w:divsChild>
                        <w:div w:id="166724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31815">
                  <w:marLeft w:val="0"/>
                  <w:marRight w:val="0"/>
                  <w:marTop w:val="0"/>
                  <w:marBottom w:val="0"/>
                  <w:divBdr>
                    <w:top w:val="none" w:sz="0" w:space="0" w:color="auto"/>
                    <w:left w:val="none" w:sz="0" w:space="0" w:color="auto"/>
                    <w:bottom w:val="none" w:sz="0" w:space="0" w:color="auto"/>
                    <w:right w:val="none" w:sz="0" w:space="0" w:color="auto"/>
                  </w:divBdr>
                  <w:divsChild>
                    <w:div w:id="1794133521">
                      <w:marLeft w:val="0"/>
                      <w:marRight w:val="0"/>
                      <w:marTop w:val="0"/>
                      <w:marBottom w:val="0"/>
                      <w:divBdr>
                        <w:top w:val="none" w:sz="0" w:space="0" w:color="auto"/>
                        <w:left w:val="none" w:sz="0" w:space="0" w:color="auto"/>
                        <w:bottom w:val="none" w:sz="0" w:space="0" w:color="auto"/>
                        <w:right w:val="none" w:sz="0" w:space="0" w:color="auto"/>
                      </w:divBdr>
                      <w:divsChild>
                        <w:div w:id="43451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040272">
                  <w:marLeft w:val="0"/>
                  <w:marRight w:val="0"/>
                  <w:marTop w:val="0"/>
                  <w:marBottom w:val="0"/>
                  <w:divBdr>
                    <w:top w:val="none" w:sz="0" w:space="0" w:color="auto"/>
                    <w:left w:val="none" w:sz="0" w:space="0" w:color="auto"/>
                    <w:bottom w:val="none" w:sz="0" w:space="0" w:color="auto"/>
                    <w:right w:val="none" w:sz="0" w:space="0" w:color="auto"/>
                  </w:divBdr>
                  <w:divsChild>
                    <w:div w:id="286468745">
                      <w:marLeft w:val="0"/>
                      <w:marRight w:val="0"/>
                      <w:marTop w:val="0"/>
                      <w:marBottom w:val="0"/>
                      <w:divBdr>
                        <w:top w:val="none" w:sz="0" w:space="0" w:color="auto"/>
                        <w:left w:val="none" w:sz="0" w:space="0" w:color="auto"/>
                        <w:bottom w:val="none" w:sz="0" w:space="0" w:color="auto"/>
                        <w:right w:val="none" w:sz="0" w:space="0" w:color="auto"/>
                      </w:divBdr>
                      <w:divsChild>
                        <w:div w:id="167707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431958">
                  <w:marLeft w:val="0"/>
                  <w:marRight w:val="0"/>
                  <w:marTop w:val="0"/>
                  <w:marBottom w:val="0"/>
                  <w:divBdr>
                    <w:top w:val="none" w:sz="0" w:space="0" w:color="auto"/>
                    <w:left w:val="none" w:sz="0" w:space="0" w:color="auto"/>
                    <w:bottom w:val="none" w:sz="0" w:space="0" w:color="auto"/>
                    <w:right w:val="none" w:sz="0" w:space="0" w:color="auto"/>
                  </w:divBdr>
                  <w:divsChild>
                    <w:div w:id="1236823703">
                      <w:marLeft w:val="0"/>
                      <w:marRight w:val="0"/>
                      <w:marTop w:val="0"/>
                      <w:marBottom w:val="0"/>
                      <w:divBdr>
                        <w:top w:val="none" w:sz="0" w:space="0" w:color="auto"/>
                        <w:left w:val="none" w:sz="0" w:space="0" w:color="auto"/>
                        <w:bottom w:val="none" w:sz="0" w:space="0" w:color="auto"/>
                        <w:right w:val="none" w:sz="0" w:space="0" w:color="auto"/>
                      </w:divBdr>
                      <w:divsChild>
                        <w:div w:id="177347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058612">
              <w:marLeft w:val="0"/>
              <w:marRight w:val="0"/>
              <w:marTop w:val="0"/>
              <w:marBottom w:val="0"/>
              <w:divBdr>
                <w:top w:val="none" w:sz="0" w:space="0" w:color="auto"/>
                <w:left w:val="none" w:sz="0" w:space="0" w:color="auto"/>
                <w:bottom w:val="none" w:sz="0" w:space="0" w:color="auto"/>
                <w:right w:val="none" w:sz="0" w:space="0" w:color="auto"/>
              </w:divBdr>
              <w:divsChild>
                <w:div w:id="187572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09156">
          <w:marLeft w:val="0"/>
          <w:marRight w:val="0"/>
          <w:marTop w:val="0"/>
          <w:marBottom w:val="0"/>
          <w:divBdr>
            <w:top w:val="none" w:sz="0" w:space="0" w:color="auto"/>
            <w:left w:val="none" w:sz="0" w:space="0" w:color="auto"/>
            <w:bottom w:val="none" w:sz="0" w:space="0" w:color="auto"/>
            <w:right w:val="none" w:sz="0" w:space="0" w:color="auto"/>
          </w:divBdr>
          <w:divsChild>
            <w:div w:id="1946031932">
              <w:marLeft w:val="0"/>
              <w:marRight w:val="0"/>
              <w:marTop w:val="0"/>
              <w:marBottom w:val="0"/>
              <w:divBdr>
                <w:top w:val="none" w:sz="0" w:space="0" w:color="auto"/>
                <w:left w:val="none" w:sz="0" w:space="0" w:color="auto"/>
                <w:bottom w:val="none" w:sz="0" w:space="0" w:color="auto"/>
                <w:right w:val="none" w:sz="0" w:space="0" w:color="auto"/>
              </w:divBdr>
            </w:div>
            <w:div w:id="1546914452">
              <w:marLeft w:val="0"/>
              <w:marRight w:val="0"/>
              <w:marTop w:val="0"/>
              <w:marBottom w:val="0"/>
              <w:divBdr>
                <w:top w:val="none" w:sz="0" w:space="0" w:color="auto"/>
                <w:left w:val="none" w:sz="0" w:space="0" w:color="auto"/>
                <w:bottom w:val="none" w:sz="0" w:space="0" w:color="auto"/>
                <w:right w:val="none" w:sz="0" w:space="0" w:color="auto"/>
              </w:divBdr>
              <w:divsChild>
                <w:div w:id="301809657">
                  <w:marLeft w:val="0"/>
                  <w:marRight w:val="0"/>
                  <w:marTop w:val="0"/>
                  <w:marBottom w:val="0"/>
                  <w:divBdr>
                    <w:top w:val="none" w:sz="0" w:space="0" w:color="auto"/>
                    <w:left w:val="none" w:sz="0" w:space="0" w:color="auto"/>
                    <w:bottom w:val="none" w:sz="0" w:space="0" w:color="auto"/>
                    <w:right w:val="none" w:sz="0" w:space="0" w:color="auto"/>
                  </w:divBdr>
                  <w:divsChild>
                    <w:div w:id="202736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059313">
              <w:marLeft w:val="0"/>
              <w:marRight w:val="0"/>
              <w:marTop w:val="0"/>
              <w:marBottom w:val="0"/>
              <w:divBdr>
                <w:top w:val="none" w:sz="0" w:space="0" w:color="auto"/>
                <w:left w:val="none" w:sz="0" w:space="0" w:color="auto"/>
                <w:bottom w:val="none" w:sz="0" w:space="0" w:color="auto"/>
                <w:right w:val="none" w:sz="0" w:space="0" w:color="auto"/>
              </w:divBdr>
              <w:divsChild>
                <w:div w:id="1757823437">
                  <w:marLeft w:val="0"/>
                  <w:marRight w:val="0"/>
                  <w:marTop w:val="0"/>
                  <w:marBottom w:val="0"/>
                  <w:divBdr>
                    <w:top w:val="none" w:sz="0" w:space="0" w:color="auto"/>
                    <w:left w:val="none" w:sz="0" w:space="0" w:color="auto"/>
                    <w:bottom w:val="none" w:sz="0" w:space="0" w:color="auto"/>
                    <w:right w:val="none" w:sz="0" w:space="0" w:color="auto"/>
                  </w:divBdr>
                  <w:divsChild>
                    <w:div w:id="145432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386809">
              <w:marLeft w:val="0"/>
              <w:marRight w:val="0"/>
              <w:marTop w:val="0"/>
              <w:marBottom w:val="0"/>
              <w:divBdr>
                <w:top w:val="none" w:sz="0" w:space="0" w:color="auto"/>
                <w:left w:val="none" w:sz="0" w:space="0" w:color="auto"/>
                <w:bottom w:val="none" w:sz="0" w:space="0" w:color="auto"/>
                <w:right w:val="none" w:sz="0" w:space="0" w:color="auto"/>
              </w:divBdr>
              <w:divsChild>
                <w:div w:id="1887372285">
                  <w:marLeft w:val="0"/>
                  <w:marRight w:val="0"/>
                  <w:marTop w:val="0"/>
                  <w:marBottom w:val="0"/>
                  <w:divBdr>
                    <w:top w:val="none" w:sz="0" w:space="0" w:color="auto"/>
                    <w:left w:val="none" w:sz="0" w:space="0" w:color="auto"/>
                    <w:bottom w:val="none" w:sz="0" w:space="0" w:color="auto"/>
                    <w:right w:val="none" w:sz="0" w:space="0" w:color="auto"/>
                  </w:divBdr>
                  <w:divsChild>
                    <w:div w:id="75952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509265">
          <w:marLeft w:val="0"/>
          <w:marRight w:val="0"/>
          <w:marTop w:val="0"/>
          <w:marBottom w:val="0"/>
          <w:divBdr>
            <w:top w:val="none" w:sz="0" w:space="0" w:color="auto"/>
            <w:left w:val="none" w:sz="0" w:space="0" w:color="auto"/>
            <w:bottom w:val="none" w:sz="0" w:space="0" w:color="auto"/>
            <w:right w:val="none" w:sz="0" w:space="0" w:color="auto"/>
          </w:divBdr>
          <w:divsChild>
            <w:div w:id="520096061">
              <w:marLeft w:val="0"/>
              <w:marRight w:val="0"/>
              <w:marTop w:val="0"/>
              <w:marBottom w:val="0"/>
              <w:divBdr>
                <w:top w:val="none" w:sz="0" w:space="0" w:color="auto"/>
                <w:left w:val="none" w:sz="0" w:space="0" w:color="auto"/>
                <w:bottom w:val="none" w:sz="0" w:space="0" w:color="auto"/>
                <w:right w:val="none" w:sz="0" w:space="0" w:color="auto"/>
              </w:divBdr>
            </w:div>
            <w:div w:id="1505513676">
              <w:marLeft w:val="0"/>
              <w:marRight w:val="0"/>
              <w:marTop w:val="0"/>
              <w:marBottom w:val="0"/>
              <w:divBdr>
                <w:top w:val="none" w:sz="0" w:space="0" w:color="auto"/>
                <w:left w:val="none" w:sz="0" w:space="0" w:color="auto"/>
                <w:bottom w:val="none" w:sz="0" w:space="0" w:color="auto"/>
                <w:right w:val="none" w:sz="0" w:space="0" w:color="auto"/>
              </w:divBdr>
              <w:divsChild>
                <w:div w:id="1047023497">
                  <w:marLeft w:val="0"/>
                  <w:marRight w:val="0"/>
                  <w:marTop w:val="0"/>
                  <w:marBottom w:val="0"/>
                  <w:divBdr>
                    <w:top w:val="none" w:sz="0" w:space="0" w:color="auto"/>
                    <w:left w:val="none" w:sz="0" w:space="0" w:color="auto"/>
                    <w:bottom w:val="none" w:sz="0" w:space="0" w:color="auto"/>
                    <w:right w:val="none" w:sz="0" w:space="0" w:color="auto"/>
                  </w:divBdr>
                  <w:divsChild>
                    <w:div w:id="180512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99957">
              <w:marLeft w:val="0"/>
              <w:marRight w:val="0"/>
              <w:marTop w:val="0"/>
              <w:marBottom w:val="0"/>
              <w:divBdr>
                <w:top w:val="none" w:sz="0" w:space="0" w:color="auto"/>
                <w:left w:val="none" w:sz="0" w:space="0" w:color="auto"/>
                <w:bottom w:val="none" w:sz="0" w:space="0" w:color="auto"/>
                <w:right w:val="none" w:sz="0" w:space="0" w:color="auto"/>
              </w:divBdr>
              <w:divsChild>
                <w:div w:id="952514674">
                  <w:marLeft w:val="0"/>
                  <w:marRight w:val="0"/>
                  <w:marTop w:val="0"/>
                  <w:marBottom w:val="0"/>
                  <w:divBdr>
                    <w:top w:val="none" w:sz="0" w:space="0" w:color="auto"/>
                    <w:left w:val="none" w:sz="0" w:space="0" w:color="auto"/>
                    <w:bottom w:val="none" w:sz="0" w:space="0" w:color="auto"/>
                    <w:right w:val="none" w:sz="0" w:space="0" w:color="auto"/>
                  </w:divBdr>
                  <w:divsChild>
                    <w:div w:id="106195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702">
              <w:marLeft w:val="0"/>
              <w:marRight w:val="0"/>
              <w:marTop w:val="0"/>
              <w:marBottom w:val="0"/>
              <w:divBdr>
                <w:top w:val="none" w:sz="0" w:space="0" w:color="auto"/>
                <w:left w:val="none" w:sz="0" w:space="0" w:color="auto"/>
                <w:bottom w:val="none" w:sz="0" w:space="0" w:color="auto"/>
                <w:right w:val="none" w:sz="0" w:space="0" w:color="auto"/>
              </w:divBdr>
              <w:divsChild>
                <w:div w:id="148064902">
                  <w:marLeft w:val="0"/>
                  <w:marRight w:val="0"/>
                  <w:marTop w:val="0"/>
                  <w:marBottom w:val="0"/>
                  <w:divBdr>
                    <w:top w:val="none" w:sz="0" w:space="0" w:color="auto"/>
                    <w:left w:val="none" w:sz="0" w:space="0" w:color="auto"/>
                    <w:bottom w:val="none" w:sz="0" w:space="0" w:color="auto"/>
                    <w:right w:val="none" w:sz="0" w:space="0" w:color="auto"/>
                  </w:divBdr>
                  <w:divsChild>
                    <w:div w:id="160957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341716">
              <w:marLeft w:val="0"/>
              <w:marRight w:val="0"/>
              <w:marTop w:val="0"/>
              <w:marBottom w:val="0"/>
              <w:divBdr>
                <w:top w:val="none" w:sz="0" w:space="0" w:color="auto"/>
                <w:left w:val="none" w:sz="0" w:space="0" w:color="auto"/>
                <w:bottom w:val="none" w:sz="0" w:space="0" w:color="auto"/>
                <w:right w:val="none" w:sz="0" w:space="0" w:color="auto"/>
              </w:divBdr>
              <w:divsChild>
                <w:div w:id="86122040">
                  <w:marLeft w:val="0"/>
                  <w:marRight w:val="0"/>
                  <w:marTop w:val="0"/>
                  <w:marBottom w:val="0"/>
                  <w:divBdr>
                    <w:top w:val="none" w:sz="0" w:space="0" w:color="auto"/>
                    <w:left w:val="none" w:sz="0" w:space="0" w:color="auto"/>
                    <w:bottom w:val="none" w:sz="0" w:space="0" w:color="auto"/>
                    <w:right w:val="none" w:sz="0" w:space="0" w:color="auto"/>
                  </w:divBdr>
                  <w:divsChild>
                    <w:div w:id="92268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753999">
          <w:marLeft w:val="0"/>
          <w:marRight w:val="0"/>
          <w:marTop w:val="0"/>
          <w:marBottom w:val="0"/>
          <w:divBdr>
            <w:top w:val="none" w:sz="0" w:space="0" w:color="auto"/>
            <w:left w:val="none" w:sz="0" w:space="0" w:color="auto"/>
            <w:bottom w:val="none" w:sz="0" w:space="0" w:color="auto"/>
            <w:right w:val="none" w:sz="0" w:space="0" w:color="auto"/>
          </w:divBdr>
          <w:divsChild>
            <w:div w:id="1116215817">
              <w:marLeft w:val="0"/>
              <w:marRight w:val="0"/>
              <w:marTop w:val="0"/>
              <w:marBottom w:val="0"/>
              <w:divBdr>
                <w:top w:val="none" w:sz="0" w:space="0" w:color="auto"/>
                <w:left w:val="none" w:sz="0" w:space="0" w:color="auto"/>
                <w:bottom w:val="none" w:sz="0" w:space="0" w:color="auto"/>
                <w:right w:val="none" w:sz="0" w:space="0" w:color="auto"/>
              </w:divBdr>
            </w:div>
          </w:divsChild>
        </w:div>
        <w:div w:id="1113398425">
          <w:marLeft w:val="0"/>
          <w:marRight w:val="0"/>
          <w:marTop w:val="0"/>
          <w:marBottom w:val="0"/>
          <w:divBdr>
            <w:top w:val="none" w:sz="0" w:space="0" w:color="auto"/>
            <w:left w:val="none" w:sz="0" w:space="0" w:color="auto"/>
            <w:bottom w:val="none" w:sz="0" w:space="0" w:color="auto"/>
            <w:right w:val="none" w:sz="0" w:space="0" w:color="auto"/>
          </w:divBdr>
          <w:divsChild>
            <w:div w:id="10493395">
              <w:marLeft w:val="0"/>
              <w:marRight w:val="0"/>
              <w:marTop w:val="0"/>
              <w:marBottom w:val="0"/>
              <w:divBdr>
                <w:top w:val="none" w:sz="0" w:space="0" w:color="auto"/>
                <w:left w:val="none" w:sz="0" w:space="0" w:color="auto"/>
                <w:bottom w:val="none" w:sz="0" w:space="0" w:color="auto"/>
                <w:right w:val="none" w:sz="0" w:space="0" w:color="auto"/>
              </w:divBdr>
            </w:div>
            <w:div w:id="229973117">
              <w:marLeft w:val="0"/>
              <w:marRight w:val="0"/>
              <w:marTop w:val="0"/>
              <w:marBottom w:val="0"/>
              <w:divBdr>
                <w:top w:val="none" w:sz="0" w:space="0" w:color="auto"/>
                <w:left w:val="none" w:sz="0" w:space="0" w:color="auto"/>
                <w:bottom w:val="none" w:sz="0" w:space="0" w:color="auto"/>
                <w:right w:val="none" w:sz="0" w:space="0" w:color="auto"/>
              </w:divBdr>
              <w:divsChild>
                <w:div w:id="989670593">
                  <w:marLeft w:val="0"/>
                  <w:marRight w:val="0"/>
                  <w:marTop w:val="0"/>
                  <w:marBottom w:val="0"/>
                  <w:divBdr>
                    <w:top w:val="none" w:sz="0" w:space="0" w:color="auto"/>
                    <w:left w:val="none" w:sz="0" w:space="0" w:color="auto"/>
                    <w:bottom w:val="none" w:sz="0" w:space="0" w:color="auto"/>
                    <w:right w:val="none" w:sz="0" w:space="0" w:color="auto"/>
                  </w:divBdr>
                  <w:divsChild>
                    <w:div w:id="103396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7494">
              <w:marLeft w:val="0"/>
              <w:marRight w:val="0"/>
              <w:marTop w:val="0"/>
              <w:marBottom w:val="0"/>
              <w:divBdr>
                <w:top w:val="none" w:sz="0" w:space="0" w:color="auto"/>
                <w:left w:val="none" w:sz="0" w:space="0" w:color="auto"/>
                <w:bottom w:val="none" w:sz="0" w:space="0" w:color="auto"/>
                <w:right w:val="none" w:sz="0" w:space="0" w:color="auto"/>
              </w:divBdr>
              <w:divsChild>
                <w:div w:id="519314484">
                  <w:marLeft w:val="0"/>
                  <w:marRight w:val="0"/>
                  <w:marTop w:val="0"/>
                  <w:marBottom w:val="0"/>
                  <w:divBdr>
                    <w:top w:val="none" w:sz="0" w:space="0" w:color="auto"/>
                    <w:left w:val="none" w:sz="0" w:space="0" w:color="auto"/>
                    <w:bottom w:val="none" w:sz="0" w:space="0" w:color="auto"/>
                    <w:right w:val="none" w:sz="0" w:space="0" w:color="auto"/>
                  </w:divBdr>
                  <w:divsChild>
                    <w:div w:id="167453919">
                      <w:marLeft w:val="0"/>
                      <w:marRight w:val="0"/>
                      <w:marTop w:val="0"/>
                      <w:marBottom w:val="0"/>
                      <w:divBdr>
                        <w:top w:val="none" w:sz="0" w:space="0" w:color="auto"/>
                        <w:left w:val="none" w:sz="0" w:space="0" w:color="auto"/>
                        <w:bottom w:val="none" w:sz="0" w:space="0" w:color="auto"/>
                        <w:right w:val="none" w:sz="0" w:space="0" w:color="auto"/>
                      </w:divBdr>
                    </w:div>
                    <w:div w:id="1247613282">
                      <w:marLeft w:val="0"/>
                      <w:marRight w:val="0"/>
                      <w:marTop w:val="0"/>
                      <w:marBottom w:val="0"/>
                      <w:divBdr>
                        <w:top w:val="none" w:sz="0" w:space="0" w:color="auto"/>
                        <w:left w:val="none" w:sz="0" w:space="0" w:color="auto"/>
                        <w:bottom w:val="none" w:sz="0" w:space="0" w:color="auto"/>
                        <w:right w:val="none" w:sz="0" w:space="0" w:color="auto"/>
                      </w:divBdr>
                      <w:divsChild>
                        <w:div w:id="381638801">
                          <w:marLeft w:val="0"/>
                          <w:marRight w:val="0"/>
                          <w:marTop w:val="0"/>
                          <w:marBottom w:val="0"/>
                          <w:divBdr>
                            <w:top w:val="none" w:sz="0" w:space="0" w:color="auto"/>
                            <w:left w:val="none" w:sz="0" w:space="0" w:color="auto"/>
                            <w:bottom w:val="none" w:sz="0" w:space="0" w:color="auto"/>
                            <w:right w:val="none" w:sz="0" w:space="0" w:color="auto"/>
                          </w:divBdr>
                        </w:div>
                      </w:divsChild>
                    </w:div>
                    <w:div w:id="262152467">
                      <w:marLeft w:val="0"/>
                      <w:marRight w:val="0"/>
                      <w:marTop w:val="0"/>
                      <w:marBottom w:val="0"/>
                      <w:divBdr>
                        <w:top w:val="none" w:sz="0" w:space="0" w:color="auto"/>
                        <w:left w:val="none" w:sz="0" w:space="0" w:color="auto"/>
                        <w:bottom w:val="none" w:sz="0" w:space="0" w:color="auto"/>
                        <w:right w:val="none" w:sz="0" w:space="0" w:color="auto"/>
                      </w:divBdr>
                      <w:divsChild>
                        <w:div w:id="1476870426">
                          <w:marLeft w:val="0"/>
                          <w:marRight w:val="0"/>
                          <w:marTop w:val="0"/>
                          <w:marBottom w:val="0"/>
                          <w:divBdr>
                            <w:top w:val="none" w:sz="0" w:space="0" w:color="auto"/>
                            <w:left w:val="none" w:sz="0" w:space="0" w:color="auto"/>
                            <w:bottom w:val="none" w:sz="0" w:space="0" w:color="auto"/>
                            <w:right w:val="none" w:sz="0" w:space="0" w:color="auto"/>
                          </w:divBdr>
                        </w:div>
                      </w:divsChild>
                    </w:div>
                    <w:div w:id="76755912">
                      <w:marLeft w:val="0"/>
                      <w:marRight w:val="0"/>
                      <w:marTop w:val="0"/>
                      <w:marBottom w:val="0"/>
                      <w:divBdr>
                        <w:top w:val="none" w:sz="0" w:space="0" w:color="auto"/>
                        <w:left w:val="none" w:sz="0" w:space="0" w:color="auto"/>
                        <w:bottom w:val="none" w:sz="0" w:space="0" w:color="auto"/>
                        <w:right w:val="none" w:sz="0" w:space="0" w:color="auto"/>
                      </w:divBdr>
                      <w:divsChild>
                        <w:div w:id="197671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910113">
              <w:marLeft w:val="0"/>
              <w:marRight w:val="0"/>
              <w:marTop w:val="0"/>
              <w:marBottom w:val="0"/>
              <w:divBdr>
                <w:top w:val="none" w:sz="0" w:space="0" w:color="auto"/>
                <w:left w:val="none" w:sz="0" w:space="0" w:color="auto"/>
                <w:bottom w:val="none" w:sz="0" w:space="0" w:color="auto"/>
                <w:right w:val="none" w:sz="0" w:space="0" w:color="auto"/>
              </w:divBdr>
              <w:divsChild>
                <w:div w:id="1436170861">
                  <w:marLeft w:val="0"/>
                  <w:marRight w:val="0"/>
                  <w:marTop w:val="0"/>
                  <w:marBottom w:val="0"/>
                  <w:divBdr>
                    <w:top w:val="none" w:sz="0" w:space="0" w:color="auto"/>
                    <w:left w:val="none" w:sz="0" w:space="0" w:color="auto"/>
                    <w:bottom w:val="none" w:sz="0" w:space="0" w:color="auto"/>
                    <w:right w:val="none" w:sz="0" w:space="0" w:color="auto"/>
                  </w:divBdr>
                  <w:divsChild>
                    <w:div w:id="143767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865136">
              <w:marLeft w:val="0"/>
              <w:marRight w:val="0"/>
              <w:marTop w:val="0"/>
              <w:marBottom w:val="0"/>
              <w:divBdr>
                <w:top w:val="none" w:sz="0" w:space="0" w:color="auto"/>
                <w:left w:val="none" w:sz="0" w:space="0" w:color="auto"/>
                <w:bottom w:val="none" w:sz="0" w:space="0" w:color="auto"/>
                <w:right w:val="none" w:sz="0" w:space="0" w:color="auto"/>
              </w:divBdr>
              <w:divsChild>
                <w:div w:id="520895057">
                  <w:marLeft w:val="0"/>
                  <w:marRight w:val="0"/>
                  <w:marTop w:val="0"/>
                  <w:marBottom w:val="0"/>
                  <w:divBdr>
                    <w:top w:val="none" w:sz="0" w:space="0" w:color="auto"/>
                    <w:left w:val="none" w:sz="0" w:space="0" w:color="auto"/>
                    <w:bottom w:val="none" w:sz="0" w:space="0" w:color="auto"/>
                    <w:right w:val="none" w:sz="0" w:space="0" w:color="auto"/>
                  </w:divBdr>
                  <w:divsChild>
                    <w:div w:id="729959940">
                      <w:marLeft w:val="0"/>
                      <w:marRight w:val="0"/>
                      <w:marTop w:val="0"/>
                      <w:marBottom w:val="0"/>
                      <w:divBdr>
                        <w:top w:val="none" w:sz="0" w:space="0" w:color="auto"/>
                        <w:left w:val="none" w:sz="0" w:space="0" w:color="auto"/>
                        <w:bottom w:val="none" w:sz="0" w:space="0" w:color="auto"/>
                        <w:right w:val="none" w:sz="0" w:space="0" w:color="auto"/>
                      </w:divBdr>
                    </w:div>
                    <w:div w:id="147483604">
                      <w:marLeft w:val="0"/>
                      <w:marRight w:val="0"/>
                      <w:marTop w:val="0"/>
                      <w:marBottom w:val="0"/>
                      <w:divBdr>
                        <w:top w:val="none" w:sz="0" w:space="0" w:color="auto"/>
                        <w:left w:val="none" w:sz="0" w:space="0" w:color="auto"/>
                        <w:bottom w:val="none" w:sz="0" w:space="0" w:color="auto"/>
                        <w:right w:val="none" w:sz="0" w:space="0" w:color="auto"/>
                      </w:divBdr>
                      <w:divsChild>
                        <w:div w:id="31463599">
                          <w:marLeft w:val="0"/>
                          <w:marRight w:val="0"/>
                          <w:marTop w:val="0"/>
                          <w:marBottom w:val="0"/>
                          <w:divBdr>
                            <w:top w:val="none" w:sz="0" w:space="0" w:color="auto"/>
                            <w:left w:val="none" w:sz="0" w:space="0" w:color="auto"/>
                            <w:bottom w:val="none" w:sz="0" w:space="0" w:color="auto"/>
                            <w:right w:val="none" w:sz="0" w:space="0" w:color="auto"/>
                          </w:divBdr>
                        </w:div>
                      </w:divsChild>
                    </w:div>
                    <w:div w:id="1654719089">
                      <w:marLeft w:val="0"/>
                      <w:marRight w:val="0"/>
                      <w:marTop w:val="0"/>
                      <w:marBottom w:val="0"/>
                      <w:divBdr>
                        <w:top w:val="none" w:sz="0" w:space="0" w:color="auto"/>
                        <w:left w:val="none" w:sz="0" w:space="0" w:color="auto"/>
                        <w:bottom w:val="none" w:sz="0" w:space="0" w:color="auto"/>
                        <w:right w:val="none" w:sz="0" w:space="0" w:color="auto"/>
                      </w:divBdr>
                      <w:divsChild>
                        <w:div w:id="1082331623">
                          <w:marLeft w:val="0"/>
                          <w:marRight w:val="0"/>
                          <w:marTop w:val="0"/>
                          <w:marBottom w:val="0"/>
                          <w:divBdr>
                            <w:top w:val="none" w:sz="0" w:space="0" w:color="auto"/>
                            <w:left w:val="none" w:sz="0" w:space="0" w:color="auto"/>
                            <w:bottom w:val="none" w:sz="0" w:space="0" w:color="auto"/>
                            <w:right w:val="none" w:sz="0" w:space="0" w:color="auto"/>
                          </w:divBdr>
                        </w:div>
                      </w:divsChild>
                    </w:div>
                    <w:div w:id="1468933124">
                      <w:marLeft w:val="0"/>
                      <w:marRight w:val="0"/>
                      <w:marTop w:val="0"/>
                      <w:marBottom w:val="0"/>
                      <w:divBdr>
                        <w:top w:val="none" w:sz="0" w:space="0" w:color="auto"/>
                        <w:left w:val="none" w:sz="0" w:space="0" w:color="auto"/>
                        <w:bottom w:val="none" w:sz="0" w:space="0" w:color="auto"/>
                        <w:right w:val="none" w:sz="0" w:space="0" w:color="auto"/>
                      </w:divBdr>
                      <w:divsChild>
                        <w:div w:id="1106271007">
                          <w:marLeft w:val="0"/>
                          <w:marRight w:val="0"/>
                          <w:marTop w:val="0"/>
                          <w:marBottom w:val="0"/>
                          <w:divBdr>
                            <w:top w:val="none" w:sz="0" w:space="0" w:color="auto"/>
                            <w:left w:val="none" w:sz="0" w:space="0" w:color="auto"/>
                            <w:bottom w:val="none" w:sz="0" w:space="0" w:color="auto"/>
                            <w:right w:val="none" w:sz="0" w:space="0" w:color="auto"/>
                          </w:divBdr>
                        </w:div>
                      </w:divsChild>
                    </w:div>
                    <w:div w:id="1132552329">
                      <w:marLeft w:val="0"/>
                      <w:marRight w:val="0"/>
                      <w:marTop w:val="0"/>
                      <w:marBottom w:val="0"/>
                      <w:divBdr>
                        <w:top w:val="none" w:sz="0" w:space="0" w:color="auto"/>
                        <w:left w:val="none" w:sz="0" w:space="0" w:color="auto"/>
                        <w:bottom w:val="none" w:sz="0" w:space="0" w:color="auto"/>
                        <w:right w:val="none" w:sz="0" w:space="0" w:color="auto"/>
                      </w:divBdr>
                      <w:divsChild>
                        <w:div w:id="107867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0841">
              <w:marLeft w:val="0"/>
              <w:marRight w:val="0"/>
              <w:marTop w:val="0"/>
              <w:marBottom w:val="0"/>
              <w:divBdr>
                <w:top w:val="none" w:sz="0" w:space="0" w:color="auto"/>
                <w:left w:val="none" w:sz="0" w:space="0" w:color="auto"/>
                <w:bottom w:val="none" w:sz="0" w:space="0" w:color="auto"/>
                <w:right w:val="none" w:sz="0" w:space="0" w:color="auto"/>
              </w:divBdr>
              <w:divsChild>
                <w:div w:id="354504108">
                  <w:marLeft w:val="0"/>
                  <w:marRight w:val="0"/>
                  <w:marTop w:val="0"/>
                  <w:marBottom w:val="0"/>
                  <w:divBdr>
                    <w:top w:val="none" w:sz="0" w:space="0" w:color="auto"/>
                    <w:left w:val="none" w:sz="0" w:space="0" w:color="auto"/>
                    <w:bottom w:val="none" w:sz="0" w:space="0" w:color="auto"/>
                    <w:right w:val="none" w:sz="0" w:space="0" w:color="auto"/>
                  </w:divBdr>
                  <w:divsChild>
                    <w:div w:id="24499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885089">
              <w:marLeft w:val="0"/>
              <w:marRight w:val="0"/>
              <w:marTop w:val="0"/>
              <w:marBottom w:val="0"/>
              <w:divBdr>
                <w:top w:val="none" w:sz="0" w:space="0" w:color="auto"/>
                <w:left w:val="none" w:sz="0" w:space="0" w:color="auto"/>
                <w:bottom w:val="none" w:sz="0" w:space="0" w:color="auto"/>
                <w:right w:val="none" w:sz="0" w:space="0" w:color="auto"/>
              </w:divBdr>
              <w:divsChild>
                <w:div w:id="86195062">
                  <w:marLeft w:val="0"/>
                  <w:marRight w:val="0"/>
                  <w:marTop w:val="0"/>
                  <w:marBottom w:val="0"/>
                  <w:divBdr>
                    <w:top w:val="none" w:sz="0" w:space="0" w:color="auto"/>
                    <w:left w:val="none" w:sz="0" w:space="0" w:color="auto"/>
                    <w:bottom w:val="none" w:sz="0" w:space="0" w:color="auto"/>
                    <w:right w:val="none" w:sz="0" w:space="0" w:color="auto"/>
                  </w:divBdr>
                  <w:divsChild>
                    <w:div w:id="3978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11047">
              <w:marLeft w:val="0"/>
              <w:marRight w:val="0"/>
              <w:marTop w:val="0"/>
              <w:marBottom w:val="0"/>
              <w:divBdr>
                <w:top w:val="none" w:sz="0" w:space="0" w:color="auto"/>
                <w:left w:val="none" w:sz="0" w:space="0" w:color="auto"/>
                <w:bottom w:val="none" w:sz="0" w:space="0" w:color="auto"/>
                <w:right w:val="none" w:sz="0" w:space="0" w:color="auto"/>
              </w:divBdr>
              <w:divsChild>
                <w:div w:id="521866951">
                  <w:marLeft w:val="0"/>
                  <w:marRight w:val="0"/>
                  <w:marTop w:val="0"/>
                  <w:marBottom w:val="0"/>
                  <w:divBdr>
                    <w:top w:val="none" w:sz="0" w:space="0" w:color="auto"/>
                    <w:left w:val="none" w:sz="0" w:space="0" w:color="auto"/>
                    <w:bottom w:val="none" w:sz="0" w:space="0" w:color="auto"/>
                    <w:right w:val="none" w:sz="0" w:space="0" w:color="auto"/>
                  </w:divBdr>
                  <w:divsChild>
                    <w:div w:id="74896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17837">
              <w:marLeft w:val="0"/>
              <w:marRight w:val="0"/>
              <w:marTop w:val="0"/>
              <w:marBottom w:val="0"/>
              <w:divBdr>
                <w:top w:val="none" w:sz="0" w:space="0" w:color="auto"/>
                <w:left w:val="none" w:sz="0" w:space="0" w:color="auto"/>
                <w:bottom w:val="none" w:sz="0" w:space="0" w:color="auto"/>
                <w:right w:val="none" w:sz="0" w:space="0" w:color="auto"/>
              </w:divBdr>
              <w:divsChild>
                <w:div w:id="1701660324">
                  <w:marLeft w:val="0"/>
                  <w:marRight w:val="0"/>
                  <w:marTop w:val="0"/>
                  <w:marBottom w:val="0"/>
                  <w:divBdr>
                    <w:top w:val="none" w:sz="0" w:space="0" w:color="auto"/>
                    <w:left w:val="none" w:sz="0" w:space="0" w:color="auto"/>
                    <w:bottom w:val="none" w:sz="0" w:space="0" w:color="auto"/>
                    <w:right w:val="none" w:sz="0" w:space="0" w:color="auto"/>
                  </w:divBdr>
                  <w:divsChild>
                    <w:div w:id="214684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957734">
              <w:marLeft w:val="0"/>
              <w:marRight w:val="0"/>
              <w:marTop w:val="0"/>
              <w:marBottom w:val="0"/>
              <w:divBdr>
                <w:top w:val="none" w:sz="0" w:space="0" w:color="auto"/>
                <w:left w:val="none" w:sz="0" w:space="0" w:color="auto"/>
                <w:bottom w:val="none" w:sz="0" w:space="0" w:color="auto"/>
                <w:right w:val="none" w:sz="0" w:space="0" w:color="auto"/>
              </w:divBdr>
              <w:divsChild>
                <w:div w:id="2027712387">
                  <w:marLeft w:val="0"/>
                  <w:marRight w:val="0"/>
                  <w:marTop w:val="0"/>
                  <w:marBottom w:val="0"/>
                  <w:divBdr>
                    <w:top w:val="none" w:sz="0" w:space="0" w:color="auto"/>
                    <w:left w:val="none" w:sz="0" w:space="0" w:color="auto"/>
                    <w:bottom w:val="none" w:sz="0" w:space="0" w:color="auto"/>
                    <w:right w:val="none" w:sz="0" w:space="0" w:color="auto"/>
                  </w:divBdr>
                  <w:divsChild>
                    <w:div w:id="1474253535">
                      <w:marLeft w:val="0"/>
                      <w:marRight w:val="0"/>
                      <w:marTop w:val="0"/>
                      <w:marBottom w:val="0"/>
                      <w:divBdr>
                        <w:top w:val="none" w:sz="0" w:space="0" w:color="auto"/>
                        <w:left w:val="none" w:sz="0" w:space="0" w:color="auto"/>
                        <w:bottom w:val="none" w:sz="0" w:space="0" w:color="auto"/>
                        <w:right w:val="none" w:sz="0" w:space="0" w:color="auto"/>
                      </w:divBdr>
                    </w:div>
                    <w:div w:id="527985021">
                      <w:marLeft w:val="0"/>
                      <w:marRight w:val="0"/>
                      <w:marTop w:val="0"/>
                      <w:marBottom w:val="0"/>
                      <w:divBdr>
                        <w:top w:val="none" w:sz="0" w:space="0" w:color="auto"/>
                        <w:left w:val="none" w:sz="0" w:space="0" w:color="auto"/>
                        <w:bottom w:val="none" w:sz="0" w:space="0" w:color="auto"/>
                        <w:right w:val="none" w:sz="0" w:space="0" w:color="auto"/>
                      </w:divBdr>
                      <w:divsChild>
                        <w:div w:id="1432552732">
                          <w:marLeft w:val="0"/>
                          <w:marRight w:val="0"/>
                          <w:marTop w:val="0"/>
                          <w:marBottom w:val="0"/>
                          <w:divBdr>
                            <w:top w:val="none" w:sz="0" w:space="0" w:color="auto"/>
                            <w:left w:val="none" w:sz="0" w:space="0" w:color="auto"/>
                            <w:bottom w:val="none" w:sz="0" w:space="0" w:color="auto"/>
                            <w:right w:val="none" w:sz="0" w:space="0" w:color="auto"/>
                          </w:divBdr>
                        </w:div>
                      </w:divsChild>
                    </w:div>
                    <w:div w:id="2143495727">
                      <w:marLeft w:val="0"/>
                      <w:marRight w:val="0"/>
                      <w:marTop w:val="0"/>
                      <w:marBottom w:val="0"/>
                      <w:divBdr>
                        <w:top w:val="none" w:sz="0" w:space="0" w:color="auto"/>
                        <w:left w:val="none" w:sz="0" w:space="0" w:color="auto"/>
                        <w:bottom w:val="none" w:sz="0" w:space="0" w:color="auto"/>
                        <w:right w:val="none" w:sz="0" w:space="0" w:color="auto"/>
                      </w:divBdr>
                      <w:divsChild>
                        <w:div w:id="121769144">
                          <w:marLeft w:val="0"/>
                          <w:marRight w:val="0"/>
                          <w:marTop w:val="0"/>
                          <w:marBottom w:val="0"/>
                          <w:divBdr>
                            <w:top w:val="none" w:sz="0" w:space="0" w:color="auto"/>
                            <w:left w:val="none" w:sz="0" w:space="0" w:color="auto"/>
                            <w:bottom w:val="none" w:sz="0" w:space="0" w:color="auto"/>
                            <w:right w:val="none" w:sz="0" w:space="0" w:color="auto"/>
                          </w:divBdr>
                        </w:div>
                      </w:divsChild>
                    </w:div>
                    <w:div w:id="1889950032">
                      <w:marLeft w:val="0"/>
                      <w:marRight w:val="0"/>
                      <w:marTop w:val="0"/>
                      <w:marBottom w:val="0"/>
                      <w:divBdr>
                        <w:top w:val="none" w:sz="0" w:space="0" w:color="auto"/>
                        <w:left w:val="none" w:sz="0" w:space="0" w:color="auto"/>
                        <w:bottom w:val="none" w:sz="0" w:space="0" w:color="auto"/>
                        <w:right w:val="none" w:sz="0" w:space="0" w:color="auto"/>
                      </w:divBdr>
                      <w:divsChild>
                        <w:div w:id="2087803086">
                          <w:marLeft w:val="0"/>
                          <w:marRight w:val="0"/>
                          <w:marTop w:val="0"/>
                          <w:marBottom w:val="0"/>
                          <w:divBdr>
                            <w:top w:val="none" w:sz="0" w:space="0" w:color="auto"/>
                            <w:left w:val="none" w:sz="0" w:space="0" w:color="auto"/>
                            <w:bottom w:val="none" w:sz="0" w:space="0" w:color="auto"/>
                            <w:right w:val="none" w:sz="0" w:space="0" w:color="auto"/>
                          </w:divBdr>
                        </w:div>
                      </w:divsChild>
                    </w:div>
                    <w:div w:id="1434280495">
                      <w:marLeft w:val="0"/>
                      <w:marRight w:val="0"/>
                      <w:marTop w:val="0"/>
                      <w:marBottom w:val="0"/>
                      <w:divBdr>
                        <w:top w:val="none" w:sz="0" w:space="0" w:color="auto"/>
                        <w:left w:val="none" w:sz="0" w:space="0" w:color="auto"/>
                        <w:bottom w:val="none" w:sz="0" w:space="0" w:color="auto"/>
                        <w:right w:val="none" w:sz="0" w:space="0" w:color="auto"/>
                      </w:divBdr>
                      <w:divsChild>
                        <w:div w:id="1950115429">
                          <w:marLeft w:val="0"/>
                          <w:marRight w:val="0"/>
                          <w:marTop w:val="0"/>
                          <w:marBottom w:val="0"/>
                          <w:divBdr>
                            <w:top w:val="none" w:sz="0" w:space="0" w:color="auto"/>
                            <w:left w:val="none" w:sz="0" w:space="0" w:color="auto"/>
                            <w:bottom w:val="none" w:sz="0" w:space="0" w:color="auto"/>
                            <w:right w:val="none" w:sz="0" w:space="0" w:color="auto"/>
                          </w:divBdr>
                        </w:div>
                      </w:divsChild>
                    </w:div>
                    <w:div w:id="1687095543">
                      <w:marLeft w:val="0"/>
                      <w:marRight w:val="0"/>
                      <w:marTop w:val="0"/>
                      <w:marBottom w:val="0"/>
                      <w:divBdr>
                        <w:top w:val="none" w:sz="0" w:space="0" w:color="auto"/>
                        <w:left w:val="none" w:sz="0" w:space="0" w:color="auto"/>
                        <w:bottom w:val="none" w:sz="0" w:space="0" w:color="auto"/>
                        <w:right w:val="none" w:sz="0" w:space="0" w:color="auto"/>
                      </w:divBdr>
                      <w:divsChild>
                        <w:div w:id="96797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809975">
              <w:marLeft w:val="0"/>
              <w:marRight w:val="0"/>
              <w:marTop w:val="0"/>
              <w:marBottom w:val="0"/>
              <w:divBdr>
                <w:top w:val="none" w:sz="0" w:space="0" w:color="auto"/>
                <w:left w:val="none" w:sz="0" w:space="0" w:color="auto"/>
                <w:bottom w:val="none" w:sz="0" w:space="0" w:color="auto"/>
                <w:right w:val="none" w:sz="0" w:space="0" w:color="auto"/>
              </w:divBdr>
              <w:divsChild>
                <w:div w:id="200367320">
                  <w:marLeft w:val="0"/>
                  <w:marRight w:val="0"/>
                  <w:marTop w:val="0"/>
                  <w:marBottom w:val="0"/>
                  <w:divBdr>
                    <w:top w:val="none" w:sz="0" w:space="0" w:color="auto"/>
                    <w:left w:val="none" w:sz="0" w:space="0" w:color="auto"/>
                    <w:bottom w:val="none" w:sz="0" w:space="0" w:color="auto"/>
                    <w:right w:val="none" w:sz="0" w:space="0" w:color="auto"/>
                  </w:divBdr>
                  <w:divsChild>
                    <w:div w:id="205299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53943">
              <w:marLeft w:val="0"/>
              <w:marRight w:val="0"/>
              <w:marTop w:val="0"/>
              <w:marBottom w:val="0"/>
              <w:divBdr>
                <w:top w:val="none" w:sz="0" w:space="0" w:color="auto"/>
                <w:left w:val="none" w:sz="0" w:space="0" w:color="auto"/>
                <w:bottom w:val="none" w:sz="0" w:space="0" w:color="auto"/>
                <w:right w:val="none" w:sz="0" w:space="0" w:color="auto"/>
              </w:divBdr>
              <w:divsChild>
                <w:div w:id="1997689365">
                  <w:marLeft w:val="0"/>
                  <w:marRight w:val="0"/>
                  <w:marTop w:val="0"/>
                  <w:marBottom w:val="0"/>
                  <w:divBdr>
                    <w:top w:val="none" w:sz="0" w:space="0" w:color="auto"/>
                    <w:left w:val="none" w:sz="0" w:space="0" w:color="auto"/>
                    <w:bottom w:val="none" w:sz="0" w:space="0" w:color="auto"/>
                    <w:right w:val="none" w:sz="0" w:space="0" w:color="auto"/>
                  </w:divBdr>
                  <w:divsChild>
                    <w:div w:id="23594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839236">
          <w:marLeft w:val="0"/>
          <w:marRight w:val="0"/>
          <w:marTop w:val="0"/>
          <w:marBottom w:val="0"/>
          <w:divBdr>
            <w:top w:val="none" w:sz="0" w:space="0" w:color="auto"/>
            <w:left w:val="none" w:sz="0" w:space="0" w:color="auto"/>
            <w:bottom w:val="none" w:sz="0" w:space="0" w:color="auto"/>
            <w:right w:val="none" w:sz="0" w:space="0" w:color="auto"/>
          </w:divBdr>
          <w:divsChild>
            <w:div w:id="874657115">
              <w:marLeft w:val="0"/>
              <w:marRight w:val="0"/>
              <w:marTop w:val="0"/>
              <w:marBottom w:val="0"/>
              <w:divBdr>
                <w:top w:val="none" w:sz="0" w:space="0" w:color="auto"/>
                <w:left w:val="none" w:sz="0" w:space="0" w:color="auto"/>
                <w:bottom w:val="none" w:sz="0" w:space="0" w:color="auto"/>
                <w:right w:val="none" w:sz="0" w:space="0" w:color="auto"/>
              </w:divBdr>
            </w:div>
            <w:div w:id="1318147082">
              <w:marLeft w:val="0"/>
              <w:marRight w:val="0"/>
              <w:marTop w:val="0"/>
              <w:marBottom w:val="0"/>
              <w:divBdr>
                <w:top w:val="none" w:sz="0" w:space="0" w:color="auto"/>
                <w:left w:val="none" w:sz="0" w:space="0" w:color="auto"/>
                <w:bottom w:val="none" w:sz="0" w:space="0" w:color="auto"/>
                <w:right w:val="none" w:sz="0" w:space="0" w:color="auto"/>
              </w:divBdr>
              <w:divsChild>
                <w:div w:id="742525501">
                  <w:marLeft w:val="0"/>
                  <w:marRight w:val="0"/>
                  <w:marTop w:val="0"/>
                  <w:marBottom w:val="0"/>
                  <w:divBdr>
                    <w:top w:val="none" w:sz="0" w:space="0" w:color="auto"/>
                    <w:left w:val="none" w:sz="0" w:space="0" w:color="auto"/>
                    <w:bottom w:val="none" w:sz="0" w:space="0" w:color="auto"/>
                    <w:right w:val="none" w:sz="0" w:space="0" w:color="auto"/>
                  </w:divBdr>
                  <w:divsChild>
                    <w:div w:id="193470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729836">
              <w:marLeft w:val="0"/>
              <w:marRight w:val="0"/>
              <w:marTop w:val="0"/>
              <w:marBottom w:val="0"/>
              <w:divBdr>
                <w:top w:val="none" w:sz="0" w:space="0" w:color="auto"/>
                <w:left w:val="none" w:sz="0" w:space="0" w:color="auto"/>
                <w:bottom w:val="none" w:sz="0" w:space="0" w:color="auto"/>
                <w:right w:val="none" w:sz="0" w:space="0" w:color="auto"/>
              </w:divBdr>
              <w:divsChild>
                <w:div w:id="963077996">
                  <w:marLeft w:val="0"/>
                  <w:marRight w:val="0"/>
                  <w:marTop w:val="0"/>
                  <w:marBottom w:val="0"/>
                  <w:divBdr>
                    <w:top w:val="none" w:sz="0" w:space="0" w:color="auto"/>
                    <w:left w:val="none" w:sz="0" w:space="0" w:color="auto"/>
                    <w:bottom w:val="none" w:sz="0" w:space="0" w:color="auto"/>
                    <w:right w:val="none" w:sz="0" w:space="0" w:color="auto"/>
                  </w:divBdr>
                  <w:divsChild>
                    <w:div w:id="33772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20736">
              <w:marLeft w:val="0"/>
              <w:marRight w:val="0"/>
              <w:marTop w:val="0"/>
              <w:marBottom w:val="0"/>
              <w:divBdr>
                <w:top w:val="none" w:sz="0" w:space="0" w:color="auto"/>
                <w:left w:val="none" w:sz="0" w:space="0" w:color="auto"/>
                <w:bottom w:val="none" w:sz="0" w:space="0" w:color="auto"/>
                <w:right w:val="none" w:sz="0" w:space="0" w:color="auto"/>
              </w:divBdr>
              <w:divsChild>
                <w:div w:id="542864973">
                  <w:marLeft w:val="0"/>
                  <w:marRight w:val="0"/>
                  <w:marTop w:val="0"/>
                  <w:marBottom w:val="0"/>
                  <w:divBdr>
                    <w:top w:val="none" w:sz="0" w:space="0" w:color="auto"/>
                    <w:left w:val="none" w:sz="0" w:space="0" w:color="auto"/>
                    <w:bottom w:val="none" w:sz="0" w:space="0" w:color="auto"/>
                    <w:right w:val="none" w:sz="0" w:space="0" w:color="auto"/>
                  </w:divBdr>
                  <w:divsChild>
                    <w:div w:id="60720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245964">
              <w:marLeft w:val="0"/>
              <w:marRight w:val="0"/>
              <w:marTop w:val="0"/>
              <w:marBottom w:val="0"/>
              <w:divBdr>
                <w:top w:val="none" w:sz="0" w:space="0" w:color="auto"/>
                <w:left w:val="none" w:sz="0" w:space="0" w:color="auto"/>
                <w:bottom w:val="none" w:sz="0" w:space="0" w:color="auto"/>
                <w:right w:val="none" w:sz="0" w:space="0" w:color="auto"/>
              </w:divBdr>
              <w:divsChild>
                <w:div w:id="784159540">
                  <w:marLeft w:val="0"/>
                  <w:marRight w:val="0"/>
                  <w:marTop w:val="0"/>
                  <w:marBottom w:val="0"/>
                  <w:divBdr>
                    <w:top w:val="none" w:sz="0" w:space="0" w:color="auto"/>
                    <w:left w:val="none" w:sz="0" w:space="0" w:color="auto"/>
                    <w:bottom w:val="none" w:sz="0" w:space="0" w:color="auto"/>
                    <w:right w:val="none" w:sz="0" w:space="0" w:color="auto"/>
                  </w:divBdr>
                  <w:divsChild>
                    <w:div w:id="129186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278388">
          <w:marLeft w:val="0"/>
          <w:marRight w:val="0"/>
          <w:marTop w:val="0"/>
          <w:marBottom w:val="0"/>
          <w:divBdr>
            <w:top w:val="none" w:sz="0" w:space="0" w:color="auto"/>
            <w:left w:val="none" w:sz="0" w:space="0" w:color="auto"/>
            <w:bottom w:val="none" w:sz="0" w:space="0" w:color="auto"/>
            <w:right w:val="none" w:sz="0" w:space="0" w:color="auto"/>
          </w:divBdr>
          <w:divsChild>
            <w:div w:id="16677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s://sip.legalis.pl/document-view.seam?documentId=mfrxilrshaydomjugyztg"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galis.pl/document-view.seam?documentId=mfrxilrxgazdeojygi4q"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sip.legalis.pl/document-view.seam?documentId=mfrxilrxgazdcmjuhezq"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sip.legalis.pl/document-view.seam?documentId=mfrxilrshaydomjugyztg" TargetMode="External"/><Relationship Id="rId14"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94877-A4EF-49E9-B6EF-055ABEEF7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7829</Words>
  <Characters>52658</Characters>
  <Application>Microsoft Office Word</Application>
  <DocSecurity>0</DocSecurity>
  <Lines>438</Lines>
  <Paragraphs>120</Paragraphs>
  <ScaleCrop>false</ScaleCrop>
  <HeadingPairs>
    <vt:vector size="2" baseType="variant">
      <vt:variant>
        <vt:lpstr>Tytuł</vt:lpstr>
      </vt:variant>
      <vt:variant>
        <vt:i4>1</vt:i4>
      </vt:variant>
    </vt:vector>
  </HeadingPairs>
  <TitlesOfParts>
    <vt:vector size="1" baseType="lpstr">
      <vt:lpstr>UZASADNIENIE</vt:lpstr>
    </vt:vector>
  </TitlesOfParts>
  <Company>GUM</Company>
  <LinksUpToDate>false</LinksUpToDate>
  <CharactersWithSpaces>60367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asoczewko</dc:creator>
  <cp:lastModifiedBy>Ewa A. Genert</cp:lastModifiedBy>
  <cp:revision>2</cp:revision>
  <cp:lastPrinted>2018-04-13T11:30:00Z</cp:lastPrinted>
  <dcterms:created xsi:type="dcterms:W3CDTF">2018-04-20T13:00:00Z</dcterms:created>
  <dcterms:modified xsi:type="dcterms:W3CDTF">2018-04-20T13:00:00Z</dcterms:modified>
</cp:coreProperties>
</file>