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AE4" w:rsidRPr="005D4AE4" w:rsidRDefault="005D4AE4" w:rsidP="005D4AE4">
      <w:pPr>
        <w:keepNext/>
        <w:spacing w:before="120"/>
        <w:jc w:val="center"/>
        <w:rPr>
          <w:rFonts w:eastAsia="Times New Roman" w:cs="Times New Roman"/>
          <w:szCs w:val="24"/>
        </w:rPr>
      </w:pPr>
      <w:bookmarkStart w:id="0" w:name="_GoBack"/>
      <w:bookmarkEnd w:id="0"/>
      <w:r w:rsidRPr="005D4AE4">
        <w:rPr>
          <w:rFonts w:eastAsia="Times New Roman" w:cs="Times New Roman"/>
          <w:szCs w:val="24"/>
        </w:rPr>
        <w:t>UZASADNIENIE</w:t>
      </w:r>
    </w:p>
    <w:p w:rsidR="005D4AE4" w:rsidRPr="005D4AE4" w:rsidRDefault="005D4AE4" w:rsidP="005D4AE4">
      <w:pPr>
        <w:keepNext/>
        <w:spacing w:before="120"/>
        <w:jc w:val="both"/>
        <w:rPr>
          <w:rFonts w:eastAsia="Times New Roman" w:cs="Times New Roman"/>
          <w:b/>
          <w:szCs w:val="24"/>
        </w:rPr>
      </w:pPr>
      <w:r w:rsidRPr="005D4AE4">
        <w:rPr>
          <w:rFonts w:eastAsia="Times New Roman" w:cs="Times New Roman"/>
          <w:b/>
          <w:szCs w:val="24"/>
        </w:rPr>
        <w:t>Potrzeba i cel uchwalenia projektowanej ustawy</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Przedmiotowa ustawa tworzy ramy prawno-organi</w:t>
      </w:r>
      <w:r w:rsidR="00F534FE">
        <w:rPr>
          <w:rFonts w:eastAsia="Times New Roman" w:cs="Times New Roman"/>
          <w:szCs w:val="24"/>
        </w:rPr>
        <w:t>zacyjne realizacji inwestycji w </w:t>
      </w:r>
      <w:r w:rsidRPr="005D4AE4">
        <w:rPr>
          <w:rFonts w:eastAsia="Times New Roman" w:cs="Times New Roman"/>
          <w:szCs w:val="24"/>
        </w:rPr>
        <w:t>postaci Centralnego Portu Komunikacyjnego (dalej jako: CPK), szeroko rozumianych Inwestycji Towarzyszących, tworzących system transportowy oparty o centralne położenie Portu oraz innych zadań, w tym inwestycyjnych (także rewitalizacyjnych), ujętych w kompleksowym dokumencie programowo-strategicznym, który opracowany zostanie w oparciu o ustawę (dalej jako: Program).</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dniu 17 marca 2017 r. Komitet Ekonomiczny Rady Ministrów przyjął rekomendację budowy Centralnego Portu Komunikacyjnego. W dniu 27 kwietnia 2017 r. Rada Ministrów przyjęła rozporządzenie w sprawie ustanowienia Pełnomocnika Rządu do spraw Centralnego Portu Komunikacyjnego dla Rzeczypospolitej Polskiej (dalej jako: Pełnomocnik), do którego zadań należy m.in. przygotowanie i nadzór nad realizacją inwestycji w zakresie CPK, w tym w szczególności a</w:t>
      </w:r>
      <w:r w:rsidR="00F534FE">
        <w:rPr>
          <w:rFonts w:eastAsia="Times New Roman" w:cs="Times New Roman"/>
          <w:szCs w:val="24"/>
        </w:rPr>
        <w:t>naliza prawnych, technicznych i </w:t>
      </w:r>
      <w:r w:rsidRPr="005D4AE4">
        <w:rPr>
          <w:rFonts w:eastAsia="Times New Roman" w:cs="Times New Roman"/>
          <w:szCs w:val="24"/>
        </w:rPr>
        <w:t>ekonomicznych uwarunkowań przygotowania oraz realizacji tej inwestycji, przygotowanie projektu jej założeń oraz koncepcji realizacji działań koniecznych do przeprowadzenia inwestycji i przygotowanie propozycji zmian legislacyjnych oraz zmian w rządowych dokumentach strategicznych, koniecznych do przeprowadzenia inwestycji.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Rada Ministrów w dniu 7 listopada 2017 r. podjęła uchwałę</w:t>
      </w:r>
      <w:r w:rsidRPr="005D4AE4">
        <w:rPr>
          <w:rFonts w:eastAsia="Times New Roman" w:cs="Times New Roman"/>
          <w:szCs w:val="24"/>
          <w:vertAlign w:val="superscript"/>
        </w:rPr>
        <w:footnoteReference w:id="1"/>
      </w:r>
      <w:r w:rsidR="008F3269" w:rsidRPr="008F3269">
        <w:rPr>
          <w:rFonts w:eastAsia="Times New Roman" w:cs="Times New Roman"/>
          <w:szCs w:val="24"/>
          <w:vertAlign w:val="superscript"/>
        </w:rPr>
        <w:t>)</w:t>
      </w:r>
      <w:r w:rsidRPr="005D4AE4">
        <w:rPr>
          <w:rFonts w:eastAsia="Times New Roman" w:cs="Times New Roman"/>
          <w:szCs w:val="24"/>
        </w:rPr>
        <w:t>, w której stwierdziła, że podjęcie działań opisanych w, przedłożonej przez Pełnomoc</w:t>
      </w:r>
      <w:r w:rsidR="008F3269">
        <w:rPr>
          <w:rFonts w:eastAsia="Times New Roman" w:cs="Times New Roman"/>
          <w:szCs w:val="24"/>
        </w:rPr>
        <w:t>nika, Koncepcji przygotowania i</w:t>
      </w:r>
      <w:r w:rsidR="00F534FE">
        <w:rPr>
          <w:rFonts w:eastAsia="Times New Roman" w:cs="Times New Roman"/>
          <w:szCs w:val="24"/>
        </w:rPr>
        <w:t xml:space="preserve"> </w:t>
      </w:r>
      <w:r w:rsidRPr="005D4AE4">
        <w:rPr>
          <w:rFonts w:eastAsia="Times New Roman" w:cs="Times New Roman"/>
          <w:szCs w:val="24"/>
        </w:rPr>
        <w:t>realizacji inwestycji w</w:t>
      </w:r>
      <w:r>
        <w:rPr>
          <w:rFonts w:eastAsia="Times New Roman" w:cs="Times New Roman"/>
          <w:szCs w:val="24"/>
        </w:rPr>
        <w:t xml:space="preserve"> </w:t>
      </w:r>
      <w:r w:rsidRPr="005D4AE4">
        <w:rPr>
          <w:rFonts w:eastAsia="Times New Roman" w:cs="Times New Roman"/>
          <w:szCs w:val="24"/>
        </w:rPr>
        <w:t xml:space="preserve">postaci CPK jest zgodne z polityką Rządu. Dało to podstawy do podejmowania dalszych działań organizacyjno-finansowo-prawnych związanych z realizacją tego zamierzenia.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toku prac analitycznych prowadzonych na potrzeby sporządzenia Koncepcji stwierdzono, że skala przedmiotowej inwestycji, jak również fakt objęcia jej ramami organizacyjnymi szeregu innych zamierzeń (Inwestycji Towarzyszących, innych Przedsięwzięć) nie pozwala na efektywne przygotowanie i realizację ogółu zamierzeń</w:t>
      </w:r>
      <w:r w:rsidR="008F3269">
        <w:rPr>
          <w:rFonts w:eastAsia="Times New Roman" w:cs="Times New Roman"/>
          <w:szCs w:val="24"/>
        </w:rPr>
        <w:t xml:space="preserve"> inwestycyjnych i rozwojowych w</w:t>
      </w:r>
      <w:r w:rsidR="00F534FE">
        <w:rPr>
          <w:rFonts w:eastAsia="Times New Roman" w:cs="Times New Roman"/>
          <w:szCs w:val="24"/>
        </w:rPr>
        <w:t xml:space="preserve"> </w:t>
      </w:r>
      <w:r w:rsidRPr="005D4AE4">
        <w:rPr>
          <w:rFonts w:eastAsia="Times New Roman" w:cs="Times New Roman"/>
          <w:szCs w:val="24"/>
        </w:rPr>
        <w:t xml:space="preserve">ramach istniejącego porządku prawnego. Brak szczególnych rozwiązań prawnych porządkujących i usprawniających proces realizacji </w:t>
      </w:r>
      <w:r w:rsidRPr="005D4AE4">
        <w:rPr>
          <w:rFonts w:eastAsia="Times New Roman" w:cs="Times New Roman"/>
          <w:szCs w:val="24"/>
        </w:rPr>
        <w:lastRenderedPageBreak/>
        <w:t>Koncepcji stanowi zagrożenie dla powodzenia działań podejmowanych w oparciu o nią.</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Realizacja inwestycji w zakresie CPK zakłada przemodelowanie kierunków polityki transportowej Państwa w celu oparcia jej o system tzw. </w:t>
      </w:r>
      <w:r w:rsidR="008F3269">
        <w:rPr>
          <w:rFonts w:eastAsia="Times New Roman" w:cs="Times New Roman"/>
          <w:szCs w:val="24"/>
        </w:rPr>
        <w:t>piasty i szprych (Hub&amp;Spoke), w</w:t>
      </w:r>
      <w:r w:rsidR="00F534FE">
        <w:rPr>
          <w:rFonts w:eastAsia="Times New Roman" w:cs="Times New Roman"/>
          <w:szCs w:val="24"/>
        </w:rPr>
        <w:t xml:space="preserve"> </w:t>
      </w:r>
      <w:r w:rsidRPr="005D4AE4">
        <w:rPr>
          <w:rFonts w:eastAsia="Times New Roman" w:cs="Times New Roman"/>
          <w:szCs w:val="24"/>
        </w:rPr>
        <w:t>którym centralną rolę odgrywa CPK, stanowiąc punkt odniesienia do rozwoju pozostałych zasadniczych inwestycji transportowych (drogowych, kolej</w:t>
      </w:r>
      <w:r w:rsidR="008F3269">
        <w:rPr>
          <w:rFonts w:eastAsia="Times New Roman" w:cs="Times New Roman"/>
          <w:szCs w:val="24"/>
        </w:rPr>
        <w:t>owych oraz lotniskowych). To, w</w:t>
      </w:r>
      <w:r w:rsidR="00F534FE">
        <w:rPr>
          <w:rFonts w:eastAsia="Times New Roman" w:cs="Times New Roman"/>
          <w:szCs w:val="24"/>
        </w:rPr>
        <w:t xml:space="preserve"> </w:t>
      </w:r>
      <w:r w:rsidRPr="005D4AE4">
        <w:rPr>
          <w:rFonts w:eastAsia="Times New Roman" w:cs="Times New Roman"/>
          <w:szCs w:val="24"/>
        </w:rPr>
        <w:t>połączeniu z podjęciem w</w:t>
      </w:r>
      <w:r>
        <w:rPr>
          <w:rFonts w:eastAsia="Times New Roman" w:cs="Times New Roman"/>
          <w:szCs w:val="24"/>
        </w:rPr>
        <w:t xml:space="preserve"> </w:t>
      </w:r>
      <w:r w:rsidRPr="005D4AE4">
        <w:rPr>
          <w:rFonts w:eastAsia="Times New Roman" w:cs="Times New Roman"/>
          <w:szCs w:val="24"/>
        </w:rPr>
        <w:t>perspektywie kilkunastu lat szeregu zadań inwestycyjnych oraz pobudzających rozwój gospodarczy i</w:t>
      </w:r>
      <w:r>
        <w:rPr>
          <w:rFonts w:eastAsia="Times New Roman" w:cs="Times New Roman"/>
          <w:szCs w:val="24"/>
        </w:rPr>
        <w:t xml:space="preserve"> </w:t>
      </w:r>
      <w:r w:rsidRPr="005D4AE4">
        <w:rPr>
          <w:rFonts w:eastAsia="Times New Roman" w:cs="Times New Roman"/>
          <w:szCs w:val="24"/>
        </w:rPr>
        <w:t>zapewniających spójność społeczną, pozwala na pełne wykorzystanie efektu gospodarczego i</w:t>
      </w:r>
      <w:r w:rsidR="00F534FE">
        <w:rPr>
          <w:rFonts w:eastAsia="Times New Roman" w:cs="Times New Roman"/>
          <w:szCs w:val="24"/>
        </w:rPr>
        <w:t> </w:t>
      </w:r>
      <w:r w:rsidRPr="005D4AE4">
        <w:rPr>
          <w:rFonts w:eastAsia="Times New Roman" w:cs="Times New Roman"/>
          <w:szCs w:val="24"/>
        </w:rPr>
        <w:t>terytorialnego CPK. Dotychczasowe doświadczenia związane z próbami skoordynowanej realizacji dużej liczby zamierzeń</w:t>
      </w:r>
      <w:r w:rsidR="00F534FE">
        <w:rPr>
          <w:rFonts w:eastAsia="Times New Roman" w:cs="Times New Roman"/>
          <w:szCs w:val="24"/>
        </w:rPr>
        <w:t xml:space="preserve"> inwestycyjnych skorelowanych w </w:t>
      </w:r>
      <w:r w:rsidRPr="005D4AE4">
        <w:rPr>
          <w:rFonts w:eastAsia="Times New Roman" w:cs="Times New Roman"/>
          <w:szCs w:val="24"/>
        </w:rPr>
        <w:t>czasie i przestrzeni wskazują na niemożność zapewnienia właściwego poziomu koordynacji bez wprowadzenia szczególnych instrumentów zarządczych (w skali mikro</w:t>
      </w:r>
      <w:r w:rsidR="001E3D9F">
        <w:rPr>
          <w:rFonts w:eastAsia="Times New Roman" w:cs="Times New Roman"/>
          <w:szCs w:val="24"/>
        </w:rPr>
        <w:t>-</w:t>
      </w:r>
      <w:r w:rsidRPr="005D4AE4">
        <w:rPr>
          <w:rFonts w:eastAsia="Times New Roman" w:cs="Times New Roman"/>
          <w:szCs w:val="24"/>
        </w:rPr>
        <w:t xml:space="preserve"> rozwiązania takie zostały wprowadzone dla gmin w </w:t>
      </w:r>
      <w:r w:rsidRPr="005D4AE4">
        <w:rPr>
          <w:rFonts w:eastAsia="Times New Roman" w:cs="Times New Roman"/>
          <w:i/>
          <w:szCs w:val="24"/>
        </w:rPr>
        <w:t>ustawie z dnia 9</w:t>
      </w:r>
      <w:r>
        <w:rPr>
          <w:rFonts w:eastAsia="Times New Roman" w:cs="Times New Roman"/>
          <w:i/>
          <w:szCs w:val="24"/>
        </w:rPr>
        <w:t xml:space="preserve"> </w:t>
      </w:r>
      <w:r w:rsidR="008F3269">
        <w:rPr>
          <w:rFonts w:eastAsia="Times New Roman" w:cs="Times New Roman"/>
          <w:i/>
          <w:szCs w:val="24"/>
        </w:rPr>
        <w:t>października 2015</w:t>
      </w:r>
      <w:r w:rsidR="00F534FE">
        <w:rPr>
          <w:rFonts w:eastAsia="Times New Roman" w:cs="Times New Roman"/>
          <w:i/>
          <w:szCs w:val="24"/>
        </w:rPr>
        <w:t> </w:t>
      </w:r>
      <w:r w:rsidRPr="005D4AE4">
        <w:rPr>
          <w:rFonts w:eastAsia="Times New Roman" w:cs="Times New Roman"/>
          <w:i/>
          <w:szCs w:val="24"/>
        </w:rPr>
        <w:t>r. o rewitalizacji</w:t>
      </w:r>
      <w:r w:rsidRPr="005D4AE4">
        <w:rPr>
          <w:rFonts w:eastAsia="Times New Roman" w:cs="Times New Roman"/>
          <w:szCs w:val="24"/>
        </w:rPr>
        <w:t>). Przedmiotowy projekt adresuje te problemy w oparciu o</w:t>
      </w:r>
      <w:r w:rsidR="00F534FE">
        <w:rPr>
          <w:rFonts w:eastAsia="Times New Roman" w:cs="Times New Roman"/>
          <w:szCs w:val="24"/>
        </w:rPr>
        <w:t> </w:t>
      </w:r>
      <w:r w:rsidRPr="005D4AE4">
        <w:rPr>
          <w:rFonts w:eastAsia="Times New Roman" w:cs="Times New Roman"/>
          <w:szCs w:val="24"/>
        </w:rPr>
        <w:t>przeprowadzone szerokie analizy istniejących uwarunkowań prawnych.</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Dla zapewnienia skuteczności procesowi przygoto</w:t>
      </w:r>
      <w:r w:rsidR="00F534FE">
        <w:rPr>
          <w:rFonts w:eastAsia="Times New Roman" w:cs="Times New Roman"/>
          <w:szCs w:val="24"/>
        </w:rPr>
        <w:t>wania i realizacji inwestycji w </w:t>
      </w:r>
      <w:r w:rsidRPr="005D4AE4">
        <w:rPr>
          <w:rFonts w:eastAsia="Times New Roman" w:cs="Times New Roman"/>
          <w:szCs w:val="24"/>
        </w:rPr>
        <w:t>postaci międzykontynentalnego portu lotniczego połączonego z największym intermodalnym węzłem transportowym w kraju konieczne stało się wprowadzenie dodatkowych etapów proceduralnych zapewniających stopniowe przygotowanie bezprecedensowo dużego obszaru pod tego typu inwestycję, w połączeniu ze skoordynowaną realizacją przedsięwzięć, nie tylko o znaczeniu krajowym, wynikających z różnych dokumentów programowych i mających różnych inwestorów, ale również związanych z istotny</w:t>
      </w:r>
      <w:r w:rsidR="008F3269">
        <w:rPr>
          <w:rFonts w:eastAsia="Times New Roman" w:cs="Times New Roman"/>
          <w:szCs w:val="24"/>
        </w:rPr>
        <w:t>mi przemianami przestrzennymi w</w:t>
      </w:r>
      <w:r w:rsidR="00F534FE">
        <w:rPr>
          <w:rFonts w:eastAsia="Times New Roman" w:cs="Times New Roman"/>
          <w:szCs w:val="24"/>
        </w:rPr>
        <w:t xml:space="preserve"> </w:t>
      </w:r>
      <w:r w:rsidRPr="005D4AE4">
        <w:rPr>
          <w:rFonts w:eastAsia="Times New Roman" w:cs="Times New Roman"/>
          <w:szCs w:val="24"/>
        </w:rPr>
        <w:t>skali lokalnej (gmin).</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Rozproszenie aktorów instytucjonalnych, jak i wyko</w:t>
      </w:r>
      <w:r w:rsidR="008F3269">
        <w:rPr>
          <w:rFonts w:eastAsia="Times New Roman" w:cs="Times New Roman"/>
          <w:szCs w:val="24"/>
        </w:rPr>
        <w:t>nawców inwestycji powiązanych w</w:t>
      </w:r>
      <w:r w:rsidR="00F534FE">
        <w:rPr>
          <w:rFonts w:eastAsia="Times New Roman" w:cs="Times New Roman"/>
          <w:szCs w:val="24"/>
        </w:rPr>
        <w:t> </w:t>
      </w:r>
      <w:r w:rsidRPr="005D4AE4">
        <w:rPr>
          <w:rFonts w:eastAsia="Times New Roman" w:cs="Times New Roman"/>
          <w:szCs w:val="24"/>
        </w:rPr>
        <w:t>Programie, którego uchwalenie przewiduje ustawa, nakazuje podjęcie działań mających na celu wprowadzenie wspólnych reguł ładu organizacyjnego, pozwalających na skoordynowanie procesów zarządczych i</w:t>
      </w:r>
      <w:r>
        <w:rPr>
          <w:rFonts w:eastAsia="Times New Roman" w:cs="Times New Roman"/>
          <w:szCs w:val="24"/>
        </w:rPr>
        <w:t xml:space="preserve"> </w:t>
      </w:r>
      <w:r w:rsidRPr="005D4AE4">
        <w:rPr>
          <w:rFonts w:eastAsia="Times New Roman" w:cs="Times New Roman"/>
          <w:szCs w:val="24"/>
        </w:rPr>
        <w:t>ustalających Pełnomocnika w centrum tych procesów. Wyłącznie szerokie, horyzontalne działania wobec</w:t>
      </w:r>
      <w:r w:rsidR="008F3269">
        <w:rPr>
          <w:rFonts w:eastAsia="Times New Roman" w:cs="Times New Roman"/>
          <w:szCs w:val="24"/>
        </w:rPr>
        <w:t xml:space="preserve"> procesów infrastrukturalnych i</w:t>
      </w:r>
      <w:r w:rsidR="00F534FE">
        <w:rPr>
          <w:rFonts w:eastAsia="Times New Roman" w:cs="Times New Roman"/>
          <w:szCs w:val="24"/>
        </w:rPr>
        <w:t xml:space="preserve"> </w:t>
      </w:r>
      <w:r w:rsidRPr="005D4AE4">
        <w:rPr>
          <w:rFonts w:eastAsia="Times New Roman" w:cs="Times New Roman"/>
          <w:szCs w:val="24"/>
        </w:rPr>
        <w:t>rozwojowych, pozwolą na zapewnienie efektywnej kontroli publicznej nad tymi procesami.</w:t>
      </w:r>
    </w:p>
    <w:p w:rsidR="005D4AE4" w:rsidRPr="005D4AE4" w:rsidRDefault="005D4AE4" w:rsidP="00F534FE">
      <w:pPr>
        <w:keepNext/>
        <w:widowControl/>
        <w:spacing w:before="120"/>
        <w:jc w:val="both"/>
        <w:rPr>
          <w:rFonts w:eastAsia="Times New Roman" w:cs="Times New Roman"/>
          <w:b/>
          <w:szCs w:val="24"/>
        </w:rPr>
      </w:pPr>
      <w:r w:rsidRPr="005D4AE4">
        <w:rPr>
          <w:rFonts w:eastAsia="Times New Roman" w:cs="Times New Roman"/>
          <w:b/>
          <w:szCs w:val="24"/>
        </w:rPr>
        <w:lastRenderedPageBreak/>
        <w:t>Opis rozwiązań ustawy</w:t>
      </w:r>
    </w:p>
    <w:p w:rsidR="005D4AE4" w:rsidRPr="005D4AE4" w:rsidRDefault="005D4AE4" w:rsidP="00F534FE">
      <w:pPr>
        <w:keepNext/>
        <w:widowControl/>
        <w:spacing w:before="120"/>
        <w:jc w:val="both"/>
        <w:rPr>
          <w:rFonts w:eastAsia="Times New Roman" w:cs="Times New Roman"/>
          <w:b/>
          <w:szCs w:val="24"/>
        </w:rPr>
      </w:pPr>
      <w:r w:rsidRPr="005D4AE4">
        <w:rPr>
          <w:rFonts w:eastAsia="Times New Roman" w:cs="Times New Roman"/>
          <w:b/>
          <w:szCs w:val="24"/>
        </w:rPr>
        <w:t>Przepisy ogólne (Dział 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Dział I zawiera przepisy ogólne, w których określono cel i zakres ustawy, którymi są: określenie zasad i trybu zarządzania inwestycją w zakresie budowy Centralnego Portu Komunikacyjnego, a ponadto zasady i tryb przygotowania i realizacji</w:t>
      </w:r>
      <w:r>
        <w:rPr>
          <w:rFonts w:eastAsia="Times New Roman" w:cs="Times New Roman"/>
          <w:szCs w:val="24"/>
        </w:rPr>
        <w:t xml:space="preserve"> </w:t>
      </w:r>
      <w:r w:rsidR="00F534FE">
        <w:rPr>
          <w:rFonts w:eastAsia="Times New Roman" w:cs="Times New Roman"/>
          <w:szCs w:val="24"/>
        </w:rPr>
        <w:t>inwestycji w </w:t>
      </w:r>
      <w:r w:rsidRPr="005D4AE4">
        <w:rPr>
          <w:rFonts w:eastAsia="Times New Roman" w:cs="Times New Roman"/>
          <w:szCs w:val="24"/>
        </w:rPr>
        <w:t>zakresie Centralnego Portu Komunikacyjnego oraz Inwestycji Towarzyszących.</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Artykuł 2 projektowanej ustawy zawiera słowniczek pojęć użyty</w:t>
      </w:r>
      <w:r w:rsidR="00F534FE">
        <w:rPr>
          <w:rFonts w:eastAsia="Times New Roman" w:cs="Times New Roman"/>
          <w:szCs w:val="24"/>
        </w:rPr>
        <w:t>ch w ustawie. W </w:t>
      </w:r>
      <w:r w:rsidRPr="005D4AE4">
        <w:rPr>
          <w:rFonts w:eastAsia="Times New Roman" w:cs="Times New Roman"/>
          <w:szCs w:val="24"/>
        </w:rPr>
        <w:t xml:space="preserve">ustawie stosuje się pojęcia: Pełnomocnika – przez co należy rozumieć Pełnomocnika Rządu do spraw Centralnego Portu Komunikacyjnego, Spółki Celowej – przez którą należy rozumieć </w:t>
      </w:r>
      <w:r w:rsidR="008F3269">
        <w:rPr>
          <w:rFonts w:eastAsia="Times New Roman" w:cs="Times New Roman"/>
          <w:color w:val="000000" w:themeColor="text1"/>
          <w:szCs w:val="24"/>
        </w:rPr>
        <w:t>spółkę z</w:t>
      </w:r>
      <w:r w:rsidR="00F534FE">
        <w:rPr>
          <w:rFonts w:eastAsia="Times New Roman" w:cs="Times New Roman"/>
          <w:color w:val="000000" w:themeColor="text1"/>
          <w:szCs w:val="24"/>
        </w:rPr>
        <w:t xml:space="preserve"> </w:t>
      </w:r>
      <w:r w:rsidRPr="005D4AE4">
        <w:rPr>
          <w:rFonts w:eastAsia="Times New Roman" w:cs="Times New Roman"/>
          <w:color w:val="000000" w:themeColor="text1"/>
          <w:szCs w:val="24"/>
        </w:rPr>
        <w:t>ograniczoną odpowiedzialnością utworzoną przez Skarb Państwa w celu</w:t>
      </w:r>
      <w:r w:rsidRPr="005D4AE4">
        <w:rPr>
          <w:rFonts w:eastAsia="Times New Roman" w:cs="Times New Roman"/>
          <w:b/>
          <w:color w:val="000000" w:themeColor="text1"/>
          <w:szCs w:val="24"/>
        </w:rPr>
        <w:t xml:space="preserve"> </w:t>
      </w:r>
      <w:r w:rsidRPr="005D4AE4">
        <w:rPr>
          <w:rFonts w:eastAsia="Times New Roman" w:cs="Times New Roman"/>
          <w:color w:val="000000" w:themeColor="text1"/>
          <w:szCs w:val="24"/>
        </w:rPr>
        <w:t>zapewnienia przygotowania i realiza</w:t>
      </w:r>
      <w:r w:rsidR="00F534FE">
        <w:rPr>
          <w:rFonts w:eastAsia="Times New Roman" w:cs="Times New Roman"/>
          <w:color w:val="000000" w:themeColor="text1"/>
          <w:szCs w:val="24"/>
        </w:rPr>
        <w:t>cji Programu oraz koordynacji i </w:t>
      </w:r>
      <w:r w:rsidRPr="005D4AE4">
        <w:rPr>
          <w:rFonts w:eastAsia="Times New Roman" w:cs="Times New Roman"/>
          <w:color w:val="000000" w:themeColor="text1"/>
          <w:szCs w:val="24"/>
        </w:rPr>
        <w:t>kontroli realizacji Przedsięwzięć</w:t>
      </w:r>
      <w:r w:rsidRPr="005D4AE4">
        <w:rPr>
          <w:rFonts w:eastAsia="Times New Roman" w:cs="Times New Roman"/>
          <w:szCs w:val="24"/>
        </w:rPr>
        <w:t>”, Inwestycji – przez którą należy rozumieć</w:t>
      </w:r>
      <w:r w:rsidRPr="005D4AE4">
        <w:rPr>
          <w:rFonts w:cs="Times New Roman"/>
          <w:szCs w:val="24"/>
        </w:rPr>
        <w:t xml:space="preserve"> budowę CPK wraz z urządzeniami i obiektami niezbę</w:t>
      </w:r>
      <w:r w:rsidR="00F534FE">
        <w:rPr>
          <w:rFonts w:cs="Times New Roman"/>
          <w:szCs w:val="24"/>
        </w:rPr>
        <w:t>dnymi do jego funkcjonowania, w </w:t>
      </w:r>
      <w:r w:rsidRPr="005D4AE4">
        <w:rPr>
          <w:rFonts w:cs="Times New Roman"/>
          <w:szCs w:val="24"/>
        </w:rPr>
        <w:t>szczególności urządzeniami i obiektami do obsługi ruchu lotniczego w rozumieniu art. 2 pkt 8 ustawy z dnia 12 lutego 2009 r. o szczeg</w:t>
      </w:r>
      <w:r w:rsidR="00F534FE">
        <w:rPr>
          <w:rFonts w:cs="Times New Roman"/>
          <w:szCs w:val="24"/>
        </w:rPr>
        <w:t>ólnych zasadach przygotowania i </w:t>
      </w:r>
      <w:r w:rsidRPr="005D4AE4">
        <w:rPr>
          <w:rFonts w:cs="Times New Roman"/>
          <w:szCs w:val="24"/>
        </w:rPr>
        <w:t>realizacji inwestycji w zakresie lotnisk użytku publicznego</w:t>
      </w:r>
      <w:r>
        <w:rPr>
          <w:rFonts w:cs="Times New Roman"/>
          <w:szCs w:val="24"/>
        </w:rPr>
        <w:t xml:space="preserve"> </w:t>
      </w:r>
      <w:r w:rsidRPr="005D4AE4">
        <w:rPr>
          <w:rFonts w:cs="Times New Roman"/>
          <w:szCs w:val="24"/>
        </w:rPr>
        <w:t xml:space="preserve">oraz urządzeniami wodnymi w rozumieniu art. 16 pkt 95 </w:t>
      </w:r>
      <w:r>
        <w:rPr>
          <w:rFonts w:cs="Times New Roman"/>
          <w:szCs w:val="24"/>
        </w:rPr>
        <w:t>ustawy z dnia 20 lipca 2017 r. –</w:t>
      </w:r>
      <w:r w:rsidRPr="005D4AE4">
        <w:rPr>
          <w:rFonts w:cs="Times New Roman"/>
          <w:szCs w:val="24"/>
        </w:rPr>
        <w:t xml:space="preserve"> Prawo wodne </w:t>
      </w:r>
      <w:r w:rsidRPr="005D4AE4">
        <w:rPr>
          <w:rFonts w:eastAsia="Times New Roman" w:cs="Times New Roman"/>
          <w:szCs w:val="24"/>
        </w:rPr>
        <w:t>oraz Inwestycji Towarzyszącej – przez którą należy rozumieć inwestycje celu publicznego określone w rozporządzeniu Rady Ministrów, a dodatkowo również Przedsięwzięć – które należy rozumieć jako opisane w Programie: Inwestycję, Inwestycje Towarzyszące oraz pozostałe zadania.</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Ponadto, w słowniczku zawarto również definicje pojęć: Program – należy przez to rozumieć program wieloletni w rozumieniu usta</w:t>
      </w:r>
      <w:r w:rsidR="00F534FE">
        <w:rPr>
          <w:rFonts w:eastAsia="Times New Roman" w:cs="Times New Roman"/>
          <w:szCs w:val="24"/>
        </w:rPr>
        <w:t>wy z dnia 27 sierpnia 2009 r. o </w:t>
      </w:r>
      <w:r w:rsidRPr="005D4AE4">
        <w:rPr>
          <w:rFonts w:eastAsia="Times New Roman" w:cs="Times New Roman"/>
          <w:szCs w:val="24"/>
        </w:rPr>
        <w:t>finansach publicznych, obejmujący Inwestycję, Inwestycje Towarzyszące oraz in</w:t>
      </w:r>
      <w:r w:rsidR="008F3269">
        <w:rPr>
          <w:rFonts w:eastAsia="Times New Roman" w:cs="Times New Roman"/>
          <w:szCs w:val="24"/>
        </w:rPr>
        <w:t>ne zadania, w tym finansowane z</w:t>
      </w:r>
      <w:r w:rsidR="00F534FE">
        <w:rPr>
          <w:rFonts w:eastAsia="Times New Roman" w:cs="Times New Roman"/>
          <w:szCs w:val="24"/>
        </w:rPr>
        <w:t xml:space="preserve"> </w:t>
      </w:r>
      <w:r w:rsidRPr="005D4AE4">
        <w:rPr>
          <w:rFonts w:eastAsia="Times New Roman" w:cs="Times New Roman"/>
          <w:szCs w:val="24"/>
        </w:rPr>
        <w:t xml:space="preserve">budżetu państwa, określający charakterystykę inwestycji, ich rozmieszczenie, terminy realizacji oraz łączne nakłady z budżetu państwa na realizację, Dokument Wdrażający – należy przez to rozumieć dokument wykonawczy do Programu, zawierający w szczególności harmonogramy realizacji oraz budżety poszczególnych Przedsięwzięć, Inwestor – należy przez to rozumieć Spółkę Celową albo inny podmiot wymieniony w definicji, jeżeli </w:t>
      </w:r>
      <w:r w:rsidR="00CA1EDC">
        <w:rPr>
          <w:rFonts w:eastAsia="Times New Roman" w:cs="Times New Roman"/>
          <w:szCs w:val="24"/>
        </w:rPr>
        <w:t xml:space="preserve">przygotowuje lub </w:t>
      </w:r>
      <w:r w:rsidRPr="005D4AE4">
        <w:rPr>
          <w:rFonts w:eastAsia="Times New Roman" w:cs="Times New Roman"/>
          <w:szCs w:val="24"/>
        </w:rPr>
        <w:t>realizu</w:t>
      </w:r>
      <w:r w:rsidR="00F534FE">
        <w:rPr>
          <w:rFonts w:eastAsia="Times New Roman" w:cs="Times New Roman"/>
          <w:szCs w:val="24"/>
        </w:rPr>
        <w:t>je Przedsięwzięcia, a </w:t>
      </w:r>
      <w:r w:rsidRPr="005D4AE4">
        <w:rPr>
          <w:rFonts w:eastAsia="Times New Roman" w:cs="Times New Roman"/>
          <w:szCs w:val="24"/>
        </w:rPr>
        <w:t xml:space="preserve">dodatkowo Zasady Zarządzania – </w:t>
      </w:r>
      <w:r w:rsidRPr="005D4AE4">
        <w:rPr>
          <w:rFonts w:eastAsia="Times New Roman" w:cs="Times New Roman"/>
          <w:color w:val="000000" w:themeColor="text1"/>
          <w:szCs w:val="24"/>
        </w:rPr>
        <w:t xml:space="preserve">należy przez to </w:t>
      </w:r>
      <w:r w:rsidR="00F534FE">
        <w:rPr>
          <w:rFonts w:eastAsia="Times New Roman" w:cs="Times New Roman"/>
          <w:color w:val="000000" w:themeColor="text1"/>
          <w:szCs w:val="24"/>
        </w:rPr>
        <w:t>rozumieć ujednolicone warunki i </w:t>
      </w:r>
      <w:r w:rsidRPr="005D4AE4">
        <w:rPr>
          <w:rFonts w:eastAsia="Times New Roman" w:cs="Times New Roman"/>
          <w:color w:val="000000" w:themeColor="text1"/>
          <w:szCs w:val="24"/>
        </w:rPr>
        <w:t xml:space="preserve">procedury wdrażania Przedsięwzięć, określające zasady </w:t>
      </w:r>
      <w:r w:rsidRPr="005D4AE4">
        <w:rPr>
          <w:rFonts w:eastAsia="Times New Roman" w:cs="Times New Roman"/>
          <w:color w:val="000000" w:themeColor="text1"/>
          <w:szCs w:val="24"/>
        </w:rPr>
        <w:lastRenderedPageBreak/>
        <w:t>zarządzania Przedsięwzięciami, w tym zasady i tryb nadzoru nad realizacją Przedsięwzięć przez Inwestorów, informowania przez Wykonawców o postępach w</w:t>
      </w:r>
      <w:r w:rsidR="00CA1EDC">
        <w:rPr>
          <w:rFonts w:eastAsia="Times New Roman" w:cs="Times New Roman"/>
          <w:color w:val="000000" w:themeColor="text1"/>
          <w:szCs w:val="24"/>
        </w:rPr>
        <w:t> </w:t>
      </w:r>
      <w:r w:rsidRPr="005D4AE4">
        <w:rPr>
          <w:rFonts w:eastAsia="Times New Roman" w:cs="Times New Roman"/>
          <w:color w:val="000000" w:themeColor="text1"/>
          <w:szCs w:val="24"/>
        </w:rPr>
        <w:t>realizacji Przedsięwzięć oraz zasad współpracy i wymiany informacji pomiędzy Inwestorami</w:t>
      </w:r>
      <w:r w:rsidRPr="005D4AE4">
        <w:rPr>
          <w:rFonts w:eastAsia="Times New Roman" w:cs="Times New Roman"/>
          <w:szCs w:val="24"/>
        </w:rPr>
        <w:t>.</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Dla celów zarządzania nieruchomościami nabywanymi na potrzeby realizacji Przedsięwzięć, projekt ustawy przewiduje rów</w:t>
      </w:r>
      <w:r w:rsidR="00F534FE">
        <w:rPr>
          <w:rFonts w:eastAsia="Times New Roman" w:cs="Times New Roman"/>
          <w:szCs w:val="24"/>
        </w:rPr>
        <w:t>nież definicję nieruchomości o </w:t>
      </w:r>
      <w:r w:rsidRPr="005D4AE4">
        <w:rPr>
          <w:rFonts w:eastAsia="Times New Roman" w:cs="Times New Roman"/>
          <w:szCs w:val="24"/>
        </w:rPr>
        <w:t>nieuregulowanym stanie prawnym – przez którą należy rozumieć nieruchomość, dla której, ze względu na brak księgi wieczystej, zbioru dokumentów albo innych dokumentów, nie można ustalić osób, którym przysługują do niej prawa r</w:t>
      </w:r>
      <w:r w:rsidR="00F534FE">
        <w:rPr>
          <w:rFonts w:eastAsia="Times New Roman" w:cs="Times New Roman"/>
          <w:szCs w:val="24"/>
        </w:rPr>
        <w:t>zeczowe, a </w:t>
      </w:r>
      <w:r w:rsidRPr="005D4AE4">
        <w:rPr>
          <w:rFonts w:eastAsia="Times New Roman" w:cs="Times New Roman"/>
          <w:szCs w:val="24"/>
        </w:rPr>
        <w:t>także nieruchomość, której dotychczasowy właściciel lub użytkownik wieczysty nieruchomości nie żyje a spadkobiercy nie wykazali prawa do spadku. Dodatkowo przewidziano również definicję Zasobu – przez który należy rozumieć nieruchomości będące własnością Spółki Celowej oraz nieruchomości Skarbu Państwa oddanych w użytkowanie wieczyste lub</w:t>
      </w:r>
      <w:r>
        <w:rPr>
          <w:rFonts w:eastAsia="Times New Roman" w:cs="Times New Roman"/>
          <w:szCs w:val="24"/>
        </w:rPr>
        <w:t xml:space="preserve"> </w:t>
      </w:r>
      <w:r w:rsidRPr="005D4AE4">
        <w:rPr>
          <w:rFonts w:eastAsia="Times New Roman" w:cs="Times New Roman"/>
          <w:szCs w:val="24"/>
        </w:rPr>
        <w:t>którym gospodaruje Spółka Celowa. Z kolei dla potrzeb realizacji inwestycji wskazano dodatkowo na definicję sieci przez co należy</w:t>
      </w:r>
      <w:r w:rsidRPr="005D4AE4">
        <w:rPr>
          <w:rFonts w:eastAsia="Times New Roman" w:cs="Times New Roman"/>
          <w:color w:val="000000" w:themeColor="text1"/>
          <w:szCs w:val="24"/>
        </w:rPr>
        <w:t xml:space="preserve"> rozumieć, stanowiące cele publiczne, sieci przesyłowe oraz dystrybucyjne energii elektrycznej, gazu, ciepła, wody, pary lub innych płynów albo ga</w:t>
      </w:r>
      <w:r w:rsidR="00F534FE">
        <w:rPr>
          <w:rFonts w:eastAsia="Times New Roman" w:cs="Times New Roman"/>
          <w:color w:val="000000" w:themeColor="text1"/>
          <w:szCs w:val="24"/>
        </w:rPr>
        <w:t>zów, sieci telekomunikacyjne, a </w:t>
      </w:r>
      <w:r w:rsidRPr="005D4AE4">
        <w:rPr>
          <w:rFonts w:eastAsia="Times New Roman" w:cs="Times New Roman"/>
          <w:color w:val="000000" w:themeColor="text1"/>
          <w:szCs w:val="24"/>
        </w:rPr>
        <w:t>także sieci kanalizacyjne.</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W art. 3 ustawy przewidziano, że </w:t>
      </w:r>
      <w:r w:rsidRPr="005D4AE4">
        <w:rPr>
          <w:rFonts w:eastAsia="Times New Roman" w:cs="Times New Roman"/>
          <w:color w:val="000000" w:themeColor="text1"/>
          <w:szCs w:val="24"/>
          <w:lang w:val="pl"/>
        </w:rPr>
        <w:t>realizacja Inwestycji stanowi cel publiczny</w:t>
      </w:r>
      <w:r w:rsidR="00F534FE">
        <w:rPr>
          <w:rFonts w:eastAsia="Times New Roman" w:cs="Times New Roman"/>
          <w:color w:val="000000" w:themeColor="text1"/>
          <w:szCs w:val="24"/>
          <w:lang w:val="pl"/>
        </w:rPr>
        <w:t xml:space="preserve"> w </w:t>
      </w:r>
      <w:r w:rsidRPr="005D4AE4">
        <w:rPr>
          <w:rFonts w:eastAsia="Times New Roman" w:cs="Times New Roman"/>
          <w:color w:val="000000" w:themeColor="text1"/>
          <w:szCs w:val="24"/>
          <w:lang w:val="pl"/>
        </w:rPr>
        <w:t>rozumieniu przepisów ustawy z dnia 21 sierpnia 1997 r. o gospodarce n</w:t>
      </w:r>
      <w:r w:rsidR="008F3269">
        <w:rPr>
          <w:rFonts w:eastAsia="Times New Roman" w:cs="Times New Roman"/>
          <w:color w:val="000000" w:themeColor="text1"/>
          <w:szCs w:val="24"/>
          <w:lang w:val="pl"/>
        </w:rPr>
        <w:t>ieruchomościami, co przesądza o</w:t>
      </w:r>
      <w:r w:rsidR="00F534FE">
        <w:rPr>
          <w:rFonts w:eastAsia="Times New Roman" w:cs="Times New Roman"/>
          <w:color w:val="000000" w:themeColor="text1"/>
          <w:szCs w:val="24"/>
          <w:lang w:val="pl"/>
        </w:rPr>
        <w:t xml:space="preserve"> </w:t>
      </w:r>
      <w:r w:rsidRPr="005D4AE4">
        <w:rPr>
          <w:rFonts w:eastAsia="Times New Roman" w:cs="Times New Roman"/>
          <w:color w:val="000000" w:themeColor="text1"/>
          <w:szCs w:val="24"/>
          <w:lang w:val="pl"/>
        </w:rPr>
        <w:t>możliwości dokonania wywłaszczeń nieruchomości na cele realizacji tych inwestycji. Wskazano też, że w sprawach nieuregulowanych niniejszą ustawą, stosuje się odpowiednio przepisy ustawy z dnia 7 lipca 1994 r. – Prawo budowlane, ustawy z dnia 21 sierpnia 1997 r. o gospodarce nieruchomościami oraz ustawy z dnia 10 czerwca 1960 r. – Kodeks postępowania administracyjnego.</w:t>
      </w:r>
      <w:r w:rsidR="00F534FE">
        <w:rPr>
          <w:rFonts w:eastAsia="Times New Roman" w:cs="Times New Roman"/>
          <w:szCs w:val="24"/>
          <w:lang w:val="pl"/>
        </w:rPr>
        <w:t xml:space="preserve"> W </w:t>
      </w:r>
      <w:r w:rsidRPr="005D4AE4">
        <w:rPr>
          <w:rFonts w:eastAsia="Times New Roman" w:cs="Times New Roman"/>
          <w:szCs w:val="24"/>
          <w:lang w:val="pl"/>
        </w:rPr>
        <w:t>przypadku sporządzani</w:t>
      </w:r>
      <w:r w:rsidR="008F3269">
        <w:rPr>
          <w:rFonts w:eastAsia="Times New Roman" w:cs="Times New Roman"/>
          <w:szCs w:val="24"/>
          <w:lang w:val="pl"/>
        </w:rPr>
        <w:t>a analiz rynku nieruchomości, o</w:t>
      </w:r>
      <w:r w:rsidR="00F534FE">
        <w:rPr>
          <w:rFonts w:eastAsia="Times New Roman" w:cs="Times New Roman"/>
          <w:szCs w:val="24"/>
          <w:lang w:val="pl"/>
        </w:rPr>
        <w:t xml:space="preserve"> </w:t>
      </w:r>
      <w:r w:rsidRPr="005D4AE4">
        <w:rPr>
          <w:rFonts w:eastAsia="Times New Roman" w:cs="Times New Roman"/>
          <w:szCs w:val="24"/>
          <w:lang w:val="pl"/>
        </w:rPr>
        <w:t>których mowa w art. 4</w:t>
      </w:r>
      <w:r w:rsidR="00CA1EDC">
        <w:rPr>
          <w:rFonts w:eastAsia="Times New Roman" w:cs="Times New Roman"/>
          <w:szCs w:val="24"/>
          <w:lang w:val="pl"/>
        </w:rPr>
        <w:t>7</w:t>
      </w:r>
      <w:r w:rsidRPr="005D4AE4">
        <w:rPr>
          <w:rFonts w:eastAsia="Times New Roman" w:cs="Times New Roman"/>
          <w:szCs w:val="24"/>
          <w:lang w:val="pl"/>
        </w:rPr>
        <w:t xml:space="preserve"> stosuje się odpowiednio przepisy ustawy z dnia 21 sierpnia 1997 r. o gospodarce nieruchomościami dotyczące analiz rynku nieruchomości na potrzeby wyceny nieruchomości. Oznacza to, że przy przygotowywaniu a</w:t>
      </w:r>
      <w:r w:rsidR="008F3269">
        <w:rPr>
          <w:rFonts w:eastAsia="Times New Roman" w:cs="Times New Roman"/>
          <w:szCs w:val="24"/>
          <w:lang w:val="pl"/>
        </w:rPr>
        <w:t>naliz należy stosować pojęcia i</w:t>
      </w:r>
      <w:r w:rsidR="00F534FE">
        <w:rPr>
          <w:rFonts w:eastAsia="Times New Roman" w:cs="Times New Roman"/>
          <w:szCs w:val="24"/>
          <w:lang w:val="pl"/>
        </w:rPr>
        <w:t> </w:t>
      </w:r>
      <w:r w:rsidRPr="005D4AE4">
        <w:rPr>
          <w:rFonts w:eastAsia="Times New Roman" w:cs="Times New Roman"/>
          <w:szCs w:val="24"/>
          <w:lang w:val="pl"/>
        </w:rPr>
        <w:t>mechanizmy opisane zarówno w ustawie o g</w:t>
      </w:r>
      <w:r w:rsidR="008F3269">
        <w:rPr>
          <w:rFonts w:eastAsia="Times New Roman" w:cs="Times New Roman"/>
          <w:szCs w:val="24"/>
          <w:lang w:val="pl"/>
        </w:rPr>
        <w:t>ospodarce nieruchomościami (np.</w:t>
      </w:r>
      <w:r w:rsidR="00F534FE">
        <w:rPr>
          <w:rFonts w:eastAsia="Times New Roman" w:cs="Times New Roman"/>
          <w:szCs w:val="24"/>
          <w:lang w:val="pl"/>
        </w:rPr>
        <w:t> </w:t>
      </w:r>
      <w:r w:rsidRPr="005D4AE4">
        <w:rPr>
          <w:rFonts w:eastAsia="Times New Roman" w:cs="Times New Roman"/>
          <w:szCs w:val="24"/>
          <w:lang w:val="pl"/>
        </w:rPr>
        <w:t>nieruchomość podobna, obowiązek aktualizacji cen na datę przeprowadzenia analizy), jak i w akcie wykonawczym do tej ustawy (np</w:t>
      </w:r>
      <w:r w:rsidR="00F534FE">
        <w:rPr>
          <w:rFonts w:eastAsia="Times New Roman" w:cs="Times New Roman"/>
          <w:szCs w:val="24"/>
          <w:lang w:val="pl"/>
        </w:rPr>
        <w:t>. dotyczące źródeł informacji o </w:t>
      </w:r>
      <w:r w:rsidRPr="005D4AE4">
        <w:rPr>
          <w:rFonts w:eastAsia="Times New Roman" w:cs="Times New Roman"/>
          <w:szCs w:val="24"/>
          <w:lang w:val="pl"/>
        </w:rPr>
        <w:t>cenach transakcyjnych).</w:t>
      </w:r>
    </w:p>
    <w:p w:rsidR="005D4AE4" w:rsidRPr="005D4AE4" w:rsidRDefault="005D4AE4" w:rsidP="005D4AE4">
      <w:pPr>
        <w:spacing w:before="120"/>
        <w:jc w:val="both"/>
        <w:rPr>
          <w:rFonts w:eastAsia="Times New Roman" w:cs="Times New Roman"/>
          <w:b/>
          <w:szCs w:val="24"/>
        </w:rPr>
      </w:pPr>
      <w:r w:rsidRPr="005D4AE4">
        <w:rPr>
          <w:rFonts w:eastAsia="Times New Roman" w:cs="Times New Roman"/>
          <w:b/>
          <w:szCs w:val="24"/>
        </w:rPr>
        <w:lastRenderedPageBreak/>
        <w:t>Część ustrojowa (Dział II)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Dział II projektowanej ustawy został podzielony na 4 rozdział</w:t>
      </w:r>
      <w:r w:rsidR="00D7688E">
        <w:rPr>
          <w:rFonts w:eastAsia="Times New Roman" w:cs="Times New Roman"/>
          <w:szCs w:val="24"/>
        </w:rPr>
        <w:t>y</w:t>
      </w:r>
      <w:r w:rsidRPr="005D4AE4">
        <w:rPr>
          <w:rFonts w:eastAsia="Times New Roman" w:cs="Times New Roman"/>
          <w:szCs w:val="24"/>
        </w:rPr>
        <w:t>. W Rozdziale I – Pełnomocnik,</w:t>
      </w:r>
      <w:r>
        <w:rPr>
          <w:rFonts w:eastAsia="Times New Roman" w:cs="Times New Roman"/>
          <w:szCs w:val="24"/>
        </w:rPr>
        <w:t xml:space="preserve"> </w:t>
      </w:r>
      <w:r w:rsidRPr="005D4AE4">
        <w:rPr>
          <w:rFonts w:eastAsia="Times New Roman" w:cs="Times New Roman"/>
          <w:szCs w:val="24"/>
        </w:rPr>
        <w:t xml:space="preserve">w celu nadzoru nad przygotowaniem i realizacją Programu ustanawia się Pełnomocnika. Pełnomocnikiem jest sekretarz </w:t>
      </w:r>
      <w:r w:rsidR="00F534FE">
        <w:rPr>
          <w:rFonts w:eastAsia="Times New Roman" w:cs="Times New Roman"/>
          <w:szCs w:val="24"/>
        </w:rPr>
        <w:t xml:space="preserve">stanu </w:t>
      </w:r>
      <w:r w:rsidR="00CA1EDC">
        <w:rPr>
          <w:rFonts w:eastAsia="Times New Roman" w:cs="Times New Roman"/>
          <w:szCs w:val="24"/>
        </w:rPr>
        <w:t>albo</w:t>
      </w:r>
      <w:r w:rsidR="00F534FE">
        <w:rPr>
          <w:rFonts w:eastAsia="Times New Roman" w:cs="Times New Roman"/>
          <w:szCs w:val="24"/>
        </w:rPr>
        <w:t xml:space="preserve"> podsekretarz stanu w </w:t>
      </w:r>
      <w:r w:rsidRPr="005D4AE4">
        <w:rPr>
          <w:rFonts w:eastAsia="Times New Roman" w:cs="Times New Roman"/>
          <w:szCs w:val="24"/>
        </w:rPr>
        <w:t>ministerstwie obsługującym ministra właściwego do spraw transportu. Pełnomocnika powołuje i odwołuje Prezes Rady Ministrów.</w:t>
      </w:r>
    </w:p>
    <w:p w:rsidR="005D4AE4" w:rsidRPr="005D4AE4" w:rsidRDefault="005D4AE4" w:rsidP="005D4AE4">
      <w:pPr>
        <w:spacing w:before="120"/>
        <w:jc w:val="both"/>
        <w:rPr>
          <w:rFonts w:eastAsia="Times New Roman" w:cs="Times New Roman"/>
          <w:b/>
          <w:szCs w:val="24"/>
        </w:rPr>
      </w:pPr>
      <w:r w:rsidRPr="005D4AE4">
        <w:rPr>
          <w:rFonts w:eastAsia="Times New Roman" w:cs="Times New Roman"/>
          <w:b/>
          <w:szCs w:val="24"/>
        </w:rPr>
        <w:t>Pełnomocnik</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Do kompetencji Pełnomocnika należy w szczególności: przygotowanie projektu rozporządzenia, dot. przygotowania obszaru inwestycji; przygotowanie projektów innych dokumentów rządowych koniecznych do wdrożenia Programu, w szczególności programów wieloletnich i innych dokumentów strategicznych oraz projektów aktów normatywnych; zatwierdzenie Dokumentu Wdrażającego; zatwierdzenie Zasad Zarządzania oraz nadzór nad ich przestrzeganiem; </w:t>
      </w:r>
      <w:r w:rsidRPr="005D4AE4">
        <w:rPr>
          <w:rFonts w:eastAsia="Times New Roman" w:cs="Times New Roman"/>
          <w:color w:val="000000" w:themeColor="text1"/>
          <w:szCs w:val="24"/>
        </w:rPr>
        <w:t>dążenie do zapewnienia jednolitego stosowania przepisów niniejszej ustawy</w:t>
      </w:r>
      <w:r w:rsidRPr="005D4AE4">
        <w:rPr>
          <w:rFonts w:eastAsia="Times New Roman" w:cs="Times New Roman"/>
          <w:szCs w:val="24"/>
        </w:rPr>
        <w:t>; w określonych w ustawie przypadkach, odwoływanie członka zarządu Spółki Celowej; wyrażanie zgody na zlecenie, w drodze porozumienia, przez Spółkę Celową wyk</w:t>
      </w:r>
      <w:r w:rsidR="00F534FE">
        <w:rPr>
          <w:rFonts w:eastAsia="Times New Roman" w:cs="Times New Roman"/>
          <w:szCs w:val="24"/>
        </w:rPr>
        <w:t>onywania jej zadań związanych z </w:t>
      </w:r>
      <w:r w:rsidRPr="005D4AE4">
        <w:rPr>
          <w:rFonts w:eastAsia="Times New Roman" w:cs="Times New Roman"/>
          <w:szCs w:val="24"/>
        </w:rPr>
        <w:t xml:space="preserve">gospodarowaniem Zasobem. Ponadto, projekt przewiduje, że </w:t>
      </w:r>
      <w:r w:rsidRPr="005D4AE4">
        <w:rPr>
          <w:rFonts w:eastAsia="Times New Roman" w:cs="Times New Roman"/>
          <w:color w:val="000000" w:themeColor="text1"/>
          <w:szCs w:val="24"/>
        </w:rPr>
        <w:t>minister właściwy do spraw transportu wykonuje swoje zadania w odniesieniu do Polskiej Agencji Żeglugi Powietrznej i Przedsiębiorstwa Państwowego „Porty Lotnicze” oraz</w:t>
      </w:r>
      <w:r>
        <w:rPr>
          <w:rFonts w:eastAsia="Times New Roman" w:cs="Times New Roman"/>
          <w:color w:val="000000" w:themeColor="text1"/>
          <w:szCs w:val="24"/>
        </w:rPr>
        <w:t xml:space="preserve"> </w:t>
      </w:r>
      <w:r w:rsidRPr="005D4AE4">
        <w:rPr>
          <w:rFonts w:eastAsia="Times New Roman" w:cs="Times New Roman"/>
          <w:color w:val="000000" w:themeColor="text1"/>
          <w:szCs w:val="24"/>
        </w:rPr>
        <w:t xml:space="preserve">w zakresie nadzoru nad Prezesem Urzędu Lotnictwa Cywilnego przy pomocy sekretarza albo podsekretarza stanu będącego Pełnomocnikiem.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Przewiduje się, że projekty zmian rządowych dokumentów strategicznych w zakresie infrastruktury transportowej, w szczególności </w:t>
      </w:r>
      <w:r w:rsidR="00F534FE">
        <w:rPr>
          <w:rFonts w:eastAsia="Times New Roman" w:cs="Times New Roman"/>
          <w:szCs w:val="24"/>
        </w:rPr>
        <w:t>Krajowego Programu Kolejowego i </w:t>
      </w:r>
      <w:r w:rsidRPr="005D4AE4">
        <w:rPr>
          <w:rFonts w:eastAsia="Times New Roman" w:cs="Times New Roman"/>
          <w:szCs w:val="24"/>
        </w:rPr>
        <w:t>Programu Budowy Dróg jest w zakresie objętym Programem są opiniowane przez Pełnomocnika</w:t>
      </w:r>
      <w:r w:rsidRPr="005D4AE4">
        <w:rPr>
          <w:rFonts w:eastAsia="Times New Roman" w:cs="Times New Roman"/>
          <w:color w:val="000000" w:themeColor="text1"/>
          <w:szCs w:val="24"/>
        </w:rPr>
        <w:t xml:space="preserve"> przed ich przedłożeniem Radzie Ministrów</w:t>
      </w:r>
      <w:r w:rsidRPr="005D4AE4">
        <w:rPr>
          <w:rFonts w:eastAsia="Times New Roman" w:cs="Times New Roman"/>
          <w:szCs w:val="24"/>
        </w:rPr>
        <w:t>. Ponadto, zobowiązano również organy administracji publicznej oraz jednostki im podległe i przez nie nadzorowane do współdziałania i udzielania pomocy Pełnomocnikowi, w szczególności przez udostępnianie mu informacji i dokumentów niezbędnych do realizacji jego zadań. Pełnomocnik ma być uprawniony do występowania do właściwych organów administracji rządowej, wskazując problemy należące do obszaru jego właściwości, których rozwiązanie należy do kompeten</w:t>
      </w:r>
      <w:r w:rsidR="008F3269">
        <w:rPr>
          <w:rFonts w:eastAsia="Times New Roman" w:cs="Times New Roman"/>
          <w:szCs w:val="24"/>
        </w:rPr>
        <w:t>cji tych organów, z wnioskiem o</w:t>
      </w:r>
      <w:r w:rsidR="00F534FE">
        <w:rPr>
          <w:rFonts w:eastAsia="Times New Roman" w:cs="Times New Roman"/>
          <w:szCs w:val="24"/>
        </w:rPr>
        <w:t xml:space="preserve"> </w:t>
      </w:r>
      <w:r w:rsidRPr="005D4AE4">
        <w:rPr>
          <w:rFonts w:eastAsia="Times New Roman" w:cs="Times New Roman"/>
          <w:szCs w:val="24"/>
        </w:rPr>
        <w:t xml:space="preserve">rozpatrzenie sprawy i zajęcie stanowiska. Organy zajmują stanowisko w sprawie przedstawionej </w:t>
      </w:r>
      <w:r w:rsidRPr="005D4AE4">
        <w:rPr>
          <w:rFonts w:eastAsia="Times New Roman" w:cs="Times New Roman"/>
          <w:szCs w:val="24"/>
        </w:rPr>
        <w:lastRenderedPageBreak/>
        <w:t>przez Pełnomocnika niezwłocznie, nie później niż w te</w:t>
      </w:r>
      <w:r w:rsidR="00F534FE">
        <w:rPr>
          <w:rFonts w:eastAsia="Times New Roman" w:cs="Times New Roman"/>
          <w:szCs w:val="24"/>
        </w:rPr>
        <w:t>rminie miesiąca. Pełnomocnik, w </w:t>
      </w:r>
      <w:r w:rsidRPr="005D4AE4">
        <w:rPr>
          <w:rFonts w:eastAsia="Times New Roman" w:cs="Times New Roman"/>
          <w:szCs w:val="24"/>
        </w:rPr>
        <w:t>celu właściwej realizacji powierzonych</w:t>
      </w:r>
      <w:r w:rsidR="008F3269">
        <w:rPr>
          <w:rFonts w:eastAsia="Times New Roman" w:cs="Times New Roman"/>
          <w:szCs w:val="24"/>
        </w:rPr>
        <w:t xml:space="preserve"> mu zadań, może współpracować z</w:t>
      </w:r>
      <w:r w:rsidR="00F534FE">
        <w:rPr>
          <w:rFonts w:eastAsia="Times New Roman" w:cs="Times New Roman"/>
          <w:szCs w:val="24"/>
        </w:rPr>
        <w:t xml:space="preserve"> </w:t>
      </w:r>
      <w:r w:rsidRPr="005D4AE4">
        <w:rPr>
          <w:rFonts w:eastAsia="Times New Roman" w:cs="Times New Roman"/>
          <w:szCs w:val="24"/>
        </w:rPr>
        <w:t>organami publicznymi, państwowymi osobami prawnymi, osobami prawnymi z udziałem Skarbu Państwa oraz organizacjami pozarządowymi i innymi jednostkami organizacyjnymi.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ustawie umożliwiono Pełnomocnikowi, w zakresie powierzonych mu zadań, powoływanie zespołów eksperckich i doradczych oraz zlecanie przeprowadzania ekspertyz. Pełnomocnik może również występować do właściwych podmiotów by ich pracownicy r</w:t>
      </w:r>
      <w:r w:rsidR="00CA1EDC">
        <w:rPr>
          <w:rFonts w:eastAsia="Times New Roman" w:cs="Times New Roman"/>
          <w:szCs w:val="24"/>
        </w:rPr>
        <w:t>ealizowali zadania w zespołach</w:t>
      </w:r>
      <w:r w:rsidRPr="005D4AE4">
        <w:rPr>
          <w:rFonts w:eastAsia="Times New Roman" w:cs="Times New Roman"/>
          <w:szCs w:val="24"/>
        </w:rPr>
        <w:t>.</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Przewiduje się ponadto powołanie przy Pełnomocniku Rady do spraw budowy Centralnego Portu Komunikacyjnego dla Rzeczypospolitej Polskiej. Członków Rady powołuje Pełnomocnik spośród osób wyróżniającyc</w:t>
      </w:r>
      <w:r w:rsidR="00F534FE">
        <w:rPr>
          <w:rFonts w:eastAsia="Times New Roman" w:cs="Times New Roman"/>
          <w:szCs w:val="24"/>
        </w:rPr>
        <w:t>h się wiedzą i doświadczeniem w </w:t>
      </w:r>
      <w:r w:rsidRPr="005D4AE4">
        <w:rPr>
          <w:rFonts w:eastAsia="Times New Roman" w:cs="Times New Roman"/>
          <w:szCs w:val="24"/>
        </w:rPr>
        <w:t>zakresie procesów inwestycyjnych, finansów, prawa, architektury, urbanistyki, stosunków międzynarodowych, transportu</w:t>
      </w:r>
      <w:r w:rsidRPr="005D4AE4">
        <w:rPr>
          <w:rFonts w:eastAsia="Times New Roman" w:cs="Times New Roman"/>
          <w:color w:val="000000" w:themeColor="text1"/>
          <w:szCs w:val="24"/>
        </w:rPr>
        <w:t>, ochrony przeciwpożarowej i bezpieczeństwa wewnętrznego</w:t>
      </w:r>
      <w:r w:rsidRPr="005D4AE4">
        <w:rPr>
          <w:rFonts w:eastAsia="Times New Roman" w:cs="Times New Roman"/>
          <w:szCs w:val="24"/>
        </w:rPr>
        <w:t xml:space="preserve">. </w:t>
      </w:r>
      <w:r w:rsidRPr="005D4AE4">
        <w:rPr>
          <w:rFonts w:eastAsia="Times New Roman" w:cs="Times New Roman"/>
          <w:color w:val="000000" w:themeColor="text1"/>
          <w:szCs w:val="24"/>
          <w:lang w:val="pl"/>
        </w:rPr>
        <w:t>Minister właściwy ds. transportu ustala, w drodze zarządzenia, regulamin określający organizację i tryb działania Rady.</w:t>
      </w:r>
      <w:r w:rsidRPr="005D4AE4">
        <w:rPr>
          <w:rFonts w:eastAsia="Times New Roman" w:cs="Times New Roman"/>
          <w:szCs w:val="24"/>
        </w:rPr>
        <w:t xml:space="preserve"> Członkowie Rady mogą być w</w:t>
      </w:r>
      <w:r w:rsidR="00F534FE">
        <w:rPr>
          <w:rFonts w:eastAsia="Times New Roman" w:cs="Times New Roman"/>
          <w:szCs w:val="24"/>
        </w:rPr>
        <w:t> </w:t>
      </w:r>
      <w:r w:rsidRPr="005D4AE4">
        <w:rPr>
          <w:rFonts w:eastAsia="Times New Roman" w:cs="Times New Roman"/>
          <w:szCs w:val="24"/>
        </w:rPr>
        <w:t>każdej chwili odwołani z jej składu przez Pełnomocnika. Rada miałaby być organem doradczym i</w:t>
      </w:r>
      <w:r>
        <w:rPr>
          <w:rFonts w:eastAsia="Times New Roman" w:cs="Times New Roman"/>
          <w:szCs w:val="24"/>
        </w:rPr>
        <w:t xml:space="preserve"> </w:t>
      </w:r>
      <w:r w:rsidRPr="005D4AE4">
        <w:rPr>
          <w:rFonts w:eastAsia="Times New Roman" w:cs="Times New Roman"/>
          <w:szCs w:val="24"/>
        </w:rPr>
        <w:t>opiniodawczym Pełnomocnika. Członkowie Rady mają pełnić swoją funkcję społecznie, przy czym przewidziano</w:t>
      </w:r>
      <w:r>
        <w:rPr>
          <w:rFonts w:eastAsia="Times New Roman" w:cs="Times New Roman"/>
          <w:szCs w:val="24"/>
        </w:rPr>
        <w:t xml:space="preserve"> </w:t>
      </w:r>
      <w:r w:rsidRPr="005D4AE4">
        <w:rPr>
          <w:rFonts w:eastAsia="Times New Roman" w:cs="Times New Roman"/>
          <w:color w:val="000000" w:themeColor="text1"/>
          <w:szCs w:val="24"/>
          <w:lang w:val="pl"/>
        </w:rPr>
        <w:t>zwrot</w:t>
      </w:r>
      <w:r>
        <w:rPr>
          <w:rFonts w:eastAsia="Times New Roman" w:cs="Times New Roman"/>
          <w:color w:val="000000" w:themeColor="text1"/>
          <w:szCs w:val="24"/>
          <w:lang w:val="pl"/>
        </w:rPr>
        <w:t xml:space="preserve"> </w:t>
      </w:r>
      <w:r w:rsidRPr="005D4AE4">
        <w:rPr>
          <w:rFonts w:eastAsia="Times New Roman" w:cs="Times New Roman"/>
          <w:color w:val="000000" w:themeColor="text1"/>
          <w:szCs w:val="24"/>
          <w:lang w:val="pl"/>
        </w:rPr>
        <w:t>kosztów</w:t>
      </w:r>
      <w:r>
        <w:rPr>
          <w:rFonts w:eastAsia="Times New Roman" w:cs="Times New Roman"/>
          <w:color w:val="000000" w:themeColor="text1"/>
          <w:szCs w:val="24"/>
          <w:lang w:val="pl"/>
        </w:rPr>
        <w:t xml:space="preserve"> </w:t>
      </w:r>
      <w:r w:rsidRPr="005D4AE4">
        <w:rPr>
          <w:rFonts w:eastAsia="Times New Roman" w:cs="Times New Roman"/>
          <w:color w:val="000000" w:themeColor="text1"/>
          <w:szCs w:val="24"/>
          <w:lang w:val="pl"/>
        </w:rPr>
        <w:t>podróży</w:t>
      </w:r>
      <w:r>
        <w:rPr>
          <w:rFonts w:eastAsia="Times New Roman" w:cs="Times New Roman"/>
          <w:color w:val="000000" w:themeColor="text1"/>
          <w:szCs w:val="24"/>
          <w:lang w:val="pl"/>
        </w:rPr>
        <w:t xml:space="preserve"> </w:t>
      </w:r>
      <w:r w:rsidRPr="005D4AE4">
        <w:rPr>
          <w:rFonts w:eastAsia="Times New Roman" w:cs="Times New Roman"/>
          <w:color w:val="000000" w:themeColor="text1"/>
          <w:szCs w:val="24"/>
          <w:lang w:val="pl"/>
        </w:rPr>
        <w:t>członkom</w:t>
      </w:r>
      <w:r>
        <w:rPr>
          <w:rFonts w:eastAsia="Times New Roman" w:cs="Times New Roman"/>
          <w:color w:val="000000" w:themeColor="text1"/>
          <w:szCs w:val="24"/>
          <w:lang w:val="pl"/>
        </w:rPr>
        <w:t xml:space="preserve"> </w:t>
      </w:r>
      <w:r w:rsidRPr="005D4AE4">
        <w:rPr>
          <w:rFonts w:eastAsia="Times New Roman" w:cs="Times New Roman"/>
          <w:color w:val="000000" w:themeColor="text1"/>
          <w:szCs w:val="24"/>
          <w:lang w:val="pl"/>
        </w:rPr>
        <w:t>Rady na zasadach określonych w przepisach</w:t>
      </w:r>
      <w:r>
        <w:rPr>
          <w:rFonts w:eastAsia="Times New Roman" w:cs="Times New Roman"/>
          <w:color w:val="000000" w:themeColor="text1"/>
          <w:szCs w:val="24"/>
          <w:lang w:val="pl"/>
        </w:rPr>
        <w:t xml:space="preserve"> </w:t>
      </w:r>
      <w:r w:rsidRPr="005D4AE4">
        <w:rPr>
          <w:rFonts w:eastAsia="Times New Roman" w:cs="Times New Roman"/>
          <w:color w:val="000000" w:themeColor="text1"/>
          <w:szCs w:val="24"/>
          <w:lang w:val="pl"/>
        </w:rPr>
        <w:t>wydanych</w:t>
      </w:r>
      <w:r>
        <w:rPr>
          <w:rFonts w:eastAsia="Times New Roman" w:cs="Times New Roman"/>
          <w:color w:val="000000" w:themeColor="text1"/>
          <w:szCs w:val="24"/>
          <w:lang w:val="pl"/>
        </w:rPr>
        <w:t xml:space="preserve"> </w:t>
      </w:r>
      <w:r w:rsidRPr="005D4AE4">
        <w:rPr>
          <w:rFonts w:eastAsia="Times New Roman" w:cs="Times New Roman"/>
          <w:color w:val="000000" w:themeColor="text1"/>
          <w:szCs w:val="24"/>
          <w:lang w:val="pl"/>
        </w:rPr>
        <w:t>na</w:t>
      </w:r>
      <w:r>
        <w:rPr>
          <w:rFonts w:eastAsia="Times New Roman" w:cs="Times New Roman"/>
          <w:color w:val="000000" w:themeColor="text1"/>
          <w:szCs w:val="24"/>
          <w:lang w:val="pl"/>
        </w:rPr>
        <w:t xml:space="preserve"> </w:t>
      </w:r>
      <w:r w:rsidRPr="005D4AE4">
        <w:rPr>
          <w:rFonts w:eastAsia="Times New Roman" w:cs="Times New Roman"/>
          <w:color w:val="000000" w:themeColor="text1"/>
          <w:szCs w:val="24"/>
          <w:lang w:val="pl"/>
        </w:rPr>
        <w:t>podstawie art. 77</w:t>
      </w:r>
      <w:r w:rsidRPr="005D4AE4">
        <w:rPr>
          <w:rFonts w:eastAsia="Times New Roman" w:cs="Times New Roman"/>
          <w:color w:val="000000" w:themeColor="text1"/>
          <w:szCs w:val="24"/>
          <w:vertAlign w:val="superscript"/>
          <w:lang w:val="pl"/>
        </w:rPr>
        <w:t>5</w:t>
      </w:r>
      <w:r>
        <w:rPr>
          <w:rFonts w:eastAsia="Times New Roman" w:cs="Times New Roman"/>
          <w:color w:val="000000" w:themeColor="text1"/>
          <w:szCs w:val="24"/>
          <w:lang w:val="pl"/>
        </w:rPr>
        <w:t xml:space="preserve"> </w:t>
      </w:r>
      <w:r w:rsidRPr="005D4AE4">
        <w:rPr>
          <w:rFonts w:eastAsia="Times New Roman" w:cs="Times New Roman"/>
          <w:color w:val="000000" w:themeColor="text1"/>
          <w:szCs w:val="24"/>
          <w:lang w:val="pl"/>
        </w:rPr>
        <w:t>ustawy z dnia</w:t>
      </w:r>
      <w:r>
        <w:rPr>
          <w:rFonts w:eastAsia="Times New Roman" w:cs="Times New Roman"/>
          <w:color w:val="000000" w:themeColor="text1"/>
          <w:szCs w:val="24"/>
          <w:lang w:val="pl"/>
        </w:rPr>
        <w:t xml:space="preserve"> </w:t>
      </w:r>
      <w:r w:rsidR="00F534FE">
        <w:rPr>
          <w:rFonts w:eastAsia="Times New Roman" w:cs="Times New Roman"/>
          <w:color w:val="000000" w:themeColor="text1"/>
          <w:szCs w:val="24"/>
          <w:lang w:val="pl"/>
        </w:rPr>
        <w:t>26 </w:t>
      </w:r>
      <w:r w:rsidRPr="005D4AE4">
        <w:rPr>
          <w:rFonts w:eastAsia="Times New Roman" w:cs="Times New Roman"/>
          <w:color w:val="000000" w:themeColor="text1"/>
          <w:szCs w:val="24"/>
          <w:lang w:val="pl"/>
        </w:rPr>
        <w:t>czerwca</w:t>
      </w:r>
      <w:r>
        <w:rPr>
          <w:rFonts w:eastAsia="Times New Roman" w:cs="Times New Roman"/>
          <w:color w:val="000000" w:themeColor="text1"/>
          <w:szCs w:val="24"/>
          <w:lang w:val="pl"/>
        </w:rPr>
        <w:t xml:space="preserve"> </w:t>
      </w:r>
      <w:r w:rsidRPr="005D4AE4">
        <w:rPr>
          <w:rFonts w:eastAsia="Times New Roman" w:cs="Times New Roman"/>
          <w:color w:val="000000" w:themeColor="text1"/>
          <w:szCs w:val="24"/>
          <w:lang w:val="pl"/>
        </w:rPr>
        <w:t>1974 r.</w:t>
      </w:r>
      <w:r>
        <w:rPr>
          <w:rFonts w:eastAsia="Times New Roman" w:cs="Times New Roman"/>
          <w:color w:val="000000" w:themeColor="text1"/>
          <w:szCs w:val="24"/>
          <w:lang w:val="pl"/>
        </w:rPr>
        <w:t xml:space="preserve"> </w:t>
      </w:r>
      <w:r w:rsidRPr="005D4AE4">
        <w:rPr>
          <w:rFonts w:eastAsia="Times New Roman" w:cs="Times New Roman"/>
          <w:color w:val="000000" w:themeColor="text1"/>
          <w:szCs w:val="24"/>
          <w:lang w:val="pl"/>
        </w:rPr>
        <w:t>– Kodeks</w:t>
      </w:r>
      <w:r>
        <w:rPr>
          <w:rFonts w:eastAsia="Times New Roman" w:cs="Times New Roman"/>
          <w:color w:val="000000" w:themeColor="text1"/>
          <w:szCs w:val="24"/>
          <w:lang w:val="pl"/>
        </w:rPr>
        <w:t xml:space="preserve"> </w:t>
      </w:r>
      <w:r w:rsidRPr="005D4AE4">
        <w:rPr>
          <w:rFonts w:eastAsia="Times New Roman" w:cs="Times New Roman"/>
          <w:color w:val="000000" w:themeColor="text1"/>
          <w:szCs w:val="24"/>
          <w:lang w:val="pl"/>
        </w:rPr>
        <w:t xml:space="preserve">pracy.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Obsługę organizacyjno-prawną, techniczną i kancelaryjno-biurową Pełnomocnika zapewnia ministerstwo obsługujące ministra wł</w:t>
      </w:r>
      <w:r w:rsidR="00F534FE">
        <w:rPr>
          <w:rFonts w:eastAsia="Times New Roman" w:cs="Times New Roman"/>
          <w:szCs w:val="24"/>
        </w:rPr>
        <w:t>aściwego do spraw transportu, w </w:t>
      </w:r>
      <w:r w:rsidRPr="005D4AE4">
        <w:rPr>
          <w:rFonts w:eastAsia="Times New Roman" w:cs="Times New Roman"/>
          <w:szCs w:val="24"/>
        </w:rPr>
        <w:t xml:space="preserve">którego strukturze organizacyjnej działa Biuro Pełnomocnika. </w:t>
      </w:r>
    </w:p>
    <w:p w:rsidR="005D4AE4" w:rsidRPr="005D4AE4" w:rsidRDefault="005D4AE4" w:rsidP="005D4AE4">
      <w:pPr>
        <w:spacing w:before="120"/>
        <w:jc w:val="both"/>
        <w:rPr>
          <w:rFonts w:eastAsia="Times New Roman" w:cs="Times New Roman"/>
          <w:b/>
          <w:szCs w:val="24"/>
        </w:rPr>
      </w:pPr>
      <w:r w:rsidRPr="005D4AE4">
        <w:rPr>
          <w:rFonts w:eastAsia="Times New Roman" w:cs="Times New Roman"/>
          <w:b/>
          <w:szCs w:val="24"/>
        </w:rPr>
        <w:t>Spółka Celowa</w:t>
      </w:r>
    </w:p>
    <w:p w:rsidR="005D4AE4" w:rsidRPr="005D4AE4" w:rsidRDefault="005D4AE4" w:rsidP="005D4AE4">
      <w:pPr>
        <w:spacing w:before="120"/>
        <w:jc w:val="both"/>
        <w:rPr>
          <w:rFonts w:eastAsia="Times New Roman" w:cs="Times New Roman"/>
          <w:color w:val="000000" w:themeColor="text1"/>
          <w:szCs w:val="24"/>
        </w:rPr>
      </w:pPr>
      <w:r w:rsidRPr="005D4AE4">
        <w:rPr>
          <w:rFonts w:eastAsia="Times New Roman" w:cs="Times New Roman"/>
          <w:szCs w:val="24"/>
        </w:rPr>
        <w:t xml:space="preserve">Rozdział 2 Działu II projektowanej ustawy reguluje natomiast zasady działania Spółki Celowej. </w:t>
      </w:r>
      <w:r w:rsidRPr="005D4AE4">
        <w:rPr>
          <w:rFonts w:eastAsia="Times New Roman" w:cs="Times New Roman"/>
          <w:color w:val="000000" w:themeColor="text1"/>
          <w:szCs w:val="24"/>
        </w:rPr>
        <w:t xml:space="preserve">Oświadczenie woli o utworzeniu Spółki Celowej i objęciu udziałów w tej spółce składa Prezes Rady Ministrów, w imieniu Skarbu Państwa, w formie aktu notarialnego. Prezes Rady Ministrów może upoważnić Pełnomocnika do wykonania tej czynności. Forma prawna działania Spółki wzorowana jest na </w:t>
      </w:r>
      <w:r w:rsidRPr="005D4AE4">
        <w:rPr>
          <w:rFonts w:cs="Times New Roman"/>
          <w:szCs w:val="24"/>
        </w:rPr>
        <w:t xml:space="preserve">rozwiązaniach zastosowane w </w:t>
      </w:r>
      <w:r w:rsidR="008F3269">
        <w:rPr>
          <w:rFonts w:cs="Times New Roman"/>
          <w:i/>
          <w:iCs/>
          <w:szCs w:val="24"/>
        </w:rPr>
        <w:t>ustawie z dnia 29</w:t>
      </w:r>
      <w:r w:rsidR="00F534FE">
        <w:rPr>
          <w:rFonts w:cs="Times New Roman"/>
          <w:i/>
          <w:iCs/>
          <w:szCs w:val="24"/>
        </w:rPr>
        <w:t xml:space="preserve"> </w:t>
      </w:r>
      <w:r w:rsidRPr="005D4AE4">
        <w:rPr>
          <w:rFonts w:cs="Times New Roman"/>
          <w:i/>
          <w:iCs/>
          <w:szCs w:val="24"/>
        </w:rPr>
        <w:t>kwietnia 2016 r. o szczególnych zasadach wykonywania niektórych zadań z zakresu informatyzacji działalności organów KAS.</w:t>
      </w:r>
      <w:r w:rsidRPr="005D4AE4">
        <w:rPr>
          <w:rFonts w:eastAsia="Times New Roman" w:cs="Times New Roman"/>
          <w:color w:val="000000" w:themeColor="text1"/>
          <w:szCs w:val="24"/>
        </w:rPr>
        <w:t xml:space="preserve"> </w:t>
      </w:r>
      <w:r w:rsidRPr="005D4AE4">
        <w:rPr>
          <w:rFonts w:eastAsia="Times New Roman" w:cs="Times New Roman"/>
          <w:szCs w:val="24"/>
        </w:rPr>
        <w:t xml:space="preserve">Ustawa przewiduje możliwość przekształcenia jej w spółkę akcyjną. Ustawa określa </w:t>
      </w:r>
      <w:r w:rsidRPr="005D4AE4">
        <w:rPr>
          <w:rFonts w:eastAsia="Times New Roman" w:cs="Times New Roman"/>
          <w:szCs w:val="24"/>
        </w:rPr>
        <w:lastRenderedPageBreak/>
        <w:t>wielkość zarządu spółki celowej – ma on się składać z nie więcej niż 5 osób.</w:t>
      </w:r>
    </w:p>
    <w:p w:rsidR="00CA1EDC" w:rsidRDefault="00CA1EDC" w:rsidP="005D4AE4">
      <w:pPr>
        <w:spacing w:before="120"/>
        <w:jc w:val="both"/>
        <w:rPr>
          <w:rFonts w:eastAsia="Times New Roman" w:cs="Times New Roman"/>
          <w:szCs w:val="24"/>
        </w:rPr>
      </w:pPr>
      <w:r>
        <w:rPr>
          <w:rFonts w:eastAsia="Times New Roman" w:cs="Times New Roman"/>
          <w:szCs w:val="24"/>
        </w:rPr>
        <w:t xml:space="preserve">W ustawie przewidziano możliwość powołania Rady Nadzorczej Spółki Celowej. W przypadku powołania Rada ta będzie się składała z nie więcej niż 7 osób. Rada Nadzorcza Spółki Celowej (o ile zostanie powołana) opracowuje i udziela zarządowi Spółki Celowej wytycznych dotyczących działalności Spółki Celowej w zakresie realizacji celów określonych w ustawie lub akcie założycielskim. Rada </w:t>
      </w:r>
      <w:r w:rsidR="00940D05">
        <w:rPr>
          <w:rFonts w:eastAsia="Times New Roman" w:cs="Times New Roman"/>
          <w:szCs w:val="24"/>
        </w:rPr>
        <w:t>N</w:t>
      </w:r>
      <w:r>
        <w:rPr>
          <w:rFonts w:eastAsia="Times New Roman" w:cs="Times New Roman"/>
          <w:szCs w:val="24"/>
        </w:rPr>
        <w:t xml:space="preserve">adzorcza Spółki </w:t>
      </w:r>
      <w:r w:rsidR="00940D05">
        <w:rPr>
          <w:rFonts w:eastAsia="Times New Roman" w:cs="Times New Roman"/>
          <w:szCs w:val="24"/>
        </w:rPr>
        <w:t>C</w:t>
      </w:r>
      <w:r>
        <w:rPr>
          <w:rFonts w:eastAsia="Times New Roman" w:cs="Times New Roman"/>
          <w:szCs w:val="24"/>
        </w:rPr>
        <w:t xml:space="preserve">elowej uchyla uchwały zarządu Spółki Celowej niezgodne z przepisami prawa, postanowieniami aktu założycielskiego, Programem lub Dokumentem Wdrażającym. Przewodniczącym Rady Nadzorczej będzie mógł zostać Pełnomocnik, przy czym z tytułu pełnienia tej funkcji nie będzie on pobierał dodatkowego wynagrodzenia.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Przewiduje się, że dla ułatwienia zarządzania poszczególnymi przedsięwzięciami wchodzącymi w skład Programu CPK, możliwe będzie powołanie również spółek zależnych Spółki Celowej. Spółka Celowa może utworzyć, samodzielnie bądź z innymi podmiotami, spółki zależne w rozumieniu przepisów</w:t>
      </w:r>
      <w:r w:rsidR="008F2D0A">
        <w:rPr>
          <w:rFonts w:eastAsia="Times New Roman" w:cs="Times New Roman"/>
          <w:szCs w:val="24"/>
        </w:rPr>
        <w:t xml:space="preserve"> ustawy z dnia 15 września 2000 </w:t>
      </w:r>
      <w:r w:rsidRPr="005D4AE4">
        <w:rPr>
          <w:rFonts w:eastAsia="Times New Roman" w:cs="Times New Roman"/>
          <w:szCs w:val="24"/>
        </w:rPr>
        <w:t>r.</w:t>
      </w:r>
      <w:r w:rsidR="008F2D0A">
        <w:rPr>
          <w:rFonts w:eastAsia="Times New Roman" w:cs="Times New Roman"/>
          <w:szCs w:val="24"/>
        </w:rPr>
        <w:t xml:space="preserve">– </w:t>
      </w:r>
      <w:r w:rsidRPr="005D4AE4">
        <w:rPr>
          <w:rFonts w:eastAsia="Times New Roman" w:cs="Times New Roman"/>
          <w:szCs w:val="24"/>
        </w:rPr>
        <w:t xml:space="preserve"> Kodeks spółek handlowych (Dz.</w:t>
      </w:r>
      <w:r w:rsidR="008F2D0A">
        <w:rPr>
          <w:rFonts w:eastAsia="Times New Roman" w:cs="Times New Roman"/>
          <w:szCs w:val="24"/>
        </w:rPr>
        <w:t xml:space="preserve"> </w:t>
      </w:r>
      <w:r w:rsidRPr="005D4AE4">
        <w:rPr>
          <w:rFonts w:eastAsia="Times New Roman" w:cs="Times New Roman"/>
          <w:szCs w:val="24"/>
        </w:rPr>
        <w:t>U. z 2017 r. poz. 1577</w:t>
      </w:r>
      <w:r w:rsidR="008F2D0A">
        <w:rPr>
          <w:rFonts w:eastAsia="Times New Roman" w:cs="Times New Roman"/>
          <w:szCs w:val="24"/>
        </w:rPr>
        <w:t xml:space="preserve">, </w:t>
      </w:r>
      <w:r w:rsidRPr="005D4AE4">
        <w:rPr>
          <w:rFonts w:eastAsia="Times New Roman" w:cs="Times New Roman"/>
          <w:szCs w:val="24"/>
        </w:rPr>
        <w:t>z późn.</w:t>
      </w:r>
      <w:r w:rsidR="00F534FE">
        <w:rPr>
          <w:rFonts w:eastAsia="Times New Roman" w:cs="Times New Roman"/>
          <w:szCs w:val="24"/>
        </w:rPr>
        <w:t xml:space="preserve"> zm.). W </w:t>
      </w:r>
      <w:r w:rsidRPr="005D4AE4">
        <w:rPr>
          <w:rFonts w:eastAsia="Times New Roman" w:cs="Times New Roman"/>
          <w:szCs w:val="24"/>
        </w:rPr>
        <w:t>szczególności Spółka Celowa mogłaby powierzyć zastępcze wykonywanie zadań inwestora i</w:t>
      </w:r>
      <w:r>
        <w:rPr>
          <w:rFonts w:eastAsia="Times New Roman" w:cs="Times New Roman"/>
          <w:szCs w:val="24"/>
        </w:rPr>
        <w:t xml:space="preserve"> </w:t>
      </w:r>
      <w:r w:rsidRPr="005D4AE4">
        <w:rPr>
          <w:rFonts w:eastAsia="Times New Roman" w:cs="Times New Roman"/>
          <w:szCs w:val="24"/>
        </w:rPr>
        <w:t>zadań nadzoru inwestorskiego w rozumieniu przepisów</w:t>
      </w:r>
      <w:r w:rsidR="00F534FE">
        <w:rPr>
          <w:rFonts w:eastAsia="Times New Roman" w:cs="Times New Roman"/>
          <w:szCs w:val="24"/>
        </w:rPr>
        <w:t xml:space="preserve"> ustawy z dnia 7 </w:t>
      </w:r>
      <w:r>
        <w:rPr>
          <w:rFonts w:eastAsia="Times New Roman" w:cs="Times New Roman"/>
          <w:szCs w:val="24"/>
        </w:rPr>
        <w:t>lipca 1994 r. –</w:t>
      </w:r>
      <w:r w:rsidRPr="005D4AE4">
        <w:rPr>
          <w:rFonts w:eastAsia="Times New Roman" w:cs="Times New Roman"/>
          <w:szCs w:val="24"/>
        </w:rPr>
        <w:t xml:space="preserve"> Prawo budowlane (Dz. U. z 20</w:t>
      </w:r>
      <w:r w:rsidR="008F2D0A">
        <w:rPr>
          <w:rFonts w:eastAsia="Times New Roman" w:cs="Times New Roman"/>
          <w:szCs w:val="24"/>
        </w:rPr>
        <w:t xml:space="preserve">17 r. poz. 1332, z późn. </w:t>
      </w:r>
      <w:r w:rsidRPr="005D4AE4">
        <w:rPr>
          <w:rFonts w:eastAsia="Times New Roman" w:cs="Times New Roman"/>
          <w:szCs w:val="24"/>
        </w:rPr>
        <w:t>zm.), jak również upoważnić spółkę zależną do wykonywania swoich praw. Przewidziano również, że w zakresie zadań powierzo</w:t>
      </w:r>
      <w:r w:rsidR="008F3269">
        <w:rPr>
          <w:rFonts w:eastAsia="Times New Roman" w:cs="Times New Roman"/>
          <w:szCs w:val="24"/>
        </w:rPr>
        <w:t>nych spółce zależnej, ilekroć w</w:t>
      </w:r>
      <w:r w:rsidR="00F534FE">
        <w:rPr>
          <w:rFonts w:eastAsia="Times New Roman" w:cs="Times New Roman"/>
          <w:szCs w:val="24"/>
        </w:rPr>
        <w:t xml:space="preserve"> </w:t>
      </w:r>
      <w:r w:rsidRPr="005D4AE4">
        <w:rPr>
          <w:rFonts w:eastAsia="Times New Roman" w:cs="Times New Roman"/>
          <w:szCs w:val="24"/>
        </w:rPr>
        <w:t>ustawie mowa jest o Spółce Celowej, należy przez to rozumieć spółk</w:t>
      </w:r>
      <w:r w:rsidR="00F534FE">
        <w:rPr>
          <w:rFonts w:eastAsia="Times New Roman" w:cs="Times New Roman"/>
          <w:szCs w:val="24"/>
        </w:rPr>
        <w:t>ę, której powierzono zadania. W </w:t>
      </w:r>
      <w:r w:rsidRPr="005D4AE4">
        <w:rPr>
          <w:rFonts w:eastAsia="Times New Roman" w:cs="Times New Roman"/>
          <w:szCs w:val="24"/>
        </w:rPr>
        <w:t>ten sposób możliwa będzie optymalizacja zarzą</w:t>
      </w:r>
      <w:r w:rsidR="008F3269">
        <w:rPr>
          <w:rFonts w:eastAsia="Times New Roman" w:cs="Times New Roman"/>
          <w:szCs w:val="24"/>
        </w:rPr>
        <w:t>dzania całym przedsięwzięciem i</w:t>
      </w:r>
      <w:r w:rsidR="00F534FE">
        <w:rPr>
          <w:rFonts w:eastAsia="Times New Roman" w:cs="Times New Roman"/>
          <w:szCs w:val="24"/>
        </w:rPr>
        <w:t> </w:t>
      </w:r>
      <w:r w:rsidRPr="005D4AE4">
        <w:rPr>
          <w:rFonts w:eastAsia="Times New Roman" w:cs="Times New Roman"/>
          <w:szCs w:val="24"/>
        </w:rPr>
        <w:t>sprawne rozdzielanie stawianych celów.</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Wspierając Pełnomocnika w wykonywaniu jego zadań Spółka Celowa przygotowuje dla Pełnomocnika projekt Programu oraz projekt zmian Programu, realizuje inne zadania wskazane przez Pełnomocnika związane z przygotowaniem i realizacją Programu. W ramach zapewnienia przygotowania i realizacji Programu Spółka Celowa miałaby za zadanie przygotować Dokument Wdrożeniowy oraz przedłożyć go Pełnomocnikowi do zatwierdzenia. Spółka ma ponadto pozyskiwać i przygotowywać dokumentację wymaganą do złożenia wniosku o </w:t>
      </w:r>
      <w:r w:rsidR="00940D05">
        <w:rPr>
          <w:rFonts w:eastAsia="Times New Roman" w:cs="Times New Roman"/>
          <w:szCs w:val="24"/>
        </w:rPr>
        <w:t xml:space="preserve">wydanie </w:t>
      </w:r>
      <w:r w:rsidRPr="005D4AE4">
        <w:rPr>
          <w:rFonts w:eastAsia="Times New Roman" w:cs="Times New Roman"/>
          <w:szCs w:val="24"/>
        </w:rPr>
        <w:t>aktów,</w:t>
      </w:r>
      <w:r w:rsidR="00F534FE">
        <w:rPr>
          <w:rFonts w:eastAsia="Times New Roman" w:cs="Times New Roman"/>
          <w:szCs w:val="24"/>
        </w:rPr>
        <w:t xml:space="preserve"> decyzji, pozwoleń, uzgodnień i </w:t>
      </w:r>
      <w:r w:rsidRPr="005D4AE4">
        <w:rPr>
          <w:rFonts w:eastAsia="Times New Roman" w:cs="Times New Roman"/>
          <w:szCs w:val="24"/>
        </w:rPr>
        <w:t>opinii wymaganych przepisami do przygotowania lub wykonania Inwestycji lub Inwesty</w:t>
      </w:r>
      <w:r w:rsidR="008F3269">
        <w:rPr>
          <w:rFonts w:eastAsia="Times New Roman" w:cs="Times New Roman"/>
          <w:szCs w:val="24"/>
        </w:rPr>
        <w:t>cji Towarzyszącej, występować z</w:t>
      </w:r>
      <w:r w:rsidR="00F534FE">
        <w:rPr>
          <w:rFonts w:eastAsia="Times New Roman" w:cs="Times New Roman"/>
          <w:szCs w:val="24"/>
        </w:rPr>
        <w:t xml:space="preserve"> </w:t>
      </w:r>
      <w:r w:rsidRPr="005D4AE4">
        <w:rPr>
          <w:rFonts w:eastAsia="Times New Roman" w:cs="Times New Roman"/>
          <w:szCs w:val="24"/>
        </w:rPr>
        <w:t xml:space="preserve">wnioskami o wydanie aktów, </w:t>
      </w:r>
      <w:r w:rsidRPr="005D4AE4">
        <w:rPr>
          <w:rFonts w:eastAsia="Times New Roman" w:cs="Times New Roman"/>
          <w:szCs w:val="24"/>
        </w:rPr>
        <w:lastRenderedPageBreak/>
        <w:t>decyzji, pozwoleń, uzgodni</w:t>
      </w:r>
      <w:r w:rsidR="008F3269">
        <w:rPr>
          <w:rFonts w:eastAsia="Times New Roman" w:cs="Times New Roman"/>
          <w:szCs w:val="24"/>
        </w:rPr>
        <w:t>eń i opinii oraz uczestniczyć w</w:t>
      </w:r>
      <w:r w:rsidR="00F534FE">
        <w:rPr>
          <w:rFonts w:eastAsia="Times New Roman" w:cs="Times New Roman"/>
          <w:szCs w:val="24"/>
        </w:rPr>
        <w:t xml:space="preserve"> </w:t>
      </w:r>
      <w:r w:rsidRPr="005D4AE4">
        <w:rPr>
          <w:rFonts w:eastAsia="Times New Roman" w:cs="Times New Roman"/>
          <w:szCs w:val="24"/>
        </w:rPr>
        <w:t>odpowiednich postępowaniach, nabywać ze środków własnych na rzecz Skarbu Państwa własność lub inne prawa do nieruchomości niezbędne do przygotowania i realizacji Przedsięwzięć, w tym wykonując prawo pierwokupu tych nieruchomości na rzecz Spółki lub Skarbu Państwa, a także uczestniczyć w postępowaniach związanych z</w:t>
      </w:r>
      <w:r w:rsidR="00F534FE">
        <w:rPr>
          <w:rFonts w:eastAsia="Times New Roman" w:cs="Times New Roman"/>
          <w:szCs w:val="24"/>
        </w:rPr>
        <w:t xml:space="preserve"> wywłaszczeniem nieruchomości i </w:t>
      </w:r>
      <w:r w:rsidRPr="005D4AE4">
        <w:rPr>
          <w:rFonts w:eastAsia="Times New Roman" w:cs="Times New Roman"/>
          <w:szCs w:val="24"/>
        </w:rPr>
        <w:t>innych postępowaniach dotyczących tych nieruchomości. Spółka ma również za zadanie nabywać własność lub inne prawa do nieruchomości w celu zaoferowania ich, jako nieruchomości zamiennych wobec nieruchomości</w:t>
      </w:r>
      <w:r w:rsidR="00F534FE">
        <w:rPr>
          <w:rFonts w:eastAsia="Times New Roman" w:cs="Times New Roman"/>
          <w:szCs w:val="24"/>
        </w:rPr>
        <w:t xml:space="preserve"> niezbędnych do przygotowania i </w:t>
      </w:r>
      <w:r w:rsidRPr="005D4AE4">
        <w:rPr>
          <w:rFonts w:eastAsia="Times New Roman" w:cs="Times New Roman"/>
          <w:szCs w:val="24"/>
        </w:rPr>
        <w:t>realizacji Przedsięwzięć. Ponadto, Spółka gospodaruje Zasobem i ponosi koszty gospodarowania nieruchomościami wchodzącymi w skład Zasobu, w tym koszty administrowania, wycen nieruchomości, spłaty obciążających nieruchomość zobowiązań, dokonuje wypłaty odszkodowania przy przejęciu z mocy prawa własności nieruchomości, a także w przypadku wypowiedzenia przez Spółkę Celową umów dotyczących nieruchomości, w tym umów najmu, dzierżawy, użytkowania, dokonuje wypłaty odszkodowania za szkody rzeczywiste. Do</w:t>
      </w:r>
      <w:r w:rsidR="00F534FE">
        <w:rPr>
          <w:rFonts w:eastAsia="Times New Roman" w:cs="Times New Roman"/>
          <w:szCs w:val="24"/>
        </w:rPr>
        <w:t>datkowo, pozyskuje informacje o </w:t>
      </w:r>
      <w:r w:rsidRPr="005D4AE4">
        <w:rPr>
          <w:rFonts w:eastAsia="Times New Roman" w:cs="Times New Roman"/>
          <w:szCs w:val="24"/>
        </w:rPr>
        <w:t>nieruchomościach Skarbu Państwa, w tym dokumentację dotyczącą nieruchomości, dysponuje na cele budowlane nieruchomościami w celu przygotowania lub realizacji Przedsięwzięć, zawiera umowy, których przedmiotem są dostawy, usługi lub roboty budowlane niezbędne do przygotowania lub wykonania Przedsięwzięć oraz nadzoruje wykonywanie tych umów, oraz umowy, których przedmiotem jest wykonywanie na rzecz pozostałych Inwestorów funkcji inwestora zastępczego.</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Ponadto, przewidziano, że organy administracji publicznej, spółki prawa handlowego będące państwowymi osobami prawnymi,</w:t>
      </w:r>
      <w:r>
        <w:rPr>
          <w:rFonts w:eastAsia="Times New Roman" w:cs="Times New Roman"/>
          <w:szCs w:val="24"/>
        </w:rPr>
        <w:t xml:space="preserve"> </w:t>
      </w:r>
      <w:r w:rsidRPr="005D4AE4">
        <w:rPr>
          <w:rFonts w:eastAsia="Times New Roman" w:cs="Times New Roman"/>
          <w:szCs w:val="24"/>
        </w:rPr>
        <w:t>podmioty gospodarujące nieruchomościami stanowiącymi własność Skarbu Państwa oraz</w:t>
      </w:r>
      <w:r>
        <w:rPr>
          <w:rFonts w:eastAsia="Times New Roman" w:cs="Times New Roman"/>
          <w:szCs w:val="24"/>
        </w:rPr>
        <w:t xml:space="preserve"> </w:t>
      </w:r>
      <w:r w:rsidRPr="005D4AE4">
        <w:rPr>
          <w:rFonts w:eastAsia="Times New Roman" w:cs="Times New Roman"/>
          <w:szCs w:val="24"/>
        </w:rPr>
        <w:t xml:space="preserve">Agencja Restrukturyzacji i Modernizacji Rolnictwa są obowiązane do nieodpłatnego udostępniania Pełnomocnikowi i Spółce Celowej danych niezbędnych do realizacji ich </w:t>
      </w:r>
      <w:r w:rsidR="00F534FE">
        <w:rPr>
          <w:rFonts w:eastAsia="Times New Roman" w:cs="Times New Roman"/>
          <w:szCs w:val="24"/>
        </w:rPr>
        <w:t>zadań, w tym danych zawartych w </w:t>
      </w:r>
      <w:r w:rsidRPr="005D4AE4">
        <w:rPr>
          <w:rFonts w:eastAsia="Times New Roman" w:cs="Times New Roman"/>
          <w:szCs w:val="24"/>
        </w:rPr>
        <w:t>prowadzonych przez te organy i podmioty rejestrach, ewidencjach i wykazach, w</w:t>
      </w:r>
      <w:r w:rsidR="00F534FE">
        <w:rPr>
          <w:rFonts w:eastAsia="Times New Roman" w:cs="Times New Roman"/>
          <w:szCs w:val="24"/>
        </w:rPr>
        <w:t> </w:t>
      </w:r>
      <w:r w:rsidRPr="005D4AE4">
        <w:rPr>
          <w:rFonts w:eastAsia="Times New Roman" w:cs="Times New Roman"/>
          <w:szCs w:val="24"/>
        </w:rPr>
        <w:t>szczególności danych dotyczących nakładów na nieruchomości. Udostępnienie tych danych następuje na wniosek Pełnomocnika lub Prezesa Spółki Celowej. Udostępnienie danych nie może naruszać przepisów dotyczących ochrony danych osobowych, udostępniania danych objętych tajemnicą przedsiębiorstwa oraz innych tajemnic ustawowo chronionych.</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W ramach koordynacji i kontroli realizacji Przedsięwzięć Spółka Celowa przygotowuje </w:t>
      </w:r>
      <w:r w:rsidRPr="005D4AE4">
        <w:rPr>
          <w:rFonts w:eastAsia="Times New Roman" w:cs="Times New Roman"/>
          <w:szCs w:val="24"/>
        </w:rPr>
        <w:lastRenderedPageBreak/>
        <w:t>projekt Zasad Zarządzania oraz przedkłada go Pełnomocnikowi do zatwierdzenia, określa zasady polityki informacyjnej dotyczącej realizacji przygotowań i realizacji Przedsięwzięć, przygotowuje projekty har</w:t>
      </w:r>
      <w:r w:rsidR="00F534FE">
        <w:rPr>
          <w:rFonts w:eastAsia="Times New Roman" w:cs="Times New Roman"/>
          <w:szCs w:val="24"/>
        </w:rPr>
        <w:t>monogramów działań związanych z </w:t>
      </w:r>
      <w:r w:rsidRPr="005D4AE4">
        <w:rPr>
          <w:rFonts w:eastAsia="Times New Roman" w:cs="Times New Roman"/>
          <w:szCs w:val="24"/>
        </w:rPr>
        <w:t>przygotowaniem Przedsięwzięć, inicjuje działania zmierzające do pop</w:t>
      </w:r>
      <w:r w:rsidR="008F3269">
        <w:rPr>
          <w:rFonts w:eastAsia="Times New Roman" w:cs="Times New Roman"/>
          <w:szCs w:val="24"/>
        </w:rPr>
        <w:t>rawy efektywności przygotowań i</w:t>
      </w:r>
      <w:r w:rsidR="00F534FE">
        <w:rPr>
          <w:rFonts w:eastAsia="Times New Roman" w:cs="Times New Roman"/>
          <w:szCs w:val="24"/>
        </w:rPr>
        <w:t xml:space="preserve"> </w:t>
      </w:r>
      <w:r w:rsidRPr="005D4AE4">
        <w:rPr>
          <w:rFonts w:eastAsia="Times New Roman" w:cs="Times New Roman"/>
          <w:szCs w:val="24"/>
        </w:rPr>
        <w:t>realizacji Przedsięwzięć, zapewnia doradztwo i szkolenia dla Inwestorów i Wykonawców, kontroluje, czy pozostali Inwestorzy zarządzają Przedsięwzięciami zgodnie z Zasadami Zarządzania, może żądać od innych Inwestorów przedstawienia jej bądź spółkom zależnym dokumentów, informacji, opracowań i analiz związanych z wdrożeniem Programu, a także może żądać upoważnienia jej bądź spółek, o których mowa w art. 1</w:t>
      </w:r>
      <w:r w:rsidR="00940D05">
        <w:rPr>
          <w:rFonts w:eastAsia="Times New Roman" w:cs="Times New Roman"/>
          <w:szCs w:val="24"/>
        </w:rPr>
        <w:t>5</w:t>
      </w:r>
      <w:r w:rsidRPr="005D4AE4">
        <w:rPr>
          <w:rFonts w:eastAsia="Times New Roman" w:cs="Times New Roman"/>
          <w:szCs w:val="24"/>
        </w:rPr>
        <w:t xml:space="preserve"> ust. 1 przez Inwestorów do występowania w imieniu Inwestorów wobec inn</w:t>
      </w:r>
      <w:r w:rsidR="008F3269">
        <w:rPr>
          <w:rFonts w:eastAsia="Times New Roman" w:cs="Times New Roman"/>
          <w:szCs w:val="24"/>
        </w:rPr>
        <w:t>ych podmiotów uczestniczących w</w:t>
      </w:r>
      <w:r w:rsidR="00F534FE">
        <w:rPr>
          <w:rFonts w:eastAsia="Times New Roman" w:cs="Times New Roman"/>
          <w:szCs w:val="24"/>
        </w:rPr>
        <w:t xml:space="preserve"> </w:t>
      </w:r>
      <w:r w:rsidRPr="005D4AE4">
        <w:rPr>
          <w:rFonts w:eastAsia="Times New Roman" w:cs="Times New Roman"/>
          <w:szCs w:val="24"/>
        </w:rPr>
        <w:t>przygotowaniu i realizacji Programu. Wszystkie te działania, łącznie z zapewn</w:t>
      </w:r>
      <w:r w:rsidR="00F534FE">
        <w:rPr>
          <w:rFonts w:eastAsia="Times New Roman" w:cs="Times New Roman"/>
          <w:szCs w:val="24"/>
        </w:rPr>
        <w:t>ieniem szkoleń dla Inwestorów i </w:t>
      </w:r>
      <w:r w:rsidRPr="005D4AE4">
        <w:rPr>
          <w:rFonts w:eastAsia="Times New Roman" w:cs="Times New Roman"/>
          <w:szCs w:val="24"/>
        </w:rPr>
        <w:t>Wykonawców, maj</w:t>
      </w:r>
      <w:r w:rsidR="00D7688E">
        <w:rPr>
          <w:rFonts w:eastAsia="Times New Roman" w:cs="Times New Roman"/>
          <w:szCs w:val="24"/>
        </w:rPr>
        <w:t>ą</w:t>
      </w:r>
      <w:r w:rsidRPr="005D4AE4">
        <w:rPr>
          <w:rFonts w:eastAsia="Times New Roman" w:cs="Times New Roman"/>
          <w:szCs w:val="24"/>
        </w:rPr>
        <w:t xml:space="preserve"> na celu wypracowanie jak najlepszych praktyk służących realizacji przedsięwzięcia, w tym jednolitego stosowania przepisów niniejszej ustawy.</w:t>
      </w:r>
    </w:p>
    <w:p w:rsidR="005D4AE4" w:rsidRPr="005D4AE4" w:rsidRDefault="005D4AE4" w:rsidP="005D4AE4">
      <w:pPr>
        <w:pStyle w:val="USTustnpkodeksu"/>
        <w:spacing w:before="120"/>
        <w:ind w:firstLine="0"/>
        <w:rPr>
          <w:rFonts w:ascii="Times New Roman" w:hAnsi="Times New Roman" w:cs="Times New Roman"/>
          <w:szCs w:val="24"/>
        </w:rPr>
      </w:pPr>
      <w:r w:rsidRPr="005D4AE4">
        <w:rPr>
          <w:rFonts w:ascii="Times New Roman" w:hAnsi="Times New Roman" w:cs="Times New Roman"/>
          <w:szCs w:val="24"/>
        </w:rPr>
        <w:t>W ustawie przewidziano, że przepisy art. 17 ust</w:t>
      </w:r>
      <w:r w:rsidR="00F534FE">
        <w:rPr>
          <w:rFonts w:ascii="Times New Roman" w:hAnsi="Times New Roman" w:cs="Times New Roman"/>
          <w:szCs w:val="24"/>
        </w:rPr>
        <w:t>awy z dnia 16 grudnia 2016 r. o </w:t>
      </w:r>
      <w:r w:rsidRPr="005D4AE4">
        <w:rPr>
          <w:rFonts w:ascii="Times New Roman" w:hAnsi="Times New Roman" w:cs="Times New Roman"/>
          <w:szCs w:val="24"/>
        </w:rPr>
        <w:t xml:space="preserve">zasadach zarządzania mieniem państwowym, stosuje się z tym, </w:t>
      </w:r>
      <w:r w:rsidRPr="005D4AE4">
        <w:rPr>
          <w:rFonts w:ascii="Times New Roman" w:eastAsia="Times New Roman" w:hAnsi="Times New Roman" w:cs="Times New Roman"/>
          <w:szCs w:val="24"/>
        </w:rPr>
        <w:t>że cz</w:t>
      </w:r>
      <w:r w:rsidR="00463CEA">
        <w:rPr>
          <w:rFonts w:ascii="Times New Roman" w:eastAsia="Times New Roman" w:hAnsi="Times New Roman" w:cs="Times New Roman"/>
          <w:szCs w:val="24"/>
        </w:rPr>
        <w:t>ynnościami zwykłego zarządu nie</w:t>
      </w:r>
      <w:r w:rsidRPr="005D4AE4">
        <w:rPr>
          <w:rFonts w:ascii="Times New Roman" w:eastAsia="Times New Roman" w:hAnsi="Times New Roman" w:cs="Times New Roman"/>
          <w:szCs w:val="24"/>
        </w:rPr>
        <w:t>wymagającymi zgody w postaci uchwały wspólników Spółki Celowej jest: zaciąganie kredytów i</w:t>
      </w:r>
      <w:r>
        <w:rPr>
          <w:rFonts w:ascii="Times New Roman" w:eastAsia="Times New Roman" w:hAnsi="Times New Roman" w:cs="Times New Roman"/>
          <w:szCs w:val="24"/>
        </w:rPr>
        <w:t xml:space="preserve"> </w:t>
      </w:r>
      <w:r w:rsidRPr="005D4AE4">
        <w:rPr>
          <w:rFonts w:ascii="Times New Roman" w:eastAsia="Times New Roman" w:hAnsi="Times New Roman" w:cs="Times New Roman"/>
          <w:szCs w:val="24"/>
        </w:rPr>
        <w:t>pożyczek, gdy i</w:t>
      </w:r>
      <w:r w:rsidR="00F534FE">
        <w:rPr>
          <w:rFonts w:ascii="Times New Roman" w:eastAsia="Times New Roman" w:hAnsi="Times New Roman" w:cs="Times New Roman"/>
          <w:szCs w:val="24"/>
        </w:rPr>
        <w:t>ch wartość nie przekracza 1 000 </w:t>
      </w:r>
      <w:r w:rsidRPr="005D4AE4">
        <w:rPr>
          <w:rFonts w:ascii="Times New Roman" w:eastAsia="Times New Roman" w:hAnsi="Times New Roman" w:cs="Times New Roman"/>
          <w:szCs w:val="24"/>
        </w:rPr>
        <w:t>000 zł, dokonanie czynności prawnej, której przedmiotem jest nieruchomość wchodząca w skład Zasobu, w przypadku gdy wartość tej nieruchomości</w:t>
      </w:r>
      <w:r>
        <w:rPr>
          <w:rFonts w:ascii="Times New Roman" w:eastAsia="Times New Roman" w:hAnsi="Times New Roman" w:cs="Times New Roman"/>
          <w:szCs w:val="24"/>
        </w:rPr>
        <w:t xml:space="preserve"> </w:t>
      </w:r>
      <w:r w:rsidRPr="005D4AE4">
        <w:rPr>
          <w:rFonts w:ascii="Times New Roman" w:eastAsia="Times New Roman" w:hAnsi="Times New Roman" w:cs="Times New Roman"/>
          <w:szCs w:val="24"/>
        </w:rPr>
        <w:t>nie przekracza 1</w:t>
      </w:r>
      <w:r w:rsidR="00D7688E">
        <w:rPr>
          <w:rFonts w:ascii="Times New Roman" w:eastAsia="Times New Roman" w:hAnsi="Times New Roman" w:cs="Times New Roman"/>
          <w:szCs w:val="24"/>
        </w:rPr>
        <w:t> </w:t>
      </w:r>
      <w:r w:rsidRPr="005D4AE4">
        <w:rPr>
          <w:rFonts w:ascii="Times New Roman" w:eastAsia="Times New Roman" w:hAnsi="Times New Roman" w:cs="Times New Roman"/>
          <w:szCs w:val="24"/>
        </w:rPr>
        <w:t>000</w:t>
      </w:r>
      <w:r w:rsidR="00D7688E">
        <w:rPr>
          <w:rFonts w:ascii="Times New Roman" w:eastAsia="Times New Roman" w:hAnsi="Times New Roman" w:cs="Times New Roman"/>
          <w:szCs w:val="24"/>
        </w:rPr>
        <w:t> </w:t>
      </w:r>
      <w:r w:rsidRPr="005D4AE4">
        <w:rPr>
          <w:rFonts w:ascii="Times New Roman" w:eastAsia="Times New Roman" w:hAnsi="Times New Roman" w:cs="Times New Roman"/>
          <w:szCs w:val="24"/>
        </w:rPr>
        <w:t>000 zł, wykorzystanie mienia Spółki Celowej, a także nieruchomości wchodzących w skład Zasobu, do ustanawiania zabezpieczeń zaciągniętych zobowiązań finansowych, w szczególności ustanowienia hipoteki na nieruchomości, gdy jego wartość nie przekracza 1 000 000 zł. Ponadto, projekt określa, że czynnościami przekraczającymi zwykły zarząd wymagającymi zgody rady nadzorczej oraz niewymagającymi zgody w postaci uchwały wspóln</w:t>
      </w:r>
      <w:r w:rsidR="008F3269">
        <w:rPr>
          <w:rFonts w:ascii="Times New Roman" w:eastAsia="Times New Roman" w:hAnsi="Times New Roman" w:cs="Times New Roman"/>
          <w:szCs w:val="24"/>
        </w:rPr>
        <w:t>ików jest zaciąganie kredytów i</w:t>
      </w:r>
      <w:r w:rsidR="00F534FE">
        <w:rPr>
          <w:rFonts w:ascii="Times New Roman" w:eastAsia="Times New Roman" w:hAnsi="Times New Roman" w:cs="Times New Roman"/>
          <w:szCs w:val="24"/>
        </w:rPr>
        <w:t> </w:t>
      </w:r>
      <w:r w:rsidRPr="005D4AE4">
        <w:rPr>
          <w:rFonts w:ascii="Times New Roman" w:eastAsia="Times New Roman" w:hAnsi="Times New Roman" w:cs="Times New Roman"/>
          <w:szCs w:val="24"/>
        </w:rPr>
        <w:t xml:space="preserve">pożyczek, gdy ich wartość przekracza 1 000 000 zł lecz nie przekracza </w:t>
      </w:r>
      <w:r w:rsidR="00940D05">
        <w:rPr>
          <w:rFonts w:ascii="Times New Roman" w:eastAsia="Times New Roman" w:hAnsi="Times New Roman" w:cs="Times New Roman"/>
          <w:szCs w:val="24"/>
        </w:rPr>
        <w:t>4</w:t>
      </w:r>
      <w:r w:rsidRPr="005D4AE4">
        <w:rPr>
          <w:rFonts w:ascii="Times New Roman" w:eastAsia="Times New Roman" w:hAnsi="Times New Roman" w:cs="Times New Roman"/>
          <w:szCs w:val="24"/>
        </w:rPr>
        <w:t xml:space="preserve"> 000 000 zł, dokonanie czynności prawnej, której przedmiote</w:t>
      </w:r>
      <w:r w:rsidR="00F534FE">
        <w:rPr>
          <w:rFonts w:ascii="Times New Roman" w:eastAsia="Times New Roman" w:hAnsi="Times New Roman" w:cs="Times New Roman"/>
          <w:szCs w:val="24"/>
        </w:rPr>
        <w:t>m jest nieruchomość wchodząca w </w:t>
      </w:r>
      <w:r w:rsidRPr="005D4AE4">
        <w:rPr>
          <w:rFonts w:ascii="Times New Roman" w:eastAsia="Times New Roman" w:hAnsi="Times New Roman" w:cs="Times New Roman"/>
          <w:szCs w:val="24"/>
        </w:rPr>
        <w:t>skład Zasobu, w przypadku gdy wartość tej nieruchomości</w:t>
      </w:r>
      <w:r>
        <w:rPr>
          <w:rFonts w:ascii="Times New Roman" w:eastAsia="Times New Roman" w:hAnsi="Times New Roman" w:cs="Times New Roman"/>
          <w:szCs w:val="24"/>
        </w:rPr>
        <w:t xml:space="preserve"> </w:t>
      </w:r>
      <w:r w:rsidR="00F534FE">
        <w:rPr>
          <w:rFonts w:ascii="Times New Roman" w:eastAsia="Times New Roman" w:hAnsi="Times New Roman" w:cs="Times New Roman"/>
          <w:szCs w:val="24"/>
        </w:rPr>
        <w:t>przekracza 1 000 000 zł i </w:t>
      </w:r>
      <w:r w:rsidRPr="005D4AE4">
        <w:rPr>
          <w:rFonts w:ascii="Times New Roman" w:eastAsia="Times New Roman" w:hAnsi="Times New Roman" w:cs="Times New Roman"/>
          <w:szCs w:val="24"/>
        </w:rPr>
        <w:t xml:space="preserve">nie przekracza </w:t>
      </w:r>
      <w:r w:rsidR="00940D05">
        <w:rPr>
          <w:rFonts w:ascii="Times New Roman" w:eastAsia="Times New Roman" w:hAnsi="Times New Roman" w:cs="Times New Roman"/>
          <w:szCs w:val="24"/>
        </w:rPr>
        <w:t>4</w:t>
      </w:r>
      <w:r w:rsidRPr="005D4AE4">
        <w:rPr>
          <w:rFonts w:ascii="Times New Roman" w:eastAsia="Times New Roman" w:hAnsi="Times New Roman" w:cs="Times New Roman"/>
          <w:szCs w:val="24"/>
        </w:rPr>
        <w:t xml:space="preserve"> 000 000 zł, jak również wykorzy</w:t>
      </w:r>
      <w:r w:rsidR="00F534FE">
        <w:rPr>
          <w:rFonts w:ascii="Times New Roman" w:eastAsia="Times New Roman" w:hAnsi="Times New Roman" w:cs="Times New Roman"/>
          <w:szCs w:val="24"/>
        </w:rPr>
        <w:t>stanie mienia Spółki Celowej, a </w:t>
      </w:r>
      <w:r w:rsidRPr="005D4AE4">
        <w:rPr>
          <w:rFonts w:ascii="Times New Roman" w:eastAsia="Times New Roman" w:hAnsi="Times New Roman" w:cs="Times New Roman"/>
          <w:szCs w:val="24"/>
        </w:rPr>
        <w:t>także nieruchomości wchodzących w skład Zasobu, do ustanawiania zabezpieczeń zaciągniętych zobowiązań finansowych, w szczególności ustanowienia hipoteki na nieruchomości, gdy jego wartość</w:t>
      </w:r>
      <w:r>
        <w:rPr>
          <w:rFonts w:ascii="Times New Roman" w:eastAsia="Times New Roman" w:hAnsi="Times New Roman" w:cs="Times New Roman"/>
          <w:szCs w:val="24"/>
        </w:rPr>
        <w:t xml:space="preserve"> </w:t>
      </w:r>
      <w:r w:rsidRPr="005D4AE4">
        <w:rPr>
          <w:rFonts w:ascii="Times New Roman" w:eastAsia="Times New Roman" w:hAnsi="Times New Roman" w:cs="Times New Roman"/>
          <w:szCs w:val="24"/>
        </w:rPr>
        <w:t xml:space="preserve">przekracza 1 000 000 zł i nie przekracza </w:t>
      </w:r>
      <w:r w:rsidR="00940D05">
        <w:rPr>
          <w:rFonts w:ascii="Times New Roman" w:eastAsia="Times New Roman" w:hAnsi="Times New Roman" w:cs="Times New Roman"/>
          <w:szCs w:val="24"/>
        </w:rPr>
        <w:t>4</w:t>
      </w:r>
      <w:r w:rsidRPr="005D4AE4">
        <w:rPr>
          <w:rFonts w:ascii="Times New Roman" w:eastAsia="Times New Roman" w:hAnsi="Times New Roman" w:cs="Times New Roman"/>
          <w:szCs w:val="24"/>
        </w:rPr>
        <w:t xml:space="preserve"> 000 000 zł.</w:t>
      </w:r>
    </w:p>
    <w:p w:rsidR="005D4AE4" w:rsidRPr="005D4AE4" w:rsidRDefault="005D4AE4" w:rsidP="00F534FE">
      <w:pPr>
        <w:keepNext/>
        <w:widowControl/>
        <w:spacing w:before="120"/>
        <w:jc w:val="both"/>
        <w:rPr>
          <w:rFonts w:eastAsia="Times New Roman" w:cs="Times New Roman"/>
          <w:b/>
          <w:szCs w:val="24"/>
        </w:rPr>
      </w:pPr>
      <w:r w:rsidRPr="005D4AE4">
        <w:rPr>
          <w:rFonts w:eastAsia="Times New Roman" w:cs="Times New Roman"/>
          <w:b/>
          <w:szCs w:val="24"/>
        </w:rPr>
        <w:lastRenderedPageBreak/>
        <w:t>Zasady Zarządzania</w:t>
      </w:r>
    </w:p>
    <w:p w:rsidR="005D4AE4" w:rsidRPr="005D4AE4" w:rsidRDefault="005D4AE4" w:rsidP="00F534FE">
      <w:pPr>
        <w:keepNext/>
        <w:widowControl/>
        <w:spacing w:before="120"/>
        <w:jc w:val="both"/>
        <w:rPr>
          <w:rFonts w:eastAsia="Times New Roman" w:cs="Times New Roman"/>
          <w:szCs w:val="24"/>
        </w:rPr>
      </w:pPr>
      <w:r w:rsidRPr="005D4AE4">
        <w:rPr>
          <w:rFonts w:eastAsia="Times New Roman" w:cs="Times New Roman"/>
          <w:szCs w:val="24"/>
        </w:rPr>
        <w:t>Rozdział 3 Działu II projektowanej ustawy określa Zasady Zarządzania. Są one istotnym elementem pozwalający</w:t>
      </w:r>
      <w:r w:rsidR="00D7688E">
        <w:rPr>
          <w:rFonts w:eastAsia="Times New Roman" w:cs="Times New Roman"/>
          <w:szCs w:val="24"/>
        </w:rPr>
        <w:t>m</w:t>
      </w:r>
      <w:r w:rsidRPr="005D4AE4">
        <w:rPr>
          <w:rFonts w:eastAsia="Times New Roman" w:cs="Times New Roman"/>
          <w:szCs w:val="24"/>
        </w:rPr>
        <w:t xml:space="preserve"> na koordynację przedsięwzięć, jak również na ich skuteczne monitorowanie. W tym celu Przedsięwzięcia mają być zarządzane przez Inwestorów zgodnie z Zasadami Zarządzania, które podlegają urzędowemu ogłoszeniu. </w:t>
      </w:r>
    </w:p>
    <w:p w:rsidR="005D4AE4" w:rsidRPr="005D4AE4" w:rsidRDefault="005D4AE4" w:rsidP="005D4AE4">
      <w:pPr>
        <w:spacing w:before="120"/>
        <w:jc w:val="both"/>
        <w:rPr>
          <w:rFonts w:cs="Times New Roman"/>
          <w:szCs w:val="24"/>
        </w:rPr>
      </w:pPr>
      <w:r w:rsidRPr="005D4AE4">
        <w:rPr>
          <w:rFonts w:cs="Times New Roman"/>
          <w:bCs/>
          <w:szCs w:val="24"/>
        </w:rPr>
        <w:t xml:space="preserve">Aby zapewnić stosowanie Zasad, </w:t>
      </w:r>
      <w:r w:rsidRPr="005D4AE4">
        <w:rPr>
          <w:rFonts w:cs="Times New Roman"/>
          <w:szCs w:val="24"/>
        </w:rPr>
        <w:t>Inwestorzy podpisują z</w:t>
      </w:r>
      <w:r w:rsidR="008F3269">
        <w:rPr>
          <w:rFonts w:cs="Times New Roman"/>
          <w:szCs w:val="24"/>
        </w:rPr>
        <w:t xml:space="preserve"> Pełnomocnikiem porozumienie, w</w:t>
      </w:r>
      <w:r w:rsidR="00F534FE">
        <w:rPr>
          <w:rFonts w:cs="Times New Roman"/>
          <w:szCs w:val="24"/>
        </w:rPr>
        <w:t xml:space="preserve"> </w:t>
      </w:r>
      <w:r w:rsidRPr="005D4AE4">
        <w:rPr>
          <w:rFonts w:cs="Times New Roman"/>
          <w:szCs w:val="24"/>
        </w:rPr>
        <w:t>którym zobowiązują się do stosowania Zasad Zarządzania przy realiz</w:t>
      </w:r>
      <w:r w:rsidR="008F3269">
        <w:rPr>
          <w:rFonts w:cs="Times New Roman"/>
          <w:szCs w:val="24"/>
        </w:rPr>
        <w:t>acji Przedsięwzięć. W</w:t>
      </w:r>
      <w:r w:rsidR="00F534FE">
        <w:rPr>
          <w:rFonts w:cs="Times New Roman"/>
          <w:szCs w:val="24"/>
        </w:rPr>
        <w:t xml:space="preserve"> </w:t>
      </w:r>
      <w:r w:rsidRPr="005D4AE4">
        <w:rPr>
          <w:rFonts w:cs="Times New Roman"/>
          <w:szCs w:val="24"/>
        </w:rPr>
        <w:t>przypadku zamówień publicznych, partnerst</w:t>
      </w:r>
      <w:r w:rsidR="00F534FE">
        <w:rPr>
          <w:rFonts w:cs="Times New Roman"/>
          <w:szCs w:val="24"/>
        </w:rPr>
        <w:t>wa publiczno</w:t>
      </w:r>
      <w:r w:rsidR="00F534FE">
        <w:rPr>
          <w:rFonts w:cs="Times New Roman"/>
          <w:szCs w:val="24"/>
        </w:rPr>
        <w:noBreakHyphen/>
      </w:r>
      <w:r w:rsidRPr="005D4AE4">
        <w:rPr>
          <w:rFonts w:cs="Times New Roman"/>
          <w:szCs w:val="24"/>
        </w:rPr>
        <w:t>prywatnego oraz koncesji na roboty budowlane lub usługi, porozumienie podpisuje się przed wszczęciem odpowiedniego postępowania. Porozumienie może ograniczać zakres stosowania Zasa</w:t>
      </w:r>
      <w:r w:rsidR="008F3269">
        <w:rPr>
          <w:rFonts w:cs="Times New Roman"/>
          <w:szCs w:val="24"/>
        </w:rPr>
        <w:t>d Zarządzania w</w:t>
      </w:r>
      <w:r w:rsidR="00F534FE">
        <w:rPr>
          <w:rFonts w:cs="Times New Roman"/>
          <w:szCs w:val="24"/>
        </w:rPr>
        <w:t xml:space="preserve"> </w:t>
      </w:r>
      <w:r w:rsidRPr="005D4AE4">
        <w:rPr>
          <w:rFonts w:cs="Times New Roman"/>
          <w:szCs w:val="24"/>
        </w:rPr>
        <w:t>zakresie dotyczącym obowiązków Inwestorów.</w:t>
      </w:r>
    </w:p>
    <w:p w:rsidR="005D4AE4" w:rsidRPr="005D4AE4" w:rsidRDefault="005D4AE4" w:rsidP="005D4AE4">
      <w:pPr>
        <w:spacing w:before="120"/>
        <w:jc w:val="both"/>
        <w:rPr>
          <w:rFonts w:cs="Times New Roman"/>
          <w:szCs w:val="24"/>
        </w:rPr>
      </w:pPr>
      <w:r w:rsidRPr="005D4AE4">
        <w:rPr>
          <w:rFonts w:cs="Times New Roman"/>
          <w:szCs w:val="24"/>
        </w:rPr>
        <w:t>Ustawa przewiduje możliwość zróżnicowania zakresu zw</w:t>
      </w:r>
      <w:r w:rsidR="008F3269">
        <w:rPr>
          <w:rFonts w:cs="Times New Roman"/>
          <w:szCs w:val="24"/>
        </w:rPr>
        <w:t>iązania Zasadami Zarządzania. W</w:t>
      </w:r>
      <w:r w:rsidR="00F534FE">
        <w:rPr>
          <w:rFonts w:cs="Times New Roman"/>
          <w:szCs w:val="24"/>
        </w:rPr>
        <w:t xml:space="preserve"> </w:t>
      </w:r>
      <w:r w:rsidRPr="005D4AE4">
        <w:rPr>
          <w:rFonts w:cs="Times New Roman"/>
          <w:szCs w:val="24"/>
        </w:rPr>
        <w:t>przypadku Inwestorów będących jednostkami sektora finansów publicznych, ograniczenie zakresu stosowania Zasad Zarządzania może nastąpić wyłącznie, gdy dostosowanie sposobu realizacji do Zasad Zarządzania nie leży w interesie publicz</w:t>
      </w:r>
      <w:r w:rsidR="008F3269">
        <w:rPr>
          <w:rFonts w:cs="Times New Roman"/>
          <w:szCs w:val="24"/>
        </w:rPr>
        <w:t>nym lub nie daje się pogodzić z</w:t>
      </w:r>
      <w:r w:rsidR="00F534FE">
        <w:rPr>
          <w:rFonts w:cs="Times New Roman"/>
          <w:szCs w:val="24"/>
        </w:rPr>
        <w:t xml:space="preserve"> </w:t>
      </w:r>
      <w:r w:rsidRPr="005D4AE4">
        <w:rPr>
          <w:rFonts w:cs="Times New Roman"/>
          <w:szCs w:val="24"/>
        </w:rPr>
        <w:t>ochroną uzasadnionego interesu Inwestora.</w:t>
      </w:r>
    </w:p>
    <w:p w:rsidR="005D4AE4" w:rsidRPr="005D4AE4" w:rsidRDefault="005D4AE4" w:rsidP="00F84DA9">
      <w:pPr>
        <w:keepNext/>
        <w:widowControl/>
        <w:spacing w:before="120"/>
        <w:jc w:val="both"/>
        <w:rPr>
          <w:rFonts w:cs="Times New Roman"/>
          <w:szCs w:val="24"/>
        </w:rPr>
      </w:pPr>
      <w:r w:rsidRPr="005D4AE4">
        <w:rPr>
          <w:rFonts w:cs="Times New Roman"/>
          <w:szCs w:val="24"/>
        </w:rPr>
        <w:t>Przepisy przewidują odpowiednie gwarancje proceduralne dotycząc</w:t>
      </w:r>
      <w:r w:rsidR="008F3269">
        <w:rPr>
          <w:rFonts w:cs="Times New Roman"/>
          <w:szCs w:val="24"/>
        </w:rPr>
        <w:t>e Zasad Zarządzania, m.</w:t>
      </w:r>
      <w:r w:rsidRPr="005D4AE4">
        <w:rPr>
          <w:rFonts w:cs="Times New Roman"/>
          <w:szCs w:val="24"/>
        </w:rPr>
        <w:t>in. zamieszczenie informacji o obowiązku</w:t>
      </w:r>
      <w:r w:rsidR="00F534FE">
        <w:rPr>
          <w:rFonts w:cs="Times New Roman"/>
          <w:szCs w:val="24"/>
        </w:rPr>
        <w:t xml:space="preserve"> ich stosowania w SIWZ i </w:t>
      </w:r>
      <w:r w:rsidRPr="005D4AE4">
        <w:rPr>
          <w:rFonts w:cs="Times New Roman"/>
          <w:szCs w:val="24"/>
        </w:rPr>
        <w:t>dokumentach koncesji oraz wymóg składania oświadczenia o związaniu Zasadami przez wykonawcę.</w:t>
      </w:r>
    </w:p>
    <w:p w:rsidR="005D4AE4" w:rsidRPr="005D4AE4" w:rsidRDefault="005D4AE4" w:rsidP="005D4AE4">
      <w:pPr>
        <w:spacing w:before="120"/>
        <w:jc w:val="both"/>
        <w:rPr>
          <w:rFonts w:cs="Times New Roman"/>
          <w:szCs w:val="24"/>
        </w:rPr>
      </w:pPr>
      <w:r w:rsidRPr="005D4AE4">
        <w:rPr>
          <w:rFonts w:cs="Times New Roman"/>
          <w:szCs w:val="24"/>
        </w:rPr>
        <w:t xml:space="preserve">Umowy związane z realizacją Przedsięwzięć sporządza się zgodnie z Zasadami Zarządzania, zaś w przypadku, gdy umowy, zawierane są w trybie </w:t>
      </w:r>
      <w:r w:rsidR="008F3269">
        <w:rPr>
          <w:rFonts w:cs="Times New Roman"/>
          <w:szCs w:val="24"/>
        </w:rPr>
        <w:t>zamówień publicznych, zgodnie z</w:t>
      </w:r>
      <w:r w:rsidR="00F534FE">
        <w:rPr>
          <w:rFonts w:cs="Times New Roman"/>
          <w:szCs w:val="24"/>
        </w:rPr>
        <w:t xml:space="preserve"> </w:t>
      </w:r>
      <w:r w:rsidRPr="005D4AE4">
        <w:rPr>
          <w:rFonts w:cs="Times New Roman"/>
          <w:szCs w:val="24"/>
        </w:rPr>
        <w:t>przepisami ustawy z dnia 19 grudnia 2008 r. o partnerstwie publiczno-prywatnym lub ustawy z dnia 21 października 2016 r. o umowie koncesji na roboty budowlane l</w:t>
      </w:r>
      <w:r>
        <w:rPr>
          <w:rFonts w:cs="Times New Roman"/>
          <w:szCs w:val="24"/>
        </w:rPr>
        <w:t>ub usługi –</w:t>
      </w:r>
      <w:r w:rsidRPr="005D4AE4">
        <w:rPr>
          <w:rFonts w:cs="Times New Roman"/>
          <w:szCs w:val="24"/>
        </w:rPr>
        <w:t xml:space="preserve"> oferta niezgod</w:t>
      </w:r>
      <w:r w:rsidR="00F534FE">
        <w:rPr>
          <w:rFonts w:cs="Times New Roman"/>
          <w:szCs w:val="24"/>
        </w:rPr>
        <w:t>na ze standardami określonymi w </w:t>
      </w:r>
      <w:r w:rsidRPr="005D4AE4">
        <w:rPr>
          <w:rFonts w:cs="Times New Roman"/>
          <w:szCs w:val="24"/>
        </w:rPr>
        <w:t>Zasadach Zarządzania, jako oferta, której treść nie odpowiada odpowiednio treści specyfikacji istotnych warunków zamówienia lub dokumentom koncesji, podlega odrzuceniu.</w:t>
      </w:r>
    </w:p>
    <w:p w:rsidR="005D4AE4" w:rsidRPr="005D4AE4" w:rsidRDefault="005D4AE4" w:rsidP="005D4AE4">
      <w:pPr>
        <w:spacing w:before="120"/>
        <w:jc w:val="both"/>
        <w:rPr>
          <w:rFonts w:cs="Times New Roman"/>
          <w:szCs w:val="24"/>
        </w:rPr>
      </w:pPr>
      <w:r w:rsidRPr="005D4AE4">
        <w:rPr>
          <w:rFonts w:cs="Times New Roman"/>
          <w:szCs w:val="24"/>
        </w:rPr>
        <w:t xml:space="preserve">W zakresie inwestycji finansowanych ze środków europejskich, na wniosek Pełnomocnika minister właściwy do spraw rozwoju regionalnego może zmienić Wytyczne, o których mowa w art. 5 ustawy z dnia 11 lipca 2014 r. o zasadach realizacji </w:t>
      </w:r>
      <w:r w:rsidRPr="005D4AE4">
        <w:rPr>
          <w:rFonts w:cs="Times New Roman"/>
          <w:szCs w:val="24"/>
        </w:rPr>
        <w:lastRenderedPageBreak/>
        <w:t>programów w zakresie polityki spójności finansowanych</w:t>
      </w:r>
      <w:r>
        <w:rPr>
          <w:rFonts w:cs="Times New Roman"/>
          <w:szCs w:val="24"/>
        </w:rPr>
        <w:t xml:space="preserve"> w perspektywie finansowej 2014–</w:t>
      </w:r>
      <w:r w:rsidR="008F3269">
        <w:rPr>
          <w:rFonts w:cs="Times New Roman"/>
          <w:szCs w:val="24"/>
        </w:rPr>
        <w:t>2020, w celu uwzględnienia w</w:t>
      </w:r>
      <w:r w:rsidR="00F534FE">
        <w:rPr>
          <w:rFonts w:cs="Times New Roman"/>
          <w:szCs w:val="24"/>
        </w:rPr>
        <w:t xml:space="preserve"> </w:t>
      </w:r>
      <w:r w:rsidRPr="005D4AE4">
        <w:rPr>
          <w:rFonts w:cs="Times New Roman"/>
          <w:szCs w:val="24"/>
        </w:rPr>
        <w:t>nich Zasad Zarządzania albo ich zmian.</w:t>
      </w:r>
    </w:p>
    <w:p w:rsidR="005D4AE4" w:rsidRDefault="005D4AE4" w:rsidP="005D4AE4">
      <w:pPr>
        <w:spacing w:before="120"/>
        <w:jc w:val="both"/>
        <w:rPr>
          <w:rFonts w:cs="Times New Roman"/>
          <w:szCs w:val="24"/>
        </w:rPr>
      </w:pPr>
      <w:r w:rsidRPr="005D4AE4">
        <w:rPr>
          <w:rFonts w:cs="Times New Roman"/>
          <w:szCs w:val="24"/>
        </w:rPr>
        <w:t>W przypadku, gdy zmiana Zasad Zarządzania została zatwierdzona przez Pełnomocnika po zawarciu przez Inwestora umowy z Wykonawcą albo Przedsięwzięcie zostało objęte obowiązkiem stosowania Zasad Zarządzania po zawarciu umowy, Inwestor obowiązany jest do podjęcia negocjacji z Wykonawcą w celu dostosowania umów dotyczących Przedsięwzięcia do Zasad Zarządzania, z uwzględni</w:t>
      </w:r>
      <w:r w:rsidR="00F534FE">
        <w:rPr>
          <w:rFonts w:cs="Times New Roman"/>
          <w:szCs w:val="24"/>
        </w:rPr>
        <w:t>eniem art. 52a ustawy z dnia 11 </w:t>
      </w:r>
      <w:r w:rsidRPr="005D4AE4">
        <w:rPr>
          <w:rFonts w:cs="Times New Roman"/>
          <w:szCs w:val="24"/>
        </w:rPr>
        <w:t>lipca 2014</w:t>
      </w:r>
      <w:r>
        <w:rPr>
          <w:rFonts w:cs="Times New Roman"/>
          <w:szCs w:val="24"/>
        </w:rPr>
        <w:t xml:space="preserve"> </w:t>
      </w:r>
      <w:r w:rsidRPr="005D4AE4">
        <w:rPr>
          <w:rFonts w:cs="Times New Roman"/>
          <w:szCs w:val="24"/>
        </w:rPr>
        <w:t>r. o zasadach realizacji programów w zakresie polityki spójności finansowanych</w:t>
      </w:r>
      <w:r w:rsidR="008F3269">
        <w:rPr>
          <w:rFonts w:cs="Times New Roman"/>
          <w:szCs w:val="24"/>
        </w:rPr>
        <w:t xml:space="preserve"> w</w:t>
      </w:r>
      <w:r w:rsidR="00F534FE">
        <w:rPr>
          <w:rFonts w:cs="Times New Roman"/>
          <w:szCs w:val="24"/>
        </w:rPr>
        <w:t xml:space="preserve"> </w:t>
      </w:r>
      <w:r>
        <w:rPr>
          <w:rFonts w:cs="Times New Roman"/>
          <w:szCs w:val="24"/>
        </w:rPr>
        <w:t>perspektywie finansowej 2014–</w:t>
      </w:r>
      <w:r w:rsidRPr="005D4AE4">
        <w:rPr>
          <w:rFonts w:cs="Times New Roman"/>
          <w:szCs w:val="24"/>
        </w:rPr>
        <w:t>2020. W przypadku, gdy umowy zawierane są w trybie zamówień publicznych, zgodni</w:t>
      </w:r>
      <w:r w:rsidR="00F534FE">
        <w:rPr>
          <w:rFonts w:cs="Times New Roman"/>
          <w:szCs w:val="24"/>
        </w:rPr>
        <w:t>e z przepisami ustawy z dnia 19 </w:t>
      </w:r>
      <w:r w:rsidRPr="005D4AE4">
        <w:rPr>
          <w:rFonts w:cs="Times New Roman"/>
          <w:szCs w:val="24"/>
        </w:rPr>
        <w:t>grudnia 2008 r. o partnerstwie publiczno</w:t>
      </w:r>
      <w:r w:rsidR="00F534FE">
        <w:rPr>
          <w:rFonts w:cs="Times New Roman"/>
          <w:szCs w:val="24"/>
        </w:rPr>
        <w:t>-prywatnym lub ustawy z dnia 21 </w:t>
      </w:r>
      <w:r w:rsidRPr="005D4AE4">
        <w:rPr>
          <w:rFonts w:cs="Times New Roman"/>
          <w:szCs w:val="24"/>
        </w:rPr>
        <w:t>października 2016 r. o umowie koncesji na</w:t>
      </w:r>
      <w:r w:rsidR="00F534FE">
        <w:rPr>
          <w:rFonts w:cs="Times New Roman"/>
          <w:szCs w:val="24"/>
        </w:rPr>
        <w:t xml:space="preserve"> roboty budowlane lub usługi, w </w:t>
      </w:r>
      <w:r w:rsidRPr="005D4AE4">
        <w:rPr>
          <w:rFonts w:cs="Times New Roman"/>
          <w:szCs w:val="24"/>
        </w:rPr>
        <w:t>ogłoszeniu o zamówieniu lub specyfikacji istotnych warunków zamówienia w postaci jednoznacznych postanowień umownych, które określają ich zakres</w:t>
      </w:r>
      <w:r w:rsidR="008F3269">
        <w:rPr>
          <w:rFonts w:cs="Times New Roman"/>
          <w:szCs w:val="24"/>
        </w:rPr>
        <w:t>, w</w:t>
      </w:r>
      <w:r w:rsidR="00F534FE">
        <w:rPr>
          <w:rFonts w:cs="Times New Roman"/>
          <w:szCs w:val="24"/>
        </w:rPr>
        <w:t xml:space="preserve"> </w:t>
      </w:r>
      <w:r w:rsidRPr="005D4AE4">
        <w:rPr>
          <w:rFonts w:cs="Times New Roman"/>
          <w:szCs w:val="24"/>
        </w:rPr>
        <w:t>szczególności możliwość zmiany wysokości wynagrodzenia Wykonawcy, i charakter oraz warunki wprowadzenia zmian, wskazuje się możliwość zmiany Zasad Zarządzania oraz możliwość zatwierdzenia Zasad Zarządzania i związana z tym konieczność dostosowania realizacji Przedsięwzięć do nowych warunków oraz zmiana umowy.</w:t>
      </w:r>
      <w:r w:rsidRPr="005D4AE4">
        <w:rPr>
          <w:rFonts w:eastAsia="Times New Roman" w:cs="Times New Roman"/>
          <w:szCs w:val="24"/>
        </w:rPr>
        <w:t xml:space="preserve"> </w:t>
      </w:r>
      <w:r w:rsidR="00F534FE">
        <w:rPr>
          <w:rFonts w:cs="Times New Roman"/>
          <w:szCs w:val="24"/>
        </w:rPr>
        <w:t>W </w:t>
      </w:r>
      <w:r w:rsidRPr="005D4AE4">
        <w:rPr>
          <w:rFonts w:cs="Times New Roman"/>
          <w:szCs w:val="24"/>
        </w:rPr>
        <w:t>przypadku Inwestorów podmiot uprawniony do wykonywania praw z udziałów lub akcji należących do Skarbu Państwa</w:t>
      </w:r>
      <w:r>
        <w:rPr>
          <w:rFonts w:cs="Times New Roman"/>
          <w:szCs w:val="24"/>
        </w:rPr>
        <w:t xml:space="preserve"> </w:t>
      </w:r>
      <w:r w:rsidRPr="005D4AE4">
        <w:rPr>
          <w:rFonts w:cs="Times New Roman"/>
          <w:szCs w:val="24"/>
        </w:rPr>
        <w:t>lub Spółki Celowej oraz państwowa</w:t>
      </w:r>
      <w:r>
        <w:rPr>
          <w:rFonts w:cs="Times New Roman"/>
          <w:szCs w:val="24"/>
        </w:rPr>
        <w:t xml:space="preserve"> </w:t>
      </w:r>
      <w:r w:rsidRPr="005D4AE4">
        <w:rPr>
          <w:rFonts w:cs="Times New Roman"/>
          <w:szCs w:val="24"/>
        </w:rPr>
        <w:t>osoba</w:t>
      </w:r>
      <w:r>
        <w:rPr>
          <w:rFonts w:cs="Times New Roman"/>
          <w:szCs w:val="24"/>
        </w:rPr>
        <w:t xml:space="preserve"> </w:t>
      </w:r>
      <w:r w:rsidRPr="005D4AE4">
        <w:rPr>
          <w:rFonts w:cs="Times New Roman"/>
          <w:szCs w:val="24"/>
        </w:rPr>
        <w:t>prawna,</w:t>
      </w:r>
      <w:r>
        <w:rPr>
          <w:rFonts w:cs="Times New Roman"/>
          <w:szCs w:val="24"/>
        </w:rPr>
        <w:t xml:space="preserve"> </w:t>
      </w:r>
      <w:r w:rsidRPr="005D4AE4">
        <w:rPr>
          <w:rFonts w:cs="Times New Roman"/>
          <w:szCs w:val="24"/>
        </w:rPr>
        <w:t>w zakresie</w:t>
      </w:r>
      <w:r>
        <w:rPr>
          <w:rFonts w:cs="Times New Roman"/>
          <w:szCs w:val="24"/>
        </w:rPr>
        <w:t xml:space="preserve"> </w:t>
      </w:r>
      <w:r w:rsidRPr="005D4AE4">
        <w:rPr>
          <w:rFonts w:cs="Times New Roman"/>
          <w:szCs w:val="24"/>
        </w:rPr>
        <w:t>wykonywania</w:t>
      </w:r>
      <w:r>
        <w:rPr>
          <w:rFonts w:cs="Times New Roman"/>
          <w:szCs w:val="24"/>
        </w:rPr>
        <w:t xml:space="preserve"> </w:t>
      </w:r>
      <w:r w:rsidRPr="005D4AE4">
        <w:rPr>
          <w:rFonts w:cs="Times New Roman"/>
          <w:szCs w:val="24"/>
        </w:rPr>
        <w:t>praw z udziałów lub akcji w spółce, mają obowiązek podejmowania działań mających na celu określenie, w drodze</w:t>
      </w:r>
      <w:r>
        <w:rPr>
          <w:rFonts w:cs="Times New Roman"/>
          <w:szCs w:val="24"/>
        </w:rPr>
        <w:t xml:space="preserve"> </w:t>
      </w:r>
      <w:r w:rsidRPr="005D4AE4">
        <w:rPr>
          <w:rFonts w:cs="Times New Roman"/>
          <w:szCs w:val="24"/>
        </w:rPr>
        <w:t>uchwały</w:t>
      </w:r>
      <w:r>
        <w:rPr>
          <w:rFonts w:cs="Times New Roman"/>
          <w:szCs w:val="24"/>
        </w:rPr>
        <w:t xml:space="preserve"> </w:t>
      </w:r>
      <w:r w:rsidRPr="005D4AE4">
        <w:rPr>
          <w:rFonts w:cs="Times New Roman"/>
          <w:szCs w:val="24"/>
        </w:rPr>
        <w:t>walnego</w:t>
      </w:r>
      <w:r>
        <w:rPr>
          <w:rFonts w:cs="Times New Roman"/>
          <w:szCs w:val="24"/>
        </w:rPr>
        <w:t xml:space="preserve"> </w:t>
      </w:r>
      <w:r w:rsidRPr="005D4AE4">
        <w:rPr>
          <w:rFonts w:cs="Times New Roman"/>
          <w:szCs w:val="24"/>
        </w:rPr>
        <w:t>zgromadzenia</w:t>
      </w:r>
      <w:r>
        <w:rPr>
          <w:rFonts w:cs="Times New Roman"/>
          <w:szCs w:val="24"/>
        </w:rPr>
        <w:t xml:space="preserve"> </w:t>
      </w:r>
      <w:r w:rsidRPr="005D4AE4">
        <w:rPr>
          <w:rFonts w:cs="Times New Roman"/>
          <w:szCs w:val="24"/>
        </w:rPr>
        <w:t>lub</w:t>
      </w:r>
      <w:r>
        <w:rPr>
          <w:rFonts w:cs="Times New Roman"/>
          <w:szCs w:val="24"/>
        </w:rPr>
        <w:t xml:space="preserve"> </w:t>
      </w:r>
      <w:r w:rsidRPr="005D4AE4">
        <w:rPr>
          <w:rFonts w:cs="Times New Roman"/>
          <w:szCs w:val="24"/>
        </w:rPr>
        <w:t>w statucie</w:t>
      </w:r>
      <w:r>
        <w:rPr>
          <w:rFonts w:cs="Times New Roman"/>
          <w:szCs w:val="24"/>
        </w:rPr>
        <w:t xml:space="preserve"> </w:t>
      </w:r>
      <w:r w:rsidRPr="005D4AE4">
        <w:rPr>
          <w:rFonts w:cs="Times New Roman"/>
          <w:szCs w:val="24"/>
        </w:rPr>
        <w:t>tej</w:t>
      </w:r>
      <w:r>
        <w:rPr>
          <w:rFonts w:cs="Times New Roman"/>
          <w:szCs w:val="24"/>
        </w:rPr>
        <w:t xml:space="preserve"> </w:t>
      </w:r>
      <w:r w:rsidRPr="005D4AE4">
        <w:rPr>
          <w:rFonts w:cs="Times New Roman"/>
          <w:szCs w:val="24"/>
        </w:rPr>
        <w:t>spółki,</w:t>
      </w:r>
      <w:r>
        <w:rPr>
          <w:rFonts w:cs="Times New Roman"/>
          <w:szCs w:val="24"/>
        </w:rPr>
        <w:t xml:space="preserve"> </w:t>
      </w:r>
      <w:r w:rsidRPr="005D4AE4">
        <w:rPr>
          <w:rFonts w:cs="Times New Roman"/>
          <w:szCs w:val="24"/>
        </w:rPr>
        <w:t xml:space="preserve">że są </w:t>
      </w:r>
      <w:r w:rsidR="00F534FE">
        <w:rPr>
          <w:rFonts w:cs="Times New Roman"/>
          <w:szCs w:val="24"/>
        </w:rPr>
        <w:t>one zobowiązane do stosowania i </w:t>
      </w:r>
      <w:r w:rsidRPr="005D4AE4">
        <w:rPr>
          <w:rFonts w:cs="Times New Roman"/>
          <w:szCs w:val="24"/>
        </w:rPr>
        <w:t>przestrzegania Zasad Zarządzania i ich zmian.</w:t>
      </w:r>
    </w:p>
    <w:p w:rsidR="00940D05" w:rsidRDefault="00940D05" w:rsidP="005D4AE4">
      <w:pPr>
        <w:spacing w:before="120"/>
        <w:jc w:val="both"/>
        <w:rPr>
          <w:rFonts w:cs="Times New Roman"/>
          <w:szCs w:val="24"/>
        </w:rPr>
      </w:pPr>
      <w:r>
        <w:rPr>
          <w:rFonts w:cs="Times New Roman"/>
          <w:szCs w:val="24"/>
        </w:rPr>
        <w:t>Instytucja Zasad Zarządzania pozostaje bez wpływu na prawne i organizacyjne ramy dysponowania środkami pochodzącymi z budżetu UE, w szczególności z programów dedykowanych infrastrukturze (POIŚ), w tym na terminy realizacji inwestycji. Dotyczy to wszystkich aktorów tego systemu, szczególnie w relacjach płatnik</w:t>
      </w:r>
      <w:r w:rsidR="005E3EB4">
        <w:rPr>
          <w:rFonts w:cs="Times New Roman"/>
          <w:szCs w:val="24"/>
        </w:rPr>
        <w:t>–</w:t>
      </w:r>
      <w:r>
        <w:rPr>
          <w:rFonts w:cs="Times New Roman"/>
          <w:szCs w:val="24"/>
        </w:rPr>
        <w:t>inwestor. Centralna rol</w:t>
      </w:r>
      <w:r w:rsidR="005E3EB4">
        <w:rPr>
          <w:rFonts w:cs="Times New Roman"/>
          <w:szCs w:val="24"/>
        </w:rPr>
        <w:t>ę</w:t>
      </w:r>
      <w:r>
        <w:rPr>
          <w:rFonts w:cs="Times New Roman"/>
          <w:szCs w:val="24"/>
        </w:rPr>
        <w:t xml:space="preserve"> w tym systemie wciąż odgrywać będzie minister właściwy ds. rozwoju regionalnego, wydający wytyczne. Uprawnienie Pełnomocnika w tym zakresie ograniczone jest do możliwości wnioskowania o zmianę wytycznych.</w:t>
      </w:r>
    </w:p>
    <w:p w:rsidR="005E3EB4" w:rsidRPr="005D4AE4" w:rsidRDefault="005E3EB4" w:rsidP="005D4AE4">
      <w:pPr>
        <w:spacing w:before="120"/>
        <w:jc w:val="both"/>
        <w:rPr>
          <w:rFonts w:eastAsia="Times New Roman" w:cs="Times New Roman"/>
          <w:szCs w:val="24"/>
        </w:rPr>
      </w:pPr>
    </w:p>
    <w:p w:rsidR="005D4AE4" w:rsidRPr="005D4AE4" w:rsidRDefault="005D4AE4" w:rsidP="005D4AE4">
      <w:pPr>
        <w:spacing w:before="120"/>
        <w:jc w:val="both"/>
        <w:rPr>
          <w:rFonts w:eastAsia="Times New Roman" w:cs="Times New Roman"/>
          <w:b/>
          <w:szCs w:val="24"/>
        </w:rPr>
      </w:pPr>
      <w:r w:rsidRPr="005D4AE4">
        <w:rPr>
          <w:rFonts w:eastAsia="Times New Roman" w:cs="Times New Roman"/>
          <w:b/>
          <w:szCs w:val="24"/>
        </w:rPr>
        <w:lastRenderedPageBreak/>
        <w:t>Sprawozdawczość</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Rozdział 4 Działu II określa zasady sprawozdawczości. Przewidziano w nim zasady monitorowania i</w:t>
      </w:r>
      <w:r>
        <w:rPr>
          <w:rFonts w:eastAsia="Times New Roman" w:cs="Times New Roman"/>
          <w:szCs w:val="24"/>
        </w:rPr>
        <w:t xml:space="preserve"> </w:t>
      </w:r>
      <w:r w:rsidRPr="005D4AE4">
        <w:rPr>
          <w:rFonts w:eastAsia="Times New Roman" w:cs="Times New Roman"/>
          <w:szCs w:val="24"/>
        </w:rPr>
        <w:t xml:space="preserve">kontroli postępów realizacji </w:t>
      </w:r>
      <w:r w:rsidR="005E3EB4">
        <w:rPr>
          <w:rFonts w:eastAsia="Times New Roman" w:cs="Times New Roman"/>
          <w:szCs w:val="24"/>
        </w:rPr>
        <w:t>P</w:t>
      </w:r>
      <w:r w:rsidRPr="005D4AE4">
        <w:rPr>
          <w:rFonts w:eastAsia="Times New Roman" w:cs="Times New Roman"/>
          <w:szCs w:val="24"/>
        </w:rPr>
        <w:t>rogramu. Instrumentem mającym służyć temu celowi jest przedstawiane Radzie Ministrów przez Pełnomocnika sprawozdan</w:t>
      </w:r>
      <w:r w:rsidR="008F3269">
        <w:rPr>
          <w:rFonts w:eastAsia="Times New Roman" w:cs="Times New Roman"/>
          <w:szCs w:val="24"/>
        </w:rPr>
        <w:t>i</w:t>
      </w:r>
      <w:r w:rsidR="00D7688E">
        <w:rPr>
          <w:rFonts w:eastAsia="Times New Roman" w:cs="Times New Roman"/>
          <w:szCs w:val="24"/>
        </w:rPr>
        <w:t>e</w:t>
      </w:r>
      <w:r w:rsidR="008F3269">
        <w:rPr>
          <w:rFonts w:eastAsia="Times New Roman" w:cs="Times New Roman"/>
          <w:szCs w:val="24"/>
        </w:rPr>
        <w:t xml:space="preserve"> z</w:t>
      </w:r>
      <w:r w:rsidR="00F534FE">
        <w:rPr>
          <w:rFonts w:eastAsia="Times New Roman" w:cs="Times New Roman"/>
          <w:szCs w:val="24"/>
        </w:rPr>
        <w:t> </w:t>
      </w:r>
      <w:r w:rsidRPr="005D4AE4">
        <w:rPr>
          <w:rFonts w:eastAsia="Times New Roman" w:cs="Times New Roman"/>
          <w:szCs w:val="24"/>
        </w:rPr>
        <w:t>działalności, nie rzadziej niż raz na pół roku.</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Ponadto Pełnomocnik byłby uprawniony przedstawiać Ra</w:t>
      </w:r>
      <w:r w:rsidR="008F3269">
        <w:rPr>
          <w:rFonts w:eastAsia="Times New Roman" w:cs="Times New Roman"/>
          <w:szCs w:val="24"/>
        </w:rPr>
        <w:t>dzie Ministrów analizy, oceny i</w:t>
      </w:r>
      <w:r w:rsidR="00F534FE">
        <w:rPr>
          <w:rFonts w:eastAsia="Times New Roman" w:cs="Times New Roman"/>
          <w:szCs w:val="24"/>
        </w:rPr>
        <w:t xml:space="preserve"> </w:t>
      </w:r>
      <w:r w:rsidRPr="005D4AE4">
        <w:rPr>
          <w:rFonts w:eastAsia="Times New Roman" w:cs="Times New Roman"/>
          <w:szCs w:val="24"/>
        </w:rPr>
        <w:t>wnioski związane z zakresem jego działania. Pełnomocnik jest również zobowiązany aby informować Prezesa Rady Ministrów o zagrożeniach dla realizacji powierzonych zadań.</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Z kolei zadaniem Spółki Celowej jest przedkładanie Pełnomocnikowi, cyklicznie, ni</w:t>
      </w:r>
      <w:r>
        <w:rPr>
          <w:rFonts w:eastAsia="Times New Roman" w:cs="Times New Roman"/>
          <w:szCs w:val="24"/>
        </w:rPr>
        <w:t>e rzadziej niż raz na pół roku –</w:t>
      </w:r>
      <w:r w:rsidRPr="005D4AE4">
        <w:rPr>
          <w:rFonts w:eastAsia="Times New Roman" w:cs="Times New Roman"/>
          <w:szCs w:val="24"/>
        </w:rPr>
        <w:t xml:space="preserve"> do dnia 30 czerwca i 31 grudnia, i każdorazowo na jego żądanie we wskazanym terminie, raport</w:t>
      </w:r>
      <w:r w:rsidR="005E3EB4">
        <w:rPr>
          <w:rFonts w:eastAsia="Times New Roman" w:cs="Times New Roman"/>
          <w:szCs w:val="24"/>
        </w:rPr>
        <w:t>ów</w:t>
      </w:r>
      <w:r w:rsidRPr="005D4AE4">
        <w:rPr>
          <w:rFonts w:eastAsia="Times New Roman" w:cs="Times New Roman"/>
          <w:szCs w:val="24"/>
        </w:rPr>
        <w:t xml:space="preserve"> o postępie realizacji P</w:t>
      </w:r>
      <w:r w:rsidR="008F3269">
        <w:rPr>
          <w:rFonts w:eastAsia="Times New Roman" w:cs="Times New Roman"/>
          <w:szCs w:val="24"/>
        </w:rPr>
        <w:t>rogramu i ryzykach związanych z</w:t>
      </w:r>
      <w:r w:rsidR="00F534FE">
        <w:rPr>
          <w:rFonts w:eastAsia="Times New Roman" w:cs="Times New Roman"/>
          <w:szCs w:val="24"/>
        </w:rPr>
        <w:t xml:space="preserve"> </w:t>
      </w:r>
      <w:r w:rsidRPr="005D4AE4">
        <w:rPr>
          <w:rFonts w:eastAsia="Times New Roman" w:cs="Times New Roman"/>
          <w:szCs w:val="24"/>
        </w:rPr>
        <w:t>wdrażaniem Programu.</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Pozostali Inwestorzy przedkładają Spółce Celowej, cyklicznie nie rzadziej niż raz na pół roku i każdorazowo na jej żądanie, raporty o post</w:t>
      </w:r>
      <w:r w:rsidR="00F534FE">
        <w:rPr>
          <w:rFonts w:eastAsia="Times New Roman" w:cs="Times New Roman"/>
          <w:szCs w:val="24"/>
        </w:rPr>
        <w:t>ępie realizacji Przedsięwzięć i </w:t>
      </w:r>
      <w:r w:rsidRPr="005D4AE4">
        <w:rPr>
          <w:rFonts w:eastAsia="Times New Roman" w:cs="Times New Roman"/>
          <w:szCs w:val="24"/>
        </w:rPr>
        <w:t>ryzykach związanych z ich przygotowaniem i realizacją.</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Przewiduje się sankcję za niedochowanie wyżej wskazanych obowiązków sprawozdawczych. Stanowi on</w:t>
      </w:r>
      <w:r w:rsidR="005E3EB4">
        <w:rPr>
          <w:rFonts w:eastAsia="Times New Roman" w:cs="Times New Roman"/>
          <w:szCs w:val="24"/>
        </w:rPr>
        <w:t>a</w:t>
      </w:r>
      <w:r w:rsidRPr="005D4AE4">
        <w:rPr>
          <w:rFonts w:eastAsia="Times New Roman" w:cs="Times New Roman"/>
          <w:szCs w:val="24"/>
        </w:rPr>
        <w:t xml:space="preserve">, że złożenie sprawozdania przez Spółkę Celową po terminie stanowi podstawę do odmowy udzielenia absolutorium zarządowi Spółki Celowej. </w:t>
      </w:r>
    </w:p>
    <w:p w:rsidR="005D4AE4" w:rsidRPr="005D4AE4" w:rsidRDefault="005D4AE4" w:rsidP="005D4AE4">
      <w:pPr>
        <w:spacing w:before="120"/>
        <w:jc w:val="both"/>
        <w:rPr>
          <w:rFonts w:eastAsia="Times New Roman" w:cs="Times New Roman"/>
          <w:b/>
          <w:szCs w:val="24"/>
        </w:rPr>
      </w:pPr>
      <w:bookmarkStart w:id="1" w:name="_gjdgxs" w:colFirst="0" w:colLast="0"/>
      <w:bookmarkEnd w:id="1"/>
      <w:r w:rsidRPr="005D4AE4">
        <w:rPr>
          <w:rFonts w:eastAsia="Times New Roman" w:cs="Times New Roman"/>
          <w:szCs w:val="24"/>
        </w:rPr>
        <w:t>Ponadto w przypadkach, o których mowa powyżej, Pełnomocnik może, niezależnie od uprawnień wynikających z przepisów odrębnych, odwołać członka zarządu Spółki Celowej odpowiedzialnego za nieterminowe złożenie raportu.</w:t>
      </w:r>
    </w:p>
    <w:p w:rsidR="005D4AE4" w:rsidRPr="005D4AE4" w:rsidRDefault="005D4AE4" w:rsidP="005D4AE4">
      <w:pPr>
        <w:spacing w:before="120"/>
        <w:jc w:val="both"/>
        <w:rPr>
          <w:rFonts w:eastAsia="Times New Roman" w:cs="Times New Roman"/>
          <w:szCs w:val="24"/>
        </w:rPr>
      </w:pPr>
      <w:r w:rsidRPr="005D4AE4">
        <w:rPr>
          <w:rFonts w:eastAsia="Times New Roman" w:cs="Times New Roman"/>
          <w:b/>
          <w:szCs w:val="24"/>
        </w:rPr>
        <w:t>Przygotowanie i realizacja inwestycji (Dział III)</w:t>
      </w:r>
    </w:p>
    <w:p w:rsidR="005D4AE4" w:rsidRPr="005D4AE4" w:rsidRDefault="005D4AE4" w:rsidP="005D4AE4">
      <w:pPr>
        <w:spacing w:before="120"/>
        <w:jc w:val="both"/>
        <w:rPr>
          <w:rFonts w:eastAsia="Times New Roman" w:cs="Times New Roman"/>
          <w:b/>
          <w:szCs w:val="24"/>
        </w:rPr>
      </w:pPr>
      <w:r w:rsidRPr="005D4AE4">
        <w:rPr>
          <w:rFonts w:eastAsia="Times New Roman" w:cs="Times New Roman"/>
          <w:b/>
          <w:szCs w:val="24"/>
        </w:rPr>
        <w:t>Przygotowanie obszaru inwestycji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Z uwagi na wyjątkowy charakter Inwestycji ustawa przewiduje, dla zabezpieczenia prawidłowości jej realizacji, w tym przeprowadzenia rzetelnych, wyczerpujących badań środowiskowych, etap przygotowania obszaru inwestycji, który rozpoczyna wydanie rozporządzenia Rady Ministrów wskazującego gminy objęte przygotowaniem oraz środki prawne niezbędne do realizacji ww. etapu. Biorąc pod uwagę specyfikę wymagań Inwestycji, w ramach rozporządzenia środki te można różnicować między </w:t>
      </w:r>
      <w:r w:rsidRPr="005D4AE4">
        <w:rPr>
          <w:rFonts w:eastAsia="Times New Roman" w:cs="Times New Roman"/>
          <w:szCs w:val="24"/>
        </w:rPr>
        <w:lastRenderedPageBreak/>
        <w:t>gminami. Wydając rozporządzenie, Rada Ministrów uwzględnia</w:t>
      </w:r>
      <w:r>
        <w:rPr>
          <w:rFonts w:eastAsia="Times New Roman" w:cs="Times New Roman"/>
          <w:szCs w:val="24"/>
        </w:rPr>
        <w:t xml:space="preserve"> </w:t>
      </w:r>
      <w:r w:rsidR="00F534FE">
        <w:rPr>
          <w:rFonts w:eastAsia="Times New Roman" w:cs="Times New Roman"/>
          <w:szCs w:val="24"/>
        </w:rPr>
        <w:t>dane zgromadzone w </w:t>
      </w:r>
      <w:r w:rsidRPr="005D4AE4">
        <w:rPr>
          <w:rFonts w:eastAsia="Times New Roman" w:cs="Times New Roman"/>
          <w:szCs w:val="24"/>
        </w:rPr>
        <w:t xml:space="preserve">toku analiz przygotowujących Inwestycję, w szczególności analiz przestrzennych, środowiskowych, ekonomicznych i technicznych, </w:t>
      </w:r>
      <w:r w:rsidRPr="005D4AE4">
        <w:rPr>
          <w:rFonts w:eastAsia="Times New Roman" w:cs="Times New Roman"/>
          <w:color w:val="000000" w:themeColor="text1"/>
          <w:szCs w:val="24"/>
          <w:lang w:val="pl"/>
        </w:rPr>
        <w:t>wyznaczając obszar niezbędny do zapewnienia prawidłowego przygotowania Inwestycji, w sposób możliwie zwarty</w:t>
      </w:r>
      <w:r w:rsidR="00F534FE">
        <w:rPr>
          <w:rFonts w:eastAsia="Times New Roman" w:cs="Times New Roman"/>
          <w:szCs w:val="24"/>
        </w:rPr>
        <w:t>. W </w:t>
      </w:r>
      <w:r w:rsidRPr="005D4AE4">
        <w:rPr>
          <w:rFonts w:eastAsia="Times New Roman" w:cs="Times New Roman"/>
          <w:szCs w:val="24"/>
        </w:rPr>
        <w:t>rozporządzeniu określa się termin utraty jego mocy</w:t>
      </w:r>
      <w:r>
        <w:rPr>
          <w:rFonts w:eastAsia="Times New Roman" w:cs="Times New Roman"/>
          <w:szCs w:val="24"/>
        </w:rPr>
        <w:t>, wynoszący maksymalnie 2 lata –</w:t>
      </w:r>
      <w:r w:rsidRPr="005D4AE4">
        <w:rPr>
          <w:rFonts w:eastAsia="Times New Roman" w:cs="Times New Roman"/>
          <w:szCs w:val="24"/>
        </w:rPr>
        <w:t xml:space="preserve"> jest to okres gwarantujący proporcjonalność stosowanego środka prawnego.</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Szczególnymi zasadami gospodarowania</w:t>
      </w:r>
      <w:r w:rsidR="00F534FE">
        <w:rPr>
          <w:rFonts w:eastAsia="Times New Roman" w:cs="Times New Roman"/>
          <w:szCs w:val="24"/>
        </w:rPr>
        <w:t xml:space="preserve"> nieruchomościami, planowania i </w:t>
      </w:r>
      <w:r w:rsidRPr="005D4AE4">
        <w:rPr>
          <w:rFonts w:eastAsia="Times New Roman" w:cs="Times New Roman"/>
          <w:szCs w:val="24"/>
        </w:rPr>
        <w:t>zagospodarowania przestrzennego oraz realizacji inwestycji celu publiczne</w:t>
      </w:r>
      <w:r w:rsidR="008F3269">
        <w:rPr>
          <w:rFonts w:eastAsia="Times New Roman" w:cs="Times New Roman"/>
          <w:szCs w:val="24"/>
        </w:rPr>
        <w:t>go, możliwymi do zastosowania w</w:t>
      </w:r>
      <w:r w:rsidR="00F534FE">
        <w:rPr>
          <w:rFonts w:eastAsia="Times New Roman" w:cs="Times New Roman"/>
          <w:szCs w:val="24"/>
        </w:rPr>
        <w:t xml:space="preserve"> </w:t>
      </w:r>
      <w:r w:rsidRPr="005D4AE4">
        <w:rPr>
          <w:rFonts w:eastAsia="Times New Roman" w:cs="Times New Roman"/>
          <w:szCs w:val="24"/>
        </w:rPr>
        <w:t>rozporządzeniu, są:</w:t>
      </w:r>
    </w:p>
    <w:p w:rsidR="005D4AE4" w:rsidRPr="005D4AE4" w:rsidRDefault="005D4AE4" w:rsidP="008F3269">
      <w:pPr>
        <w:ind w:left="425" w:hanging="425"/>
        <w:jc w:val="both"/>
        <w:rPr>
          <w:rFonts w:eastAsia="Times New Roman" w:cs="Times New Roman"/>
          <w:szCs w:val="24"/>
        </w:rPr>
      </w:pPr>
      <w:r w:rsidRPr="005D4AE4">
        <w:rPr>
          <w:rFonts w:eastAsia="Times New Roman" w:cs="Times New Roman"/>
          <w:szCs w:val="24"/>
        </w:rPr>
        <w:t>1)</w:t>
      </w:r>
      <w:r w:rsidRPr="005D4AE4">
        <w:rPr>
          <w:rFonts w:eastAsia="Times New Roman" w:cs="Times New Roman"/>
          <w:szCs w:val="24"/>
        </w:rPr>
        <w:tab/>
        <w:t>prawo pierwokupu nieruchomości przez Spółkę Celową, z wyłączeniem samodzielnych lokali mieszkalnych, których pierwokup nie jest zasadny na tym etapie postępowania;</w:t>
      </w:r>
    </w:p>
    <w:p w:rsidR="005D4AE4" w:rsidRPr="005D4AE4" w:rsidRDefault="005D4AE4" w:rsidP="008F3269">
      <w:pPr>
        <w:ind w:left="425" w:hanging="425"/>
        <w:jc w:val="both"/>
        <w:rPr>
          <w:rFonts w:eastAsia="Times New Roman" w:cs="Times New Roman"/>
          <w:szCs w:val="24"/>
        </w:rPr>
      </w:pPr>
      <w:r>
        <w:rPr>
          <w:rFonts w:eastAsia="Times New Roman" w:cs="Times New Roman"/>
          <w:szCs w:val="24"/>
        </w:rPr>
        <w:t>2)</w:t>
      </w:r>
      <w:r w:rsidRPr="005D4AE4">
        <w:rPr>
          <w:rFonts w:eastAsia="Times New Roman" w:cs="Times New Roman"/>
          <w:szCs w:val="24"/>
        </w:rPr>
        <w:tab/>
        <w:t>uprawnienie Spółki Celowej do nabywania oraz zamiany nieruchomości dla realizacji celów określonych w ustawie;</w:t>
      </w:r>
    </w:p>
    <w:p w:rsidR="005D4AE4" w:rsidRPr="005D4AE4" w:rsidRDefault="005D4AE4" w:rsidP="008F3269">
      <w:pPr>
        <w:ind w:left="425" w:hanging="425"/>
        <w:jc w:val="both"/>
        <w:rPr>
          <w:rFonts w:eastAsia="Times New Roman" w:cs="Times New Roman"/>
          <w:szCs w:val="24"/>
        </w:rPr>
      </w:pPr>
      <w:r>
        <w:rPr>
          <w:rFonts w:eastAsia="Times New Roman" w:cs="Times New Roman"/>
          <w:szCs w:val="24"/>
        </w:rPr>
        <w:t>3)</w:t>
      </w:r>
      <w:r w:rsidRPr="005D4AE4">
        <w:rPr>
          <w:rFonts w:eastAsia="Times New Roman" w:cs="Times New Roman"/>
          <w:szCs w:val="24"/>
        </w:rPr>
        <w:tab/>
        <w:t>uprawnienie Pełnomocnika do wyrażania zgo</w:t>
      </w:r>
      <w:r w:rsidR="00F534FE">
        <w:rPr>
          <w:rFonts w:eastAsia="Times New Roman" w:cs="Times New Roman"/>
          <w:szCs w:val="24"/>
        </w:rPr>
        <w:t>dy na zawarcia umów dzierżawy i </w:t>
      </w:r>
      <w:r w:rsidRPr="005D4AE4">
        <w:rPr>
          <w:rFonts w:eastAsia="Times New Roman" w:cs="Times New Roman"/>
          <w:szCs w:val="24"/>
        </w:rPr>
        <w:t>najmu nieruchomości gruntowych Skarbu Państwa wymien</w:t>
      </w:r>
      <w:r w:rsidR="00F534FE">
        <w:rPr>
          <w:rFonts w:eastAsia="Times New Roman" w:cs="Times New Roman"/>
          <w:szCs w:val="24"/>
        </w:rPr>
        <w:t>ionych w </w:t>
      </w:r>
      <w:r w:rsidRPr="005D4AE4">
        <w:rPr>
          <w:rFonts w:eastAsia="Times New Roman" w:cs="Times New Roman"/>
          <w:szCs w:val="24"/>
        </w:rPr>
        <w:t>rozporządzeniu oraz umów, które pozwalają na realizację inwestycji na tych nieruchomościach, również inwestycji o charakterze innym niż budowlanym;</w:t>
      </w:r>
    </w:p>
    <w:p w:rsidR="005D4AE4" w:rsidRPr="005D4AE4" w:rsidRDefault="005D4AE4" w:rsidP="008F3269">
      <w:pPr>
        <w:ind w:left="425" w:hanging="425"/>
        <w:jc w:val="both"/>
        <w:rPr>
          <w:rFonts w:eastAsia="Times New Roman" w:cs="Times New Roman"/>
          <w:szCs w:val="24"/>
        </w:rPr>
      </w:pPr>
      <w:r>
        <w:rPr>
          <w:rFonts w:eastAsia="Times New Roman" w:cs="Times New Roman"/>
          <w:szCs w:val="24"/>
        </w:rPr>
        <w:t>4)</w:t>
      </w:r>
      <w:r w:rsidRPr="005D4AE4">
        <w:rPr>
          <w:rFonts w:eastAsia="Times New Roman" w:cs="Times New Roman"/>
          <w:szCs w:val="24"/>
        </w:rPr>
        <w:tab/>
        <w:t xml:space="preserve">uzgodnienie przez ministra właściwego do spraw transportu projektów studium uwarunkowań i kierunków zagospodarowania przestrzennego gminy, ramowego studium uwarunkowań i kierunków zagospodarowania przestrzennego związku metropolitalnego oraz miejscowego planu zagospodarowania przestrzennego. </w:t>
      </w:r>
    </w:p>
    <w:p w:rsidR="005D4AE4" w:rsidRPr="005D4AE4" w:rsidRDefault="005D4AE4" w:rsidP="005D4AE4">
      <w:pPr>
        <w:pStyle w:val="USTustnpkodeksu"/>
        <w:spacing w:before="120"/>
        <w:ind w:firstLine="0"/>
        <w:rPr>
          <w:rFonts w:ascii="Times New Roman" w:hAnsi="Times New Roman" w:cs="Times New Roman"/>
          <w:szCs w:val="24"/>
        </w:rPr>
      </w:pPr>
      <w:r w:rsidRPr="005D4AE4">
        <w:rPr>
          <w:rFonts w:ascii="Times New Roman" w:hAnsi="Times New Roman" w:cs="Times New Roman"/>
          <w:szCs w:val="24"/>
        </w:rPr>
        <w:t>Prawo pierwokupu realizuje Spółka Celowa. Do prawa pierwokupu w zakresie nieuregulowanym stosuje się przepisy ustawy z dnia 21 sierpnia 1997 r. o gospodarce nieruchomościami oraz ust</w:t>
      </w:r>
      <w:r>
        <w:rPr>
          <w:rFonts w:ascii="Times New Roman" w:hAnsi="Times New Roman" w:cs="Times New Roman"/>
          <w:szCs w:val="24"/>
        </w:rPr>
        <w:t>awy z dnia 23 kwietnia 1964 r. –</w:t>
      </w:r>
      <w:r w:rsidRPr="005D4AE4">
        <w:rPr>
          <w:rFonts w:ascii="Times New Roman" w:hAnsi="Times New Roman" w:cs="Times New Roman"/>
          <w:szCs w:val="24"/>
        </w:rPr>
        <w:t xml:space="preserve"> Kodeks cywilny, przy czym do nieruchomości objętych prawem pierwokupu na rzecz Spółki Celowej przep</w:t>
      </w:r>
      <w:r w:rsidR="00F534FE">
        <w:rPr>
          <w:rFonts w:ascii="Times New Roman" w:hAnsi="Times New Roman" w:cs="Times New Roman"/>
          <w:szCs w:val="24"/>
        </w:rPr>
        <w:t>isów art. </w:t>
      </w:r>
      <w:r w:rsidRPr="005D4AE4">
        <w:rPr>
          <w:rFonts w:ascii="Times New Roman" w:hAnsi="Times New Roman" w:cs="Times New Roman"/>
          <w:szCs w:val="24"/>
        </w:rPr>
        <w:t>109 ustawy z dnia 21 sierpnia 1997 r. o gospodarce nier</w:t>
      </w:r>
      <w:r w:rsidR="008F3269">
        <w:rPr>
          <w:rFonts w:ascii="Times New Roman" w:hAnsi="Times New Roman" w:cs="Times New Roman"/>
          <w:szCs w:val="24"/>
        </w:rPr>
        <w:t>uchomościami nie stosuje się. W</w:t>
      </w:r>
      <w:r w:rsidR="00F534FE">
        <w:rPr>
          <w:rFonts w:ascii="Times New Roman" w:hAnsi="Times New Roman" w:cs="Times New Roman"/>
          <w:szCs w:val="24"/>
        </w:rPr>
        <w:t xml:space="preserve"> </w:t>
      </w:r>
      <w:r w:rsidRPr="005D4AE4">
        <w:rPr>
          <w:rFonts w:ascii="Times New Roman" w:hAnsi="Times New Roman" w:cs="Times New Roman"/>
          <w:szCs w:val="24"/>
        </w:rPr>
        <w:t xml:space="preserve">przypadku zbiegu prawa pierwokupu określonego w niniejszej ustawie z prawem pierwokupu określonym w przepisach odrębnych, </w:t>
      </w:r>
      <w:r w:rsidR="00F534FE">
        <w:rPr>
          <w:rFonts w:ascii="Times New Roman" w:hAnsi="Times New Roman" w:cs="Times New Roman"/>
          <w:szCs w:val="24"/>
        </w:rPr>
        <w:t>w tym w art. 4 ustawy z dnia 11 </w:t>
      </w:r>
      <w:r w:rsidRPr="005D4AE4">
        <w:rPr>
          <w:rFonts w:ascii="Times New Roman" w:hAnsi="Times New Roman" w:cs="Times New Roman"/>
          <w:szCs w:val="24"/>
        </w:rPr>
        <w:t>kwietnia 2003 r. o kształtowaniu ustroju rolnego, prawa te wykonuje się w taki sposób, że pierwszym uprawnionym do wykonania prawa pierwokupu jest Spółka Celowa.</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lastRenderedPageBreak/>
        <w:t>Uprawnienie Pełnomocnika do wyrażania zgód może być wykonane w terminie miesiąca od dnia otrzymania przez Pełnomocnika zawiadomienia o zamiarze zawarcia umów dzierżawy lub najmu nieruchomości gruntowych Skarbu Państwa wymienionych w rozporządzeniu oraz umów, które pozwalają na realizację inwestycji na takich nieruchomościach, również inwestycji o charakterze innym niż budowlanym. Umowa dzierżawy lub najmu nieruchomości gruntowe</w:t>
      </w:r>
      <w:r w:rsidR="00F534FE">
        <w:rPr>
          <w:rFonts w:eastAsia="Times New Roman" w:cs="Times New Roman"/>
          <w:szCs w:val="24"/>
        </w:rPr>
        <w:t>j Skarbu Państwa wymienionych w </w:t>
      </w:r>
      <w:r w:rsidRPr="005D4AE4">
        <w:rPr>
          <w:rFonts w:eastAsia="Times New Roman" w:cs="Times New Roman"/>
          <w:szCs w:val="24"/>
        </w:rPr>
        <w:t>rozporządzeniu oraz umowa, która pozwala na realizację inwestycji na takiej nier</w:t>
      </w:r>
      <w:r w:rsidR="008F3269">
        <w:rPr>
          <w:rFonts w:eastAsia="Times New Roman" w:cs="Times New Roman"/>
          <w:szCs w:val="24"/>
        </w:rPr>
        <w:t>uchomości, również inwestycji o</w:t>
      </w:r>
      <w:r w:rsidR="00F534FE">
        <w:rPr>
          <w:rFonts w:eastAsia="Times New Roman" w:cs="Times New Roman"/>
          <w:szCs w:val="24"/>
        </w:rPr>
        <w:t xml:space="preserve"> </w:t>
      </w:r>
      <w:r w:rsidRPr="005D4AE4">
        <w:rPr>
          <w:rFonts w:eastAsia="Times New Roman" w:cs="Times New Roman"/>
          <w:szCs w:val="24"/>
        </w:rPr>
        <w:t>charakterze innym niż budowlanym, zawarta bez dochowania wymogów ustawowych lub wbrew stanowisku Pełnomocnika, jest nieważna z mocy prawa.</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Rozporządzenie może ponadto uprawniać Inwestora do we</w:t>
      </w:r>
      <w:r w:rsidR="008F3269">
        <w:rPr>
          <w:rFonts w:eastAsia="Times New Roman" w:cs="Times New Roman"/>
          <w:szCs w:val="24"/>
        </w:rPr>
        <w:t>jścia na teren nieruchomości w</w:t>
      </w:r>
      <w:r w:rsidR="00F534FE">
        <w:rPr>
          <w:rFonts w:eastAsia="Times New Roman" w:cs="Times New Roman"/>
          <w:szCs w:val="24"/>
        </w:rPr>
        <w:t xml:space="preserve"> </w:t>
      </w:r>
      <w:r w:rsidRPr="005D4AE4">
        <w:rPr>
          <w:rFonts w:eastAsia="Times New Roman" w:cs="Times New Roman"/>
          <w:szCs w:val="24"/>
        </w:rPr>
        <w:t>celu przeprowadzenia badań lub pomiarów niezbędnych do przygotowania i realizacji Inwestycji, w szczególności badań archeologicznych, geologicznych i przyrodniczych. Badania takie, wykonywane na wszystkich, w tym bardzo wczesnych (strategiczna ocena oddziaływania na środowisko) etapach inwestowania, są niezbędne dla rzetelnego przygotowania Inwestycji, co przełoży się na termin i koszty jej realizacji, jest to zatem działanie realizowane w interesie publicznym. Przepisy ustawy ustanawiają odpowiedni tryb zajęcia nieruchomości, przewidujący decyzję wojewody uprawniającą do wejścia na nieruchomość oraz mechanizm odszkodowawczy.</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Procedowanie przedmiotowego rozporządzenia następuje w oparciu o przepisy ogólne, ustawa jedynie rozszerza obowiązek informacyjny na konieczność zamieszczenia informacji o ogłoszeniu rozporządzenia, wraz z jego treścią, na stron</w:t>
      </w:r>
      <w:r w:rsidR="008F3269">
        <w:rPr>
          <w:rFonts w:eastAsia="Times New Roman" w:cs="Times New Roman"/>
          <w:szCs w:val="24"/>
        </w:rPr>
        <w:t>ach podmiotowych BIP organów, w</w:t>
      </w:r>
      <w:r w:rsidR="00F534FE">
        <w:rPr>
          <w:rFonts w:eastAsia="Times New Roman" w:cs="Times New Roman"/>
          <w:szCs w:val="24"/>
        </w:rPr>
        <w:t xml:space="preserve"> </w:t>
      </w:r>
      <w:r w:rsidRPr="005D4AE4">
        <w:rPr>
          <w:rFonts w:eastAsia="Times New Roman" w:cs="Times New Roman"/>
          <w:szCs w:val="24"/>
        </w:rPr>
        <w:t>prasie miejscowej oraz obwieszczenia w sposób zwycz</w:t>
      </w:r>
      <w:r w:rsidR="008F3269">
        <w:rPr>
          <w:rFonts w:eastAsia="Times New Roman" w:cs="Times New Roman"/>
          <w:szCs w:val="24"/>
        </w:rPr>
        <w:t>ajowo przyjęty w danej gminie i</w:t>
      </w:r>
      <w:r w:rsidR="00F534FE">
        <w:rPr>
          <w:rFonts w:eastAsia="Times New Roman" w:cs="Times New Roman"/>
          <w:szCs w:val="24"/>
        </w:rPr>
        <w:t xml:space="preserve"> </w:t>
      </w:r>
      <w:r w:rsidRPr="005D4AE4">
        <w:rPr>
          <w:rFonts w:eastAsia="Times New Roman" w:cs="Times New Roman"/>
          <w:szCs w:val="24"/>
        </w:rPr>
        <w:t xml:space="preserve">miejscowości. Ma to na celu możliwie szerokie </w:t>
      </w:r>
      <w:r w:rsidR="008F3269">
        <w:rPr>
          <w:rFonts w:eastAsia="Times New Roman" w:cs="Times New Roman"/>
          <w:szCs w:val="24"/>
        </w:rPr>
        <w:t>poinformowanie adresatów norm o</w:t>
      </w:r>
      <w:r w:rsidR="00F534FE">
        <w:rPr>
          <w:rFonts w:eastAsia="Times New Roman" w:cs="Times New Roman"/>
          <w:szCs w:val="24"/>
        </w:rPr>
        <w:t xml:space="preserve"> </w:t>
      </w:r>
      <w:r w:rsidRPr="005D4AE4">
        <w:rPr>
          <w:rFonts w:eastAsia="Times New Roman" w:cs="Times New Roman"/>
          <w:szCs w:val="24"/>
        </w:rPr>
        <w:t>zmienionym stanie prawnym.</w:t>
      </w:r>
    </w:p>
    <w:p w:rsidR="005D4AE4" w:rsidRPr="005D4AE4" w:rsidRDefault="005D4AE4" w:rsidP="005D4AE4">
      <w:pPr>
        <w:spacing w:before="120"/>
        <w:jc w:val="both"/>
        <w:rPr>
          <w:rFonts w:eastAsia="Times New Roman" w:cs="Times New Roman"/>
          <w:b/>
          <w:szCs w:val="24"/>
        </w:rPr>
      </w:pPr>
      <w:r w:rsidRPr="005D4AE4">
        <w:rPr>
          <w:rFonts w:eastAsia="Times New Roman" w:cs="Times New Roman"/>
          <w:b/>
          <w:szCs w:val="24"/>
        </w:rPr>
        <w:t>Rezerwacja terenu</w:t>
      </w:r>
    </w:p>
    <w:p w:rsidR="005D4AE4" w:rsidRPr="005D4AE4" w:rsidRDefault="005D4AE4" w:rsidP="005D4AE4">
      <w:pPr>
        <w:pStyle w:val="USTustnpkodeksu"/>
        <w:spacing w:before="120"/>
        <w:ind w:firstLine="0"/>
        <w:rPr>
          <w:rFonts w:ascii="Times New Roman" w:hAnsi="Times New Roman" w:cs="Times New Roman"/>
          <w:szCs w:val="24"/>
        </w:rPr>
      </w:pPr>
      <w:r w:rsidRPr="005D4AE4">
        <w:rPr>
          <w:rFonts w:ascii="Times New Roman" w:eastAsia="Times New Roman" w:hAnsi="Times New Roman" w:cs="Times New Roman"/>
          <w:szCs w:val="24"/>
        </w:rPr>
        <w:t>Kolejnym etapem zabezpieczającym przygotowanie Inwestycji jest rezerwacja terenu, dokonywana przez wojewodę w formie planu rezerwacji, wydawanego w drodze zarządzenia, stanowiącego akt prawa miejscowego.</w:t>
      </w:r>
      <w:r w:rsidRPr="005D4AE4">
        <w:rPr>
          <w:rFonts w:ascii="Times New Roman" w:hAnsi="Times New Roman" w:cs="Times New Roman"/>
          <w:szCs w:val="24"/>
        </w:rPr>
        <w:t xml:space="preserve"> Obszar planu rezerwacji mogą stanowić wyłącznie tereny objęte rozporządzeniem, o którym mowa w art. 28.</w:t>
      </w:r>
      <w:r w:rsidRPr="005D4AE4">
        <w:rPr>
          <w:rFonts w:ascii="Times New Roman" w:eastAsia="Times New Roman" w:hAnsi="Times New Roman" w:cs="Times New Roman"/>
          <w:szCs w:val="24"/>
        </w:rPr>
        <w:t xml:space="preserve"> Rezerwacja, zastępująca środki prawne stosowane na mocy rozporządzenia Rady Ministrów dot. przygotowania obszaru inwestycji, stanowi środek oddziaływania na </w:t>
      </w:r>
      <w:r w:rsidRPr="005D4AE4">
        <w:rPr>
          <w:rFonts w:ascii="Times New Roman" w:eastAsia="Times New Roman" w:hAnsi="Times New Roman" w:cs="Times New Roman"/>
          <w:szCs w:val="24"/>
        </w:rPr>
        <w:lastRenderedPageBreak/>
        <w:t xml:space="preserve">sferę prawa własności nieruchomości, związaną </w:t>
      </w:r>
      <w:r w:rsidR="00F534FE">
        <w:rPr>
          <w:rFonts w:ascii="Times New Roman" w:eastAsia="Times New Roman" w:hAnsi="Times New Roman" w:cs="Times New Roman"/>
          <w:szCs w:val="24"/>
        </w:rPr>
        <w:t>z koniecznością przygotowania i </w:t>
      </w:r>
      <w:r w:rsidRPr="005D4AE4">
        <w:rPr>
          <w:rFonts w:ascii="Times New Roman" w:eastAsia="Times New Roman" w:hAnsi="Times New Roman" w:cs="Times New Roman"/>
          <w:szCs w:val="24"/>
        </w:rPr>
        <w:t xml:space="preserve">realizacji inwestycji celu publicznego, co nastąpić musi również przed wywłaszczeniem nieruchomości, w postaci zamrożenia inwestycyjnego. </w:t>
      </w:r>
    </w:p>
    <w:p w:rsidR="005D4AE4" w:rsidRPr="005D4AE4" w:rsidRDefault="005D4AE4" w:rsidP="00F84DA9">
      <w:pPr>
        <w:keepNext/>
        <w:widowControl/>
        <w:spacing w:before="120"/>
        <w:jc w:val="both"/>
        <w:rPr>
          <w:rFonts w:eastAsia="Times New Roman" w:cs="Times New Roman"/>
          <w:szCs w:val="24"/>
        </w:rPr>
      </w:pPr>
      <w:r w:rsidRPr="005D4AE4">
        <w:rPr>
          <w:rFonts w:eastAsia="Times New Roman" w:cs="Times New Roman"/>
          <w:szCs w:val="24"/>
        </w:rPr>
        <w:t>Przede wszystkim należy wskazać, że przedmiotowa regulacja ustanawia narzędzie prawne, którego zastosowanie każdorazowo podlega testowi proporcjonalności przez kontrolujący organ władzy sądowniczej. Poddanie aktów planowania przestrzennego konstytucyjnej zasadzie proporcjonalności, wynikające wprost z przepisu art. 31 ust. 3 Konstytucji, to istota mechanizmu zapewnienia proporcjonalnego charakteru tych aktów. Najwyraźniejszym przykładem funkcjonowania tego mechanizmu są miejscowe plany zagospodarowania przestrzennego, określające w</w:t>
      </w:r>
      <w:r w:rsidR="00F534FE">
        <w:rPr>
          <w:rFonts w:eastAsia="Times New Roman" w:cs="Times New Roman"/>
          <w:szCs w:val="24"/>
        </w:rPr>
        <w:t xml:space="preserve"> sposób władczy przeznaczenie i </w:t>
      </w:r>
      <w:r w:rsidRPr="005D4AE4">
        <w:rPr>
          <w:rFonts w:eastAsia="Times New Roman" w:cs="Times New Roman"/>
          <w:szCs w:val="24"/>
        </w:rPr>
        <w:t xml:space="preserve">zasady zagospodarowania terenu, na podstawie ogólnego upoważnienia ustawowego niepozwalającego na ocenę proporcjonalności rozstrzygnięć tych planów </w:t>
      </w:r>
      <w:r w:rsidRPr="005D4AE4">
        <w:rPr>
          <w:rFonts w:eastAsia="Times New Roman" w:cs="Times New Roman"/>
          <w:i/>
          <w:iCs/>
          <w:szCs w:val="24"/>
        </w:rPr>
        <w:t>in abstracto</w:t>
      </w:r>
      <w:r w:rsidRPr="005D4AE4">
        <w:rPr>
          <w:rFonts w:eastAsia="Times New Roman" w:cs="Times New Roman"/>
          <w:szCs w:val="24"/>
        </w:rPr>
        <w:t xml:space="preserve">. W orzecznictwie sądów administracyjnych utrwalił się pogląd, zgodnie z którym organ badający legalność takiego aktu w odniesieniu do rozstrzygnięć dotyczących konkretnych nieruchomości, w braku oparcia o konkretne elementy upoważnienia ustawowego korzysta przede wszystkim właśnie z konstytucyjnej zasady proporcjonalności, badając </w:t>
      </w:r>
      <w:r w:rsidR="008F3269">
        <w:rPr>
          <w:rFonts w:eastAsia="Times New Roman" w:cs="Times New Roman"/>
          <w:szCs w:val="24"/>
        </w:rPr>
        <w:t>czy w danym stanie faktycznym i</w:t>
      </w:r>
      <w:r w:rsidR="00F534FE">
        <w:rPr>
          <w:rFonts w:eastAsia="Times New Roman" w:cs="Times New Roman"/>
          <w:szCs w:val="24"/>
        </w:rPr>
        <w:t xml:space="preserve"> </w:t>
      </w:r>
      <w:r w:rsidRPr="005D4AE4">
        <w:rPr>
          <w:rFonts w:eastAsia="Times New Roman" w:cs="Times New Roman"/>
          <w:szCs w:val="24"/>
        </w:rPr>
        <w:t>prawnym rozwiązania zastosowane w akcie zachowują proporcjonalny charakter. NSA stwierdził,</w:t>
      </w:r>
      <w:r w:rsidR="005E3EB4">
        <w:rPr>
          <w:rFonts w:eastAsia="Times New Roman" w:cs="Times New Roman"/>
          <w:szCs w:val="24"/>
        </w:rPr>
        <w:t xml:space="preserve"> że</w:t>
      </w:r>
      <w:r w:rsidRPr="005D4AE4">
        <w:rPr>
          <w:rFonts w:eastAsia="Times New Roman" w:cs="Times New Roman"/>
          <w:szCs w:val="24"/>
        </w:rPr>
        <w:t xml:space="preserve"> </w:t>
      </w:r>
      <w:r w:rsidR="005E3EB4">
        <w:rPr>
          <w:rFonts w:eastAsia="Times New Roman" w:cs="Times New Roman"/>
          <w:szCs w:val="24"/>
        </w:rPr>
        <w:t>„</w:t>
      </w:r>
      <w:r w:rsidRPr="005D4AE4">
        <w:rPr>
          <w:rFonts w:eastAsia="Times New Roman" w:cs="Times New Roman"/>
          <w:i/>
          <w:iCs/>
          <w:szCs w:val="24"/>
        </w:rPr>
        <w:t>Działając w ramach określonych przez granice prawa i stosując zasadę proporcjonalności, organy gminy mogą w tworzonym planie zagospodarowania przestrzennego ograniczać uprawnienia właścicieli w celu pełniejszej realizacji innych wartości, które uznały za ważniejsze. Granice ingerencji prawodawczej w prawo własności wyznacza przede wszystkim art. 31 ust. 3 Konst</w:t>
      </w:r>
      <w:r w:rsidR="00F534FE">
        <w:rPr>
          <w:rFonts w:eastAsia="Times New Roman" w:cs="Times New Roman"/>
          <w:i/>
          <w:iCs/>
          <w:szCs w:val="24"/>
        </w:rPr>
        <w:t>ytucji RP, który stanowi, m.in. </w:t>
      </w:r>
      <w:r w:rsidRPr="005D4AE4">
        <w:rPr>
          <w:rFonts w:eastAsia="Times New Roman" w:cs="Times New Roman"/>
          <w:i/>
          <w:iCs/>
          <w:szCs w:val="24"/>
        </w:rPr>
        <w:t>że ograniczenia w zakresie korzystania z konstytucyjnych wolności i praw mogą być ustanawiane tylko wtedy, gdy są konieczne w demokratycznym państwie dla jego bezpieczeństwa lub porządku publicznego, bądź dl</w:t>
      </w:r>
      <w:r w:rsidR="00F534FE">
        <w:rPr>
          <w:rFonts w:eastAsia="Times New Roman" w:cs="Times New Roman"/>
          <w:i/>
          <w:iCs/>
          <w:szCs w:val="24"/>
        </w:rPr>
        <w:t>a ochrony środowiska, zdrowia i </w:t>
      </w:r>
      <w:r w:rsidRPr="005D4AE4">
        <w:rPr>
          <w:rFonts w:eastAsia="Times New Roman" w:cs="Times New Roman"/>
          <w:i/>
          <w:iCs/>
          <w:szCs w:val="24"/>
        </w:rPr>
        <w:t>moralno</w:t>
      </w:r>
      <w:r w:rsidR="008F3269">
        <w:rPr>
          <w:rFonts w:eastAsia="Times New Roman" w:cs="Times New Roman"/>
          <w:i/>
          <w:iCs/>
          <w:szCs w:val="24"/>
        </w:rPr>
        <w:t>ści publicznej, albo wolności i</w:t>
      </w:r>
      <w:r w:rsidR="00F534FE">
        <w:rPr>
          <w:rFonts w:eastAsia="Times New Roman" w:cs="Times New Roman"/>
          <w:i/>
          <w:iCs/>
          <w:szCs w:val="24"/>
        </w:rPr>
        <w:t xml:space="preserve"> </w:t>
      </w:r>
      <w:r w:rsidRPr="005D4AE4">
        <w:rPr>
          <w:rFonts w:eastAsia="Times New Roman" w:cs="Times New Roman"/>
          <w:i/>
          <w:iCs/>
          <w:szCs w:val="24"/>
        </w:rPr>
        <w:t>praw innych osób. Ograniczenia te nie mogą naruszać istoty wolno</w:t>
      </w:r>
      <w:r w:rsidR="008F3269">
        <w:rPr>
          <w:rFonts w:eastAsia="Times New Roman" w:cs="Times New Roman"/>
          <w:i/>
          <w:iCs/>
          <w:szCs w:val="24"/>
        </w:rPr>
        <w:t>ści i praw. Ingerencja w</w:t>
      </w:r>
      <w:r w:rsidR="00F534FE">
        <w:rPr>
          <w:rFonts w:eastAsia="Times New Roman" w:cs="Times New Roman"/>
          <w:i/>
          <w:iCs/>
          <w:szCs w:val="24"/>
        </w:rPr>
        <w:t xml:space="preserve"> </w:t>
      </w:r>
      <w:r w:rsidRPr="005D4AE4">
        <w:rPr>
          <w:rFonts w:eastAsia="Times New Roman" w:cs="Times New Roman"/>
          <w:i/>
          <w:iCs/>
          <w:szCs w:val="24"/>
        </w:rPr>
        <w:t>sferę wł</w:t>
      </w:r>
      <w:r w:rsidR="00F534FE">
        <w:rPr>
          <w:rFonts w:eastAsia="Times New Roman" w:cs="Times New Roman"/>
          <w:i/>
          <w:iCs/>
          <w:szCs w:val="24"/>
        </w:rPr>
        <w:t>asności musi zatem pozostawać w </w:t>
      </w:r>
      <w:r w:rsidRPr="005D4AE4">
        <w:rPr>
          <w:rFonts w:eastAsia="Times New Roman" w:cs="Times New Roman"/>
          <w:i/>
          <w:iCs/>
          <w:szCs w:val="24"/>
        </w:rPr>
        <w:t xml:space="preserve">racjonalnej, odpowiedniej proporcji do wskazanych celów. W istotę władztwa planistycznego gminy wpisane jest uprawnienie, polegające </w:t>
      </w:r>
      <w:r w:rsidR="00F534FE">
        <w:rPr>
          <w:rFonts w:eastAsia="Times New Roman" w:cs="Times New Roman"/>
          <w:i/>
          <w:iCs/>
          <w:szCs w:val="24"/>
        </w:rPr>
        <w:t>na legalnej ingerencji w </w:t>
      </w:r>
      <w:r w:rsidRPr="005D4AE4">
        <w:rPr>
          <w:rFonts w:eastAsia="Times New Roman" w:cs="Times New Roman"/>
          <w:i/>
          <w:iCs/>
          <w:szCs w:val="24"/>
        </w:rPr>
        <w:t>sferę wykonywania prawa własności. W ramach real</w:t>
      </w:r>
      <w:r w:rsidR="00F534FE">
        <w:rPr>
          <w:rFonts w:eastAsia="Times New Roman" w:cs="Times New Roman"/>
          <w:i/>
          <w:iCs/>
          <w:szCs w:val="24"/>
        </w:rPr>
        <w:t>izacji tego uprawnienia gmina w </w:t>
      </w:r>
      <w:r w:rsidRPr="005D4AE4">
        <w:rPr>
          <w:rFonts w:eastAsia="Times New Roman" w:cs="Times New Roman"/>
          <w:i/>
          <w:iCs/>
          <w:szCs w:val="24"/>
        </w:rPr>
        <w:t xml:space="preserve">naturalny sposób zobowiązana jest do kierowania się interesem publicznym oraz odpowiednim jego wyważeniem w odniesieniu do interesu prywatnego, przy </w:t>
      </w:r>
      <w:r w:rsidRPr="005D4AE4">
        <w:rPr>
          <w:rFonts w:eastAsia="Times New Roman" w:cs="Times New Roman"/>
          <w:i/>
          <w:iCs/>
          <w:szCs w:val="24"/>
        </w:rPr>
        <w:lastRenderedPageBreak/>
        <w:t>jednoczesnym uwzględnieniu zasady proporcjonalnośc</w:t>
      </w:r>
      <w:r w:rsidR="00F534FE">
        <w:rPr>
          <w:rFonts w:eastAsia="Times New Roman" w:cs="Times New Roman"/>
          <w:i/>
          <w:iCs/>
          <w:szCs w:val="24"/>
        </w:rPr>
        <w:t>i i racjonalnego postępowania w </w:t>
      </w:r>
      <w:r w:rsidRPr="005D4AE4">
        <w:rPr>
          <w:rFonts w:eastAsia="Times New Roman" w:cs="Times New Roman"/>
          <w:i/>
          <w:iCs/>
          <w:szCs w:val="24"/>
        </w:rPr>
        <w:t>perspektywie oddziaływania na prawo własn</w:t>
      </w:r>
      <w:r w:rsidR="008F3269">
        <w:rPr>
          <w:rFonts w:eastAsia="Times New Roman" w:cs="Times New Roman"/>
          <w:i/>
          <w:iCs/>
          <w:szCs w:val="24"/>
        </w:rPr>
        <w:t>ości.” (wyrok NSA w sprawie II</w:t>
      </w:r>
      <w:r w:rsidR="00F534FE">
        <w:rPr>
          <w:rFonts w:eastAsia="Times New Roman" w:cs="Times New Roman"/>
          <w:i/>
          <w:iCs/>
          <w:szCs w:val="24"/>
        </w:rPr>
        <w:t xml:space="preserve"> </w:t>
      </w:r>
      <w:r w:rsidRPr="005D4AE4">
        <w:rPr>
          <w:rFonts w:eastAsia="Times New Roman" w:cs="Times New Roman"/>
          <w:i/>
          <w:iCs/>
          <w:szCs w:val="24"/>
        </w:rPr>
        <w:t xml:space="preserve">OSK 932/15 z dnia 11.01.2017 r.). </w:t>
      </w:r>
      <w:r w:rsidRPr="005D4AE4">
        <w:rPr>
          <w:rFonts w:eastAsia="Times New Roman" w:cs="Times New Roman"/>
          <w:szCs w:val="24"/>
        </w:rPr>
        <w:t>Tezy tego orzeczenia podlegają zastosowaniu również wobec innych niż plan miejscowy aktów planistycznych, w ramach wykonywania władztwa planistycznego innego niż gmina podmiotu władzy publicznej.</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Nie sposób zatem ocenić, czy proponowan</w:t>
      </w:r>
      <w:r w:rsidR="005E3EB4">
        <w:rPr>
          <w:rFonts w:eastAsia="Times New Roman" w:cs="Times New Roman"/>
          <w:szCs w:val="24"/>
        </w:rPr>
        <w:t>y</w:t>
      </w:r>
      <w:r w:rsidRPr="005D4AE4">
        <w:rPr>
          <w:rFonts w:eastAsia="Times New Roman" w:cs="Times New Roman"/>
          <w:szCs w:val="24"/>
        </w:rPr>
        <w:t xml:space="preserve"> akt rezerwacyjny stanowi proporcjonalną ingerencję w prawo własności nieruchomości, bowiem ocenie tej nie może podlegać ogólna podstawa do ich wydania, lecz powinny jej po</w:t>
      </w:r>
      <w:r w:rsidR="00F534FE">
        <w:rPr>
          <w:rFonts w:eastAsia="Times New Roman" w:cs="Times New Roman"/>
          <w:szCs w:val="24"/>
        </w:rPr>
        <w:t>dlegać konkretne wydane akty, w </w:t>
      </w:r>
      <w:r w:rsidRPr="005D4AE4">
        <w:rPr>
          <w:rFonts w:eastAsia="Times New Roman" w:cs="Times New Roman"/>
          <w:szCs w:val="24"/>
        </w:rPr>
        <w:t xml:space="preserve">tym okres ich obowiązywania oraz katalog ograniczeń </w:t>
      </w:r>
      <w:r>
        <w:rPr>
          <w:rFonts w:eastAsia="Times New Roman" w:cs="Times New Roman"/>
          <w:szCs w:val="24"/>
        </w:rPr>
        <w:t>–</w:t>
      </w:r>
      <w:r w:rsidRPr="005D4AE4">
        <w:rPr>
          <w:rFonts w:eastAsia="Times New Roman" w:cs="Times New Roman"/>
          <w:szCs w:val="24"/>
        </w:rPr>
        <w:t xml:space="preserve"> ustalenia te kształtowane są bowiem przez organ wydający właśnie w sposób proporcjonalny do zamierzonych do osiągnięcia celów.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Odnośnie zaś proporcjonalności przedmiotowych narzędzi rezerwacyjnych ocenianej na gruncie upoważnień ustawowych, należy wskazać, że stanowią one niezbędny środek interwencji publicznoprawnej, związany z koniecznością przeprowadzenia wieloletniego procesu przygotowania i realizacji in</w:t>
      </w:r>
      <w:r>
        <w:rPr>
          <w:rFonts w:eastAsia="Times New Roman" w:cs="Times New Roman"/>
          <w:szCs w:val="24"/>
        </w:rPr>
        <w:t>westycji, a co się z tym wiąże –</w:t>
      </w:r>
      <w:r w:rsidRPr="005D4AE4">
        <w:rPr>
          <w:rFonts w:eastAsia="Times New Roman" w:cs="Times New Roman"/>
          <w:szCs w:val="24"/>
        </w:rPr>
        <w:t xml:space="preserve"> koniecznością uzyskania elementów kontroli nad procesami przestrzennymi na terenie najbardziej prawdopodobnej realizacji tej inwestycji. Należy podkreślić, że ochrona</w:t>
      </w:r>
      <w:r w:rsidR="008F3269">
        <w:rPr>
          <w:rFonts w:eastAsia="Times New Roman" w:cs="Times New Roman"/>
          <w:szCs w:val="24"/>
        </w:rPr>
        <w:t xml:space="preserve"> prawa własności przewidziana w</w:t>
      </w:r>
      <w:r w:rsidR="00F534FE">
        <w:rPr>
          <w:rFonts w:eastAsia="Times New Roman" w:cs="Times New Roman"/>
          <w:szCs w:val="24"/>
        </w:rPr>
        <w:t xml:space="preserve"> </w:t>
      </w:r>
      <w:r w:rsidRPr="005D4AE4">
        <w:rPr>
          <w:rFonts w:eastAsia="Times New Roman" w:cs="Times New Roman"/>
          <w:szCs w:val="24"/>
        </w:rPr>
        <w:t>polskim porządku konstytucyjnym dotyczy przede wszystkim elementów rdzenia tego prawa, tj. prawa do korzystania, pobierania pożytk</w:t>
      </w:r>
      <w:r>
        <w:rPr>
          <w:rFonts w:eastAsia="Times New Roman" w:cs="Times New Roman"/>
          <w:szCs w:val="24"/>
        </w:rPr>
        <w:t>ów oraz zbywania nieruchomości –</w:t>
      </w:r>
      <w:r w:rsidR="008F3269">
        <w:rPr>
          <w:rFonts w:eastAsia="Times New Roman" w:cs="Times New Roman"/>
          <w:szCs w:val="24"/>
        </w:rPr>
        <w:t xml:space="preserve"> żaden z</w:t>
      </w:r>
      <w:r w:rsidR="00F534FE">
        <w:rPr>
          <w:rFonts w:eastAsia="Times New Roman" w:cs="Times New Roman"/>
          <w:szCs w:val="24"/>
        </w:rPr>
        <w:t xml:space="preserve"> </w:t>
      </w:r>
      <w:r w:rsidRPr="005D4AE4">
        <w:rPr>
          <w:rFonts w:eastAsia="Times New Roman" w:cs="Times New Roman"/>
          <w:szCs w:val="24"/>
        </w:rPr>
        <w:t xml:space="preserve">tych elementów nie doznaje ograniczeń w ramach czasowych narzędzi rezerwacyjnych. Prawo do przekształcania przedmiotu własności (realizacji inwestycji) nie należy do rdzenia uprawnień własnościowych, lecz podlega pełnej kontroli publicznoprawnej </w:t>
      </w:r>
      <w:r>
        <w:rPr>
          <w:rFonts w:eastAsia="Times New Roman" w:cs="Times New Roman"/>
          <w:szCs w:val="24"/>
        </w:rPr>
        <w:t>–</w:t>
      </w:r>
      <w:r w:rsidR="008F3269">
        <w:rPr>
          <w:rFonts w:eastAsia="Times New Roman" w:cs="Times New Roman"/>
          <w:szCs w:val="24"/>
        </w:rPr>
        <w:t xml:space="preserve"> należy w</w:t>
      </w:r>
      <w:r w:rsidR="00F534FE">
        <w:rPr>
          <w:rFonts w:eastAsia="Times New Roman" w:cs="Times New Roman"/>
          <w:szCs w:val="24"/>
        </w:rPr>
        <w:t xml:space="preserve"> związku z </w:t>
      </w:r>
      <w:r w:rsidRPr="005D4AE4">
        <w:rPr>
          <w:rFonts w:eastAsia="Times New Roman" w:cs="Times New Roman"/>
          <w:szCs w:val="24"/>
        </w:rPr>
        <w:t>tym uznać je co prawda za element prawa własności, jednak element niemający charakteru decydującego o możliwości efektywnej realizacji tego prawa.</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Należy ponadto podkreślić, że projektowane narzędzia rezerwacyjne spełniają test proporcjonalności w świetle orzecznictwa Europejskiego Trybunału Praw Człowieka. W serii orzeczeń dotyczących rozwiązań ustawy planistycznej z 1984 r. Trybunał uznał bowiem za niezgodne z art. 1 Protokołu nr 1 do Konw</w:t>
      </w:r>
      <w:r w:rsidR="00F534FE">
        <w:rPr>
          <w:rFonts w:eastAsia="Times New Roman" w:cs="Times New Roman"/>
          <w:szCs w:val="24"/>
        </w:rPr>
        <w:t>encji dokonywanie arbitralnej i </w:t>
      </w:r>
      <w:r w:rsidRPr="005D4AE4">
        <w:rPr>
          <w:rFonts w:eastAsia="Times New Roman" w:cs="Times New Roman"/>
          <w:bCs/>
          <w:szCs w:val="24"/>
        </w:rPr>
        <w:t>bezterminowej</w:t>
      </w:r>
      <w:r w:rsidRPr="005D4AE4">
        <w:rPr>
          <w:rFonts w:eastAsia="Times New Roman" w:cs="Times New Roman"/>
          <w:szCs w:val="24"/>
        </w:rPr>
        <w:t xml:space="preserve"> rezerwacji terenu na jakiekolwiek cele wyrażone określone w planach ogólnych (w jednym ze stanów faktycznych skarżący uzyskał z organu władzy publicznej informację o braku zamiaru realizacji inwestycji na zarezerwowanej </w:t>
      </w:r>
      <w:r w:rsidRPr="005D4AE4">
        <w:rPr>
          <w:rFonts w:eastAsia="Times New Roman" w:cs="Times New Roman"/>
          <w:szCs w:val="24"/>
        </w:rPr>
        <w:lastRenderedPageBreak/>
        <w:t>nieruchomości przez około 20 lat). Przyjęcie dla tej instytucji charakteru czasowego, dotyczącego istotnego celu publicznego o znacz</w:t>
      </w:r>
      <w:r w:rsidR="00F534FE">
        <w:rPr>
          <w:rFonts w:eastAsia="Times New Roman" w:cs="Times New Roman"/>
          <w:szCs w:val="24"/>
        </w:rPr>
        <w:t>eniu krajowym oraz związanego z </w:t>
      </w:r>
      <w:r w:rsidRPr="005D4AE4">
        <w:rPr>
          <w:rFonts w:eastAsia="Times New Roman" w:cs="Times New Roman"/>
          <w:szCs w:val="24"/>
        </w:rPr>
        <w:t>możliwością weryfikacji pr</w:t>
      </w:r>
      <w:r w:rsidR="008F3269">
        <w:rPr>
          <w:rFonts w:eastAsia="Times New Roman" w:cs="Times New Roman"/>
          <w:szCs w:val="24"/>
        </w:rPr>
        <w:t>zez organ sądowniczy, zmienia w</w:t>
      </w:r>
      <w:r w:rsidR="00F534FE">
        <w:rPr>
          <w:rFonts w:eastAsia="Times New Roman" w:cs="Times New Roman"/>
          <w:szCs w:val="24"/>
        </w:rPr>
        <w:t xml:space="preserve"> </w:t>
      </w:r>
      <w:r w:rsidRPr="005D4AE4">
        <w:rPr>
          <w:rFonts w:eastAsia="Times New Roman" w:cs="Times New Roman"/>
          <w:szCs w:val="24"/>
        </w:rPr>
        <w:t xml:space="preserve">sposób zasadniczy normatywny wymiar tych rozwiązań, przybliżając je do </w:t>
      </w:r>
      <w:r>
        <w:rPr>
          <w:rFonts w:eastAsia="Times New Roman" w:cs="Times New Roman"/>
          <w:szCs w:val="24"/>
        </w:rPr>
        <w:t>–</w:t>
      </w:r>
      <w:r w:rsidRPr="005D4AE4">
        <w:rPr>
          <w:rFonts w:eastAsia="Times New Roman" w:cs="Times New Roman"/>
          <w:szCs w:val="24"/>
        </w:rPr>
        <w:t xml:space="preserve"> wielokrotnie podkreślanej przez ETPCz </w:t>
      </w:r>
      <w:r>
        <w:rPr>
          <w:rFonts w:eastAsia="Times New Roman" w:cs="Times New Roman"/>
          <w:szCs w:val="24"/>
        </w:rPr>
        <w:t>–</w:t>
      </w:r>
      <w:r w:rsidRPr="005D4AE4">
        <w:rPr>
          <w:rFonts w:eastAsia="Times New Roman" w:cs="Times New Roman"/>
          <w:szCs w:val="24"/>
        </w:rPr>
        <w:t xml:space="preserve"> szerokiej swobody, jaką pa</w:t>
      </w:r>
      <w:r w:rsidR="008F3269">
        <w:rPr>
          <w:rFonts w:eastAsia="Times New Roman" w:cs="Times New Roman"/>
          <w:szCs w:val="24"/>
        </w:rPr>
        <w:t>ństwa członkowskie cieszą się w</w:t>
      </w:r>
      <w:r w:rsidR="00F534FE">
        <w:rPr>
          <w:rFonts w:eastAsia="Times New Roman" w:cs="Times New Roman"/>
          <w:szCs w:val="24"/>
        </w:rPr>
        <w:t xml:space="preserve"> </w:t>
      </w:r>
      <w:r w:rsidRPr="005D4AE4">
        <w:rPr>
          <w:rFonts w:eastAsia="Times New Roman" w:cs="Times New Roman"/>
          <w:szCs w:val="24"/>
        </w:rPr>
        <w:t>sferze ustanawiania krajowych zasad zagospodarowania terenu.</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Maksymalny czas trwania rezerwacji określono na</w:t>
      </w:r>
      <w:r w:rsidR="00F534FE">
        <w:rPr>
          <w:rFonts w:eastAsia="Times New Roman" w:cs="Times New Roman"/>
          <w:szCs w:val="24"/>
        </w:rPr>
        <w:t xml:space="preserve"> 2 lata, jest to zatem środek o </w:t>
      </w:r>
      <w:r w:rsidRPr="005D4AE4">
        <w:rPr>
          <w:rFonts w:eastAsia="Times New Roman" w:cs="Times New Roman"/>
          <w:szCs w:val="24"/>
        </w:rPr>
        <w:t>charakterze czasowym, obejmujący okres niezbędny dla podjęcia działań przygotowujących inwestycję. Obszar objęty rezerwacją ograniczony zostaje do konkretnej lokalizacji (obszaru rozumianego jako zbiór działek ewidencyjnych), dla której prowadzone są przygotowania do uzyskania dalszych rozstrzy</w:t>
      </w:r>
      <w:r>
        <w:rPr>
          <w:rFonts w:eastAsia="Times New Roman" w:cs="Times New Roman"/>
          <w:szCs w:val="24"/>
        </w:rPr>
        <w:t>gnięć w procesie inwestycyjnym –</w:t>
      </w:r>
      <w:r w:rsidRPr="005D4AE4">
        <w:rPr>
          <w:rFonts w:eastAsia="Times New Roman" w:cs="Times New Roman"/>
          <w:szCs w:val="24"/>
        </w:rPr>
        <w:t xml:space="preserve"> jest to zatem środek terytorialnie znacznie węższy niż poprzedzające go rozporządzenie.</w:t>
      </w:r>
    </w:p>
    <w:p w:rsidR="005D4AE4" w:rsidRPr="005D4AE4" w:rsidRDefault="005D4AE4" w:rsidP="008F3269">
      <w:pPr>
        <w:spacing w:before="120"/>
        <w:jc w:val="both"/>
        <w:rPr>
          <w:rFonts w:eastAsia="Times New Roman" w:cs="Times New Roman"/>
          <w:szCs w:val="24"/>
        </w:rPr>
      </w:pPr>
      <w:r w:rsidRPr="005D4AE4">
        <w:rPr>
          <w:rFonts w:eastAsia="Times New Roman" w:cs="Times New Roman"/>
          <w:szCs w:val="24"/>
        </w:rPr>
        <w:t>Rezerwacja terenu wiąże się z wprowadzeniem szczególnych środków prawnych, spośród których możliwe do wprowadzenia są wszystkie środki ws</w:t>
      </w:r>
      <w:r w:rsidR="008F3269">
        <w:rPr>
          <w:rFonts w:eastAsia="Times New Roman" w:cs="Times New Roman"/>
          <w:szCs w:val="24"/>
        </w:rPr>
        <w:t>kazane przy rozporządzeniu RM o</w:t>
      </w:r>
      <w:r w:rsidR="00F534FE">
        <w:rPr>
          <w:rFonts w:eastAsia="Times New Roman" w:cs="Times New Roman"/>
          <w:szCs w:val="24"/>
        </w:rPr>
        <w:t xml:space="preserve"> </w:t>
      </w:r>
      <w:r w:rsidRPr="005D4AE4">
        <w:rPr>
          <w:rFonts w:eastAsia="Times New Roman" w:cs="Times New Roman"/>
          <w:szCs w:val="24"/>
        </w:rPr>
        <w:t>przygotowaniu obszaru inwestycji, jak również:</w:t>
      </w:r>
    </w:p>
    <w:p w:rsidR="005D4AE4" w:rsidRPr="005D4AE4" w:rsidRDefault="005D4AE4" w:rsidP="008F3269">
      <w:pPr>
        <w:widowControl/>
        <w:numPr>
          <w:ilvl w:val="0"/>
          <w:numId w:val="2"/>
        </w:numPr>
        <w:pBdr>
          <w:top w:val="nil"/>
          <w:left w:val="nil"/>
          <w:bottom w:val="nil"/>
          <w:right w:val="nil"/>
          <w:between w:val="nil"/>
        </w:pBdr>
        <w:autoSpaceDE/>
        <w:autoSpaceDN/>
        <w:adjustRightInd/>
        <w:ind w:left="425" w:hanging="425"/>
        <w:contextualSpacing/>
        <w:jc w:val="both"/>
        <w:rPr>
          <w:rFonts w:eastAsia="Times New Roman" w:cs="Times New Roman"/>
          <w:szCs w:val="24"/>
        </w:rPr>
      </w:pPr>
      <w:r w:rsidRPr="005D4AE4">
        <w:rPr>
          <w:rFonts w:eastAsia="Times New Roman" w:cs="Times New Roman"/>
          <w:szCs w:val="24"/>
        </w:rPr>
        <w:t>zakaz wydawania pozwoleń na budowę;</w:t>
      </w:r>
    </w:p>
    <w:p w:rsidR="005D4AE4" w:rsidRPr="005D4AE4" w:rsidRDefault="005D4AE4" w:rsidP="008F3269">
      <w:pPr>
        <w:widowControl/>
        <w:numPr>
          <w:ilvl w:val="0"/>
          <w:numId w:val="2"/>
        </w:numPr>
        <w:pBdr>
          <w:top w:val="nil"/>
          <w:left w:val="nil"/>
          <w:bottom w:val="nil"/>
          <w:right w:val="nil"/>
          <w:between w:val="nil"/>
        </w:pBdr>
        <w:autoSpaceDE/>
        <w:autoSpaceDN/>
        <w:adjustRightInd/>
        <w:ind w:left="425" w:hanging="425"/>
        <w:contextualSpacing/>
        <w:jc w:val="both"/>
        <w:rPr>
          <w:rFonts w:eastAsia="Times New Roman" w:cs="Times New Roman"/>
          <w:szCs w:val="24"/>
        </w:rPr>
      </w:pPr>
      <w:r w:rsidRPr="005D4AE4">
        <w:rPr>
          <w:rFonts w:eastAsia="Times New Roman" w:cs="Times New Roman"/>
          <w:szCs w:val="24"/>
        </w:rPr>
        <w:t>zakaz wydawania decyzji o warunkach zabudowy i zagospodarowania terenu dla wszystkich lub wybranych zmian sposobu zagospodarowania terenu;</w:t>
      </w:r>
    </w:p>
    <w:p w:rsidR="005D4AE4" w:rsidRPr="005D4AE4" w:rsidRDefault="005D4AE4" w:rsidP="008F3269">
      <w:pPr>
        <w:widowControl/>
        <w:numPr>
          <w:ilvl w:val="0"/>
          <w:numId w:val="2"/>
        </w:numPr>
        <w:pBdr>
          <w:top w:val="nil"/>
          <w:left w:val="nil"/>
          <w:bottom w:val="nil"/>
          <w:right w:val="nil"/>
          <w:between w:val="nil"/>
        </w:pBdr>
        <w:autoSpaceDE/>
        <w:autoSpaceDN/>
        <w:adjustRightInd/>
        <w:ind w:left="425" w:hanging="425"/>
        <w:contextualSpacing/>
        <w:jc w:val="both"/>
        <w:rPr>
          <w:rFonts w:eastAsia="Times New Roman" w:cs="Times New Roman"/>
          <w:szCs w:val="24"/>
        </w:rPr>
      </w:pPr>
      <w:r w:rsidRPr="005D4AE4">
        <w:rPr>
          <w:rFonts w:eastAsia="Times New Roman" w:cs="Times New Roman"/>
          <w:szCs w:val="24"/>
        </w:rPr>
        <w:t>zakaz wydawania decyzji w przedmiocie podziału nieruchomości;</w:t>
      </w:r>
    </w:p>
    <w:p w:rsidR="005D4AE4" w:rsidRPr="005D4AE4" w:rsidRDefault="005D4AE4" w:rsidP="008F3269">
      <w:pPr>
        <w:widowControl/>
        <w:numPr>
          <w:ilvl w:val="0"/>
          <w:numId w:val="2"/>
        </w:numPr>
        <w:pBdr>
          <w:top w:val="nil"/>
          <w:left w:val="nil"/>
          <w:bottom w:val="nil"/>
          <w:right w:val="nil"/>
          <w:between w:val="nil"/>
        </w:pBdr>
        <w:autoSpaceDE/>
        <w:autoSpaceDN/>
        <w:adjustRightInd/>
        <w:ind w:left="425" w:hanging="425"/>
        <w:contextualSpacing/>
        <w:jc w:val="both"/>
        <w:rPr>
          <w:rFonts w:eastAsia="Times New Roman" w:cs="Times New Roman"/>
          <w:szCs w:val="24"/>
        </w:rPr>
      </w:pPr>
      <w:r w:rsidRPr="005D4AE4">
        <w:rPr>
          <w:rFonts w:eastAsia="Times New Roman" w:cs="Times New Roman"/>
          <w:szCs w:val="24"/>
        </w:rPr>
        <w:t>zakaz wydzielania samodzielnych lokali mieszkalnych w budynkach;</w:t>
      </w:r>
    </w:p>
    <w:p w:rsidR="005D4AE4" w:rsidRPr="005D4AE4" w:rsidRDefault="005D4AE4" w:rsidP="008F3269">
      <w:pPr>
        <w:widowControl/>
        <w:numPr>
          <w:ilvl w:val="0"/>
          <w:numId w:val="2"/>
        </w:numPr>
        <w:pBdr>
          <w:top w:val="nil"/>
          <w:left w:val="nil"/>
          <w:bottom w:val="nil"/>
          <w:right w:val="nil"/>
          <w:between w:val="nil"/>
        </w:pBdr>
        <w:autoSpaceDE/>
        <w:autoSpaceDN/>
        <w:adjustRightInd/>
        <w:ind w:left="425" w:hanging="425"/>
        <w:contextualSpacing/>
        <w:jc w:val="both"/>
        <w:rPr>
          <w:rFonts w:eastAsia="Times New Roman" w:cs="Times New Roman"/>
          <w:szCs w:val="24"/>
        </w:rPr>
      </w:pPr>
      <w:r w:rsidRPr="005D4AE4">
        <w:rPr>
          <w:rFonts w:eastAsia="Times New Roman" w:cs="Times New Roman"/>
          <w:color w:val="000000" w:themeColor="text1"/>
          <w:szCs w:val="24"/>
        </w:rPr>
        <w:t>zakaz wydawania decyzji dokonujących lokalizacji oraz decyzji zezwalających na wykonywanie robót budowlanych na podstawie specustaw.</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Od ww. zakazów możliwe jest uzyskanie odstępstw</w:t>
      </w:r>
      <w:r w:rsidR="00F534FE">
        <w:rPr>
          <w:rFonts w:eastAsia="Times New Roman" w:cs="Times New Roman"/>
          <w:szCs w:val="24"/>
        </w:rPr>
        <w:t>a udzielanego przez wojewodę, w </w:t>
      </w:r>
      <w:r w:rsidRPr="005D4AE4">
        <w:rPr>
          <w:rFonts w:eastAsia="Times New Roman" w:cs="Times New Roman"/>
          <w:szCs w:val="24"/>
        </w:rPr>
        <w:t xml:space="preserve">drodze decyzji administracyjnej, po uzyskaniu opinii Pełnomocnika. </w:t>
      </w:r>
      <w:r w:rsidRPr="005D4AE4">
        <w:rPr>
          <w:rFonts w:cs="Times New Roman"/>
          <w:szCs w:val="24"/>
        </w:rPr>
        <w:t xml:space="preserve">Od rozstrzygnięcia wojewody przysługuje odwołanie do ministra właściwego do </w:t>
      </w:r>
      <w:r w:rsidR="008F3269">
        <w:rPr>
          <w:rFonts w:cs="Times New Roman"/>
          <w:szCs w:val="24"/>
        </w:rPr>
        <w:t>spraw budownictwa, planowania i</w:t>
      </w:r>
      <w:r w:rsidR="00F534FE">
        <w:rPr>
          <w:rFonts w:cs="Times New Roman"/>
          <w:szCs w:val="24"/>
        </w:rPr>
        <w:t xml:space="preserve"> </w:t>
      </w:r>
      <w:r w:rsidRPr="005D4AE4">
        <w:rPr>
          <w:rFonts w:cs="Times New Roman"/>
          <w:szCs w:val="24"/>
        </w:rPr>
        <w:t xml:space="preserve">zagospodarowania przestrzennego oraz mieszkalnictwa.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ustawie przewidziano, że niezależnie od zakazów określonych w planie rezerwacji, dopuszcza się wydawanie rozstrzygnięć dotyczących robót budowlanych wobec obiektu stanowiącego zabytek albo zezwalających na zmianę zagospodarowania terenu polegającą na:</w:t>
      </w:r>
    </w:p>
    <w:p w:rsidR="005D4AE4" w:rsidRPr="005D4AE4" w:rsidRDefault="005D4AE4" w:rsidP="00F84DA9">
      <w:pPr>
        <w:ind w:left="426" w:hanging="426"/>
        <w:jc w:val="both"/>
        <w:rPr>
          <w:rFonts w:eastAsia="Times New Roman" w:cs="Times New Roman"/>
          <w:szCs w:val="24"/>
        </w:rPr>
      </w:pPr>
      <w:r w:rsidRPr="005D4AE4">
        <w:rPr>
          <w:rFonts w:eastAsia="Times New Roman" w:cs="Times New Roman"/>
          <w:szCs w:val="24"/>
        </w:rPr>
        <w:t>1)</w:t>
      </w:r>
      <w:r>
        <w:rPr>
          <w:rFonts w:eastAsia="Times New Roman" w:cs="Times New Roman"/>
          <w:szCs w:val="24"/>
        </w:rPr>
        <w:tab/>
      </w:r>
      <w:r w:rsidR="00463CEA">
        <w:rPr>
          <w:rFonts w:eastAsia="Times New Roman" w:cs="Times New Roman"/>
          <w:szCs w:val="24"/>
        </w:rPr>
        <w:t>remoncie,</w:t>
      </w:r>
    </w:p>
    <w:p w:rsidR="005D4AE4" w:rsidRPr="005D4AE4" w:rsidRDefault="005D4AE4" w:rsidP="00F84DA9">
      <w:pPr>
        <w:ind w:left="426" w:hanging="426"/>
        <w:jc w:val="both"/>
        <w:rPr>
          <w:rFonts w:eastAsia="Times New Roman" w:cs="Times New Roman"/>
          <w:szCs w:val="24"/>
        </w:rPr>
      </w:pPr>
      <w:r w:rsidRPr="005D4AE4">
        <w:rPr>
          <w:rFonts w:eastAsia="Times New Roman" w:cs="Times New Roman"/>
          <w:szCs w:val="24"/>
        </w:rPr>
        <w:lastRenderedPageBreak/>
        <w:t>2)</w:t>
      </w:r>
      <w:r>
        <w:rPr>
          <w:rFonts w:eastAsia="Times New Roman" w:cs="Times New Roman"/>
          <w:szCs w:val="24"/>
        </w:rPr>
        <w:tab/>
      </w:r>
      <w:r w:rsidR="00463CEA">
        <w:rPr>
          <w:rFonts w:eastAsia="Times New Roman" w:cs="Times New Roman"/>
          <w:szCs w:val="24"/>
        </w:rPr>
        <w:t>przebudowie nie</w:t>
      </w:r>
      <w:r w:rsidRPr="005D4AE4">
        <w:rPr>
          <w:rFonts w:eastAsia="Times New Roman" w:cs="Times New Roman"/>
          <w:szCs w:val="24"/>
        </w:rPr>
        <w:t>zmieniającej funkcji obiektu</w:t>
      </w:r>
      <w:r w:rsidR="00463CEA">
        <w:rPr>
          <w:rFonts w:eastAsia="Times New Roman" w:cs="Times New Roman"/>
          <w:szCs w:val="24"/>
        </w:rPr>
        <w:t>,</w:t>
      </w:r>
    </w:p>
    <w:p w:rsidR="005D4AE4" w:rsidRPr="005D4AE4" w:rsidRDefault="005D4AE4" w:rsidP="00F84DA9">
      <w:pPr>
        <w:ind w:left="426" w:hanging="426"/>
        <w:jc w:val="both"/>
        <w:rPr>
          <w:rFonts w:eastAsia="Times New Roman" w:cs="Times New Roman"/>
          <w:szCs w:val="24"/>
        </w:rPr>
      </w:pPr>
      <w:r w:rsidRPr="005D4AE4">
        <w:rPr>
          <w:rFonts w:eastAsia="Times New Roman" w:cs="Times New Roman"/>
          <w:szCs w:val="24"/>
        </w:rPr>
        <w:t>3)</w:t>
      </w:r>
      <w:r>
        <w:rPr>
          <w:rFonts w:eastAsia="Times New Roman" w:cs="Times New Roman"/>
          <w:szCs w:val="24"/>
        </w:rPr>
        <w:tab/>
      </w:r>
      <w:r w:rsidRPr="005D4AE4">
        <w:rPr>
          <w:rFonts w:eastAsia="Times New Roman" w:cs="Times New Roman"/>
          <w:szCs w:val="24"/>
        </w:rPr>
        <w:t>wykonaniu urządzeń budowlanych, obiektów ma</w:t>
      </w:r>
      <w:r w:rsidR="00463CEA">
        <w:rPr>
          <w:rFonts w:eastAsia="Times New Roman" w:cs="Times New Roman"/>
          <w:szCs w:val="24"/>
        </w:rPr>
        <w:t>łej architektury oraz przyłączy,</w:t>
      </w:r>
    </w:p>
    <w:p w:rsidR="005D4AE4" w:rsidRPr="005D4AE4" w:rsidRDefault="005D4AE4" w:rsidP="00F84DA9">
      <w:pPr>
        <w:ind w:left="426" w:hanging="426"/>
        <w:jc w:val="both"/>
        <w:rPr>
          <w:rFonts w:eastAsia="Times New Roman" w:cs="Times New Roman"/>
          <w:szCs w:val="24"/>
        </w:rPr>
      </w:pPr>
      <w:r w:rsidRPr="005D4AE4">
        <w:rPr>
          <w:rFonts w:eastAsia="Times New Roman" w:cs="Times New Roman"/>
          <w:szCs w:val="24"/>
        </w:rPr>
        <w:t>4)</w:t>
      </w:r>
      <w:r>
        <w:rPr>
          <w:rFonts w:eastAsia="Times New Roman" w:cs="Times New Roman"/>
          <w:szCs w:val="24"/>
        </w:rPr>
        <w:tab/>
      </w:r>
      <w:r w:rsidRPr="005D4AE4">
        <w:rPr>
          <w:rFonts w:eastAsia="Times New Roman" w:cs="Times New Roman"/>
          <w:szCs w:val="24"/>
        </w:rPr>
        <w:t>innych robotach budowlanych na istniejącym obiekcie budowlanym, prowadzących wyłącznie do: przystosowania do potrzeb osób niepełnosprawnych, poprawy bezpieczeństwa pożarowego, poprawy warunków sanitarnych, zmniejszenia rocznego zapotrzebowania na energię lub kosztów pozyskania ciepła, zamiany źródła energii na źródło odnawialne lub zastosowanie wysokosprawnej kogenerac</w:t>
      </w:r>
      <w:r w:rsidR="00463CEA">
        <w:rPr>
          <w:rFonts w:eastAsia="Times New Roman" w:cs="Times New Roman"/>
          <w:szCs w:val="24"/>
        </w:rPr>
        <w:t>ji, zapewnienia telekomunikacji,</w:t>
      </w:r>
    </w:p>
    <w:p w:rsidR="005D4AE4" w:rsidRPr="005D4AE4" w:rsidRDefault="005D4AE4" w:rsidP="00F84DA9">
      <w:pPr>
        <w:ind w:left="426" w:hanging="426"/>
        <w:jc w:val="both"/>
        <w:rPr>
          <w:rFonts w:eastAsia="Times New Roman" w:cs="Times New Roman"/>
          <w:szCs w:val="24"/>
        </w:rPr>
      </w:pPr>
      <w:r w:rsidRPr="005D4AE4">
        <w:rPr>
          <w:rFonts w:eastAsia="Times New Roman" w:cs="Times New Roman"/>
          <w:szCs w:val="24"/>
        </w:rPr>
        <w:t>5)</w:t>
      </w:r>
      <w:r>
        <w:rPr>
          <w:rFonts w:eastAsia="Times New Roman" w:cs="Times New Roman"/>
          <w:szCs w:val="24"/>
        </w:rPr>
        <w:tab/>
      </w:r>
      <w:r w:rsidRPr="005D4AE4">
        <w:rPr>
          <w:rFonts w:eastAsia="Times New Roman" w:cs="Times New Roman"/>
          <w:szCs w:val="24"/>
        </w:rPr>
        <w:t>odbudowie</w:t>
      </w:r>
    </w:p>
    <w:p w:rsidR="005D4AE4" w:rsidRPr="005D4AE4" w:rsidRDefault="005D4AE4" w:rsidP="00F84DA9">
      <w:pPr>
        <w:keepNext/>
        <w:widowControl/>
        <w:jc w:val="both"/>
        <w:rPr>
          <w:rFonts w:eastAsia="Times New Roman" w:cs="Times New Roman"/>
          <w:szCs w:val="24"/>
        </w:rPr>
      </w:pPr>
      <w:r w:rsidRPr="005D4AE4">
        <w:rPr>
          <w:rFonts w:eastAsia="Times New Roman" w:cs="Times New Roman"/>
          <w:szCs w:val="24"/>
        </w:rPr>
        <w:t>–</w:t>
      </w:r>
      <w:r>
        <w:rPr>
          <w:rFonts w:eastAsia="Times New Roman" w:cs="Times New Roman"/>
          <w:szCs w:val="24"/>
        </w:rPr>
        <w:t xml:space="preserve"> </w:t>
      </w:r>
      <w:r w:rsidR="00463CEA">
        <w:rPr>
          <w:rFonts w:eastAsia="Times New Roman" w:cs="Times New Roman"/>
          <w:szCs w:val="24"/>
        </w:rPr>
        <w:t>nie</w:t>
      </w:r>
      <w:r w:rsidRPr="005D4AE4">
        <w:rPr>
          <w:rFonts w:eastAsia="Times New Roman" w:cs="Times New Roman"/>
          <w:szCs w:val="24"/>
        </w:rPr>
        <w:t>zmieniającą kolorystyki obiektu budowlanego oraz – w przypadku budynków – niezwiększającą powierzchni zabudowy o więcej niż 5%.</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Z uwagi na istotne skutki, jakie plan rezerwacji wywołuje dla właścicieli nieruchomości, jego projekt, opracowany przez Spółkę Celową, poddawany jest przez wojewodę konsultacjom społecznym. Wyniki tych konsultacji nie są dla wojewody wiążące przy wydawaniu planu, podlegają jednak rozważeniu wraz z innymi okolicznościami.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Ustawa w sposób szczegółowy uregulowała zasady i tryb prowadzenia konsultacji społecznych, wskazując na konieczność odpowiedniego poi</w:t>
      </w:r>
      <w:r w:rsidR="00693922">
        <w:rPr>
          <w:rFonts w:eastAsia="Times New Roman" w:cs="Times New Roman"/>
          <w:szCs w:val="24"/>
        </w:rPr>
        <w:t>nformowania o ich rozpoczęciu i</w:t>
      </w:r>
      <w:r w:rsidR="00F534FE">
        <w:rPr>
          <w:rFonts w:eastAsia="Times New Roman" w:cs="Times New Roman"/>
          <w:szCs w:val="24"/>
        </w:rPr>
        <w:t xml:space="preserve"> </w:t>
      </w:r>
      <w:r w:rsidRPr="005D4AE4">
        <w:rPr>
          <w:rFonts w:eastAsia="Times New Roman" w:cs="Times New Roman"/>
          <w:szCs w:val="24"/>
        </w:rPr>
        <w:t>przebiegu, a także wyznaczając podstawowe formy konsultowania (uwagi, dyskusje publiczne) i umożliwiając poszerzenie konsultacji o inne metody. Zwieńczeniem konsultacji społecznych jest sporządzenie i publi</w:t>
      </w:r>
      <w:r w:rsidR="00984ED4">
        <w:rPr>
          <w:rFonts w:eastAsia="Times New Roman" w:cs="Times New Roman"/>
          <w:szCs w:val="24"/>
        </w:rPr>
        <w:t>kacja raportu, zawierającego m.</w:t>
      </w:r>
      <w:r w:rsidRPr="005D4AE4">
        <w:rPr>
          <w:rFonts w:eastAsia="Times New Roman" w:cs="Times New Roman"/>
          <w:szCs w:val="24"/>
        </w:rPr>
        <w:t>in. odniesienie do każdej ze zgłoszonych uwag.</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Plan rezerwacji, niezależnie od 2-letniego okresu obowiązywania, zostaje niezwłocznie uchylony w przypadku, gdy decyzja lokalizacyjna stała się ostateczna albo w sytuacji, gdy przebieg postępowania przygotowawczego dla Inwestycji spowodował ustanie przesłanki niezbędności rezerwacji z innych przyczyn (np. nastąpiła zmiana przewidywanej lokalizacji Inwestycji).</w:t>
      </w:r>
    </w:p>
    <w:p w:rsidR="005D4AE4" w:rsidRPr="005D4AE4" w:rsidRDefault="005D4AE4" w:rsidP="005D4AE4">
      <w:pPr>
        <w:spacing w:before="120"/>
        <w:jc w:val="both"/>
        <w:rPr>
          <w:rFonts w:eastAsia="Times New Roman" w:cs="Times New Roman"/>
          <w:b/>
          <w:szCs w:val="24"/>
        </w:rPr>
      </w:pPr>
      <w:r w:rsidRPr="005D4AE4">
        <w:rPr>
          <w:rFonts w:eastAsia="Times New Roman" w:cs="Times New Roman"/>
          <w:b/>
          <w:szCs w:val="24"/>
        </w:rPr>
        <w:t xml:space="preserve">Lokalizacja inwestycji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W ustawie zdecydowano się na typowy sposób dokonania lokalizacji inwestycji celu publicznego, wskazując, że następuje to w drodze decyzji administracyjnej, która jednocześnie wywołuje skutek prawnorzeczowy wobec nieruchomości nią objętych (wywłaszczenie, ustanowienie ograniczeń w sposobie korzystania z terenu) i zawiera </w:t>
      </w:r>
      <w:r w:rsidRPr="005D4AE4">
        <w:rPr>
          <w:rFonts w:eastAsia="Times New Roman" w:cs="Times New Roman"/>
          <w:szCs w:val="24"/>
        </w:rPr>
        <w:lastRenderedPageBreak/>
        <w:t>szereg innych rozstrzygnięć, co nadaje jej zintegrowany charakter.</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Ponieważ decyzja lokalizacyjna dla CPK zastępuje rozstrzygnięcia miejscowych planów zagospodarowania przestrzennego, jednocześni</w:t>
      </w:r>
      <w:r w:rsidR="00F534FE">
        <w:rPr>
          <w:rFonts w:eastAsia="Times New Roman" w:cs="Times New Roman"/>
          <w:szCs w:val="24"/>
        </w:rPr>
        <w:t>e rządowy charakter i skala ww. </w:t>
      </w:r>
      <w:r w:rsidRPr="005D4AE4">
        <w:rPr>
          <w:rFonts w:eastAsia="Times New Roman" w:cs="Times New Roman"/>
          <w:szCs w:val="24"/>
        </w:rPr>
        <w:t>inwestycji nakazuje zastosowanie szczegól</w:t>
      </w:r>
      <w:r w:rsidR="00F534FE">
        <w:rPr>
          <w:rFonts w:eastAsia="Times New Roman" w:cs="Times New Roman"/>
          <w:szCs w:val="24"/>
        </w:rPr>
        <w:t>nego trybu jej lokalizowania, w </w:t>
      </w:r>
      <w:r w:rsidRPr="005D4AE4">
        <w:rPr>
          <w:rFonts w:eastAsia="Times New Roman" w:cs="Times New Roman"/>
          <w:szCs w:val="24"/>
        </w:rPr>
        <w:t>przepisach przesądzono, że lokalizacji inwestycji można dokonać wbrew ustaleniom miejscowego planu zagospodarowania przestrzennego. W takim przypadku u</w:t>
      </w:r>
      <w:r w:rsidR="00693922">
        <w:rPr>
          <w:rFonts w:eastAsia="Times New Roman" w:cs="Times New Roman"/>
          <w:szCs w:val="24"/>
        </w:rPr>
        <w:t>staleń tego planu niezgodnych z</w:t>
      </w:r>
      <w:r w:rsidR="00F534FE">
        <w:rPr>
          <w:rFonts w:eastAsia="Times New Roman" w:cs="Times New Roman"/>
          <w:szCs w:val="24"/>
        </w:rPr>
        <w:t xml:space="preserve"> </w:t>
      </w:r>
      <w:r w:rsidRPr="005D4AE4">
        <w:rPr>
          <w:rFonts w:eastAsia="Times New Roman" w:cs="Times New Roman"/>
          <w:szCs w:val="24"/>
        </w:rPr>
        <w:t xml:space="preserve">ustaleniami decyzji o ustaleniu lokalizacji inwestycji w zakresie CPK nie stosuje się. Powstaje jednocześnie obowiązek wyeliminowania z obrotu prawnego planów miejscowych niezgodnych z ustaleniami ww. decyzji, co stanowi zadanie rady gminy. Dla obszaru objętego decyzją lokalizacyjną nie ma obowiązku następczego uchwalenia planu miejscowego dostosowanego do istniejącego zagospodarowania terenu, przeczyłoby to bowiem istocie planu miejscowego jako środka normatywnego opisu zagospodarowania przestrzeni, nie zaś aktu inwentaryzacji stanu istniejącego. Przewidziano jednak, że </w:t>
      </w:r>
      <w:r w:rsidRPr="005D4AE4">
        <w:rPr>
          <w:rFonts w:eastAsia="Times New Roman" w:cs="Times New Roman"/>
          <w:color w:val="000000" w:themeColor="text1"/>
          <w:szCs w:val="24"/>
        </w:rPr>
        <w:t>Spółka Celowa może, na podstawie porozumienia zawartego z gminą, pokryć koszty sporządzenia albo zmiany miejscowego planu zagospodarowania przestrzennego w zakresie niezbędnym do zapewnienia spójności zagospodarowania przestrzennego w związku z realizacją Inwestycji.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zakresie objętym decyzją lokalizacyjną następuje ponadto wyłączenie stosowania wskazanych</w:t>
      </w:r>
      <w:r>
        <w:rPr>
          <w:rFonts w:eastAsia="Times New Roman" w:cs="Times New Roman"/>
          <w:szCs w:val="24"/>
        </w:rPr>
        <w:t xml:space="preserve"> </w:t>
      </w:r>
      <w:r w:rsidRPr="005D4AE4">
        <w:rPr>
          <w:rFonts w:eastAsia="Times New Roman" w:cs="Times New Roman"/>
          <w:szCs w:val="24"/>
        </w:rPr>
        <w:t>przepisów dotyczących ochrony gruntów</w:t>
      </w:r>
      <w:r w:rsidR="00F534FE">
        <w:rPr>
          <w:rFonts w:eastAsia="Times New Roman" w:cs="Times New Roman"/>
          <w:szCs w:val="24"/>
        </w:rPr>
        <w:t xml:space="preserve"> rolnych i leśnych, zawartych w </w:t>
      </w:r>
      <w:r w:rsidRPr="005D4AE4">
        <w:rPr>
          <w:rFonts w:eastAsia="Times New Roman" w:cs="Times New Roman"/>
          <w:szCs w:val="24"/>
        </w:rPr>
        <w:t>ustawie z dnia 3 lutego 1995 r. o ochr</w:t>
      </w:r>
      <w:r>
        <w:rPr>
          <w:rFonts w:eastAsia="Times New Roman" w:cs="Times New Roman"/>
          <w:szCs w:val="24"/>
        </w:rPr>
        <w:t>onie gruntów rolnych i leśnych –</w:t>
      </w:r>
      <w:r w:rsidRPr="005D4AE4">
        <w:rPr>
          <w:rFonts w:eastAsia="Times New Roman" w:cs="Times New Roman"/>
          <w:szCs w:val="24"/>
        </w:rPr>
        <w:t xml:space="preserve"> wyłączeniu podlegają przepisy dotyczące przeznaczenia gruntów rolnych i leśnych na cele nierolnicze i nieleśne, natomiast pozostałe przepisy ustawy, w szczególności dotyczące wyłączenia gruntów z produkcji rolnej i leśnej oraz związanych z tym opłat będą miały zastosowanie, dzięki czemu nie ulegną uszczupleniu dochody samorządu województwa, a więc</w:t>
      </w:r>
      <w:r w:rsidR="00693922">
        <w:rPr>
          <w:rFonts w:eastAsia="Times New Roman" w:cs="Times New Roman"/>
          <w:szCs w:val="24"/>
        </w:rPr>
        <w:t xml:space="preserve"> środki przeznaczane, zgodnie z</w:t>
      </w:r>
      <w:r w:rsidR="00F534FE">
        <w:rPr>
          <w:rFonts w:eastAsia="Times New Roman" w:cs="Times New Roman"/>
          <w:szCs w:val="24"/>
        </w:rPr>
        <w:t xml:space="preserve"> </w:t>
      </w:r>
      <w:r w:rsidRPr="005D4AE4">
        <w:rPr>
          <w:rFonts w:eastAsia="Times New Roman" w:cs="Times New Roman"/>
          <w:szCs w:val="24"/>
        </w:rPr>
        <w:t>ustawą o ochronie gruntów rolnych i leśnych na:</w:t>
      </w:r>
    </w:p>
    <w:p w:rsidR="005D4AE4" w:rsidRPr="005D4AE4" w:rsidRDefault="005D4AE4" w:rsidP="00693922">
      <w:pPr>
        <w:pStyle w:val="Akapitzlist"/>
        <w:numPr>
          <w:ilvl w:val="0"/>
          <w:numId w:val="3"/>
        </w:numPr>
        <w:spacing w:line="360" w:lineRule="auto"/>
        <w:ind w:left="425" w:hanging="425"/>
        <w:jc w:val="both"/>
        <w:rPr>
          <w:rFonts w:ascii="Times New Roman" w:eastAsia="Times New Roman" w:hAnsi="Times New Roman" w:cs="Times New Roman"/>
          <w:sz w:val="24"/>
          <w:szCs w:val="24"/>
        </w:rPr>
      </w:pPr>
      <w:r w:rsidRPr="005D4AE4">
        <w:rPr>
          <w:rFonts w:ascii="Times New Roman" w:eastAsia="Times New Roman" w:hAnsi="Times New Roman" w:cs="Times New Roman"/>
          <w:sz w:val="24"/>
          <w:szCs w:val="24"/>
        </w:rPr>
        <w:t>rekultywację na cele rolnicze gruntów, które utraciły lub zmniejszyły wartość użytkową wskutek działalności nieustalonych osób;</w:t>
      </w:r>
    </w:p>
    <w:p w:rsidR="005D4AE4" w:rsidRPr="005D4AE4" w:rsidRDefault="005D4AE4" w:rsidP="00693922">
      <w:pPr>
        <w:pStyle w:val="Akapitzlist"/>
        <w:numPr>
          <w:ilvl w:val="0"/>
          <w:numId w:val="3"/>
        </w:numPr>
        <w:spacing w:line="360" w:lineRule="auto"/>
        <w:ind w:left="425" w:hanging="425"/>
        <w:jc w:val="both"/>
        <w:rPr>
          <w:rFonts w:ascii="Times New Roman" w:eastAsia="Times New Roman" w:hAnsi="Times New Roman" w:cs="Times New Roman"/>
          <w:sz w:val="24"/>
          <w:szCs w:val="24"/>
        </w:rPr>
      </w:pPr>
      <w:r w:rsidRPr="005D4AE4">
        <w:rPr>
          <w:rFonts w:ascii="Times New Roman" w:eastAsia="Times New Roman" w:hAnsi="Times New Roman" w:cs="Times New Roman"/>
          <w:sz w:val="24"/>
          <w:szCs w:val="24"/>
        </w:rPr>
        <w:t>rolnicze zagospodarowanie gruntów zrekultywowanych;</w:t>
      </w:r>
    </w:p>
    <w:p w:rsidR="005D4AE4" w:rsidRPr="005D4AE4" w:rsidRDefault="005D4AE4" w:rsidP="00693922">
      <w:pPr>
        <w:pStyle w:val="Akapitzlist"/>
        <w:numPr>
          <w:ilvl w:val="0"/>
          <w:numId w:val="3"/>
        </w:numPr>
        <w:spacing w:line="360" w:lineRule="auto"/>
        <w:ind w:left="425" w:hanging="425"/>
        <w:jc w:val="both"/>
        <w:rPr>
          <w:rFonts w:ascii="Times New Roman" w:eastAsia="Times New Roman" w:hAnsi="Times New Roman" w:cs="Times New Roman"/>
          <w:sz w:val="24"/>
          <w:szCs w:val="24"/>
        </w:rPr>
      </w:pPr>
      <w:r w:rsidRPr="005D4AE4">
        <w:rPr>
          <w:rFonts w:ascii="Times New Roman" w:eastAsia="Times New Roman" w:hAnsi="Times New Roman" w:cs="Times New Roman"/>
          <w:sz w:val="24"/>
          <w:szCs w:val="24"/>
        </w:rPr>
        <w:t>użyźnianie</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gleb</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o niskiej</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wartości</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produkcyjnej, ulepszanie</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rzeźby</w:t>
      </w:r>
      <w:r>
        <w:rPr>
          <w:rFonts w:ascii="Times New Roman" w:eastAsia="Times New Roman" w:hAnsi="Times New Roman" w:cs="Times New Roman"/>
          <w:sz w:val="24"/>
          <w:szCs w:val="24"/>
        </w:rPr>
        <w:t xml:space="preserve"> </w:t>
      </w:r>
      <w:r w:rsidR="00F534FE">
        <w:rPr>
          <w:rFonts w:ascii="Times New Roman" w:eastAsia="Times New Roman" w:hAnsi="Times New Roman" w:cs="Times New Roman"/>
          <w:sz w:val="24"/>
          <w:szCs w:val="24"/>
        </w:rPr>
        <w:t>terenu i </w:t>
      </w:r>
      <w:r w:rsidRPr="005D4AE4">
        <w:rPr>
          <w:rFonts w:ascii="Times New Roman" w:eastAsia="Times New Roman" w:hAnsi="Times New Roman" w:cs="Times New Roman"/>
          <w:sz w:val="24"/>
          <w:szCs w:val="24"/>
        </w:rPr>
        <w:t>struktury przestrzennej gleb, usuwanie kamieni i odkrzaczanie;</w:t>
      </w:r>
    </w:p>
    <w:p w:rsidR="005D4AE4" w:rsidRPr="005D4AE4" w:rsidRDefault="005D4AE4" w:rsidP="00693922">
      <w:pPr>
        <w:pStyle w:val="Akapitzlist"/>
        <w:numPr>
          <w:ilvl w:val="0"/>
          <w:numId w:val="3"/>
        </w:numPr>
        <w:spacing w:line="360" w:lineRule="auto"/>
        <w:ind w:left="425" w:hanging="425"/>
        <w:jc w:val="both"/>
        <w:rPr>
          <w:rFonts w:ascii="Times New Roman" w:eastAsia="Times New Roman" w:hAnsi="Times New Roman" w:cs="Times New Roman"/>
          <w:sz w:val="24"/>
          <w:szCs w:val="24"/>
        </w:rPr>
      </w:pPr>
      <w:r w:rsidRPr="005D4AE4">
        <w:rPr>
          <w:rFonts w:ascii="Times New Roman" w:eastAsia="Times New Roman" w:hAnsi="Times New Roman" w:cs="Times New Roman"/>
          <w:sz w:val="24"/>
          <w:szCs w:val="24"/>
        </w:rPr>
        <w:lastRenderedPageBreak/>
        <w:t>przeciwdziałanie erozji gleb i ruchom</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masowym</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ziemi</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na</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gruntach</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rolnych, w tym zwrot kosztów zakupu nasion i sadzonek, utrzymanie w stanie sprawności technicznej urządzeń przeciwerozyjnych</w:t>
      </w:r>
      <w:r w:rsidR="00C9464A">
        <w:rPr>
          <w:rFonts w:ascii="Times New Roman" w:eastAsia="Times New Roman" w:hAnsi="Times New Roman" w:cs="Times New Roman"/>
          <w:sz w:val="24"/>
          <w:szCs w:val="24"/>
        </w:rPr>
        <w:t>;</w:t>
      </w:r>
      <w:r w:rsidRPr="005D4AE4">
        <w:rPr>
          <w:rFonts w:ascii="Times New Roman" w:eastAsia="Times New Roman" w:hAnsi="Times New Roman" w:cs="Times New Roman"/>
          <w:sz w:val="24"/>
          <w:szCs w:val="24"/>
        </w:rPr>
        <w:t xml:space="preserve"> </w:t>
      </w:r>
    </w:p>
    <w:p w:rsidR="005D4AE4" w:rsidRPr="005D4AE4" w:rsidRDefault="005D4AE4" w:rsidP="00693922">
      <w:pPr>
        <w:pStyle w:val="Akapitzlist"/>
        <w:numPr>
          <w:ilvl w:val="0"/>
          <w:numId w:val="3"/>
        </w:numPr>
        <w:spacing w:line="360" w:lineRule="auto"/>
        <w:ind w:left="425" w:hanging="425"/>
        <w:jc w:val="both"/>
        <w:rPr>
          <w:rFonts w:ascii="Times New Roman" w:eastAsia="Times New Roman" w:hAnsi="Times New Roman" w:cs="Times New Roman"/>
          <w:sz w:val="24"/>
          <w:szCs w:val="24"/>
        </w:rPr>
      </w:pPr>
      <w:r w:rsidRPr="005D4AE4">
        <w:rPr>
          <w:rFonts w:ascii="Times New Roman" w:eastAsia="Times New Roman" w:hAnsi="Times New Roman" w:cs="Times New Roman"/>
          <w:sz w:val="24"/>
          <w:szCs w:val="24"/>
        </w:rPr>
        <w:t>budowę i renowację zbiorników wodnych służących małej retencji;</w:t>
      </w:r>
    </w:p>
    <w:p w:rsidR="005D4AE4" w:rsidRPr="005D4AE4" w:rsidRDefault="005D4AE4" w:rsidP="00693922">
      <w:pPr>
        <w:pStyle w:val="Akapitzlist"/>
        <w:numPr>
          <w:ilvl w:val="0"/>
          <w:numId w:val="3"/>
        </w:numPr>
        <w:spacing w:line="360" w:lineRule="auto"/>
        <w:ind w:left="425" w:hanging="425"/>
        <w:jc w:val="both"/>
        <w:rPr>
          <w:rFonts w:ascii="Times New Roman" w:eastAsia="Times New Roman" w:hAnsi="Times New Roman" w:cs="Times New Roman"/>
          <w:sz w:val="24"/>
          <w:szCs w:val="24"/>
        </w:rPr>
      </w:pPr>
      <w:r w:rsidRPr="005D4AE4">
        <w:rPr>
          <w:rFonts w:ascii="Times New Roman" w:eastAsia="Times New Roman" w:hAnsi="Times New Roman" w:cs="Times New Roman"/>
          <w:sz w:val="24"/>
          <w:szCs w:val="24"/>
        </w:rPr>
        <w:t>budowę i modernizację dróg dojazdowych do gruntów rolnych;</w:t>
      </w:r>
    </w:p>
    <w:p w:rsidR="005D4AE4" w:rsidRPr="005D4AE4" w:rsidRDefault="005D4AE4" w:rsidP="00693922">
      <w:pPr>
        <w:pStyle w:val="Akapitzlist"/>
        <w:numPr>
          <w:ilvl w:val="0"/>
          <w:numId w:val="3"/>
        </w:numPr>
        <w:spacing w:line="360" w:lineRule="auto"/>
        <w:ind w:left="425" w:hanging="425"/>
        <w:jc w:val="both"/>
        <w:rPr>
          <w:rFonts w:ascii="Times New Roman" w:eastAsia="Times New Roman" w:hAnsi="Times New Roman" w:cs="Times New Roman"/>
          <w:sz w:val="24"/>
          <w:szCs w:val="24"/>
        </w:rPr>
      </w:pPr>
      <w:r w:rsidRPr="005D4AE4">
        <w:rPr>
          <w:rFonts w:ascii="Times New Roman" w:eastAsia="Times New Roman" w:hAnsi="Times New Roman" w:cs="Times New Roman"/>
          <w:sz w:val="24"/>
          <w:szCs w:val="24"/>
        </w:rPr>
        <w:t xml:space="preserve">wdrażanie i upowszechnianie wyników prac </w:t>
      </w:r>
      <w:r w:rsidR="00693922">
        <w:rPr>
          <w:rFonts w:ascii="Times New Roman" w:eastAsia="Times New Roman" w:hAnsi="Times New Roman" w:cs="Times New Roman"/>
          <w:sz w:val="24"/>
          <w:szCs w:val="24"/>
        </w:rPr>
        <w:t>naukowo-badawczych związanych z</w:t>
      </w:r>
      <w:r w:rsidR="00F534FE">
        <w:rPr>
          <w:rFonts w:ascii="Times New Roman" w:eastAsia="Times New Roman" w:hAnsi="Times New Roman" w:cs="Times New Roman"/>
          <w:sz w:val="24"/>
          <w:szCs w:val="24"/>
        </w:rPr>
        <w:t> </w:t>
      </w:r>
      <w:r w:rsidRPr="005D4AE4">
        <w:rPr>
          <w:rFonts w:ascii="Times New Roman" w:eastAsia="Times New Roman" w:hAnsi="Times New Roman" w:cs="Times New Roman"/>
          <w:sz w:val="24"/>
          <w:szCs w:val="24"/>
        </w:rPr>
        <w:t>ochroną gruntów rolnych;</w:t>
      </w:r>
    </w:p>
    <w:p w:rsidR="005D4AE4" w:rsidRPr="005D4AE4" w:rsidRDefault="005D4AE4" w:rsidP="00693922">
      <w:pPr>
        <w:pStyle w:val="Akapitzlist"/>
        <w:numPr>
          <w:ilvl w:val="0"/>
          <w:numId w:val="3"/>
        </w:numPr>
        <w:spacing w:line="360" w:lineRule="auto"/>
        <w:ind w:left="425" w:hanging="425"/>
        <w:jc w:val="both"/>
        <w:rPr>
          <w:rFonts w:ascii="Times New Roman" w:eastAsia="Times New Roman" w:hAnsi="Times New Roman" w:cs="Times New Roman"/>
          <w:sz w:val="24"/>
          <w:szCs w:val="24"/>
        </w:rPr>
      </w:pPr>
      <w:r w:rsidRPr="005D4AE4">
        <w:rPr>
          <w:rFonts w:ascii="Times New Roman" w:eastAsia="Times New Roman" w:hAnsi="Times New Roman" w:cs="Times New Roman"/>
          <w:sz w:val="24"/>
          <w:szCs w:val="24"/>
        </w:rPr>
        <w:t>wykonywanie badań płodów rolnych uzyskiwanych na obszarach ograniczonego użytkowania oraz</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niezbędnych</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dokumentacji i ekspertyz z zakresu ochrony gruntów rolnych;</w:t>
      </w:r>
    </w:p>
    <w:p w:rsidR="005D4AE4" w:rsidRPr="005D4AE4" w:rsidRDefault="005D4AE4" w:rsidP="00693922">
      <w:pPr>
        <w:pStyle w:val="Akapitzlist"/>
        <w:numPr>
          <w:ilvl w:val="0"/>
          <w:numId w:val="3"/>
        </w:numPr>
        <w:spacing w:line="360" w:lineRule="auto"/>
        <w:ind w:left="425" w:hanging="425"/>
        <w:jc w:val="both"/>
        <w:rPr>
          <w:rFonts w:ascii="Times New Roman" w:eastAsia="Times New Roman" w:hAnsi="Times New Roman" w:cs="Times New Roman"/>
          <w:sz w:val="24"/>
          <w:szCs w:val="24"/>
        </w:rPr>
      </w:pPr>
      <w:r w:rsidRPr="005D4AE4">
        <w:rPr>
          <w:rFonts w:ascii="Times New Roman" w:eastAsia="Times New Roman" w:hAnsi="Times New Roman" w:cs="Times New Roman"/>
          <w:sz w:val="24"/>
          <w:szCs w:val="24"/>
        </w:rPr>
        <w:t>wykonywanie zastępcze obowiązków określonych w usta</w:t>
      </w:r>
      <w:r w:rsidR="00693922">
        <w:rPr>
          <w:rFonts w:ascii="Times New Roman" w:eastAsia="Times New Roman" w:hAnsi="Times New Roman" w:cs="Times New Roman"/>
          <w:sz w:val="24"/>
          <w:szCs w:val="24"/>
        </w:rPr>
        <w:t>wie o ochronie gurtów rolnych i</w:t>
      </w:r>
      <w:r w:rsidR="00F534FE">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leśnych;</w:t>
      </w:r>
    </w:p>
    <w:p w:rsidR="005D4AE4" w:rsidRPr="005D4AE4" w:rsidRDefault="005D4AE4" w:rsidP="00693922">
      <w:pPr>
        <w:pStyle w:val="Akapitzlist"/>
        <w:numPr>
          <w:ilvl w:val="0"/>
          <w:numId w:val="3"/>
        </w:numPr>
        <w:spacing w:line="360" w:lineRule="auto"/>
        <w:ind w:left="425" w:hanging="425"/>
        <w:jc w:val="both"/>
        <w:rPr>
          <w:rFonts w:ascii="Times New Roman" w:eastAsia="Times New Roman" w:hAnsi="Times New Roman" w:cs="Times New Roman"/>
          <w:sz w:val="24"/>
          <w:szCs w:val="24"/>
        </w:rPr>
      </w:pPr>
      <w:r w:rsidRPr="005D4AE4">
        <w:rPr>
          <w:rFonts w:ascii="Times New Roman" w:eastAsia="Times New Roman" w:hAnsi="Times New Roman" w:cs="Times New Roman"/>
          <w:sz w:val="24"/>
          <w:szCs w:val="24"/>
        </w:rPr>
        <w:t>rekultywacja</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nieużytków</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i użyźnianie</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gleb</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na</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potrzeby</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nowo</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zakładanych rodzinnych ogrodów działkowych;</w:t>
      </w:r>
    </w:p>
    <w:p w:rsidR="005D4AE4" w:rsidRPr="005D4AE4" w:rsidRDefault="005D4AE4" w:rsidP="00693922">
      <w:pPr>
        <w:pStyle w:val="Akapitzlist"/>
        <w:numPr>
          <w:ilvl w:val="0"/>
          <w:numId w:val="3"/>
        </w:numPr>
        <w:spacing w:line="360" w:lineRule="auto"/>
        <w:ind w:left="425" w:hanging="425"/>
        <w:jc w:val="both"/>
        <w:rPr>
          <w:rFonts w:ascii="Times New Roman" w:eastAsia="Times New Roman" w:hAnsi="Times New Roman" w:cs="Times New Roman"/>
          <w:sz w:val="24"/>
          <w:szCs w:val="24"/>
        </w:rPr>
      </w:pPr>
      <w:r w:rsidRPr="005D4AE4">
        <w:rPr>
          <w:rFonts w:ascii="Times New Roman" w:eastAsia="Times New Roman" w:hAnsi="Times New Roman" w:cs="Times New Roman"/>
          <w:sz w:val="24"/>
          <w:szCs w:val="24"/>
        </w:rPr>
        <w:t>zakup</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sprzętu</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pomiarowego</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i informatycznego</w:t>
      </w:r>
      <w:r>
        <w:rPr>
          <w:rFonts w:ascii="Times New Roman" w:eastAsia="Times New Roman" w:hAnsi="Times New Roman" w:cs="Times New Roman"/>
          <w:sz w:val="24"/>
          <w:szCs w:val="24"/>
        </w:rPr>
        <w:t xml:space="preserve"> oraz </w:t>
      </w:r>
      <w:r w:rsidRPr="005D4AE4">
        <w:rPr>
          <w:rFonts w:ascii="Times New Roman" w:eastAsia="Times New Roman" w:hAnsi="Times New Roman" w:cs="Times New Roman"/>
          <w:sz w:val="24"/>
          <w:szCs w:val="24"/>
        </w:rPr>
        <w:t>oprogramowania, niezbędnego do zakładania i aktualizowania operatów ewidencji gruntów oraz prowadzenia</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spraw</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ochrony</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gruntów</w:t>
      </w:r>
      <w:r>
        <w:rPr>
          <w:rFonts w:ascii="Times New Roman" w:eastAsia="Times New Roman" w:hAnsi="Times New Roman" w:cs="Times New Roman"/>
          <w:sz w:val="24"/>
          <w:szCs w:val="24"/>
        </w:rPr>
        <w:t xml:space="preserve"> </w:t>
      </w:r>
      <w:r w:rsidRPr="005D4AE4">
        <w:rPr>
          <w:rFonts w:ascii="Times New Roman" w:eastAsia="Times New Roman" w:hAnsi="Times New Roman" w:cs="Times New Roman"/>
          <w:sz w:val="24"/>
          <w:szCs w:val="24"/>
        </w:rPr>
        <w:t>rolnych.</w:t>
      </w:r>
    </w:p>
    <w:p w:rsidR="005D4AE4" w:rsidRPr="005D4AE4" w:rsidRDefault="005D4AE4" w:rsidP="00693922">
      <w:pPr>
        <w:spacing w:before="120"/>
        <w:jc w:val="both"/>
        <w:rPr>
          <w:rFonts w:eastAsia="Times New Roman" w:cs="Times New Roman"/>
          <w:szCs w:val="24"/>
        </w:rPr>
      </w:pPr>
      <w:r w:rsidRPr="005D4AE4">
        <w:rPr>
          <w:rFonts w:eastAsia="Times New Roman" w:cs="Times New Roman"/>
          <w:szCs w:val="24"/>
        </w:rPr>
        <w:t>Podkreślić należy, iż ww. działania w pierwszej kolejności powinny być prowadzone na</w:t>
      </w:r>
      <w:r>
        <w:rPr>
          <w:rFonts w:eastAsia="Times New Roman" w:cs="Times New Roman"/>
          <w:szCs w:val="24"/>
        </w:rPr>
        <w:t xml:space="preserve"> </w:t>
      </w:r>
      <w:r w:rsidRPr="005D4AE4">
        <w:rPr>
          <w:rFonts w:eastAsia="Times New Roman" w:cs="Times New Roman"/>
          <w:szCs w:val="24"/>
        </w:rPr>
        <w:t>obszarze</w:t>
      </w:r>
      <w:r>
        <w:rPr>
          <w:rFonts w:eastAsia="Times New Roman" w:cs="Times New Roman"/>
          <w:szCs w:val="24"/>
        </w:rPr>
        <w:t xml:space="preserve"> </w:t>
      </w:r>
      <w:r w:rsidRPr="005D4AE4">
        <w:rPr>
          <w:rFonts w:eastAsia="Times New Roman" w:cs="Times New Roman"/>
          <w:szCs w:val="24"/>
        </w:rPr>
        <w:t>tych</w:t>
      </w:r>
      <w:r>
        <w:rPr>
          <w:rFonts w:eastAsia="Times New Roman" w:cs="Times New Roman"/>
          <w:szCs w:val="24"/>
        </w:rPr>
        <w:t xml:space="preserve"> </w:t>
      </w:r>
      <w:r w:rsidRPr="005D4AE4">
        <w:rPr>
          <w:rFonts w:eastAsia="Times New Roman" w:cs="Times New Roman"/>
          <w:szCs w:val="24"/>
        </w:rPr>
        <w:t>gmin, w których powstają te dochody oraz istnieją warunki uzyskania wzrostu produkcji rolniczej, rekompensującej straty poniesione w wyniku zmniejszenia obszaru gruntów rolnych.</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Decyzję o ustaleniu lokalizacji inwestycji w zakresie CPK wydaje wojewoda, zaś organem wyższego stopnia jest minister właściwy do </w:t>
      </w:r>
      <w:r w:rsidR="00693922">
        <w:rPr>
          <w:rFonts w:eastAsia="Times New Roman" w:cs="Times New Roman"/>
          <w:szCs w:val="24"/>
        </w:rPr>
        <w:t>spraw budownictwa, planowania i</w:t>
      </w:r>
      <w:r w:rsidR="00F534FE">
        <w:rPr>
          <w:rFonts w:eastAsia="Times New Roman" w:cs="Times New Roman"/>
          <w:szCs w:val="24"/>
        </w:rPr>
        <w:t> </w:t>
      </w:r>
      <w:r w:rsidRPr="005D4AE4">
        <w:rPr>
          <w:rFonts w:eastAsia="Times New Roman" w:cs="Times New Roman"/>
          <w:szCs w:val="24"/>
        </w:rPr>
        <w:t>zagospodarowania przestrzennego oraz mieszkalnictwa. W decyzji zawiera się typowe ustalenia lokalizacyjne, dotyczące m.in. linii rozgraniczających teren inwestycji, charakterystyki i wymagań dotyczących inwestycji, w tym w za</w:t>
      </w:r>
      <w:r w:rsidR="00F534FE">
        <w:rPr>
          <w:rFonts w:eastAsia="Times New Roman" w:cs="Times New Roman"/>
          <w:szCs w:val="24"/>
        </w:rPr>
        <w:t>kresie powiązania z </w:t>
      </w:r>
      <w:r w:rsidRPr="005D4AE4">
        <w:rPr>
          <w:rFonts w:eastAsia="Times New Roman" w:cs="Times New Roman"/>
          <w:szCs w:val="24"/>
        </w:rPr>
        <w:t>siecią transportową. Decyzja lokalizacyjna zatwierdza podział i ew. wtórne scalenie nieruchomości oraz wywiera skutki prawnorzeczowe wobec nieruchomoś</w:t>
      </w:r>
      <w:r w:rsidR="00693922">
        <w:rPr>
          <w:rFonts w:eastAsia="Times New Roman" w:cs="Times New Roman"/>
          <w:szCs w:val="24"/>
        </w:rPr>
        <w:t>ci w niej wskazanych (zarówno w</w:t>
      </w:r>
      <w:r w:rsidR="00F534FE">
        <w:rPr>
          <w:rFonts w:eastAsia="Times New Roman" w:cs="Times New Roman"/>
          <w:szCs w:val="24"/>
        </w:rPr>
        <w:t xml:space="preserve"> </w:t>
      </w:r>
      <w:r w:rsidRPr="005D4AE4">
        <w:rPr>
          <w:rFonts w:eastAsia="Times New Roman" w:cs="Times New Roman"/>
          <w:szCs w:val="24"/>
        </w:rPr>
        <w:t>zakresie wywłaszczenia jak i ustanowienia ogra</w:t>
      </w:r>
      <w:r w:rsidR="00693922">
        <w:rPr>
          <w:rFonts w:eastAsia="Times New Roman" w:cs="Times New Roman"/>
          <w:szCs w:val="24"/>
        </w:rPr>
        <w:t>niczeń w</w:t>
      </w:r>
      <w:r w:rsidR="00F534FE">
        <w:rPr>
          <w:rFonts w:eastAsia="Times New Roman" w:cs="Times New Roman"/>
          <w:szCs w:val="24"/>
        </w:rPr>
        <w:t> </w:t>
      </w:r>
      <w:r w:rsidR="00693922">
        <w:rPr>
          <w:rFonts w:eastAsia="Times New Roman" w:cs="Times New Roman"/>
          <w:szCs w:val="24"/>
        </w:rPr>
        <w:t>sposobie korzystania z</w:t>
      </w:r>
      <w:r w:rsidR="00F534FE">
        <w:rPr>
          <w:rFonts w:eastAsia="Times New Roman" w:cs="Times New Roman"/>
          <w:szCs w:val="24"/>
        </w:rPr>
        <w:t xml:space="preserve"> </w:t>
      </w:r>
      <w:r w:rsidRPr="005D4AE4">
        <w:rPr>
          <w:rFonts w:eastAsia="Times New Roman" w:cs="Times New Roman"/>
          <w:szCs w:val="24"/>
        </w:rPr>
        <w:t>nieruchomości).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Ponadto, decyzja o ustaleniu lokalizacji inwestycji w zakresie CPK może ustanowić na całości albo części terenu nią objętego teren zamknięty, określając klauzulę tajności </w:t>
      </w:r>
      <w:r w:rsidRPr="005D4AE4">
        <w:rPr>
          <w:rFonts w:eastAsia="Times New Roman" w:cs="Times New Roman"/>
          <w:szCs w:val="24"/>
        </w:rPr>
        <w:lastRenderedPageBreak/>
        <w:t xml:space="preserve">informacji dotyczących obiektów znajdujących się na tym terenie. Do skutków ustanowienia terenu zamkniętego </w:t>
      </w:r>
      <w:r w:rsidR="005E3EB4">
        <w:rPr>
          <w:rFonts w:eastAsia="Times New Roman" w:cs="Times New Roman"/>
          <w:szCs w:val="24"/>
        </w:rPr>
        <w:t xml:space="preserve">stosuje się odpowiednio </w:t>
      </w:r>
      <w:r w:rsidRPr="005D4AE4">
        <w:rPr>
          <w:rFonts w:eastAsia="Times New Roman" w:cs="Times New Roman"/>
          <w:szCs w:val="24"/>
        </w:rPr>
        <w:t>przepisy ustawy z dnia 17 ma</w:t>
      </w:r>
      <w:r w:rsidR="00693922">
        <w:rPr>
          <w:rFonts w:eastAsia="Times New Roman" w:cs="Times New Roman"/>
          <w:szCs w:val="24"/>
        </w:rPr>
        <w:t>ja 1989 r. – Prawo geodezyjne i</w:t>
      </w:r>
      <w:r w:rsidR="00F534FE">
        <w:rPr>
          <w:rFonts w:eastAsia="Times New Roman" w:cs="Times New Roman"/>
          <w:szCs w:val="24"/>
        </w:rPr>
        <w:t xml:space="preserve"> </w:t>
      </w:r>
      <w:r w:rsidRPr="005D4AE4">
        <w:rPr>
          <w:rFonts w:eastAsia="Times New Roman" w:cs="Times New Roman"/>
          <w:szCs w:val="24"/>
        </w:rPr>
        <w:t xml:space="preserve">kartograficzne </w:t>
      </w:r>
      <w:r>
        <w:rPr>
          <w:rFonts w:eastAsia="Times New Roman" w:cs="Times New Roman"/>
          <w:szCs w:val="24"/>
        </w:rPr>
        <w:t>–</w:t>
      </w:r>
      <w:r w:rsidR="00984ED4">
        <w:rPr>
          <w:rFonts w:eastAsia="Times New Roman" w:cs="Times New Roman"/>
          <w:szCs w:val="24"/>
        </w:rPr>
        <w:t xml:space="preserve"> dotyczy to m.</w:t>
      </w:r>
      <w:r w:rsidRPr="005D4AE4">
        <w:rPr>
          <w:rFonts w:eastAsia="Times New Roman" w:cs="Times New Roman"/>
          <w:szCs w:val="24"/>
        </w:rPr>
        <w:t>in. obowiązku powia</w:t>
      </w:r>
      <w:r w:rsidR="00693922">
        <w:rPr>
          <w:rFonts w:eastAsia="Times New Roman" w:cs="Times New Roman"/>
          <w:szCs w:val="24"/>
        </w:rPr>
        <w:t>domienia odpowiednich organów o</w:t>
      </w:r>
      <w:r w:rsidR="00F534FE">
        <w:rPr>
          <w:rFonts w:eastAsia="Times New Roman" w:cs="Times New Roman"/>
          <w:szCs w:val="24"/>
        </w:rPr>
        <w:t xml:space="preserve"> </w:t>
      </w:r>
      <w:r w:rsidRPr="005D4AE4">
        <w:rPr>
          <w:rFonts w:eastAsia="Times New Roman" w:cs="Times New Roman"/>
          <w:szCs w:val="24"/>
        </w:rPr>
        <w:t>ustanowieniu terenu zamkniętego oraz wykonania decy</w:t>
      </w:r>
      <w:r w:rsidR="00F534FE">
        <w:rPr>
          <w:rFonts w:eastAsia="Times New Roman" w:cs="Times New Roman"/>
          <w:szCs w:val="24"/>
        </w:rPr>
        <w:t>zji w </w:t>
      </w:r>
      <w:r w:rsidRPr="005D4AE4">
        <w:rPr>
          <w:rFonts w:eastAsia="Times New Roman" w:cs="Times New Roman"/>
          <w:szCs w:val="24"/>
        </w:rPr>
        <w:t>zakresie nadania klauzuli tajności materiałom geodezyjno-kartograficznym. CPK, jako obiekt infrastruktury lotniczej krytyczny dla funkcjonowania Państwa, spełnia bowiem przesłanki do zabezpieczenia inwestycji poprzez ustanowienie terenu zamkniętego.</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Przed złożeniem wniosku o uzyskanie decyzji lokalizacyjnej Spółka Celowa pozyskuje opinie właściwych organów i podmiotów, zastępujące wymagane w zwykłym trybie inwestowania rozstrzygnięcia (decyzje, zezwolenia, uzgodnienia). Rolą opiniowania wniosku jest również koordynacja zamierzeń</w:t>
      </w:r>
      <w:r w:rsidR="00F534FE">
        <w:rPr>
          <w:rFonts w:eastAsia="Times New Roman" w:cs="Times New Roman"/>
          <w:szCs w:val="24"/>
        </w:rPr>
        <w:t xml:space="preserve"> inwestycyjnych, co dotyczy np. </w:t>
      </w:r>
      <w:r w:rsidRPr="005D4AE4">
        <w:rPr>
          <w:rFonts w:eastAsia="Times New Roman" w:cs="Times New Roman"/>
          <w:szCs w:val="24"/>
        </w:rPr>
        <w:t xml:space="preserve">zarządców dróg i linii kolejowych na obszarze objętym wnioskiem. Niewydanie opinii w terminie </w:t>
      </w:r>
      <w:r w:rsidR="005E3EB4">
        <w:rPr>
          <w:rFonts w:eastAsia="Times New Roman" w:cs="Times New Roman"/>
          <w:szCs w:val="24"/>
        </w:rPr>
        <w:t>2</w:t>
      </w:r>
      <w:r w:rsidRPr="005D4AE4">
        <w:rPr>
          <w:rFonts w:eastAsia="Times New Roman" w:cs="Times New Roman"/>
          <w:szCs w:val="24"/>
        </w:rPr>
        <w:t xml:space="preserve">1 dni od dnia zwrócenia się przez wnioskodawcę o jej wyrażenie, traktuje się jako brak zastrzeżeń do wniosku. Do wniosku o wydanie decyzji lokalizacyjnej załącza się ponadto decyzję o </w:t>
      </w:r>
      <w:r>
        <w:rPr>
          <w:rFonts w:eastAsia="Times New Roman" w:cs="Times New Roman"/>
          <w:szCs w:val="24"/>
        </w:rPr>
        <w:t>środowiskowych uwarunkowaniach –</w:t>
      </w:r>
      <w:r w:rsidR="00F534FE">
        <w:rPr>
          <w:rFonts w:eastAsia="Times New Roman" w:cs="Times New Roman"/>
          <w:szCs w:val="24"/>
        </w:rPr>
        <w:t xml:space="preserve"> w </w:t>
      </w:r>
      <w:r w:rsidRPr="005D4AE4">
        <w:rPr>
          <w:rFonts w:eastAsia="Times New Roman" w:cs="Times New Roman"/>
          <w:szCs w:val="24"/>
        </w:rPr>
        <w:t>tym zakresie nie zdecydowano się na dokonywanie modyfikacji obowiązującego trybu i zasad określania środowiskowych uwarunkowań, opierając się na obowiązujących regulacjach.</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Dla pełnego wdrożenia zasad</w:t>
      </w:r>
      <w:r>
        <w:rPr>
          <w:rFonts w:eastAsia="Times New Roman" w:cs="Times New Roman"/>
          <w:szCs w:val="24"/>
        </w:rPr>
        <w:t xml:space="preserve"> </w:t>
      </w:r>
      <w:r w:rsidRPr="005D4AE4">
        <w:rPr>
          <w:rFonts w:eastAsia="Times New Roman" w:cs="Times New Roman"/>
          <w:szCs w:val="24"/>
        </w:rPr>
        <w:t xml:space="preserve">partycypacji społecznej Spółka Celowa przed złożeniem wniosku o wydanie decyzji lokalizacyjnej zobowiązana jest do konsultacji społecznych. Sposób prowadzenia konsultacji jest tożsamy z konsultacjami prowadzonymi na etapie rezerwacji terenu Inwestycji.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Decyzja o ustaleniu lokalizacji inwestycji w zakresie CPK wywoł</w:t>
      </w:r>
      <w:r w:rsidR="00984ED4">
        <w:rPr>
          <w:rFonts w:eastAsia="Times New Roman" w:cs="Times New Roman"/>
          <w:szCs w:val="24"/>
        </w:rPr>
        <w:t>uje szereg skutków prawnych, m.</w:t>
      </w:r>
      <w:r w:rsidRPr="005D4AE4">
        <w:rPr>
          <w:rFonts w:eastAsia="Times New Roman" w:cs="Times New Roman"/>
          <w:szCs w:val="24"/>
        </w:rPr>
        <w:t xml:space="preserve">in. stanowiąc podstawę uzyskania pozwolenia na budowę i wiążąc organ wydający to pozwolenie. Jest również podstawą do dokonywania wpisów w księdze wieczystej i w katastrze nieruchomości, w zakresie skutków prawnorzeczowych. Decyzja </w:t>
      </w:r>
      <w:r w:rsidRPr="005D4AE4">
        <w:rPr>
          <w:rFonts w:eastAsia="Times New Roman" w:cs="Times New Roman"/>
          <w:color w:val="000000" w:themeColor="text1"/>
          <w:szCs w:val="24"/>
        </w:rPr>
        <w:t xml:space="preserve">wiąże organ ochrony zabytków przy wydawaniu </w:t>
      </w:r>
      <w:r w:rsidR="005E3EB4">
        <w:rPr>
          <w:rFonts w:eastAsia="Times New Roman" w:cs="Times New Roman"/>
          <w:color w:val="000000" w:themeColor="text1"/>
          <w:szCs w:val="24"/>
        </w:rPr>
        <w:t>pozwolenia</w:t>
      </w:r>
      <w:r w:rsidRPr="005D4AE4">
        <w:rPr>
          <w:rFonts w:eastAsia="Times New Roman" w:cs="Times New Roman"/>
          <w:color w:val="000000" w:themeColor="text1"/>
          <w:szCs w:val="24"/>
        </w:rPr>
        <w:t xml:space="preserve">, o którym mowa w art. 36 </w:t>
      </w:r>
      <w:r w:rsidRPr="005D4AE4">
        <w:rPr>
          <w:rFonts w:cs="Times New Roman"/>
          <w:szCs w:val="24"/>
        </w:rPr>
        <w:t>ustawy z dnia 23 lipca 2003 r. o ochronie zabytków i opiece nad zabytkami, zezwolenia na usunięcie drzew i krzewów z obszaru wpisanego do rejestru zabytków,</w:t>
      </w:r>
      <w:r>
        <w:rPr>
          <w:rFonts w:cs="Times New Roman"/>
          <w:szCs w:val="24"/>
        </w:rPr>
        <w:t xml:space="preserve"> </w:t>
      </w:r>
      <w:r w:rsidRPr="005D4AE4">
        <w:rPr>
          <w:rFonts w:cs="Times New Roman"/>
          <w:szCs w:val="24"/>
        </w:rPr>
        <w:t xml:space="preserve">oraz określenia sposobu postępowania z zabytkami w przypadku zamknięcia cmentarza. </w:t>
      </w:r>
      <w:r w:rsidRPr="005D4AE4">
        <w:rPr>
          <w:rFonts w:eastAsia="Times New Roman" w:cs="Times New Roman"/>
          <w:szCs w:val="24"/>
        </w:rPr>
        <w:t xml:space="preserve">Związanie decyzją lokalizacyjną CPK, z uwagi na skalę i istotność inwestycji, jest </w:t>
      </w:r>
      <w:r w:rsidRPr="005D4AE4">
        <w:rPr>
          <w:rFonts w:eastAsia="Times New Roman" w:cs="Times New Roman"/>
          <w:szCs w:val="24"/>
        </w:rPr>
        <w:lastRenderedPageBreak/>
        <w:t xml:space="preserve">szersze i obejmuje również inwestycje realizowane na podstawie specustaw inwestycyjnych (nawet jeżeli nie stanowią Inwestycji Towarzyszących).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Ostateczna decyzja o ustaleniu lokalizacji inwestycji w zakresie CPK doręczana jest również wójtowi (burmistrzowi, prezydentowi miasta), jeżeli wywołuje sku</w:t>
      </w:r>
      <w:r w:rsidR="00984ED4">
        <w:rPr>
          <w:rFonts w:eastAsia="Times New Roman" w:cs="Times New Roman"/>
          <w:szCs w:val="24"/>
        </w:rPr>
        <w:t>tki dla funkcjonowania gmin, m.</w:t>
      </w:r>
      <w:r w:rsidRPr="005D4AE4">
        <w:rPr>
          <w:rFonts w:eastAsia="Times New Roman" w:cs="Times New Roman"/>
          <w:szCs w:val="24"/>
        </w:rPr>
        <w:t>in. w zakresie obowiązku uchylenia planów miejscowych albo ustanowienia terenu zamkniętego. Z dniem doręczenia zawiadomienia o wydaniu decyzji o ustaleniu lokalizacji inwestycji w zakresie CPK, wszczyna się postępowanie w sp</w:t>
      </w:r>
      <w:r w:rsidR="00693922">
        <w:rPr>
          <w:rFonts w:eastAsia="Times New Roman" w:cs="Times New Roman"/>
          <w:szCs w:val="24"/>
        </w:rPr>
        <w:t>rawie ustalenia odszkodowania z</w:t>
      </w:r>
      <w:r w:rsidR="00F534FE">
        <w:rPr>
          <w:rFonts w:eastAsia="Times New Roman" w:cs="Times New Roman"/>
          <w:szCs w:val="24"/>
        </w:rPr>
        <w:t xml:space="preserve"> </w:t>
      </w:r>
      <w:r w:rsidRPr="005D4AE4">
        <w:rPr>
          <w:rFonts w:eastAsia="Times New Roman" w:cs="Times New Roman"/>
          <w:szCs w:val="24"/>
        </w:rPr>
        <w:t>tytu</w:t>
      </w:r>
      <w:r>
        <w:rPr>
          <w:rFonts w:eastAsia="Times New Roman" w:cs="Times New Roman"/>
          <w:szCs w:val="24"/>
        </w:rPr>
        <w:t>łu wywłaszczenia nieruchomości –</w:t>
      </w:r>
      <w:r w:rsidRPr="005D4AE4">
        <w:rPr>
          <w:rFonts w:eastAsia="Times New Roman" w:cs="Times New Roman"/>
          <w:szCs w:val="24"/>
        </w:rPr>
        <w:t xml:space="preserve"> stanowi to uproszczenie i przyspieszenie realizacji inwestycji, jak również przyspiesza procedurę określenia i przyznania odszkodowania, pozytywnie oddziałując na właścicieli nieruchomości.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celu sprawnego pozyskania nieruchomości ustawa przewiduje stworzenie obiektywnego narzędzia pomocnego przy prowadzen</w:t>
      </w:r>
      <w:r w:rsidR="00F534FE">
        <w:rPr>
          <w:rFonts w:eastAsia="Times New Roman" w:cs="Times New Roman"/>
          <w:szCs w:val="24"/>
        </w:rPr>
        <w:t>iu negocjacji z właścicielami i </w:t>
      </w:r>
      <w:r w:rsidRPr="005D4AE4">
        <w:rPr>
          <w:rFonts w:eastAsia="Times New Roman" w:cs="Times New Roman"/>
          <w:szCs w:val="24"/>
        </w:rPr>
        <w:t>użytkownikami wieczystymi w zakresie uzgodnienia wysokości ceny nieruchomości lub wysokości odszkodowania (w przypadku, gdy nieruchomość zostałyby już objęta decyzją o ustaleniu lokalizacji inwestycji w zakresie CPK), ekspertyzy rynku nieruchomości. Ekspertyza przygotowywana jest przez rzecz</w:t>
      </w:r>
      <w:r w:rsidR="00F534FE">
        <w:rPr>
          <w:rFonts w:eastAsia="Times New Roman" w:cs="Times New Roman"/>
          <w:szCs w:val="24"/>
        </w:rPr>
        <w:t>oznawców majątkowych i </w:t>
      </w:r>
      <w:r w:rsidRPr="005D4AE4">
        <w:rPr>
          <w:rFonts w:eastAsia="Times New Roman" w:cs="Times New Roman"/>
          <w:szCs w:val="24"/>
        </w:rPr>
        <w:t xml:space="preserve">obejmuje obszar rezerwacji, bądź też, w przypadku gdy plan rezerwacji nie został przyjęty </w:t>
      </w:r>
      <w:r>
        <w:rPr>
          <w:rFonts w:eastAsia="Times New Roman" w:cs="Times New Roman"/>
          <w:szCs w:val="24"/>
        </w:rPr>
        <w:t>–</w:t>
      </w:r>
      <w:r w:rsidRPr="005D4AE4">
        <w:rPr>
          <w:rFonts w:eastAsia="Times New Roman" w:cs="Times New Roman"/>
          <w:szCs w:val="24"/>
        </w:rPr>
        <w:t xml:space="preserve"> obszar wniosku o wydanie decyzji o ust</w:t>
      </w:r>
      <w:r w:rsidR="00F534FE">
        <w:rPr>
          <w:rFonts w:eastAsia="Times New Roman" w:cs="Times New Roman"/>
          <w:szCs w:val="24"/>
        </w:rPr>
        <w:t>aleniu lokalizacji inwestycji w </w:t>
      </w:r>
      <w:r w:rsidRPr="005D4AE4">
        <w:rPr>
          <w:rFonts w:eastAsia="Times New Roman" w:cs="Times New Roman"/>
          <w:szCs w:val="24"/>
        </w:rPr>
        <w:t>zakresie CPK.</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Ekspertyza rynku nieruchomości składa się z analiz rynków nieruchomości właściwych dla wyodrębnionych grup nieruchomości. W poszcze</w:t>
      </w:r>
      <w:r w:rsidR="00693922">
        <w:rPr>
          <w:rFonts w:eastAsia="Times New Roman" w:cs="Times New Roman"/>
          <w:szCs w:val="24"/>
        </w:rPr>
        <w:t>gólnych analizach podaje się, w</w:t>
      </w:r>
      <w:r w:rsidR="00F534FE">
        <w:rPr>
          <w:rFonts w:eastAsia="Times New Roman" w:cs="Times New Roman"/>
          <w:szCs w:val="24"/>
        </w:rPr>
        <w:t> </w:t>
      </w:r>
      <w:r w:rsidRPr="005D4AE4">
        <w:rPr>
          <w:rFonts w:eastAsia="Times New Roman" w:cs="Times New Roman"/>
          <w:szCs w:val="24"/>
        </w:rPr>
        <w:t>szczególności, przedziały cen transakcyjnych nieruchomości podobnych do wyodrębnionych grup nieruchomości według dotychczasowego przeznaczenia oraz według dopuszczalnego sposobu użytkowania wynikającego z celu wywłaszczenia. Przy prowadzeniu negocjacji z właścicielami lub użytkownikami wieczystymi, jako podstawę tych negocjacji, przyjmować się będzie m.in. ww. przedziały cen nieruchomości podobnych do nieruchomości podlegającej nabyciu lub za którą uzgadniana jest wysokość odszkodowania.</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Przygotowana ekspertyza wymagać będzie aktualizacji przynajmniej raz w roku, by zapewnić aktualność zawartych w niej ustaleń, w szczególności w zakresie przedziałów cen transakcyjnych nieruchomości podobnych. </w:t>
      </w:r>
    </w:p>
    <w:p w:rsidR="005D4AE4" w:rsidRPr="005D4AE4" w:rsidRDefault="005D4AE4" w:rsidP="005D4AE4">
      <w:pPr>
        <w:spacing w:before="120"/>
        <w:jc w:val="both"/>
        <w:rPr>
          <w:rFonts w:eastAsia="Times New Roman" w:cs="Times New Roman"/>
          <w:szCs w:val="24"/>
        </w:rPr>
      </w:pPr>
      <w:r w:rsidRPr="005D4AE4">
        <w:rPr>
          <w:rFonts w:eastAsia="Times New Roman" w:cs="Times New Roman"/>
          <w:b/>
          <w:szCs w:val="24"/>
        </w:rPr>
        <w:lastRenderedPageBreak/>
        <w:t>Nabycie praw do nieruchomości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ustawie zawarto regulacje dotyczące pozyskiwania praw do nieruchomości niezbędnych do realizacji inwestycji i ustalenia z tego tytułu odszkodowania.</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Przede wszystki</w:t>
      </w:r>
      <w:r w:rsidR="00D7688E">
        <w:rPr>
          <w:rFonts w:eastAsia="Times New Roman" w:cs="Times New Roman"/>
          <w:szCs w:val="24"/>
        </w:rPr>
        <w:t>m</w:t>
      </w:r>
      <w:r w:rsidRPr="005D4AE4">
        <w:rPr>
          <w:rFonts w:eastAsia="Times New Roman" w:cs="Times New Roman"/>
          <w:szCs w:val="24"/>
        </w:rPr>
        <w:t xml:space="preserve"> uregulowania ustawy tworzą warunki do nabywania nieruchomości niezbędnych do realizacji inwestycji w drodze dobrowolnych umów oraz zamiany nieruchomości na położone poza obszarem inwestycji.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przypadku zaś kiedy w toku procesu przygotowania inwestycji nie dojdzie do porozumienia Spółki Celowej z dotychczasowym właścicielem lub użytkownikiem wieczystym</w:t>
      </w:r>
      <w:r>
        <w:rPr>
          <w:rFonts w:eastAsia="Times New Roman" w:cs="Times New Roman"/>
          <w:szCs w:val="24"/>
        </w:rPr>
        <w:t xml:space="preserve"> </w:t>
      </w:r>
      <w:r w:rsidRPr="005D4AE4">
        <w:rPr>
          <w:rFonts w:eastAsia="Times New Roman" w:cs="Times New Roman"/>
          <w:szCs w:val="24"/>
        </w:rPr>
        <w:t xml:space="preserve">przewiduje się, że nieruchomości niezbędne do realizacji inwestycji nabywane będą w drodze wywłaszczenia na rzecz Skarbu Państwa lub ustanawiane będą na nieruchomościach ograniczenia w sposobie korzystania z nich. Przepisy w tym zakresie stanowią </w:t>
      </w:r>
      <w:r w:rsidRPr="005D4AE4">
        <w:rPr>
          <w:rFonts w:eastAsia="Times New Roman" w:cs="Times New Roman"/>
          <w:i/>
          <w:szCs w:val="24"/>
        </w:rPr>
        <w:t>lex specialis</w:t>
      </w:r>
      <w:r w:rsidRPr="005D4AE4">
        <w:rPr>
          <w:rFonts w:eastAsia="Times New Roman" w:cs="Times New Roman"/>
          <w:szCs w:val="24"/>
        </w:rPr>
        <w:t xml:space="preserve"> w odniesieniu do regulacji ustawy o</w:t>
      </w:r>
      <w:r w:rsidR="00693922">
        <w:rPr>
          <w:rFonts w:eastAsia="Times New Roman" w:cs="Times New Roman"/>
          <w:szCs w:val="24"/>
        </w:rPr>
        <w:t xml:space="preserve"> gospodarce nieruchomościami, w</w:t>
      </w:r>
      <w:r w:rsidR="00F534FE">
        <w:rPr>
          <w:rFonts w:eastAsia="Times New Roman" w:cs="Times New Roman"/>
          <w:szCs w:val="24"/>
        </w:rPr>
        <w:t xml:space="preserve"> </w:t>
      </w:r>
      <w:r w:rsidRPr="005D4AE4">
        <w:rPr>
          <w:rFonts w:eastAsia="Times New Roman" w:cs="Times New Roman"/>
          <w:szCs w:val="24"/>
        </w:rPr>
        <w:t>związku z czym już na wstępie ustawy zastrzeżono, że w zakresie nieuregul</w:t>
      </w:r>
      <w:r w:rsidR="00693922">
        <w:rPr>
          <w:rFonts w:eastAsia="Times New Roman" w:cs="Times New Roman"/>
          <w:szCs w:val="24"/>
        </w:rPr>
        <w:t>owanym w</w:t>
      </w:r>
      <w:r w:rsidR="00F534FE">
        <w:rPr>
          <w:rFonts w:eastAsia="Times New Roman" w:cs="Times New Roman"/>
          <w:szCs w:val="24"/>
        </w:rPr>
        <w:t xml:space="preserve"> </w:t>
      </w:r>
      <w:r w:rsidRPr="005D4AE4">
        <w:rPr>
          <w:rFonts w:eastAsia="Times New Roman" w:cs="Times New Roman"/>
          <w:szCs w:val="24"/>
        </w:rPr>
        <w:t xml:space="preserve">niniejszym rozdziale stosuje się przepisy ustawy o gospodarce nieruchomościami.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Podstawowy skutek materialnoprawny decyzji o ust</w:t>
      </w:r>
      <w:r w:rsidR="00F534FE">
        <w:rPr>
          <w:rFonts w:eastAsia="Times New Roman" w:cs="Times New Roman"/>
          <w:szCs w:val="24"/>
        </w:rPr>
        <w:t>aleniu lokalizacji inwestycji w </w:t>
      </w:r>
      <w:r w:rsidRPr="005D4AE4">
        <w:rPr>
          <w:rFonts w:eastAsia="Times New Roman" w:cs="Times New Roman"/>
          <w:szCs w:val="24"/>
        </w:rPr>
        <w:t>zakresie CPK w zakresie przewłaszczenia nieruchomości zawiera przepis, wskazujący, że nieruchomości wskazane w treści decyzj</w:t>
      </w:r>
      <w:r w:rsidR="005E3EB4">
        <w:rPr>
          <w:rFonts w:eastAsia="Times New Roman" w:cs="Times New Roman"/>
          <w:szCs w:val="24"/>
        </w:rPr>
        <w:t>i</w:t>
      </w:r>
      <w:r w:rsidRPr="005D4AE4">
        <w:rPr>
          <w:rFonts w:eastAsia="Times New Roman" w:cs="Times New Roman"/>
          <w:szCs w:val="24"/>
        </w:rPr>
        <w:t xml:space="preserve"> stają się z mocy prawa własnością Skarbu Państwa. Dzień wywłaszczenia nieruchomości na rzecz Skarbu Państwa określony został jako dzień, w</w:t>
      </w:r>
      <w:r w:rsidR="00F534FE">
        <w:rPr>
          <w:rFonts w:eastAsia="Times New Roman" w:cs="Times New Roman"/>
          <w:szCs w:val="24"/>
        </w:rPr>
        <w:t xml:space="preserve"> </w:t>
      </w:r>
      <w:r w:rsidRPr="005D4AE4">
        <w:rPr>
          <w:rFonts w:eastAsia="Times New Roman" w:cs="Times New Roman"/>
          <w:szCs w:val="24"/>
        </w:rPr>
        <w:t xml:space="preserve">którym decyzja o ustaleniu lokalizacji inwestycji w zakresie CPK stała się ostateczna.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Dalszą konsekwencją nabycia prawa własności nieruchomości jest wygaśnięcie ograniczonych praw rzeczowych ustanowionych na nieruchomości oraz wygaśnięcie użytkowania wieczystego. W przypadku ograniczon</w:t>
      </w:r>
      <w:r w:rsidR="00693922">
        <w:rPr>
          <w:rFonts w:eastAsia="Times New Roman" w:cs="Times New Roman"/>
          <w:szCs w:val="24"/>
        </w:rPr>
        <w:t>ych praw rzeczowych chodzi tu o</w:t>
      </w:r>
      <w:r w:rsidR="00F534FE">
        <w:rPr>
          <w:rFonts w:eastAsia="Times New Roman" w:cs="Times New Roman"/>
          <w:szCs w:val="24"/>
        </w:rPr>
        <w:t> </w:t>
      </w:r>
      <w:r w:rsidRPr="005D4AE4">
        <w:rPr>
          <w:rFonts w:eastAsia="Times New Roman" w:cs="Times New Roman"/>
          <w:szCs w:val="24"/>
        </w:rPr>
        <w:t>użytkowanie, służebność, spółdzielcze własnościowe praw</w:t>
      </w:r>
      <w:r w:rsidR="00693922">
        <w:rPr>
          <w:rFonts w:eastAsia="Times New Roman" w:cs="Times New Roman"/>
          <w:szCs w:val="24"/>
        </w:rPr>
        <w:t>o do lokalu oraz hipotekę (art.</w:t>
      </w:r>
      <w:r w:rsidR="00F534FE">
        <w:rPr>
          <w:rFonts w:eastAsia="Times New Roman" w:cs="Times New Roman"/>
          <w:szCs w:val="24"/>
        </w:rPr>
        <w:t xml:space="preserve"> </w:t>
      </w:r>
      <w:r w:rsidRPr="005D4AE4">
        <w:rPr>
          <w:rFonts w:eastAsia="Times New Roman" w:cs="Times New Roman"/>
          <w:szCs w:val="24"/>
        </w:rPr>
        <w:t xml:space="preserve">244 Kodeksu cywilnego).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ustawie powtórzona</w:t>
      </w:r>
      <w:r>
        <w:rPr>
          <w:rFonts w:eastAsia="Times New Roman" w:cs="Times New Roman"/>
          <w:szCs w:val="24"/>
        </w:rPr>
        <w:t xml:space="preserve"> </w:t>
      </w:r>
      <w:r w:rsidRPr="005D4AE4">
        <w:rPr>
          <w:rFonts w:eastAsia="Times New Roman" w:cs="Times New Roman"/>
          <w:szCs w:val="24"/>
        </w:rPr>
        <w:t>została reguła obowiązująca w ustawie o gospodarce nieruchomościami, że nieruchomość stanowiąca własność Skarbu Państwa nie może być wywłaszczona. Zakaz ten nie dotyczy wywłaszczenia prawa użytkowania wieczystego oraz ograniczonych praw rzeczowych obciążających nieruchomość.</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Wywłaszczenie może dotyczyć całej nieruchomości lub tylko jej części. Jeżeli dla </w:t>
      </w:r>
      <w:r w:rsidRPr="005D4AE4">
        <w:rPr>
          <w:rFonts w:eastAsia="Times New Roman" w:cs="Times New Roman"/>
          <w:szCs w:val="24"/>
        </w:rPr>
        <w:lastRenderedPageBreak/>
        <w:t xml:space="preserve">realizacji inwestycji będzie niezbędna tylko część nieruchomości, to dla skuteczności podjętych działań musi nastąpić podział nieruchomości. W przypadku gdy okaże się, że wydzielona i nieobjęta wywłaszczeniem pozostała część nieruchomości nie </w:t>
      </w:r>
      <w:r w:rsidR="00693922">
        <w:rPr>
          <w:rFonts w:eastAsia="Times New Roman" w:cs="Times New Roman"/>
          <w:szCs w:val="24"/>
        </w:rPr>
        <w:t>nadaje się do wykorzystywania w</w:t>
      </w:r>
      <w:r w:rsidR="00F534FE">
        <w:rPr>
          <w:rFonts w:eastAsia="Times New Roman" w:cs="Times New Roman"/>
          <w:szCs w:val="24"/>
        </w:rPr>
        <w:t xml:space="preserve"> </w:t>
      </w:r>
      <w:r w:rsidRPr="005D4AE4">
        <w:rPr>
          <w:rFonts w:eastAsia="Times New Roman" w:cs="Times New Roman"/>
          <w:szCs w:val="24"/>
        </w:rPr>
        <w:t>dotychczasowy sposób albo zgodnie z dotychczasowym przeznaczeniem to na żądanie dotychczasowych właścicieli lub użytkowników wieczystych nieruchomości podlega ona nabyciu w drodze umowy przez Spółkę Celową. W ustawie doprecyzowano, że przez wykorzystanie w dotychczasowy sposób należy rozumieć wykorzystanie nieruchomości w jej faktycznym stanie zagospodarowania lub dokonanie zmiany sposobu zagospodarowania nieruchomości zgodnej z ostatecznym pozwoleniem na budowę.</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Uregulowano, że jeżeli zachodzi potrzeba zapobieżenia niebezpieczeństwu, wystąpieniu szkody lub niedogodnościom, jakie mogą powstać dla właścicieli albo użytkowników wieczystych nieruchomości sąsiednich wskutek wywłaszczenia lub innego niż dotychczas zagospodarowania wywłaszczonej nieruchomości, w decyzji o ustaleniu lokalizacji inwestycji w zakresie CPK ustanawia się niezbędne służebności</w:t>
      </w:r>
      <w:r w:rsidR="00693922">
        <w:rPr>
          <w:rFonts w:eastAsia="Times New Roman" w:cs="Times New Roman"/>
          <w:szCs w:val="24"/>
        </w:rPr>
        <w:t xml:space="preserve"> oraz ustala obowiązek budowy i</w:t>
      </w:r>
      <w:r w:rsidR="00F534FE">
        <w:rPr>
          <w:rFonts w:eastAsia="Times New Roman" w:cs="Times New Roman"/>
          <w:szCs w:val="24"/>
        </w:rPr>
        <w:t xml:space="preserve"> </w:t>
      </w:r>
      <w:r w:rsidRPr="005D4AE4">
        <w:rPr>
          <w:rFonts w:eastAsia="Times New Roman" w:cs="Times New Roman"/>
          <w:szCs w:val="24"/>
        </w:rPr>
        <w:t>utrzymania odpowiednich urządzeń zapobiegających tym zdarzeniom lub okolicznościom. Obowiązek budowy i utrzymania odpowiednich urządzeń ciąży na Spółce Celowej. Aby móc zastosować powyższy przepis niebezpieczeństwo, szkoda i niedogodności muszą być bezpośrednim skutkiem dokonanego wywłaszczenia bądź zmiany dotychczasowego sposobu zagospodarowania nieruchomości, która podlega wywłaszczeniu, na sposób polegający na realizacji inwestycji. Każda z ww. okoliczności uzasadniających zastosowanie przepisu może zaistnieć samodzielnie lub w połączeniu z pozostałymi. Przyjąć należy, iż pojęcie niebezpieczeństwa jest przy tym pojęciem znaczeniowo najbardziej poje</w:t>
      </w:r>
      <w:r w:rsidR="00693922">
        <w:rPr>
          <w:rFonts w:eastAsia="Times New Roman" w:cs="Times New Roman"/>
          <w:szCs w:val="24"/>
        </w:rPr>
        <w:t>mnym, ponieważ w</w:t>
      </w:r>
      <w:r w:rsidR="00F534FE">
        <w:rPr>
          <w:rFonts w:eastAsia="Times New Roman" w:cs="Times New Roman"/>
          <w:szCs w:val="24"/>
        </w:rPr>
        <w:t xml:space="preserve"> </w:t>
      </w:r>
      <w:r w:rsidRPr="005D4AE4">
        <w:rPr>
          <w:rFonts w:eastAsia="Times New Roman" w:cs="Times New Roman"/>
          <w:szCs w:val="24"/>
        </w:rPr>
        <w:t xml:space="preserve">jego zakresie kryją się negatywne zjawiska mogące oddziaływać zarówno na nieruchomości sąsiednie, jako przedmioty, jak i na podmioty praw przysługujących do nieruchomości sąsiednich (na zdrowie i życie osób fizycznych). Pojęcie szkody odnoszone jest zwykle do szkody materialnej, na którą </w:t>
      </w:r>
      <w:r w:rsidR="00F534FE">
        <w:rPr>
          <w:rFonts w:eastAsia="Times New Roman" w:cs="Times New Roman"/>
          <w:szCs w:val="24"/>
        </w:rPr>
        <w:t>składa się szkoda rzeczywista i </w:t>
      </w:r>
      <w:r w:rsidRPr="005D4AE4">
        <w:rPr>
          <w:rFonts w:eastAsia="Times New Roman" w:cs="Times New Roman"/>
          <w:szCs w:val="24"/>
        </w:rPr>
        <w:t>utracone korzyści. Niedogodnością jest faktyczne uszczuplenie dotychczasowego sposobu wykonywania praw do nieruchomości, np. poprzez utrudnienie lub uniemożliwienie dotychczasowego dostępu tych nieruchomości do drogi publicznej lub urządzeń infrastruktury techniczne</w:t>
      </w:r>
      <w:r w:rsidR="00D7688E">
        <w:rPr>
          <w:rFonts w:eastAsia="Times New Roman" w:cs="Times New Roman"/>
          <w:szCs w:val="24"/>
        </w:rPr>
        <w:t>j</w:t>
      </w:r>
      <w:r w:rsidRPr="005D4AE4">
        <w:rPr>
          <w:rFonts w:eastAsia="Times New Roman" w:cs="Times New Roman"/>
          <w:szCs w:val="24"/>
        </w:rPr>
        <w:t>.</w:t>
      </w:r>
      <w:r>
        <w:rPr>
          <w:rFonts w:eastAsia="Times New Roman" w:cs="Times New Roman"/>
          <w:szCs w:val="24"/>
        </w:rPr>
        <w:t xml:space="preserve"> </w:t>
      </w:r>
      <w:r w:rsidRPr="005D4AE4">
        <w:rPr>
          <w:rFonts w:eastAsia="Times New Roman" w:cs="Times New Roman"/>
          <w:szCs w:val="24"/>
        </w:rPr>
        <w:t xml:space="preserve">Niedogodności wynikające z przyczyn przemijających, np. wykonywania robót budowlanych przy realizacji inwestycji celu </w:t>
      </w:r>
      <w:r w:rsidRPr="005D4AE4">
        <w:rPr>
          <w:rFonts w:eastAsia="Times New Roman" w:cs="Times New Roman"/>
          <w:szCs w:val="24"/>
        </w:rPr>
        <w:lastRenderedPageBreak/>
        <w:t>publicznego, nie mogą stanowić podstawy do ustanowienia służebności lub wykonania innych obowiązków, chyba że obowiązki te ustanowione zostaną na ściśle określony czas realizacji inwestycji albo czas trwani</w:t>
      </w:r>
      <w:r w:rsidR="00693922">
        <w:rPr>
          <w:rFonts w:eastAsia="Times New Roman" w:cs="Times New Roman"/>
          <w:szCs w:val="24"/>
        </w:rPr>
        <w:t>a tych niedogodności. Przepis w</w:t>
      </w:r>
      <w:r w:rsidR="00F534FE">
        <w:rPr>
          <w:rFonts w:eastAsia="Times New Roman" w:cs="Times New Roman"/>
          <w:szCs w:val="24"/>
        </w:rPr>
        <w:t xml:space="preserve"> </w:t>
      </w:r>
      <w:r w:rsidRPr="005D4AE4">
        <w:rPr>
          <w:rFonts w:eastAsia="Times New Roman" w:cs="Times New Roman"/>
          <w:szCs w:val="24"/>
        </w:rPr>
        <w:t>takich przypadkach wskazuje na możliwość ustanowienia niezbędnych służebności bądź ustalenia obowiązku budowy i utrzymania odpowiednich urządzeń zapobiegających wystąpieniu szkody lub niedogodności mogących powstać dla właścicieli lub użytkowników wieczystych nieruchomości sąsiednich wskutek wywłaszczenia lub innego niż dotychczas zagospodarowania wywłaszczonej nieruchomości.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Skutkiem decyzji o lokalizacji inwesty</w:t>
      </w:r>
      <w:r w:rsidR="00F534FE">
        <w:rPr>
          <w:rFonts w:eastAsia="Times New Roman" w:cs="Times New Roman"/>
          <w:szCs w:val="24"/>
        </w:rPr>
        <w:t>cji w zakresie CPK, związanym z </w:t>
      </w:r>
      <w:r w:rsidRPr="005D4AE4">
        <w:rPr>
          <w:rFonts w:eastAsia="Times New Roman" w:cs="Times New Roman"/>
          <w:szCs w:val="24"/>
        </w:rPr>
        <w:t xml:space="preserve">wywłaszczeniem nieruchomości, jest obowiązek wydania nieruchomości, opróżnienia lokali i innych pomieszczeń oraz uprawnieniem do faktycznego objęcia nieruchomości w posiadanie przez Spółkę Celową, w terminie wynoszącym 120 dni od </w:t>
      </w:r>
      <w:r w:rsidR="00693922">
        <w:rPr>
          <w:rFonts w:eastAsia="Times New Roman" w:cs="Times New Roman"/>
          <w:szCs w:val="24"/>
        </w:rPr>
        <w:t>dnia doręczenia zawiadomienia o</w:t>
      </w:r>
      <w:r w:rsidR="00F534FE">
        <w:rPr>
          <w:rFonts w:eastAsia="Times New Roman" w:cs="Times New Roman"/>
          <w:szCs w:val="24"/>
        </w:rPr>
        <w:t xml:space="preserve"> </w:t>
      </w:r>
      <w:r w:rsidRPr="005D4AE4">
        <w:rPr>
          <w:rFonts w:eastAsia="Times New Roman" w:cs="Times New Roman"/>
          <w:szCs w:val="24"/>
        </w:rPr>
        <w:t>wydaniu decyzji. W ustawie przewidziano dodatkowo,</w:t>
      </w:r>
      <w:r w:rsidR="00F534FE">
        <w:rPr>
          <w:rFonts w:eastAsia="Times New Roman" w:cs="Times New Roman"/>
          <w:szCs w:val="24"/>
        </w:rPr>
        <w:t xml:space="preserve"> że w </w:t>
      </w:r>
      <w:r w:rsidR="00693922">
        <w:rPr>
          <w:rFonts w:eastAsia="Times New Roman" w:cs="Times New Roman"/>
          <w:szCs w:val="24"/>
        </w:rPr>
        <w:t>przypadkach określonych w</w:t>
      </w:r>
      <w:r w:rsidR="00F534FE">
        <w:rPr>
          <w:rFonts w:eastAsia="Times New Roman" w:cs="Times New Roman"/>
          <w:szCs w:val="24"/>
        </w:rPr>
        <w:t xml:space="preserve"> </w:t>
      </w:r>
      <w:r w:rsidRPr="005D4AE4">
        <w:rPr>
          <w:rFonts w:eastAsia="Times New Roman" w:cs="Times New Roman"/>
          <w:szCs w:val="24"/>
        </w:rPr>
        <w:t>art. 108 Kodeksu postępowania administracyjnego (ochrona zdrowia lub życia ludzkiego albo dla zabezpieczenie gospodarstwa narodowego przed ciężkimi stratami bądź też inny interes społeczny lub wyjątkowo ważny interes strony) lub uzasadnionych ważnym interesem gospodarczym wojewoda, w drodze decyzji, może udzielić Spółce Celowej, zezwolenia na niezwłoczne zajęcie nieruchomości po wydaniu decyzji o ustaleniu lokalizacji w zakresie CPK. Decyzji tej nadaje się rygor natychmiastowej wykonalności, co pozwoli Spółce Celowej, w tych wyjątkowych, wskazanych w przepisie sytuacjach, zająć nieruchomość przed upływem ustawowego terminu wydania nieruchomości (120 dni).</w:t>
      </w:r>
      <w:r>
        <w:rPr>
          <w:rFonts w:eastAsia="Times New Roman" w:cs="Times New Roman"/>
          <w:szCs w:val="24"/>
        </w:rPr>
        <w:t xml:space="preserve">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ustawie</w:t>
      </w:r>
      <w:r>
        <w:rPr>
          <w:rFonts w:eastAsia="Times New Roman" w:cs="Times New Roman"/>
          <w:szCs w:val="24"/>
        </w:rPr>
        <w:t xml:space="preserve"> </w:t>
      </w:r>
      <w:r w:rsidRPr="005D4AE4">
        <w:rPr>
          <w:rFonts w:eastAsia="Times New Roman" w:cs="Times New Roman"/>
          <w:szCs w:val="24"/>
        </w:rPr>
        <w:t>uregulowano sposób nabycia przez Spółkę Celową tytułu prawnego do wywłaszczonych nieruchomości. Przewidziano, ż</w:t>
      </w:r>
      <w:r w:rsidR="00F534FE">
        <w:rPr>
          <w:rFonts w:eastAsia="Times New Roman" w:cs="Times New Roman"/>
          <w:szCs w:val="24"/>
        </w:rPr>
        <w:t>e Spółka nabywa z mocy prawa, z </w:t>
      </w:r>
      <w:r w:rsidRPr="005D4AE4">
        <w:rPr>
          <w:rFonts w:eastAsia="Times New Roman" w:cs="Times New Roman"/>
          <w:szCs w:val="24"/>
        </w:rPr>
        <w:t>dniem uzyskania przez decyzję o ustaleniu lokalizacji inwestycji w zakresie CPK waloru ostateczności, prawo użytkowania wieczystego nieruchomości gruntowych oraz prawo własności budynków, innych urządzeń i lokali znajdujących się na tych ni</w:t>
      </w:r>
      <w:r w:rsidR="00693922">
        <w:rPr>
          <w:rFonts w:eastAsia="Times New Roman" w:cs="Times New Roman"/>
          <w:szCs w:val="24"/>
        </w:rPr>
        <w:t>eruchomościach. W</w:t>
      </w:r>
      <w:r w:rsidR="00F534FE">
        <w:rPr>
          <w:rFonts w:eastAsia="Times New Roman" w:cs="Times New Roman"/>
          <w:szCs w:val="24"/>
        </w:rPr>
        <w:t xml:space="preserve"> </w:t>
      </w:r>
      <w:r w:rsidRPr="005D4AE4">
        <w:rPr>
          <w:rFonts w:eastAsia="Times New Roman" w:cs="Times New Roman"/>
          <w:szCs w:val="24"/>
        </w:rPr>
        <w:t xml:space="preserve">przepisie wskazano, że </w:t>
      </w:r>
      <w:r w:rsidRPr="005D4AE4">
        <w:rPr>
          <w:rFonts w:cs="Times New Roman"/>
          <w:color w:val="000000" w:themeColor="text1"/>
          <w:szCs w:val="24"/>
        </w:rPr>
        <w:t>nabycie prawa użytkowania wieczystego następuje na okres 99 lat w celu realizacji Inwestycji.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Obok wywłaszczenia ustawa przewiduje, że na wniosek Spółki Celowej, możliwe jest ograniczenie sposobu korzystania z nieruchomości. Ustanowienie ograniczeni</w:t>
      </w:r>
      <w:r w:rsidR="00052D8F">
        <w:rPr>
          <w:rFonts w:eastAsia="Times New Roman" w:cs="Times New Roman"/>
          <w:szCs w:val="24"/>
        </w:rPr>
        <w:t>a</w:t>
      </w:r>
      <w:r w:rsidRPr="005D4AE4">
        <w:rPr>
          <w:rFonts w:eastAsia="Times New Roman" w:cs="Times New Roman"/>
          <w:szCs w:val="24"/>
        </w:rPr>
        <w:t xml:space="preserve"> może nastąpić w zakresie pozwalającym w szczególności na:</w:t>
      </w:r>
    </w:p>
    <w:p w:rsidR="005D4AE4" w:rsidRPr="005D4AE4" w:rsidRDefault="00693922" w:rsidP="00F84DA9">
      <w:pPr>
        <w:ind w:left="426" w:hanging="426"/>
        <w:jc w:val="both"/>
        <w:rPr>
          <w:rFonts w:eastAsia="Times New Roman" w:cs="Times New Roman"/>
          <w:szCs w:val="24"/>
        </w:rPr>
      </w:pPr>
      <w:r>
        <w:rPr>
          <w:rFonts w:eastAsia="Times New Roman" w:cs="Times New Roman"/>
          <w:szCs w:val="24"/>
        </w:rPr>
        <w:lastRenderedPageBreak/>
        <w:t>1)</w:t>
      </w:r>
      <w:r>
        <w:rPr>
          <w:rFonts w:eastAsia="Times New Roman" w:cs="Times New Roman"/>
          <w:szCs w:val="24"/>
        </w:rPr>
        <w:tab/>
      </w:r>
      <w:r w:rsidR="005D4AE4" w:rsidRPr="005D4AE4">
        <w:rPr>
          <w:rFonts w:eastAsia="Times New Roman" w:cs="Times New Roman"/>
          <w:szCs w:val="24"/>
        </w:rPr>
        <w:t>zapewnienie prawa do wejścia na teren nieruchomośc</w:t>
      </w:r>
      <w:r w:rsidR="00F84DA9">
        <w:rPr>
          <w:rFonts w:eastAsia="Times New Roman" w:cs="Times New Roman"/>
          <w:szCs w:val="24"/>
        </w:rPr>
        <w:t>i dla prowadzenia inwestycji, w</w:t>
      </w:r>
      <w:r w:rsidR="00F534FE">
        <w:rPr>
          <w:rFonts w:eastAsia="Times New Roman" w:cs="Times New Roman"/>
          <w:szCs w:val="24"/>
        </w:rPr>
        <w:t xml:space="preserve"> </w:t>
      </w:r>
      <w:r w:rsidR="005D4AE4" w:rsidRPr="005D4AE4">
        <w:rPr>
          <w:rFonts w:eastAsia="Times New Roman" w:cs="Times New Roman"/>
          <w:szCs w:val="24"/>
        </w:rPr>
        <w:t>tym dokonania związanej z nią budowy lub przebudowy układu drogowego, sieci kolejowej lub urządzeń wodnych;</w:t>
      </w:r>
    </w:p>
    <w:p w:rsidR="005D4AE4" w:rsidRPr="005D4AE4" w:rsidRDefault="00693922" w:rsidP="00F84DA9">
      <w:pPr>
        <w:ind w:left="426" w:hanging="426"/>
        <w:jc w:val="both"/>
        <w:rPr>
          <w:rFonts w:eastAsia="Times New Roman" w:cs="Times New Roman"/>
          <w:szCs w:val="24"/>
        </w:rPr>
      </w:pPr>
      <w:r>
        <w:rPr>
          <w:rFonts w:eastAsia="Times New Roman" w:cs="Times New Roman"/>
          <w:szCs w:val="24"/>
        </w:rPr>
        <w:t>2)</w:t>
      </w:r>
      <w:r>
        <w:rPr>
          <w:rFonts w:eastAsia="Times New Roman" w:cs="Times New Roman"/>
          <w:szCs w:val="24"/>
        </w:rPr>
        <w:tab/>
      </w:r>
      <w:r w:rsidR="005D4AE4" w:rsidRPr="005D4AE4">
        <w:rPr>
          <w:rFonts w:eastAsia="Times New Roman" w:cs="Times New Roman"/>
          <w:szCs w:val="24"/>
        </w:rPr>
        <w:t>realizację i funkcjonowanie na nieruchomości: obiektów i urządzeń służących do przesyłania lub dystrybucji cieczy, gazów i energii elektrycznej oraz infrastruktury telekomunikacyjnej, a także innych podziemnych, naziemnych lub nadziemnych obiektów i urządzeń niezbędnych do korzystania z tych przewodów i urządzeń;</w:t>
      </w:r>
    </w:p>
    <w:p w:rsidR="005D4AE4" w:rsidRPr="005D4AE4" w:rsidRDefault="00693922" w:rsidP="00F84DA9">
      <w:pPr>
        <w:ind w:left="426" w:hanging="426"/>
        <w:jc w:val="both"/>
        <w:rPr>
          <w:rFonts w:eastAsia="Times New Roman" w:cs="Times New Roman"/>
          <w:szCs w:val="24"/>
        </w:rPr>
      </w:pPr>
      <w:r>
        <w:rPr>
          <w:rFonts w:eastAsia="Times New Roman" w:cs="Times New Roman"/>
          <w:szCs w:val="24"/>
        </w:rPr>
        <w:t>3)</w:t>
      </w:r>
      <w:r>
        <w:rPr>
          <w:rFonts w:eastAsia="Times New Roman" w:cs="Times New Roman"/>
          <w:szCs w:val="24"/>
        </w:rPr>
        <w:tab/>
      </w:r>
      <w:r w:rsidR="005D4AE4" w:rsidRPr="005D4AE4">
        <w:rPr>
          <w:rFonts w:eastAsia="Times New Roman" w:cs="Times New Roman"/>
          <w:szCs w:val="24"/>
        </w:rPr>
        <w:t>realizację i funkcjonowanie Inwestycji w tunelu.</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przypadku ograniczenia sposobu w korzystaniu z nieruch</w:t>
      </w:r>
      <w:r w:rsidR="00693922">
        <w:rPr>
          <w:rFonts w:eastAsia="Times New Roman" w:cs="Times New Roman"/>
          <w:szCs w:val="24"/>
        </w:rPr>
        <w:t>omości na potrzeby realizacji i</w:t>
      </w:r>
      <w:r w:rsidR="00F534FE">
        <w:rPr>
          <w:rFonts w:eastAsia="Times New Roman" w:cs="Times New Roman"/>
          <w:szCs w:val="24"/>
        </w:rPr>
        <w:t xml:space="preserve"> </w:t>
      </w:r>
      <w:r w:rsidRPr="005D4AE4">
        <w:rPr>
          <w:rFonts w:eastAsia="Times New Roman" w:cs="Times New Roman"/>
          <w:szCs w:val="24"/>
        </w:rPr>
        <w:t>użytkowania inwestycji znajdującej się w tunelu, obiekt budowlany wykonany w ramach tej inwestycji, stanowił będzie odrębny przedmiot własności Spółki Celowej. Przepis ten wprowadza wyjątek od zasady superficies solo cedit, uregulowanej w art. 48 i 191 Kodeksu cywilnego.</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Po wykonaniu prac, dla których konieczne było ustanowien</w:t>
      </w:r>
      <w:r w:rsidR="00F534FE">
        <w:rPr>
          <w:rFonts w:eastAsia="Times New Roman" w:cs="Times New Roman"/>
          <w:szCs w:val="24"/>
        </w:rPr>
        <w:t>ie ograniczenia w </w:t>
      </w:r>
      <w:r w:rsidR="00693922">
        <w:rPr>
          <w:rFonts w:eastAsia="Times New Roman" w:cs="Times New Roman"/>
          <w:szCs w:val="24"/>
        </w:rPr>
        <w:t>korzystaniu z</w:t>
      </w:r>
      <w:r w:rsidR="00F534FE">
        <w:rPr>
          <w:rFonts w:eastAsia="Times New Roman" w:cs="Times New Roman"/>
          <w:szCs w:val="24"/>
        </w:rPr>
        <w:t xml:space="preserve"> </w:t>
      </w:r>
      <w:r w:rsidRPr="005D4AE4">
        <w:rPr>
          <w:rFonts w:eastAsia="Times New Roman" w:cs="Times New Roman"/>
          <w:szCs w:val="24"/>
        </w:rPr>
        <w:t xml:space="preserve">nieruchomości, zajęta dotychczas nieruchomość powinna być przywrócona do stanu poprzedniego.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Przywrócenie poprzedniego stanu nieruchomości należy odnieść do stanu faktycznego, jaki istniał przed rozpoczęciem robót budowlanych związanych z realizacją inwestycji, który uległ zmianom na skutek wykonywania tych robót. Rzecz jasna, że przywrócenie poprzedniego stanu nieruchomości, czyli uzyskanie tożsamości tego stanu wobec stanu sprzed wykonania robót polegających na wybudowaniu urządzeń infrastruktury te</w:t>
      </w:r>
      <w:r w:rsidR="00693922">
        <w:rPr>
          <w:rFonts w:eastAsia="Times New Roman" w:cs="Times New Roman"/>
          <w:szCs w:val="24"/>
        </w:rPr>
        <w:t>chnicznej lub tunelu nie jest w</w:t>
      </w:r>
      <w:r w:rsidR="00F534FE">
        <w:rPr>
          <w:rFonts w:eastAsia="Times New Roman" w:cs="Times New Roman"/>
          <w:szCs w:val="24"/>
        </w:rPr>
        <w:t xml:space="preserve"> </w:t>
      </w:r>
      <w:r w:rsidRPr="005D4AE4">
        <w:rPr>
          <w:rFonts w:eastAsia="Times New Roman" w:cs="Times New Roman"/>
          <w:szCs w:val="24"/>
        </w:rPr>
        <w:t>ogóle możliwe. Należy więc przyjąć, że przywrócenie stanu poprzedniego musi wiązać się z takim stanem faktycznym nieruchomości, który istniał przed wybudowaniem urządzeń infrastruktur</w:t>
      </w:r>
      <w:r w:rsidR="00F534FE">
        <w:rPr>
          <w:rFonts w:eastAsia="Times New Roman" w:cs="Times New Roman"/>
          <w:szCs w:val="24"/>
        </w:rPr>
        <w:t>y technicznej lub tunelu, ale z </w:t>
      </w:r>
      <w:r w:rsidRPr="005D4AE4">
        <w:rPr>
          <w:rFonts w:eastAsia="Times New Roman" w:cs="Times New Roman"/>
          <w:szCs w:val="24"/>
        </w:rPr>
        <w:t>uwzględnieniem zaistnienia urządzeń infrastruktury technicznej lub tunelu będących elementem tego stanu. Istotą udzielenia zezwolenia na czasowe zajęcie nieruchomości nie jest bowiem jedynie umożliwienie Spółce korzystania z cudzej nieruchomości przez określony czas, ale także pozostawienie wybudowanych urządzeń na nieruchomości objętej tym zezwoleniem, których status prawny określa</w:t>
      </w:r>
      <w:hyperlink r:id="rId8">
        <w:r w:rsidRPr="005D4AE4">
          <w:rPr>
            <w:rFonts w:eastAsia="Times New Roman" w:cs="Times New Roman"/>
            <w:szCs w:val="24"/>
          </w:rPr>
          <w:t xml:space="preserve"> art. 49 § 1</w:t>
        </w:r>
      </w:hyperlink>
      <w:r w:rsidRPr="005D4AE4">
        <w:rPr>
          <w:rFonts w:eastAsia="Times New Roman" w:cs="Times New Roman"/>
          <w:szCs w:val="24"/>
        </w:rPr>
        <w:t xml:space="preserve"> Kodeksu cywilnego i art. 51 ust. 2</w:t>
      </w:r>
      <w:r>
        <w:rPr>
          <w:rFonts w:eastAsia="Times New Roman" w:cs="Times New Roman"/>
          <w:szCs w:val="24"/>
        </w:rPr>
        <w:t xml:space="preserve"> </w:t>
      </w:r>
      <w:r w:rsidRPr="005D4AE4">
        <w:rPr>
          <w:rFonts w:eastAsia="Times New Roman" w:cs="Times New Roman"/>
          <w:szCs w:val="24"/>
        </w:rPr>
        <w:t xml:space="preserve">jako rzecz niebędącą częścią składową gruntu.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Przewidziano dodatkowo, że jeżeli w wyniku realizacji inwestycji nieruchomość nie nadaje się do wykorzystania w dotychczasowy sposób albo zgodnie z dotychczasowym </w:t>
      </w:r>
      <w:r w:rsidRPr="005D4AE4">
        <w:rPr>
          <w:rFonts w:eastAsia="Times New Roman" w:cs="Times New Roman"/>
          <w:szCs w:val="24"/>
        </w:rPr>
        <w:lastRenderedPageBreak/>
        <w:t xml:space="preserve">przeznaczeniem, właściciel lub użytkownik wieczysty może żądać, aby Spółka nabyła od niego własność albo użytkowanie wieczyste nieruchomości.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Ograniczenie sposobu korzystania z nieruchomości implikuje następczo ustawowe zobowiązanie każdorazowego udostępniania nieruchomości przez jej każdoczesnego właściciela i użytkownika wieczystego dla dokonania konserwacji i usunięcia awarii urządzeń infrastruktury technicznej znajdujących się w obszarze danej nieruchomości. Przepis ten stanowi materialnoprawną podstawę do zgłoszenia takiego</w:t>
      </w:r>
      <w:r w:rsidR="00693922">
        <w:rPr>
          <w:rFonts w:eastAsia="Times New Roman" w:cs="Times New Roman"/>
          <w:szCs w:val="24"/>
        </w:rPr>
        <w:t xml:space="preserve"> roszczenia wobec właściciela i</w:t>
      </w:r>
      <w:r w:rsidR="00F534FE">
        <w:rPr>
          <w:rFonts w:eastAsia="Times New Roman" w:cs="Times New Roman"/>
          <w:szCs w:val="24"/>
        </w:rPr>
        <w:t xml:space="preserve"> </w:t>
      </w:r>
      <w:r w:rsidRPr="005D4AE4">
        <w:rPr>
          <w:rFonts w:eastAsia="Times New Roman" w:cs="Times New Roman"/>
          <w:szCs w:val="24"/>
        </w:rPr>
        <w:t>użytkownika wieczystego nieruchomości przez podmiot mający dokonać konserwacji lub usunięcia awarii urządzeń infrastrukturalnych. Roszczenie to, jakkolwiek mające charakter cywilnoprawny, dochodzone jest w trybie egzekucji administracyjnej dla uzyskania efektu niezwłocznego wejścia na nieruchomość dla dokonania konserwacji lub usunięcia awarii, aby zminimalizować negatywne skutki braku konserwacji lub zaistniałej już awarii.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Ograniczenie sposobu korzystania z nieruchomości następuje za odszkodowaniem. Zasady ustalania odszkodowania zawarte</w:t>
      </w:r>
      <w:r>
        <w:rPr>
          <w:rFonts w:eastAsia="Times New Roman" w:cs="Times New Roman"/>
          <w:szCs w:val="24"/>
        </w:rPr>
        <w:t xml:space="preserve"> </w:t>
      </w:r>
      <w:r w:rsidRPr="005D4AE4">
        <w:rPr>
          <w:rFonts w:eastAsia="Times New Roman" w:cs="Times New Roman"/>
          <w:szCs w:val="24"/>
        </w:rPr>
        <w:t>zostały w rozdziale 7.</w:t>
      </w:r>
    </w:p>
    <w:p w:rsidR="005D4AE4" w:rsidRPr="005D4AE4" w:rsidRDefault="005D4AE4" w:rsidP="005D4AE4">
      <w:pPr>
        <w:spacing w:before="120"/>
        <w:jc w:val="both"/>
        <w:rPr>
          <w:rFonts w:eastAsia="Times New Roman" w:cs="Times New Roman"/>
          <w:b/>
          <w:szCs w:val="24"/>
        </w:rPr>
      </w:pPr>
      <w:r w:rsidRPr="005D4AE4">
        <w:rPr>
          <w:rFonts w:eastAsia="Times New Roman" w:cs="Times New Roman"/>
          <w:b/>
          <w:szCs w:val="24"/>
        </w:rPr>
        <w:t xml:space="preserve">Odszkodowania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W związku z wywłaszczeniem nieruchomości właścicielowi lub użytkownikowi wieczystemu przysługuje odszkodowanie odpowiadające wartości wywłaszczonych praw. Procedura ustalania wysokości odszkodowania składa się z dwóch etapów </w:t>
      </w:r>
      <w:r>
        <w:rPr>
          <w:rFonts w:eastAsia="Times New Roman" w:cs="Times New Roman"/>
          <w:szCs w:val="24"/>
        </w:rPr>
        <w:t>–</w:t>
      </w:r>
      <w:r w:rsidR="00F534FE">
        <w:rPr>
          <w:rFonts w:eastAsia="Times New Roman" w:cs="Times New Roman"/>
          <w:szCs w:val="24"/>
        </w:rPr>
        <w:t xml:space="preserve"> w </w:t>
      </w:r>
      <w:r w:rsidRPr="005D4AE4">
        <w:rPr>
          <w:rFonts w:eastAsia="Times New Roman" w:cs="Times New Roman"/>
          <w:szCs w:val="24"/>
        </w:rPr>
        <w:t>pierwszym z nich właściciel lub użytkownik wieczysty może wezwać Spółkę Celową do przedstawienia co najmniej dwóch nieruchomości zamiennych lub do przeprowadzenia negocjacji w zakresie wysokości odszkodowania. Obie części procedury mogą być również stosowane naprzemiennie. W przypadku osiągnięcia konsensusu postępowanie kończy się, odpowiednio, przeniesieniem praw do nieruchomości zamiennej na rzecz osoby uprawnione</w:t>
      </w:r>
      <w:r w:rsidR="00F534FE">
        <w:rPr>
          <w:rFonts w:eastAsia="Times New Roman" w:cs="Times New Roman"/>
          <w:szCs w:val="24"/>
        </w:rPr>
        <w:t>j w drodze umowy sporządzonej w </w:t>
      </w:r>
      <w:r w:rsidRPr="005D4AE4">
        <w:rPr>
          <w:rFonts w:eastAsia="Times New Roman" w:cs="Times New Roman"/>
          <w:szCs w:val="24"/>
        </w:rPr>
        <w:t xml:space="preserve">formie aktu notarialnego lub uzgodnieniem wysokości odszkodowania w formie pisemnej.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Jeżeli w</w:t>
      </w:r>
      <w:r>
        <w:rPr>
          <w:rFonts w:eastAsia="Times New Roman" w:cs="Times New Roman"/>
          <w:szCs w:val="24"/>
        </w:rPr>
        <w:t xml:space="preserve"> </w:t>
      </w:r>
      <w:r w:rsidRPr="005D4AE4">
        <w:rPr>
          <w:rFonts w:eastAsia="Times New Roman" w:cs="Times New Roman"/>
          <w:szCs w:val="24"/>
        </w:rPr>
        <w:t>terminie 2 miesięcy od dnia wszczęcia postępowania w sprawie ustalenia odszkodowania nie uda się zawrzeć umowy przeniesienia własności nieruchomości zamiennej lub uzgodnić wysokości odszkodowania, nego</w:t>
      </w:r>
      <w:r w:rsidR="00693922">
        <w:rPr>
          <w:rFonts w:eastAsia="Times New Roman" w:cs="Times New Roman"/>
          <w:szCs w:val="24"/>
        </w:rPr>
        <w:t>cjacje podlegają zakończeniu, a</w:t>
      </w:r>
      <w:r w:rsidR="00F534FE">
        <w:rPr>
          <w:rFonts w:eastAsia="Times New Roman" w:cs="Times New Roman"/>
          <w:szCs w:val="24"/>
        </w:rPr>
        <w:t xml:space="preserve"> </w:t>
      </w:r>
      <w:r w:rsidRPr="005D4AE4">
        <w:rPr>
          <w:rFonts w:eastAsia="Times New Roman" w:cs="Times New Roman"/>
          <w:szCs w:val="24"/>
        </w:rPr>
        <w:t>ustalenie odszkodowania następuje w drodze decyzji (drugi etap).</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Wysokość odszkodowania ustala wojewoda (w II instancji minister właściwy do spraw </w:t>
      </w:r>
      <w:r w:rsidRPr="005D4AE4">
        <w:rPr>
          <w:rFonts w:eastAsia="Times New Roman" w:cs="Times New Roman"/>
          <w:szCs w:val="24"/>
        </w:rPr>
        <w:lastRenderedPageBreak/>
        <w:t>budownictwa, planowania i zagospodarowania przestrzennego oraz mieszkalnictwa) na podstawie wartości nieruchomości określonej p</w:t>
      </w:r>
      <w:r w:rsidR="00F534FE">
        <w:rPr>
          <w:rFonts w:eastAsia="Times New Roman" w:cs="Times New Roman"/>
          <w:szCs w:val="24"/>
        </w:rPr>
        <w:t>rzez rzeczoznawcę majątkowego w </w:t>
      </w:r>
      <w:r w:rsidRPr="005D4AE4">
        <w:rPr>
          <w:rFonts w:eastAsia="Times New Roman" w:cs="Times New Roman"/>
          <w:szCs w:val="24"/>
        </w:rPr>
        <w:t>formie operatu szacunkowego. Podstawę ustalenia wysokości odszkodowania stanowi wartość rynkowa nieruchomości. Jeżeli ze względu na rodzaj nieruchomości nie będzie można określić jej wartości rynkowej, z uwagi na niewystęp</w:t>
      </w:r>
      <w:r w:rsidR="00F534FE">
        <w:rPr>
          <w:rFonts w:eastAsia="Times New Roman" w:cs="Times New Roman"/>
          <w:szCs w:val="24"/>
        </w:rPr>
        <w:t>owanie w </w:t>
      </w:r>
      <w:r w:rsidRPr="005D4AE4">
        <w:rPr>
          <w:rFonts w:eastAsia="Times New Roman" w:cs="Times New Roman"/>
          <w:szCs w:val="24"/>
        </w:rPr>
        <w:t xml:space="preserve">obrocie takiego rodzaju nieruchomości, podstawą ustalenia wysokości odszkodowania będzie wartość odtworzeniowa nieruchomości. </w:t>
      </w:r>
      <w:r w:rsidRPr="005D4AE4">
        <w:rPr>
          <w:rFonts w:eastAsia="Times New Roman" w:cs="Times New Roman"/>
          <w:szCs w:val="24"/>
          <w:lang w:val="pl"/>
        </w:rPr>
        <w:t>Uzasadnienie odstąpienia od określenia wartości rynkowej nieruchomości rzeczoznawca majątkowy zamieszcza w operacie szacunkowym.</w:t>
      </w:r>
      <w:r w:rsidRPr="005D4AE4">
        <w:rPr>
          <w:rFonts w:eastAsia="Times New Roman" w:cs="Times New Roman"/>
          <w:szCs w:val="24"/>
        </w:rPr>
        <w:t xml:space="preserve"> W odniesieniu do sposobu określania wartości nieruchomości wskazano, iż w przypadku, gdy cel wywłaszczenia powoduje jej wzrost, wartość nieruchomości powinna być określona według dopuszczalnego sposobu użytkowania wynikającego z celu wywłaszczenia.</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Wysokość odszkodowania może być powiększona o kwotę 10.000 zł (w przypadku, gdy wywłaszczenie dotyczy nieruchomości zabudowanej budynkiem mieszkalnym lub budynkiem, w</w:t>
      </w:r>
      <w:r>
        <w:rPr>
          <w:rFonts w:eastAsia="Times New Roman" w:cs="Times New Roman"/>
          <w:szCs w:val="24"/>
        </w:rPr>
        <w:t xml:space="preserve"> </w:t>
      </w:r>
      <w:r w:rsidRPr="005D4AE4">
        <w:rPr>
          <w:rFonts w:eastAsia="Times New Roman" w:cs="Times New Roman"/>
          <w:szCs w:val="24"/>
        </w:rPr>
        <w:t>którym został wyodrębniony przynajmnie</w:t>
      </w:r>
      <w:r w:rsidR="00F534FE">
        <w:rPr>
          <w:rFonts w:eastAsia="Times New Roman" w:cs="Times New Roman"/>
          <w:szCs w:val="24"/>
        </w:rPr>
        <w:t>j jeden lokal mieszkalny) lub o </w:t>
      </w:r>
      <w:r w:rsidRPr="005D4AE4">
        <w:rPr>
          <w:rFonts w:eastAsia="Times New Roman" w:cs="Times New Roman"/>
          <w:szCs w:val="24"/>
        </w:rPr>
        <w:t>5% wartości nieruchomości (w przypadku wydania nieruchomości w</w:t>
      </w:r>
      <w:r>
        <w:rPr>
          <w:rFonts w:eastAsia="Times New Roman" w:cs="Times New Roman"/>
          <w:szCs w:val="24"/>
        </w:rPr>
        <w:t xml:space="preserve"> </w:t>
      </w:r>
      <w:r w:rsidRPr="005D4AE4">
        <w:rPr>
          <w:rFonts w:eastAsia="Times New Roman" w:cs="Times New Roman"/>
          <w:szCs w:val="24"/>
        </w:rPr>
        <w:t>terminie 30</w:t>
      </w:r>
      <w:r>
        <w:rPr>
          <w:rFonts w:eastAsia="Times New Roman" w:cs="Times New Roman"/>
          <w:szCs w:val="24"/>
        </w:rPr>
        <w:t xml:space="preserve"> </w:t>
      </w:r>
      <w:r w:rsidRPr="005D4AE4">
        <w:rPr>
          <w:rFonts w:eastAsia="Times New Roman" w:cs="Times New Roman"/>
          <w:szCs w:val="24"/>
        </w:rPr>
        <w:t xml:space="preserve">dni od dnia doręczenia zawiadomienia o wydaniu decyzji o ustaleniu lokalizacji w zakresie budowy CPK).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ustawie wprowadzono też, znaną z innych sp</w:t>
      </w:r>
      <w:r w:rsidR="00F534FE">
        <w:rPr>
          <w:rFonts w:eastAsia="Times New Roman" w:cs="Times New Roman"/>
          <w:szCs w:val="24"/>
        </w:rPr>
        <w:t>ecustaw, instytucję zaliczki. W </w:t>
      </w:r>
      <w:r w:rsidRPr="005D4AE4">
        <w:rPr>
          <w:rFonts w:eastAsia="Times New Roman" w:cs="Times New Roman"/>
          <w:szCs w:val="24"/>
        </w:rPr>
        <w:t>przypadku bowiem, gdy wywłaszczeniu podlega nieruchomość zabudowana budynkiem mieszkalnym lub budynkiem, w którym wyodrębniono lokal mieszkalny, na wniosek osoby uprawnionej wypłaca się zaliczkę w</w:t>
      </w:r>
      <w:r>
        <w:rPr>
          <w:rFonts w:eastAsia="Times New Roman" w:cs="Times New Roman"/>
          <w:szCs w:val="24"/>
        </w:rPr>
        <w:t xml:space="preserve"> </w:t>
      </w:r>
      <w:r w:rsidRPr="005D4AE4">
        <w:rPr>
          <w:rFonts w:eastAsia="Times New Roman" w:cs="Times New Roman"/>
          <w:szCs w:val="24"/>
        </w:rPr>
        <w:t>wysokości 70% odszkodowania ustalonego w decyzji przez wojewodę. Wypłata zaliczki następuje w</w:t>
      </w:r>
      <w:r>
        <w:rPr>
          <w:rFonts w:eastAsia="Times New Roman" w:cs="Times New Roman"/>
          <w:szCs w:val="24"/>
        </w:rPr>
        <w:t xml:space="preserve"> </w:t>
      </w:r>
      <w:r w:rsidRPr="005D4AE4">
        <w:rPr>
          <w:rFonts w:eastAsia="Times New Roman" w:cs="Times New Roman"/>
          <w:szCs w:val="24"/>
        </w:rPr>
        <w:t>terminie 30</w:t>
      </w:r>
      <w:r>
        <w:rPr>
          <w:rFonts w:eastAsia="Times New Roman" w:cs="Times New Roman"/>
          <w:szCs w:val="24"/>
        </w:rPr>
        <w:t xml:space="preserve"> </w:t>
      </w:r>
      <w:r w:rsidRPr="005D4AE4">
        <w:rPr>
          <w:rFonts w:eastAsia="Times New Roman" w:cs="Times New Roman"/>
          <w:szCs w:val="24"/>
        </w:rPr>
        <w:t>dni od dnia złożenia wniosku.</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W przypadku, gdy na wywłaszczanej nieruchomości lub prawie użytkowania wieczystego tej nieruchomości są ustanowione inne prawa rzeczowe, odszkodowanie pomniejsza się o kwotę równą wartości tych praw. Suma wysokości odszkodowania przysługującego dotychczasowemu właścicielowi </w:t>
      </w:r>
      <w:r w:rsidR="00F534FE">
        <w:rPr>
          <w:rFonts w:eastAsia="Times New Roman" w:cs="Times New Roman"/>
          <w:szCs w:val="24"/>
        </w:rPr>
        <w:t>lub użytkownikowi wieczystemu i </w:t>
      </w:r>
      <w:r w:rsidRPr="005D4AE4">
        <w:rPr>
          <w:rFonts w:eastAsia="Times New Roman" w:cs="Times New Roman"/>
          <w:szCs w:val="24"/>
        </w:rPr>
        <w:t>wysokości odszkodowania z tytułu wygaśnięcia ograniczonych praw rzeczowych ustanowionych na tej nieruchomości lub na prawie użytkowania wieczysteg</w:t>
      </w:r>
      <w:r w:rsidR="00F534FE">
        <w:rPr>
          <w:rFonts w:eastAsia="Times New Roman" w:cs="Times New Roman"/>
          <w:szCs w:val="24"/>
        </w:rPr>
        <w:t>o, z </w:t>
      </w:r>
      <w:r w:rsidRPr="005D4AE4">
        <w:rPr>
          <w:rFonts w:eastAsia="Times New Roman" w:cs="Times New Roman"/>
          <w:szCs w:val="24"/>
        </w:rPr>
        <w:t>wyłączeniem ww. powiększeń, nie może przekroczyć wartości nieruchomości lub wartości prawa użytkowania wieczystego.</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lastRenderedPageBreak/>
        <w:t>W ustawie wprowadzono też przepisy odnoszące się do sposobu uwzględnienia hipotek ustanowionych na wywłaszczonych nieruchomościach. Przy</w:t>
      </w:r>
      <w:r w:rsidR="00693922">
        <w:rPr>
          <w:rFonts w:eastAsia="Times New Roman" w:cs="Times New Roman"/>
          <w:szCs w:val="24"/>
        </w:rPr>
        <w:t>jęte rozwiązanie jest tożsame z</w:t>
      </w:r>
      <w:r w:rsidR="00F534FE">
        <w:rPr>
          <w:rFonts w:eastAsia="Times New Roman" w:cs="Times New Roman"/>
          <w:szCs w:val="24"/>
        </w:rPr>
        <w:t xml:space="preserve"> </w:t>
      </w:r>
      <w:r w:rsidRPr="005D4AE4">
        <w:rPr>
          <w:rFonts w:eastAsia="Times New Roman" w:cs="Times New Roman"/>
          <w:szCs w:val="24"/>
        </w:rPr>
        <w:t>rozwiązaniami zaproponowanymi na gruncie specustaw.</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Spółka Celowa pokrywa koszty ustalenia odszkodowania oraz jest obowiązana do jego zapłaty. Wysokość odszkodowania podlega waloryzacji na dzień jego zapłaty. Waloryzacji dokonuje Inwestor.</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Jeżeli przemawia za tym istotny interes społeczno-gospodarczy, Skarb Państwa albo jednostka samorządu terytorialnego mogą zrzec się w</w:t>
      </w:r>
      <w:r>
        <w:rPr>
          <w:rFonts w:eastAsia="Times New Roman" w:cs="Times New Roman"/>
          <w:szCs w:val="24"/>
        </w:rPr>
        <w:t xml:space="preserve"> </w:t>
      </w:r>
      <w:r w:rsidRPr="005D4AE4">
        <w:rPr>
          <w:rFonts w:eastAsia="Times New Roman" w:cs="Times New Roman"/>
          <w:szCs w:val="24"/>
        </w:rPr>
        <w:t>całości lub w</w:t>
      </w:r>
      <w:r>
        <w:rPr>
          <w:rFonts w:eastAsia="Times New Roman" w:cs="Times New Roman"/>
          <w:szCs w:val="24"/>
        </w:rPr>
        <w:t xml:space="preserve"> </w:t>
      </w:r>
      <w:r w:rsidRPr="005D4AE4">
        <w:rPr>
          <w:rFonts w:eastAsia="Times New Roman" w:cs="Times New Roman"/>
          <w:szCs w:val="24"/>
        </w:rPr>
        <w:t>części odszkodowania, w</w:t>
      </w:r>
      <w:r w:rsidR="00F534FE">
        <w:rPr>
          <w:rFonts w:eastAsia="Times New Roman" w:cs="Times New Roman"/>
          <w:szCs w:val="24"/>
        </w:rPr>
        <w:t xml:space="preserve"> </w:t>
      </w:r>
      <w:r w:rsidRPr="005D4AE4">
        <w:rPr>
          <w:rFonts w:eastAsia="Times New Roman" w:cs="Times New Roman"/>
          <w:szCs w:val="24"/>
        </w:rPr>
        <w:t>formie pisemnej pod rygorem nieważności.</w:t>
      </w:r>
    </w:p>
    <w:p w:rsidR="005D4AE4" w:rsidRPr="005D4AE4" w:rsidRDefault="005D4AE4" w:rsidP="00F84DA9">
      <w:pPr>
        <w:spacing w:before="120"/>
        <w:jc w:val="both"/>
        <w:rPr>
          <w:rFonts w:eastAsia="Times New Roman" w:cs="Times New Roman"/>
          <w:szCs w:val="24"/>
        </w:rPr>
      </w:pPr>
      <w:r w:rsidRPr="005D4AE4">
        <w:rPr>
          <w:rFonts w:eastAsia="Times New Roman" w:cs="Times New Roman"/>
          <w:szCs w:val="24"/>
        </w:rPr>
        <w:t>W ustawie przewidziano również odszkodowania za ustanowi</w:t>
      </w:r>
      <w:r w:rsidR="00F534FE">
        <w:rPr>
          <w:rFonts w:eastAsia="Times New Roman" w:cs="Times New Roman"/>
          <w:szCs w:val="24"/>
        </w:rPr>
        <w:t>enie ograniczeń w </w:t>
      </w:r>
      <w:r w:rsidR="00693922">
        <w:rPr>
          <w:rFonts w:eastAsia="Times New Roman" w:cs="Times New Roman"/>
          <w:szCs w:val="24"/>
        </w:rPr>
        <w:t>korzystaniu z</w:t>
      </w:r>
      <w:r w:rsidR="00F534FE">
        <w:rPr>
          <w:rFonts w:eastAsia="Times New Roman" w:cs="Times New Roman"/>
          <w:szCs w:val="24"/>
        </w:rPr>
        <w:t xml:space="preserve"> </w:t>
      </w:r>
      <w:r w:rsidRPr="005D4AE4">
        <w:rPr>
          <w:rFonts w:eastAsia="Times New Roman" w:cs="Times New Roman"/>
          <w:szCs w:val="24"/>
        </w:rPr>
        <w:t>nieruchomości. Odszkodowanie pr</w:t>
      </w:r>
      <w:r w:rsidR="00F534FE">
        <w:rPr>
          <w:rFonts w:eastAsia="Times New Roman" w:cs="Times New Roman"/>
          <w:szCs w:val="24"/>
        </w:rPr>
        <w:t>zysługuje za czas korzystania z </w:t>
      </w:r>
      <w:r w:rsidRPr="005D4AE4">
        <w:rPr>
          <w:rFonts w:eastAsia="Times New Roman" w:cs="Times New Roman"/>
          <w:szCs w:val="24"/>
        </w:rPr>
        <w:t>nieruchomości na potrzeby realizacji inwestycji, za szkody powsta</w:t>
      </w:r>
      <w:r w:rsidR="00693922">
        <w:rPr>
          <w:rFonts w:eastAsia="Times New Roman" w:cs="Times New Roman"/>
          <w:szCs w:val="24"/>
        </w:rPr>
        <w:t>łe wskutek zdarzeń związanych z</w:t>
      </w:r>
      <w:r w:rsidR="00F534FE">
        <w:rPr>
          <w:rFonts w:eastAsia="Times New Roman" w:cs="Times New Roman"/>
          <w:szCs w:val="24"/>
        </w:rPr>
        <w:t xml:space="preserve"> </w:t>
      </w:r>
      <w:r w:rsidRPr="005D4AE4">
        <w:rPr>
          <w:rFonts w:eastAsia="Times New Roman" w:cs="Times New Roman"/>
          <w:szCs w:val="24"/>
        </w:rPr>
        <w:t>korzystaniem z nieruchomości w celu realizacji i</w:t>
      </w:r>
      <w:r w:rsidR="00693922">
        <w:rPr>
          <w:rFonts w:eastAsia="Times New Roman" w:cs="Times New Roman"/>
          <w:szCs w:val="24"/>
        </w:rPr>
        <w:t>nwestycji oraz za korzystanie z</w:t>
      </w:r>
      <w:r w:rsidR="00F534FE">
        <w:rPr>
          <w:rFonts w:eastAsia="Times New Roman" w:cs="Times New Roman"/>
          <w:szCs w:val="24"/>
        </w:rPr>
        <w:t xml:space="preserve"> </w:t>
      </w:r>
      <w:r w:rsidRPr="005D4AE4">
        <w:rPr>
          <w:rFonts w:eastAsia="Times New Roman" w:cs="Times New Roman"/>
          <w:szCs w:val="24"/>
        </w:rPr>
        <w:t>nieruchomości w związku z użytkowaniem obiektów i urządzeń. Odszkodowanie ustala się, odpowiednio, w</w:t>
      </w:r>
      <w:r>
        <w:rPr>
          <w:rFonts w:eastAsia="Times New Roman" w:cs="Times New Roman"/>
          <w:szCs w:val="24"/>
        </w:rPr>
        <w:t xml:space="preserve"> </w:t>
      </w:r>
      <w:r w:rsidRPr="005D4AE4">
        <w:rPr>
          <w:rFonts w:eastAsia="Times New Roman" w:cs="Times New Roman"/>
          <w:szCs w:val="24"/>
        </w:rPr>
        <w:t>wysokości odpowiadającej wynagrodzeniu za korzystanie z</w:t>
      </w:r>
      <w:r>
        <w:rPr>
          <w:rFonts w:eastAsia="Times New Roman" w:cs="Times New Roman"/>
          <w:szCs w:val="24"/>
        </w:rPr>
        <w:t xml:space="preserve"> </w:t>
      </w:r>
      <w:r w:rsidRPr="005D4AE4">
        <w:rPr>
          <w:rFonts w:eastAsia="Times New Roman" w:cs="Times New Roman"/>
          <w:szCs w:val="24"/>
        </w:rPr>
        <w:t>nieruchomości, w</w:t>
      </w:r>
      <w:r>
        <w:rPr>
          <w:rFonts w:eastAsia="Times New Roman" w:cs="Times New Roman"/>
          <w:szCs w:val="24"/>
        </w:rPr>
        <w:t xml:space="preserve"> </w:t>
      </w:r>
      <w:r w:rsidRPr="005D4AE4">
        <w:rPr>
          <w:rFonts w:eastAsia="Times New Roman" w:cs="Times New Roman"/>
          <w:szCs w:val="24"/>
        </w:rPr>
        <w:t>wysokości odpowiadającej wysokości szkody rzeczywistej oraz proporcjonalnie do stopnia ingerencji w</w:t>
      </w:r>
      <w:r>
        <w:rPr>
          <w:rFonts w:eastAsia="Times New Roman" w:cs="Times New Roman"/>
          <w:szCs w:val="24"/>
        </w:rPr>
        <w:t xml:space="preserve"> </w:t>
      </w:r>
      <w:r w:rsidRPr="005D4AE4">
        <w:rPr>
          <w:rFonts w:eastAsia="Times New Roman" w:cs="Times New Roman"/>
          <w:szCs w:val="24"/>
        </w:rPr>
        <w:t>prawo własności, uwzględniając straty właściciela w</w:t>
      </w:r>
      <w:r>
        <w:rPr>
          <w:rFonts w:eastAsia="Times New Roman" w:cs="Times New Roman"/>
          <w:szCs w:val="24"/>
        </w:rPr>
        <w:t xml:space="preserve"> </w:t>
      </w:r>
      <w:r w:rsidRPr="005D4AE4">
        <w:rPr>
          <w:rFonts w:eastAsia="Times New Roman" w:cs="Times New Roman"/>
          <w:szCs w:val="24"/>
        </w:rPr>
        <w:t>związku z</w:t>
      </w:r>
      <w:r>
        <w:rPr>
          <w:rFonts w:eastAsia="Times New Roman" w:cs="Times New Roman"/>
          <w:szCs w:val="24"/>
        </w:rPr>
        <w:t xml:space="preserve"> </w:t>
      </w:r>
      <w:r w:rsidRPr="005D4AE4">
        <w:rPr>
          <w:rFonts w:eastAsia="Times New Roman" w:cs="Times New Roman"/>
          <w:szCs w:val="24"/>
        </w:rPr>
        <w:t>ograniczeniem sposobu korzystania z</w:t>
      </w:r>
      <w:r w:rsidR="00F534FE">
        <w:rPr>
          <w:rFonts w:eastAsia="Times New Roman" w:cs="Times New Roman"/>
          <w:szCs w:val="24"/>
        </w:rPr>
        <w:t> </w:t>
      </w:r>
      <w:r w:rsidRPr="005D4AE4">
        <w:rPr>
          <w:rFonts w:eastAsia="Times New Roman" w:cs="Times New Roman"/>
          <w:szCs w:val="24"/>
        </w:rPr>
        <w:t>nieruchomości, uwzględniając spadek wartości nieruchomości, na której ustanowiono ograniczenie w</w:t>
      </w:r>
      <w:r>
        <w:rPr>
          <w:rFonts w:eastAsia="Times New Roman" w:cs="Times New Roman"/>
          <w:szCs w:val="24"/>
        </w:rPr>
        <w:t xml:space="preserve"> </w:t>
      </w:r>
      <w:r w:rsidRPr="005D4AE4">
        <w:rPr>
          <w:rFonts w:eastAsia="Times New Roman" w:cs="Times New Roman"/>
          <w:szCs w:val="24"/>
        </w:rPr>
        <w:t>sposobie korzystania.</w:t>
      </w:r>
    </w:p>
    <w:p w:rsidR="005D4AE4" w:rsidRPr="005D4AE4" w:rsidRDefault="005D4AE4" w:rsidP="00F84DA9">
      <w:pPr>
        <w:spacing w:before="120"/>
        <w:jc w:val="both"/>
        <w:rPr>
          <w:rFonts w:eastAsia="Times New Roman" w:cs="Times New Roman"/>
          <w:b/>
          <w:szCs w:val="24"/>
        </w:rPr>
      </w:pPr>
      <w:r w:rsidRPr="005D4AE4">
        <w:rPr>
          <w:rFonts w:eastAsia="Times New Roman" w:cs="Times New Roman"/>
          <w:szCs w:val="24"/>
        </w:rPr>
        <w:t>Ustalenie wysokości odszkodowania poprzedza się negocjacjami. W przypadku uzyskania konsensusu uzgodnienia wysokości odszkodowania dokonuje się w formie pisemnej.</w:t>
      </w:r>
      <w:r>
        <w:rPr>
          <w:rFonts w:eastAsia="Times New Roman" w:cs="Times New Roman"/>
          <w:szCs w:val="24"/>
        </w:rPr>
        <w:t xml:space="preserve"> </w:t>
      </w:r>
      <w:r w:rsidR="00693922">
        <w:rPr>
          <w:rFonts w:eastAsia="Times New Roman" w:cs="Times New Roman"/>
          <w:szCs w:val="24"/>
        </w:rPr>
        <w:t>W</w:t>
      </w:r>
      <w:r w:rsidR="00F534FE">
        <w:rPr>
          <w:rFonts w:eastAsia="Times New Roman" w:cs="Times New Roman"/>
          <w:szCs w:val="24"/>
        </w:rPr>
        <w:t xml:space="preserve"> </w:t>
      </w:r>
      <w:r w:rsidRPr="005D4AE4">
        <w:rPr>
          <w:rFonts w:eastAsia="Times New Roman" w:cs="Times New Roman"/>
          <w:szCs w:val="24"/>
        </w:rPr>
        <w:t>przeciwnym wypadku ustalenie wyso</w:t>
      </w:r>
      <w:r w:rsidR="00F534FE">
        <w:rPr>
          <w:rFonts w:eastAsia="Times New Roman" w:cs="Times New Roman"/>
          <w:szCs w:val="24"/>
        </w:rPr>
        <w:t>kości odszkodowania następuje w </w:t>
      </w:r>
      <w:r w:rsidRPr="005D4AE4">
        <w:rPr>
          <w:rFonts w:eastAsia="Times New Roman" w:cs="Times New Roman"/>
          <w:szCs w:val="24"/>
        </w:rPr>
        <w:t>drodze decyzji. Ustalenie</w:t>
      </w:r>
      <w:r>
        <w:rPr>
          <w:rFonts w:eastAsia="Times New Roman" w:cs="Times New Roman"/>
          <w:szCs w:val="24"/>
        </w:rPr>
        <w:t xml:space="preserve"> </w:t>
      </w:r>
      <w:r w:rsidRPr="005D4AE4">
        <w:rPr>
          <w:rFonts w:eastAsia="Times New Roman" w:cs="Times New Roman"/>
          <w:szCs w:val="24"/>
        </w:rPr>
        <w:t>wysokości odszkodowania następuje po zasięgnięciu opinii rzeczoznawcy majątkowego. Do opinii rzeczoznawcy majątkowego stosuje się odpowiednie przepisy ustawy o gospodarce nieruchomościami.</w:t>
      </w:r>
    </w:p>
    <w:p w:rsidR="005D4AE4" w:rsidRPr="005D4AE4" w:rsidRDefault="005D4AE4" w:rsidP="00F84DA9">
      <w:pPr>
        <w:keepNext/>
        <w:widowControl/>
        <w:spacing w:before="120"/>
        <w:jc w:val="both"/>
        <w:rPr>
          <w:rFonts w:eastAsia="Times New Roman" w:cs="Times New Roman"/>
          <w:b/>
          <w:szCs w:val="24"/>
        </w:rPr>
      </w:pPr>
      <w:r w:rsidRPr="005D4AE4">
        <w:rPr>
          <w:rFonts w:eastAsia="Times New Roman" w:cs="Times New Roman"/>
          <w:b/>
          <w:szCs w:val="24"/>
        </w:rPr>
        <w:lastRenderedPageBreak/>
        <w:t>Realizacja Inwestycji</w:t>
      </w:r>
    </w:p>
    <w:p w:rsidR="005D4AE4" w:rsidRPr="005D4AE4" w:rsidRDefault="005D4AE4" w:rsidP="00F84DA9">
      <w:pPr>
        <w:keepNext/>
        <w:widowControl/>
        <w:spacing w:before="120"/>
        <w:jc w:val="both"/>
        <w:rPr>
          <w:rFonts w:eastAsia="Times New Roman" w:cs="Times New Roman"/>
          <w:szCs w:val="24"/>
        </w:rPr>
      </w:pPr>
      <w:r w:rsidRPr="005D4AE4">
        <w:rPr>
          <w:rFonts w:eastAsia="Times New Roman" w:cs="Times New Roman"/>
          <w:szCs w:val="24"/>
        </w:rPr>
        <w:t>Ustawa w ograniczonym zakresie reguluje realizację Inwestycji, odsyłając w tym zakresie przede wszystkim do przepisó</w:t>
      </w:r>
      <w:r w:rsidR="00F534FE">
        <w:rPr>
          <w:rFonts w:eastAsia="Times New Roman" w:cs="Times New Roman"/>
          <w:szCs w:val="24"/>
        </w:rPr>
        <w:t>w ogólnego porządku prawnego, w </w:t>
      </w:r>
      <w:r w:rsidRPr="005D4AE4">
        <w:rPr>
          <w:rFonts w:eastAsia="Times New Roman" w:cs="Times New Roman"/>
          <w:szCs w:val="24"/>
        </w:rPr>
        <w:t xml:space="preserve">szczególności ustawy </w:t>
      </w:r>
      <w:r>
        <w:rPr>
          <w:rFonts w:eastAsia="Times New Roman" w:cs="Times New Roman"/>
          <w:szCs w:val="24"/>
        </w:rPr>
        <w:t>–</w:t>
      </w:r>
      <w:r w:rsidRPr="005D4AE4">
        <w:rPr>
          <w:rFonts w:eastAsia="Times New Roman" w:cs="Times New Roman"/>
          <w:szCs w:val="24"/>
        </w:rPr>
        <w:t xml:space="preserve"> Prawo budowlane. Pozwolenie na budowę może dotyczyć całości albo części Inwestycji, przy czym zasady etapowania uzyskiwania pozwoleń pozostawiono do wyboru Spółki Celowej.</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 xml:space="preserve">W ustawie pozostawiono wymóg osobnego uzyskiwania wybranych rozstrzygnięć wymaganych do uzyskania pozwolenia na budowę, przewidziano jednak przepisy ułatwiające ich pozyskanie. Dotyczy to w szczególności zgody wodnoprawnej, dla której wyłączono stosowanie niektórych przepisów ustawy </w:t>
      </w:r>
      <w:r>
        <w:rPr>
          <w:rFonts w:eastAsia="Times New Roman" w:cs="Times New Roman"/>
          <w:szCs w:val="24"/>
        </w:rPr>
        <w:t>–</w:t>
      </w:r>
      <w:r w:rsidRPr="005D4AE4">
        <w:rPr>
          <w:rFonts w:eastAsia="Times New Roman" w:cs="Times New Roman"/>
          <w:szCs w:val="24"/>
        </w:rPr>
        <w:t xml:space="preserve"> Prawo wodne </w:t>
      </w:r>
      <w:r w:rsidR="00693922">
        <w:rPr>
          <w:rFonts w:eastAsia="Times New Roman" w:cs="Times New Roman"/>
          <w:szCs w:val="24"/>
        </w:rPr>
        <w:t>oraz przewidziano dla organu 30</w:t>
      </w:r>
      <w:r w:rsidR="00693922">
        <w:rPr>
          <w:rFonts w:eastAsia="Times New Roman" w:cs="Times New Roman"/>
          <w:szCs w:val="24"/>
        </w:rPr>
        <w:noBreakHyphen/>
      </w:r>
      <w:r w:rsidRPr="005D4AE4">
        <w:rPr>
          <w:rFonts w:eastAsia="Times New Roman" w:cs="Times New Roman"/>
          <w:szCs w:val="24"/>
        </w:rPr>
        <w:t>dniowy termin na udzielenie zgody.</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Ponieważ realizacja inwestycji CPK wymagać będzie szeroko zakrojonych inwestycyjnych działań dostosowawczych wobec istniejącej infrastruktury (drogowej, kolejowej, sieciowej, melioracyjnej), ustawa przewiduje szczególny tryb, w jakim nastąpi przełożenie tej infrastruktury w sposób umożliwiający jej harmonijne funkcjonowanie obok Portu. Dla zapewnienia terminowej realizacji tych inwestycji, nie stanowiących Inwestycji Towarzyszących CPK, przewidziano możliwość zastosowania przepisów obowiązujących specustaw inwestycyjnych, przy czym w zakresie u</w:t>
      </w:r>
      <w:r w:rsidR="00F534FE">
        <w:rPr>
          <w:rFonts w:eastAsia="Times New Roman" w:cs="Times New Roman"/>
          <w:szCs w:val="24"/>
        </w:rPr>
        <w:t>stawy z </w:t>
      </w:r>
      <w:r w:rsidR="00693922">
        <w:rPr>
          <w:rFonts w:eastAsia="Times New Roman" w:cs="Times New Roman"/>
          <w:szCs w:val="24"/>
        </w:rPr>
        <w:t>dnia 24 lipca 2015 r. o</w:t>
      </w:r>
      <w:r w:rsidR="00F534FE">
        <w:rPr>
          <w:rFonts w:eastAsia="Times New Roman" w:cs="Times New Roman"/>
          <w:szCs w:val="24"/>
        </w:rPr>
        <w:t xml:space="preserve"> </w:t>
      </w:r>
      <w:r w:rsidRPr="005D4AE4">
        <w:rPr>
          <w:rFonts w:eastAsia="Times New Roman" w:cs="Times New Roman"/>
          <w:szCs w:val="24"/>
        </w:rPr>
        <w:t>przygotowaniu i realizacji strategicznych inwestycji w zakresie sieci przesyłowych jej zakres przedmiotowy roz</w:t>
      </w:r>
      <w:r w:rsidR="00463CEA">
        <w:rPr>
          <w:rFonts w:eastAsia="Times New Roman" w:cs="Times New Roman"/>
          <w:szCs w:val="24"/>
        </w:rPr>
        <w:t>szerzono na wszystkie inwestycje</w:t>
      </w:r>
      <w:r w:rsidRPr="005D4AE4">
        <w:rPr>
          <w:rFonts w:eastAsia="Times New Roman" w:cs="Times New Roman"/>
          <w:szCs w:val="24"/>
        </w:rPr>
        <w:t xml:space="preserve"> sieciowe oraz urządzenia wodne, zachowujące przesłankę konieczności budowy (przebudowy) w związku z lokalizacją CPK. Zadania te realizuje na koszt własny albo finansuje Spółka Celowa, na podstawie porozumienia z odpowiednim zarządcą drogi publicznej, linii kolejowej, sieci lub urządzenia wodnego. </w:t>
      </w:r>
      <w:r w:rsidR="00F534FE">
        <w:rPr>
          <w:rFonts w:cs="Times New Roman"/>
          <w:color w:val="000000" w:themeColor="text1"/>
          <w:szCs w:val="24"/>
        </w:rPr>
        <w:t>Porozumienie określa w </w:t>
      </w:r>
      <w:r w:rsidRPr="005D4AE4">
        <w:rPr>
          <w:rFonts w:cs="Times New Roman"/>
          <w:color w:val="000000" w:themeColor="text1"/>
          <w:szCs w:val="24"/>
        </w:rPr>
        <w:t>szczególności warunki przekazania zrealizowanych inwestycji właściwym zarządcom. W przypadku niemożności zawarcia porozumienia dotyczącego realizacji inwestycji, Spółka Celowa występuje o określenie</w:t>
      </w:r>
      <w:r w:rsidR="00F534FE">
        <w:rPr>
          <w:rFonts w:cs="Times New Roman"/>
          <w:color w:val="000000" w:themeColor="text1"/>
          <w:szCs w:val="24"/>
        </w:rPr>
        <w:t xml:space="preserve"> tych warunków przez wojewodę w </w:t>
      </w:r>
      <w:r w:rsidRPr="005D4AE4">
        <w:rPr>
          <w:rFonts w:cs="Times New Roman"/>
          <w:color w:val="000000" w:themeColor="text1"/>
          <w:szCs w:val="24"/>
        </w:rPr>
        <w:t>drodze decyzji.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przypadku niemożności zawarcia porozumienia dotyczącego realizacji inwestycji, Spółka Celowa występuje o określenie tych warunków w ramach decyzji zezwalającej na wykonywanie robót budowlanych.</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Szczególne regulacje wykonawcze dotyczą również wycinki drze</w:t>
      </w:r>
      <w:r>
        <w:rPr>
          <w:rFonts w:eastAsia="Times New Roman" w:cs="Times New Roman"/>
          <w:szCs w:val="24"/>
        </w:rPr>
        <w:t xml:space="preserve">w i krzewów z terenu </w:t>
      </w:r>
      <w:r>
        <w:rPr>
          <w:rFonts w:eastAsia="Times New Roman" w:cs="Times New Roman"/>
          <w:szCs w:val="24"/>
        </w:rPr>
        <w:lastRenderedPageBreak/>
        <w:t>inwestycji –</w:t>
      </w:r>
      <w:r w:rsidRPr="005D4AE4">
        <w:rPr>
          <w:rFonts w:eastAsia="Times New Roman" w:cs="Times New Roman"/>
          <w:szCs w:val="24"/>
        </w:rPr>
        <w:t xml:space="preserve"> zadanie to powierzono Państwowemu Gospodarstwu Leśnemu Lasom Państwowym.</w:t>
      </w:r>
      <w:r w:rsidRPr="005D4AE4">
        <w:rPr>
          <w:rFonts w:eastAsia="Times New Roman" w:cs="Times New Roman"/>
          <w:color w:val="9900FF"/>
          <w:szCs w:val="24"/>
        </w:rPr>
        <w:t xml:space="preserve"> </w:t>
      </w:r>
      <w:r w:rsidRPr="005D4AE4">
        <w:rPr>
          <w:rFonts w:eastAsia="Times New Roman" w:cs="Times New Roman"/>
          <w:szCs w:val="24"/>
        </w:rPr>
        <w:t>Do usuwania drzew i krzewów znajdujących się na nieruchomościach objętych ostateczną decyzją o ustaleniu lokalizacji inwestycji w za</w:t>
      </w:r>
      <w:r w:rsidR="00F534FE">
        <w:rPr>
          <w:rFonts w:eastAsia="Times New Roman" w:cs="Times New Roman"/>
          <w:szCs w:val="24"/>
        </w:rPr>
        <w:t>kresie CPK, z </w:t>
      </w:r>
      <w:r w:rsidR="00693922">
        <w:rPr>
          <w:rFonts w:eastAsia="Times New Roman" w:cs="Times New Roman"/>
          <w:szCs w:val="24"/>
        </w:rPr>
        <w:t>wyjątkiem drzew i</w:t>
      </w:r>
      <w:r w:rsidR="00F534FE">
        <w:rPr>
          <w:rFonts w:eastAsia="Times New Roman" w:cs="Times New Roman"/>
          <w:szCs w:val="24"/>
        </w:rPr>
        <w:t xml:space="preserve"> </w:t>
      </w:r>
      <w:r w:rsidRPr="005D4AE4">
        <w:rPr>
          <w:rFonts w:eastAsia="Times New Roman" w:cs="Times New Roman"/>
          <w:szCs w:val="24"/>
        </w:rPr>
        <w:t>krzewów usuwanych z nieruchomości wpisanej do rejestru zabytków, nie stosuje się przepisów ustawy z dnia 16 kwietnia 2004 r. o ochronie przyrody w zakresie obowiązku uzyskiwania zezwole</w:t>
      </w:r>
      <w:r w:rsidR="00F534FE">
        <w:rPr>
          <w:rFonts w:eastAsia="Times New Roman" w:cs="Times New Roman"/>
          <w:szCs w:val="24"/>
        </w:rPr>
        <w:t>ń na ich usunięcie oraz opłat z </w:t>
      </w:r>
      <w:r w:rsidRPr="005D4AE4">
        <w:rPr>
          <w:rFonts w:eastAsia="Times New Roman" w:cs="Times New Roman"/>
          <w:szCs w:val="24"/>
        </w:rPr>
        <w:t>tym związanych.</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Uregulowano również problematykę zajęcia terenów wód p</w:t>
      </w:r>
      <w:r w:rsidR="00693922">
        <w:rPr>
          <w:rFonts w:eastAsia="Times New Roman" w:cs="Times New Roman"/>
          <w:szCs w:val="24"/>
        </w:rPr>
        <w:t>łynących oraz pasów drogowych i</w:t>
      </w:r>
      <w:r w:rsidR="00F534FE">
        <w:rPr>
          <w:rFonts w:eastAsia="Times New Roman" w:cs="Times New Roman"/>
          <w:szCs w:val="24"/>
        </w:rPr>
        <w:t xml:space="preserve"> </w:t>
      </w:r>
      <w:r w:rsidRPr="005D4AE4">
        <w:rPr>
          <w:rFonts w:eastAsia="Times New Roman" w:cs="Times New Roman"/>
          <w:szCs w:val="24"/>
        </w:rPr>
        <w:t>dróg kolejowych na potrzeby realizacji inwestycji, wskazując, że Spółka Celowa jest uprawniona do zajęcia tych terenów na czas realizacji i użytkowania tej inwestycji.</w:t>
      </w:r>
    </w:p>
    <w:p w:rsidR="005D4AE4" w:rsidRPr="005D4AE4" w:rsidRDefault="005D4AE4" w:rsidP="005D4AE4">
      <w:pPr>
        <w:spacing w:before="120"/>
        <w:jc w:val="both"/>
        <w:rPr>
          <w:rFonts w:eastAsia="Times New Roman" w:cs="Times New Roman"/>
          <w:b/>
          <w:szCs w:val="24"/>
        </w:rPr>
      </w:pPr>
      <w:bookmarkStart w:id="2" w:name="_30j0zll" w:colFirst="0" w:colLast="0"/>
      <w:bookmarkEnd w:id="2"/>
      <w:r w:rsidRPr="005D4AE4">
        <w:rPr>
          <w:rFonts w:eastAsia="Times New Roman" w:cs="Times New Roman"/>
          <w:b/>
          <w:szCs w:val="24"/>
        </w:rPr>
        <w:t>Postępowanie administracyjne w sprawach uregulowanych ustawą</w:t>
      </w:r>
    </w:p>
    <w:p w:rsidR="005D4AE4" w:rsidRPr="005D4AE4" w:rsidRDefault="005D4AE4" w:rsidP="005D4AE4">
      <w:pPr>
        <w:spacing w:before="120"/>
        <w:jc w:val="both"/>
        <w:rPr>
          <w:rFonts w:eastAsia="Times New Roman" w:cs="Times New Roman"/>
          <w:szCs w:val="24"/>
        </w:rPr>
      </w:pPr>
      <w:bookmarkStart w:id="3" w:name="_1fob9te" w:colFirst="0" w:colLast="0"/>
      <w:bookmarkEnd w:id="3"/>
      <w:r w:rsidRPr="005D4AE4">
        <w:rPr>
          <w:rFonts w:eastAsia="Times New Roman" w:cs="Times New Roman"/>
          <w:szCs w:val="24"/>
        </w:rPr>
        <w:t xml:space="preserve">Rozdział 9 zawiera przepisy regulujące postępowanie w sprawach objętych ustawą dotyczące decyzji o ustaleniu lokalizacji inwestycji w zakresie CPK oraz pozwolenia na budowę, w tym przepisy te znajdą zastosowanie do postępowań odwoławczych, zażaleniowych, a także postępowań wszczętych </w:t>
      </w:r>
      <w:r>
        <w:rPr>
          <w:rFonts w:eastAsia="Times New Roman" w:cs="Times New Roman"/>
          <w:szCs w:val="24"/>
        </w:rPr>
        <w:t>na pod</w:t>
      </w:r>
      <w:r w:rsidR="00F534FE">
        <w:rPr>
          <w:rFonts w:eastAsia="Times New Roman" w:cs="Times New Roman"/>
          <w:szCs w:val="24"/>
        </w:rPr>
        <w:t>stawie art. 145, art. 154–156 i </w:t>
      </w:r>
      <w:r>
        <w:rPr>
          <w:rFonts w:eastAsia="Times New Roman" w:cs="Times New Roman"/>
          <w:szCs w:val="24"/>
        </w:rPr>
        <w:t>art. 161–</w:t>
      </w:r>
      <w:r w:rsidRPr="005D4AE4">
        <w:rPr>
          <w:rFonts w:eastAsia="Times New Roman" w:cs="Times New Roman"/>
          <w:szCs w:val="24"/>
        </w:rPr>
        <w:t>163 Kodeksu postępowania administracyjnego.</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Dodatkowo wskazano, że wybrane</w:t>
      </w:r>
      <w:r>
        <w:rPr>
          <w:rFonts w:eastAsia="Times New Roman" w:cs="Times New Roman"/>
          <w:szCs w:val="24"/>
        </w:rPr>
        <w:t xml:space="preserve"> </w:t>
      </w:r>
      <w:r w:rsidRPr="005D4AE4">
        <w:rPr>
          <w:rFonts w:eastAsia="Times New Roman" w:cs="Times New Roman"/>
          <w:color w:val="000000" w:themeColor="text1"/>
          <w:szCs w:val="24"/>
          <w:lang w:val="pl"/>
        </w:rPr>
        <w:t xml:space="preserve">przepisy dotyczące przede wszystkim zasad postępowania z nieruchomościami o nieuregulowanym stanie prawnym będą miały </w:t>
      </w:r>
      <w:r w:rsidR="00463CEA">
        <w:rPr>
          <w:rFonts w:eastAsia="Times New Roman" w:cs="Times New Roman"/>
          <w:color w:val="000000" w:themeColor="text1"/>
          <w:szCs w:val="24"/>
          <w:lang w:val="pl"/>
        </w:rPr>
        <w:t>zastosowanie</w:t>
      </w:r>
      <w:r w:rsidR="00463CEA" w:rsidRPr="005D4AE4">
        <w:rPr>
          <w:rFonts w:eastAsia="Times New Roman" w:cs="Times New Roman"/>
          <w:color w:val="000000" w:themeColor="text1"/>
          <w:szCs w:val="24"/>
          <w:lang w:val="pl"/>
        </w:rPr>
        <w:t xml:space="preserve"> </w:t>
      </w:r>
      <w:r w:rsidRPr="005D4AE4">
        <w:rPr>
          <w:rFonts w:eastAsia="Times New Roman" w:cs="Times New Roman"/>
          <w:color w:val="000000" w:themeColor="text1"/>
          <w:szCs w:val="24"/>
          <w:lang w:val="pl"/>
        </w:rPr>
        <w:t xml:space="preserve">do postępowań dotyczących </w:t>
      </w:r>
      <w:r w:rsidRPr="005D4AE4">
        <w:rPr>
          <w:rFonts w:eastAsia="Arial" w:cs="Times New Roman"/>
          <w:szCs w:val="24"/>
          <w:lang w:val="pl"/>
        </w:rPr>
        <w:t>decyzji o zezwoleniu na udostępnienie nieruchomości, decyzji o zezwoleniu na niezwłoczne zajęcie nieruchomości oraz decyzji o ustaleniu odszkodowania</w:t>
      </w:r>
      <w:r w:rsidRPr="005D4AE4">
        <w:rPr>
          <w:rFonts w:eastAsia="Times New Roman" w:cs="Times New Roman"/>
          <w:color w:val="000000" w:themeColor="text1"/>
          <w:szCs w:val="24"/>
          <w:lang w:val="pl"/>
        </w:rPr>
        <w:t>.</w:t>
      </w:r>
      <w:bookmarkStart w:id="4" w:name="_3znysh7" w:colFirst="0" w:colLast="0"/>
      <w:bookmarkEnd w:id="4"/>
      <w:r w:rsidRPr="005D4AE4">
        <w:rPr>
          <w:rFonts w:eastAsia="Times New Roman" w:cs="Times New Roman"/>
          <w:szCs w:val="24"/>
        </w:rPr>
        <w:t>W zakresie nieuregulowanym w ww. rozdziale zastosowanie znajdują przepisy ogólne, zawarte zarówno w Kodeksie postę</w:t>
      </w:r>
      <w:r w:rsidR="00F534FE">
        <w:rPr>
          <w:rFonts w:eastAsia="Times New Roman" w:cs="Times New Roman"/>
          <w:szCs w:val="24"/>
        </w:rPr>
        <w:t>powania administracyjnego jak i </w:t>
      </w:r>
      <w:r w:rsidRPr="005D4AE4">
        <w:rPr>
          <w:rFonts w:eastAsia="Times New Roman" w:cs="Times New Roman"/>
          <w:szCs w:val="24"/>
        </w:rPr>
        <w:t>usta</w:t>
      </w:r>
      <w:r w:rsidR="00693922">
        <w:rPr>
          <w:rFonts w:eastAsia="Times New Roman" w:cs="Times New Roman"/>
          <w:szCs w:val="24"/>
        </w:rPr>
        <w:t>wie z dnia 17 czerwca 1966 r. o</w:t>
      </w:r>
      <w:r w:rsidR="00F534FE">
        <w:rPr>
          <w:rFonts w:eastAsia="Times New Roman" w:cs="Times New Roman"/>
          <w:szCs w:val="24"/>
        </w:rPr>
        <w:t xml:space="preserve"> </w:t>
      </w:r>
      <w:r w:rsidRPr="005D4AE4">
        <w:rPr>
          <w:rFonts w:eastAsia="Times New Roman" w:cs="Times New Roman"/>
          <w:szCs w:val="24"/>
        </w:rPr>
        <w:t>postępowaniu egzekucyjnym w administracji.</w:t>
      </w:r>
    </w:p>
    <w:p w:rsidR="005D4AE4" w:rsidRPr="005D4AE4" w:rsidRDefault="005D4AE4" w:rsidP="00463CEA">
      <w:pPr>
        <w:spacing w:before="60"/>
        <w:jc w:val="both"/>
        <w:rPr>
          <w:rFonts w:eastAsia="Times New Roman" w:cs="Times New Roman"/>
          <w:szCs w:val="24"/>
        </w:rPr>
      </w:pPr>
      <w:r w:rsidRPr="005D4AE4">
        <w:rPr>
          <w:rFonts w:eastAsia="Times New Roman" w:cs="Times New Roman"/>
          <w:szCs w:val="24"/>
        </w:rPr>
        <w:t xml:space="preserve">Wskazano również, że </w:t>
      </w:r>
      <w:r w:rsidRPr="005D4AE4">
        <w:rPr>
          <w:rFonts w:cs="Times New Roman"/>
          <w:szCs w:val="24"/>
        </w:rPr>
        <w:t>do skarg na decyzje administracyjne, o których mowa w ustawie, stosuje się przepisy ust</w:t>
      </w:r>
      <w:r>
        <w:rPr>
          <w:rFonts w:cs="Times New Roman"/>
          <w:szCs w:val="24"/>
        </w:rPr>
        <w:t>awy z dnia 30 sierpnia 2002 r. –</w:t>
      </w:r>
      <w:r w:rsidRPr="005D4AE4">
        <w:rPr>
          <w:rFonts w:cs="Times New Roman"/>
          <w:szCs w:val="24"/>
        </w:rPr>
        <w:t xml:space="preserve"> Prawo o postępowaniu przed </w:t>
      </w:r>
      <w:bookmarkStart w:id="5" w:name="highlightHit_0"/>
      <w:bookmarkEnd w:id="5"/>
      <w:r w:rsidRPr="005D4AE4">
        <w:rPr>
          <w:rFonts w:cs="Times New Roman"/>
          <w:szCs w:val="24"/>
        </w:rPr>
        <w:t>sądami administracyjnymi z wyłączeniem art. 61 § 3 tej ustawy uprawniającego sąd administracyjny do wstrzymania wykonania zaskarżonej decyzji.</w:t>
      </w:r>
    </w:p>
    <w:p w:rsidR="005D4AE4" w:rsidRPr="005D4AE4" w:rsidRDefault="005D4AE4" w:rsidP="00463CEA">
      <w:pPr>
        <w:spacing w:before="60"/>
        <w:jc w:val="both"/>
        <w:rPr>
          <w:rFonts w:eastAsia="Times New Roman" w:cs="Times New Roman"/>
          <w:szCs w:val="24"/>
        </w:rPr>
      </w:pPr>
      <w:r w:rsidRPr="005D4AE4">
        <w:rPr>
          <w:rFonts w:eastAsia="Times New Roman" w:cs="Times New Roman"/>
          <w:szCs w:val="24"/>
        </w:rPr>
        <w:t>Wszystkie z opisanych poniżej rozwiązań szczególny</w:t>
      </w:r>
      <w:r w:rsidR="00693922">
        <w:rPr>
          <w:rFonts w:eastAsia="Times New Roman" w:cs="Times New Roman"/>
          <w:szCs w:val="24"/>
        </w:rPr>
        <w:t>ch służą zapewnieniu sprawnej i</w:t>
      </w:r>
      <w:r w:rsidR="00F534FE">
        <w:rPr>
          <w:rFonts w:eastAsia="Times New Roman" w:cs="Times New Roman"/>
          <w:szCs w:val="24"/>
        </w:rPr>
        <w:t> </w:t>
      </w:r>
      <w:r w:rsidRPr="005D4AE4">
        <w:rPr>
          <w:rFonts w:eastAsia="Times New Roman" w:cs="Times New Roman"/>
          <w:szCs w:val="24"/>
        </w:rPr>
        <w:t>terminowej realizacji inwestycji o strategicznym charakterze.</w:t>
      </w:r>
      <w:r>
        <w:rPr>
          <w:rFonts w:eastAsia="Times New Roman" w:cs="Times New Roman"/>
          <w:szCs w:val="24"/>
        </w:rPr>
        <w:t xml:space="preserve"> </w:t>
      </w:r>
    </w:p>
    <w:p w:rsidR="005D4AE4" w:rsidRPr="005D4AE4" w:rsidRDefault="005D4AE4" w:rsidP="005D4AE4">
      <w:pPr>
        <w:spacing w:before="120"/>
        <w:jc w:val="both"/>
        <w:rPr>
          <w:rFonts w:eastAsia="Times New Roman" w:cs="Times New Roman"/>
          <w:szCs w:val="24"/>
        </w:rPr>
      </w:pPr>
      <w:bookmarkStart w:id="6" w:name="_2et92p0" w:colFirst="0" w:colLast="0"/>
      <w:bookmarkEnd w:id="6"/>
      <w:r w:rsidRPr="005D4AE4">
        <w:rPr>
          <w:rFonts w:eastAsia="Times New Roman" w:cs="Times New Roman"/>
          <w:szCs w:val="24"/>
        </w:rPr>
        <w:t xml:space="preserve">Ustanowiono zasadę, że w przypadku inwestycji realizowanej na obszarze właściwości </w:t>
      </w:r>
      <w:r w:rsidRPr="005D4AE4">
        <w:rPr>
          <w:rFonts w:eastAsia="Times New Roman" w:cs="Times New Roman"/>
          <w:szCs w:val="24"/>
        </w:rPr>
        <w:lastRenderedPageBreak/>
        <w:t xml:space="preserve">dwóch lub więcej organów, organem właściwym jest ten, na którego obszarze właściwości znajduje się największa część terenu inwestycji. </w:t>
      </w:r>
    </w:p>
    <w:p w:rsidR="005D4AE4" w:rsidRPr="005D4AE4" w:rsidRDefault="005D4AE4" w:rsidP="005D4AE4">
      <w:pPr>
        <w:spacing w:before="120"/>
        <w:jc w:val="both"/>
        <w:rPr>
          <w:rFonts w:eastAsia="Times New Roman" w:cs="Times New Roman"/>
          <w:szCs w:val="24"/>
        </w:rPr>
      </w:pPr>
      <w:bookmarkStart w:id="7" w:name="_tyjcwt" w:colFirst="0" w:colLast="0"/>
      <w:bookmarkStart w:id="8" w:name="_3dy6vkm" w:colFirst="0" w:colLast="0"/>
      <w:bookmarkEnd w:id="7"/>
      <w:bookmarkEnd w:id="8"/>
      <w:r w:rsidRPr="005D4AE4">
        <w:rPr>
          <w:rFonts w:eastAsia="Times New Roman" w:cs="Times New Roman"/>
          <w:szCs w:val="24"/>
        </w:rPr>
        <w:t>Ustawa reguluje zasady postępowania w przypadku nieruchomości o nieuregulowanym stanie prawnym przez którą należy rozumieć nieruchomość, dla której, ze względu na brak księgi wieczystej, zbioru dokumentów albo innych dokumentów, nie można ustalić osób, którym przysługują do niej prawa rzeczowe, a także nieruchomość, której dotychczasowy właściciel lub użytkownik wie</w:t>
      </w:r>
      <w:r w:rsidR="00F534FE">
        <w:rPr>
          <w:rFonts w:eastAsia="Times New Roman" w:cs="Times New Roman"/>
          <w:szCs w:val="24"/>
        </w:rPr>
        <w:t>czysty nieruchomości nie żyje a </w:t>
      </w:r>
      <w:r w:rsidRPr="005D4AE4">
        <w:rPr>
          <w:rFonts w:eastAsia="Times New Roman" w:cs="Times New Roman"/>
          <w:szCs w:val="24"/>
        </w:rPr>
        <w:t>spadkobiercy nie wykazali prawa do spadku. Wyrażona została zasada, że nieuregulowany stan prawny nieruchomości nie stanowi przeszkody do wydania decyzji oraz realizacji inwestycji.</w:t>
      </w:r>
    </w:p>
    <w:p w:rsidR="005D4AE4" w:rsidRPr="005D4AE4" w:rsidRDefault="005D4AE4" w:rsidP="005D4AE4">
      <w:pPr>
        <w:spacing w:before="120"/>
        <w:jc w:val="both"/>
        <w:rPr>
          <w:rFonts w:eastAsia="Times New Roman" w:cs="Times New Roman"/>
          <w:szCs w:val="24"/>
        </w:rPr>
      </w:pPr>
      <w:bookmarkStart w:id="9" w:name="_1t3h5sf" w:colFirst="0" w:colLast="0"/>
      <w:bookmarkEnd w:id="9"/>
      <w:r w:rsidRPr="005D4AE4">
        <w:rPr>
          <w:rFonts w:eastAsia="Times New Roman" w:cs="Times New Roman"/>
          <w:szCs w:val="24"/>
        </w:rPr>
        <w:t>Aby w maksymalny sposób usprawnić procedurę administracyjną przyjęto, że prawa rzeczowe do nieruchomości ustala się na podstawie treści ksiąg wieczystych, zbioru dokumentów albo innych dokumentów urzędowych. Zaś dane dotyczące osób, którym przysługują prawa rzeczowe do nieruchomości, w tym ich adresów, ustala się na podstawie katastru nieruchomości. Doręczenie na adres wskazany w katastrze jest skuteczne.</w:t>
      </w:r>
    </w:p>
    <w:p w:rsidR="005D4AE4" w:rsidRPr="005D4AE4" w:rsidRDefault="005D4AE4" w:rsidP="005D4AE4">
      <w:pPr>
        <w:spacing w:before="120"/>
        <w:jc w:val="both"/>
        <w:rPr>
          <w:rFonts w:eastAsia="Times New Roman" w:cs="Times New Roman"/>
          <w:szCs w:val="24"/>
        </w:rPr>
      </w:pPr>
      <w:bookmarkStart w:id="10" w:name="_4d34og8" w:colFirst="0" w:colLast="0"/>
      <w:bookmarkEnd w:id="10"/>
      <w:r w:rsidRPr="005D4AE4">
        <w:rPr>
          <w:rFonts w:eastAsia="Times New Roman" w:cs="Times New Roman"/>
          <w:szCs w:val="24"/>
        </w:rPr>
        <w:t>Dalsze przepisy regulują kwestie doręczeń zawiadomień i decyzji. W przepisach tych wymieniono poszczególne kategorie podmiotów, wskazując na wymagany sposób doręczenia. W przypadku kwalifikowanej kategorii stron</w:t>
      </w:r>
      <w:r w:rsidR="00693922">
        <w:rPr>
          <w:rFonts w:eastAsia="Times New Roman" w:cs="Times New Roman"/>
          <w:szCs w:val="24"/>
        </w:rPr>
        <w:t xml:space="preserve"> postępowania – tj. inwestora i</w:t>
      </w:r>
      <w:r w:rsidR="00F534FE">
        <w:rPr>
          <w:rFonts w:eastAsia="Times New Roman" w:cs="Times New Roman"/>
          <w:szCs w:val="24"/>
        </w:rPr>
        <w:t> </w:t>
      </w:r>
      <w:r w:rsidRPr="005D4AE4">
        <w:rPr>
          <w:rFonts w:eastAsia="Times New Roman" w:cs="Times New Roman"/>
          <w:szCs w:val="24"/>
        </w:rPr>
        <w:t>właścicieli lub użytkowników wieczystych nieruchomości, doręcza się</w:t>
      </w:r>
      <w:r>
        <w:rPr>
          <w:rFonts w:eastAsia="Times New Roman" w:cs="Times New Roman"/>
          <w:szCs w:val="24"/>
        </w:rPr>
        <w:t xml:space="preserve"> </w:t>
      </w:r>
      <w:r w:rsidR="00693922">
        <w:rPr>
          <w:rFonts w:eastAsia="Times New Roman" w:cs="Times New Roman"/>
          <w:szCs w:val="24"/>
        </w:rPr>
        <w:t>zawiadomienie o</w:t>
      </w:r>
      <w:r w:rsidR="00F534FE">
        <w:rPr>
          <w:rFonts w:eastAsia="Times New Roman" w:cs="Times New Roman"/>
          <w:szCs w:val="24"/>
        </w:rPr>
        <w:t xml:space="preserve"> </w:t>
      </w:r>
      <w:r w:rsidRPr="005D4AE4">
        <w:rPr>
          <w:rFonts w:eastAsia="Times New Roman" w:cs="Times New Roman"/>
          <w:szCs w:val="24"/>
        </w:rPr>
        <w:t>wszczęciu postępowania oraz zawiadomienie o decyzji</w:t>
      </w:r>
      <w:r>
        <w:rPr>
          <w:rFonts w:eastAsia="Times New Roman" w:cs="Times New Roman"/>
          <w:szCs w:val="24"/>
        </w:rPr>
        <w:t xml:space="preserve"> </w:t>
      </w:r>
      <w:r w:rsidRPr="005D4AE4">
        <w:rPr>
          <w:rFonts w:eastAsia="Times New Roman" w:cs="Times New Roman"/>
          <w:szCs w:val="24"/>
        </w:rPr>
        <w:t>na adres wskazany w katastrze nieruchomości. Przy czym zastrzeżono, że doręczenie za</w:t>
      </w:r>
      <w:r w:rsidR="00693922">
        <w:rPr>
          <w:rFonts w:eastAsia="Times New Roman" w:cs="Times New Roman"/>
          <w:szCs w:val="24"/>
        </w:rPr>
        <w:t>wiadomienia na adres wskazany w</w:t>
      </w:r>
      <w:r w:rsidR="00F534FE">
        <w:rPr>
          <w:rFonts w:eastAsia="Times New Roman" w:cs="Times New Roman"/>
          <w:szCs w:val="24"/>
        </w:rPr>
        <w:t xml:space="preserve"> </w:t>
      </w:r>
      <w:r w:rsidRPr="005D4AE4">
        <w:rPr>
          <w:rFonts w:eastAsia="Times New Roman" w:cs="Times New Roman"/>
          <w:szCs w:val="24"/>
        </w:rPr>
        <w:t>katastrze nieruchomości jest skuteczne. W pozostałym zakresie do doręczeń stosuje się zasady określone w Kodeksie postępowania administracyjnego. Pozostałe strony postępowania zawiadamia się o jego wszczęciu w drodze obwieszczeń, dokonywanych</w:t>
      </w:r>
      <w:r>
        <w:rPr>
          <w:rFonts w:eastAsia="Times New Roman" w:cs="Times New Roman"/>
          <w:szCs w:val="24"/>
        </w:rPr>
        <w:t xml:space="preserve"> </w:t>
      </w:r>
      <w:r w:rsidR="00693922">
        <w:rPr>
          <w:rFonts w:eastAsia="Times New Roman" w:cs="Times New Roman"/>
          <w:szCs w:val="24"/>
        </w:rPr>
        <w:t>w</w:t>
      </w:r>
      <w:r w:rsidR="00F534FE">
        <w:rPr>
          <w:rFonts w:eastAsia="Times New Roman" w:cs="Times New Roman"/>
          <w:szCs w:val="24"/>
        </w:rPr>
        <w:t xml:space="preserve"> </w:t>
      </w:r>
      <w:r w:rsidRPr="005D4AE4">
        <w:rPr>
          <w:rFonts w:eastAsia="Times New Roman" w:cs="Times New Roman"/>
          <w:szCs w:val="24"/>
        </w:rPr>
        <w:t>urzędzie obsługującym organ prowadzący postępowanie, w urzędach gmin właściwych ze względu na lokalizację inwestycji, w Biuletynie Informacji Publicznej tego urzędu i tych gmin oraz w prasie lokalnej i na stronie internetowej Pełnomocnika. Tryb doręczenia przez obwieszcze</w:t>
      </w:r>
      <w:r w:rsidR="00F534FE">
        <w:rPr>
          <w:rFonts w:eastAsia="Times New Roman" w:cs="Times New Roman"/>
          <w:szCs w:val="24"/>
        </w:rPr>
        <w:t>nie znajdzie też zastosowanie w </w:t>
      </w:r>
      <w:r w:rsidRPr="005D4AE4">
        <w:rPr>
          <w:rFonts w:eastAsia="Times New Roman" w:cs="Times New Roman"/>
          <w:szCs w:val="24"/>
        </w:rPr>
        <w:t>przypadku nieruchomości o nieuregulowanym st</w:t>
      </w:r>
      <w:r w:rsidR="00F534FE">
        <w:rPr>
          <w:rFonts w:eastAsia="Times New Roman" w:cs="Times New Roman"/>
          <w:szCs w:val="24"/>
        </w:rPr>
        <w:t>anie prawnym lub braku danych w </w:t>
      </w:r>
      <w:r w:rsidRPr="005D4AE4">
        <w:rPr>
          <w:rFonts w:eastAsia="Times New Roman" w:cs="Times New Roman"/>
          <w:szCs w:val="24"/>
        </w:rPr>
        <w:t>ewidencji gruntów i budynków pozwalających n</w:t>
      </w:r>
      <w:r w:rsidR="00F534FE">
        <w:rPr>
          <w:rFonts w:eastAsia="Times New Roman" w:cs="Times New Roman"/>
          <w:szCs w:val="24"/>
        </w:rPr>
        <w:t>a ustalenie danych osobowych, w </w:t>
      </w:r>
      <w:r w:rsidRPr="005D4AE4">
        <w:rPr>
          <w:rFonts w:eastAsia="Times New Roman" w:cs="Times New Roman"/>
          <w:szCs w:val="24"/>
        </w:rPr>
        <w:t xml:space="preserve">szczególności adresu zamieszkania właściciela lub użytkownika wieczystego </w:t>
      </w:r>
      <w:r w:rsidRPr="005D4AE4">
        <w:rPr>
          <w:rFonts w:eastAsia="Times New Roman" w:cs="Times New Roman"/>
          <w:szCs w:val="24"/>
        </w:rPr>
        <w:lastRenderedPageBreak/>
        <w:t>nieruchomości.</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Inwestycja CPK należy do tego rodzaju inwestycji, która z uwagi na swój charakter będzie odnosić się do terytorialnie dużego obszaru, a także obejmować dużą liczbę stron uczestniczących w tym postępowaniu, równocześnie jest to inwestycja mając</w:t>
      </w:r>
      <w:r w:rsidR="00463CEA">
        <w:rPr>
          <w:rFonts w:eastAsia="Times New Roman" w:cs="Times New Roman"/>
          <w:szCs w:val="24"/>
        </w:rPr>
        <w:t>a</w:t>
      </w:r>
      <w:r w:rsidRPr="005D4AE4">
        <w:rPr>
          <w:rFonts w:eastAsia="Times New Roman" w:cs="Times New Roman"/>
          <w:szCs w:val="24"/>
        </w:rPr>
        <w:t xml:space="preserve"> szczególne znaczenie z punktu widzenia interesu publicznego. Stąd też</w:t>
      </w:r>
      <w:r>
        <w:rPr>
          <w:rFonts w:eastAsia="Times New Roman" w:cs="Times New Roman"/>
          <w:szCs w:val="24"/>
        </w:rPr>
        <w:t xml:space="preserve"> </w:t>
      </w:r>
      <w:r w:rsidRPr="005D4AE4">
        <w:rPr>
          <w:rFonts w:eastAsia="Times New Roman" w:cs="Times New Roman"/>
          <w:szCs w:val="24"/>
        </w:rPr>
        <w:t>przyjęto rozwiązanie, które wyłącza możliwość uchylenia całej decyzji w sytuacji gdy wadą dotknięta jest część decyzji. Nie ma przy tym prawnego znaczenia, czy wadliwa część decyzji dotyczy jednej nieruchomości lub działki, czy też wadliwa część decyzji dotyczy kilku nieruchomości lub działek. Istota tego rozwiązania sprowadza się do tego, aby w przypadku wadliwości części decyzji, tylko ta część decyzji była przedmiotem uchylenia.</w:t>
      </w:r>
      <w:r>
        <w:rPr>
          <w:rFonts w:eastAsia="Times New Roman" w:cs="Times New Roman"/>
          <w:szCs w:val="24"/>
        </w:rPr>
        <w:t xml:space="preserve">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Dokonano</w:t>
      </w:r>
      <w:r>
        <w:rPr>
          <w:rFonts w:eastAsia="Times New Roman" w:cs="Times New Roman"/>
          <w:szCs w:val="24"/>
        </w:rPr>
        <w:t xml:space="preserve"> </w:t>
      </w:r>
      <w:r w:rsidRPr="005D4AE4">
        <w:rPr>
          <w:rFonts w:eastAsia="Times New Roman" w:cs="Times New Roman"/>
          <w:szCs w:val="24"/>
        </w:rPr>
        <w:t>modyfikacji przepisu art. 155 Kodeksu postępowania administracyjnego, wskazując, że zgodę na zmianę decyzji wyraża wyłącznie inwestor.</w:t>
      </w:r>
    </w:p>
    <w:p w:rsidR="005D4AE4" w:rsidRPr="005D4AE4" w:rsidRDefault="005D4AE4" w:rsidP="005D4AE4">
      <w:pPr>
        <w:spacing w:before="120"/>
        <w:jc w:val="both"/>
        <w:rPr>
          <w:rFonts w:eastAsia="Times New Roman" w:cs="Times New Roman"/>
          <w:szCs w:val="24"/>
        </w:rPr>
      </w:pPr>
      <w:bookmarkStart w:id="11" w:name="_2s8eyo1" w:colFirst="0" w:colLast="0"/>
      <w:bookmarkEnd w:id="11"/>
      <w:r w:rsidRPr="005D4AE4">
        <w:rPr>
          <w:rFonts w:eastAsia="Times New Roman" w:cs="Times New Roman"/>
          <w:szCs w:val="24"/>
        </w:rPr>
        <w:t>Wyłącza możliwość wszczęcia na wniosek postępowania nadzwyczajnego, w wyniku którego minister może uchylić lub zmienić decyzję ostateczną jeżeli w inny sposób nie można usunąć stanu zagrażającego życiu lub zdrowiu ludzkiemu albo zapobiec poważnym szkodom dla gospodarki narodowej lub dla ważnych interesów Państwa.</w:t>
      </w:r>
    </w:p>
    <w:p w:rsidR="005D4AE4" w:rsidRPr="005D4AE4" w:rsidRDefault="005D4AE4" w:rsidP="005D4AE4">
      <w:pPr>
        <w:spacing w:before="120"/>
        <w:jc w:val="both"/>
        <w:rPr>
          <w:rFonts w:eastAsia="Times New Roman" w:cs="Times New Roman"/>
          <w:szCs w:val="24"/>
        </w:rPr>
      </w:pPr>
      <w:bookmarkStart w:id="12" w:name="_17dp8vu" w:colFirst="0" w:colLast="0"/>
      <w:bookmarkEnd w:id="12"/>
      <w:r w:rsidRPr="005D4AE4">
        <w:rPr>
          <w:rFonts w:eastAsia="Times New Roman" w:cs="Times New Roman"/>
          <w:szCs w:val="24"/>
        </w:rPr>
        <w:t>Ustawa przewiduje również możliwość przeniesi</w:t>
      </w:r>
      <w:r w:rsidR="00F534FE">
        <w:rPr>
          <w:rFonts w:eastAsia="Times New Roman" w:cs="Times New Roman"/>
          <w:szCs w:val="24"/>
        </w:rPr>
        <w:t>enia decyzji na inny podmiot. W </w:t>
      </w:r>
      <w:r w:rsidRPr="005D4AE4">
        <w:rPr>
          <w:rFonts w:eastAsia="Times New Roman" w:cs="Times New Roman"/>
          <w:szCs w:val="24"/>
        </w:rPr>
        <w:t>ustawie zawarto regulacje ograniczające stosowanie nadzwyczajnych środków zaskarżenia wobec decyzji. Ograniczeniu czasowemu podlega możliwość stwierd</w:t>
      </w:r>
      <w:r w:rsidR="00693922">
        <w:rPr>
          <w:rFonts w:eastAsia="Times New Roman" w:cs="Times New Roman"/>
          <w:szCs w:val="24"/>
        </w:rPr>
        <w:t>zenia nieważności decyzji</w:t>
      </w:r>
      <w:r w:rsidRPr="005D4AE4">
        <w:rPr>
          <w:rFonts w:eastAsia="Times New Roman" w:cs="Times New Roman"/>
          <w:szCs w:val="24"/>
        </w:rPr>
        <w:t>, a także możliwość uchylenia decyzji w postępowaniu wznowieniowym. Przewidziano, że nie można stwierdzić nieważności decyzji ani jej uchylić w postępowaniu wznowieniowym jeśli wniosek o wszczęcie postępowania nadzwyczajnego został złożony odpowiednio po upływie 1 roku i po upływie 6 miesięcy od dnia kiedy decyzja stała się ostateczna. Podkreślić trzeba, że kwestia upływu czasu i jego wpływ na decyzję czy to lokalizacyjną czy o pozwoleniu na budowę ma istotne znaczenia dla realizacji inwestycji. Przy czym na gruncie prawa administracyjnego przedawnienie o charakterze niweczącym musi być traktowane odmienni</w:t>
      </w:r>
      <w:r w:rsidR="00463CEA">
        <w:rPr>
          <w:rFonts w:eastAsia="Times New Roman" w:cs="Times New Roman"/>
          <w:szCs w:val="24"/>
        </w:rPr>
        <w:t>e</w:t>
      </w:r>
      <w:r w:rsidRPr="005D4AE4">
        <w:rPr>
          <w:rFonts w:eastAsia="Times New Roman" w:cs="Times New Roman"/>
          <w:szCs w:val="24"/>
        </w:rPr>
        <w:t xml:space="preserve"> niż instytucja przedawnienia w prawie cywilnym, czy też karnym. Szczególność ta polega na tym, że korzystanie przez inwestora z praw wynika co do zasady z aktu administracyjnego zatem inaczej niż w prawie cywilnym osoba, która korzysta z prawa, nie robi tego samowolnie, ale wykonuje uprawnienia </w:t>
      </w:r>
      <w:r w:rsidRPr="005D4AE4">
        <w:rPr>
          <w:rFonts w:eastAsia="Times New Roman" w:cs="Times New Roman"/>
          <w:szCs w:val="24"/>
        </w:rPr>
        <w:lastRenderedPageBreak/>
        <w:t>zagwarantowane jej przez organ władzy publicznej. Co więcej uprawnienia te mają na celu osiągnięcie wyższego dobra w postaci realizacji inwestycji mającej szczególne znaczenie społeczne. W sytuacji zatem, kiedy nabycie prawa do realizacji inwestycji</w:t>
      </w:r>
      <w:r>
        <w:rPr>
          <w:rFonts w:eastAsia="Times New Roman" w:cs="Times New Roman"/>
          <w:szCs w:val="24"/>
        </w:rPr>
        <w:t xml:space="preserve"> </w:t>
      </w:r>
      <w:r w:rsidRPr="005D4AE4">
        <w:rPr>
          <w:rFonts w:eastAsia="Times New Roman" w:cs="Times New Roman"/>
          <w:szCs w:val="24"/>
        </w:rPr>
        <w:t>nastąpiło w wyniku niezgodnego z prawem działania organu, nie powinno prowadzić do zniweczenia działań inwestycyjnych po ich rozpoczęciu. Na gruncie prawa administracyjnego stabilizacja stanów faktycznych, po określonym czasie leży bezwzględnie w interesie porządku publicznego (quieta non movere). Z zasady demokratycznego państwa prawnego wyrażonej w</w:t>
      </w:r>
      <w:r w:rsidR="00693922">
        <w:rPr>
          <w:rFonts w:eastAsia="Times New Roman" w:cs="Times New Roman"/>
          <w:szCs w:val="24"/>
        </w:rPr>
        <w:t xml:space="preserve"> art. 2 Konstytucji RP wynika z</w:t>
      </w:r>
      <w:r w:rsidR="00F534FE">
        <w:rPr>
          <w:rFonts w:eastAsia="Times New Roman" w:cs="Times New Roman"/>
          <w:szCs w:val="24"/>
        </w:rPr>
        <w:t xml:space="preserve"> </w:t>
      </w:r>
      <w:r w:rsidRPr="005D4AE4">
        <w:rPr>
          <w:rFonts w:eastAsia="Times New Roman" w:cs="Times New Roman"/>
          <w:szCs w:val="24"/>
        </w:rPr>
        <w:t>kolei zasada zaufania obywateli do państwa i stanowionego przez nie prawa oraz zasada bezpieczeństwa prawnego (por. wyrok Trybunału Konstytucyjnego z dnia 20 grudnia 1999 r. sygn. akt K 4/99; OTK ZU 7/1999). W wyroku Tryb</w:t>
      </w:r>
      <w:r w:rsidR="00F534FE">
        <w:rPr>
          <w:rFonts w:eastAsia="Times New Roman" w:cs="Times New Roman"/>
          <w:szCs w:val="24"/>
        </w:rPr>
        <w:t>unału Konstytucyjnego z </w:t>
      </w:r>
      <w:r w:rsidR="00693922">
        <w:rPr>
          <w:rFonts w:eastAsia="Times New Roman" w:cs="Times New Roman"/>
          <w:szCs w:val="24"/>
        </w:rPr>
        <w:t>dnia 19</w:t>
      </w:r>
      <w:r w:rsidR="00F534FE">
        <w:rPr>
          <w:rFonts w:eastAsia="Times New Roman" w:cs="Times New Roman"/>
          <w:szCs w:val="24"/>
        </w:rPr>
        <w:t xml:space="preserve"> </w:t>
      </w:r>
      <w:r w:rsidRPr="005D4AE4">
        <w:rPr>
          <w:rFonts w:eastAsia="Times New Roman" w:cs="Times New Roman"/>
          <w:szCs w:val="24"/>
        </w:rPr>
        <w:t>czerwca 2012 r. sygn. akt P 41/10 s</w:t>
      </w:r>
      <w:r w:rsidR="00F534FE">
        <w:rPr>
          <w:rFonts w:eastAsia="Times New Roman" w:cs="Times New Roman"/>
          <w:szCs w:val="24"/>
        </w:rPr>
        <w:t>twierdzono ponadto, że jednym z </w:t>
      </w:r>
      <w:r w:rsidRPr="005D4AE4">
        <w:rPr>
          <w:rFonts w:eastAsia="Times New Roman" w:cs="Times New Roman"/>
          <w:szCs w:val="24"/>
        </w:rPr>
        <w:t xml:space="preserve">przejawów bezpieczeństwa prawnego jest stabilizacja sytuacji prawnej, przekładająca się w efekcie na stabilizację sytuacji stosunków społecznych. Z art. 2 Konstytycji RP wynika tym samym obowiązek ustawodawcy ukształtowania regulacji prawnych, które będą sprzyjały wygaszaniu </w:t>
      </w:r>
      <w:r>
        <w:rPr>
          <w:rFonts w:eastAsia="Times New Roman" w:cs="Times New Roman"/>
          <w:szCs w:val="24"/>
        </w:rPr>
        <w:t>– wraz z upływem czasu –</w:t>
      </w:r>
      <w:r w:rsidRPr="005D4AE4">
        <w:rPr>
          <w:rFonts w:eastAsia="Times New Roman" w:cs="Times New Roman"/>
          <w:szCs w:val="24"/>
        </w:rPr>
        <w:t xml:space="preserve"> stanu niepewności. </w:t>
      </w:r>
    </w:p>
    <w:p w:rsidR="005D4AE4" w:rsidRPr="005D4AE4" w:rsidRDefault="005D4AE4" w:rsidP="005D4AE4">
      <w:pPr>
        <w:spacing w:before="120"/>
        <w:jc w:val="both"/>
        <w:rPr>
          <w:rFonts w:eastAsia="Times New Roman" w:cs="Times New Roman"/>
          <w:szCs w:val="24"/>
        </w:rPr>
      </w:pPr>
      <w:bookmarkStart w:id="13" w:name="_3rdcrjn" w:colFirst="0" w:colLast="0"/>
      <w:bookmarkEnd w:id="13"/>
      <w:r w:rsidRPr="005D4AE4">
        <w:rPr>
          <w:rFonts w:eastAsia="Times New Roman" w:cs="Times New Roman"/>
          <w:szCs w:val="24"/>
        </w:rPr>
        <w:t xml:space="preserve">W przypadku stwierdzenia wadliwości, o których mowa w art. 145 i </w:t>
      </w:r>
      <w:r w:rsidR="00052D8F">
        <w:rPr>
          <w:rFonts w:eastAsia="Times New Roman" w:cs="Times New Roman"/>
          <w:szCs w:val="24"/>
        </w:rPr>
        <w:t xml:space="preserve">art. </w:t>
      </w:r>
      <w:r w:rsidRPr="005D4AE4">
        <w:rPr>
          <w:rFonts w:eastAsia="Times New Roman" w:cs="Times New Roman"/>
          <w:szCs w:val="24"/>
        </w:rPr>
        <w:t>156 Kodeksu postępowania administracyjnego, po upływie wskazanego terminu, organ zobowiązany jest</w:t>
      </w:r>
      <w:r>
        <w:rPr>
          <w:rFonts w:eastAsia="Times New Roman" w:cs="Times New Roman"/>
          <w:szCs w:val="24"/>
        </w:rPr>
        <w:t xml:space="preserve"> </w:t>
      </w:r>
      <w:r w:rsidRPr="005D4AE4">
        <w:rPr>
          <w:rFonts w:eastAsia="Times New Roman" w:cs="Times New Roman"/>
          <w:szCs w:val="24"/>
        </w:rPr>
        <w:t xml:space="preserve">stwierdzić wydanie decyzji z naruszeniem prawa (art. 151 § 2 i </w:t>
      </w:r>
      <w:r w:rsidR="00052D8F">
        <w:rPr>
          <w:rFonts w:eastAsia="Times New Roman" w:cs="Times New Roman"/>
          <w:szCs w:val="24"/>
        </w:rPr>
        <w:t xml:space="preserve">art. </w:t>
      </w:r>
      <w:r w:rsidRPr="005D4AE4">
        <w:rPr>
          <w:rFonts w:eastAsia="Times New Roman" w:cs="Times New Roman"/>
          <w:szCs w:val="24"/>
        </w:rPr>
        <w:t>158 § 2 Kodeksu postępowania administracyjnego).</w:t>
      </w:r>
      <w:r>
        <w:rPr>
          <w:rFonts w:eastAsia="Times New Roman" w:cs="Times New Roman"/>
          <w:szCs w:val="24"/>
        </w:rPr>
        <w:t xml:space="preserve"> </w:t>
      </w:r>
      <w:r w:rsidRPr="005D4AE4">
        <w:rPr>
          <w:rFonts w:eastAsia="Times New Roman" w:cs="Times New Roman"/>
          <w:szCs w:val="24"/>
        </w:rPr>
        <w:t xml:space="preserve">Wydane rozstrzygnięcie otwiera drogę do żądania, na podstawie Kodeksu cywilnego naprawienia szkody wyrządzonej wydaniem decyzji dotkniętej bezprawnością. </w:t>
      </w:r>
    </w:p>
    <w:p w:rsidR="005D4AE4" w:rsidRPr="005D4AE4" w:rsidRDefault="005D4AE4" w:rsidP="005D4AE4">
      <w:pPr>
        <w:spacing w:before="120"/>
        <w:jc w:val="both"/>
        <w:rPr>
          <w:rFonts w:eastAsia="Times New Roman" w:cs="Times New Roman"/>
          <w:b/>
          <w:szCs w:val="24"/>
        </w:rPr>
      </w:pPr>
      <w:bookmarkStart w:id="14" w:name="_26in1rg" w:colFirst="0" w:colLast="0"/>
      <w:bookmarkEnd w:id="14"/>
      <w:r w:rsidRPr="005D4AE4">
        <w:rPr>
          <w:rFonts w:eastAsia="Times New Roman" w:cs="Times New Roman"/>
          <w:szCs w:val="24"/>
        </w:rPr>
        <w:t>W ustawie zawarte też zostały szczególne regulacj</w:t>
      </w:r>
      <w:r w:rsidR="00693922">
        <w:rPr>
          <w:rFonts w:eastAsia="Times New Roman" w:cs="Times New Roman"/>
          <w:szCs w:val="24"/>
        </w:rPr>
        <w:t>e z zakresu postępowania sądowo</w:t>
      </w:r>
      <w:r w:rsidR="00693922">
        <w:rPr>
          <w:rFonts w:eastAsia="Times New Roman" w:cs="Times New Roman"/>
          <w:szCs w:val="24"/>
        </w:rPr>
        <w:noBreakHyphen/>
      </w:r>
      <w:r w:rsidRPr="005D4AE4">
        <w:rPr>
          <w:rFonts w:eastAsia="Times New Roman" w:cs="Times New Roman"/>
          <w:szCs w:val="24"/>
        </w:rPr>
        <w:t>administracyjnego. Przewiduje się, że w przypadku uwzględnienia skargi na decyzję o pozwoleniu na budowę przez sąd administracyjny po upływie 1 roku od dnia w którym decyzja stała się ostateczna, a inwestor przystąpił do realizacji inwestycji, możliwe jest jedynie stwierdzenie, że decyzja narusza prawo. W takiej sytuacji pozostanie ona w obrocie prawnym, zaś strona poszkodowana jej wydaniem będzie uprawniona do żądania odszkodow</w:t>
      </w:r>
      <w:r w:rsidR="00463CEA">
        <w:rPr>
          <w:rFonts w:eastAsia="Times New Roman" w:cs="Times New Roman"/>
          <w:szCs w:val="24"/>
        </w:rPr>
        <w:t>ania. Przepis ogranicza kognicję</w:t>
      </w:r>
      <w:r w:rsidRPr="005D4AE4">
        <w:rPr>
          <w:rFonts w:eastAsia="Times New Roman" w:cs="Times New Roman"/>
          <w:szCs w:val="24"/>
        </w:rPr>
        <w:t xml:space="preserve"> sądu administracyjnego rozpoznającego skargę na ostateczną decyzję w zestawieniu z ogólną kognicją tegoż sądu, przyznaną mu w innych sprawach. Wprowadzenie przepisu szczególnego nie ozna</w:t>
      </w:r>
      <w:r w:rsidR="00693922">
        <w:rPr>
          <w:rFonts w:eastAsia="Times New Roman" w:cs="Times New Roman"/>
          <w:szCs w:val="24"/>
        </w:rPr>
        <w:t>cza naruszenia Konstytucji RP w</w:t>
      </w:r>
      <w:r w:rsidR="00F534FE">
        <w:rPr>
          <w:rFonts w:eastAsia="Times New Roman" w:cs="Times New Roman"/>
          <w:szCs w:val="24"/>
        </w:rPr>
        <w:t xml:space="preserve"> </w:t>
      </w:r>
      <w:r w:rsidRPr="005D4AE4">
        <w:rPr>
          <w:rFonts w:eastAsia="Times New Roman" w:cs="Times New Roman"/>
          <w:szCs w:val="24"/>
        </w:rPr>
        <w:t>zakresie prawa do sądu, zwłaszcza w sytuacji, gdy przepis ogólny (ar</w:t>
      </w:r>
      <w:r w:rsidR="00F534FE">
        <w:rPr>
          <w:rFonts w:eastAsia="Times New Roman" w:cs="Times New Roman"/>
          <w:szCs w:val="24"/>
        </w:rPr>
        <w:t xml:space="preserve">t. 145 § </w:t>
      </w:r>
      <w:r w:rsidR="00463CEA">
        <w:rPr>
          <w:rFonts w:eastAsia="Times New Roman" w:cs="Times New Roman"/>
          <w:szCs w:val="24"/>
        </w:rPr>
        <w:t xml:space="preserve">1 </w:t>
      </w:r>
      <w:r w:rsidR="00F534FE">
        <w:rPr>
          <w:rFonts w:eastAsia="Times New Roman" w:cs="Times New Roman"/>
          <w:szCs w:val="24"/>
        </w:rPr>
        <w:t xml:space="preserve">pkt 3 ustawy – Prawo </w:t>
      </w:r>
      <w:r w:rsidR="00F534FE">
        <w:rPr>
          <w:rFonts w:eastAsia="Times New Roman" w:cs="Times New Roman"/>
          <w:szCs w:val="24"/>
        </w:rPr>
        <w:lastRenderedPageBreak/>
        <w:t>o </w:t>
      </w:r>
      <w:r w:rsidRPr="005D4AE4">
        <w:rPr>
          <w:rFonts w:eastAsia="Times New Roman" w:cs="Times New Roman"/>
          <w:szCs w:val="24"/>
        </w:rPr>
        <w:t>postępowaniu przed sądami administracyjnymi) zapowiada możliwe ograniczenia kompetencji sądu. Zgodnie z utrwalonym orzecznictwem Trybunału Konstytucyjnego, na prawo do sądu w rozumieniu art. 45 ust. 1 Konstytucji RP składają się cztery elementy: 1) prawo dostępu do sądu, tj. prawo uruchomienia procedury przed sądem, 2) prawo do odpowiedniego ukształtowania procedury sądowej, zgodn</w:t>
      </w:r>
      <w:r w:rsidR="00693922">
        <w:rPr>
          <w:rFonts w:eastAsia="Times New Roman" w:cs="Times New Roman"/>
          <w:szCs w:val="24"/>
        </w:rPr>
        <w:t>ie z wymogami sprawiedliwości i</w:t>
      </w:r>
      <w:r w:rsidR="00F534FE">
        <w:rPr>
          <w:rFonts w:eastAsia="Times New Roman" w:cs="Times New Roman"/>
          <w:szCs w:val="24"/>
        </w:rPr>
        <w:t xml:space="preserve"> </w:t>
      </w:r>
      <w:r w:rsidRPr="005D4AE4">
        <w:rPr>
          <w:rFonts w:eastAsia="Times New Roman" w:cs="Times New Roman"/>
          <w:szCs w:val="24"/>
        </w:rPr>
        <w:t>jawności, 3) prawo do wyroku sądowego, tj. prawo do uzyskania wiążącego rozstrzygnięcia danej sprawy przez sąd, 4) prawo do odpowiedniego ukształtowania ustroju i pozycji organów rozpoz</w:t>
      </w:r>
      <w:r w:rsidR="00F534FE">
        <w:rPr>
          <w:rFonts w:eastAsia="Times New Roman" w:cs="Times New Roman"/>
          <w:szCs w:val="24"/>
        </w:rPr>
        <w:t>nających sprawy (wyrok z dnia 9 </w:t>
      </w:r>
      <w:r w:rsidRPr="005D4AE4">
        <w:rPr>
          <w:rFonts w:eastAsia="Times New Roman" w:cs="Times New Roman"/>
          <w:szCs w:val="24"/>
        </w:rPr>
        <w:t>czerwca 19</w:t>
      </w:r>
      <w:r w:rsidR="00693922">
        <w:rPr>
          <w:rFonts w:eastAsia="Times New Roman" w:cs="Times New Roman"/>
          <w:szCs w:val="24"/>
        </w:rPr>
        <w:t>98 r., sygn. K 28/97, OTK ZU nr</w:t>
      </w:r>
      <w:r w:rsidR="00F534FE">
        <w:rPr>
          <w:rFonts w:eastAsia="Times New Roman" w:cs="Times New Roman"/>
          <w:szCs w:val="24"/>
        </w:rPr>
        <w:t xml:space="preserve"> </w:t>
      </w:r>
      <w:r w:rsidRPr="005D4AE4">
        <w:rPr>
          <w:rFonts w:eastAsia="Times New Roman" w:cs="Times New Roman"/>
          <w:szCs w:val="24"/>
        </w:rPr>
        <w:t>4</w:t>
      </w:r>
      <w:r w:rsidR="00F534FE">
        <w:rPr>
          <w:rFonts w:eastAsia="Times New Roman" w:cs="Times New Roman"/>
          <w:szCs w:val="24"/>
        </w:rPr>
        <w:t>/1998, poz. 50, wyrok z dnia 24 </w:t>
      </w:r>
      <w:r w:rsidRPr="005D4AE4">
        <w:rPr>
          <w:rFonts w:eastAsia="Times New Roman" w:cs="Times New Roman"/>
          <w:szCs w:val="24"/>
        </w:rPr>
        <w:t>października 20</w:t>
      </w:r>
      <w:r w:rsidR="00693922">
        <w:rPr>
          <w:rFonts w:eastAsia="Times New Roman" w:cs="Times New Roman"/>
          <w:szCs w:val="24"/>
        </w:rPr>
        <w:t>07 r., sygn. SK 7/06, OTK ZU nr</w:t>
      </w:r>
      <w:r w:rsidR="00F534FE">
        <w:rPr>
          <w:rFonts w:eastAsia="Times New Roman" w:cs="Times New Roman"/>
          <w:szCs w:val="24"/>
        </w:rPr>
        <w:t xml:space="preserve"> </w:t>
      </w:r>
      <w:r w:rsidRPr="005D4AE4">
        <w:rPr>
          <w:rFonts w:eastAsia="Times New Roman" w:cs="Times New Roman"/>
          <w:szCs w:val="24"/>
        </w:rPr>
        <w:t>9/A/2007, poz. 108). Jedyne wymaganie co do charakteru orzeczeń, jakie wyprowadza się z art. 45 ust. 1 Konstytucji RP, dotyczy mocy wiążącej rozstrzygnięcia, które jest rozumiane także jako wymaganie możliwości udzielenia przez sąd skutecznej ochrony prawom strony; prawo do wyroku oznacza nie tylko formalną możliwość uzyskania wyroku, ale możliwość uzyskania wyroku rozstrzygającego meritum sprawy. Stwierdzenie przez sąd, że decyzja narusza prawo, jest oczywiście orzeczeniem, którego wydanie wymaga wcześniejszego rozpoznania wszystkich okoliczności sprawy. Przepis ustawy nie wyłącza więc wydania orzeczenia co do meritum, lecz ogranicza sankcje, jakie sąd może stosować, gdy stwierdzi kwalifikowane naruszenie prawa. Pozostawiona jest tylko jedna, która nie powoduje usunięcia z obiegu prawnego wadliwej decyzji. Oznacza to, że sąd nie może wydać orzeczenia, które otwierałoby drogę do przywrócenia stanu sprzed wydania badanej decyzji (w tym też własności nieruchomości). Niemniej jednak w tym przypadku uwzględnienie skargi przez sąd administracyjny otwiera drogę do żądania, na podstawie Kodeksu cywilnego naprawienia szkody wyrządzonej wydaniem decyzji dotkniętej bezprawnością.</w:t>
      </w:r>
    </w:p>
    <w:p w:rsidR="005D4AE4" w:rsidRPr="005D4AE4" w:rsidRDefault="005D4AE4" w:rsidP="005D4AE4">
      <w:pPr>
        <w:spacing w:before="120"/>
        <w:jc w:val="both"/>
        <w:rPr>
          <w:rFonts w:eastAsia="Times New Roman" w:cs="Times New Roman"/>
          <w:b/>
          <w:szCs w:val="24"/>
        </w:rPr>
      </w:pPr>
      <w:bookmarkStart w:id="15" w:name="_lnxbz9" w:colFirst="0" w:colLast="0"/>
      <w:bookmarkEnd w:id="15"/>
      <w:r w:rsidRPr="005D4AE4">
        <w:rPr>
          <w:rFonts w:eastAsia="Times New Roman" w:cs="Times New Roman"/>
          <w:b/>
          <w:szCs w:val="24"/>
        </w:rPr>
        <w:t>Gospodarowanie nieruchomościami</w:t>
      </w:r>
    </w:p>
    <w:p w:rsidR="005D4AE4" w:rsidRPr="005D4AE4" w:rsidRDefault="005D4AE4" w:rsidP="005D4AE4">
      <w:pPr>
        <w:shd w:val="clear" w:color="auto" w:fill="FFFFFF" w:themeFill="background1"/>
        <w:spacing w:before="120"/>
        <w:jc w:val="both"/>
        <w:rPr>
          <w:rFonts w:eastAsia="Times New Roman" w:cs="Times New Roman"/>
          <w:color w:val="000000" w:themeColor="text1"/>
          <w:szCs w:val="24"/>
        </w:rPr>
      </w:pPr>
      <w:r w:rsidRPr="005D4AE4">
        <w:rPr>
          <w:rFonts w:eastAsia="Times New Roman" w:cs="Times New Roman"/>
          <w:szCs w:val="24"/>
        </w:rPr>
        <w:t>Rozdział 10 ustawy reguluje kwestie zasobu nieruchomości oraz gospodarowania tymi nieruchomościami. Celem regulacji jest określenie mechanizmów wyposażania Spółki Celowej w nieruchomości</w:t>
      </w:r>
      <w:r w:rsidR="00C9464A">
        <w:rPr>
          <w:rFonts w:eastAsia="Times New Roman" w:cs="Times New Roman"/>
          <w:szCs w:val="24"/>
        </w:rPr>
        <w:t>,</w:t>
      </w:r>
      <w:r w:rsidRPr="005D4AE4">
        <w:rPr>
          <w:rFonts w:eastAsia="Times New Roman" w:cs="Times New Roman"/>
          <w:szCs w:val="24"/>
        </w:rPr>
        <w:t xml:space="preserve"> a także wprowadzenie mecha</w:t>
      </w:r>
      <w:r w:rsidR="00693922">
        <w:rPr>
          <w:rFonts w:eastAsia="Times New Roman" w:cs="Times New Roman"/>
          <w:szCs w:val="24"/>
        </w:rPr>
        <w:t>nizmów umożliwiających płynne i</w:t>
      </w:r>
      <w:r w:rsidR="00F534FE">
        <w:rPr>
          <w:rFonts w:eastAsia="Times New Roman" w:cs="Times New Roman"/>
          <w:szCs w:val="24"/>
        </w:rPr>
        <w:t xml:space="preserve"> </w:t>
      </w:r>
      <w:r w:rsidRPr="005D4AE4">
        <w:rPr>
          <w:rFonts w:eastAsia="Times New Roman" w:cs="Times New Roman"/>
          <w:szCs w:val="24"/>
        </w:rPr>
        <w:t>sprawne pozyskiwanie nieruchomości pod lokalizację CPK oraz lokalizację Przedsięwzięć, także w drodze zamiany nieruchomości, oraz gospodarowania tymi nieruchomościami, jak również sposobów pozyskiwania danych o nieruchomościach Skarbu Państwa, co umożliwi wybór nieruchomości przeznaczonych do zami</w:t>
      </w:r>
      <w:r w:rsidR="00F534FE">
        <w:rPr>
          <w:rFonts w:eastAsia="Times New Roman" w:cs="Times New Roman"/>
          <w:szCs w:val="24"/>
        </w:rPr>
        <w:t xml:space="preserve">any </w:t>
      </w:r>
      <w:r w:rsidR="00F534FE">
        <w:rPr>
          <w:rFonts w:eastAsia="Times New Roman" w:cs="Times New Roman"/>
          <w:szCs w:val="24"/>
        </w:rPr>
        <w:lastRenderedPageBreak/>
        <w:t>i </w:t>
      </w:r>
      <w:r w:rsidRPr="005D4AE4">
        <w:rPr>
          <w:rFonts w:eastAsia="Times New Roman" w:cs="Times New Roman"/>
          <w:szCs w:val="24"/>
        </w:rPr>
        <w:t>nieruchomości, które mają zostać wniesione aportem do Spółki Celowej. Z uwagi na fakt, iż znaczna część nieruchomości, które będą się znajdowały w obszarze lokalizacji inwestycji będą najprawdopodobniej stanowiły nieruchomości wykorzystywane na cele rolnicze</w:t>
      </w:r>
      <w:r>
        <w:rPr>
          <w:rFonts w:eastAsia="Times New Roman" w:cs="Times New Roman"/>
          <w:szCs w:val="24"/>
        </w:rPr>
        <w:t xml:space="preserve"> –</w:t>
      </w:r>
      <w:r w:rsidRPr="005D4AE4">
        <w:rPr>
          <w:rFonts w:eastAsia="Times New Roman" w:cs="Times New Roman"/>
          <w:szCs w:val="24"/>
        </w:rPr>
        <w:t xml:space="preserve"> przeznaczenie nieruchomości gęsto zabudowanych będzie wzbudzało poważne konflikty społeczne i wiązało się </w:t>
      </w:r>
      <w:r w:rsidR="00F534FE">
        <w:rPr>
          <w:rFonts w:eastAsia="Times New Roman" w:cs="Times New Roman"/>
          <w:szCs w:val="24"/>
        </w:rPr>
        <w:t>z dużymi kosztami wywłaszczeń i </w:t>
      </w:r>
      <w:r w:rsidRPr="005D4AE4">
        <w:rPr>
          <w:rFonts w:eastAsia="Times New Roman" w:cs="Times New Roman"/>
          <w:szCs w:val="24"/>
        </w:rPr>
        <w:t>przesiedleń, zaś przeznaczenie nieruchomo</w:t>
      </w:r>
      <w:r w:rsidR="00F534FE">
        <w:rPr>
          <w:rFonts w:eastAsia="Times New Roman" w:cs="Times New Roman"/>
          <w:szCs w:val="24"/>
        </w:rPr>
        <w:t>ści zalesionych wiązałoby się z </w:t>
      </w:r>
      <w:r w:rsidRPr="005D4AE4">
        <w:rPr>
          <w:rFonts w:eastAsia="Times New Roman" w:cs="Times New Roman"/>
          <w:szCs w:val="24"/>
        </w:rPr>
        <w:t>koniecznością wycinki na znacznych obszarach, co mogłoby mieć negatywny wpływ na środowisko, a także wymagałoby przeprowadzenia czasochłonnych i długotrwałych bardzo szczegółowych analiz środowisk</w:t>
      </w:r>
      <w:r w:rsidR="00F534FE">
        <w:rPr>
          <w:rFonts w:eastAsia="Times New Roman" w:cs="Times New Roman"/>
          <w:szCs w:val="24"/>
        </w:rPr>
        <w:t>owych, część zadań związanych z </w:t>
      </w:r>
      <w:r w:rsidRPr="005D4AE4">
        <w:rPr>
          <w:rFonts w:eastAsia="Times New Roman" w:cs="Times New Roman"/>
          <w:szCs w:val="24"/>
        </w:rPr>
        <w:t>pozyskiwaniem nieruchomości będzie wiązała się ze współpracą Peł</w:t>
      </w:r>
      <w:r w:rsidR="00693922">
        <w:rPr>
          <w:rFonts w:eastAsia="Times New Roman" w:cs="Times New Roman"/>
          <w:szCs w:val="24"/>
        </w:rPr>
        <w:t xml:space="preserve">nomocnika oraz Spółki </w:t>
      </w:r>
      <w:r w:rsidR="00C9464A">
        <w:rPr>
          <w:rFonts w:eastAsia="Times New Roman" w:cs="Times New Roman"/>
          <w:szCs w:val="24"/>
        </w:rPr>
        <w:t>C</w:t>
      </w:r>
      <w:r w:rsidR="00693922">
        <w:rPr>
          <w:rFonts w:eastAsia="Times New Roman" w:cs="Times New Roman"/>
          <w:szCs w:val="24"/>
        </w:rPr>
        <w:t>elowej z</w:t>
      </w:r>
      <w:r w:rsidR="00F534FE">
        <w:rPr>
          <w:rFonts w:eastAsia="Times New Roman" w:cs="Times New Roman"/>
          <w:szCs w:val="24"/>
        </w:rPr>
        <w:t xml:space="preserve"> </w:t>
      </w:r>
      <w:r w:rsidRPr="005D4AE4">
        <w:rPr>
          <w:rFonts w:eastAsia="Times New Roman" w:cs="Times New Roman"/>
          <w:szCs w:val="24"/>
        </w:rPr>
        <w:t>Krajowym Ośrodkiem Wsparcia Rolnictwa oraz Lasami Państwowymi. Celem współpracy będzie również, oprócz stworzenia warunków do zamiany nieruchomości objętych planem rezerwacji o</w:t>
      </w:r>
      <w:r w:rsidR="00F534FE">
        <w:rPr>
          <w:rFonts w:eastAsia="Times New Roman" w:cs="Times New Roman"/>
          <w:szCs w:val="24"/>
        </w:rPr>
        <w:t>bszaru inwestycji, ich scaleń i </w:t>
      </w:r>
      <w:r w:rsidRPr="005D4AE4">
        <w:rPr>
          <w:rFonts w:eastAsia="Times New Roman" w:cs="Times New Roman"/>
          <w:szCs w:val="24"/>
        </w:rPr>
        <w:t>podziałów, oraz warunki do utrzymania prowadzenia produkcji rolnej przez właścicieli i dzierża</w:t>
      </w:r>
      <w:r w:rsidR="00693922">
        <w:rPr>
          <w:rFonts w:eastAsia="Times New Roman" w:cs="Times New Roman"/>
          <w:szCs w:val="24"/>
        </w:rPr>
        <w:t>wców nieruchomości położonych w</w:t>
      </w:r>
      <w:r w:rsidR="00F534FE">
        <w:rPr>
          <w:rFonts w:eastAsia="Times New Roman" w:cs="Times New Roman"/>
          <w:szCs w:val="24"/>
        </w:rPr>
        <w:t xml:space="preserve"> </w:t>
      </w:r>
      <w:r w:rsidRPr="005D4AE4">
        <w:rPr>
          <w:rFonts w:eastAsia="Times New Roman" w:cs="Times New Roman"/>
          <w:szCs w:val="24"/>
        </w:rPr>
        <w:t>granicac</w:t>
      </w:r>
      <w:r w:rsidR="00F534FE">
        <w:rPr>
          <w:rFonts w:eastAsia="Times New Roman" w:cs="Times New Roman"/>
          <w:szCs w:val="24"/>
        </w:rPr>
        <w:t>h tego obszaru. Jednocześnie, w </w:t>
      </w:r>
      <w:r w:rsidRPr="005D4AE4">
        <w:rPr>
          <w:rFonts w:eastAsia="Times New Roman" w:cs="Times New Roman"/>
          <w:szCs w:val="24"/>
        </w:rPr>
        <w:t>celu sprawnego późniejszego prowadzenia dzi</w:t>
      </w:r>
      <w:r w:rsidR="00F534FE">
        <w:rPr>
          <w:rFonts w:eastAsia="Times New Roman" w:cs="Times New Roman"/>
          <w:szCs w:val="24"/>
        </w:rPr>
        <w:t>ałań związanych z lokalizacją i </w:t>
      </w:r>
      <w:r w:rsidRPr="005D4AE4">
        <w:rPr>
          <w:rFonts w:eastAsia="Times New Roman" w:cs="Times New Roman"/>
          <w:szCs w:val="24"/>
        </w:rPr>
        <w:t>realizacją Inwestycji, wprowadzono swoiste zobowiązanie Spółki Celowej oraz Pełnomocnika do dążenia do tego, by wszystkie nieruchomości znajdujące się na obszarze objętym decyzją o ustaleniu lokalizacji inwestycji w zakresie CPK stały się własnością Spółki Celowej, w szczególności w wyniku ich nabycia przez Spółkę Celową lub zamiany.</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W przepisach wskazano zakres nieruchomości, które tworzą Zasób. Zgodnie z regulacją będą go stanowiły zarówno</w:t>
      </w:r>
      <w:r>
        <w:rPr>
          <w:rFonts w:eastAsia="Times New Roman" w:cs="Times New Roman"/>
          <w:szCs w:val="24"/>
        </w:rPr>
        <w:t xml:space="preserve"> </w:t>
      </w:r>
      <w:r w:rsidRPr="005D4AE4">
        <w:rPr>
          <w:rFonts w:eastAsia="Times New Roman" w:cs="Times New Roman"/>
          <w:szCs w:val="24"/>
        </w:rPr>
        <w:t>nieruchomości, które stały się własnością Skarbu Państwa wskutek decyzji lokalizacyjnej i których użytkownikiem wie</w:t>
      </w:r>
      <w:r w:rsidR="00693922">
        <w:rPr>
          <w:rFonts w:eastAsia="Times New Roman" w:cs="Times New Roman"/>
          <w:szCs w:val="24"/>
        </w:rPr>
        <w:t>czystym jest Spółka Celowa, tj.</w:t>
      </w:r>
      <w:r w:rsidR="00F534FE">
        <w:rPr>
          <w:rFonts w:eastAsia="Times New Roman" w:cs="Times New Roman"/>
          <w:szCs w:val="24"/>
        </w:rPr>
        <w:t xml:space="preserve"> </w:t>
      </w:r>
      <w:r w:rsidRPr="005D4AE4">
        <w:rPr>
          <w:rFonts w:eastAsia="Times New Roman" w:cs="Times New Roman"/>
          <w:szCs w:val="24"/>
        </w:rPr>
        <w:t>nieruchomości które w dniu, w którym decyzja lokalizacyjna stała się ostateczna mocą ustawy uległy wywłaszczeniu na rzecz Skarbu Państwa, jak również nieruchomości budynkowe i lokalowe, które znajdowały się na tych nieruchomościach w dniu, w którym decyzja lokalizacyjna stała się ostateczna. Ponadto Zasób będą tworzyły nieruchomości, które zostały nabyte przez Spółkę Celową, ze swoich środków i na swoją rzecz, w szczególności w</w:t>
      </w:r>
      <w:r w:rsidR="00F534FE">
        <w:rPr>
          <w:rFonts w:eastAsia="Times New Roman" w:cs="Times New Roman"/>
          <w:szCs w:val="24"/>
        </w:rPr>
        <w:t xml:space="preserve"> </w:t>
      </w:r>
      <w:r w:rsidRPr="005D4AE4">
        <w:rPr>
          <w:rFonts w:eastAsia="Times New Roman" w:cs="Times New Roman"/>
          <w:szCs w:val="24"/>
        </w:rPr>
        <w:t xml:space="preserve">wyniku skorzystania przez Spółkę z prawa pierwokupu, nieruchomości, które zostały wniesione jako aport do Spółki Celowej przez ministra właściwego do spraw budownictwa, planowania i zagospodarowania przestrzennego oraz mieszkalnictwa, a także nieruchomości, które są własnością Skarbu </w:t>
      </w:r>
      <w:r w:rsidRPr="005D4AE4">
        <w:rPr>
          <w:rFonts w:eastAsia="Times New Roman" w:cs="Times New Roman"/>
          <w:szCs w:val="24"/>
        </w:rPr>
        <w:lastRenderedPageBreak/>
        <w:t>Państwa i zostały przeniesione do Zasobu.</w:t>
      </w:r>
    </w:p>
    <w:p w:rsidR="005D4AE4" w:rsidRPr="00693922" w:rsidRDefault="005D4AE4" w:rsidP="00693922">
      <w:pPr>
        <w:spacing w:before="120"/>
        <w:jc w:val="both"/>
      </w:pPr>
      <w:r w:rsidRPr="00693922">
        <w:t>Nieruchomości wchodzące w skład Zasobu, w celu realizacji Programu, będą mogły być przedmiotem zamiany nieruchomości, także na nieruchomość budynkową lub lokalową oraz sprzedaży, jak również będą mogły być obciążane ograniczonymi prawami rzeczowymi. Swoboda działań Spółki Celowej w tym zakresie będzie jednak ograniczona – z jednej strony celami, dla których Spółka została powołana oraz kontrolą sprawowaną przez Radę Nadzorczą, z dru</w:t>
      </w:r>
      <w:r w:rsidR="00F534FE">
        <w:t>giej ustawową zasadą, zgodnie z </w:t>
      </w:r>
      <w:r w:rsidRPr="00693922">
        <w:t>którą gospodarowanie nieruchomościami Zasobu oraz dysponowanie środkami finansowymi Zasobu odbywa się zgodnie z zas</w:t>
      </w:r>
      <w:r w:rsidR="00F534FE">
        <w:t>adami prawidłowej gospodarki, z </w:t>
      </w:r>
      <w:r w:rsidRPr="00693922">
        <w:t>zachowaniem szczególnej dbałości i staranności o majątek Skarbu Państwa.</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Z uwagi na przewidywany, głównie rolniczy charakter n</w:t>
      </w:r>
      <w:r w:rsidR="00693922">
        <w:rPr>
          <w:rFonts w:eastAsia="Times New Roman" w:cs="Times New Roman"/>
          <w:szCs w:val="24"/>
        </w:rPr>
        <w:t>ieruchomości znajdujących się w</w:t>
      </w:r>
      <w:r w:rsidR="00F534FE">
        <w:rPr>
          <w:rFonts w:eastAsia="Times New Roman" w:cs="Times New Roman"/>
          <w:szCs w:val="24"/>
        </w:rPr>
        <w:t xml:space="preserve"> </w:t>
      </w:r>
      <w:r w:rsidRPr="005D4AE4">
        <w:rPr>
          <w:rFonts w:eastAsia="Times New Roman" w:cs="Times New Roman"/>
          <w:szCs w:val="24"/>
        </w:rPr>
        <w:t>Zasobie, Spółka Celowa będzie mogła swoje zadania związane z gospodarowaniem Zasobem zlecić za wynagrodzeniem, w drodze porozumienia,</w:t>
      </w:r>
      <w:r>
        <w:rPr>
          <w:rFonts w:eastAsia="Times New Roman" w:cs="Times New Roman"/>
          <w:szCs w:val="24"/>
        </w:rPr>
        <w:t xml:space="preserve"> </w:t>
      </w:r>
      <w:r w:rsidRPr="005D4AE4">
        <w:rPr>
          <w:rFonts w:eastAsia="Times New Roman" w:cs="Times New Roman"/>
          <w:szCs w:val="24"/>
        </w:rPr>
        <w:t>podmiotom, do zadań których na mocy przepisów odrębnych należy gospodarowanie lub zarządzanie nieruchomościami Skarbu Państwa, w szczególności staroście realizują</w:t>
      </w:r>
      <w:r w:rsidR="00693922">
        <w:rPr>
          <w:rFonts w:eastAsia="Times New Roman" w:cs="Times New Roman"/>
          <w:szCs w:val="24"/>
        </w:rPr>
        <w:t>cemu zadania rządowe związane z</w:t>
      </w:r>
      <w:r w:rsidR="00F534FE">
        <w:rPr>
          <w:rFonts w:eastAsia="Times New Roman" w:cs="Times New Roman"/>
          <w:szCs w:val="24"/>
        </w:rPr>
        <w:t xml:space="preserve"> </w:t>
      </w:r>
      <w:r w:rsidRPr="005D4AE4">
        <w:rPr>
          <w:rFonts w:eastAsia="Times New Roman" w:cs="Times New Roman"/>
          <w:szCs w:val="24"/>
        </w:rPr>
        <w:t>gospodarowaniem nieruchomościami Skarbu Państwa –</w:t>
      </w:r>
      <w:r w:rsidR="0091279C">
        <w:rPr>
          <w:rFonts w:eastAsia="Times New Roman" w:cs="Times New Roman"/>
          <w:szCs w:val="24"/>
        </w:rPr>
        <w:t xml:space="preserve"> </w:t>
      </w:r>
      <w:r w:rsidRPr="005D4AE4">
        <w:rPr>
          <w:rFonts w:eastAsia="Times New Roman" w:cs="Times New Roman"/>
          <w:szCs w:val="24"/>
        </w:rPr>
        <w:t xml:space="preserve">Krajowemu Ośrodkowi Wsparcia Rolnictwa </w:t>
      </w:r>
      <w:r>
        <w:rPr>
          <w:rFonts w:eastAsia="Times New Roman" w:cs="Times New Roman"/>
          <w:szCs w:val="24"/>
        </w:rPr>
        <w:t>–</w:t>
      </w:r>
      <w:r w:rsidRPr="005D4AE4">
        <w:rPr>
          <w:rFonts w:eastAsia="Times New Roman" w:cs="Times New Roman"/>
          <w:szCs w:val="24"/>
        </w:rPr>
        <w:t xml:space="preserve"> w odniesieniu do nieruchomości rolnych oraz Państwowemu Gospodarstwu Leśnemu Lasy Państwowe – w odniesieniu do nieruchomości leśnych.</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 xml:space="preserve">Zakres zadań oraz wynagrodzenie będzie każdorazowo określane w porozumieniu, które dla skuteczności zawarcia będzie wymagało zgody Pełnomocnika. </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W projektowanych przepisach określono sposób sporządzania wykazów nieruchomości oraz przenoszenia tych nieruchomości do Zasobu.</w:t>
      </w:r>
      <w:r w:rsidR="00F534FE">
        <w:rPr>
          <w:rFonts w:eastAsia="Times New Roman" w:cs="Times New Roman"/>
          <w:szCs w:val="24"/>
        </w:rPr>
        <w:t xml:space="preserve"> Podkreślenia wymaga fakt, iż w </w:t>
      </w:r>
      <w:r w:rsidRPr="005D4AE4">
        <w:rPr>
          <w:rFonts w:eastAsia="Times New Roman" w:cs="Times New Roman"/>
          <w:szCs w:val="24"/>
        </w:rPr>
        <w:t>przypadku wskazania przez podmiot dotychczas gospodarujący nieruchomością Skarbu Państwa, iż jest ona niezbędna do wy</w:t>
      </w:r>
      <w:r w:rsidR="00F534FE">
        <w:rPr>
          <w:rFonts w:eastAsia="Times New Roman" w:cs="Times New Roman"/>
          <w:szCs w:val="24"/>
        </w:rPr>
        <w:t>konywania przez niego zadań, i </w:t>
      </w:r>
      <w:r w:rsidRPr="005D4AE4">
        <w:rPr>
          <w:rFonts w:eastAsia="Times New Roman" w:cs="Times New Roman"/>
          <w:szCs w:val="24"/>
        </w:rPr>
        <w:t xml:space="preserve">jednoczesnego uznania iż konieczne jest włączenie tej nieruchomości do Zasobu, spory w tej sprawie będzie rozstrzygał Prezes Rady Ministrów jako organ uprawniony do określenia priorytetyzacji działań w zakresie realizacji polityk. Z uwagi na ekonomikę procesów oraz założenia programu odnośnie miejsca lokalizacji CPK, wykazy nieruchomości dotyczą nieruchomości położonych jedynie na terenach określonych w rozporządzeniu wydawanym przez Ministra Rolnictwa i Rozwoju Wsi (jako podmiotowi najsilniej zaangażowanemu </w:t>
      </w:r>
      <w:r w:rsidR="00693922">
        <w:rPr>
          <w:rFonts w:eastAsia="Times New Roman" w:cs="Times New Roman"/>
          <w:szCs w:val="24"/>
        </w:rPr>
        <w:t xml:space="preserve">w realizację zadań związanych </w:t>
      </w:r>
      <w:r w:rsidR="00693922">
        <w:rPr>
          <w:rFonts w:eastAsia="Times New Roman" w:cs="Times New Roman"/>
          <w:szCs w:val="24"/>
        </w:rPr>
        <w:lastRenderedPageBreak/>
        <w:t>z</w:t>
      </w:r>
      <w:r w:rsidR="00F534FE">
        <w:rPr>
          <w:rFonts w:eastAsia="Times New Roman" w:cs="Times New Roman"/>
          <w:szCs w:val="24"/>
        </w:rPr>
        <w:t> </w:t>
      </w:r>
      <w:r w:rsidRPr="005D4AE4">
        <w:rPr>
          <w:rFonts w:eastAsia="Times New Roman" w:cs="Times New Roman"/>
          <w:szCs w:val="24"/>
        </w:rPr>
        <w:t xml:space="preserve">utrzymaniem potencjału kraju i poszczególnych regionów w zakresie produkcji rolnej, ponadto mającemu pełne informacje o obszarach kraju, dla których, </w:t>
      </w:r>
      <w:r w:rsidR="00414FDE">
        <w:rPr>
          <w:rFonts w:eastAsia="Times New Roman" w:cs="Times New Roman"/>
          <w:szCs w:val="24"/>
        </w:rPr>
        <w:t>z</w:t>
      </w:r>
      <w:r w:rsidRPr="005D4AE4">
        <w:rPr>
          <w:rFonts w:eastAsia="Times New Roman" w:cs="Times New Roman"/>
          <w:szCs w:val="24"/>
        </w:rPr>
        <w:t xml:space="preserve"> uwagi na dużą liczbę nieruchomości rolnych znajdujących się w zasobach KOWR, zasadne jest sporządzanie wykazów, które będą przede wszystkim służyły pozyskaniu nieruchomości zamiennych). Dodatkowo, by nie obarczać starostów wykonujących zadania z zakresu administracji rządowej, prezydentów miast na prawach powiatu wykonujących zadania z zakresu administracji rządowej, Dyrektora Generalnego Krajowego Ośrodka Wsparcia Rolnictwa, Prezesa Agencji Mienia Wojskowego, nadleśniczych oraz Prezesa Krajowego Zasobu Nieruchomości nadmiernymi zadaniami, rozwiąza</w:t>
      </w:r>
      <w:r w:rsidR="00693922">
        <w:rPr>
          <w:rFonts w:eastAsia="Times New Roman" w:cs="Times New Roman"/>
          <w:szCs w:val="24"/>
        </w:rPr>
        <w:t>nia w zakresie wykazów oparto o</w:t>
      </w:r>
      <w:r w:rsidR="00F534FE">
        <w:rPr>
          <w:rFonts w:eastAsia="Times New Roman" w:cs="Times New Roman"/>
          <w:szCs w:val="24"/>
        </w:rPr>
        <w:t xml:space="preserve"> </w:t>
      </w:r>
      <w:r w:rsidRPr="005D4AE4">
        <w:rPr>
          <w:rFonts w:eastAsia="Times New Roman" w:cs="Times New Roman"/>
          <w:szCs w:val="24"/>
        </w:rPr>
        <w:t>rozwiązania zawarte w ustawie o Krajowym Zasobie Nieruchomości, co umożliwi wykorzystywanie już uprzednio sporządzonych wykazów. Wykazy nieruchomości będą spo</w:t>
      </w:r>
      <w:r w:rsidR="00F534FE">
        <w:rPr>
          <w:rFonts w:eastAsia="Times New Roman" w:cs="Times New Roman"/>
          <w:szCs w:val="24"/>
        </w:rPr>
        <w:t>rządzały także gminy wskazane w </w:t>
      </w:r>
      <w:r w:rsidRPr="005D4AE4">
        <w:rPr>
          <w:rFonts w:eastAsia="Times New Roman" w:cs="Times New Roman"/>
          <w:szCs w:val="24"/>
        </w:rPr>
        <w:t>rozporządzeniu, o którym mowa w art. 28, a także powiaty i województwa na terenie których są położone te gminy, przy czym pierwszy wykaz nieruchomości będzie sporządzany w terminie miesiąca od</w:t>
      </w:r>
      <w:r w:rsidR="00693922">
        <w:rPr>
          <w:rFonts w:eastAsia="Times New Roman" w:cs="Times New Roman"/>
          <w:szCs w:val="24"/>
        </w:rPr>
        <w:t xml:space="preserve"> dnia wejścia w życie ustawy, i</w:t>
      </w:r>
      <w:r w:rsidR="00F534FE">
        <w:rPr>
          <w:rFonts w:eastAsia="Times New Roman" w:cs="Times New Roman"/>
          <w:szCs w:val="24"/>
        </w:rPr>
        <w:t> </w:t>
      </w:r>
      <w:r w:rsidRPr="005D4AE4">
        <w:rPr>
          <w:rFonts w:eastAsia="Times New Roman" w:cs="Times New Roman"/>
          <w:szCs w:val="24"/>
        </w:rPr>
        <w:t>najprawdopodobniej, z uwagi na brak wydania w takim terminie rozporządzenia, nie będzie obejmował gmin, zaś kolejne wykazy nieruchomości będą przekazywane raz na pół roku (aktualizacja).</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W przypadku gdyby zaistniała konieczność pozyskania informacji o nieruchomościach położonych poza obszarami wymienionymi w rozporząd</w:t>
      </w:r>
      <w:r w:rsidR="00F534FE">
        <w:rPr>
          <w:rFonts w:eastAsia="Times New Roman" w:cs="Times New Roman"/>
          <w:szCs w:val="24"/>
        </w:rPr>
        <w:t>zeniu Ministra Rolnictwa i </w:t>
      </w:r>
      <w:r w:rsidRPr="005D4AE4">
        <w:rPr>
          <w:rFonts w:eastAsia="Times New Roman" w:cs="Times New Roman"/>
          <w:szCs w:val="24"/>
        </w:rPr>
        <w:t xml:space="preserve">Rozwoju Wsi lub nieruchomościach o innym charakterze niż rolniczy lub mieszkaniowy, np. gdyby właściciel nieruchomości preferował do zamiany nieruchomość o charakterze produkcyjnym, przemysłowym, zalesioną, zarówno Spółka Celowa, jak i Pełnomocnik, są uprawnieni do bezpłatnego uzyskania takich informacji na podstawie początkowych przepisów ustawy. </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Nieruchomości znajdujące się w wykazie będą mogły być przedmiotem zamiany dokonywanej w celu pozyskania nieruchomości niezbędnej do realizacji Programu, przeniesione do Zasobu Spółki Celowej, jako nieruchomości Skarbu Państwa, którym gospodaruje Spółka Celowa, w celu dokonania zamiany dokonywanej w celu pozyskania nieruchomości niezbędnej do realizacji Programu, jak również wniesione jako wkład niepieniężny (aport) do Spółki Celowej</w:t>
      </w:r>
      <w:r>
        <w:rPr>
          <w:rFonts w:eastAsia="Times New Roman" w:cs="Times New Roman"/>
          <w:szCs w:val="24"/>
        </w:rPr>
        <w:t xml:space="preserve"> </w:t>
      </w:r>
      <w:r w:rsidRPr="005D4AE4">
        <w:rPr>
          <w:rFonts w:eastAsia="Times New Roman" w:cs="Times New Roman"/>
          <w:szCs w:val="24"/>
        </w:rPr>
        <w:t>nieruchomości będą</w:t>
      </w:r>
      <w:r w:rsidR="00693922">
        <w:rPr>
          <w:rFonts w:eastAsia="Times New Roman" w:cs="Times New Roman"/>
          <w:szCs w:val="24"/>
        </w:rPr>
        <w:t>ce własnością Skarbu Państwa. W</w:t>
      </w:r>
      <w:r w:rsidR="00F534FE">
        <w:rPr>
          <w:rFonts w:eastAsia="Times New Roman" w:cs="Times New Roman"/>
          <w:szCs w:val="24"/>
        </w:rPr>
        <w:t xml:space="preserve"> </w:t>
      </w:r>
      <w:r w:rsidRPr="005D4AE4">
        <w:rPr>
          <w:rFonts w:eastAsia="Times New Roman" w:cs="Times New Roman"/>
          <w:szCs w:val="24"/>
        </w:rPr>
        <w:t>przypadku, gdyby zasadne było przeniesienie jedynie c</w:t>
      </w:r>
      <w:r w:rsidR="00693922">
        <w:rPr>
          <w:rFonts w:eastAsia="Times New Roman" w:cs="Times New Roman"/>
          <w:szCs w:val="24"/>
        </w:rPr>
        <w:t>zęści nieruchomości wskazanej w</w:t>
      </w:r>
      <w:r w:rsidR="00F534FE">
        <w:rPr>
          <w:rFonts w:eastAsia="Times New Roman" w:cs="Times New Roman"/>
          <w:szCs w:val="24"/>
        </w:rPr>
        <w:t xml:space="preserve"> </w:t>
      </w:r>
      <w:r w:rsidRPr="005D4AE4">
        <w:rPr>
          <w:rFonts w:eastAsia="Times New Roman" w:cs="Times New Roman"/>
          <w:szCs w:val="24"/>
        </w:rPr>
        <w:t>wykazie będzie możliwe dokonanie jej podziału i założ</w:t>
      </w:r>
      <w:r w:rsidR="00693922">
        <w:rPr>
          <w:rFonts w:eastAsia="Times New Roman" w:cs="Times New Roman"/>
          <w:szCs w:val="24"/>
        </w:rPr>
        <w:t xml:space="preserve">enie </w:t>
      </w:r>
      <w:r w:rsidR="00693922">
        <w:rPr>
          <w:rFonts w:eastAsia="Times New Roman" w:cs="Times New Roman"/>
          <w:szCs w:val="24"/>
        </w:rPr>
        <w:lastRenderedPageBreak/>
        <w:t>nowej księgi wieczystej, a</w:t>
      </w:r>
      <w:r w:rsidR="00F534FE">
        <w:rPr>
          <w:rFonts w:eastAsia="Times New Roman" w:cs="Times New Roman"/>
          <w:szCs w:val="24"/>
        </w:rPr>
        <w:t xml:space="preserve"> </w:t>
      </w:r>
      <w:r w:rsidRPr="005D4AE4">
        <w:rPr>
          <w:rFonts w:eastAsia="Times New Roman" w:cs="Times New Roman"/>
          <w:szCs w:val="24"/>
        </w:rPr>
        <w:t xml:space="preserve">koszty podziałów lub scalenia nieruchomości przekazywanych do Zasobu ponosi Spółka Celowa. </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Z wnioskiem o przekazanie nieruchomości do Zasobu, jako nieruchomości Skarbu Państwa, którym gospodaruje Spółka Celowa, będzie występowała Spółka Celowa, za pośrednictwem Pełnomocnika, zaś sam wniosek, z uwagi na ochronę interesu publicznego i zasobów Skarbu Państwa, nie będzie mógł z zasady obejmować nieruchomości, co do których w wykazie zawarto informacje o zgłoszonych roszczeniach wobec nier</w:t>
      </w:r>
      <w:r w:rsidR="00693922">
        <w:rPr>
          <w:rFonts w:eastAsia="Times New Roman" w:cs="Times New Roman"/>
          <w:szCs w:val="24"/>
        </w:rPr>
        <w:t>uchomości lub jej części oraz o</w:t>
      </w:r>
      <w:r w:rsidR="00F534FE">
        <w:rPr>
          <w:rFonts w:eastAsia="Times New Roman" w:cs="Times New Roman"/>
          <w:szCs w:val="24"/>
        </w:rPr>
        <w:t xml:space="preserve"> </w:t>
      </w:r>
      <w:r w:rsidRPr="005D4AE4">
        <w:rPr>
          <w:rFonts w:eastAsia="Times New Roman" w:cs="Times New Roman"/>
          <w:szCs w:val="24"/>
        </w:rPr>
        <w:t>toczących się postępowaniach administracyjnych i sądowych dotyczących ustalenia własności nieruchomości lub użytkowania wieczyst</w:t>
      </w:r>
      <w:r w:rsidR="00693922">
        <w:rPr>
          <w:rFonts w:eastAsia="Times New Roman" w:cs="Times New Roman"/>
          <w:szCs w:val="24"/>
        </w:rPr>
        <w:t>ego lub o tym, że korzystanie z</w:t>
      </w:r>
      <w:r w:rsidR="00F534FE">
        <w:rPr>
          <w:rFonts w:eastAsia="Times New Roman" w:cs="Times New Roman"/>
          <w:szCs w:val="24"/>
        </w:rPr>
        <w:t xml:space="preserve"> nieruchomości wiąże się z </w:t>
      </w:r>
      <w:r w:rsidRPr="005D4AE4">
        <w:rPr>
          <w:rFonts w:eastAsia="Times New Roman" w:cs="Times New Roman"/>
          <w:szCs w:val="24"/>
        </w:rPr>
        <w:t>korzystaniem z pomocy finansowej pochodzącej ze środków finansowych Unii Europejskiej. W tym ostatnim przypadku będzie jednak możliwe objęcie wnioskiem tego typu nieruchomości, o ile przejęcie jej jest nie</w:t>
      </w:r>
      <w:r w:rsidR="00693922">
        <w:rPr>
          <w:rFonts w:eastAsia="Times New Roman" w:cs="Times New Roman"/>
          <w:szCs w:val="24"/>
        </w:rPr>
        <w:t>zbędne do realizacji Programu i</w:t>
      </w:r>
      <w:r w:rsidR="00F534FE">
        <w:rPr>
          <w:rFonts w:eastAsia="Times New Roman" w:cs="Times New Roman"/>
          <w:szCs w:val="24"/>
        </w:rPr>
        <w:t> </w:t>
      </w:r>
      <w:r w:rsidRPr="005D4AE4">
        <w:rPr>
          <w:rFonts w:eastAsia="Times New Roman" w:cs="Times New Roman"/>
          <w:szCs w:val="24"/>
        </w:rPr>
        <w:t xml:space="preserve">zgodne z zasadami prawidłowej gospodarki. </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 xml:space="preserve">W tym miejscu podkreślić należy, iż Spółka Celowa w sytuacji gdy skutkiem wygaszenia lub wypowiedzenia umów będzie konieczność wypłaty odszkodowania, zapłaty kary umownej lub konieczność zwrotu przyznanych środków, w tym środków pochodzących z Unii Europejskiej, przez stronę umowy, niebędącą reprezentantem Skarbu Państwa, to Spółka Celowa będzie dokonywała stronie tej umowy zwrotu wypłaconych środków finansowych. Celem regulacji jest zminimalizowanie ryzyka wystąpienia sytuacji, gdy wskutek nabycia nieruchomości do Zasobu nastąpi wypowiedzenie umów, a jedynymi podmiotami odpowiedzialnymi finansowo za skutki tego wypowiedzenia okażą się być strony umowy </w:t>
      </w:r>
      <w:r>
        <w:rPr>
          <w:rFonts w:eastAsia="Times New Roman" w:cs="Times New Roman"/>
          <w:szCs w:val="24"/>
        </w:rPr>
        <w:t>–</w:t>
      </w:r>
      <w:r w:rsidRPr="005D4AE4">
        <w:rPr>
          <w:rFonts w:eastAsia="Times New Roman" w:cs="Times New Roman"/>
          <w:szCs w:val="24"/>
        </w:rPr>
        <w:t xml:space="preserve"> stąd rozwiązanie polegające na przejęciu odpowiedzialności i dokonanie zwrotu przez Spółkę Celową poniesionych określonych kosztów przez stronę umowy w sytuacji gdy koszty te powstały jako skutek przekazania nieruchomości do Zasobu. Rozwiązanie to zabezpiecza interes strony umowy, która bez swojej winy a w celu realizacji Inwestycji, została pozbawiona władztwa nad nieruchomością czy też prawa do niej. Podkreślić należy, iż Spółka Celowa będzie przekazywała środki finansowe podmiotowi, który dokonał zapłaty kary umownej, w wysokości tej kary, czy też d</w:t>
      </w:r>
      <w:r>
        <w:rPr>
          <w:rFonts w:eastAsia="Times New Roman" w:cs="Times New Roman"/>
          <w:szCs w:val="24"/>
        </w:rPr>
        <w:t>okonał zwrotu środków unijnych –</w:t>
      </w:r>
      <w:r w:rsidR="00693922">
        <w:rPr>
          <w:rFonts w:eastAsia="Times New Roman" w:cs="Times New Roman"/>
          <w:szCs w:val="24"/>
        </w:rPr>
        <w:t xml:space="preserve"> w</w:t>
      </w:r>
      <w:r w:rsidR="00F534FE">
        <w:rPr>
          <w:rFonts w:eastAsia="Times New Roman" w:cs="Times New Roman"/>
          <w:szCs w:val="24"/>
        </w:rPr>
        <w:t> </w:t>
      </w:r>
      <w:r w:rsidRPr="005D4AE4">
        <w:rPr>
          <w:rFonts w:eastAsia="Times New Roman" w:cs="Times New Roman"/>
          <w:szCs w:val="24"/>
        </w:rPr>
        <w:t>wysokości tego zwrotu. Dokonanie zwrotu nie będzie miało wpływu na przepływy finansowe środków unijnych, jest to bowiem uregulowanie swoistego regresu jaki będzie miał podmiot-strona umowy do Spółki Celowej.</w:t>
      </w:r>
    </w:p>
    <w:p w:rsidR="005D4AE4" w:rsidRPr="005D4AE4" w:rsidRDefault="005D4AE4" w:rsidP="007F5FA8">
      <w:pPr>
        <w:shd w:val="clear" w:color="auto" w:fill="FFFFFF" w:themeFill="background1"/>
        <w:spacing w:before="320"/>
        <w:jc w:val="both"/>
        <w:rPr>
          <w:rFonts w:eastAsia="Times New Roman" w:cs="Times New Roman"/>
          <w:color w:val="000000" w:themeColor="text1"/>
          <w:szCs w:val="24"/>
        </w:rPr>
      </w:pPr>
      <w:r w:rsidRPr="005D4AE4">
        <w:rPr>
          <w:rFonts w:eastAsia="Times New Roman" w:cs="Times New Roman"/>
          <w:szCs w:val="24"/>
        </w:rPr>
        <w:lastRenderedPageBreak/>
        <w:t>Jednym z istotniejszych przepisów dotyczących Zasobu, który jest jednocześnie regulacją wpisującą się w obowiązujący system prawny, w szc</w:t>
      </w:r>
      <w:r w:rsidR="00693922">
        <w:rPr>
          <w:rFonts w:eastAsia="Times New Roman" w:cs="Times New Roman"/>
          <w:szCs w:val="24"/>
        </w:rPr>
        <w:t>zególności w regulacje ustawy o</w:t>
      </w:r>
      <w:r w:rsidR="00F534FE">
        <w:rPr>
          <w:rFonts w:eastAsia="Times New Roman" w:cs="Times New Roman"/>
          <w:szCs w:val="24"/>
        </w:rPr>
        <w:t xml:space="preserve"> </w:t>
      </w:r>
      <w:r w:rsidRPr="005D4AE4">
        <w:rPr>
          <w:rFonts w:eastAsia="Times New Roman" w:cs="Times New Roman"/>
          <w:szCs w:val="24"/>
        </w:rPr>
        <w:t>gospodarce nieruchomościami, jest rozwiązanie, na mocy którego minister właściwy do spraw budownictwa, planowania i zagospodarowania przestrzennego oraz mieszkalnictwa, działając na wniosek Pełnomocnika, będzie wyposażał Spół</w:t>
      </w:r>
      <w:r w:rsidR="00693922">
        <w:rPr>
          <w:rFonts w:eastAsia="Times New Roman" w:cs="Times New Roman"/>
          <w:szCs w:val="24"/>
        </w:rPr>
        <w:t>kę Celową w nieruchomości – tj.</w:t>
      </w:r>
      <w:r w:rsidR="00F534FE">
        <w:rPr>
          <w:rFonts w:eastAsia="Times New Roman" w:cs="Times New Roman"/>
          <w:szCs w:val="24"/>
        </w:rPr>
        <w:t xml:space="preserve"> </w:t>
      </w:r>
      <w:r w:rsidRPr="005D4AE4">
        <w:rPr>
          <w:rFonts w:eastAsia="Times New Roman" w:cs="Times New Roman"/>
          <w:szCs w:val="24"/>
        </w:rPr>
        <w:t>wnosił jako wkład niepieniężny (aport) do Spółki Celowej</w:t>
      </w:r>
      <w:r>
        <w:rPr>
          <w:rFonts w:eastAsia="Times New Roman" w:cs="Times New Roman"/>
          <w:szCs w:val="24"/>
        </w:rPr>
        <w:t xml:space="preserve"> </w:t>
      </w:r>
      <w:r w:rsidRPr="005D4AE4">
        <w:rPr>
          <w:rFonts w:eastAsia="Times New Roman" w:cs="Times New Roman"/>
          <w:szCs w:val="24"/>
        </w:rPr>
        <w:t>nieruchomości będące własnością Skarbu Państwa. W tym miejscu należy także zauważyć, że o ile nieruchomości znajdujące się w wykazach będą mogły być wniesione aportem do Spółki Celowej przez ministra właściwego do spraw budownictwa, planowania i zagospodarowania przestr</w:t>
      </w:r>
      <w:r w:rsidR="00F534FE">
        <w:rPr>
          <w:rFonts w:eastAsia="Times New Roman" w:cs="Times New Roman"/>
          <w:szCs w:val="24"/>
        </w:rPr>
        <w:t>zennego oraz mieszkalnictwa (na </w:t>
      </w:r>
      <w:r w:rsidRPr="005D4AE4">
        <w:rPr>
          <w:rFonts w:eastAsia="Times New Roman" w:cs="Times New Roman"/>
          <w:szCs w:val="24"/>
        </w:rPr>
        <w:t>wniosek Pełnomocnika i wskazane przez niego nieruchomości), to nieruchomości Skarbu Państwa znajdujące się w obszarze decyzji o lokalizacji CPK, które były własnością Skarbu Państwa przed wydaniem decyzji, będą obligatoryjnie wnoszone aportem do Spółki Celowej. Ułatwi to realizację ustawowego zobowiąz</w:t>
      </w:r>
      <w:r w:rsidR="00693922">
        <w:rPr>
          <w:rFonts w:eastAsia="Times New Roman" w:cs="Times New Roman"/>
          <w:szCs w:val="24"/>
        </w:rPr>
        <w:t>ania Spółki Celowej i</w:t>
      </w:r>
      <w:r w:rsidR="00F534FE">
        <w:rPr>
          <w:rFonts w:eastAsia="Times New Roman" w:cs="Times New Roman"/>
          <w:szCs w:val="24"/>
        </w:rPr>
        <w:t xml:space="preserve"> </w:t>
      </w:r>
      <w:r w:rsidRPr="005D4AE4">
        <w:rPr>
          <w:rFonts w:eastAsia="Times New Roman" w:cs="Times New Roman"/>
          <w:szCs w:val="24"/>
        </w:rPr>
        <w:t>Pełnomocnika do dążenia do tego, by wszystkie nieruchomości znajdujące się na obszarze objętym decyzją o ustaleniu lokalizacji inwestycji w zakresie CPK stały się własnością Spółki Celowej, a więc by cały obszar objęty decyzją o lokalizacji CPK miał jednolitą strukturę własności.</w:t>
      </w:r>
    </w:p>
    <w:p w:rsidR="005D4AE4" w:rsidRPr="005D4AE4" w:rsidRDefault="005D4AE4" w:rsidP="007F5FA8">
      <w:pPr>
        <w:shd w:val="clear" w:color="auto" w:fill="FFFFFF" w:themeFill="background1"/>
        <w:spacing w:before="300"/>
        <w:jc w:val="both"/>
        <w:rPr>
          <w:rFonts w:eastAsia="Times New Roman" w:cs="Times New Roman"/>
          <w:szCs w:val="24"/>
        </w:rPr>
      </w:pPr>
      <w:r w:rsidRPr="005D4AE4">
        <w:rPr>
          <w:rFonts w:eastAsia="Times New Roman" w:cs="Times New Roman"/>
          <w:szCs w:val="24"/>
        </w:rPr>
        <w:t>Zakłada się, iż wartość nieruchomości wniesionych jako aport do Spółki Celowej jest co najmniej równa wartości nieruchomości objętych decyzją lokalizacyjną, które w dniu wejścia w życie rozporządzenia, o którym mowa w art. 28, nie stanowiły własności Skarbu Państwa. Niemniej jednak, z uwagi na sekwencję wydarzeń i podejmow</w:t>
      </w:r>
      <w:r w:rsidR="00693922">
        <w:rPr>
          <w:rFonts w:eastAsia="Times New Roman" w:cs="Times New Roman"/>
          <w:szCs w:val="24"/>
        </w:rPr>
        <w:t>ania rozstrzygnięć i związany z</w:t>
      </w:r>
      <w:r w:rsidR="00F534FE">
        <w:rPr>
          <w:rFonts w:eastAsia="Times New Roman" w:cs="Times New Roman"/>
          <w:szCs w:val="24"/>
        </w:rPr>
        <w:t xml:space="preserve"> </w:t>
      </w:r>
      <w:r w:rsidRPr="005D4AE4">
        <w:rPr>
          <w:rFonts w:eastAsia="Times New Roman" w:cs="Times New Roman"/>
          <w:szCs w:val="24"/>
        </w:rPr>
        <w:t>tym brak możliwości jednoznacznego określenia wielkości i wartości tych nieruchomości, w sytuacji gdy wart</w:t>
      </w:r>
      <w:r w:rsidR="00F534FE">
        <w:rPr>
          <w:rFonts w:eastAsia="Times New Roman" w:cs="Times New Roman"/>
          <w:szCs w:val="24"/>
        </w:rPr>
        <w:t>ość aportu okaże się niższa niż </w:t>
      </w:r>
      <w:r w:rsidRPr="005D4AE4">
        <w:rPr>
          <w:rFonts w:eastAsia="Times New Roman" w:cs="Times New Roman"/>
          <w:szCs w:val="24"/>
        </w:rPr>
        <w:t xml:space="preserve">wartość nieruchomości objętych decyzją </w:t>
      </w:r>
      <w:r w:rsidR="00052D8F">
        <w:rPr>
          <w:rFonts w:eastAsia="Times New Roman" w:cs="Times New Roman"/>
          <w:szCs w:val="24"/>
        </w:rPr>
        <w:t xml:space="preserve">o ustaleniu </w:t>
      </w:r>
      <w:r w:rsidRPr="005D4AE4">
        <w:rPr>
          <w:rFonts w:eastAsia="Times New Roman" w:cs="Times New Roman"/>
          <w:szCs w:val="24"/>
        </w:rPr>
        <w:t>lokalizac</w:t>
      </w:r>
      <w:r w:rsidR="00F534FE">
        <w:rPr>
          <w:rFonts w:eastAsia="Times New Roman" w:cs="Times New Roman"/>
          <w:szCs w:val="24"/>
        </w:rPr>
        <w:t>j</w:t>
      </w:r>
      <w:r w:rsidR="00052D8F">
        <w:rPr>
          <w:rFonts w:eastAsia="Times New Roman" w:cs="Times New Roman"/>
          <w:szCs w:val="24"/>
        </w:rPr>
        <w:t>i w zakresie CPK</w:t>
      </w:r>
      <w:r w:rsidR="00F534FE">
        <w:rPr>
          <w:rFonts w:eastAsia="Times New Roman" w:cs="Times New Roman"/>
          <w:szCs w:val="24"/>
        </w:rPr>
        <w:t xml:space="preserve">, spółka będzie </w:t>
      </w:r>
      <w:r w:rsidR="00052D8F">
        <w:rPr>
          <w:rFonts w:eastAsia="Times New Roman" w:cs="Times New Roman"/>
          <w:szCs w:val="24"/>
        </w:rPr>
        <w:t xml:space="preserve">mogła być </w:t>
      </w:r>
      <w:r w:rsidR="00F534FE">
        <w:rPr>
          <w:rFonts w:eastAsia="Times New Roman" w:cs="Times New Roman"/>
          <w:szCs w:val="24"/>
        </w:rPr>
        <w:t>doposażana w </w:t>
      </w:r>
      <w:r w:rsidRPr="005D4AE4">
        <w:rPr>
          <w:rFonts w:eastAsia="Times New Roman" w:cs="Times New Roman"/>
          <w:szCs w:val="24"/>
        </w:rPr>
        <w:t>kolejne nieruchomości Skarbu Państwa. W tym miejscu podkreślić należy kilka pozytywnych aspektów przyjętego rozwiązania – możliwość powierzenia gospodarowania nieruchomościami rolnymi KOWR, dzięki czemu będzie utrzymany ich rolniczy charakter, możliwość ustanawiania przez Spółkę Celową tych nieruchomości jako zabezpieczeń zaciąg</w:t>
      </w:r>
      <w:r w:rsidR="00F534FE">
        <w:rPr>
          <w:rFonts w:eastAsia="Times New Roman" w:cs="Times New Roman"/>
          <w:szCs w:val="24"/>
        </w:rPr>
        <w:t>anych kredytów czy pożyczek (co </w:t>
      </w:r>
      <w:r w:rsidRPr="005D4AE4">
        <w:rPr>
          <w:rFonts w:eastAsia="Times New Roman" w:cs="Times New Roman"/>
          <w:szCs w:val="24"/>
        </w:rPr>
        <w:t xml:space="preserve">może umożliwić lub ułatwić nabycie kolejnych nieruchomości, celem ich zamiany na nieruchomości położone w obszarze inwestycji), zwiększenie kapitału zakładowego Spółki Celowej bez obciążania kosztami tego zwiększenia Skarbu Państwa, jak również </w:t>
      </w:r>
      <w:r w:rsidRPr="005D4AE4">
        <w:rPr>
          <w:rFonts w:eastAsia="Times New Roman" w:cs="Times New Roman"/>
          <w:szCs w:val="24"/>
        </w:rPr>
        <w:lastRenderedPageBreak/>
        <w:t>realne zabezpieczenie możliwości wypłaty odszkodowań za nieruchomości wywłaszczone przez Spółkę Celową. W tym miejscu należy podkreślić, iż omawiane działania i rozwiązania związane z wnoszeniem aportem do Spółki Celowej stanowią swoiste wykonanie przepisu art. 51 ustawy o gospoda</w:t>
      </w:r>
      <w:r w:rsidR="00F534FE">
        <w:rPr>
          <w:rFonts w:eastAsia="Times New Roman" w:cs="Times New Roman"/>
          <w:szCs w:val="24"/>
        </w:rPr>
        <w:t>rce nieruchomościami, zgodnie z </w:t>
      </w:r>
      <w:r w:rsidRPr="005D4AE4">
        <w:rPr>
          <w:rFonts w:eastAsia="Times New Roman" w:cs="Times New Roman"/>
          <w:szCs w:val="24"/>
        </w:rPr>
        <w:t>którym Państwowa</w:t>
      </w:r>
      <w:r>
        <w:rPr>
          <w:rFonts w:eastAsia="Times New Roman" w:cs="Times New Roman"/>
          <w:szCs w:val="24"/>
        </w:rPr>
        <w:t xml:space="preserve"> </w:t>
      </w:r>
      <w:r w:rsidRPr="005D4AE4">
        <w:rPr>
          <w:rFonts w:eastAsia="Times New Roman" w:cs="Times New Roman"/>
          <w:szCs w:val="24"/>
        </w:rPr>
        <w:t>osoba</w:t>
      </w:r>
      <w:r>
        <w:rPr>
          <w:rFonts w:eastAsia="Times New Roman" w:cs="Times New Roman"/>
          <w:szCs w:val="24"/>
        </w:rPr>
        <w:t xml:space="preserve"> </w:t>
      </w:r>
      <w:r w:rsidRPr="005D4AE4">
        <w:rPr>
          <w:rFonts w:eastAsia="Times New Roman" w:cs="Times New Roman"/>
          <w:szCs w:val="24"/>
        </w:rPr>
        <w:t xml:space="preserve">prawna, z dniem </w:t>
      </w:r>
      <w:r w:rsidR="00BB4ACE">
        <w:rPr>
          <w:rFonts w:eastAsia="Times New Roman" w:cs="Times New Roman"/>
          <w:szCs w:val="24"/>
        </w:rPr>
        <w:t>jej</w:t>
      </w:r>
      <w:r w:rsidR="00F534FE">
        <w:rPr>
          <w:rFonts w:eastAsia="Times New Roman" w:cs="Times New Roman"/>
          <w:szCs w:val="24"/>
        </w:rPr>
        <w:t xml:space="preserve"> utworzenia, jest wyposażana w </w:t>
      </w:r>
      <w:r w:rsidRPr="005D4AE4">
        <w:rPr>
          <w:rFonts w:eastAsia="Times New Roman" w:cs="Times New Roman"/>
          <w:szCs w:val="24"/>
        </w:rPr>
        <w:t>nieruchomości niezbędne do</w:t>
      </w:r>
      <w:r>
        <w:rPr>
          <w:rFonts w:eastAsia="Times New Roman" w:cs="Times New Roman"/>
          <w:szCs w:val="24"/>
        </w:rPr>
        <w:t xml:space="preserve"> </w:t>
      </w:r>
      <w:r w:rsidRPr="005D4AE4">
        <w:rPr>
          <w:rFonts w:eastAsia="Times New Roman" w:cs="Times New Roman"/>
          <w:szCs w:val="24"/>
        </w:rPr>
        <w:t>jej</w:t>
      </w:r>
      <w:r>
        <w:rPr>
          <w:rFonts w:eastAsia="Times New Roman" w:cs="Times New Roman"/>
          <w:szCs w:val="24"/>
        </w:rPr>
        <w:t xml:space="preserve"> </w:t>
      </w:r>
      <w:r w:rsidRPr="005D4AE4">
        <w:rPr>
          <w:rFonts w:eastAsia="Times New Roman" w:cs="Times New Roman"/>
          <w:szCs w:val="24"/>
        </w:rPr>
        <w:t>działalności</w:t>
      </w:r>
      <w:r>
        <w:rPr>
          <w:rFonts w:eastAsia="Times New Roman" w:cs="Times New Roman"/>
          <w:szCs w:val="24"/>
        </w:rPr>
        <w:t xml:space="preserve"> </w:t>
      </w:r>
      <w:r w:rsidRPr="005D4AE4">
        <w:rPr>
          <w:rFonts w:eastAsia="Times New Roman" w:cs="Times New Roman"/>
          <w:szCs w:val="24"/>
        </w:rPr>
        <w:t>odpowiednio</w:t>
      </w:r>
      <w:r>
        <w:rPr>
          <w:rFonts w:eastAsia="Times New Roman" w:cs="Times New Roman"/>
          <w:szCs w:val="24"/>
        </w:rPr>
        <w:t xml:space="preserve"> </w:t>
      </w:r>
      <w:r w:rsidRPr="005D4AE4">
        <w:rPr>
          <w:rFonts w:eastAsia="Times New Roman" w:cs="Times New Roman"/>
          <w:szCs w:val="24"/>
        </w:rPr>
        <w:t>przez</w:t>
      </w:r>
      <w:r>
        <w:rPr>
          <w:rFonts w:eastAsia="Times New Roman" w:cs="Times New Roman"/>
          <w:szCs w:val="24"/>
        </w:rPr>
        <w:t xml:space="preserve"> </w:t>
      </w:r>
      <w:r w:rsidRPr="005D4AE4">
        <w:rPr>
          <w:rFonts w:eastAsia="Times New Roman" w:cs="Times New Roman"/>
          <w:szCs w:val="24"/>
        </w:rPr>
        <w:t>ministra</w:t>
      </w:r>
      <w:r>
        <w:rPr>
          <w:rFonts w:eastAsia="Times New Roman" w:cs="Times New Roman"/>
          <w:szCs w:val="24"/>
        </w:rPr>
        <w:t xml:space="preserve"> </w:t>
      </w:r>
      <w:r w:rsidRPr="005D4AE4">
        <w:rPr>
          <w:rFonts w:eastAsia="Times New Roman" w:cs="Times New Roman"/>
          <w:szCs w:val="24"/>
        </w:rPr>
        <w:t>właściwego</w:t>
      </w:r>
      <w:r>
        <w:rPr>
          <w:rFonts w:eastAsia="Times New Roman" w:cs="Times New Roman"/>
          <w:szCs w:val="24"/>
        </w:rPr>
        <w:t xml:space="preserve"> </w:t>
      </w:r>
      <w:r w:rsidRPr="005D4AE4">
        <w:rPr>
          <w:rFonts w:eastAsia="Times New Roman" w:cs="Times New Roman"/>
          <w:szCs w:val="24"/>
        </w:rPr>
        <w:t>do</w:t>
      </w:r>
      <w:r>
        <w:rPr>
          <w:rFonts w:eastAsia="Times New Roman" w:cs="Times New Roman"/>
          <w:szCs w:val="24"/>
        </w:rPr>
        <w:t xml:space="preserve"> </w:t>
      </w:r>
      <w:r w:rsidR="00693922">
        <w:rPr>
          <w:rFonts w:eastAsia="Times New Roman" w:cs="Times New Roman"/>
          <w:szCs w:val="24"/>
        </w:rPr>
        <w:t>spraw budownictwa, planowania i</w:t>
      </w:r>
      <w:r w:rsidR="00F534FE">
        <w:rPr>
          <w:rFonts w:eastAsia="Times New Roman" w:cs="Times New Roman"/>
          <w:szCs w:val="24"/>
        </w:rPr>
        <w:t xml:space="preserve"> </w:t>
      </w:r>
      <w:r w:rsidRPr="005D4AE4">
        <w:rPr>
          <w:rFonts w:eastAsia="Times New Roman" w:cs="Times New Roman"/>
          <w:szCs w:val="24"/>
        </w:rPr>
        <w:t>zagospodarowania przestrzennego oraz mieszkalnictwa, organ założycielski lub przez or</w:t>
      </w:r>
      <w:r w:rsidR="00F534FE">
        <w:rPr>
          <w:rFonts w:eastAsia="Times New Roman" w:cs="Times New Roman"/>
          <w:szCs w:val="24"/>
        </w:rPr>
        <w:t>gan nadzorujący, oraz zgodnie z </w:t>
      </w:r>
      <w:r w:rsidRPr="005D4AE4">
        <w:rPr>
          <w:rFonts w:eastAsia="Times New Roman" w:cs="Times New Roman"/>
          <w:szCs w:val="24"/>
        </w:rPr>
        <w:t xml:space="preserve">którym wyposażenie to polega na </w:t>
      </w:r>
      <w:r w:rsidR="00BB4ACE">
        <w:rPr>
          <w:rFonts w:eastAsia="Times New Roman" w:cs="Times New Roman"/>
          <w:szCs w:val="24"/>
        </w:rPr>
        <w:t xml:space="preserve">możliwości </w:t>
      </w:r>
      <w:r w:rsidRPr="005D4AE4">
        <w:rPr>
          <w:rFonts w:eastAsia="Times New Roman" w:cs="Times New Roman"/>
          <w:szCs w:val="24"/>
        </w:rPr>
        <w:t>przeniesieni</w:t>
      </w:r>
      <w:r w:rsidR="00BB4ACE">
        <w:rPr>
          <w:rFonts w:eastAsia="Times New Roman" w:cs="Times New Roman"/>
          <w:szCs w:val="24"/>
        </w:rPr>
        <w:t>a</w:t>
      </w:r>
      <w:r w:rsidRPr="005D4AE4">
        <w:rPr>
          <w:rFonts w:eastAsia="Times New Roman" w:cs="Times New Roman"/>
          <w:szCs w:val="24"/>
        </w:rPr>
        <w:t xml:space="preserve"> na rz</w:t>
      </w:r>
      <w:r w:rsidR="00984ED4">
        <w:rPr>
          <w:rFonts w:eastAsia="Times New Roman" w:cs="Times New Roman"/>
          <w:szCs w:val="24"/>
        </w:rPr>
        <w:t>ecz państwowej osoby prawnej m.</w:t>
      </w:r>
      <w:r w:rsidRPr="005D4AE4">
        <w:rPr>
          <w:rFonts w:eastAsia="Times New Roman" w:cs="Times New Roman"/>
          <w:szCs w:val="24"/>
        </w:rPr>
        <w:t>in. własności nieruchomości Skarbu Państwa albo oddaniu jej nieruchomości gruntowej w użytkowanie wieczyste, przy czym przeniesienie to następuje nieodpłatnie, jak również nie pobiera się pierwszej opłaty z tytułu użytkowania wieczystego.</w:t>
      </w:r>
    </w:p>
    <w:p w:rsidR="005D4AE4" w:rsidRPr="005D4AE4" w:rsidRDefault="005D4AE4" w:rsidP="007F5FA8">
      <w:pPr>
        <w:shd w:val="clear" w:color="auto" w:fill="FFFFFF" w:themeFill="background1"/>
        <w:spacing w:before="100"/>
        <w:jc w:val="both"/>
        <w:rPr>
          <w:rFonts w:eastAsia="Times New Roman" w:cs="Times New Roman"/>
          <w:szCs w:val="24"/>
        </w:rPr>
      </w:pPr>
      <w:r w:rsidRPr="005D4AE4">
        <w:rPr>
          <w:rFonts w:eastAsia="Times New Roman" w:cs="Times New Roman"/>
          <w:szCs w:val="24"/>
        </w:rPr>
        <w:t>Przekazanie nieruchomości, jako nieruchomości Skarbu Państwa, którym gospodaruje Spółka Celowa, do Zasobu będzie następowało protokołem zdawczo-odbiorczym sporządzonym według wzoru zamieszczonego na stronie podmiotowej Pełnomocnika.</w:t>
      </w:r>
      <w:r>
        <w:rPr>
          <w:rFonts w:eastAsia="Times New Roman" w:cs="Times New Roman"/>
          <w:szCs w:val="24"/>
        </w:rPr>
        <w:t xml:space="preserve"> </w:t>
      </w:r>
      <w:r w:rsidRPr="005D4AE4">
        <w:rPr>
          <w:rFonts w:eastAsia="Times New Roman" w:cs="Times New Roman"/>
          <w:szCs w:val="24"/>
        </w:rPr>
        <w:t>Przepis ten zawiera również szczegółowe regulacje o informacjach, które należy zamieścić w protokole. Z dniem podpisania</w:t>
      </w:r>
      <w:r w:rsidR="00F534FE">
        <w:rPr>
          <w:rFonts w:eastAsia="Times New Roman" w:cs="Times New Roman"/>
          <w:szCs w:val="24"/>
        </w:rPr>
        <w:t xml:space="preserve"> przez strony protokołu zdawczo</w:t>
      </w:r>
      <w:r w:rsidR="00BB4ACE">
        <w:rPr>
          <w:rFonts w:eastAsia="Times New Roman" w:cs="Times New Roman"/>
          <w:szCs w:val="24"/>
        </w:rPr>
        <w:t>-</w:t>
      </w:r>
      <w:r w:rsidRPr="005D4AE4">
        <w:rPr>
          <w:rFonts w:eastAsia="Times New Roman" w:cs="Times New Roman"/>
          <w:szCs w:val="24"/>
        </w:rPr>
        <w:t>odbiorczego Skarb Państwa powierza Spółce Celowej wykonywanie prawa własności i innych praw rzeczowych na jego rzecz w stosunku do nieruchomości wskazanej w tym protokole. Powierzona nieruchomość wchodzi w skład Zasobu. Do dnia podpisania przez Spółkę Celową oraz w</w:t>
      </w:r>
      <w:r w:rsidR="00693922">
        <w:rPr>
          <w:rFonts w:eastAsia="Times New Roman" w:cs="Times New Roman"/>
          <w:szCs w:val="24"/>
        </w:rPr>
        <w:t>łaściwy organ protokołu zdawczo</w:t>
      </w:r>
      <w:r w:rsidR="00BB4ACE">
        <w:rPr>
          <w:rFonts w:eastAsia="Times New Roman" w:cs="Times New Roman"/>
          <w:szCs w:val="24"/>
        </w:rPr>
        <w:t>-</w:t>
      </w:r>
      <w:r w:rsidRPr="005D4AE4">
        <w:rPr>
          <w:rFonts w:eastAsia="Times New Roman" w:cs="Times New Roman"/>
          <w:szCs w:val="24"/>
        </w:rPr>
        <w:t>odbiorczego, właściwy organ gospodaruje nieruchomością objętą wykazem nieruchomości na dotychczasowych zasadach. Protokół zdawczo-odbiorczy, stanowi podstawę wpisu w księdze wieczystej lub podstawę do założenia księgi wieczystej dla nieruchomości przekazywanej, jako nieruchomość Skarbu Państwa, którą gospodaruje Spółka Celowa, do Zasobu. Podkreślić należy, iż przeniesienie do Zasobu nieruchomości na mocy protokołu</w:t>
      </w:r>
      <w:r w:rsidR="00BB4ACE">
        <w:rPr>
          <w:rFonts w:eastAsia="Times New Roman" w:cs="Times New Roman"/>
          <w:szCs w:val="24"/>
        </w:rPr>
        <w:t xml:space="preserve"> </w:t>
      </w:r>
      <w:r w:rsidRPr="005D4AE4">
        <w:rPr>
          <w:rFonts w:eastAsia="Times New Roman" w:cs="Times New Roman"/>
          <w:szCs w:val="24"/>
        </w:rPr>
        <w:t>zdawczo</w:t>
      </w:r>
      <w:r w:rsidR="00BB4ACE">
        <w:rPr>
          <w:rFonts w:eastAsia="Times New Roman" w:cs="Times New Roman"/>
          <w:szCs w:val="24"/>
        </w:rPr>
        <w:t>-</w:t>
      </w:r>
      <w:r w:rsidRPr="005D4AE4">
        <w:rPr>
          <w:rFonts w:eastAsia="Times New Roman" w:cs="Times New Roman"/>
          <w:szCs w:val="24"/>
        </w:rPr>
        <w:t xml:space="preserve">odbiorczego dotyczy wyłącznie nieruchomości, których właścicielem pozostanie Skarb Państwa zaś Spółka Celowa będzie tylko nimi gospodarowała, np. do czasu dokonania zamiany nieruchomości. </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Spółka Celowa nabędzie z mocy prawa z dniem, w którym decyzja lokalizacyjna stała się ostateczna, prawo użytkowania wieczystego nier</w:t>
      </w:r>
      <w:r w:rsidR="00F534FE">
        <w:rPr>
          <w:rFonts w:eastAsia="Times New Roman" w:cs="Times New Roman"/>
          <w:szCs w:val="24"/>
        </w:rPr>
        <w:t>uchomości gruntowych nabytych z </w:t>
      </w:r>
      <w:r w:rsidRPr="005D4AE4">
        <w:rPr>
          <w:rFonts w:eastAsia="Times New Roman" w:cs="Times New Roman"/>
          <w:szCs w:val="24"/>
        </w:rPr>
        <w:t xml:space="preserve">mocy prawa przez Skarb Państwa lub stanowiących jego własność, oraz prawo </w:t>
      </w:r>
      <w:r w:rsidRPr="005D4AE4">
        <w:rPr>
          <w:rFonts w:eastAsia="Times New Roman" w:cs="Times New Roman"/>
          <w:szCs w:val="24"/>
        </w:rPr>
        <w:lastRenderedPageBreak/>
        <w:t>własności budynków, innych urządzeń i lokali znajdujących się na tych nieruchomościach. Projektowana regulacja jest analogiczna do rozwiązań obo</w:t>
      </w:r>
      <w:r w:rsidR="00693922">
        <w:rPr>
          <w:rFonts w:eastAsia="Times New Roman" w:cs="Times New Roman"/>
          <w:szCs w:val="24"/>
        </w:rPr>
        <w:t>wiązujących i funkcjonujących w</w:t>
      </w:r>
      <w:r w:rsidR="00F534FE">
        <w:rPr>
          <w:rFonts w:eastAsia="Times New Roman" w:cs="Times New Roman"/>
          <w:szCs w:val="24"/>
        </w:rPr>
        <w:t xml:space="preserve"> </w:t>
      </w:r>
      <w:r w:rsidRPr="005D4AE4">
        <w:rPr>
          <w:rFonts w:eastAsia="Times New Roman" w:cs="Times New Roman"/>
          <w:szCs w:val="24"/>
        </w:rPr>
        <w:t xml:space="preserve">systemie prawnym, w szczególności dotyczących kolei. </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Przepisy umożliwiają powiększenie Zasobu o nieruchomości od państwowych osób prawnych niebędących spółkami oraz od jst, PKP S.A. oraz Poczty Polskiej, przy czym na mocy art. 1</w:t>
      </w:r>
      <w:r w:rsidR="00BB4ACE">
        <w:rPr>
          <w:rFonts w:eastAsia="Times New Roman" w:cs="Times New Roman"/>
          <w:szCs w:val="24"/>
        </w:rPr>
        <w:t>08</w:t>
      </w:r>
      <w:r>
        <w:rPr>
          <w:rFonts w:eastAsia="Times New Roman" w:cs="Times New Roman"/>
          <w:szCs w:val="24"/>
        </w:rPr>
        <w:t xml:space="preserve"> </w:t>
      </w:r>
      <w:r w:rsidRPr="005D4AE4">
        <w:rPr>
          <w:rFonts w:eastAsia="Times New Roman" w:cs="Times New Roman"/>
          <w:szCs w:val="24"/>
        </w:rPr>
        <w:t>Pełnomocnik będzie mógł nieodpłatnie przejąć na rzecz Skarbu Państwa prawa do nieruchomości państwowej osoby prawnej, która nie jest spółką, za jej zgodą i po uzyskaniu opinii organu nadzoruj</w:t>
      </w:r>
      <w:r w:rsidR="00F534FE">
        <w:rPr>
          <w:rFonts w:eastAsia="Times New Roman" w:cs="Times New Roman"/>
          <w:szCs w:val="24"/>
        </w:rPr>
        <w:t>ącego państwową osobę prawną, i </w:t>
      </w:r>
      <w:r w:rsidRPr="005D4AE4">
        <w:rPr>
          <w:rFonts w:eastAsia="Times New Roman" w:cs="Times New Roman"/>
          <w:szCs w:val="24"/>
        </w:rPr>
        <w:t>następnie przekazać nieruchomość, jako nieruchomość Skarbu Państwa, którą gospodaruje Spółka Celowa,</w:t>
      </w:r>
      <w:r>
        <w:rPr>
          <w:rFonts w:eastAsia="Times New Roman" w:cs="Times New Roman"/>
          <w:szCs w:val="24"/>
        </w:rPr>
        <w:t xml:space="preserve"> </w:t>
      </w:r>
      <w:r w:rsidRPr="005D4AE4">
        <w:rPr>
          <w:rFonts w:eastAsia="Times New Roman" w:cs="Times New Roman"/>
          <w:szCs w:val="24"/>
        </w:rPr>
        <w:t>do Zasobu. Natomiast na mocy art. 11</w:t>
      </w:r>
      <w:r w:rsidR="00BB4ACE">
        <w:rPr>
          <w:rFonts w:eastAsia="Times New Roman" w:cs="Times New Roman"/>
          <w:szCs w:val="24"/>
        </w:rPr>
        <w:t>0</w:t>
      </w:r>
      <w:r>
        <w:rPr>
          <w:rFonts w:eastAsia="Times New Roman" w:cs="Times New Roman"/>
          <w:szCs w:val="24"/>
        </w:rPr>
        <w:t xml:space="preserve"> </w:t>
      </w:r>
      <w:r w:rsidRPr="005D4AE4">
        <w:rPr>
          <w:rFonts w:eastAsia="Times New Roman" w:cs="Times New Roman"/>
          <w:szCs w:val="24"/>
        </w:rPr>
        <w:t>jednostki samorządu terytorialnego, spółki Skarbu Państwa, a także państwowe osoby prawne bez względu na ich formę, w przypadku uznania, że nieruchomość nie jest niezbędna do realizacji ich zadań, będą mogły ją przekazać na rzecz Zasobu Spółki Celowej, na własność Skarbu Państwa, nieruchomości. Dodatkowo przepis ten wprowadza regulacje na mocy której PKP S</w:t>
      </w:r>
      <w:r w:rsidR="00414FDE">
        <w:rPr>
          <w:rFonts w:eastAsia="Times New Roman" w:cs="Times New Roman"/>
          <w:szCs w:val="24"/>
        </w:rPr>
        <w:t>.</w:t>
      </w:r>
      <w:r w:rsidRPr="005D4AE4">
        <w:rPr>
          <w:rFonts w:eastAsia="Times New Roman" w:cs="Times New Roman"/>
          <w:szCs w:val="24"/>
        </w:rPr>
        <w:t>A</w:t>
      </w:r>
      <w:r w:rsidR="00414FDE">
        <w:rPr>
          <w:rFonts w:eastAsia="Times New Roman" w:cs="Times New Roman"/>
          <w:szCs w:val="24"/>
        </w:rPr>
        <w:t>.</w:t>
      </w:r>
      <w:r w:rsidRPr="005D4AE4">
        <w:rPr>
          <w:rFonts w:eastAsia="Times New Roman" w:cs="Times New Roman"/>
          <w:szCs w:val="24"/>
        </w:rPr>
        <w:t xml:space="preserve"> i Poczta Polska będą mogły swoje nieruch</w:t>
      </w:r>
      <w:r w:rsidR="00F534FE">
        <w:rPr>
          <w:rFonts w:eastAsia="Times New Roman" w:cs="Times New Roman"/>
          <w:szCs w:val="24"/>
        </w:rPr>
        <w:t>omości zbywać w </w:t>
      </w:r>
      <w:r w:rsidRPr="005D4AE4">
        <w:rPr>
          <w:rFonts w:eastAsia="Times New Roman" w:cs="Times New Roman"/>
          <w:szCs w:val="24"/>
        </w:rPr>
        <w:t>trybie bezprzetargowym według ceny rynkowej na rzecz Spółki Celowej, jak również regulacje umożliwiające by nieruchomośc</w:t>
      </w:r>
      <w:r w:rsidR="00F534FE">
        <w:rPr>
          <w:rFonts w:eastAsia="Times New Roman" w:cs="Times New Roman"/>
          <w:szCs w:val="24"/>
        </w:rPr>
        <w:t>i te były przedmiotem zamiany z </w:t>
      </w:r>
      <w:r w:rsidRPr="005D4AE4">
        <w:rPr>
          <w:rFonts w:eastAsia="Times New Roman" w:cs="Times New Roman"/>
          <w:szCs w:val="24"/>
        </w:rPr>
        <w:t>nieruchomościami, w stosunku do których Spółka Celowa wykonuje prawo własności i inne prawa rzeczowe na rzecz Skarbu Państwa</w:t>
      </w:r>
      <w:r w:rsidR="00693922">
        <w:rPr>
          <w:rFonts w:eastAsia="Times New Roman" w:cs="Times New Roman"/>
          <w:szCs w:val="24"/>
        </w:rPr>
        <w:t>, a także przedmiotem zamiany z</w:t>
      </w:r>
      <w:r w:rsidR="00F534FE">
        <w:rPr>
          <w:rFonts w:eastAsia="Times New Roman" w:cs="Times New Roman"/>
          <w:szCs w:val="24"/>
        </w:rPr>
        <w:t> </w:t>
      </w:r>
      <w:r w:rsidRPr="005D4AE4">
        <w:rPr>
          <w:rFonts w:eastAsia="Times New Roman" w:cs="Times New Roman"/>
          <w:szCs w:val="24"/>
        </w:rPr>
        <w:t>nieruchomościami stanowiącymi własność Spółki Celowej.</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Z dniem przekazania nieruchomości do Zasobu wygasa trwały zarząd, Spółka Celowa wstępuje w ogół praw i obowiązków trwałego zarz</w:t>
      </w:r>
      <w:r w:rsidR="00693922">
        <w:rPr>
          <w:rFonts w:eastAsia="Times New Roman" w:cs="Times New Roman"/>
          <w:szCs w:val="24"/>
        </w:rPr>
        <w:t>ądcy i ponosi koszty związane z</w:t>
      </w:r>
      <w:r w:rsidR="00F534FE">
        <w:rPr>
          <w:rFonts w:eastAsia="Times New Roman" w:cs="Times New Roman"/>
          <w:szCs w:val="24"/>
        </w:rPr>
        <w:t> </w:t>
      </w:r>
      <w:r w:rsidRPr="005D4AE4">
        <w:rPr>
          <w:rFonts w:eastAsia="Times New Roman" w:cs="Times New Roman"/>
          <w:szCs w:val="24"/>
        </w:rPr>
        <w:t>gospodarowaniem nieruchomością, jak również może wypowiedzieć każdą umowę dotyczącą nieruchomości, w tym umowy najmu, dzierżaw</w:t>
      </w:r>
      <w:r w:rsidR="00F534FE">
        <w:rPr>
          <w:rFonts w:eastAsia="Times New Roman" w:cs="Times New Roman"/>
          <w:szCs w:val="24"/>
        </w:rPr>
        <w:t>y, użytkowania, z </w:t>
      </w:r>
      <w:r w:rsidR="00693922">
        <w:rPr>
          <w:rFonts w:eastAsia="Times New Roman" w:cs="Times New Roman"/>
          <w:szCs w:val="24"/>
        </w:rPr>
        <w:t>zachowaniem 3</w:t>
      </w:r>
      <w:r w:rsidR="00BB4ACE">
        <w:rPr>
          <w:rFonts w:eastAsia="Times New Roman" w:cs="Times New Roman"/>
          <w:szCs w:val="24"/>
        </w:rPr>
        <w:t>-</w:t>
      </w:r>
      <w:r w:rsidRPr="005D4AE4">
        <w:rPr>
          <w:rFonts w:eastAsia="Times New Roman" w:cs="Times New Roman"/>
          <w:szCs w:val="24"/>
        </w:rPr>
        <w:t>miesięcznego terminu wypowiedzenia, jeżeli wypowiedzenie umowy jest konieczne lub umożliwi wykorzystanie nieruchomości na cel realizacji Programu.</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W projektowanych przepisach określono za</w:t>
      </w:r>
      <w:r w:rsidR="00693922">
        <w:rPr>
          <w:rFonts w:eastAsia="Times New Roman" w:cs="Times New Roman"/>
          <w:szCs w:val="24"/>
        </w:rPr>
        <w:t>dania Spółki Celowej związane z</w:t>
      </w:r>
      <w:r w:rsidR="00F534FE">
        <w:rPr>
          <w:rFonts w:eastAsia="Times New Roman" w:cs="Times New Roman"/>
          <w:szCs w:val="24"/>
        </w:rPr>
        <w:t> </w:t>
      </w:r>
      <w:r w:rsidRPr="005D4AE4">
        <w:rPr>
          <w:rFonts w:eastAsia="Times New Roman" w:cs="Times New Roman"/>
          <w:szCs w:val="24"/>
        </w:rPr>
        <w:t xml:space="preserve">gospodarowaniem nieruchomościami wchodzącymi w skład Zasobu, do zadań tych będą należały zarówno czynności mające na celu realizację Programu, jak i czynności czysto techniczne, jak ewidencjonowanie. Istotnymi uprawnieniami Spółki, które pozwolą jej na sprawne zarządzanie nieruchomościami i procesem realizacji Programu </w:t>
      </w:r>
      <w:r w:rsidRPr="005D4AE4">
        <w:rPr>
          <w:rFonts w:eastAsia="Times New Roman" w:cs="Times New Roman"/>
          <w:szCs w:val="24"/>
        </w:rPr>
        <w:lastRenderedPageBreak/>
        <w:t>jest podejmowanie czynności w postępowaniu sądowym, w szczególności w sprawach dotyczących własności lub innych praw rzeczowych na nieruchomości, o zapł</w:t>
      </w:r>
      <w:r w:rsidR="00693922">
        <w:rPr>
          <w:rFonts w:eastAsia="Times New Roman" w:cs="Times New Roman"/>
          <w:szCs w:val="24"/>
        </w:rPr>
        <w:t>atę należności za korzystanie z</w:t>
      </w:r>
      <w:r w:rsidR="00F534FE">
        <w:rPr>
          <w:rFonts w:eastAsia="Times New Roman" w:cs="Times New Roman"/>
          <w:szCs w:val="24"/>
        </w:rPr>
        <w:t xml:space="preserve"> </w:t>
      </w:r>
      <w:r w:rsidRPr="005D4AE4">
        <w:rPr>
          <w:rFonts w:eastAsia="Times New Roman" w:cs="Times New Roman"/>
          <w:szCs w:val="24"/>
        </w:rPr>
        <w:t>nieruchomości, o roszczenia ze stosunku najmu, dzierżawy lub użyczenia, o stwierdzenie nabycia spadku, o stwierdzenie nabycia własności nieruchomości przez zasiedzenie, jak również s</w:t>
      </w:r>
      <w:r w:rsidR="00F534FE">
        <w:rPr>
          <w:rFonts w:eastAsia="Times New Roman" w:cs="Times New Roman"/>
          <w:szCs w:val="24"/>
        </w:rPr>
        <w:t>amodzielne składanie wniosków o </w:t>
      </w:r>
      <w:r w:rsidRPr="005D4AE4">
        <w:rPr>
          <w:rFonts w:eastAsia="Times New Roman" w:cs="Times New Roman"/>
          <w:szCs w:val="24"/>
        </w:rPr>
        <w:t>założenie księgi wieczystej dla nieruchomości Skarbu Państwa o</w:t>
      </w:r>
      <w:r w:rsidR="001E3D9F">
        <w:rPr>
          <w:rFonts w:eastAsia="Times New Roman" w:cs="Times New Roman"/>
          <w:szCs w:val="24"/>
        </w:rPr>
        <w:t>raz o wpis w księdze wieczystej</w:t>
      </w:r>
      <w:r w:rsidRPr="005D4AE4">
        <w:rPr>
          <w:rFonts w:eastAsia="Times New Roman" w:cs="Times New Roman"/>
          <w:szCs w:val="24"/>
        </w:rPr>
        <w:t>.</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 xml:space="preserve">W celu usprawnienia działań Spółki Celowej oraz wyposażenia jej w dodatkowe źródła dochodów, co ułatwi jej realizację celów istotnych publicznie, przewiduje się, że od wpływów osiąganych ze sprzedaży, opłat z tytułu trwałego zarządu, użytkowania, czynszu dzierżawnego i </w:t>
      </w:r>
      <w:r>
        <w:rPr>
          <w:rFonts w:eastAsia="Times New Roman" w:cs="Times New Roman"/>
          <w:szCs w:val="24"/>
        </w:rPr>
        <w:t>najmu –</w:t>
      </w:r>
      <w:r w:rsidRPr="005D4AE4">
        <w:rPr>
          <w:rFonts w:eastAsia="Times New Roman" w:cs="Times New Roman"/>
          <w:szCs w:val="24"/>
        </w:rPr>
        <w:t xml:space="preserve"> nieruchomości Skarbu Państwa pozostający</w:t>
      </w:r>
      <w:r w:rsidR="00F534FE">
        <w:rPr>
          <w:rFonts w:eastAsia="Times New Roman" w:cs="Times New Roman"/>
          <w:szCs w:val="24"/>
        </w:rPr>
        <w:t>ch w </w:t>
      </w:r>
      <w:r w:rsidRPr="005D4AE4">
        <w:rPr>
          <w:rFonts w:eastAsia="Times New Roman" w:cs="Times New Roman"/>
          <w:szCs w:val="24"/>
        </w:rPr>
        <w:t>Zasobie,</w:t>
      </w:r>
      <w:r>
        <w:rPr>
          <w:rFonts w:eastAsia="Times New Roman" w:cs="Times New Roman"/>
          <w:szCs w:val="24"/>
        </w:rPr>
        <w:t xml:space="preserve"> </w:t>
      </w:r>
      <w:r w:rsidRPr="005D4AE4">
        <w:rPr>
          <w:rFonts w:eastAsia="Times New Roman" w:cs="Times New Roman"/>
          <w:szCs w:val="24"/>
        </w:rPr>
        <w:t>a także od wpływów osiąganych z opłat z tytułu użytkowania wieczystego nieruchomości Skarbu Państwa oddanych w użytkowa</w:t>
      </w:r>
      <w:r w:rsidR="00F534FE">
        <w:rPr>
          <w:rFonts w:eastAsia="Times New Roman" w:cs="Times New Roman"/>
          <w:szCs w:val="24"/>
        </w:rPr>
        <w:t>nie wieczyste i pozostających w </w:t>
      </w:r>
      <w:r w:rsidRPr="005D4AE4">
        <w:rPr>
          <w:rFonts w:eastAsia="Times New Roman" w:cs="Times New Roman"/>
          <w:szCs w:val="24"/>
        </w:rPr>
        <w:t>Zasobie, oraz od odsetek za nieterminowe wnoszenie tych należności potrącane będzie 25% środków, które będą stanowiły dochód Spółki Celowej. Dochody te powinny</w:t>
      </w:r>
      <w:r w:rsidR="00693922">
        <w:rPr>
          <w:rFonts w:eastAsia="Times New Roman" w:cs="Times New Roman"/>
          <w:szCs w:val="24"/>
        </w:rPr>
        <w:t xml:space="preserve"> zrównoważyć fakt, iż zgodnie z</w:t>
      </w:r>
      <w:r w:rsidR="00F534FE">
        <w:rPr>
          <w:rFonts w:eastAsia="Times New Roman" w:cs="Times New Roman"/>
          <w:szCs w:val="24"/>
        </w:rPr>
        <w:t xml:space="preserve"> </w:t>
      </w:r>
      <w:r w:rsidRPr="005D4AE4">
        <w:rPr>
          <w:rFonts w:eastAsia="Times New Roman" w:cs="Times New Roman"/>
          <w:szCs w:val="24"/>
        </w:rPr>
        <w:t>projektowanymi rozwiązaniami, koszty gospodarowania</w:t>
      </w:r>
      <w:r w:rsidR="00693922">
        <w:rPr>
          <w:rFonts w:eastAsia="Times New Roman" w:cs="Times New Roman"/>
          <w:szCs w:val="24"/>
        </w:rPr>
        <w:t xml:space="preserve"> nieruchomościami wchodzącymi w</w:t>
      </w:r>
      <w:r w:rsidR="00F534FE">
        <w:rPr>
          <w:rFonts w:eastAsia="Times New Roman" w:cs="Times New Roman"/>
          <w:szCs w:val="24"/>
        </w:rPr>
        <w:t xml:space="preserve"> </w:t>
      </w:r>
      <w:r w:rsidRPr="005D4AE4">
        <w:rPr>
          <w:rFonts w:eastAsia="Times New Roman" w:cs="Times New Roman"/>
          <w:szCs w:val="24"/>
        </w:rPr>
        <w:t>skład Zasobu, w tym koszty administrowania, wycen nieruchomości, spłaty obciążających nieruchomość zobowiązań, realizacji uzbrojenia technicznego, będzie ponosiła Spółka Celowa. Dodatkowo, to Spółka Celowa, w przypadku wypowiedzenia będzie obowiązana wypłacić wynagrodzenie za poniesione szkody rzeczywiste, zaś w sytuacji gdy skutkiem wygaszenia lub dotyczących nieruchomości, w tym umowy najmu, dzierżawy, użytkowania lub wypowiedzenia umów będzie konieczność wypłaty odszkodowania, zapłaty kary umownej lub konieczność zwrotu przyznanych środkó</w:t>
      </w:r>
      <w:r w:rsidR="00693922">
        <w:rPr>
          <w:rFonts w:eastAsia="Times New Roman" w:cs="Times New Roman"/>
          <w:szCs w:val="24"/>
        </w:rPr>
        <w:t>w, w tym środków pochodzących z</w:t>
      </w:r>
      <w:r w:rsidR="00F534FE">
        <w:rPr>
          <w:rFonts w:eastAsia="Times New Roman" w:cs="Times New Roman"/>
          <w:szCs w:val="24"/>
        </w:rPr>
        <w:t xml:space="preserve"> </w:t>
      </w:r>
      <w:r w:rsidRPr="005D4AE4">
        <w:rPr>
          <w:rFonts w:eastAsia="Times New Roman" w:cs="Times New Roman"/>
          <w:szCs w:val="24"/>
        </w:rPr>
        <w:t xml:space="preserve">Unii Europejskiej, przez stronę umowy, niebędącą reprezentantem Skarbu Państwa, to Spółka Celowa będzie dokonywała stronie tej umowy zwrotu wypłaconych środków finansowych. Nie bez znaczenia jest także fakt, iż to ze środków własnych Spółki Celowej będą pokrywane odszkodowania związane z wywłaszczaniem na rzecz Skarbu Państwa nieruchomości niezbędnych do realizacji Programu, a przede wszystkim nieruchomości położonych w obszarze objętym decyzją lokalizacyjną. </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Ponieważ Spółka Celowa będzie płaciła z własnych ś</w:t>
      </w:r>
      <w:r w:rsidR="00693922">
        <w:rPr>
          <w:rFonts w:eastAsia="Times New Roman" w:cs="Times New Roman"/>
          <w:szCs w:val="24"/>
        </w:rPr>
        <w:t>rodków odszkodowania związane z</w:t>
      </w:r>
      <w:r w:rsidR="00F534FE">
        <w:rPr>
          <w:rFonts w:eastAsia="Times New Roman" w:cs="Times New Roman"/>
          <w:szCs w:val="24"/>
        </w:rPr>
        <w:t xml:space="preserve"> </w:t>
      </w:r>
      <w:r w:rsidRPr="005D4AE4">
        <w:rPr>
          <w:rFonts w:eastAsia="Times New Roman" w:cs="Times New Roman"/>
          <w:szCs w:val="24"/>
        </w:rPr>
        <w:t xml:space="preserve">wywłaszczeniem nieruchomości, które będą stawały się nieruchomościami Skarbu Państwa, proponuje się, wzorem przepisów dotyczących kolei, by grunty zajęte pod </w:t>
      </w:r>
      <w:r w:rsidRPr="005D4AE4">
        <w:rPr>
          <w:rFonts w:eastAsia="Times New Roman" w:cs="Times New Roman"/>
          <w:szCs w:val="24"/>
        </w:rPr>
        <w:lastRenderedPageBreak/>
        <w:t>Inwestycję zostały zwolnione od opłat z tytułu użytkowania wieczystego, jak również, by nie pobierano pierwszej opłaty i opłat rocznych z tytułu nabycia prawa użytkowania wieczystego nieruchomości, a nabycie prawa własno</w:t>
      </w:r>
      <w:r w:rsidR="00F534FE">
        <w:rPr>
          <w:rFonts w:eastAsia="Times New Roman" w:cs="Times New Roman"/>
          <w:szCs w:val="24"/>
        </w:rPr>
        <w:t>ści budynków, innych urządzeń i </w:t>
      </w:r>
      <w:r w:rsidRPr="005D4AE4">
        <w:rPr>
          <w:rFonts w:eastAsia="Times New Roman" w:cs="Times New Roman"/>
          <w:szCs w:val="24"/>
        </w:rPr>
        <w:t>lokali znajdujących się na nieruchomościach, o których mowa w decyzji lokalizacyjnej następowało nieodpłatnie. Dodatkowo proponuje się, by dochód z tytułu nabycia prawa użytkowania wieczystego oraz prawa własności budynków, innych urządzeń i lokali znajdujących się na nieruchomościach, o których mowa w decyzji lokalizacyjnej, był zwolniony od podatku dochodowego.</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Dodatkowo wprowadzono regulacje minimalizujące negatywne skutki oddziaływania realizacji inwestycji w zakresie CPK na rol</w:t>
      </w:r>
      <w:r w:rsidR="00F534FE">
        <w:rPr>
          <w:rFonts w:eastAsia="Times New Roman" w:cs="Times New Roman"/>
          <w:szCs w:val="24"/>
        </w:rPr>
        <w:t>niczą przestrzeń produkcyjną, w </w:t>
      </w:r>
      <w:r w:rsidRPr="005D4AE4">
        <w:rPr>
          <w:rFonts w:eastAsia="Times New Roman" w:cs="Times New Roman"/>
          <w:szCs w:val="24"/>
        </w:rPr>
        <w:t>szczególności rozłóg gruntów gospodarstw rolnych. Przez rozłóg gruntów rozumie się rozmieszczenie gruntów gospodarstwa rolnego w stosunku do gruntów zabudowanych. W tym celu Pełnomocnik zostanie zobowiązany do złożenia wniosku</w:t>
      </w:r>
      <w:r w:rsidR="00693922">
        <w:rPr>
          <w:rFonts w:eastAsia="Times New Roman" w:cs="Times New Roman"/>
          <w:szCs w:val="24"/>
        </w:rPr>
        <w:t xml:space="preserve"> do starosty o wydanie opinii w</w:t>
      </w:r>
      <w:r w:rsidR="00F534FE">
        <w:rPr>
          <w:rFonts w:eastAsia="Times New Roman" w:cs="Times New Roman"/>
          <w:szCs w:val="24"/>
        </w:rPr>
        <w:t xml:space="preserve"> </w:t>
      </w:r>
      <w:r w:rsidRPr="005D4AE4">
        <w:rPr>
          <w:rFonts w:eastAsia="Times New Roman" w:cs="Times New Roman"/>
          <w:szCs w:val="24"/>
        </w:rPr>
        <w:t>zakresie wystąpienia skutków realizowanej inwestycji, Starosta przeprowadzi ocenę wpływu realizowanej inwestycji na rolniczą przestrzeń produkcyjną, w szczególności ukształtowanie rozłogów gruntów gospodarstw rolnych, na podstawie której wyda postanowienie stwierdzające wystąpienie skutków. W</w:t>
      </w:r>
      <w:r w:rsidR="00F534FE">
        <w:rPr>
          <w:rFonts w:eastAsia="Times New Roman" w:cs="Times New Roman"/>
          <w:szCs w:val="24"/>
        </w:rPr>
        <w:t> </w:t>
      </w:r>
      <w:r w:rsidRPr="005D4AE4">
        <w:rPr>
          <w:rFonts w:eastAsia="Times New Roman" w:cs="Times New Roman"/>
          <w:szCs w:val="24"/>
        </w:rPr>
        <w:t>przypadku wystąpienia negatywnych skutków postanowienie będzie zawierało dodatkowo granice i pole powierzchni projektowanego obszaru scalenia, zestawienie rzeczowo-finansowe prac scaleniowych oraz zag</w:t>
      </w:r>
      <w:r w:rsidR="00F534FE">
        <w:rPr>
          <w:rFonts w:eastAsia="Times New Roman" w:cs="Times New Roman"/>
          <w:szCs w:val="24"/>
        </w:rPr>
        <w:t>ospodarowania poscaleniowego. W </w:t>
      </w:r>
      <w:r w:rsidRPr="005D4AE4">
        <w:rPr>
          <w:rFonts w:eastAsia="Times New Roman" w:cs="Times New Roman"/>
          <w:szCs w:val="24"/>
        </w:rPr>
        <w:t>kolejnym etapie z urzędu zostanie przeprowadzone postępowanie scaleniowe oraz zagospodarowanie poscaleniowe, łagodzące wystąpienie negatywnych skutków oddziaływania inwestycji w zakresie CPK na ukształtowanie rozłogów gruntów gospodarstw rolnych. Koszty takie poniesie Spółka Celowa. Natomiast w przypadku braku wystąpienia negatywnych skutków Spółka Celowa nie będzie zobowiązana do pokrywania kosztów.</w:t>
      </w:r>
    </w:p>
    <w:p w:rsidR="005D4AE4" w:rsidRPr="005D4AE4" w:rsidRDefault="005D4AE4" w:rsidP="005D4AE4">
      <w:pPr>
        <w:shd w:val="clear" w:color="auto" w:fill="FFFFFF" w:themeFill="background1"/>
        <w:spacing w:before="120"/>
        <w:jc w:val="both"/>
        <w:rPr>
          <w:rFonts w:eastAsia="Times New Roman" w:cs="Times New Roman"/>
          <w:b/>
          <w:szCs w:val="24"/>
        </w:rPr>
      </w:pPr>
      <w:r w:rsidRPr="005D4AE4">
        <w:rPr>
          <w:rFonts w:eastAsia="Times New Roman" w:cs="Times New Roman"/>
          <w:b/>
          <w:szCs w:val="24"/>
        </w:rPr>
        <w:t>Inwestycje Towarzyszące</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Projekt ustawy reguluje również szczególne zagadn</w:t>
      </w:r>
      <w:r w:rsidR="00F534FE">
        <w:rPr>
          <w:rFonts w:eastAsia="Times New Roman" w:cs="Times New Roman"/>
          <w:szCs w:val="24"/>
        </w:rPr>
        <w:t>ienia dotyczące przygotowania i </w:t>
      </w:r>
      <w:r w:rsidRPr="005D4AE4">
        <w:rPr>
          <w:rFonts w:eastAsia="Times New Roman" w:cs="Times New Roman"/>
          <w:szCs w:val="24"/>
        </w:rPr>
        <w:t xml:space="preserve">realizacji Inwestycji Towarzyszących, których lista ustalana jest w drodze rozporządzenia Rady Ministrów. Istotą Inwestycji Towarzyszących jest ich powiązanie z Inwestycją o zasadniczym charakterze – tj. Centralnym Portem Komunikacyjnym, przy czym biorąc pod uwagę wysoki stopień wzajemnego oddziaływania </w:t>
      </w:r>
      <w:r w:rsidRPr="005D4AE4">
        <w:rPr>
          <w:rFonts w:eastAsia="Times New Roman" w:cs="Times New Roman"/>
          <w:szCs w:val="24"/>
        </w:rPr>
        <w:lastRenderedPageBreak/>
        <w:t>poszczególnych elementów systemu transportowego, powiązanie to może występować niezależnie od położenia inwestycji w bezpośrednim sąsiedztwie CPK.</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 xml:space="preserve">Celem wprowadzenia kategorii Inwestycji Towarzyszących jest objęcie ich jednolitymi mechanizmami koordynacji, przejawiającymi się przykładowo w wymogu realizacji tych inwestycji zgodnie z Programem. </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Przepisy ustawy nie ustanawiają swoistej ścieżki realizacji</w:t>
      </w:r>
      <w:r w:rsidR="00693922">
        <w:rPr>
          <w:rFonts w:eastAsia="Times New Roman" w:cs="Times New Roman"/>
          <w:szCs w:val="24"/>
        </w:rPr>
        <w:t xml:space="preserve"> tych inwestycji – obowiązują w</w:t>
      </w:r>
      <w:r w:rsidR="00F534FE">
        <w:rPr>
          <w:rFonts w:eastAsia="Times New Roman" w:cs="Times New Roman"/>
          <w:szCs w:val="24"/>
        </w:rPr>
        <w:t xml:space="preserve"> </w:t>
      </w:r>
      <w:r w:rsidRPr="005D4AE4">
        <w:rPr>
          <w:rFonts w:eastAsia="Times New Roman" w:cs="Times New Roman"/>
          <w:szCs w:val="24"/>
        </w:rPr>
        <w:t xml:space="preserve">tym zakresie przepisy ogólne (ustawy o planowaniu i zagospodarowaniu przestrzennym, ustawy – Prawo budowlane itd.) albo przepisy specustaw inwestycyjnych, które w sposób wyczerpujący określają zasady i tryb realizacji tych inwestycji, w tym katalog organów opiniujących lub uzgadniających wnioski o wydanie aktów lub rozstrzygnięć w toku ich realizacji. W </w:t>
      </w:r>
      <w:r w:rsidR="00F534FE">
        <w:rPr>
          <w:rFonts w:eastAsia="Times New Roman" w:cs="Times New Roman"/>
          <w:szCs w:val="24"/>
        </w:rPr>
        <w:t>rozdziale wprowadzono jedynie w </w:t>
      </w:r>
      <w:r w:rsidRPr="005D4AE4">
        <w:rPr>
          <w:rFonts w:eastAsia="Times New Roman" w:cs="Times New Roman"/>
          <w:szCs w:val="24"/>
        </w:rPr>
        <w:t xml:space="preserve">niezbędnym zakresie modyfikacje wynikające z charakteru tych inwestycji, umożliwiające koordynację ich realizacji oraz zastosowanie dodatkowych narzędzi realizacyjnych. </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Ograniczony zakres modyfikacji oznacza między innymi, że zmianom nie ulegają zasady ogólne wynikające z reżimu realizacji inwestycji celu publicznego – w</w:t>
      </w:r>
      <w:r w:rsidR="00F534FE">
        <w:rPr>
          <w:rFonts w:eastAsia="Times New Roman" w:cs="Times New Roman"/>
          <w:szCs w:val="24"/>
        </w:rPr>
        <w:t> </w:t>
      </w:r>
      <w:r w:rsidRPr="005D4AE4">
        <w:rPr>
          <w:rFonts w:eastAsia="Times New Roman" w:cs="Times New Roman"/>
          <w:szCs w:val="24"/>
        </w:rPr>
        <w:t xml:space="preserve">szczególności zasady uzyskiwania praw do terenu, na którym inwestycja jest realizowana. Zgodnie z ogólnymi regulacjami, wywłaszczenie nieruchomości na cel publiczny następuje na rzecz Skarbu Państwa albo jednostki samorządu terytorialnego, zaś w przypadku braku konieczności wywłaszczenia dla realizacji inwestycji, ustanawiane są ograniczenia w sposobie korzystania z nieruchomości na rzecz Inwestora, którym zgodnie z definicją ma być podmiot należący do szeroko pojętej sfery publicznej. Zasady te obowiązują niezależnie od trybu realizacji inwestycji </w:t>
      </w:r>
      <w:r w:rsidR="00F534FE">
        <w:rPr>
          <w:rFonts w:eastAsia="Times New Roman" w:cs="Times New Roman"/>
          <w:szCs w:val="24"/>
        </w:rPr>
        <w:t>(w </w:t>
      </w:r>
      <w:r w:rsidRPr="005D4AE4">
        <w:rPr>
          <w:rFonts w:eastAsia="Times New Roman" w:cs="Times New Roman"/>
          <w:szCs w:val="24"/>
        </w:rPr>
        <w:t>trybie zwykłym, w trybie specustaw).</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Te z inwestycji, które nie dysponują specustawą inwestycyjną, będą mogły być realizowane w trybie ustawy z dnia 24 lipca 2015 r. o przygotowaniu i realizacji strategicznych inwestycji w zakresie sieci przesyłowych,</w:t>
      </w:r>
      <w:r w:rsidR="00F534FE">
        <w:rPr>
          <w:rFonts w:eastAsia="Times New Roman" w:cs="Times New Roman"/>
          <w:szCs w:val="24"/>
        </w:rPr>
        <w:t xml:space="preserve"> co znacznie przyspieszy i </w:t>
      </w:r>
      <w:r w:rsidRPr="005D4AE4">
        <w:rPr>
          <w:rFonts w:eastAsia="Times New Roman" w:cs="Times New Roman"/>
          <w:szCs w:val="24"/>
        </w:rPr>
        <w:t>uprości ich realizację. Dotyczy to stanow</w:t>
      </w:r>
      <w:r w:rsidR="00F534FE">
        <w:rPr>
          <w:rFonts w:eastAsia="Times New Roman" w:cs="Times New Roman"/>
          <w:szCs w:val="24"/>
        </w:rPr>
        <w:t>iących cele publiczne sieci, m.in.: </w:t>
      </w:r>
      <w:r w:rsidRPr="005D4AE4">
        <w:rPr>
          <w:rFonts w:eastAsia="Times New Roman" w:cs="Times New Roman"/>
          <w:szCs w:val="24"/>
        </w:rPr>
        <w:t>wodociągowych, kanalizacyjnych, a także d</w:t>
      </w:r>
      <w:r w:rsidR="00F534FE">
        <w:rPr>
          <w:rFonts w:eastAsia="Times New Roman" w:cs="Times New Roman"/>
          <w:szCs w:val="24"/>
        </w:rPr>
        <w:t>ystrybucyjnych sieci gazowych i </w:t>
      </w:r>
      <w:r w:rsidRPr="005D4AE4">
        <w:rPr>
          <w:rFonts w:eastAsia="Times New Roman" w:cs="Times New Roman"/>
          <w:szCs w:val="24"/>
        </w:rPr>
        <w:t>elektroenergetycznych.</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 xml:space="preserve">Przyznanie statusu Inwestycji Towarzyszącej oznacza jednocześnie związanie inwestora </w:t>
      </w:r>
      <w:r w:rsidRPr="005D4AE4">
        <w:rPr>
          <w:rFonts w:eastAsia="Times New Roman" w:cs="Times New Roman"/>
          <w:szCs w:val="24"/>
        </w:rPr>
        <w:lastRenderedPageBreak/>
        <w:t>oraz organów administracji publicznej Programem oraz Dokumentem Wdrażającym. Instrumentami koordynacji realizacji tych inwestycji, poza Zasadami Zarządzania, jest uzgodnienie wniosku o decyzję lokalizacyjną i budowlaną ze Spółką Celową oraz powiadomienie Pełnomocnika o wszczęciu postępowań w przedmiocie tych decyzji.</w:t>
      </w:r>
    </w:p>
    <w:p w:rsidR="005D4AE4" w:rsidRPr="005D4AE4" w:rsidRDefault="005D4AE4" w:rsidP="005D4AE4">
      <w:pPr>
        <w:shd w:val="clear" w:color="auto" w:fill="FFFFFF" w:themeFill="background1"/>
        <w:spacing w:before="120"/>
        <w:jc w:val="both"/>
        <w:rPr>
          <w:rFonts w:eastAsia="Times New Roman" w:cs="Times New Roman"/>
          <w:szCs w:val="24"/>
        </w:rPr>
      </w:pPr>
      <w:r w:rsidRPr="005D4AE4">
        <w:rPr>
          <w:rFonts w:eastAsia="Times New Roman" w:cs="Times New Roman"/>
          <w:szCs w:val="24"/>
        </w:rPr>
        <w:t>Dla Inwestycji Towarzyszących przyznano również możliwość wystąpienia o wydanie planu rezerwacji, w celu zabezpieczenia prawidłowego przygotowania tych inwestycji, oraz przewidziano możliwość ustanowienia ograni</w:t>
      </w:r>
      <w:r w:rsidR="00F534FE">
        <w:rPr>
          <w:rFonts w:eastAsia="Times New Roman" w:cs="Times New Roman"/>
          <w:szCs w:val="24"/>
        </w:rPr>
        <w:t>czenia w sposobie korzystania z </w:t>
      </w:r>
      <w:r w:rsidRPr="005D4AE4">
        <w:rPr>
          <w:rFonts w:eastAsia="Times New Roman" w:cs="Times New Roman"/>
          <w:szCs w:val="24"/>
        </w:rPr>
        <w:t>nieruchomości na potrzeby realizacji inwestycji w tunelu, precyzując w tym zakresie, że własność obiektu budowlanego w postaci tunelu będzie przypisana do Inwestora</w:t>
      </w:r>
      <w:r w:rsidR="00693922">
        <w:rPr>
          <w:rFonts w:eastAsia="Times New Roman" w:cs="Times New Roman"/>
          <w:szCs w:val="24"/>
        </w:rPr>
        <w:t xml:space="preserve"> Inwestycji Towarzyszącej, a</w:t>
      </w:r>
      <w:r w:rsidR="00F534FE">
        <w:rPr>
          <w:rFonts w:eastAsia="Times New Roman" w:cs="Times New Roman"/>
          <w:szCs w:val="24"/>
        </w:rPr>
        <w:t xml:space="preserve"> </w:t>
      </w:r>
      <w:r w:rsidRPr="005D4AE4">
        <w:rPr>
          <w:rFonts w:eastAsia="Times New Roman" w:cs="Times New Roman"/>
          <w:szCs w:val="24"/>
        </w:rPr>
        <w:t xml:space="preserve">jeżeli nie ma on osobowości prawnej </w:t>
      </w:r>
      <w:r>
        <w:rPr>
          <w:rFonts w:eastAsia="Times New Roman" w:cs="Times New Roman"/>
          <w:szCs w:val="24"/>
        </w:rPr>
        <w:t>–</w:t>
      </w:r>
      <w:r w:rsidRPr="005D4AE4">
        <w:rPr>
          <w:rFonts w:eastAsia="Times New Roman" w:cs="Times New Roman"/>
          <w:szCs w:val="24"/>
        </w:rPr>
        <w:t xml:space="preserve"> Skarbu Państwa albo odpowiedniej jednostki samorządu terytorialnego (zależnie od charakteru inwestycji, np. dla drogi publicznej kategorii powiatowej – powiatu).</w:t>
      </w:r>
    </w:p>
    <w:p w:rsidR="005D4AE4" w:rsidRPr="005D4AE4" w:rsidRDefault="005D4AE4" w:rsidP="005D4AE4">
      <w:pPr>
        <w:spacing w:before="120"/>
        <w:jc w:val="both"/>
        <w:rPr>
          <w:rFonts w:eastAsia="Times New Roman" w:cs="Times New Roman"/>
          <w:szCs w:val="24"/>
        </w:rPr>
      </w:pPr>
      <w:r w:rsidRPr="005D4AE4">
        <w:rPr>
          <w:rFonts w:eastAsia="Times New Roman" w:cs="Times New Roman"/>
          <w:b/>
          <w:szCs w:val="24"/>
        </w:rPr>
        <w:t>Zgodność projektowanych rozwiązań z Konstytucją</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Przedmiotowa regulacja, ustanawiająca szczególne zasady realizacji inwestycji z uwagi na ich wagę dla rozwoju społeczno-gospodarczego kraju, w świetle dotychczasowego orzecznictwa TK przechodzi w sposób pozytywny test konstytucyjności, jest również zgodna z Europejską Konwencją Praw Człowieka.</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Zagadnienie systemowego wyłączenia regulacji z zakr</w:t>
      </w:r>
      <w:r w:rsidR="00693922">
        <w:rPr>
          <w:rFonts w:eastAsia="Times New Roman" w:cs="Times New Roman"/>
          <w:szCs w:val="24"/>
        </w:rPr>
        <w:t>esu planowania przestrzennego w</w:t>
      </w:r>
      <w:r w:rsidR="00F534FE">
        <w:rPr>
          <w:rFonts w:eastAsia="Times New Roman" w:cs="Times New Roman"/>
          <w:szCs w:val="24"/>
        </w:rPr>
        <w:t> </w:t>
      </w:r>
      <w:r w:rsidRPr="005D4AE4">
        <w:rPr>
          <w:rFonts w:eastAsia="Times New Roman" w:cs="Times New Roman"/>
          <w:szCs w:val="24"/>
        </w:rPr>
        <w:t>przypadku specustaw było przedmiotem oceny Try</w:t>
      </w:r>
      <w:r w:rsidR="00693922">
        <w:rPr>
          <w:rFonts w:eastAsia="Times New Roman" w:cs="Times New Roman"/>
          <w:szCs w:val="24"/>
        </w:rPr>
        <w:t>bunału Konstytucyjnego, który w</w:t>
      </w:r>
      <w:r w:rsidR="00F534FE">
        <w:rPr>
          <w:rFonts w:eastAsia="Times New Roman" w:cs="Times New Roman"/>
          <w:szCs w:val="24"/>
        </w:rPr>
        <w:t> </w:t>
      </w:r>
      <w:r w:rsidRPr="005D4AE4">
        <w:rPr>
          <w:rFonts w:eastAsia="Times New Roman" w:cs="Times New Roman"/>
          <w:szCs w:val="24"/>
        </w:rPr>
        <w:t>wyroku w sprawie K 23/05</w:t>
      </w:r>
      <w:r w:rsidRPr="005D4AE4">
        <w:rPr>
          <w:rFonts w:eastAsia="Times New Roman" w:cs="Times New Roman"/>
          <w:szCs w:val="24"/>
          <w:vertAlign w:val="superscript"/>
        </w:rPr>
        <w:footnoteReference w:id="2"/>
      </w:r>
      <w:r w:rsidR="00693922" w:rsidRPr="00693922">
        <w:rPr>
          <w:rFonts w:eastAsia="Times New Roman" w:cs="Times New Roman"/>
          <w:szCs w:val="24"/>
          <w:vertAlign w:val="superscript"/>
        </w:rPr>
        <w:t>)</w:t>
      </w:r>
      <w:r w:rsidRPr="005D4AE4">
        <w:rPr>
          <w:rFonts w:eastAsia="Times New Roman" w:cs="Times New Roman"/>
          <w:szCs w:val="24"/>
        </w:rPr>
        <w:t xml:space="preserve"> stwierdził, że </w:t>
      </w:r>
      <w:r w:rsidRPr="005D4AE4">
        <w:rPr>
          <w:rFonts w:eastAsia="Times New Roman" w:cs="Times New Roman"/>
          <w:i/>
          <w:szCs w:val="24"/>
        </w:rPr>
        <w:t>„Jeżeli bowiem celem ustawy było uproszczenie procedur przygotowania i realizacji inwestycji w zakresie dróg krajowych, to wyłączenie spod reżimu ustawy o planowaniu i zagospodarowaniu przestrzennym takich spraw może przyczynić się do szybszej realizacji inwestycji drogowyc</w:t>
      </w:r>
      <w:r w:rsidR="00693922">
        <w:rPr>
          <w:rFonts w:eastAsia="Times New Roman" w:cs="Times New Roman"/>
          <w:i/>
          <w:szCs w:val="24"/>
        </w:rPr>
        <w:t>h. Zastosowanie pełnego trybu i</w:t>
      </w:r>
      <w:r w:rsidR="00F534FE">
        <w:rPr>
          <w:rFonts w:eastAsia="Times New Roman" w:cs="Times New Roman"/>
          <w:i/>
          <w:szCs w:val="24"/>
        </w:rPr>
        <w:t xml:space="preserve"> </w:t>
      </w:r>
      <w:r w:rsidRPr="005D4AE4">
        <w:rPr>
          <w:rFonts w:eastAsia="Times New Roman" w:cs="Times New Roman"/>
          <w:i/>
          <w:szCs w:val="24"/>
        </w:rPr>
        <w:t>warunków, zaw</w:t>
      </w:r>
      <w:r w:rsidR="00F534FE">
        <w:rPr>
          <w:rFonts w:eastAsia="Times New Roman" w:cs="Times New Roman"/>
          <w:i/>
          <w:szCs w:val="24"/>
        </w:rPr>
        <w:t>artych w ustawie o planowaniu i </w:t>
      </w:r>
      <w:r w:rsidRPr="005D4AE4">
        <w:rPr>
          <w:rFonts w:eastAsia="Times New Roman" w:cs="Times New Roman"/>
          <w:i/>
          <w:szCs w:val="24"/>
        </w:rPr>
        <w:t>zagospodarowaniu przestrzennym, powodowałob</w:t>
      </w:r>
      <w:r w:rsidR="00F534FE">
        <w:rPr>
          <w:rFonts w:eastAsia="Times New Roman" w:cs="Times New Roman"/>
          <w:i/>
          <w:szCs w:val="24"/>
        </w:rPr>
        <w:t>y znaczne opóźnienia związane z </w:t>
      </w:r>
      <w:r w:rsidRPr="005D4AE4">
        <w:rPr>
          <w:rFonts w:eastAsia="Times New Roman" w:cs="Times New Roman"/>
          <w:i/>
          <w:szCs w:val="24"/>
        </w:rPr>
        <w:t>realizacją budowy dróg w Polsce, a nawet prowadziłoby do paraliżu procesu decyzyjnego.</w:t>
      </w:r>
      <w:r>
        <w:rPr>
          <w:rFonts w:eastAsia="Times New Roman" w:cs="Times New Roman"/>
          <w:i/>
          <w:szCs w:val="24"/>
        </w:rPr>
        <w:t>”</w:t>
      </w:r>
      <w:r w:rsidRPr="005D4AE4">
        <w:rPr>
          <w:rFonts w:eastAsia="Times New Roman" w:cs="Times New Roman"/>
          <w:szCs w:val="24"/>
        </w:rPr>
        <w:t xml:space="preserve">. Trybunał dodał jednak, że </w:t>
      </w:r>
      <w:r w:rsidRPr="005D4AE4">
        <w:rPr>
          <w:rFonts w:eastAsia="Times New Roman" w:cs="Times New Roman"/>
          <w:i/>
          <w:szCs w:val="24"/>
        </w:rPr>
        <w:t>„Wyłączenie stosowania procedur przewidzianych w ustawie o planowaniu i zagospodarowaniu przestrzennym, ze względu na konkretne wartości konstytucyjne, nie</w:t>
      </w:r>
      <w:r w:rsidR="00F534FE">
        <w:rPr>
          <w:rFonts w:eastAsia="Times New Roman" w:cs="Times New Roman"/>
          <w:i/>
          <w:szCs w:val="24"/>
        </w:rPr>
        <w:t xml:space="preserve"> zwalnia decydentów od troski o </w:t>
      </w:r>
      <w:r w:rsidRPr="005D4AE4">
        <w:rPr>
          <w:rFonts w:eastAsia="Times New Roman" w:cs="Times New Roman"/>
          <w:i/>
          <w:szCs w:val="24"/>
        </w:rPr>
        <w:t>należyte przestrzeganie i kształtowanie ładu przestrzennego w Polsce oraz roztropnej troski o interesy lokalne, ale uwalnia od typowych procedur</w:t>
      </w:r>
      <w:r w:rsidR="00693922">
        <w:rPr>
          <w:rFonts w:eastAsia="Times New Roman" w:cs="Times New Roman"/>
          <w:i/>
          <w:szCs w:val="24"/>
        </w:rPr>
        <w:t xml:space="preserve">, które mogłyby </w:t>
      </w:r>
      <w:r w:rsidR="00693922">
        <w:rPr>
          <w:rFonts w:eastAsia="Times New Roman" w:cs="Times New Roman"/>
          <w:i/>
          <w:szCs w:val="24"/>
        </w:rPr>
        <w:lastRenderedPageBreak/>
        <w:t>uniemożliwiać i</w:t>
      </w:r>
      <w:r w:rsidR="00F534FE">
        <w:rPr>
          <w:rFonts w:eastAsia="Times New Roman" w:cs="Times New Roman"/>
          <w:i/>
          <w:szCs w:val="24"/>
        </w:rPr>
        <w:t xml:space="preserve"> </w:t>
      </w:r>
      <w:r w:rsidRPr="005D4AE4">
        <w:rPr>
          <w:rFonts w:eastAsia="Times New Roman" w:cs="Times New Roman"/>
          <w:i/>
          <w:szCs w:val="24"/>
        </w:rPr>
        <w:t>paraliżować podejmowanie decyzj</w:t>
      </w:r>
      <w:r w:rsidR="00F534FE">
        <w:rPr>
          <w:rFonts w:eastAsia="Times New Roman" w:cs="Times New Roman"/>
          <w:i/>
          <w:szCs w:val="24"/>
        </w:rPr>
        <w:t>i w zakresie lokalizacji dróg i </w:t>
      </w:r>
      <w:r w:rsidRPr="005D4AE4">
        <w:rPr>
          <w:rFonts w:eastAsia="Times New Roman" w:cs="Times New Roman"/>
          <w:i/>
          <w:szCs w:val="24"/>
        </w:rPr>
        <w:t>pozwoleń budowlanych. Ma też służyć procesowi harmonizacji int</w:t>
      </w:r>
      <w:r w:rsidR="00F534FE">
        <w:rPr>
          <w:rFonts w:eastAsia="Times New Roman" w:cs="Times New Roman"/>
          <w:i/>
          <w:szCs w:val="24"/>
        </w:rPr>
        <w:t>eresów lokalnych z </w:t>
      </w:r>
      <w:r w:rsidRPr="005D4AE4">
        <w:rPr>
          <w:rFonts w:eastAsia="Times New Roman" w:cs="Times New Roman"/>
          <w:i/>
          <w:szCs w:val="24"/>
        </w:rPr>
        <w:t>interesem ogólnonarodowym. Trybunał nie dopatrzył się więc w treści kwestionowanych przepisów wad powodujących ich niekonstytucyjność. Trzeba zwrócić uwagę na to, że do zadań Rady Ministrów i właściwych organów administracji rządowej należy kształtowanie polityki przestrzennej państwa. Paradoksalnie, to wyłączenie stosowania w zakresie realizacji inwestycj</w:t>
      </w:r>
      <w:r w:rsidR="00F534FE">
        <w:rPr>
          <w:rFonts w:eastAsia="Times New Roman" w:cs="Times New Roman"/>
          <w:i/>
          <w:szCs w:val="24"/>
        </w:rPr>
        <w:t>i drogowych niektórych ustaw (w </w:t>
      </w:r>
      <w:r w:rsidRPr="005D4AE4">
        <w:rPr>
          <w:rFonts w:eastAsia="Times New Roman" w:cs="Times New Roman"/>
          <w:i/>
          <w:szCs w:val="24"/>
        </w:rPr>
        <w:t>tym ustawy o planowaniu i zagospodarowaniu przestrzennym) może być właśnie przejawem realizacji polityki przestrzennej państwa.”.</w:t>
      </w:r>
      <w:r w:rsidRPr="005D4AE4">
        <w:rPr>
          <w:rFonts w:eastAsia="Times New Roman" w:cs="Times New Roman"/>
          <w:szCs w:val="24"/>
        </w:rPr>
        <w:t xml:space="preserve"> </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Kolejnym obszarem rozwiązań prawnych specustaw podlegającym krytyce jest zagadnienie ograniczenia czasowego możliwości stwierdzenia nieważności decyzji administracyjnej. Trybunał Konstytucyjny w sprawie K 4/10</w:t>
      </w:r>
      <w:r w:rsidRPr="005D4AE4">
        <w:rPr>
          <w:rFonts w:eastAsia="Times New Roman" w:cs="Times New Roman"/>
          <w:szCs w:val="24"/>
          <w:vertAlign w:val="superscript"/>
        </w:rPr>
        <w:footnoteReference w:id="3"/>
      </w:r>
      <w:r w:rsidR="00693922" w:rsidRPr="00693922">
        <w:rPr>
          <w:rFonts w:eastAsia="Times New Roman" w:cs="Times New Roman"/>
          <w:szCs w:val="24"/>
          <w:vertAlign w:val="superscript"/>
        </w:rPr>
        <w:t>)</w:t>
      </w:r>
      <w:r w:rsidRPr="005D4AE4">
        <w:rPr>
          <w:rFonts w:eastAsia="Times New Roman" w:cs="Times New Roman"/>
          <w:szCs w:val="24"/>
        </w:rPr>
        <w:t xml:space="preserve">, w której przedmiotem skargi konstytucyjnej były rozwiązania ograniczające w czasie możliwość stwierdzenia nieważności decyzji zezwalającej na realizację inwestycji drogowej, wskazał że </w:t>
      </w:r>
      <w:r w:rsidRPr="005D4AE4">
        <w:rPr>
          <w:rFonts w:eastAsia="Times New Roman" w:cs="Times New Roman"/>
          <w:i/>
          <w:szCs w:val="24"/>
        </w:rPr>
        <w:t xml:space="preserve">„specyfika tego postępowania [na podstawie specustawy drogowej] jest dyktowana ponadto liniowym charakterem inwestycji, który z kolei powoduje, że zapadające w nim decyzje </w:t>
      </w:r>
      <w:r>
        <w:rPr>
          <w:rFonts w:eastAsia="Times New Roman" w:cs="Times New Roman"/>
          <w:i/>
          <w:szCs w:val="24"/>
        </w:rPr>
        <w:t>–</w:t>
      </w:r>
      <w:r w:rsidRPr="005D4AE4">
        <w:rPr>
          <w:rFonts w:eastAsia="Times New Roman" w:cs="Times New Roman"/>
          <w:i/>
          <w:szCs w:val="24"/>
        </w:rPr>
        <w:t xml:space="preserve"> z natury rzeczy </w:t>
      </w:r>
      <w:r>
        <w:rPr>
          <w:rFonts w:eastAsia="Times New Roman" w:cs="Times New Roman"/>
          <w:i/>
          <w:szCs w:val="24"/>
        </w:rPr>
        <w:t>–</w:t>
      </w:r>
      <w:r w:rsidRPr="005D4AE4">
        <w:rPr>
          <w:rFonts w:eastAsia="Times New Roman" w:cs="Times New Roman"/>
          <w:i/>
          <w:szCs w:val="24"/>
        </w:rPr>
        <w:t xml:space="preserve"> dotyczą bardzo wielu podmio</w:t>
      </w:r>
      <w:r w:rsidR="00F534FE">
        <w:rPr>
          <w:rFonts w:eastAsia="Times New Roman" w:cs="Times New Roman"/>
          <w:i/>
          <w:szCs w:val="24"/>
        </w:rPr>
        <w:t>tów, a efekt ten potęguje się w </w:t>
      </w:r>
      <w:r w:rsidRPr="005D4AE4">
        <w:rPr>
          <w:rFonts w:eastAsia="Times New Roman" w:cs="Times New Roman"/>
          <w:i/>
          <w:szCs w:val="24"/>
        </w:rPr>
        <w:t xml:space="preserve">warunkach właściwego polskiej strukturze agrarnej, znacznego rozdrobnienia nieruchomości. Kodeks postępowania administracyjnego nie zawiera regulacji odnoszącej się do postępowań, w których współuczestniczy wiele podmiotów, ani nie daje podstaw do wyróżnienia postępowań prowadzonych w skali masowej, określanych też jako postępowania masowe, zbiorcze lub zbiorowe (por. A. Skóra, Współuczestnictwo w postępowaniu administracyjnym, Warszawa 2009, zwł. s. 126 i n., gdzie autorka przedstawia obce unormowania dotyczące tzw. Massenverfahren). Trzeba jednak odnotować, że procedura przygotowania inwestycji </w:t>
      </w:r>
      <w:r w:rsidR="00693922">
        <w:rPr>
          <w:rFonts w:eastAsia="Times New Roman" w:cs="Times New Roman"/>
          <w:i/>
          <w:szCs w:val="24"/>
        </w:rPr>
        <w:t>drogowych odpowiada wskazanym w</w:t>
      </w:r>
      <w:r w:rsidR="00F534FE">
        <w:rPr>
          <w:rFonts w:eastAsia="Times New Roman" w:cs="Times New Roman"/>
          <w:i/>
          <w:szCs w:val="24"/>
        </w:rPr>
        <w:t xml:space="preserve"> </w:t>
      </w:r>
      <w:r w:rsidRPr="005D4AE4">
        <w:rPr>
          <w:rFonts w:eastAsia="Times New Roman" w:cs="Times New Roman"/>
          <w:i/>
          <w:szCs w:val="24"/>
        </w:rPr>
        <w:t xml:space="preserve">literaturze cechom charakteryzującym postępowanie masowe. Występuje w nim zarówno masowość uczestników, ich </w:t>
      </w:r>
      <w:r w:rsidR="00F534FE">
        <w:rPr>
          <w:rFonts w:eastAsia="Times New Roman" w:cs="Times New Roman"/>
          <w:i/>
          <w:szCs w:val="24"/>
        </w:rPr>
        <w:t>zróżnicowanie podmiotowe, jak i </w:t>
      </w:r>
      <w:r w:rsidRPr="005D4AE4">
        <w:rPr>
          <w:rFonts w:eastAsia="Times New Roman" w:cs="Times New Roman"/>
          <w:i/>
          <w:szCs w:val="24"/>
        </w:rPr>
        <w:t>zróżnicowanie interesów poszczególnych uczestników. Nieuchronnym efektem prowadzenia takiego postępowania jest odejście od indywidual</w:t>
      </w:r>
      <w:r>
        <w:rPr>
          <w:rFonts w:eastAsia="Times New Roman" w:cs="Times New Roman"/>
          <w:i/>
          <w:szCs w:val="24"/>
        </w:rPr>
        <w:t>izacji, charakterystycznej dla „zwykłego”</w:t>
      </w:r>
      <w:r w:rsidRPr="005D4AE4">
        <w:rPr>
          <w:rFonts w:eastAsia="Times New Roman" w:cs="Times New Roman"/>
          <w:i/>
          <w:szCs w:val="24"/>
        </w:rPr>
        <w:t xml:space="preserve"> postępowania admin</w:t>
      </w:r>
      <w:r w:rsidR="00F534FE">
        <w:rPr>
          <w:rFonts w:eastAsia="Times New Roman" w:cs="Times New Roman"/>
          <w:i/>
          <w:szCs w:val="24"/>
        </w:rPr>
        <w:t>istracyjnego. Z natury rzeczy w </w:t>
      </w:r>
      <w:r w:rsidRPr="005D4AE4">
        <w:rPr>
          <w:rFonts w:eastAsia="Times New Roman" w:cs="Times New Roman"/>
          <w:i/>
          <w:szCs w:val="24"/>
        </w:rPr>
        <w:t>postępowaniu tym uczestniczy bowiem wiele podmiotów, których interesów nie da się sprowadzić do wspólnego mianownika.”.</w:t>
      </w:r>
      <w:r w:rsidR="00693922">
        <w:rPr>
          <w:rFonts w:eastAsia="Times New Roman" w:cs="Times New Roman"/>
          <w:szCs w:val="24"/>
        </w:rPr>
        <w:t xml:space="preserve"> Tezy ww.</w:t>
      </w:r>
      <w:r w:rsidR="00F534FE">
        <w:rPr>
          <w:rFonts w:eastAsia="Times New Roman" w:cs="Times New Roman"/>
          <w:szCs w:val="24"/>
        </w:rPr>
        <w:t xml:space="preserve"> </w:t>
      </w:r>
      <w:r w:rsidRPr="005D4AE4">
        <w:rPr>
          <w:rFonts w:eastAsia="Times New Roman" w:cs="Times New Roman"/>
          <w:szCs w:val="24"/>
        </w:rPr>
        <w:t xml:space="preserve">orzeczenia pasują również do </w:t>
      </w:r>
      <w:r w:rsidRPr="005D4AE4">
        <w:rPr>
          <w:rFonts w:eastAsia="Times New Roman" w:cs="Times New Roman"/>
          <w:szCs w:val="24"/>
        </w:rPr>
        <w:lastRenderedPageBreak/>
        <w:t>masowego charakteru postępowań regulowanych przedmiotową ustawą. Należy jednocześnie zauważyć, że terminy ograniczające możliwość eliminacji decyzji z obrotu prawnego ukształtowano w przedmiotowej ustawie w sposób korzystniejszy dla stron.</w:t>
      </w:r>
    </w:p>
    <w:p w:rsidR="005D4AE4" w:rsidRPr="005D4AE4" w:rsidRDefault="005D4AE4" w:rsidP="005D4AE4">
      <w:pPr>
        <w:spacing w:before="120"/>
        <w:jc w:val="both"/>
        <w:rPr>
          <w:rFonts w:eastAsia="Times New Roman" w:cs="Times New Roman"/>
          <w:szCs w:val="24"/>
        </w:rPr>
      </w:pPr>
      <w:r w:rsidRPr="005D4AE4">
        <w:rPr>
          <w:rFonts w:eastAsia="Times New Roman" w:cs="Times New Roman"/>
          <w:szCs w:val="24"/>
        </w:rPr>
        <w:t>W obu omawianych orzeczeniach Trybunał Konstytucyjny, mimo wyrażonych wątpliwości, nie podważył konstytucyjności ocenianych rozwiązań.</w:t>
      </w:r>
    </w:p>
    <w:p w:rsidR="005D4AE4" w:rsidRPr="005D4AE4" w:rsidRDefault="005D4AE4" w:rsidP="005D4AE4">
      <w:pPr>
        <w:spacing w:before="120"/>
        <w:jc w:val="both"/>
        <w:rPr>
          <w:rFonts w:eastAsia="Times New Roman" w:cs="Times New Roman"/>
          <w:szCs w:val="24"/>
        </w:rPr>
      </w:pPr>
      <w:bookmarkStart w:id="16" w:name="_35nkun2" w:colFirst="0" w:colLast="0"/>
      <w:bookmarkEnd w:id="16"/>
      <w:r w:rsidRPr="005D4AE4">
        <w:rPr>
          <w:rFonts w:eastAsia="Times New Roman" w:cs="Times New Roman"/>
          <w:b/>
          <w:szCs w:val="24"/>
        </w:rPr>
        <w:t>Zmiany w innych ustawach</w:t>
      </w:r>
    </w:p>
    <w:p w:rsidR="005D4AE4" w:rsidRPr="005D4AE4" w:rsidRDefault="005D4AE4" w:rsidP="005D4AE4">
      <w:pPr>
        <w:spacing w:before="120"/>
        <w:jc w:val="both"/>
        <w:rPr>
          <w:rFonts w:eastAsia="Times New Roman" w:cs="Times New Roman"/>
          <w:szCs w:val="24"/>
        </w:rPr>
      </w:pPr>
      <w:r w:rsidRPr="005D4AE4">
        <w:rPr>
          <w:rFonts w:eastAsia="Times New Roman" w:cs="Times New Roman"/>
          <w:i/>
          <w:szCs w:val="24"/>
        </w:rPr>
        <w:t>Ustawa</w:t>
      </w:r>
      <w:r w:rsidRPr="005D4AE4">
        <w:rPr>
          <w:rFonts w:eastAsia="Times New Roman" w:cs="Times New Roman"/>
          <w:szCs w:val="24"/>
        </w:rPr>
        <w:t xml:space="preserve"> dokonuje zmian w innych ustawach, mających charakter wyłącznie dostosowawczy względem regulowanej materii. Wynika to z faktu ustanowienia Pełnomocnika oraz Spółki Celowej, jak również z wprowadzenia nowych zasad gospodarowania nieruchomościami oraz nowego reżimu przygotowania i realizacji Inwestycji. Dotyczy to następujących ustaw:</w:t>
      </w:r>
    </w:p>
    <w:p w:rsidR="005D4AE4" w:rsidRPr="005D4AE4" w:rsidRDefault="005D4AE4" w:rsidP="00F84DA9">
      <w:pPr>
        <w:widowControl/>
        <w:numPr>
          <w:ilvl w:val="0"/>
          <w:numId w:val="1"/>
        </w:numPr>
        <w:pBdr>
          <w:top w:val="nil"/>
          <w:left w:val="nil"/>
          <w:bottom w:val="nil"/>
          <w:right w:val="nil"/>
          <w:between w:val="nil"/>
        </w:pBdr>
        <w:autoSpaceDE/>
        <w:autoSpaceDN/>
        <w:adjustRightInd/>
        <w:ind w:left="284" w:hanging="284"/>
        <w:contextualSpacing/>
        <w:jc w:val="both"/>
        <w:rPr>
          <w:rFonts w:eastAsia="Times New Roman" w:cs="Times New Roman"/>
          <w:szCs w:val="24"/>
        </w:rPr>
      </w:pPr>
      <w:r w:rsidRPr="005D4AE4">
        <w:rPr>
          <w:rFonts w:eastAsia="Times New Roman" w:cs="Times New Roman"/>
          <w:szCs w:val="24"/>
        </w:rPr>
        <w:t xml:space="preserve">ustawy z dnia 1 grudnia 1995 r. o wpłatach z zysku przez jednoosobowe spółki Skarbu Państwa, </w:t>
      </w:r>
    </w:p>
    <w:p w:rsidR="005D4AE4" w:rsidRPr="005D4AE4" w:rsidRDefault="005D4AE4" w:rsidP="00F84DA9">
      <w:pPr>
        <w:widowControl/>
        <w:numPr>
          <w:ilvl w:val="0"/>
          <w:numId w:val="1"/>
        </w:numPr>
        <w:pBdr>
          <w:top w:val="nil"/>
          <w:left w:val="nil"/>
          <w:bottom w:val="nil"/>
          <w:right w:val="nil"/>
          <w:between w:val="nil"/>
        </w:pBdr>
        <w:autoSpaceDE/>
        <w:autoSpaceDN/>
        <w:adjustRightInd/>
        <w:ind w:left="284" w:hanging="284"/>
        <w:contextualSpacing/>
        <w:jc w:val="both"/>
        <w:rPr>
          <w:rFonts w:eastAsia="Times New Roman" w:cs="Times New Roman"/>
          <w:szCs w:val="24"/>
        </w:rPr>
      </w:pPr>
      <w:r w:rsidRPr="005D4AE4">
        <w:rPr>
          <w:rFonts w:eastAsia="Times New Roman" w:cs="Times New Roman"/>
          <w:szCs w:val="24"/>
        </w:rPr>
        <w:t xml:space="preserve">ustawy z dnia 21 sierpnia 1997 r. o gospodarce nieruchomościami, </w:t>
      </w:r>
    </w:p>
    <w:p w:rsidR="005D4AE4" w:rsidRPr="005D4AE4" w:rsidRDefault="005D4AE4" w:rsidP="00F84DA9">
      <w:pPr>
        <w:widowControl/>
        <w:numPr>
          <w:ilvl w:val="0"/>
          <w:numId w:val="1"/>
        </w:numPr>
        <w:pBdr>
          <w:top w:val="nil"/>
          <w:left w:val="nil"/>
          <w:bottom w:val="nil"/>
          <w:right w:val="nil"/>
          <w:between w:val="nil"/>
        </w:pBdr>
        <w:autoSpaceDE/>
        <w:autoSpaceDN/>
        <w:adjustRightInd/>
        <w:ind w:left="284" w:hanging="284"/>
        <w:contextualSpacing/>
        <w:jc w:val="both"/>
        <w:rPr>
          <w:rFonts w:eastAsia="Times New Roman" w:cs="Times New Roman"/>
          <w:szCs w:val="24"/>
        </w:rPr>
      </w:pPr>
      <w:r w:rsidRPr="005D4AE4">
        <w:rPr>
          <w:rFonts w:eastAsia="Times New Roman" w:cs="Times New Roman"/>
          <w:szCs w:val="24"/>
        </w:rPr>
        <w:t xml:space="preserve">ustawy z dnia 8 września 2000 r. o komercjalizacji i restrukturyzacji przedsiębiorstwa państwowego „Polskie Koleje Państwowe”, </w:t>
      </w:r>
    </w:p>
    <w:p w:rsidR="005D4AE4" w:rsidRPr="005D4AE4" w:rsidRDefault="005D4AE4" w:rsidP="00F84DA9">
      <w:pPr>
        <w:widowControl/>
        <w:numPr>
          <w:ilvl w:val="0"/>
          <w:numId w:val="1"/>
        </w:numPr>
        <w:pBdr>
          <w:top w:val="nil"/>
          <w:left w:val="nil"/>
          <w:bottom w:val="nil"/>
          <w:right w:val="nil"/>
          <w:between w:val="nil"/>
        </w:pBdr>
        <w:autoSpaceDE/>
        <w:autoSpaceDN/>
        <w:adjustRightInd/>
        <w:ind w:left="284" w:hanging="284"/>
        <w:contextualSpacing/>
        <w:jc w:val="both"/>
        <w:rPr>
          <w:rFonts w:eastAsia="Times New Roman" w:cs="Times New Roman"/>
          <w:szCs w:val="24"/>
        </w:rPr>
      </w:pPr>
      <w:r>
        <w:rPr>
          <w:rFonts w:eastAsia="Times New Roman" w:cs="Times New Roman"/>
          <w:szCs w:val="24"/>
        </w:rPr>
        <w:t>ustawy z dnia 3 lipca 2002 r. –</w:t>
      </w:r>
      <w:r w:rsidRPr="005D4AE4">
        <w:rPr>
          <w:rFonts w:eastAsia="Times New Roman" w:cs="Times New Roman"/>
          <w:szCs w:val="24"/>
        </w:rPr>
        <w:t xml:space="preserve"> Prawo lotnicze, </w:t>
      </w:r>
    </w:p>
    <w:p w:rsidR="005D4AE4" w:rsidRPr="005D4AE4" w:rsidRDefault="005D4AE4" w:rsidP="00F84DA9">
      <w:pPr>
        <w:widowControl/>
        <w:numPr>
          <w:ilvl w:val="0"/>
          <w:numId w:val="1"/>
        </w:numPr>
        <w:pBdr>
          <w:top w:val="nil"/>
          <w:left w:val="nil"/>
          <w:bottom w:val="nil"/>
          <w:right w:val="nil"/>
          <w:between w:val="nil"/>
        </w:pBdr>
        <w:autoSpaceDE/>
        <w:autoSpaceDN/>
        <w:adjustRightInd/>
        <w:ind w:left="284" w:hanging="284"/>
        <w:contextualSpacing/>
        <w:jc w:val="both"/>
        <w:rPr>
          <w:rFonts w:eastAsia="Times New Roman" w:cs="Times New Roman"/>
          <w:szCs w:val="24"/>
        </w:rPr>
      </w:pPr>
      <w:r w:rsidRPr="005D4AE4">
        <w:rPr>
          <w:rFonts w:cs="Times New Roman"/>
          <w:szCs w:val="24"/>
        </w:rPr>
        <w:t>ustawy z dnia 11 kwietnia 2003 r. o kształtowaniu ustroju rolnego</w:t>
      </w:r>
    </w:p>
    <w:p w:rsidR="005D4AE4" w:rsidRPr="005D4AE4" w:rsidRDefault="005D4AE4" w:rsidP="00F84DA9">
      <w:pPr>
        <w:widowControl/>
        <w:numPr>
          <w:ilvl w:val="0"/>
          <w:numId w:val="1"/>
        </w:numPr>
        <w:pBdr>
          <w:top w:val="nil"/>
          <w:left w:val="nil"/>
          <w:bottom w:val="nil"/>
          <w:right w:val="nil"/>
          <w:between w:val="nil"/>
        </w:pBdr>
        <w:autoSpaceDE/>
        <w:autoSpaceDN/>
        <w:adjustRightInd/>
        <w:ind w:left="284" w:hanging="284"/>
        <w:contextualSpacing/>
        <w:jc w:val="both"/>
        <w:rPr>
          <w:rFonts w:eastAsia="Times New Roman" w:cs="Times New Roman"/>
          <w:szCs w:val="24"/>
        </w:rPr>
      </w:pPr>
      <w:r w:rsidRPr="005D4AE4">
        <w:rPr>
          <w:rFonts w:eastAsia="Times New Roman" w:cs="Times New Roman"/>
          <w:szCs w:val="24"/>
        </w:rPr>
        <w:t xml:space="preserve">ustawy z dnia 5 września 2008 r. o komercjalizacji państwowego przedsiębiorstwa użyteczności publicznej „Poczta Polska”, </w:t>
      </w:r>
    </w:p>
    <w:p w:rsidR="005D4AE4" w:rsidRPr="005D4AE4" w:rsidRDefault="005D4AE4" w:rsidP="00F84DA9">
      <w:pPr>
        <w:widowControl/>
        <w:numPr>
          <w:ilvl w:val="0"/>
          <w:numId w:val="1"/>
        </w:numPr>
        <w:pBdr>
          <w:top w:val="nil"/>
          <w:left w:val="nil"/>
          <w:bottom w:val="nil"/>
          <w:right w:val="nil"/>
          <w:between w:val="nil"/>
        </w:pBdr>
        <w:autoSpaceDE/>
        <w:autoSpaceDN/>
        <w:adjustRightInd/>
        <w:ind w:left="284" w:hanging="284"/>
        <w:contextualSpacing/>
        <w:jc w:val="both"/>
        <w:rPr>
          <w:rFonts w:eastAsia="Times New Roman" w:cs="Times New Roman"/>
          <w:szCs w:val="24"/>
        </w:rPr>
      </w:pPr>
      <w:r w:rsidRPr="005D4AE4">
        <w:rPr>
          <w:rFonts w:eastAsia="Times New Roman" w:cs="Times New Roman"/>
          <w:szCs w:val="24"/>
        </w:rPr>
        <w:t xml:space="preserve">ustawy z dnia 3 października 2008 r. o udostępnianiu informacji o środowisku i jego ochronie, udziale społeczeństwa w ochronie środowiska oraz o ocenach oddziaływania na środowisko, </w:t>
      </w:r>
    </w:p>
    <w:p w:rsidR="005D4AE4" w:rsidRPr="005D4AE4" w:rsidRDefault="005D4AE4" w:rsidP="00F84DA9">
      <w:pPr>
        <w:widowControl/>
        <w:numPr>
          <w:ilvl w:val="0"/>
          <w:numId w:val="1"/>
        </w:numPr>
        <w:pBdr>
          <w:top w:val="nil"/>
          <w:left w:val="nil"/>
          <w:bottom w:val="nil"/>
          <w:right w:val="nil"/>
          <w:between w:val="nil"/>
        </w:pBdr>
        <w:autoSpaceDE/>
        <w:autoSpaceDN/>
        <w:adjustRightInd/>
        <w:ind w:left="284" w:hanging="284"/>
        <w:contextualSpacing/>
        <w:jc w:val="both"/>
        <w:rPr>
          <w:rFonts w:eastAsia="Times New Roman" w:cs="Times New Roman"/>
          <w:szCs w:val="24"/>
        </w:rPr>
      </w:pPr>
      <w:r w:rsidRPr="005D4AE4">
        <w:rPr>
          <w:rFonts w:eastAsia="Times New Roman" w:cs="Times New Roman"/>
          <w:szCs w:val="24"/>
        </w:rPr>
        <w:t>ustawy z dnia 16 grudnia 2016 r. o zasadach zarządzania mieniem państwowym.</w:t>
      </w:r>
    </w:p>
    <w:p w:rsidR="005D4AE4" w:rsidRPr="005D4AE4" w:rsidRDefault="005D4AE4" w:rsidP="005D4AE4">
      <w:pPr>
        <w:spacing w:before="120"/>
        <w:jc w:val="both"/>
        <w:rPr>
          <w:rFonts w:eastAsia="Times New Roman" w:cs="Times New Roman"/>
          <w:b/>
          <w:szCs w:val="24"/>
        </w:rPr>
      </w:pPr>
      <w:bookmarkStart w:id="17" w:name="_1ksv4uv" w:colFirst="0" w:colLast="0"/>
      <w:bookmarkEnd w:id="17"/>
      <w:r w:rsidRPr="005D4AE4">
        <w:rPr>
          <w:rFonts w:eastAsia="Times New Roman" w:cs="Times New Roman"/>
          <w:b/>
          <w:szCs w:val="24"/>
        </w:rPr>
        <w:t>Przepisy przejściowe, dostosowujące i końcowe</w:t>
      </w:r>
    </w:p>
    <w:p w:rsidR="005D4AE4" w:rsidRPr="005D4AE4" w:rsidRDefault="005D4AE4" w:rsidP="005D4AE4">
      <w:pPr>
        <w:spacing w:before="120"/>
        <w:jc w:val="both"/>
        <w:rPr>
          <w:rFonts w:eastAsia="Times New Roman" w:cs="Times New Roman"/>
          <w:szCs w:val="24"/>
        </w:rPr>
      </w:pPr>
      <w:bookmarkStart w:id="18" w:name="_44sinio" w:colFirst="0" w:colLast="0"/>
      <w:bookmarkEnd w:id="18"/>
      <w:r w:rsidRPr="005D4AE4">
        <w:rPr>
          <w:rFonts w:eastAsia="Times New Roman" w:cs="Times New Roman"/>
          <w:szCs w:val="24"/>
        </w:rPr>
        <w:t>W dziale V zrealizowano obowiązek przewidziany w art. 50 ustawy o finansach publicznych, wskazując maksymalny limit wydatków sektora finansów publicznych na realizację zadań ustawowych oraz regulując odpow</w:t>
      </w:r>
      <w:r w:rsidR="00F534FE">
        <w:rPr>
          <w:rFonts w:eastAsia="Times New Roman" w:cs="Times New Roman"/>
          <w:szCs w:val="24"/>
        </w:rPr>
        <w:t>iednie mechanizmy korygowania i </w:t>
      </w:r>
      <w:r w:rsidRPr="005D4AE4">
        <w:rPr>
          <w:rFonts w:eastAsia="Times New Roman" w:cs="Times New Roman"/>
          <w:szCs w:val="24"/>
        </w:rPr>
        <w:t>monitorowania wydatków.</w:t>
      </w:r>
    </w:p>
    <w:p w:rsidR="005D4AE4" w:rsidRPr="005D4AE4" w:rsidRDefault="005D4AE4" w:rsidP="005D4AE4">
      <w:pPr>
        <w:spacing w:before="120"/>
        <w:jc w:val="both"/>
        <w:rPr>
          <w:rFonts w:eastAsia="Times New Roman" w:cs="Times New Roman"/>
          <w:szCs w:val="24"/>
        </w:rPr>
      </w:pPr>
      <w:bookmarkStart w:id="19" w:name="_2jxsxqh" w:colFirst="0" w:colLast="0"/>
      <w:bookmarkEnd w:id="19"/>
      <w:r w:rsidRPr="005D4AE4">
        <w:rPr>
          <w:rFonts w:eastAsia="Times New Roman" w:cs="Times New Roman"/>
          <w:szCs w:val="24"/>
        </w:rPr>
        <w:t xml:space="preserve">Wśród zagadnień przejściowych wymagających uregulowania zidentyfikowano potrzebę wskazania obowiązku dostosowania do Zasad Zarządzania również umów zawartych przed dniem wejścia w życie ustawy </w:t>
      </w:r>
      <w:r>
        <w:rPr>
          <w:rFonts w:eastAsia="Times New Roman" w:cs="Times New Roman"/>
          <w:szCs w:val="24"/>
        </w:rPr>
        <w:t>–</w:t>
      </w:r>
      <w:r w:rsidRPr="005D4AE4">
        <w:rPr>
          <w:rFonts w:eastAsia="Times New Roman" w:cs="Times New Roman"/>
          <w:szCs w:val="24"/>
        </w:rPr>
        <w:t xml:space="preserve"> w ty</w:t>
      </w:r>
      <w:r w:rsidR="00F534FE">
        <w:rPr>
          <w:rFonts w:eastAsia="Times New Roman" w:cs="Times New Roman"/>
          <w:szCs w:val="24"/>
        </w:rPr>
        <w:t xml:space="preserve">m zakresie Inwestorzy podejmą </w:t>
      </w:r>
      <w:r w:rsidR="00F534FE">
        <w:rPr>
          <w:rFonts w:eastAsia="Times New Roman" w:cs="Times New Roman"/>
          <w:szCs w:val="24"/>
        </w:rPr>
        <w:lastRenderedPageBreak/>
        <w:t>z </w:t>
      </w:r>
      <w:r w:rsidRPr="005D4AE4">
        <w:rPr>
          <w:rFonts w:eastAsia="Times New Roman" w:cs="Times New Roman"/>
          <w:szCs w:val="24"/>
        </w:rPr>
        <w:t>Wykonawcami negocjacje w celu dostosowania brzmienia umów.</w:t>
      </w:r>
    </w:p>
    <w:p w:rsidR="005D4AE4" w:rsidRPr="005D4AE4" w:rsidRDefault="005D4AE4" w:rsidP="005D4AE4">
      <w:pPr>
        <w:spacing w:before="120"/>
        <w:jc w:val="both"/>
        <w:rPr>
          <w:rFonts w:eastAsia="Times New Roman" w:cs="Times New Roman"/>
          <w:szCs w:val="24"/>
        </w:rPr>
      </w:pPr>
      <w:bookmarkStart w:id="20" w:name="_z337ya" w:colFirst="0" w:colLast="0"/>
      <w:bookmarkEnd w:id="20"/>
      <w:r w:rsidRPr="005D4AE4">
        <w:rPr>
          <w:rFonts w:eastAsia="Times New Roman" w:cs="Times New Roman"/>
          <w:szCs w:val="24"/>
        </w:rPr>
        <w:t>Kolejnym zagadnieniem jest kwestia terminu przekazania pierwszego wykazu nieruchomości na potrzeby wpro</w:t>
      </w:r>
      <w:r>
        <w:rPr>
          <w:rFonts w:eastAsia="Times New Roman" w:cs="Times New Roman"/>
          <w:szCs w:val="24"/>
        </w:rPr>
        <w:t>wadzanych zasad gospodarowania –</w:t>
      </w:r>
      <w:r w:rsidRPr="005D4AE4">
        <w:rPr>
          <w:rFonts w:eastAsia="Times New Roman" w:cs="Times New Roman"/>
          <w:szCs w:val="24"/>
        </w:rPr>
        <w:t xml:space="preserve"> w zakresie podmiotów, na które taki obowiązek nakłada ustawa, termin ten określono na 1 miesiąc od dnia wejścia w życie rozporządzenia, o którym mowa w art. 99 ust. 11.</w:t>
      </w:r>
    </w:p>
    <w:p w:rsidR="005D4AE4" w:rsidRPr="005D4AE4" w:rsidRDefault="005D4AE4" w:rsidP="005D4AE4">
      <w:pPr>
        <w:spacing w:before="120"/>
        <w:jc w:val="both"/>
        <w:rPr>
          <w:rFonts w:eastAsia="Times New Roman" w:cs="Times New Roman"/>
          <w:szCs w:val="24"/>
        </w:rPr>
      </w:pPr>
      <w:bookmarkStart w:id="21" w:name="_3j2qqm3" w:colFirst="0" w:colLast="0"/>
      <w:bookmarkEnd w:id="21"/>
      <w:r w:rsidRPr="005D4AE4">
        <w:rPr>
          <w:rFonts w:eastAsia="Times New Roman" w:cs="Times New Roman"/>
          <w:szCs w:val="24"/>
        </w:rPr>
        <w:t>Ponieważ ustawa ustanawia Pełnomocnika, zbędne staje się funkcjonowanie analogicznego organ</w:t>
      </w:r>
      <w:r>
        <w:rPr>
          <w:rFonts w:eastAsia="Times New Roman" w:cs="Times New Roman"/>
          <w:szCs w:val="24"/>
        </w:rPr>
        <w:t>u umocowanego w rozporządzeniu –</w:t>
      </w:r>
      <w:r w:rsidR="00F534FE">
        <w:rPr>
          <w:rFonts w:eastAsia="Times New Roman" w:cs="Times New Roman"/>
          <w:szCs w:val="24"/>
        </w:rPr>
        <w:t xml:space="preserve"> Pełnomocnik ten staje się z </w:t>
      </w:r>
      <w:r w:rsidRPr="005D4AE4">
        <w:rPr>
          <w:rFonts w:eastAsia="Times New Roman" w:cs="Times New Roman"/>
          <w:szCs w:val="24"/>
        </w:rPr>
        <w:t>mocy prawa Pełn</w:t>
      </w:r>
      <w:r>
        <w:rPr>
          <w:rFonts w:eastAsia="Times New Roman" w:cs="Times New Roman"/>
          <w:szCs w:val="24"/>
        </w:rPr>
        <w:t>omocnikiem w rozumieniu ustawy –</w:t>
      </w:r>
      <w:r w:rsidRPr="005D4AE4">
        <w:rPr>
          <w:rFonts w:eastAsia="Times New Roman" w:cs="Times New Roman"/>
          <w:szCs w:val="24"/>
        </w:rPr>
        <w:t xml:space="preserve"> bez potrzeby powoływania osobnym aktem.</w:t>
      </w:r>
    </w:p>
    <w:p w:rsidR="005D4AE4" w:rsidRPr="005D4AE4" w:rsidRDefault="005D4AE4" w:rsidP="005D4AE4">
      <w:pPr>
        <w:spacing w:before="120"/>
        <w:jc w:val="both"/>
        <w:rPr>
          <w:rFonts w:eastAsia="Times New Roman" w:cs="Times New Roman"/>
          <w:szCs w:val="24"/>
        </w:rPr>
      </w:pPr>
      <w:bookmarkStart w:id="22" w:name="_1y810tw" w:colFirst="0" w:colLast="0"/>
      <w:bookmarkEnd w:id="22"/>
      <w:r w:rsidRPr="005D4AE4">
        <w:rPr>
          <w:rFonts w:eastAsia="Times New Roman" w:cs="Times New Roman"/>
          <w:szCs w:val="24"/>
        </w:rPr>
        <w:t>Termin wejścia w życie ustawy określono w sposób typowy, na 14 dni od dnia ogłoszenia.</w:t>
      </w:r>
    </w:p>
    <w:p w:rsidR="005D4AE4" w:rsidRPr="005D4AE4" w:rsidRDefault="005D4AE4" w:rsidP="005D4AE4">
      <w:pPr>
        <w:spacing w:before="120"/>
        <w:jc w:val="both"/>
        <w:rPr>
          <w:rFonts w:eastAsia="Times New Roman" w:cs="Times New Roman"/>
          <w:b/>
          <w:szCs w:val="24"/>
        </w:rPr>
      </w:pPr>
      <w:bookmarkStart w:id="23" w:name="_4i7ojhp" w:colFirst="0" w:colLast="0"/>
      <w:bookmarkEnd w:id="23"/>
      <w:r w:rsidRPr="005D4AE4">
        <w:rPr>
          <w:rFonts w:eastAsia="Times New Roman" w:cs="Times New Roman"/>
          <w:b/>
          <w:szCs w:val="24"/>
        </w:rPr>
        <w:t>Wpływ na mikro</w:t>
      </w:r>
      <w:r w:rsidR="00414FDE">
        <w:rPr>
          <w:rFonts w:eastAsia="Times New Roman" w:cs="Times New Roman"/>
          <w:b/>
          <w:szCs w:val="24"/>
        </w:rPr>
        <w:t>-</w:t>
      </w:r>
      <w:r w:rsidRPr="005D4AE4">
        <w:rPr>
          <w:rFonts w:eastAsia="Times New Roman" w:cs="Times New Roman"/>
          <w:b/>
          <w:szCs w:val="24"/>
        </w:rPr>
        <w:t xml:space="preserve"> i małych przedsiębiorców</w:t>
      </w:r>
    </w:p>
    <w:p w:rsidR="005D4AE4" w:rsidRPr="005D4AE4" w:rsidRDefault="005D4AE4" w:rsidP="005D4AE4">
      <w:pPr>
        <w:spacing w:before="120"/>
        <w:ind w:left="-11"/>
        <w:jc w:val="both"/>
        <w:rPr>
          <w:rFonts w:eastAsia="Times New Roman" w:cs="Times New Roman"/>
          <w:b/>
          <w:szCs w:val="24"/>
        </w:rPr>
      </w:pPr>
      <w:r w:rsidRPr="005D4AE4">
        <w:rPr>
          <w:rFonts w:eastAsia="Times New Roman" w:cs="Times New Roman"/>
          <w:szCs w:val="24"/>
        </w:rPr>
        <w:t>Przyjęte w projekcie ustawy rozwiązania będą miały pozytywny wpływ na działalność mikro</w:t>
      </w:r>
      <w:r w:rsidR="00414FDE">
        <w:rPr>
          <w:rFonts w:eastAsia="Times New Roman" w:cs="Times New Roman"/>
          <w:szCs w:val="24"/>
        </w:rPr>
        <w:t>-</w:t>
      </w:r>
      <w:r w:rsidRPr="005D4AE4">
        <w:rPr>
          <w:rFonts w:eastAsia="Times New Roman" w:cs="Times New Roman"/>
          <w:szCs w:val="24"/>
        </w:rPr>
        <w:t xml:space="preserve">, małych i średnich przedsiębiorców, stosownie do przepisu </w:t>
      </w:r>
      <w:r w:rsidR="00F84DA9">
        <w:rPr>
          <w:rFonts w:eastAsia="Times New Roman" w:cs="Times New Roman"/>
          <w:szCs w:val="24"/>
        </w:rPr>
        <w:t>art. 103 pkt 1a ustawy z dnia 2</w:t>
      </w:r>
      <w:r w:rsidR="00F534FE">
        <w:rPr>
          <w:rFonts w:eastAsia="Times New Roman" w:cs="Times New Roman"/>
          <w:szCs w:val="24"/>
        </w:rPr>
        <w:t xml:space="preserve"> </w:t>
      </w:r>
      <w:r w:rsidRPr="005D4AE4">
        <w:rPr>
          <w:rFonts w:eastAsia="Times New Roman" w:cs="Times New Roman"/>
          <w:szCs w:val="24"/>
        </w:rPr>
        <w:t>lipca 2004 r. o swobodzie działalności gospodarczej. Osiągnięcie celów gospodarczych projektu ustawy związane będzie z istotnym ożywieniem gospodarczym, zarówno w skali kraju, jak i w skali regionu lokalizacji CPK.</w:t>
      </w:r>
    </w:p>
    <w:p w:rsidR="005D4AE4" w:rsidRPr="005D4AE4" w:rsidRDefault="005D4AE4" w:rsidP="005D4AE4">
      <w:pPr>
        <w:spacing w:before="120"/>
        <w:jc w:val="both"/>
        <w:rPr>
          <w:rFonts w:eastAsia="Times New Roman" w:cs="Times New Roman"/>
          <w:b/>
          <w:szCs w:val="24"/>
        </w:rPr>
      </w:pPr>
      <w:bookmarkStart w:id="24" w:name="_2xcytpi" w:colFirst="0" w:colLast="0"/>
      <w:bookmarkEnd w:id="24"/>
      <w:r w:rsidRPr="005D4AE4">
        <w:rPr>
          <w:rFonts w:eastAsia="Times New Roman" w:cs="Times New Roman"/>
          <w:b/>
          <w:szCs w:val="24"/>
        </w:rPr>
        <w:t>Możliwość zastosowania pozalegislacyjnego środka interwencji</w:t>
      </w:r>
    </w:p>
    <w:p w:rsidR="005D4AE4" w:rsidRPr="005D4AE4" w:rsidRDefault="005D4AE4" w:rsidP="005D4AE4">
      <w:pPr>
        <w:spacing w:before="120"/>
        <w:jc w:val="both"/>
        <w:rPr>
          <w:rFonts w:eastAsia="Times New Roman" w:cs="Times New Roman"/>
          <w:szCs w:val="24"/>
        </w:rPr>
      </w:pPr>
      <w:bookmarkStart w:id="25" w:name="_1ci93xb" w:colFirst="0" w:colLast="0"/>
      <w:bookmarkEnd w:id="25"/>
      <w:r w:rsidRPr="005D4AE4">
        <w:rPr>
          <w:rFonts w:eastAsia="Times New Roman" w:cs="Times New Roman"/>
          <w:szCs w:val="24"/>
        </w:rPr>
        <w:t xml:space="preserve">Biorąc pod uwagę materię przedmiotowego projektu, dotyczącą realizacji inwestycji, nie istnieje możliwość osiągnięcia celów projektu przy pomocy innych niż legislacyjne środków interwencji </w:t>
      </w:r>
      <w:r>
        <w:rPr>
          <w:rFonts w:eastAsia="Times New Roman" w:cs="Times New Roman"/>
          <w:szCs w:val="24"/>
        </w:rPr>
        <w:t>–</w:t>
      </w:r>
      <w:r w:rsidRPr="005D4AE4">
        <w:rPr>
          <w:rFonts w:eastAsia="Times New Roman" w:cs="Times New Roman"/>
          <w:szCs w:val="24"/>
        </w:rPr>
        <w:t xml:space="preserve"> w zakresie, jaki podlega uregulowaniu.</w:t>
      </w:r>
    </w:p>
    <w:p w:rsidR="005D4AE4" w:rsidRPr="005D4AE4" w:rsidRDefault="005D4AE4" w:rsidP="005D4AE4">
      <w:pPr>
        <w:spacing w:before="120"/>
        <w:jc w:val="both"/>
        <w:rPr>
          <w:rFonts w:eastAsia="Times New Roman" w:cs="Times New Roman"/>
          <w:szCs w:val="24"/>
        </w:rPr>
      </w:pPr>
      <w:r w:rsidRPr="005D4AE4">
        <w:rPr>
          <w:rFonts w:eastAsia="Times New Roman" w:cs="Times New Roman"/>
          <w:b/>
          <w:szCs w:val="24"/>
        </w:rPr>
        <w:t>Pozostałe informacje</w:t>
      </w:r>
    </w:p>
    <w:p w:rsidR="005D4AE4" w:rsidRPr="005D4AE4" w:rsidRDefault="005D4AE4" w:rsidP="005D4AE4">
      <w:pPr>
        <w:spacing w:before="120"/>
        <w:ind w:left="-11"/>
        <w:jc w:val="both"/>
        <w:rPr>
          <w:rFonts w:eastAsia="Times New Roman" w:cs="Times New Roman"/>
          <w:szCs w:val="24"/>
        </w:rPr>
      </w:pPr>
      <w:r w:rsidRPr="005D4AE4">
        <w:rPr>
          <w:rFonts w:eastAsia="Times New Roman" w:cs="Times New Roman"/>
          <w:szCs w:val="24"/>
        </w:rPr>
        <w:t>Zakres projektu ustawy jest objęty prawem Unii Europejskiej.</w:t>
      </w:r>
    </w:p>
    <w:p w:rsidR="005D4AE4" w:rsidRPr="005D4AE4" w:rsidRDefault="005D4AE4" w:rsidP="005D4AE4">
      <w:pPr>
        <w:spacing w:before="120"/>
        <w:ind w:left="-11"/>
        <w:jc w:val="both"/>
        <w:rPr>
          <w:rFonts w:eastAsia="Times New Roman" w:cs="Times New Roman"/>
          <w:szCs w:val="24"/>
        </w:rPr>
      </w:pPr>
      <w:r w:rsidRPr="005D4AE4">
        <w:rPr>
          <w:rFonts w:eastAsia="Times New Roman" w:cs="Times New Roman"/>
          <w:szCs w:val="24"/>
        </w:rPr>
        <w:t>Projekt nie wymaga zaopiniowania, dokonania</w:t>
      </w:r>
      <w:r w:rsidR="00F534FE">
        <w:rPr>
          <w:rFonts w:eastAsia="Times New Roman" w:cs="Times New Roman"/>
          <w:szCs w:val="24"/>
        </w:rPr>
        <w:t xml:space="preserve"> konsultacji albo uzgodnienia z </w:t>
      </w:r>
      <w:r w:rsidRPr="005D4AE4">
        <w:rPr>
          <w:rFonts w:eastAsia="Times New Roman" w:cs="Times New Roman"/>
          <w:szCs w:val="24"/>
        </w:rPr>
        <w:t>właściwymi instytucjami i organami Unii Europejskiej.</w:t>
      </w:r>
    </w:p>
    <w:p w:rsidR="005D4AE4" w:rsidRPr="005D4AE4" w:rsidRDefault="005D4AE4" w:rsidP="005D4AE4">
      <w:pPr>
        <w:spacing w:before="120"/>
        <w:ind w:left="-11"/>
        <w:jc w:val="both"/>
        <w:rPr>
          <w:rFonts w:eastAsia="Times New Roman" w:cs="Times New Roman"/>
          <w:szCs w:val="24"/>
        </w:rPr>
      </w:pPr>
      <w:r w:rsidRPr="005D4AE4">
        <w:rPr>
          <w:rFonts w:eastAsia="Times New Roman" w:cs="Times New Roman"/>
          <w:szCs w:val="24"/>
        </w:rPr>
        <w:t>Zgodnie z § 4 rozporządzenia Rady Ministrów z dnia 23 grudnia 2002 r. w sprawie sposobu funkcjonowania krajowego systemu notyfikacji norm i aktów prawnych projekt nie podlega notyfikacji Komisji Europejskiej.</w:t>
      </w:r>
    </w:p>
    <w:p w:rsidR="005D4AE4" w:rsidRPr="005D4AE4" w:rsidRDefault="005D4AE4" w:rsidP="005D4AE4">
      <w:pPr>
        <w:spacing w:before="120"/>
        <w:ind w:left="-11"/>
        <w:jc w:val="both"/>
        <w:rPr>
          <w:rFonts w:eastAsia="Times New Roman" w:cs="Times New Roman"/>
          <w:szCs w:val="24"/>
        </w:rPr>
      </w:pPr>
      <w:r w:rsidRPr="005D4AE4">
        <w:rPr>
          <w:rFonts w:eastAsia="Times New Roman" w:cs="Times New Roman"/>
          <w:szCs w:val="24"/>
        </w:rPr>
        <w:t xml:space="preserve">Zgodnie z art. 5 ustawy z dnia 7 lipca 2005 r. o działalności lobbingowej w procesie stanowienia prawa projekt został udostępniony w Biuletynie Informacji Publicznej na </w:t>
      </w:r>
      <w:r w:rsidRPr="005D4AE4">
        <w:rPr>
          <w:rFonts w:eastAsia="Times New Roman" w:cs="Times New Roman"/>
          <w:szCs w:val="24"/>
        </w:rPr>
        <w:lastRenderedPageBreak/>
        <w:t>stronie internetowej Rządowego Centrum Legislacji w zakładce Rządowy Proces Legislacyjny.</w:t>
      </w:r>
    </w:p>
    <w:p w:rsidR="005D4AE4" w:rsidRPr="005D4AE4" w:rsidRDefault="005D4AE4" w:rsidP="005D4AE4">
      <w:pPr>
        <w:spacing w:before="120"/>
        <w:ind w:left="-11"/>
        <w:jc w:val="both"/>
        <w:rPr>
          <w:rFonts w:eastAsia="Times New Roman" w:cs="Times New Roman"/>
          <w:szCs w:val="24"/>
        </w:rPr>
      </w:pPr>
      <w:r w:rsidRPr="005D4AE4">
        <w:rPr>
          <w:rFonts w:eastAsia="Times New Roman" w:cs="Times New Roman"/>
          <w:szCs w:val="24"/>
        </w:rPr>
        <w:t>Załącznikiem do uzasadnienia jest Ocena Skutków Regulacji.</w:t>
      </w:r>
    </w:p>
    <w:sectPr w:rsidR="005D4AE4" w:rsidRPr="005D4AE4" w:rsidSect="00F534FE">
      <w:footerReference w:type="default" r:id="rId9"/>
      <w:footnotePr>
        <w:numRestart w:val="eachSect"/>
      </w:footnotePr>
      <w:pgSz w:w="11906" w:h="16838"/>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922" w:rsidRDefault="00693922" w:rsidP="005D4AE4">
      <w:pPr>
        <w:spacing w:line="240" w:lineRule="auto"/>
      </w:pPr>
      <w:r>
        <w:separator/>
      </w:r>
    </w:p>
  </w:endnote>
  <w:endnote w:type="continuationSeparator" w:id="0">
    <w:p w:rsidR="00693922" w:rsidRDefault="00693922" w:rsidP="005D4A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8514549"/>
      <w:docPartObj>
        <w:docPartGallery w:val="Page Numbers (Bottom of Page)"/>
        <w:docPartUnique/>
      </w:docPartObj>
    </w:sdtPr>
    <w:sdtEndPr>
      <w:rPr>
        <w:rFonts w:ascii="Times New Roman" w:hAnsi="Times New Roman"/>
      </w:rPr>
    </w:sdtEndPr>
    <w:sdtContent>
      <w:p w:rsidR="00F84DA9" w:rsidRPr="00F84DA9" w:rsidRDefault="00F84DA9">
        <w:pPr>
          <w:pStyle w:val="Stopka"/>
          <w:jc w:val="center"/>
          <w:rPr>
            <w:rFonts w:ascii="Times New Roman" w:hAnsi="Times New Roman"/>
          </w:rPr>
        </w:pPr>
        <w:r w:rsidRPr="00F84DA9">
          <w:rPr>
            <w:rFonts w:ascii="Times New Roman" w:hAnsi="Times New Roman"/>
          </w:rPr>
          <w:fldChar w:fldCharType="begin"/>
        </w:r>
        <w:r w:rsidRPr="00F84DA9">
          <w:rPr>
            <w:rFonts w:ascii="Times New Roman" w:hAnsi="Times New Roman"/>
          </w:rPr>
          <w:instrText>PAGE   \* MERGEFORMAT</w:instrText>
        </w:r>
        <w:r w:rsidRPr="00F84DA9">
          <w:rPr>
            <w:rFonts w:ascii="Times New Roman" w:hAnsi="Times New Roman"/>
          </w:rPr>
          <w:fldChar w:fldCharType="separate"/>
        </w:r>
        <w:r w:rsidR="00CC3A8B">
          <w:rPr>
            <w:rFonts w:ascii="Times New Roman" w:hAnsi="Times New Roman"/>
            <w:noProof/>
          </w:rPr>
          <w:t>2</w:t>
        </w:r>
        <w:r w:rsidRPr="00F84DA9">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922" w:rsidRDefault="00693922" w:rsidP="005D4AE4">
      <w:pPr>
        <w:spacing w:line="240" w:lineRule="auto"/>
      </w:pPr>
      <w:r>
        <w:separator/>
      </w:r>
    </w:p>
  </w:footnote>
  <w:footnote w:type="continuationSeparator" w:id="0">
    <w:p w:rsidR="00693922" w:rsidRDefault="00693922" w:rsidP="005D4AE4">
      <w:pPr>
        <w:spacing w:line="240" w:lineRule="auto"/>
      </w:pPr>
      <w:r>
        <w:continuationSeparator/>
      </w:r>
    </w:p>
  </w:footnote>
  <w:footnote w:id="1">
    <w:p w:rsidR="00693922" w:rsidRDefault="00693922" w:rsidP="008F3269">
      <w:pPr>
        <w:spacing w:line="240" w:lineRule="auto"/>
        <w:ind w:left="284" w:hanging="284"/>
        <w:jc w:val="both"/>
        <w:rPr>
          <w:rFonts w:eastAsia="Times New Roman" w:cs="Times New Roman"/>
        </w:rPr>
      </w:pPr>
      <w:r w:rsidRPr="008F3269">
        <w:rPr>
          <w:sz w:val="20"/>
          <w:vertAlign w:val="superscript"/>
        </w:rPr>
        <w:footnoteRef/>
      </w:r>
      <w:r w:rsidRPr="008F3269">
        <w:rPr>
          <w:rFonts w:eastAsia="Times New Roman" w:cs="Times New Roman"/>
          <w:sz w:val="20"/>
          <w:vertAlign w:val="superscript"/>
        </w:rPr>
        <w:t>)</w:t>
      </w:r>
      <w:r>
        <w:rPr>
          <w:rFonts w:eastAsia="Times New Roman" w:cs="Times New Roman"/>
          <w:sz w:val="20"/>
        </w:rPr>
        <w:tab/>
      </w:r>
      <w:r>
        <w:rPr>
          <w:rFonts w:eastAsia="Times New Roman" w:cs="Times New Roman"/>
          <w:sz w:val="18"/>
          <w:szCs w:val="18"/>
        </w:rPr>
        <w:t xml:space="preserve">Uchwała </w:t>
      </w:r>
      <w:r w:rsidR="00CA1EDC">
        <w:rPr>
          <w:rFonts w:eastAsia="Times New Roman" w:cs="Times New Roman"/>
          <w:sz w:val="18"/>
          <w:szCs w:val="18"/>
        </w:rPr>
        <w:t>n</w:t>
      </w:r>
      <w:r>
        <w:rPr>
          <w:rFonts w:eastAsia="Times New Roman" w:cs="Times New Roman"/>
          <w:sz w:val="18"/>
          <w:szCs w:val="18"/>
        </w:rPr>
        <w:t>r 173/2017 Rady Ministrów z dnia 7 listopada 2017 r. w sprawie przyjęcia Koncepcji przygotowania i</w:t>
      </w:r>
      <w:r w:rsidR="00F534FE">
        <w:rPr>
          <w:rFonts w:eastAsia="Times New Roman" w:cs="Times New Roman"/>
          <w:sz w:val="18"/>
          <w:szCs w:val="18"/>
        </w:rPr>
        <w:t> </w:t>
      </w:r>
      <w:r>
        <w:rPr>
          <w:rFonts w:eastAsia="Times New Roman" w:cs="Times New Roman"/>
          <w:sz w:val="18"/>
          <w:szCs w:val="18"/>
        </w:rPr>
        <w:t>realizacji inwestycji Port Solidarność – Centralny Port Komunikacyjny dla Rzeczypospolitej Polskiej</w:t>
      </w:r>
    </w:p>
  </w:footnote>
  <w:footnote w:id="2">
    <w:p w:rsidR="00693922" w:rsidRDefault="00693922" w:rsidP="00F534FE">
      <w:pPr>
        <w:spacing w:line="240" w:lineRule="auto"/>
        <w:ind w:left="284" w:hanging="284"/>
        <w:jc w:val="both"/>
        <w:rPr>
          <w:rFonts w:eastAsia="Times New Roman" w:cs="Times New Roman"/>
        </w:rPr>
      </w:pPr>
      <w:r w:rsidRPr="00693922">
        <w:rPr>
          <w:sz w:val="20"/>
          <w:vertAlign w:val="superscript"/>
        </w:rPr>
        <w:footnoteRef/>
      </w:r>
      <w:r w:rsidRPr="00693922">
        <w:rPr>
          <w:rFonts w:eastAsia="Times New Roman" w:cs="Times New Roman"/>
          <w:sz w:val="20"/>
          <w:vertAlign w:val="superscript"/>
        </w:rPr>
        <w:t>)</w:t>
      </w:r>
      <w:r>
        <w:rPr>
          <w:rFonts w:eastAsia="Times New Roman" w:cs="Times New Roman"/>
          <w:sz w:val="18"/>
          <w:szCs w:val="18"/>
        </w:rPr>
        <w:tab/>
        <w:t>Dz. U. z 2006 r. Nr 106 poz. 720</w:t>
      </w:r>
    </w:p>
  </w:footnote>
  <w:footnote w:id="3">
    <w:p w:rsidR="00693922" w:rsidRDefault="00693922" w:rsidP="00F534FE">
      <w:pPr>
        <w:spacing w:line="240" w:lineRule="auto"/>
        <w:ind w:left="284" w:hanging="284"/>
        <w:rPr>
          <w:rFonts w:eastAsia="Times New Roman" w:cs="Times New Roman"/>
        </w:rPr>
      </w:pPr>
      <w:r w:rsidRPr="00693922">
        <w:rPr>
          <w:sz w:val="20"/>
          <w:vertAlign w:val="superscript"/>
        </w:rPr>
        <w:footnoteRef/>
      </w:r>
      <w:r w:rsidRPr="00693922">
        <w:rPr>
          <w:rFonts w:eastAsia="Times New Roman" w:cs="Times New Roman"/>
          <w:sz w:val="20"/>
          <w:vertAlign w:val="superscript"/>
        </w:rPr>
        <w:t>)</w:t>
      </w:r>
      <w:r>
        <w:rPr>
          <w:rFonts w:eastAsia="Times New Roman" w:cs="Times New Roman"/>
          <w:sz w:val="18"/>
          <w:szCs w:val="18"/>
        </w:rPr>
        <w:tab/>
        <w:t>Dz. U. z 2012 r. poz. 1150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95B75"/>
    <w:multiLevelType w:val="hybridMultilevel"/>
    <w:tmpl w:val="B0BE10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CFE2D50"/>
    <w:multiLevelType w:val="multilevel"/>
    <w:tmpl w:val="19BEEB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CA11393"/>
    <w:multiLevelType w:val="multilevel"/>
    <w:tmpl w:val="3496BD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AE4"/>
    <w:rsid w:val="00052D8F"/>
    <w:rsid w:val="001D7703"/>
    <w:rsid w:val="001E3D9F"/>
    <w:rsid w:val="00414FDE"/>
    <w:rsid w:val="00463CEA"/>
    <w:rsid w:val="004A1DA5"/>
    <w:rsid w:val="004E0868"/>
    <w:rsid w:val="005D4AE4"/>
    <w:rsid w:val="005E3EB4"/>
    <w:rsid w:val="00603CDF"/>
    <w:rsid w:val="00693922"/>
    <w:rsid w:val="007F5FA8"/>
    <w:rsid w:val="00883FD9"/>
    <w:rsid w:val="008F2D0A"/>
    <w:rsid w:val="008F3269"/>
    <w:rsid w:val="0091279C"/>
    <w:rsid w:val="00940D05"/>
    <w:rsid w:val="00946714"/>
    <w:rsid w:val="00984ED4"/>
    <w:rsid w:val="009B089F"/>
    <w:rsid w:val="00BB4ACE"/>
    <w:rsid w:val="00C0053F"/>
    <w:rsid w:val="00C9464A"/>
    <w:rsid w:val="00CA1EDC"/>
    <w:rsid w:val="00CC3A8B"/>
    <w:rsid w:val="00D7688E"/>
    <w:rsid w:val="00F534FE"/>
    <w:rsid w:val="00F84D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023B68-8687-49D8-AB47-6C9C602C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D4AE4"/>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5D4AE4"/>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5D4AE4"/>
    <w:rPr>
      <w:rFonts w:ascii="Times" w:eastAsia="Times New Roman" w:hAnsi="Times" w:cs="Times New Roman"/>
      <w:kern w:val="1"/>
      <w:sz w:val="24"/>
      <w:szCs w:val="24"/>
      <w:lang w:eastAsia="ar-SA"/>
    </w:rPr>
  </w:style>
  <w:style w:type="paragraph" w:styleId="Stopka">
    <w:name w:val="footer"/>
    <w:basedOn w:val="Normalny"/>
    <w:link w:val="StopkaZnak"/>
    <w:uiPriority w:val="99"/>
    <w:rsid w:val="005D4AE4"/>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basedOn w:val="Domylnaczcionkaakapitu"/>
    <w:link w:val="Stopka"/>
    <w:uiPriority w:val="99"/>
    <w:rsid w:val="005D4AE4"/>
    <w:rPr>
      <w:rFonts w:ascii="Times" w:eastAsia="Times New Roman" w:hAnsi="Times" w:cs="Times New Roman"/>
      <w:kern w:val="1"/>
      <w:sz w:val="24"/>
      <w:szCs w:val="24"/>
      <w:lang w:eastAsia="ar-SA"/>
    </w:rPr>
  </w:style>
  <w:style w:type="paragraph" w:customStyle="1" w:styleId="USTustnpkodeksu">
    <w:name w:val="UST(§) – ust. (§ np. kodeksu)"/>
    <w:basedOn w:val="Normalny"/>
    <w:uiPriority w:val="12"/>
    <w:qFormat/>
    <w:rsid w:val="005D4AE4"/>
    <w:pPr>
      <w:widowControl/>
      <w:suppressAutoHyphens/>
      <w:ind w:firstLine="510"/>
      <w:jc w:val="both"/>
    </w:pPr>
    <w:rPr>
      <w:rFonts w:ascii="Times" w:hAnsi="Times"/>
      <w:bCs/>
    </w:rPr>
  </w:style>
  <w:style w:type="paragraph" w:styleId="Akapitzlist">
    <w:name w:val="List Paragraph"/>
    <w:basedOn w:val="Normalny"/>
    <w:uiPriority w:val="34"/>
    <w:qFormat/>
    <w:rsid w:val="005D4AE4"/>
    <w:pPr>
      <w:widowControl/>
      <w:pBdr>
        <w:top w:val="nil"/>
        <w:left w:val="nil"/>
        <w:bottom w:val="nil"/>
        <w:right w:val="nil"/>
        <w:between w:val="nil"/>
      </w:pBdr>
      <w:autoSpaceDE/>
      <w:autoSpaceDN/>
      <w:adjustRightInd/>
      <w:spacing w:line="240" w:lineRule="auto"/>
      <w:ind w:left="720"/>
      <w:contextualSpacing/>
    </w:pPr>
    <w:rPr>
      <w:rFonts w:ascii="Calibri" w:eastAsia="Calibri" w:hAnsi="Calibri" w:cs="Calibri"/>
      <w:color w:val="000000"/>
      <w:sz w:val="20"/>
    </w:rPr>
  </w:style>
  <w:style w:type="paragraph" w:styleId="Tekstdymka">
    <w:name w:val="Balloon Text"/>
    <w:basedOn w:val="Normalny"/>
    <w:link w:val="TekstdymkaZnak"/>
    <w:uiPriority w:val="99"/>
    <w:semiHidden/>
    <w:unhideWhenUsed/>
    <w:rsid w:val="008F2D0A"/>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F2D0A"/>
    <w:rPr>
      <w:rFonts w:ascii="Tahoma" w:eastAsiaTheme="minorEastAsia"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aojqgq3tsltqmfyc4mzygaztgmzsg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C8706-8F38-4F34-B307-787334574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16515</Words>
  <Characters>99095</Characters>
  <Application>Microsoft Office Word</Application>
  <DocSecurity>0</DocSecurity>
  <Lines>825</Lines>
  <Paragraphs>230</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115380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Trafisz Kinga</dc:creator>
  <cp:lastModifiedBy>Grażyna D. Grabowska</cp:lastModifiedBy>
  <cp:revision>2</cp:revision>
  <cp:lastPrinted>2018-04-27T07:51:00Z</cp:lastPrinted>
  <dcterms:created xsi:type="dcterms:W3CDTF">2018-04-30T07:45:00Z</dcterms:created>
  <dcterms:modified xsi:type="dcterms:W3CDTF">2018-04-30T07:45:00Z</dcterms:modified>
</cp:coreProperties>
</file>