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822" w:rsidRPr="004A175F" w:rsidRDefault="0021276D" w:rsidP="004A175F">
      <w:pPr>
        <w:spacing w:line="360" w:lineRule="auto"/>
        <w:jc w:val="center"/>
      </w:pPr>
      <w:bookmarkStart w:id="0" w:name="_GoBack"/>
      <w:bookmarkEnd w:id="0"/>
      <w:r w:rsidRPr="004A175F">
        <w:t>UZASADNIENIE</w:t>
      </w:r>
    </w:p>
    <w:p w:rsidR="00F90065" w:rsidRPr="00BC4C23" w:rsidRDefault="00F90065" w:rsidP="00406F7B">
      <w:pPr>
        <w:spacing w:before="240" w:line="360" w:lineRule="auto"/>
        <w:jc w:val="both"/>
      </w:pPr>
      <w:r w:rsidRPr="00BC4C23">
        <w:t xml:space="preserve">Omówienie obecnego stanu prawnego </w:t>
      </w:r>
    </w:p>
    <w:p w:rsidR="0086104C" w:rsidRPr="004A175F" w:rsidRDefault="00514CB7" w:rsidP="004A175F">
      <w:pPr>
        <w:spacing w:before="120" w:line="360" w:lineRule="auto"/>
        <w:jc w:val="both"/>
      </w:pPr>
      <w:r w:rsidRPr="004A175F">
        <w:t>Harmonizacja prawodawstwa państw członkowskich UE w obszarze zasad i warunków wprowadzania wyrob</w:t>
      </w:r>
      <w:r w:rsidR="00A2378F" w:rsidRPr="004A175F">
        <w:t>ów do obrotu miała zawsze na celu eliminacj</w:t>
      </w:r>
      <w:r w:rsidR="006F3228" w:rsidRPr="004A175F">
        <w:t>ę</w:t>
      </w:r>
      <w:r w:rsidR="00A2378F" w:rsidRPr="004A175F">
        <w:t xml:space="preserve"> barier w przepływie towarów (realizacja zasady swobody przepływu towarów). Obecny złożony system legislacyjno-polityczny, służący realizacji tego celu, stanowi efekt ponad czterdziestu lat doświadczeń i ewolucji. </w:t>
      </w:r>
      <w:r w:rsidR="00511DB1" w:rsidRPr="004A175F">
        <w:t xml:space="preserve">Wczesne (pochodzące </w:t>
      </w:r>
      <w:r w:rsidR="00824C4D" w:rsidRPr="004A175F">
        <w:t xml:space="preserve">głównie </w:t>
      </w:r>
      <w:r w:rsidR="00511DB1" w:rsidRPr="004A175F">
        <w:t xml:space="preserve">z lat siedemdziesiątych XX wieku) akty wspólnotowego prawodawstwa </w:t>
      </w:r>
      <w:proofErr w:type="spellStart"/>
      <w:r w:rsidR="00511DB1" w:rsidRPr="004A175F">
        <w:t>harmonizacyjnego</w:t>
      </w:r>
      <w:proofErr w:type="spellEnd"/>
      <w:r w:rsidR="00511DB1" w:rsidRPr="004A175F">
        <w:t xml:space="preserve"> charakteryzowały się bardzo wysokim poziomem szczegółowości w </w:t>
      </w:r>
      <w:r w:rsidR="003C2C12">
        <w:t>zakresie wymagań technicznych i </w:t>
      </w:r>
      <w:r w:rsidR="00BE035E" w:rsidRPr="004A175F">
        <w:t>administracyjnych. Taka praktyka</w:t>
      </w:r>
      <w:r w:rsidR="00844DEA" w:rsidRPr="004A175F">
        <w:t xml:space="preserve"> legislacyjna, nazwana później „starym podejściem” (</w:t>
      </w:r>
      <w:proofErr w:type="spellStart"/>
      <w:r w:rsidR="00844DEA" w:rsidRPr="004A175F">
        <w:rPr>
          <w:i/>
        </w:rPr>
        <w:t>old</w:t>
      </w:r>
      <w:proofErr w:type="spellEnd"/>
      <w:r w:rsidR="00844DEA" w:rsidRPr="004A175F">
        <w:rPr>
          <w:i/>
        </w:rPr>
        <w:t xml:space="preserve"> </w:t>
      </w:r>
      <w:proofErr w:type="spellStart"/>
      <w:r w:rsidR="00844DEA" w:rsidRPr="004A175F">
        <w:rPr>
          <w:i/>
        </w:rPr>
        <w:t>approach</w:t>
      </w:r>
      <w:proofErr w:type="spellEnd"/>
      <w:r w:rsidR="00844DEA" w:rsidRPr="004A175F">
        <w:t>)</w:t>
      </w:r>
      <w:r w:rsidR="00953084">
        <w:t>,</w:t>
      </w:r>
      <w:r w:rsidR="00844DEA" w:rsidRPr="004A175F">
        <w:t xml:space="preserve"> krytykowana była jako czyniąca system niewydolnym, mało elastycznym i blokującym innowacje technologiczne. </w:t>
      </w:r>
    </w:p>
    <w:p w:rsidR="0086104C" w:rsidRPr="004A175F" w:rsidRDefault="00B80C94" w:rsidP="004A175F">
      <w:pPr>
        <w:spacing w:before="120" w:line="360" w:lineRule="auto"/>
        <w:jc w:val="both"/>
      </w:pPr>
      <w:r w:rsidRPr="004A175F">
        <w:t xml:space="preserve">W latach osiemdziesiątych </w:t>
      </w:r>
      <w:r w:rsidR="00953084">
        <w:t xml:space="preserve">XX wieku </w:t>
      </w:r>
      <w:r w:rsidRPr="004A175F">
        <w:t xml:space="preserve">pod wpływem nowych trendów w gospodarce kładących nacisk na </w:t>
      </w:r>
      <w:r w:rsidR="006F2815" w:rsidRPr="004A175F">
        <w:t xml:space="preserve">większą swobodę gospodarczą, która w tym przypadku objawiała się w dążeniu do </w:t>
      </w:r>
      <w:r w:rsidRPr="004A175F">
        <w:t>redukcj</w:t>
      </w:r>
      <w:r w:rsidR="006F2815" w:rsidRPr="004A175F">
        <w:t xml:space="preserve">i </w:t>
      </w:r>
      <w:r w:rsidRPr="004A175F">
        <w:t>nadmiernych barier technicznych i regulacyjnych, Komisja Europejska zaczęła rozwijać „nowe podejście” (</w:t>
      </w:r>
      <w:proofErr w:type="spellStart"/>
      <w:r w:rsidRPr="004A175F">
        <w:rPr>
          <w:i/>
        </w:rPr>
        <w:t>new</w:t>
      </w:r>
      <w:proofErr w:type="spellEnd"/>
      <w:r w:rsidRPr="004A175F">
        <w:rPr>
          <w:i/>
        </w:rPr>
        <w:t xml:space="preserve"> </w:t>
      </w:r>
      <w:proofErr w:type="spellStart"/>
      <w:r w:rsidRPr="004A175F">
        <w:rPr>
          <w:i/>
        </w:rPr>
        <w:t>approach</w:t>
      </w:r>
      <w:proofErr w:type="spellEnd"/>
      <w:r w:rsidRPr="004A175F">
        <w:t xml:space="preserve">) do harmonizacji technicznej. </w:t>
      </w:r>
      <w:r w:rsidR="003430F9" w:rsidRPr="004A175F">
        <w:t>Kształt i duch systemu n</w:t>
      </w:r>
      <w:r w:rsidR="00436B64" w:rsidRPr="004A175F">
        <w:t>owe</w:t>
      </w:r>
      <w:r w:rsidR="003430F9" w:rsidRPr="004A175F">
        <w:t>go</w:t>
      </w:r>
      <w:r w:rsidR="00436B64" w:rsidRPr="004A175F">
        <w:t xml:space="preserve"> </w:t>
      </w:r>
      <w:r w:rsidR="003430F9" w:rsidRPr="004A175F">
        <w:t>podejścia</w:t>
      </w:r>
      <w:r w:rsidRPr="004A175F">
        <w:t xml:space="preserve"> </w:t>
      </w:r>
      <w:r w:rsidR="003430F9" w:rsidRPr="004A175F">
        <w:t>inspirowany</w:t>
      </w:r>
      <w:r w:rsidRPr="004A175F">
        <w:t xml:space="preserve"> był m.in. przez rozwój koncepcji wzajemnego uznawania (słynne orzeczenie europejskiego Trybunału Sprawiedliwości w sprawie </w:t>
      </w:r>
      <w:proofErr w:type="spellStart"/>
      <w:r w:rsidRPr="004A175F">
        <w:rPr>
          <w:i/>
        </w:rPr>
        <w:t>Cassis</w:t>
      </w:r>
      <w:proofErr w:type="spellEnd"/>
      <w:r w:rsidRPr="004A175F">
        <w:rPr>
          <w:i/>
        </w:rPr>
        <w:t xml:space="preserve"> de Dijon</w:t>
      </w:r>
      <w:r w:rsidRPr="004A175F">
        <w:t xml:space="preserve">) oraz wprowadzony </w:t>
      </w:r>
      <w:r w:rsidR="008D1A92" w:rsidRPr="004A175F">
        <w:t>w 1983</w:t>
      </w:r>
      <w:r w:rsidR="003430F9" w:rsidRPr="004A175F">
        <w:t xml:space="preserve"> r. </w:t>
      </w:r>
      <w:r w:rsidRPr="004A175F">
        <w:t>obowiązek</w:t>
      </w:r>
      <w:r w:rsidR="003430F9" w:rsidRPr="004A175F">
        <w:t xml:space="preserve"> informowania przez </w:t>
      </w:r>
      <w:r w:rsidR="00DB7F00" w:rsidRPr="004A175F">
        <w:t xml:space="preserve">państwa </w:t>
      </w:r>
      <w:r w:rsidR="003430F9" w:rsidRPr="004A175F">
        <w:t xml:space="preserve">członkowskie o wszelkich regulacjach mogących wpływać na zasadę swobodnego przepływu towaru. </w:t>
      </w:r>
    </w:p>
    <w:p w:rsidR="00450472" w:rsidRPr="004A175F" w:rsidRDefault="00450472" w:rsidP="004A175F">
      <w:pPr>
        <w:spacing w:before="120" w:line="360" w:lineRule="auto"/>
        <w:jc w:val="both"/>
      </w:pPr>
      <w:r w:rsidRPr="004A175F">
        <w:t>Polityka nowego podejścia przyjęta przez Radę Ministró</w:t>
      </w:r>
      <w:r w:rsidR="003C2C12">
        <w:t>w EWG w uchwale z </w:t>
      </w:r>
      <w:r w:rsidR="00953084">
        <w:t>dnia</w:t>
      </w:r>
      <w:r w:rsidR="003C2C12">
        <w:t> 7 </w:t>
      </w:r>
      <w:r w:rsidRPr="004A175F">
        <w:t>maja 1985 r. zakładała oparcie całej legislacji wspólnotowej odnoszącej się do wymagań dla wyrobów na następujących zasadach:</w:t>
      </w:r>
    </w:p>
    <w:p w:rsidR="00450472" w:rsidRPr="004A175F" w:rsidRDefault="006F3228" w:rsidP="0076280F">
      <w:pPr>
        <w:numPr>
          <w:ilvl w:val="0"/>
          <w:numId w:val="1"/>
        </w:numPr>
        <w:tabs>
          <w:tab w:val="clear" w:pos="720"/>
          <w:tab w:val="num" w:pos="284"/>
        </w:tabs>
        <w:spacing w:line="360" w:lineRule="auto"/>
        <w:ind w:left="284" w:hanging="284"/>
        <w:jc w:val="both"/>
      </w:pPr>
      <w:r w:rsidRPr="004A175F">
        <w:t>p</w:t>
      </w:r>
      <w:r w:rsidR="00450472" w:rsidRPr="004A175F">
        <w:t xml:space="preserve">rzepisy </w:t>
      </w:r>
      <w:proofErr w:type="spellStart"/>
      <w:r w:rsidR="00450472" w:rsidRPr="004A175F">
        <w:t>harmonizacyjne</w:t>
      </w:r>
      <w:proofErr w:type="spellEnd"/>
      <w:r w:rsidR="00450472" w:rsidRPr="004A175F">
        <w:t xml:space="preserve"> powinny być ograniczone tylko do tzw. „zasadniczych wymagań” (</w:t>
      </w:r>
      <w:r w:rsidR="00230E4F" w:rsidRPr="004A175F">
        <w:t xml:space="preserve">głównie </w:t>
      </w:r>
      <w:r w:rsidR="00450472" w:rsidRPr="004A175F">
        <w:t>o charakterze funkcjonalnym</w:t>
      </w:r>
      <w:r w:rsidR="00230E4F" w:rsidRPr="004A175F">
        <w:t xml:space="preserve"> lub wydajnościowym), które wyroby wprowadzane do obrotu na wspólnym ryn</w:t>
      </w:r>
      <w:r w:rsidR="003C2C12">
        <w:t>ku</w:t>
      </w:r>
      <w:r w:rsidR="00230E4F" w:rsidRPr="004A175F">
        <w:t xml:space="preserve"> muszą spełniać</w:t>
      </w:r>
      <w:r w:rsidRPr="004A175F">
        <w:t>;</w:t>
      </w:r>
    </w:p>
    <w:p w:rsidR="00230E4F" w:rsidRPr="004A175F" w:rsidRDefault="006F3228" w:rsidP="00406F7B">
      <w:pPr>
        <w:numPr>
          <w:ilvl w:val="0"/>
          <w:numId w:val="1"/>
        </w:numPr>
        <w:tabs>
          <w:tab w:val="clear" w:pos="720"/>
          <w:tab w:val="num" w:pos="284"/>
        </w:tabs>
        <w:spacing w:line="360" w:lineRule="auto"/>
        <w:ind w:left="284" w:hanging="284"/>
        <w:jc w:val="both"/>
      </w:pPr>
      <w:r w:rsidRPr="004A175F">
        <w:t>s</w:t>
      </w:r>
      <w:r w:rsidR="00230E4F" w:rsidRPr="004A175F">
        <w:t>zczegółowe wymagani</w:t>
      </w:r>
      <w:r w:rsidR="0033538E" w:rsidRPr="004A175F">
        <w:t>a</w:t>
      </w:r>
      <w:r w:rsidR="00230E4F" w:rsidRPr="004A175F">
        <w:t xml:space="preserve"> techniczne dla wyrobów, które mają spełnić wymagania zasadnicze, określone są w normach zharmonizowanych, które mogą być stosowane jako uzupełnienie prawodawstwa</w:t>
      </w:r>
      <w:r w:rsidRPr="004A175F">
        <w:t>;</w:t>
      </w:r>
    </w:p>
    <w:p w:rsidR="00230E4F" w:rsidRPr="004A175F" w:rsidRDefault="006F3228" w:rsidP="00BC4C23">
      <w:pPr>
        <w:numPr>
          <w:ilvl w:val="0"/>
          <w:numId w:val="1"/>
        </w:numPr>
        <w:tabs>
          <w:tab w:val="clear" w:pos="720"/>
          <w:tab w:val="num" w:pos="284"/>
        </w:tabs>
        <w:spacing w:before="120" w:line="360" w:lineRule="auto"/>
        <w:ind w:left="284" w:hanging="284"/>
        <w:jc w:val="both"/>
      </w:pPr>
      <w:r w:rsidRPr="004A175F">
        <w:lastRenderedPageBreak/>
        <w:t>p</w:t>
      </w:r>
      <w:r w:rsidR="0033538E" w:rsidRPr="004A175F">
        <w:t>rodukty zgodne ze specyfikacjami nor</w:t>
      </w:r>
      <w:r w:rsidR="003C2C12">
        <w:t>m zharmonizowanych korzystają z </w:t>
      </w:r>
      <w:r w:rsidR="0033538E" w:rsidRPr="004A175F">
        <w:t>domniemania zgodności z wymaganiami określonymi w przepisach prawa</w:t>
      </w:r>
      <w:r w:rsidR="00845281" w:rsidRPr="004A175F">
        <w:t xml:space="preserve"> UE oraz w polskich przepisach wdrażających</w:t>
      </w:r>
      <w:r w:rsidRPr="004A175F">
        <w:t>;</w:t>
      </w:r>
    </w:p>
    <w:p w:rsidR="0033538E" w:rsidRPr="004A175F" w:rsidRDefault="006F3228" w:rsidP="00406F7B">
      <w:pPr>
        <w:numPr>
          <w:ilvl w:val="0"/>
          <w:numId w:val="1"/>
        </w:numPr>
        <w:tabs>
          <w:tab w:val="clear" w:pos="720"/>
          <w:tab w:val="num" w:pos="284"/>
        </w:tabs>
        <w:spacing w:line="360" w:lineRule="auto"/>
        <w:ind w:left="284" w:hanging="284"/>
        <w:jc w:val="both"/>
      </w:pPr>
      <w:r w:rsidRPr="004A175F">
        <w:t>s</w:t>
      </w:r>
      <w:r w:rsidR="00991C56" w:rsidRPr="004A175F">
        <w:t>tosowanie norm zharmonizowanych jest co do zasady dobrowolne i producent może zapewnić zgodność z wymaganiami zasadniczymi w inny sposób (np. stosując inne specyfikacje techniczne), ale wówczas ciężar udowodnienia tej zgodności będzie spoczywał na nim).</w:t>
      </w:r>
    </w:p>
    <w:p w:rsidR="00450472" w:rsidRPr="004A175F" w:rsidRDefault="00B57F5B" w:rsidP="004A175F">
      <w:pPr>
        <w:spacing w:before="120" w:line="360" w:lineRule="auto"/>
        <w:jc w:val="both"/>
      </w:pPr>
      <w:r w:rsidRPr="004A175F">
        <w:t>Przez następne dwadzieścia lat system nowego podejścia rozwijany był poprzez uchwalanie nowych dyrektyw dotyczących określonych kategorii produktów, często zastępujących przestarzałe dyrektywy „starego podejścia”, ale przed</w:t>
      </w:r>
      <w:r w:rsidR="0042553C" w:rsidRPr="004A175F">
        <w:t>e</w:t>
      </w:r>
      <w:r w:rsidRPr="004A175F">
        <w:t xml:space="preserve"> wszystkim poprzez wdrażanie całego instrumentarium prawnego służącego praktyc</w:t>
      </w:r>
      <w:r w:rsidR="003C2C12">
        <w:t>znej i </w:t>
      </w:r>
      <w:r w:rsidRPr="004A175F">
        <w:t xml:space="preserve">operacyjnej wydajności systemu </w:t>
      </w:r>
      <w:r w:rsidR="006F3228" w:rsidRPr="004A175F">
        <w:t>„</w:t>
      </w:r>
      <w:r w:rsidRPr="004A175F">
        <w:t>nowego podejścia</w:t>
      </w:r>
      <w:r w:rsidR="006F3228" w:rsidRPr="004A175F">
        <w:t>”</w:t>
      </w:r>
      <w:r w:rsidRPr="004A175F">
        <w:t xml:space="preserve">. Przede wszystkim funkcjonowanie </w:t>
      </w:r>
      <w:r w:rsidR="006F3228" w:rsidRPr="004A175F">
        <w:t>„</w:t>
      </w:r>
      <w:r w:rsidRPr="004A175F">
        <w:t>nowego podejścia</w:t>
      </w:r>
      <w:r w:rsidR="006F3228" w:rsidRPr="004A175F">
        <w:t>”</w:t>
      </w:r>
      <w:r w:rsidRPr="004A175F">
        <w:t xml:space="preserve"> wymagało ścisłej współpracy z instytucjami normalizacyjnymi i stworzenia całego systemu norm wspierających legislację ograniczoną do „wymagań zasadniczych”. </w:t>
      </w:r>
      <w:r w:rsidR="003C2C12">
        <w:t>Rola norm zharmonizowanych i </w:t>
      </w:r>
      <w:r w:rsidR="00376EFD" w:rsidRPr="004A175F">
        <w:t>europejskich organizacji standaryzacyjn</w:t>
      </w:r>
      <w:r w:rsidR="003C2C12">
        <w:t>ych zdefiniowana jest obecnie w </w:t>
      </w:r>
      <w:r w:rsidR="006F3228" w:rsidRPr="004A175F">
        <w:t>r</w:t>
      </w:r>
      <w:r w:rsidR="00376EFD" w:rsidRPr="004A175F">
        <w:t>ozporządzeniu 1025/2012</w:t>
      </w:r>
      <w:r w:rsidR="006F3228" w:rsidRPr="004A175F">
        <w:rPr>
          <w:rStyle w:val="Odwoanieprzypisudolnego"/>
        </w:rPr>
        <w:footnoteReference w:id="1"/>
      </w:r>
      <w:r w:rsidR="00D63191">
        <w:rPr>
          <w:vertAlign w:val="superscript"/>
        </w:rPr>
        <w:t>)</w:t>
      </w:r>
      <w:r w:rsidR="00376EFD" w:rsidRPr="004A175F">
        <w:t>. Prace organizacji standaryzacyjnych zainspirowały również KE do stworzenia skonsolidowanego zestawu procedur oceny zgodności (moduł</w:t>
      </w:r>
      <w:r w:rsidR="0060635F" w:rsidRPr="004A175F">
        <w:t>y</w:t>
      </w:r>
      <w:r w:rsidR="00376EFD" w:rsidRPr="004A175F">
        <w:t>). W zależności od skomplikowania produktu i zagrożeń jakie może on powodować</w:t>
      </w:r>
      <w:r w:rsidR="00126C27" w:rsidRPr="004A175F">
        <w:t>,</w:t>
      </w:r>
      <w:r w:rsidR="00376EFD" w:rsidRPr="004A175F">
        <w:t xml:space="preserve"> prawodawca unijny, a czasem również sam podmiot dokonujący oceny zgodności może wybrać najbardziej odpowiednią procedurę. Dostępne moduły obejmują zarówno ocenę zgodności produktu, jak i </w:t>
      </w:r>
      <w:r w:rsidR="00126C27" w:rsidRPr="004A175F">
        <w:t xml:space="preserve">system zarządzania jakością produkcji. W ramach systemu </w:t>
      </w:r>
      <w:r w:rsidR="006F3228" w:rsidRPr="004A175F">
        <w:t>„</w:t>
      </w:r>
      <w:r w:rsidR="00126C27" w:rsidRPr="004A175F">
        <w:t>nowego podejścia</w:t>
      </w:r>
      <w:r w:rsidR="006F3228" w:rsidRPr="004A175F">
        <w:t>”</w:t>
      </w:r>
      <w:r w:rsidR="00126C27" w:rsidRPr="004A175F">
        <w:t xml:space="preserve"> określono również zasady udziału zewnętrznych</w:t>
      </w:r>
      <w:r w:rsidR="007043C2" w:rsidRPr="004A175F">
        <w:t xml:space="preserve"> (niezależnych od producenta)</w:t>
      </w:r>
      <w:r w:rsidR="00126C27" w:rsidRPr="004A175F">
        <w:t xml:space="preserve"> je</w:t>
      </w:r>
      <w:r w:rsidR="003C2C12">
        <w:t>dnostek oceniających zgodność w </w:t>
      </w:r>
      <w:r w:rsidR="00126C27" w:rsidRPr="004A175F">
        <w:t>procesie, w szczególności sytuacje</w:t>
      </w:r>
      <w:r w:rsidR="006F3228" w:rsidRPr="004A175F">
        <w:t>,</w:t>
      </w:r>
      <w:r w:rsidR="00126C27" w:rsidRPr="004A175F">
        <w:t xml:space="preserve"> kiedy ten udział jest obowiązkowy oraz system desygnacji (notyfikacji) tych jednostek przez państwa członkowskie. Szczegółowe wymagania dla tych jednostek sformułowane zostały w normach zharmonizowanych serii 17000. Równolegle rozwijany był, we współpracy z krajowymi organami akredytującymi</w:t>
      </w:r>
      <w:r w:rsidR="006F3228" w:rsidRPr="004A175F">
        <w:t>,</w:t>
      </w:r>
      <w:r w:rsidR="00126C27" w:rsidRPr="004A175F">
        <w:t xml:space="preserve"> system współpracy w dziedzinie akredytacji mający za zadanie </w:t>
      </w:r>
      <w:r w:rsidR="00126C27" w:rsidRPr="004A175F">
        <w:lastRenderedPageBreak/>
        <w:t>zapewnienie wiarygodnoś</w:t>
      </w:r>
      <w:r w:rsidR="0042553C" w:rsidRPr="004A175F">
        <w:t>ci</w:t>
      </w:r>
      <w:r w:rsidR="00126C27" w:rsidRPr="004A175F">
        <w:t xml:space="preserve"> systemu na najwyższym poziomie – weryfikacji kompetencji zewnętrznych jednostek oceniających zgodność.</w:t>
      </w:r>
    </w:p>
    <w:p w:rsidR="00EF70CD" w:rsidRPr="004A175F" w:rsidRDefault="00EF70CD" w:rsidP="004A175F">
      <w:pPr>
        <w:spacing w:before="120" w:line="360" w:lineRule="auto"/>
        <w:jc w:val="both"/>
      </w:pPr>
      <w:r w:rsidRPr="004A175F">
        <w:t xml:space="preserve">Na tzw. nowe ramy </w:t>
      </w:r>
      <w:r w:rsidR="009B1C31" w:rsidRPr="004A175F">
        <w:t xml:space="preserve">prawne </w:t>
      </w:r>
      <w:r w:rsidRPr="004A175F">
        <w:t xml:space="preserve">składają się </w:t>
      </w:r>
      <w:r w:rsidR="006F3228" w:rsidRPr="004A175F">
        <w:t>r</w:t>
      </w:r>
      <w:r w:rsidRPr="004A175F">
        <w:t>ozporządzenie 765/2008</w:t>
      </w:r>
      <w:r w:rsidR="0072603D" w:rsidRPr="004A175F">
        <w:t>/WE</w:t>
      </w:r>
      <w:r w:rsidR="00D172DE" w:rsidRPr="004A175F">
        <w:rPr>
          <w:rStyle w:val="Odwoanieprzypisudolnego"/>
        </w:rPr>
        <w:footnoteReference w:id="2"/>
      </w:r>
      <w:r w:rsidR="00D63191">
        <w:rPr>
          <w:vertAlign w:val="superscript"/>
        </w:rPr>
        <w:t>)</w:t>
      </w:r>
      <w:r w:rsidRPr="004A175F">
        <w:t>, które ustanawia prawne ramy dla akredytacji i nadzoru rynku</w:t>
      </w:r>
      <w:r w:rsidR="00A75111" w:rsidRPr="004A175F">
        <w:t xml:space="preserve"> oraz oznakowania CE, a także </w:t>
      </w:r>
      <w:r w:rsidR="007701C8" w:rsidRPr="004A175F">
        <w:t>d</w:t>
      </w:r>
      <w:r w:rsidR="00A75111" w:rsidRPr="004A175F">
        <w:t>ecyzja 768/2008</w:t>
      </w:r>
      <w:r w:rsidR="0072603D" w:rsidRPr="004A175F">
        <w:t>/WE</w:t>
      </w:r>
      <w:r w:rsidR="007701C8" w:rsidRPr="004A175F">
        <w:rPr>
          <w:rStyle w:val="Odwoanieprzypisudolnego"/>
        </w:rPr>
        <w:footnoteReference w:id="3"/>
      </w:r>
      <w:r w:rsidR="00D63191">
        <w:rPr>
          <w:vertAlign w:val="superscript"/>
        </w:rPr>
        <w:t>)</w:t>
      </w:r>
      <w:r w:rsidR="00A74739" w:rsidRPr="004A175F">
        <w:t xml:space="preserve"> ustanawiająca wspólne zasady dla całego prawodawstwa </w:t>
      </w:r>
      <w:proofErr w:type="spellStart"/>
      <w:r w:rsidR="00A74739" w:rsidRPr="004A175F">
        <w:t>harmonizacyjnego</w:t>
      </w:r>
      <w:proofErr w:type="spellEnd"/>
      <w:r w:rsidR="00A74739" w:rsidRPr="004A175F">
        <w:t xml:space="preserve"> w zakresie definicji, kryteriów desygnacji jednostek notyfikowanych, procedur oceny zgodności, obowiązk</w:t>
      </w:r>
      <w:r w:rsidR="007701C8" w:rsidRPr="004A175F">
        <w:t>ów</w:t>
      </w:r>
      <w:r w:rsidR="00A74739" w:rsidRPr="004A175F">
        <w:t xml:space="preserve"> podmiotów uczestniczących w łańcuchu produkcyjno-dystrybucyjnym. Nowe ramy legislacyjne stanowią pewne uwieńczenie procesu kształtowania się spójnego systemu opartego o zasady </w:t>
      </w:r>
      <w:r w:rsidR="007701C8" w:rsidRPr="004A175F">
        <w:t>„</w:t>
      </w:r>
      <w:r w:rsidR="00A74739" w:rsidRPr="004A175F">
        <w:t>nowego podejścia</w:t>
      </w:r>
      <w:r w:rsidR="007701C8" w:rsidRPr="004A175F">
        <w:t>”</w:t>
      </w:r>
      <w:r w:rsidR="00A74739" w:rsidRPr="004A175F">
        <w:t xml:space="preserve"> do harmonizacji technicznej. Szczególne znaczenie ma objęcie europejską legislacją zasad nadzoru rynku, co powoduje </w:t>
      </w:r>
      <w:r w:rsidR="00905DA2" w:rsidRPr="004A175F">
        <w:t>bardziej zbalansowane rozłożeni</w:t>
      </w:r>
      <w:r w:rsidR="00A74739" w:rsidRPr="004A175F">
        <w:t>e</w:t>
      </w:r>
      <w:r w:rsidR="007C7782" w:rsidRPr="004A175F">
        <w:t xml:space="preserve"> akcentów całego systemu, który pierwotnie koncentrował się na fazie wprowadzenia wyrobu do użytkowania, a obecnie </w:t>
      </w:r>
      <w:r w:rsidR="00905DA2" w:rsidRPr="004A175F">
        <w:t>ma na celu</w:t>
      </w:r>
      <w:r w:rsidR="007C7782" w:rsidRPr="004A175F">
        <w:t xml:space="preserve"> zapewnienie spełniania przez wyroby wymagań w całym okresie ich życia.</w:t>
      </w:r>
    </w:p>
    <w:p w:rsidR="0067571B" w:rsidRPr="004A175F" w:rsidRDefault="00227707" w:rsidP="004A175F">
      <w:pPr>
        <w:spacing w:before="120" w:line="360" w:lineRule="auto"/>
        <w:jc w:val="both"/>
      </w:pPr>
      <w:r w:rsidRPr="004A175F">
        <w:t>Rozporządzenie 765/2008</w:t>
      </w:r>
      <w:r w:rsidR="0072603D" w:rsidRPr="004A175F">
        <w:t>/WE</w:t>
      </w:r>
      <w:r w:rsidRPr="004A175F">
        <w:t xml:space="preserve"> ma charakter aktu obowiązującego bezpośrednio. Nakłada obowiązki zarówno na państwa członkowskie, </w:t>
      </w:r>
      <w:r w:rsidR="003C2C12">
        <w:t>jak i na podmioty gospodarcze i </w:t>
      </w:r>
      <w:r w:rsidRPr="004A175F">
        <w:t>nie wymaga zasadniczo transpozycji do krajowego porządku prawnego, choć może powodować konieczność stosownej adaptacji tego prawa. Przykładem takiego dostosowania była ostatnia duża nowelizacja usta</w:t>
      </w:r>
      <w:r w:rsidR="003C2C12">
        <w:t>wy o systemie oceny zgodności w </w:t>
      </w:r>
      <w:r w:rsidRPr="004A175F">
        <w:t>201</w:t>
      </w:r>
      <w:r w:rsidR="00223CBB" w:rsidRPr="004A175F">
        <w:t>1</w:t>
      </w:r>
      <w:r w:rsidRPr="004A175F">
        <w:t xml:space="preserve"> r. </w:t>
      </w:r>
    </w:p>
    <w:p w:rsidR="00D476D2" w:rsidRPr="004A175F" w:rsidRDefault="00D476D2" w:rsidP="004A175F">
      <w:pPr>
        <w:spacing w:before="120" w:line="360" w:lineRule="auto"/>
        <w:jc w:val="both"/>
      </w:pPr>
      <w:r w:rsidRPr="004A175F">
        <w:t>Decyzja 768/2008</w:t>
      </w:r>
      <w:r w:rsidR="0072603D" w:rsidRPr="004A175F">
        <w:t>/WE</w:t>
      </w:r>
      <w:r w:rsidRPr="004A175F">
        <w:t xml:space="preserve"> ma charakter aktu </w:t>
      </w:r>
      <w:proofErr w:type="spellStart"/>
      <w:r w:rsidRPr="004A175F">
        <w:rPr>
          <w:i/>
        </w:rPr>
        <w:t>sui</w:t>
      </w:r>
      <w:proofErr w:type="spellEnd"/>
      <w:r w:rsidRPr="004A175F">
        <w:rPr>
          <w:i/>
        </w:rPr>
        <w:t xml:space="preserve"> </w:t>
      </w:r>
      <w:proofErr w:type="spellStart"/>
      <w:r w:rsidRPr="004A175F">
        <w:rPr>
          <w:i/>
        </w:rPr>
        <w:t>generis</w:t>
      </w:r>
      <w:proofErr w:type="spellEnd"/>
      <w:r w:rsidR="003C2C12">
        <w:t>; nie jest ona obowiązująca w </w:t>
      </w:r>
      <w:r w:rsidRPr="004A175F">
        <w:t>takim sensie jak rozporządzenie (bezpośrednio) czy dyrektywa (pośrednio, po implementacji do praw</w:t>
      </w:r>
      <w:r w:rsidR="00223CBB" w:rsidRPr="004A175F">
        <w:t>a</w:t>
      </w:r>
      <w:r w:rsidRPr="004A175F">
        <w:t xml:space="preserve"> krajowego). Stanowi ona rodzaj politycznego zobowiązania instytucji UE co do stosowania zasad w niej sformułowanych w stosunku do całej legislacji sektorowej. </w:t>
      </w:r>
      <w:r w:rsidR="00150FE4" w:rsidRPr="004A175F">
        <w:t xml:space="preserve">Praktyczną realizacją tego zobowiązania jest pakiet dziewięciu nowych dyrektyw dla wyrobów, dla których dotychczasowa legislacja pozostawała niespójna z nowymi ramami. Grupa tych dyrektyw wymaga wdrożenia do krajowych </w:t>
      </w:r>
      <w:r w:rsidR="00150FE4" w:rsidRPr="004A175F">
        <w:lastRenderedPageBreak/>
        <w:t xml:space="preserve">porządków prawnych, co stanowi bezpośredni powód przygotowania niniejszego projektu ustawy. </w:t>
      </w:r>
    </w:p>
    <w:p w:rsidR="00A367E8" w:rsidRPr="004A175F" w:rsidRDefault="00DD2601" w:rsidP="004A175F">
      <w:pPr>
        <w:spacing w:before="120" w:line="360" w:lineRule="auto"/>
        <w:jc w:val="both"/>
      </w:pPr>
      <w:r w:rsidRPr="004A175F">
        <w:t>Zbudowany w wyniku wieloletniej ewolucji system obejmuje następujące elementy: wymagani</w:t>
      </w:r>
      <w:r w:rsidR="00074C0E" w:rsidRPr="004A175F">
        <w:t>a</w:t>
      </w:r>
      <w:r w:rsidRPr="004A175F">
        <w:t xml:space="preserve"> dla produktów (zasadnicze lub inne), normy i specyfikacje techniczne dla produktów, zasady i normy dotyczące kompetencji jednostek oceniających zgodność, zasady udzielania akredytacji, procedury (moduły) oceny zgodności, oznakowanie CE oraz zasady nadzoru rynku, w tym kontroli produktów pochodzących z krajów trzecich. Instrumenty sformułowane w tych obszarach znajdują zastosowanie w całym prawodawstwie sektorowym, z wyjątkiem specyficznych </w:t>
      </w:r>
      <w:proofErr w:type="spellStart"/>
      <w:r w:rsidRPr="004A175F">
        <w:t>wyłączeń</w:t>
      </w:r>
      <w:proofErr w:type="spellEnd"/>
      <w:r w:rsidRPr="004A175F">
        <w:t xml:space="preserve"> dotyczących obszarów, w których istnieją szczególne, kompleksowe systemy prawne, na przykład przepisy dotyczące żywności i pasz, kosmetyków i wyrobów tytoniowych, wspólnej organizacji rynków produktów rolnych, zdrowia i ochrony roślin, produktów leczniczych. </w:t>
      </w:r>
      <w:r w:rsidR="004F2398" w:rsidRPr="004A175F">
        <w:t>Jednak również te wyodrębnione sektory w wielu kwestiach, chociażby dot. akredytacji i notyfikacji, korzystają z dorobku prawodawstwa horyzontalnego.</w:t>
      </w:r>
    </w:p>
    <w:p w:rsidR="00754CF4" w:rsidRPr="004A175F" w:rsidRDefault="00A367E8" w:rsidP="004A175F">
      <w:pPr>
        <w:spacing w:before="120" w:line="360" w:lineRule="auto"/>
        <w:jc w:val="both"/>
      </w:pPr>
      <w:r w:rsidRPr="004A175F">
        <w:t xml:space="preserve">System wprowadzania do obrotu wyrobów w czasach PRL trudno w jakimkolwiek stopniu porównać z kształtującą się równolegle legislacją europejską. U jego podstaw stała przede wszystkim całkowicie inna filozofia ustroju gospodarczego, w której wszystkie elementy opisane wyżej, takie jak określanie norm i wymagań, proces produkcji, kontroli oraz badań produkcji i produktów były w dużej mierze zintegrowane. </w:t>
      </w:r>
    </w:p>
    <w:p w:rsidR="00A367E8" w:rsidRPr="004A175F" w:rsidRDefault="005F2590" w:rsidP="004A175F">
      <w:pPr>
        <w:spacing w:before="120" w:line="360" w:lineRule="auto"/>
        <w:jc w:val="both"/>
      </w:pPr>
      <w:r w:rsidRPr="004A175F">
        <w:t xml:space="preserve">Brak jasnego podziału ról i zadań w tym systemie utrzymywał się do początku lat dziewięćdziesiątych. W 1993 r. uchwalono pakiet ustaw ustrojowych określających zasady funkcjonowania systemów badań i certyfikacji, </w:t>
      </w:r>
      <w:r w:rsidR="00B30F16">
        <w:t>normalizacji oraz metrologii, a </w:t>
      </w:r>
      <w:r w:rsidRPr="004A175F">
        <w:t>także powołujących w miejsce jednej państwowej instytucji odpowiedzialnej za te obszary – Polskiego Komitetu Normalizacji, Miar i Jakości, trzy odrębne wyspecjalizowane agendy państwowe – Polski Komitet Normalizacyjny, Główny Urząd Miar oraz Polski</w:t>
      </w:r>
      <w:r w:rsidR="005048CA" w:rsidRPr="004A175F">
        <w:t>e Centrum Badań i Certyfikacji. System ten charakteryzował się utrzymaniem w dużym zakresie obowiązkowego charakteru polskich norm (choć ustawa z 1993 r. o normalizacji formalnie deklarowała dobrowolność stosowania norm, to zasad</w:t>
      </w:r>
      <w:r w:rsidR="00EC2D78" w:rsidRPr="004A175F">
        <w:t>a</w:t>
      </w:r>
      <w:r w:rsidR="005048CA" w:rsidRPr="004A175F">
        <w:t xml:space="preserve"> ta była przełamana licznymi wyjątkami)</w:t>
      </w:r>
      <w:r w:rsidR="00EC2D78" w:rsidRPr="004A175F">
        <w:t xml:space="preserve">, </w:t>
      </w:r>
      <w:r w:rsidR="00A3429B" w:rsidRPr="004A175F">
        <w:t xml:space="preserve">aktywnością państwa w obszarze działalności badawczej i certyfikacyjnej oraz instytucjonalnym zintegrowaniem tej działalności z systemem akredytacji. </w:t>
      </w:r>
    </w:p>
    <w:p w:rsidR="00657B74" w:rsidRPr="004A175F" w:rsidRDefault="00754CF4" w:rsidP="004A175F">
      <w:pPr>
        <w:spacing w:before="120" w:line="360" w:lineRule="auto"/>
        <w:jc w:val="both"/>
      </w:pPr>
      <w:r w:rsidRPr="004A175F">
        <w:lastRenderedPageBreak/>
        <w:t xml:space="preserve">Druga faza reform miała miejsce w początkach XXI wieku, wraz z dostosowywaniem polskiego prawa do </w:t>
      </w:r>
      <w:proofErr w:type="spellStart"/>
      <w:r w:rsidRPr="004A175F">
        <w:rPr>
          <w:i/>
        </w:rPr>
        <w:t>acquis</w:t>
      </w:r>
      <w:proofErr w:type="spellEnd"/>
      <w:r w:rsidRPr="004A175F">
        <w:rPr>
          <w:i/>
        </w:rPr>
        <w:t xml:space="preserve"> </w:t>
      </w:r>
      <w:proofErr w:type="spellStart"/>
      <w:r w:rsidRPr="004A175F">
        <w:rPr>
          <w:i/>
        </w:rPr>
        <w:t>communiataire</w:t>
      </w:r>
      <w:proofErr w:type="spellEnd"/>
      <w:r w:rsidRPr="004A175F">
        <w:t xml:space="preserve"> w zawiązku z akcesją do UE. Uchwalono wówczas nowe ustawy – Prawo o miarach oraz o normalizacji, w której wprowadzono już w pełnym wymiarze zasadę dobrowolnego stosowania norm. </w:t>
      </w:r>
      <w:r w:rsidR="00657B74" w:rsidRPr="004A175F">
        <w:t>Uchwalono nową ustawę o systemie oceny zgodności, wydzielając z P</w:t>
      </w:r>
      <w:r w:rsidR="00B30F16">
        <w:t>CBC działalność akredytacyjną i </w:t>
      </w:r>
      <w:r w:rsidR="00657B74" w:rsidRPr="004A175F">
        <w:t>tworząc Polskie Centrum Akredytacji. Wraz z w</w:t>
      </w:r>
      <w:r w:rsidR="00B30F16">
        <w:t>ejściem do UE uchylono ustawę o </w:t>
      </w:r>
      <w:r w:rsidR="00657B74" w:rsidRPr="004A175F">
        <w:t xml:space="preserve">badaniach i certyfikacji, a PCBC przekształcono w zwykłą spółkę Skarbu Państwa, bez żadnej szczególnej roli publicznej. </w:t>
      </w:r>
    </w:p>
    <w:p w:rsidR="00D1090D" w:rsidRPr="004A175F" w:rsidRDefault="00D1090D" w:rsidP="004A175F">
      <w:pPr>
        <w:spacing w:before="120" w:line="360" w:lineRule="auto"/>
        <w:jc w:val="both"/>
      </w:pPr>
      <w:r w:rsidRPr="004A175F">
        <w:t xml:space="preserve">Ustawa o systemie oceny zgodności z 2002 r. określiła podstawowe zasady dokonywania oceny zgodności wyrobów z wymaganiami, zasady akredytacji, autoryzacji i notyfikacji jednostek oceniających zgodność, zadania i ustrój PCA oraz zasady funkcjonowania systemu nadzoru rynku. Istotą systemu od strony legislacyjnej było określenie na poziomie ustawowym tylko ogólnych reguł dotyczących oceny zgodności wyrobów; kwestie wymagań i procedur oceny zgodności (a więc również wdrożenia dyrektyw UE) pozostawiono do uregulowania na poziomie aktów wykonawczych. </w:t>
      </w:r>
      <w:r w:rsidR="00981CFF" w:rsidRPr="004A175F">
        <w:t>Zasadniczy kształt ustawy nie uległ od 2002 r. zmianom, choć podlegała ona oczywiście licznym mniej lub bardziej głębokim nowelizacj</w:t>
      </w:r>
      <w:r w:rsidR="007701C8" w:rsidRPr="004A175F">
        <w:t>om</w:t>
      </w:r>
      <w:r w:rsidR="00981CFF" w:rsidRPr="004A175F">
        <w:t xml:space="preserve"> (najistotniejsze miały miejsce w roku 2006 przy wdrażaniu dyrektywy o przyrządach pomiarowych MID, która wiąże w pewnym zakresie system oceny zgodności i drugi wielki obszar regulacji technicznych, tj. metrologię prawną, oraz w 201</w:t>
      </w:r>
      <w:r w:rsidR="00A0199D" w:rsidRPr="004A175F">
        <w:t>1</w:t>
      </w:r>
      <w:r w:rsidR="00981CFF" w:rsidRPr="004A175F">
        <w:t xml:space="preserve"> r., przy okazji wspomnianego już dostosowania regulacji do rozporządzenia 765/2008</w:t>
      </w:r>
      <w:r w:rsidR="0072603D" w:rsidRPr="004A175F">
        <w:t>/WE</w:t>
      </w:r>
      <w:r w:rsidR="00981CFF" w:rsidRPr="004A175F">
        <w:t>).</w:t>
      </w:r>
    </w:p>
    <w:p w:rsidR="00981CFF" w:rsidRPr="004A175F" w:rsidRDefault="00981CFF" w:rsidP="004A175F">
      <w:pPr>
        <w:spacing w:before="120" w:line="360" w:lineRule="auto"/>
        <w:jc w:val="both"/>
      </w:pPr>
      <w:r w:rsidRPr="004A175F">
        <w:t xml:space="preserve">Można bez wielkiej przesady stwierdzić, że połowa drugiej dekady XXI wieku to okres trzeciej fazy reform regulacji technicznych – tym razem mają one na celu dostosowanie tych regulacji do wymogów nowoczesnej gospodarki opartej na innowacjach i nowych technologiach. Od dłuższego czasu trwają prace nad całościową reformą systemu metrologii. </w:t>
      </w:r>
      <w:r w:rsidR="001B058E" w:rsidRPr="004A175F">
        <w:t>P</w:t>
      </w:r>
      <w:r w:rsidRPr="004A175F">
        <w:t>rojekt</w:t>
      </w:r>
      <w:r w:rsidR="001B058E" w:rsidRPr="004A175F">
        <w:t xml:space="preserve"> niniejszy z kolei</w:t>
      </w:r>
      <w:r w:rsidRPr="004A175F">
        <w:t xml:space="preserve"> dostosowuje nieco już przestarzałe regulacje ustawy z 2002 r. do nowych trendów w prawodawstwie europejskim. Niezbędna staje się również dyskusja nad </w:t>
      </w:r>
      <w:r w:rsidR="009518CE" w:rsidRPr="004A175F">
        <w:t>rozwiązaniami ustrojowymi w obszarze normalizacji, a także ponowne zdefiniowanie roli i pozycji Polskiego Centrum Badań i Certyfikacji</w:t>
      </w:r>
      <w:r w:rsidR="00F300EA" w:rsidRPr="004A175F">
        <w:rPr>
          <w:rStyle w:val="Odwoanieprzypisudolnego"/>
        </w:rPr>
        <w:footnoteReference w:id="4"/>
      </w:r>
      <w:r w:rsidR="00D63191">
        <w:rPr>
          <w:vertAlign w:val="superscript"/>
        </w:rPr>
        <w:t>)</w:t>
      </w:r>
      <w:r w:rsidR="009518CE" w:rsidRPr="004A175F">
        <w:t xml:space="preserve">. </w:t>
      </w:r>
      <w:r w:rsidR="00F300EA" w:rsidRPr="004A175F">
        <w:lastRenderedPageBreak/>
        <w:t xml:space="preserve">Pierwszym krokiem </w:t>
      </w:r>
      <w:r w:rsidR="00CC7735" w:rsidRPr="004A175F">
        <w:t xml:space="preserve">w tym kontekście </w:t>
      </w:r>
      <w:r w:rsidR="00F300EA" w:rsidRPr="004A175F">
        <w:t xml:space="preserve">powinno być </w:t>
      </w:r>
      <w:r w:rsidR="00B30F16">
        <w:t>wpisanie PCBC na listę spółek o </w:t>
      </w:r>
      <w:r w:rsidR="00F300EA" w:rsidRPr="004A175F">
        <w:t>szczególnym znaczeniu dla gospodarki państwa</w:t>
      </w:r>
      <w:r w:rsidR="00B30F16">
        <w:t>, zgodnie z przepisami ustawy o </w:t>
      </w:r>
      <w:r w:rsidR="00F300EA" w:rsidRPr="004A175F">
        <w:t>komercjalizacji i prywatyzacji przedsiębiorstw państwowych.</w:t>
      </w:r>
    </w:p>
    <w:p w:rsidR="00B835CB" w:rsidRPr="00406F7B" w:rsidRDefault="00B835CB" w:rsidP="00406F7B">
      <w:pPr>
        <w:spacing w:before="240" w:line="360" w:lineRule="auto"/>
      </w:pPr>
      <w:r w:rsidRPr="00406F7B">
        <w:t>Potrzeba i cel wydania ustawy</w:t>
      </w:r>
    </w:p>
    <w:p w:rsidR="0014367E" w:rsidRPr="004A175F" w:rsidRDefault="00B835CB" w:rsidP="004A175F">
      <w:pPr>
        <w:spacing w:before="120" w:line="360" w:lineRule="auto"/>
        <w:jc w:val="both"/>
      </w:pPr>
      <w:r w:rsidRPr="004A175F">
        <w:t>Po</w:t>
      </w:r>
      <w:r w:rsidR="0014367E" w:rsidRPr="004A175F">
        <w:t xml:space="preserve">trzeba </w:t>
      </w:r>
      <w:r w:rsidRPr="004A175F">
        <w:t xml:space="preserve">wydania nowej ustawy </w:t>
      </w:r>
      <w:r w:rsidR="0014367E" w:rsidRPr="004A175F">
        <w:t>wynika z konieczności zapewnienia</w:t>
      </w:r>
      <w:r w:rsidRPr="004A175F">
        <w:t xml:space="preserve"> spójności polskich regulacji z systemem europejskim określonym w Nowych Ramach </w:t>
      </w:r>
      <w:r w:rsidR="007701C8" w:rsidRPr="004A175F">
        <w:t>Prawnych (dalej: „NFL”</w:t>
      </w:r>
      <w:r w:rsidR="000412ED">
        <w:t>,</w:t>
      </w:r>
      <w:r w:rsidR="007701C8" w:rsidRPr="004A175F">
        <w:t xml:space="preserve"> z ang. New </w:t>
      </w:r>
      <w:proofErr w:type="spellStart"/>
      <w:r w:rsidR="007701C8" w:rsidRPr="004A175F">
        <w:t>Legal</w:t>
      </w:r>
      <w:proofErr w:type="spellEnd"/>
      <w:r w:rsidR="007701C8" w:rsidRPr="004A175F">
        <w:t xml:space="preserve"> Framework)</w:t>
      </w:r>
      <w:r w:rsidRPr="004A175F">
        <w:t>. Ustawa z 2002 r. nie zawiera szeregu fundamentalnych postanowień zawartych w NLF dotyczących m.in. obowiązków podmiotów gospodarczych, wymagań dla jednostek notyfikowanych i organów notyfikujących. W związku z tym nie ma możliwości, aby na jej podstawie wdrożone były dyrektywy sektorowe (określające wymagania dla poszczególnych kategorii produktów, np. maszyn, dźwigów czy zabawek)</w:t>
      </w:r>
      <w:r w:rsidR="00A26543" w:rsidRPr="004A175F">
        <w:t>, które są spójne z NLF. Dziewięć takich dyrektyw wejdzie w życie w roku 2016 – do tego czasu niezbędne jest uchwalenie nowej ustawy oraz stosownych rozporządzeń wdrażających te bardziej szczegółowe elementy dyrektyw.</w:t>
      </w:r>
    </w:p>
    <w:p w:rsidR="004C50E8" w:rsidRPr="004A175F" w:rsidRDefault="004C50E8" w:rsidP="004A175F">
      <w:pPr>
        <w:spacing w:before="120" w:line="360" w:lineRule="auto"/>
        <w:jc w:val="both"/>
      </w:pPr>
      <w:r w:rsidRPr="004A175F">
        <w:t>Ustawa w zakresie swojej regulacji wdraża zatem przepisy ogólne dyrektyw sektorowych (dot. definicji, najważniejszych zasad</w:t>
      </w:r>
      <w:r w:rsidR="00B30F16">
        <w:t xml:space="preserve"> dokonywania oceny zgodności, w </w:t>
      </w:r>
      <w:r w:rsidRPr="004A175F">
        <w:t>tym domniemań zgodności czy oznakowania CE, obowiązków podmiotów gospodarczych, zasad notyfikacji jednostek oceniających zgodność). Przepisy wykonawcze wydawane na podstawi</w:t>
      </w:r>
      <w:r w:rsidR="00445F85" w:rsidRPr="004A175F">
        <w:t>e</w:t>
      </w:r>
      <w:r w:rsidRPr="004A175F">
        <w:t xml:space="preserve"> art. </w:t>
      </w:r>
      <w:r w:rsidR="002A4F7E" w:rsidRPr="004A175F">
        <w:t xml:space="preserve">12 </w:t>
      </w:r>
      <w:r w:rsidRPr="004A175F">
        <w:t xml:space="preserve">ust. 1 będą natomiast wdrażały bardziej szczegółowe przepisy dyrektyw (dot. przede wszystkim wymagań dla wyrobów). </w:t>
      </w:r>
    </w:p>
    <w:p w:rsidR="0014367E" w:rsidRPr="004A175F" w:rsidRDefault="0014367E" w:rsidP="004A175F">
      <w:pPr>
        <w:spacing w:before="120" w:line="360" w:lineRule="auto"/>
        <w:jc w:val="both"/>
      </w:pPr>
      <w:r w:rsidRPr="004A175F">
        <w:t>Zakres zmian wynikających z samego dostosowania przepisów ustawy do nowych ram prawnych jest na tyle duży, że mając na uwadze liczne nowelizacje</w:t>
      </w:r>
      <w:r w:rsidR="00FF03E8" w:rsidRPr="004A175F">
        <w:t xml:space="preserve"> ustawy z 2002 r., zasada jas</w:t>
      </w:r>
      <w:r w:rsidRPr="004A175F">
        <w:t>ności i przejrzystości prawa wymaga wydania nowego aktu.</w:t>
      </w:r>
    </w:p>
    <w:p w:rsidR="00445F85" w:rsidRPr="004A175F" w:rsidRDefault="00445F85" w:rsidP="000E7611">
      <w:pPr>
        <w:spacing w:before="120" w:line="360" w:lineRule="auto"/>
        <w:jc w:val="both"/>
      </w:pPr>
      <w:r w:rsidRPr="004A175F">
        <w:t xml:space="preserve">Ustawa wprowadzi również pewne niezbędne modyfikacje w zakresie organizacji Polskiego Centrum Akredytacji. Przepisy stosownego rozdziału zostaną od strony legislacyjnej dostosowane do schematu stosowanego w odniesieniu do instytucji państwa o podobnej lub zbliżonej naturze (np. NCBR, NCN). Jednocześnie przewiduje </w:t>
      </w:r>
      <w:r w:rsidRPr="004A175F">
        <w:lastRenderedPageBreak/>
        <w:t>się wprowadzenie pewnych mechanizmów wzmacniających merytoryczny</w:t>
      </w:r>
      <w:r w:rsidR="003B59ED" w:rsidRPr="004A175F">
        <w:t xml:space="preserve"> nadzór nad działalnością PCA oraz</w:t>
      </w:r>
      <w:r w:rsidRPr="004A175F">
        <w:t xml:space="preserve"> redukujących </w:t>
      </w:r>
      <w:r w:rsidR="003B59ED" w:rsidRPr="004A175F">
        <w:t>tzw. „efekt agencji” oraz asymetrię informacji</w:t>
      </w:r>
      <w:r w:rsidR="000412ED">
        <w:t>,</w:t>
      </w:r>
      <w:r w:rsidR="003B59ED" w:rsidRPr="004A175F">
        <w:t xml:space="preserve"> jakie pojawiają się w relacji PCA z organem nadzoru</w:t>
      </w:r>
      <w:r w:rsidR="00415DC1" w:rsidRPr="004A175F">
        <w:t>. I</w:t>
      </w:r>
      <w:r w:rsidR="003B59ED" w:rsidRPr="004A175F">
        <w:t>stnienie</w:t>
      </w:r>
      <w:r w:rsidR="00415DC1" w:rsidRPr="004A175F">
        <w:t xml:space="preserve"> tych zjawisk</w:t>
      </w:r>
      <w:r w:rsidR="003B59ED" w:rsidRPr="004A175F">
        <w:t xml:space="preserve"> uważa się w nowoczesnej teorii ekonomii instytucjonalnej za </w:t>
      </w:r>
      <w:r w:rsidR="00415DC1" w:rsidRPr="004A175F">
        <w:t xml:space="preserve">naturalne i </w:t>
      </w:r>
      <w:r w:rsidR="003B59ED" w:rsidRPr="004A175F">
        <w:t xml:space="preserve">główne </w:t>
      </w:r>
      <w:r w:rsidR="00415DC1" w:rsidRPr="004A175F">
        <w:t>przyczyny perturbacji w stosunkach pryncypał – agent</w:t>
      </w:r>
      <w:r w:rsidR="00770811" w:rsidRPr="004A175F">
        <w:t xml:space="preserve"> (a takim jest relacja państwo (ministerstwo) – nadzorowana instytucja)</w:t>
      </w:r>
      <w:r w:rsidR="00415DC1" w:rsidRPr="004A175F">
        <w:t xml:space="preserve">, </w:t>
      </w:r>
      <w:r w:rsidR="00770811" w:rsidRPr="004A175F">
        <w:t xml:space="preserve">niepożądanymi z punktu widzenia całościowego celu tej relacji. </w:t>
      </w:r>
      <w:r w:rsidR="00066CCF" w:rsidRPr="004A175F">
        <w:t>W obszarze nadzoru korporacyjnego podstawowym mechanizmem ograniczenia „efektu agencji” i przełamania asymetrii informacji jest rada nadzorcza. W projekcie ustawy przewiduje się również wzmocnienie kompet</w:t>
      </w:r>
      <w:r w:rsidR="000E7611">
        <w:t>encyjne i merytoryczne Rady ds. </w:t>
      </w:r>
      <w:r w:rsidR="00066CCF" w:rsidRPr="004A175F">
        <w:t xml:space="preserve">akredytacji, ale też wprowadzenie obowiązków planistycznych i sprawozdawczych w zakresie działalności merytorycznej PCA oraz określenie zasad podziału zysku jednostki. </w:t>
      </w:r>
    </w:p>
    <w:p w:rsidR="00D64373" w:rsidRPr="004A175F" w:rsidRDefault="00D64373" w:rsidP="004A175F">
      <w:pPr>
        <w:spacing w:before="120" w:line="360" w:lineRule="auto"/>
        <w:jc w:val="both"/>
      </w:pPr>
      <w:r w:rsidRPr="004A175F">
        <w:t>W zakresie nadzoru rynku celem nowej regulacji jest</w:t>
      </w:r>
      <w:r w:rsidR="00B30F16">
        <w:t xml:space="preserve"> poprawa skuteczności systemu w </w:t>
      </w:r>
      <w:r w:rsidRPr="004A175F">
        <w:t>obszarze produktów nieżywnościowych w Polsce, umożliwiająca jednolite funkcjonowanie unijnego rynku wewnętrznego, którego filarem jest swobodny przepływ towarów. Ponadto celem nowej ustawy jest zapewnienie skutecznego, proporcjonalnego i odstraszającego systemu kar, a</w:t>
      </w:r>
      <w:r w:rsidR="008E00D6" w:rsidRPr="004A175F">
        <w:t xml:space="preserve"> </w:t>
      </w:r>
      <w:r w:rsidRPr="004A175F">
        <w:t>w</w:t>
      </w:r>
      <w:r w:rsidR="008E00D6" w:rsidRPr="004A175F">
        <w:t xml:space="preserve"> </w:t>
      </w:r>
      <w:r w:rsidRPr="004A175F">
        <w:t xml:space="preserve">konsekwencji wysokiego poziomu ochrony konsumentów oraz środowiska naturalnego, który pozwoli skutecznie eliminować z rynku nieuczciwe podmioty gospodarcze oferujące wyroby niebezpieczne lub niespełniające unijnych przepisów. </w:t>
      </w:r>
    </w:p>
    <w:p w:rsidR="00D64373" w:rsidRPr="004A175F" w:rsidRDefault="00D64373" w:rsidP="004A175F">
      <w:pPr>
        <w:spacing w:before="120" w:line="360" w:lineRule="auto"/>
        <w:jc w:val="both"/>
      </w:pPr>
      <w:r w:rsidRPr="004A175F">
        <w:t>System nadzoru rynku funkcjonuje w Polsce od przeszło 10 lat. Z tej perspektywy dostrzeżono pewne elementy istniejącego systemu, które wymagają poprawy, doprecyzowania lub zmiany, tak aby umożl</w:t>
      </w:r>
      <w:r w:rsidR="00B30F16">
        <w:t>iwić podejmowanie jednolitych i </w:t>
      </w:r>
      <w:r w:rsidRPr="004A175F">
        <w:t>skutecznych działań organom nadzoru rynku, skierowanych na pełne wyeliminowanie zagrożeń dla zdrowia lub życia konsumentów. Ponadto wprowadzone zmiany wynikają z analizy podejścia i</w:t>
      </w:r>
      <w:r w:rsidR="008E00D6" w:rsidRPr="004A175F">
        <w:t xml:space="preserve"> </w:t>
      </w:r>
      <w:r w:rsidRPr="004A175F">
        <w:t>wytycznych prezentowanych przez Komisję Europejską oraz są wynikiem zacieśniającej się współpracy z</w:t>
      </w:r>
      <w:r w:rsidR="008E00D6" w:rsidRPr="004A175F">
        <w:t xml:space="preserve"> </w:t>
      </w:r>
      <w:r w:rsidRPr="004A175F">
        <w:t>organami nadzoru rynku innych państw członkowskich Unii Europejskiej, a także korzystania z wypracowanych dobrych praktyk.</w:t>
      </w:r>
    </w:p>
    <w:p w:rsidR="00B835CB" w:rsidRPr="00406F7B" w:rsidRDefault="00314231" w:rsidP="0076280F">
      <w:pPr>
        <w:keepNext/>
        <w:spacing w:before="240" w:line="360" w:lineRule="auto"/>
      </w:pPr>
      <w:r w:rsidRPr="00406F7B">
        <w:lastRenderedPageBreak/>
        <w:t>Podstawowe różnice pomiędzy obecnym stanem prawnym a proponowaną regulacją</w:t>
      </w:r>
    </w:p>
    <w:p w:rsidR="00B835CB" w:rsidRPr="00406F7B" w:rsidRDefault="00314231" w:rsidP="0076280F">
      <w:pPr>
        <w:keepNext/>
        <w:spacing w:before="120" w:line="360" w:lineRule="auto"/>
      </w:pPr>
      <w:r w:rsidRPr="00406F7B">
        <w:t>Przepisy ogólne</w:t>
      </w:r>
    </w:p>
    <w:p w:rsidR="00B835CB" w:rsidRPr="004A175F" w:rsidRDefault="002F1E9A" w:rsidP="0076280F">
      <w:pPr>
        <w:keepNext/>
        <w:spacing w:before="120" w:line="360" w:lineRule="auto"/>
        <w:jc w:val="both"/>
      </w:pPr>
      <w:r w:rsidRPr="004A175F">
        <w:t xml:space="preserve">Zakres regulacji ustawy zasadniczo nie zmienia się. Obejmuje on wszystkie elementy systemu oceny zgodności, o których mówi podręcznik Blue Guide (wersja z 2014 r.) Komisji Europejskiej stanowiący wytyczne dla państw członkowskich w zakresie zapewnienia właściwej implementacji reguł unijnego prawodawstwa </w:t>
      </w:r>
      <w:proofErr w:type="spellStart"/>
      <w:r w:rsidRPr="004A175F">
        <w:t>harmonizacyjnego</w:t>
      </w:r>
      <w:proofErr w:type="spellEnd"/>
      <w:r w:rsidRPr="004A175F">
        <w:t xml:space="preserve"> dot. wyrobów.</w:t>
      </w:r>
      <w:r w:rsidR="00E17549" w:rsidRPr="004A175F">
        <w:t xml:space="preserve"> Pozostawiono również wyłączenia dla określonych rodzajów wyrobów, zgodnie z regulacjami unijnymi, które przewidują w tych przypadkach istnienie odrębnych reżimów.</w:t>
      </w:r>
    </w:p>
    <w:p w:rsidR="00E17549" w:rsidRPr="004A175F" w:rsidRDefault="00E17549" w:rsidP="004A175F">
      <w:pPr>
        <w:spacing w:before="120" w:line="360" w:lineRule="auto"/>
        <w:jc w:val="both"/>
      </w:pPr>
      <w:r w:rsidRPr="004A175F">
        <w:t>Definicja systemu oceny zgodności została wyjęta, podobnie jak w ustawie z 2002 r., przed artykuł formułujący definicje szczegółowe. Prawodawstwo europejskie nie definiuje systemu oceny zgodności, częściej posługuje się pojęciem „nowego podejścia”, ale pojęcie „systemu oceny zgodności” jest używane powszechnie i dobrze zakorzenione w polskim prawie. Definicja została dostosowana do powszechnego rozumienia zawartego w normie ISO 17000, okre</w:t>
      </w:r>
      <w:r w:rsidR="00B30F16">
        <w:t>ślającej podstawowe definicje z </w:t>
      </w:r>
      <w:r w:rsidRPr="004A175F">
        <w:t xml:space="preserve">obszaru systemu oceny zgodności. </w:t>
      </w:r>
    </w:p>
    <w:p w:rsidR="00B835CB" w:rsidRPr="004A175F" w:rsidRDefault="00E17549" w:rsidP="004A175F">
      <w:pPr>
        <w:tabs>
          <w:tab w:val="left" w:pos="5880"/>
        </w:tabs>
        <w:spacing w:before="120" w:line="360" w:lineRule="auto"/>
        <w:jc w:val="both"/>
      </w:pPr>
      <w:r w:rsidRPr="004A175F">
        <w:t xml:space="preserve">Cele ustawy sformułowane zostały w sposób nieco inny niż w dotychczasowym stanie prawnym. Odwołano się bezpośrednio do celów określonych w pierwszych motywach preambuł do </w:t>
      </w:r>
      <w:r w:rsidR="007701C8" w:rsidRPr="004A175F">
        <w:t>d</w:t>
      </w:r>
      <w:r w:rsidRPr="004A175F">
        <w:t>ecyzji 768/2</w:t>
      </w:r>
      <w:r w:rsidR="00EA5FC4" w:rsidRPr="004A175F">
        <w:t>008</w:t>
      </w:r>
      <w:r w:rsidR="0072603D" w:rsidRPr="004A175F">
        <w:t>/WE</w:t>
      </w:r>
      <w:r w:rsidR="00EA5FC4" w:rsidRPr="004A175F">
        <w:t xml:space="preserve"> i </w:t>
      </w:r>
      <w:r w:rsidR="007701C8" w:rsidRPr="004A175F">
        <w:t>r</w:t>
      </w:r>
      <w:r w:rsidR="00EA5FC4" w:rsidRPr="004A175F">
        <w:t>ozporządzenia 765/2008</w:t>
      </w:r>
      <w:r w:rsidR="0072603D" w:rsidRPr="004A175F">
        <w:t>/WE</w:t>
      </w:r>
      <w:r w:rsidR="00EA5FC4" w:rsidRPr="004A175F">
        <w:t>. Cel polegaj</w:t>
      </w:r>
      <w:r w:rsidR="0042553C" w:rsidRPr="004A175F">
        <w:t>ąc</w:t>
      </w:r>
      <w:r w:rsidR="00EA5FC4" w:rsidRPr="004A175F">
        <w:t>y na zwiększaniu</w:t>
      </w:r>
      <w:r w:rsidRPr="004A175F">
        <w:t xml:space="preserve"> konkurencyjności i innowacyjności gospodarki (dosłownie – „przemysłu”)</w:t>
      </w:r>
      <w:r w:rsidR="00EA5FC4" w:rsidRPr="004A175F">
        <w:t xml:space="preserve"> nie tylko został wymieniony</w:t>
      </w:r>
      <w:r w:rsidR="0072603D" w:rsidRPr="004A175F">
        <w:t xml:space="preserve"> bezpośrednio w d</w:t>
      </w:r>
      <w:r w:rsidRPr="004A175F">
        <w:t>ecyzji 768/2008</w:t>
      </w:r>
      <w:r w:rsidR="0072603D" w:rsidRPr="004A175F">
        <w:t>/WE</w:t>
      </w:r>
      <w:r w:rsidR="00EA5FC4" w:rsidRPr="004A175F">
        <w:t>, ale stanowi też powrót do idei wyrażonej w ustawie o badaniach i certyfikacji z 1993 r. Bez wątpienia instrumenty systemu oceny zgodności, takie jak niezależna ocena, certyfikacja wyrobów i systemów zarządzania, służą nie tylko bezpieczeństwu i ograniczaniu barier w handlu, ale też jakości produkcji i procesów produkcyjnych, a przez to – konkurencyjności i innowacyjności gospodarki.</w:t>
      </w:r>
      <w:r w:rsidR="003B4632" w:rsidRPr="004A175F">
        <w:t xml:space="preserve"> </w:t>
      </w:r>
    </w:p>
    <w:p w:rsidR="00D64373" w:rsidRPr="004A175F" w:rsidRDefault="00D64373" w:rsidP="004A175F">
      <w:pPr>
        <w:spacing w:before="120" w:line="360" w:lineRule="auto"/>
        <w:jc w:val="both"/>
      </w:pPr>
      <w:r w:rsidRPr="004A175F">
        <w:t>Art. 3</w:t>
      </w:r>
      <w:r w:rsidR="00F7785C" w:rsidRPr="004A175F">
        <w:t xml:space="preserve"> ust</w:t>
      </w:r>
      <w:r w:rsidR="000412ED">
        <w:t>.</w:t>
      </w:r>
      <w:r w:rsidR="007F78D7" w:rsidRPr="004A175F">
        <w:t xml:space="preserve"> </w:t>
      </w:r>
      <w:r w:rsidRPr="004A175F">
        <w:t xml:space="preserve">2 określa zakres systemu nadzoru rynku. </w:t>
      </w:r>
      <w:r w:rsidR="007F78D7" w:rsidRPr="004A175F">
        <w:t>D</w:t>
      </w:r>
      <w:r w:rsidRPr="004A175F">
        <w:t xml:space="preserve">o systemu włączono kontrole wyrobów podlegających ocenie zgodności, przywożonych na teren Unii Europejskiej, zgodnie z przepisami rozdziału III sekcji 3 – „Kontrola produktów przywożonych </w:t>
      </w:r>
      <w:r w:rsidR="0072603D" w:rsidRPr="004A175F">
        <w:t xml:space="preserve">do Wspólnoty” rozporządzenia </w:t>
      </w:r>
      <w:r w:rsidRPr="004A175F">
        <w:t>765/2008</w:t>
      </w:r>
      <w:r w:rsidR="0072603D" w:rsidRPr="004A175F">
        <w:t>/WE</w:t>
      </w:r>
      <w:r w:rsidRPr="004A175F">
        <w:t>. Ponadto</w:t>
      </w:r>
      <w:r w:rsidR="00B70628">
        <w:t>,</w:t>
      </w:r>
      <w:r w:rsidRPr="004A175F">
        <w:t xml:space="preserve"> dostosowując krajową siatkę pojęciową do terminologii stosowanej na poziomie unijnym, zmieniono określenie </w:t>
      </w:r>
      <w:r w:rsidRPr="004A175F">
        <w:lastRenderedPageBreak/>
        <w:t>„organy wyspecjalizowane” na „organy nadzoru rynku”</w:t>
      </w:r>
      <w:r w:rsidR="00B70628">
        <w:t>,</w:t>
      </w:r>
      <w:r w:rsidRPr="004A175F">
        <w:t xml:space="preserve"> a „system kontroli wyrobów” na „system nadzoru rynku”.</w:t>
      </w:r>
    </w:p>
    <w:p w:rsidR="003B4632" w:rsidRPr="004A175F" w:rsidRDefault="003B4632" w:rsidP="004A175F">
      <w:pPr>
        <w:spacing w:before="120" w:line="360" w:lineRule="auto"/>
        <w:jc w:val="both"/>
      </w:pPr>
      <w:r w:rsidRPr="004A175F">
        <w:t xml:space="preserve">Zestaw definicji został dostosowany do przepisów </w:t>
      </w:r>
      <w:r w:rsidR="007701C8" w:rsidRPr="004A175F">
        <w:t>unijnych</w:t>
      </w:r>
      <w:r w:rsidRPr="004A175F">
        <w:t>. Najistotniejsze zmiany to rezygnacja z definiowania poszczególnych rodzajów jednostek oceniających zgodność (jednostki certyfikujące, kontrolujące, laboratoria)</w:t>
      </w:r>
      <w:r w:rsidR="002D53F8" w:rsidRPr="004A175F">
        <w:t>,</w:t>
      </w:r>
      <w:r w:rsidRPr="004A175F">
        <w:t xml:space="preserve"> jako że rozróżnienie to nie ma znaczeni</w:t>
      </w:r>
      <w:r w:rsidR="0042553C" w:rsidRPr="004A175F">
        <w:t>a</w:t>
      </w:r>
      <w:r w:rsidRPr="004A175F">
        <w:t xml:space="preserve"> z perspektywy dalszych przepisów, a także ze sztucznego i często w praktyce niekonsekwentnego podziału na wymagania zasadnicze, szczegółowe i inne.</w:t>
      </w:r>
    </w:p>
    <w:p w:rsidR="00C54769" w:rsidRPr="00406F7B" w:rsidRDefault="00C54769" w:rsidP="00406F7B">
      <w:pPr>
        <w:spacing w:before="240" w:line="360" w:lineRule="auto"/>
        <w:jc w:val="both"/>
      </w:pPr>
      <w:r w:rsidRPr="00406F7B">
        <w:t>Relacja między nowym i starym systemem oceny zgodności – kwestia pozostawienia w mocy ustawy z 2002 r.</w:t>
      </w:r>
    </w:p>
    <w:p w:rsidR="00D64373" w:rsidRPr="004A175F" w:rsidRDefault="0043786F" w:rsidP="004A175F">
      <w:pPr>
        <w:spacing w:before="120" w:line="360" w:lineRule="auto"/>
        <w:jc w:val="both"/>
      </w:pPr>
      <w:r w:rsidRPr="004A175F">
        <w:t xml:space="preserve">Jednym z największych legislacyjnych wyzwań w pracach nad ustawą było </w:t>
      </w:r>
      <w:r w:rsidR="006040B9" w:rsidRPr="004A175F">
        <w:t>ustalenie zakresu i sposobu dalszego obowiązywania pr</w:t>
      </w:r>
      <w:r w:rsidR="00B30F16">
        <w:t>zepisów dotychczasowej ustawy o </w:t>
      </w:r>
      <w:r w:rsidR="006040B9" w:rsidRPr="004A175F">
        <w:t>systemie oceny zgodności z 2002 r. Jak wskazano wcześniej, projekt nowej ustawy zapewnia ramy dla wdrożenia dyrektyw sektorowych, które są spójne z nowymi ramami prawnymi (NLF). Pierwotnym zamierzeniem politycznym było</w:t>
      </w:r>
      <w:r w:rsidR="00B70628">
        <w:t>,</w:t>
      </w:r>
      <w:r w:rsidR="006040B9" w:rsidRPr="004A175F">
        <w:t xml:space="preserve"> aby NLF jak najszybciej zyskał charakter uniwersalny i aby wszystkie akty sektorowe zostały możliwie szybko</w:t>
      </w:r>
      <w:r w:rsidR="00450D31">
        <w:t xml:space="preserve"> do nich</w:t>
      </w:r>
      <w:r w:rsidR="006040B9" w:rsidRPr="004A175F">
        <w:t xml:space="preserve"> dostosowane. </w:t>
      </w:r>
      <w:r w:rsidR="007E7C14" w:rsidRPr="004A175F">
        <w:t>Praktyka okazała się jednak inna – w prawie unijnym nadal pozostaje szereg dyrektyw nieznowelizowanych i niedostosowanych do NLF. W stosunku do części z nich nie ma na razie naw</w:t>
      </w:r>
      <w:r w:rsidR="00B30F16">
        <w:t>et jasnych planów co do formy i </w:t>
      </w:r>
      <w:r w:rsidR="007E7C14" w:rsidRPr="004A175F">
        <w:t xml:space="preserve">terminu dostosowania. </w:t>
      </w:r>
    </w:p>
    <w:p w:rsidR="007E7C14" w:rsidRPr="004A175F" w:rsidRDefault="007E7C14" w:rsidP="004A175F">
      <w:pPr>
        <w:spacing w:before="120" w:line="360" w:lineRule="auto"/>
        <w:jc w:val="both"/>
      </w:pPr>
      <w:r w:rsidRPr="004A175F">
        <w:t xml:space="preserve">Z powyższych powodów, w stosunku do części wyrobów podlegających ocenie zgodności, niezbędne jest utrzymanie starych zasad i starych przepisów (zarówno ustawowych, jak i wykonawczych). </w:t>
      </w:r>
      <w:r w:rsidR="0020659C" w:rsidRPr="004A175F">
        <w:t xml:space="preserve">W sytuacji, w której nie jest jasne jak długo ten stary system będzie obowiązywał w stosunku do poszczególnych kategorii wyrobów, </w:t>
      </w:r>
      <w:r w:rsidR="00E95B9C" w:rsidRPr="004A175F">
        <w:t>bardzo trudne było</w:t>
      </w:r>
      <w:r w:rsidR="0020659C" w:rsidRPr="004A175F">
        <w:t xml:space="preserve">by skonstruowanie precyzyjnych przepisów przejściowych określających zasady dalszego stosowania przepisów „starej” ustawy z 2002 r. </w:t>
      </w:r>
      <w:r w:rsidR="00E95B9C" w:rsidRPr="004A175F">
        <w:t>Dlatego zdecydowano o pozostawieniu w mocy ustawy z 2002 r. przy ograniczeniu jej zakresu przedmiotowego i uchyleniu w niej tych przepisów, które nie będą już miały zastosowania (chodzi gł</w:t>
      </w:r>
      <w:r w:rsidR="00B70628">
        <w:t>ó</w:t>
      </w:r>
      <w:r w:rsidR="00E95B9C" w:rsidRPr="004A175F">
        <w:t>wnie o przepisy dotyczące akredytacji i PCA).</w:t>
      </w:r>
    </w:p>
    <w:p w:rsidR="00E95B9C" w:rsidRPr="004A175F" w:rsidRDefault="00E95B9C" w:rsidP="004A175F">
      <w:pPr>
        <w:spacing w:before="120" w:line="360" w:lineRule="auto"/>
        <w:jc w:val="both"/>
      </w:pPr>
      <w:r w:rsidRPr="004A175F">
        <w:t xml:space="preserve">Można zakładać i zaprojektowana konstrukcja to przewiduje, że „stary” system będzie stopniowo wygaszany, wraz z rozwojem prawodawstwa europejskiego, dostosowującego kolejne dyrektywy sektorowe do systemu NLF. Będzie to wymagało sukcesywnego ograniczania zakresu przedmiotowego ustawy z 2002 r. i włączaniu </w:t>
      </w:r>
      <w:r w:rsidRPr="004A175F">
        <w:lastRenderedPageBreak/>
        <w:t xml:space="preserve">kolejnych kategorii wyrobów </w:t>
      </w:r>
      <w:r w:rsidR="00E61669" w:rsidRPr="004A175F">
        <w:t xml:space="preserve">w zakres nowej ustawy (w szczególności poprzez uchwalanie nowych aktów wykonawczych z art. 12). </w:t>
      </w:r>
      <w:r w:rsidR="0058492C" w:rsidRPr="004A175F">
        <w:t xml:space="preserve">Trudno natomiast na obecnym etapie przewidywać, kiedy i czy w ogóle pełne ujednolicenie systemu oceny zgodności nastąpi. </w:t>
      </w:r>
    </w:p>
    <w:p w:rsidR="003B4632" w:rsidRPr="00406F7B" w:rsidRDefault="007F78D7" w:rsidP="00406F7B">
      <w:pPr>
        <w:spacing w:before="240" w:line="360" w:lineRule="auto"/>
        <w:jc w:val="both"/>
      </w:pPr>
      <w:r w:rsidRPr="00406F7B">
        <w:t>Ocena z</w:t>
      </w:r>
      <w:r w:rsidR="003B4632" w:rsidRPr="00406F7B">
        <w:t>godnoś</w:t>
      </w:r>
      <w:r w:rsidRPr="00406F7B">
        <w:t>ci</w:t>
      </w:r>
      <w:r w:rsidR="003B4632" w:rsidRPr="00406F7B">
        <w:t xml:space="preserve"> wyrobów</w:t>
      </w:r>
    </w:p>
    <w:p w:rsidR="007911FC" w:rsidRPr="004A175F" w:rsidRDefault="003B4632" w:rsidP="004A175F">
      <w:pPr>
        <w:spacing w:before="120" w:line="360" w:lineRule="auto"/>
        <w:jc w:val="both"/>
      </w:pPr>
      <w:r w:rsidRPr="004A175F">
        <w:t xml:space="preserve">Rozdział </w:t>
      </w:r>
      <w:r w:rsidR="007F78D7" w:rsidRPr="004A175F">
        <w:t>f</w:t>
      </w:r>
      <w:r w:rsidRPr="004A175F">
        <w:t xml:space="preserve">ormułuje najważniejsze zasady dotyczące </w:t>
      </w:r>
      <w:r w:rsidR="007911FC" w:rsidRPr="004A175F">
        <w:t>zapewniania i weryfikacji</w:t>
      </w:r>
      <w:r w:rsidRPr="004A175F">
        <w:t xml:space="preserve"> zgodności wyrobów</w:t>
      </w:r>
      <w:r w:rsidR="007911FC" w:rsidRPr="004A175F">
        <w:t xml:space="preserve"> z wymaganiami.</w:t>
      </w:r>
    </w:p>
    <w:p w:rsidR="00490F9D" w:rsidRPr="004A175F" w:rsidRDefault="00490F9D" w:rsidP="004A175F">
      <w:pPr>
        <w:spacing w:before="120" w:line="360" w:lineRule="auto"/>
        <w:jc w:val="both"/>
      </w:pPr>
      <w:r w:rsidRPr="004A175F">
        <w:t>Art</w:t>
      </w:r>
      <w:r w:rsidR="00450D31">
        <w:t>ykuł</w:t>
      </w:r>
      <w:r w:rsidR="00B70628">
        <w:t xml:space="preserve"> </w:t>
      </w:r>
      <w:r w:rsidRPr="004A175F">
        <w:t>5 formułuje podstawową zasadę dotyczącą obowiązku wprowadzania do obrotu i użytkowania wyrobów zgodnych z wymaganiami.</w:t>
      </w:r>
    </w:p>
    <w:p w:rsidR="00490F9D" w:rsidRPr="004A175F" w:rsidRDefault="00450D31" w:rsidP="004A175F">
      <w:pPr>
        <w:spacing w:before="120" w:line="360" w:lineRule="auto"/>
        <w:jc w:val="both"/>
      </w:pPr>
      <w:r w:rsidRPr="004A175F">
        <w:t>Art</w:t>
      </w:r>
      <w:r>
        <w:t>ykuł</w:t>
      </w:r>
      <w:r w:rsidR="00B70628">
        <w:t xml:space="preserve"> </w:t>
      </w:r>
      <w:r w:rsidR="00490F9D" w:rsidRPr="004A175F">
        <w:t>6 formułuje obowiązek oznaczania wyrobów znakiem CE, podstawowym oznaczeniem systemu oceny zgodności.</w:t>
      </w:r>
    </w:p>
    <w:p w:rsidR="007911FC" w:rsidRPr="004A175F" w:rsidRDefault="00450D31" w:rsidP="004A175F">
      <w:pPr>
        <w:spacing w:before="120" w:line="360" w:lineRule="auto"/>
        <w:jc w:val="both"/>
      </w:pPr>
      <w:r w:rsidRPr="004A175F">
        <w:t>Art</w:t>
      </w:r>
      <w:r>
        <w:t>ykuł</w:t>
      </w:r>
      <w:r w:rsidR="00B70628">
        <w:t xml:space="preserve"> </w:t>
      </w:r>
      <w:r w:rsidR="009878A8" w:rsidRPr="004A175F">
        <w:t>7</w:t>
      </w:r>
      <w:r w:rsidR="007911FC" w:rsidRPr="004A175F">
        <w:t xml:space="preserve"> wprowadza podział na obowiązkową i dobr</w:t>
      </w:r>
      <w:r w:rsidR="00B30F16">
        <w:t>owolną ocenę zgodności, który w </w:t>
      </w:r>
      <w:r w:rsidR="007911FC" w:rsidRPr="004A175F">
        <w:t xml:space="preserve">ustawie z 2002 r. jest niewystarczająco jasno zaznaczony. </w:t>
      </w:r>
    </w:p>
    <w:p w:rsidR="003B4632" w:rsidRPr="004A175F" w:rsidRDefault="00450D31" w:rsidP="004A175F">
      <w:pPr>
        <w:spacing w:before="120" w:line="360" w:lineRule="auto"/>
        <w:jc w:val="both"/>
      </w:pPr>
      <w:r w:rsidRPr="004A175F">
        <w:t>Art</w:t>
      </w:r>
      <w:r>
        <w:t>ykuł</w:t>
      </w:r>
      <w:r w:rsidR="00B70628">
        <w:t xml:space="preserve"> </w:t>
      </w:r>
      <w:r w:rsidR="009878A8" w:rsidRPr="004A175F">
        <w:t>8</w:t>
      </w:r>
      <w:r w:rsidR="007911FC" w:rsidRPr="004A175F">
        <w:t xml:space="preserve"> określa najbardziej podstawowe metody dokonywania oceny zgodności (które w różnych wariantach i sekwencjach występują w poszczególnych procedurach/modułach określanych w przepisach szczegółowych). W stosunku do ustawy z 2002 r. rozbito delegacje ustawowe dotyczące określenia opłat za czynności związane z oceną zgodności. Są to bowiem dwa zupełnie różne rodzaje opłat – PCA pobiera opłaty za czynności związane z akredytacją (ocenę wniosku i </w:t>
      </w:r>
      <w:proofErr w:type="spellStart"/>
      <w:r w:rsidR="007911FC" w:rsidRPr="004A175F">
        <w:t>audit</w:t>
      </w:r>
      <w:proofErr w:type="spellEnd"/>
      <w:r w:rsidR="007911FC" w:rsidRPr="004A175F">
        <w:t xml:space="preserve"> jednostki, udział w systemie). Opłaty te mają charakter quasi-urzędowy, ponieważ PCA jest jedyną jednostką akredytującą i wykonuje zadania państwa w tym obszarze.</w:t>
      </w:r>
      <w:r w:rsidR="008A2908" w:rsidRPr="004A175F">
        <w:t xml:space="preserve"> Jednostki ubiegające się o akredytację nie mają w tym zakresie żadnej alternatywy. Natomiast </w:t>
      </w:r>
      <w:r w:rsidR="00641552" w:rsidRPr="004A175F">
        <w:t>czynności wykonywane</w:t>
      </w:r>
      <w:r w:rsidR="008A2908" w:rsidRPr="004A175F">
        <w:t xml:space="preserve"> przez jednostki</w:t>
      </w:r>
      <w:r w:rsidR="00092755" w:rsidRPr="004A175F">
        <w:t xml:space="preserve"> (głównie jednostki notyfikowane)</w:t>
      </w:r>
      <w:r w:rsidR="00B30F16">
        <w:t xml:space="preserve"> w związku z </w:t>
      </w:r>
      <w:r w:rsidR="008A2908" w:rsidRPr="004A175F">
        <w:t>obowiązkową oceną zgodności</w:t>
      </w:r>
      <w:r w:rsidR="00092755" w:rsidRPr="004A175F">
        <w:t xml:space="preserve"> mają w zasadzie charak</w:t>
      </w:r>
      <w:r w:rsidR="00641552" w:rsidRPr="004A175F">
        <w:t>ter usługowy, a opłaty za nie podlegają zwykłej grze rynkowej, i to nie tylko na poziomie krajowym, ale ogólnoeuropejskim. Jednostki notyfikowane z danego kraju mogą działać na terenie całej UE. Podmiot korzystający z usług jednostek notyfikowanych ma więc możliwość wyboru jednostki, również poza granicami swojego kraju; w przypadku dużych zleceń koszty logistyczne i manipulacyjne mają mniejsze znaczenie.</w:t>
      </w:r>
    </w:p>
    <w:p w:rsidR="002242DC" w:rsidRPr="004A175F" w:rsidRDefault="00450D31" w:rsidP="004A175F">
      <w:pPr>
        <w:spacing w:before="120" w:line="360" w:lineRule="auto"/>
        <w:jc w:val="both"/>
      </w:pPr>
      <w:r w:rsidRPr="004A175F">
        <w:lastRenderedPageBreak/>
        <w:t>Art</w:t>
      </w:r>
      <w:r>
        <w:t>ykuł</w:t>
      </w:r>
      <w:r w:rsidR="00B70628">
        <w:t xml:space="preserve"> </w:t>
      </w:r>
      <w:r w:rsidR="007F78D7" w:rsidRPr="004A175F">
        <w:t>9</w:t>
      </w:r>
      <w:r w:rsidR="00DF449A" w:rsidRPr="004A175F">
        <w:t xml:space="preserve"> i</w:t>
      </w:r>
      <w:r w:rsidR="00B70628">
        <w:t xml:space="preserve"> </w:t>
      </w:r>
      <w:r w:rsidR="007F78D7" w:rsidRPr="004A175F">
        <w:t>10</w:t>
      </w:r>
      <w:r w:rsidR="00DF449A" w:rsidRPr="004A175F">
        <w:t xml:space="preserve"> wprowadzają dwa pod</w:t>
      </w:r>
      <w:r w:rsidR="00B30F16">
        <w:t>stawowe domniemania zgodności z </w:t>
      </w:r>
      <w:r w:rsidR="00DF449A" w:rsidRPr="004A175F">
        <w:t>wymaganiami – wynikające z oznakowania CE</w:t>
      </w:r>
      <w:r w:rsidR="00490F9D" w:rsidRPr="004A175F">
        <w:t xml:space="preserve"> (oraz, w stosunku do przyrządów pomiarowych, oznakowania metrologicznego)</w:t>
      </w:r>
      <w:r w:rsidR="00DF449A" w:rsidRPr="004A175F">
        <w:t xml:space="preserve"> oraz ze zgodności z normami zharmonizowanymi. </w:t>
      </w:r>
    </w:p>
    <w:p w:rsidR="00DF449A" w:rsidRPr="004A175F" w:rsidRDefault="00450D31" w:rsidP="004A175F">
      <w:pPr>
        <w:spacing w:before="120" w:line="360" w:lineRule="auto"/>
        <w:jc w:val="both"/>
      </w:pPr>
      <w:r w:rsidRPr="004A175F">
        <w:t>Art</w:t>
      </w:r>
      <w:r>
        <w:t>ykuł</w:t>
      </w:r>
      <w:r w:rsidR="00B70628">
        <w:t xml:space="preserve"> </w:t>
      </w:r>
      <w:r w:rsidR="009878A8" w:rsidRPr="004A175F">
        <w:t>11</w:t>
      </w:r>
      <w:r w:rsidR="00DF449A" w:rsidRPr="004A175F">
        <w:t xml:space="preserve"> dotyczy deklaracji zgodności. Najistotniejszym jego elementem jest wprowadzenie, wzorem prawodawstwa europej</w:t>
      </w:r>
      <w:r w:rsidR="00B30F16">
        <w:t>skiego, jednolitej deklaracji w </w:t>
      </w:r>
      <w:r w:rsidR="00DF449A" w:rsidRPr="004A175F">
        <w:t xml:space="preserve">przypadku wyrobów podlegających kilku aktom prawodawstwa </w:t>
      </w:r>
      <w:proofErr w:type="spellStart"/>
      <w:r w:rsidR="00DF449A" w:rsidRPr="004A175F">
        <w:t>harmonizacyjnego</w:t>
      </w:r>
      <w:proofErr w:type="spellEnd"/>
      <w:r w:rsidR="00DF449A" w:rsidRPr="004A175F">
        <w:t>, co jest sytuacją bardzo powszechną.</w:t>
      </w:r>
    </w:p>
    <w:p w:rsidR="00DF449A" w:rsidRPr="004A175F" w:rsidRDefault="00450D31" w:rsidP="004A175F">
      <w:pPr>
        <w:spacing w:before="120" w:line="360" w:lineRule="auto"/>
        <w:jc w:val="both"/>
      </w:pPr>
      <w:r w:rsidRPr="004A175F">
        <w:t>Art</w:t>
      </w:r>
      <w:r>
        <w:t>ykuł</w:t>
      </w:r>
      <w:r w:rsidR="00DF449A" w:rsidRPr="004A175F">
        <w:t xml:space="preserve"> </w:t>
      </w:r>
      <w:r w:rsidR="009878A8" w:rsidRPr="004A175F">
        <w:t xml:space="preserve">12 </w:t>
      </w:r>
      <w:r w:rsidR="00D00522" w:rsidRPr="004A175F">
        <w:t>zawiera delegacj</w:t>
      </w:r>
      <w:r w:rsidR="002242DC" w:rsidRPr="004A175F">
        <w:t>ę</w:t>
      </w:r>
      <w:r w:rsidR="00D00522" w:rsidRPr="004A175F">
        <w:t xml:space="preserve"> dla właściwych mi</w:t>
      </w:r>
      <w:r w:rsidR="00B30F16">
        <w:t>nistrów do określania wymagań i </w:t>
      </w:r>
      <w:r w:rsidR="00D00522" w:rsidRPr="004A175F">
        <w:t xml:space="preserve">procedur oceny zgodności dla poszczególnych wyrobów. </w:t>
      </w:r>
    </w:p>
    <w:p w:rsidR="00B835CB" w:rsidRPr="00406F7B" w:rsidRDefault="006C1252" w:rsidP="00406F7B">
      <w:pPr>
        <w:spacing w:before="240" w:line="360" w:lineRule="auto"/>
      </w:pPr>
      <w:r w:rsidRPr="00406F7B">
        <w:t>Obowiązki podmiotów gospodarczych</w:t>
      </w:r>
    </w:p>
    <w:p w:rsidR="008247DD" w:rsidRPr="004A175F" w:rsidRDefault="006C1252" w:rsidP="004A175F">
      <w:pPr>
        <w:spacing w:before="120" w:line="360" w:lineRule="auto"/>
        <w:jc w:val="both"/>
      </w:pPr>
      <w:r w:rsidRPr="004A175F">
        <w:t xml:space="preserve">Rozdział </w:t>
      </w:r>
      <w:r w:rsidR="009878A8" w:rsidRPr="004A175F">
        <w:t xml:space="preserve">3 </w:t>
      </w:r>
      <w:r w:rsidRPr="004A175F">
        <w:t>stanowi prawi</w:t>
      </w:r>
      <w:r w:rsidR="008247DD" w:rsidRPr="004A175F">
        <w:t>e</w:t>
      </w:r>
      <w:r w:rsidRPr="004A175F">
        <w:t xml:space="preserve"> wierne przeniesienie przepisów </w:t>
      </w:r>
      <w:r w:rsidR="007701C8" w:rsidRPr="004A175F">
        <w:t>d</w:t>
      </w:r>
      <w:r w:rsidRPr="004A175F">
        <w:t>ecyzji 768/2008</w:t>
      </w:r>
      <w:r w:rsidR="0072603D" w:rsidRPr="004A175F">
        <w:t>/WE</w:t>
      </w:r>
      <w:r w:rsidR="00B30F16">
        <w:t xml:space="preserve"> i </w:t>
      </w:r>
      <w:r w:rsidRPr="004A175F">
        <w:t>opartych na niej dyrektyw. Obowiązki odnoszą się tylko do podmiotów wprowadzających do obrotu wyroby podlegające obowiązkowej ocenie zgodności</w:t>
      </w:r>
      <w:r w:rsidR="002242DC" w:rsidRPr="004A175F">
        <w:t>.</w:t>
      </w:r>
      <w:r w:rsidRPr="004A175F">
        <w:t xml:space="preserve"> Wprowadzono też odniesienia lub przepisy dotyczące specyficznych kategorii podmiotów występujących tylko w jednej dyrektywie (</w:t>
      </w:r>
      <w:r w:rsidR="00486843" w:rsidRPr="004A175F">
        <w:t xml:space="preserve">np. </w:t>
      </w:r>
      <w:r w:rsidRPr="004A175F">
        <w:t xml:space="preserve">instalator w przypadku dźwigów </w:t>
      </w:r>
      <w:r w:rsidR="00486843" w:rsidRPr="004A175F">
        <w:t>czy</w:t>
      </w:r>
      <w:r w:rsidRPr="004A175F">
        <w:t xml:space="preserve"> prywatny importer w przypadku łodzi rekreacyjnych). </w:t>
      </w:r>
      <w:r w:rsidR="00003F97" w:rsidRPr="004A175F">
        <w:t>Ze względu na pewne odmienności</w:t>
      </w:r>
      <w:r w:rsidR="00B70628">
        <w:t>,</w:t>
      </w:r>
      <w:r w:rsidR="00003F97" w:rsidRPr="004A175F">
        <w:t xml:space="preserve"> jakie zawierają poszczególne dyrektywy, w ustawie </w:t>
      </w:r>
      <w:r w:rsidR="00204742" w:rsidRPr="004A175F">
        <w:t xml:space="preserve">obowiązki zostały określone w sposób ogólny. W związku z tym, szczegółowe zasady dotyczące np. oznakowania wyrobów zostaną zawarte w rozporządzeniach wykonawczych, wydanych na podstawie art. </w:t>
      </w:r>
      <w:r w:rsidR="009878A8" w:rsidRPr="004A175F">
        <w:t xml:space="preserve">12 </w:t>
      </w:r>
      <w:r w:rsidR="00204742" w:rsidRPr="004A175F">
        <w:t xml:space="preserve">ustawy. </w:t>
      </w:r>
    </w:p>
    <w:p w:rsidR="00E94E96" w:rsidRPr="004A175F" w:rsidRDefault="009878A8" w:rsidP="004A175F">
      <w:pPr>
        <w:spacing w:before="120" w:line="360" w:lineRule="auto"/>
        <w:jc w:val="both"/>
      </w:pPr>
      <w:r w:rsidRPr="004A175F">
        <w:t xml:space="preserve">W </w:t>
      </w:r>
      <w:r w:rsidR="00583239" w:rsidRPr="004A175F">
        <w:t xml:space="preserve">przypadku dopuszczenia przez przepisy szczególne, </w:t>
      </w:r>
      <w:r w:rsidRPr="004A175F">
        <w:t>umożliwiono prezentowanie na targach, wystawach i</w:t>
      </w:r>
      <w:r w:rsidR="004A175F" w:rsidRPr="004A175F">
        <w:t xml:space="preserve"> </w:t>
      </w:r>
      <w:r w:rsidRPr="004A175F">
        <w:t>pokazach oraz w innych miejscach, wyrobów niezgodnych z</w:t>
      </w:r>
      <w:r w:rsidR="00B30F16">
        <w:t> </w:t>
      </w:r>
      <w:r w:rsidRPr="004A175F">
        <w:t xml:space="preserve">wymaganiami </w:t>
      </w:r>
      <w:r w:rsidR="00E94E96" w:rsidRPr="004A175F">
        <w:t xml:space="preserve">przed wprowadzeniem </w:t>
      </w:r>
      <w:r w:rsidR="00583239" w:rsidRPr="004A175F">
        <w:t xml:space="preserve">ich </w:t>
      </w:r>
      <w:r w:rsidR="00E94E96" w:rsidRPr="004A175F">
        <w:t>do obrotu lub oddaniem do użytku</w:t>
      </w:r>
      <w:r w:rsidR="00583239" w:rsidRPr="004A175F">
        <w:t xml:space="preserve"> (art. 20).</w:t>
      </w:r>
      <w:r w:rsidR="00E94E96" w:rsidRPr="004A175F">
        <w:t xml:space="preserve"> </w:t>
      </w:r>
      <w:r w:rsidR="00583239" w:rsidRPr="004A175F">
        <w:t>Wskazano jednak</w:t>
      </w:r>
      <w:r w:rsidR="00573150" w:rsidRPr="004A175F">
        <w:t xml:space="preserve">, że dopóki </w:t>
      </w:r>
      <w:r w:rsidR="00583239" w:rsidRPr="004A175F">
        <w:t xml:space="preserve">taki wyrób </w:t>
      </w:r>
      <w:r w:rsidR="00573150" w:rsidRPr="004A175F">
        <w:t xml:space="preserve">nie będzie </w:t>
      </w:r>
      <w:r w:rsidR="00583239" w:rsidRPr="004A175F">
        <w:t>s</w:t>
      </w:r>
      <w:r w:rsidR="00573150" w:rsidRPr="004A175F">
        <w:t>pełniał</w:t>
      </w:r>
      <w:r w:rsidR="00583239" w:rsidRPr="004A175F">
        <w:t xml:space="preserve"> stosownych wymagań</w:t>
      </w:r>
      <w:r w:rsidR="00573150" w:rsidRPr="004A175F">
        <w:t xml:space="preserve">, nie </w:t>
      </w:r>
      <w:r w:rsidR="00583239" w:rsidRPr="004A175F">
        <w:t>może być udostępniany</w:t>
      </w:r>
      <w:r w:rsidR="00573150" w:rsidRPr="004A175F">
        <w:t xml:space="preserve"> </w:t>
      </w:r>
      <w:r w:rsidR="00583239" w:rsidRPr="004A175F">
        <w:t>na rynku</w:t>
      </w:r>
      <w:r w:rsidR="00573150" w:rsidRPr="004A175F">
        <w:t>.</w:t>
      </w:r>
    </w:p>
    <w:p w:rsidR="006C1252" w:rsidRPr="00406F7B" w:rsidRDefault="00954CBE" w:rsidP="00406F7B">
      <w:pPr>
        <w:spacing w:before="240" w:line="360" w:lineRule="auto"/>
        <w:jc w:val="both"/>
      </w:pPr>
      <w:r w:rsidRPr="00406F7B">
        <w:t xml:space="preserve">Akredytacja </w:t>
      </w:r>
    </w:p>
    <w:p w:rsidR="00343685" w:rsidRPr="004A175F" w:rsidRDefault="00954CBE" w:rsidP="004A175F">
      <w:pPr>
        <w:spacing w:before="120" w:line="360" w:lineRule="auto"/>
        <w:jc w:val="both"/>
      </w:pPr>
      <w:r w:rsidRPr="004A175F">
        <w:t xml:space="preserve">Przepisy dotyczące akredytacji (art. </w:t>
      </w:r>
      <w:r w:rsidR="00356462" w:rsidRPr="004A175F">
        <w:t>2</w:t>
      </w:r>
      <w:r w:rsidR="00583239" w:rsidRPr="004A175F">
        <w:t>2</w:t>
      </w:r>
      <w:r w:rsidR="009D551C">
        <w:t>–</w:t>
      </w:r>
      <w:r w:rsidR="00356462" w:rsidRPr="004A175F">
        <w:t>2</w:t>
      </w:r>
      <w:r w:rsidR="00583239" w:rsidRPr="004A175F">
        <w:t>6</w:t>
      </w:r>
      <w:r w:rsidRPr="004A175F">
        <w:t>) nie uległy większym zmianom.</w:t>
      </w:r>
      <w:r w:rsidR="00343685" w:rsidRPr="004A175F">
        <w:t xml:space="preserve"> Doprecyzowano wymagania i kryteria</w:t>
      </w:r>
      <w:r w:rsidR="004C3714">
        <w:t>,</w:t>
      </w:r>
      <w:r w:rsidR="00343685" w:rsidRPr="004A175F">
        <w:t xml:space="preserve"> jakie muszą speł</w:t>
      </w:r>
      <w:r w:rsidR="00B30F16">
        <w:t>niać jednostki ubiegające się o </w:t>
      </w:r>
      <w:r w:rsidR="00343685" w:rsidRPr="004A175F">
        <w:t>akredytację. Podkreślono również, że akredytacja może być udzielana zarówno jednostkom przeprowadzającym obowiązkową, jak i dobrowolną ocenę zgodności.</w:t>
      </w:r>
    </w:p>
    <w:p w:rsidR="00343685" w:rsidRPr="00406F7B" w:rsidRDefault="00343685" w:rsidP="0076280F">
      <w:pPr>
        <w:keepNext/>
        <w:spacing w:before="120" w:line="360" w:lineRule="auto"/>
        <w:jc w:val="both"/>
      </w:pPr>
      <w:r w:rsidRPr="00406F7B">
        <w:lastRenderedPageBreak/>
        <w:t>Autoryzacja i notyfikacja</w:t>
      </w:r>
    </w:p>
    <w:p w:rsidR="00343685" w:rsidRPr="004A175F" w:rsidRDefault="00582D92" w:rsidP="0076280F">
      <w:pPr>
        <w:keepNext/>
        <w:spacing w:before="120" w:line="360" w:lineRule="auto"/>
        <w:jc w:val="both"/>
      </w:pPr>
      <w:r w:rsidRPr="004A175F">
        <w:t xml:space="preserve">Poważnie zmodyfikowany został natomiast system autoryzacji i notyfikacji jednostek oceniających zgodność. Wprowadzono, śladem prawodawcy unijnego, wymagania dla jednostek ubiegających się o autoryzację (i notyfikację) w art. </w:t>
      </w:r>
      <w:r w:rsidR="00356462" w:rsidRPr="004A175F">
        <w:t>2</w:t>
      </w:r>
      <w:r w:rsidR="002242DC" w:rsidRPr="004A175F">
        <w:t>8</w:t>
      </w:r>
      <w:r w:rsidR="00343685" w:rsidRPr="004A175F">
        <w:t xml:space="preserve">. Wymagania te odnoszą się do struktury organizacyjnej, bezstronności i niezależności (przepisy ustawy nie wykluczają przy tym, aby o autoryzację ubiegała się jednostka należąca do stowarzyszenia przedsiębiorców lub zrzeszenia zawodowego reprezentującego przedsiębiorstwa zajmujące się projektowaniem, produkcją, dostarczaniem, montowaniem, użytkowaniem lub konserwacją wyrobów, które jednostka ta ocenia, pod warunkiem że wykazano jej niezależność i brak jakiegokolwiek konfliktu interesów), kompetencji technicznych i personalnych, ubezpieczenia, poufności i udziału w pracach normalizacyjnych oraz jednostek koordynujących działalność jednostek notyfikowanych. </w:t>
      </w:r>
    </w:p>
    <w:p w:rsidR="00954CBE" w:rsidRPr="004A175F" w:rsidRDefault="00343685" w:rsidP="004A175F">
      <w:pPr>
        <w:spacing w:before="120" w:line="360" w:lineRule="auto"/>
        <w:jc w:val="both"/>
      </w:pPr>
      <w:r w:rsidRPr="004A175F">
        <w:t xml:space="preserve">Wprowadzono </w:t>
      </w:r>
      <w:r w:rsidR="00DA2CB4" w:rsidRPr="004A175F">
        <w:t xml:space="preserve">również </w:t>
      </w:r>
      <w:r w:rsidRPr="004A175F">
        <w:t>szereg wymagań w zakresie prowadzenia działalności przez jednostki</w:t>
      </w:r>
      <w:r w:rsidR="00582D92" w:rsidRPr="004A175F">
        <w:t xml:space="preserve">, które już uzyskały autoryzację i notyfikację w zakresie sposobu przeprowadzania oceny zgodności (art. </w:t>
      </w:r>
      <w:r w:rsidR="002242DC" w:rsidRPr="004A175F">
        <w:t>30</w:t>
      </w:r>
      <w:r w:rsidR="00582D92" w:rsidRPr="004A175F">
        <w:t xml:space="preserve">), korzystania </w:t>
      </w:r>
      <w:r w:rsidR="00F7785C" w:rsidRPr="004A175F">
        <w:t xml:space="preserve">z </w:t>
      </w:r>
      <w:r w:rsidR="00582D92" w:rsidRPr="004A175F">
        <w:t xml:space="preserve">podwykonawców (art. </w:t>
      </w:r>
      <w:r w:rsidR="00356462" w:rsidRPr="004A175F">
        <w:t>3</w:t>
      </w:r>
      <w:r w:rsidR="002242DC" w:rsidRPr="004A175F">
        <w:t>3</w:t>
      </w:r>
      <w:r w:rsidR="00582D92" w:rsidRPr="004A175F">
        <w:t xml:space="preserve">), obowiązków informacyjnych (art. </w:t>
      </w:r>
      <w:r w:rsidR="00356462" w:rsidRPr="004A175F">
        <w:t>3</w:t>
      </w:r>
      <w:r w:rsidR="002242DC" w:rsidRPr="004A175F">
        <w:t>4</w:t>
      </w:r>
      <w:r w:rsidR="00582D92" w:rsidRPr="004A175F">
        <w:t>). Umożliwiono również powierzenie oceny jednostek Polskiemu Centrum Akredytacji (możliwość taką przewidują regulacje unijne; została ona również wprowadzo</w:t>
      </w:r>
      <w:r w:rsidR="0072603D" w:rsidRPr="004A175F">
        <w:t>na jako zasada</w:t>
      </w:r>
      <w:r w:rsidR="00582D92" w:rsidRPr="004A175F">
        <w:t xml:space="preserve"> w ustawie o wyrobach budowlanych). Wprowadzono instytucję akredytowanej jednostki własnej, zgodnie</w:t>
      </w:r>
      <w:r w:rsidR="00B30F16">
        <w:t xml:space="preserve"> z </w:t>
      </w:r>
      <w:r w:rsidR="00582D92" w:rsidRPr="004A175F">
        <w:t>regulacjami unijnymi.</w:t>
      </w:r>
      <w:r w:rsidR="0088578C" w:rsidRPr="004A175F">
        <w:t xml:space="preserve"> Określono również procedurę krajową (art. </w:t>
      </w:r>
      <w:r w:rsidR="007837AA" w:rsidRPr="004A175F">
        <w:t>2</w:t>
      </w:r>
      <w:r w:rsidR="008E7A4C" w:rsidRPr="004A175F">
        <w:t>9</w:t>
      </w:r>
      <w:r w:rsidR="0088578C" w:rsidRPr="004A175F">
        <w:t xml:space="preserve">) w przypadku zgłoszenia zastrzeżeń do notyfikacji przez KE lub państwa członkowskie w ramach procedury określonej w </w:t>
      </w:r>
      <w:r w:rsidR="007701C8" w:rsidRPr="004A175F">
        <w:t>d</w:t>
      </w:r>
      <w:r w:rsidR="0088578C" w:rsidRPr="004A175F">
        <w:t>ecyzji 768/2008</w:t>
      </w:r>
      <w:r w:rsidR="0072603D" w:rsidRPr="004A175F">
        <w:t>/WE</w:t>
      </w:r>
      <w:r w:rsidR="0088578C" w:rsidRPr="004A175F">
        <w:t>.</w:t>
      </w:r>
      <w:r w:rsidR="007837AA" w:rsidRPr="004A175F">
        <w:t xml:space="preserve"> Propozycja ta jest próbą uregulowania na poziomie krajowym konsekwencji pewnej praktyki</w:t>
      </w:r>
      <w:r w:rsidR="00B30F16">
        <w:t>, która znajduje zastosowanie w </w:t>
      </w:r>
      <w:r w:rsidR="007837AA" w:rsidRPr="004A175F">
        <w:t>procesie notyfikacji jednostek oceny zgodności, a k</w:t>
      </w:r>
      <w:r w:rsidR="00B30F16">
        <w:t>tóra nie jest odzwierciedlona w </w:t>
      </w:r>
      <w:r w:rsidR="007837AA" w:rsidRPr="004A175F">
        <w:t>przepisach dyrektyw. Dyrektywy mówią jedynie, że jednostka może rozpocząć działalność</w:t>
      </w:r>
      <w:r w:rsidR="004C3714">
        <w:t>,</w:t>
      </w:r>
      <w:r w:rsidR="007837AA" w:rsidRPr="004A175F">
        <w:t xml:space="preserve"> w przypadku gdy Komisja (lub pańs</w:t>
      </w:r>
      <w:r w:rsidR="00B30F16">
        <w:t>twa członkowskie) nie zgłoszą w </w:t>
      </w:r>
      <w:r w:rsidR="007837AA" w:rsidRPr="004A175F">
        <w:t>odpowiednim terminie zastrzeżeń do notyfikacji. W żaden sposób nie odnoszą się natomiast do sytuacji</w:t>
      </w:r>
      <w:r w:rsidR="009F49C3">
        <w:t>,</w:t>
      </w:r>
      <w:r w:rsidR="007837AA" w:rsidRPr="004A175F">
        <w:t xml:space="preserve"> gdy zastrzeżenia te zostaną zgłoszone. W praktyce w takiej sytuacji rozpoczyna się proces wyjaśniania zas</w:t>
      </w:r>
      <w:r w:rsidR="00B30F16">
        <w:t>trzeżeń przez jednostkę (za </w:t>
      </w:r>
      <w:r w:rsidR="007837AA" w:rsidRPr="004A175F">
        <w:t xml:space="preserve">pośrednictwem organu notyfikującego). Proces ten obejmuje odpowiedzi na pytania, wyjaśnienie wątpliwości i kwestii spornych, przedstawienie dodatkowych dokumentów potwierdzających kompetencje jednostki. Proces ten nie jest ograniczony ramami </w:t>
      </w:r>
      <w:r w:rsidR="007837AA" w:rsidRPr="004A175F">
        <w:lastRenderedPageBreak/>
        <w:t>czasowymi – w praktyce może trwać kilka miesięcy, a nawet lat. Faktycznym zakończeniem tego procesu jest zaakceptowanie przez Komisję wyjaśnień poprzez uwidocznienie jednostki w bazie jednostek notyfikowanych NANDO. Nie ma żadnego innego oficjalnego potwierdzenia zakończenia wyjaśnian</w:t>
      </w:r>
      <w:r w:rsidR="00B30F16">
        <w:t>ia zastrzeżeń do notyfikacji. Z </w:t>
      </w:r>
      <w:r w:rsidR="007837AA" w:rsidRPr="004A175F">
        <w:t>uwagi na brak jej formalnego umocowania</w:t>
      </w:r>
      <w:r w:rsidR="009F49C3">
        <w:t>,</w:t>
      </w:r>
      <w:r w:rsidR="007837AA" w:rsidRPr="004A175F">
        <w:t xml:space="preserve"> najbezpieczniejsz</w:t>
      </w:r>
      <w:r w:rsidR="009F49C3">
        <w:t>e</w:t>
      </w:r>
      <w:r w:rsidR="007837AA" w:rsidRPr="004A175F">
        <w:t xml:space="preserve"> z punktu widzenia krajowego porządku prawnego jest odwołanie się do momentu uwidocznienia jednostki w wykazie publikowanym przez KE (baza NANDO) jako chwili nabycia uprawnień do prowadzenia działalności. Jest to bowiem jedyny bezsporny i możliwy do zweryfikowania przez wszystkich zainteresowanych wyraz zaakceptowania wyjaśnień w odniesieniu do zgłoszonych zastrzeżeń.</w:t>
      </w:r>
    </w:p>
    <w:p w:rsidR="00582D92" w:rsidRPr="004A175F" w:rsidRDefault="00582D92" w:rsidP="004A175F">
      <w:pPr>
        <w:spacing w:before="120" w:line="360" w:lineRule="auto"/>
        <w:jc w:val="both"/>
      </w:pPr>
      <w:r w:rsidRPr="004A175F">
        <w:t>Najistotniejsze zmiany dotyczą konstrukcji systemu autoryzacji i notyfikacji. Instytucja autoryzacji jako pewnego pośredniego (i całkowicie nieistotnego z perspektywy procedur Komisji Europejskiej dot. notyfikacji)</w:t>
      </w:r>
      <w:r w:rsidR="00B30F16">
        <w:t xml:space="preserve"> stadium pomiędzy akredytacją a </w:t>
      </w:r>
      <w:r w:rsidRPr="004A175F">
        <w:t xml:space="preserve">notyfikacją miała przede wszystkim na celu </w:t>
      </w:r>
      <w:r w:rsidR="006D0DC6" w:rsidRPr="004A175F">
        <w:t>ubranie całego procesu w jakąkolwiek ścieżkę administracyjnoprawną, chociażby po to, aby zapewnić odpowiedni poziom ochrony (również sądowej) podmiotom ubiegającym się o notyfikację. Akredytacja stanowi bowiem potwierdzenie kompetencji danej jednostki (i to niekoniecznie dla celów późniejszej notyfikacji; znacznie częściej akredytacja służy działalności laboratoriów czy jednostek certyfikujących w obszarze</w:t>
      </w:r>
      <w:r w:rsidR="00B30F16">
        <w:t xml:space="preserve"> dobrowolnej oceny zgodności) i </w:t>
      </w:r>
      <w:r w:rsidR="006D0DC6" w:rsidRPr="004A175F">
        <w:t>nie ma sama w sobie znaczeni</w:t>
      </w:r>
      <w:r w:rsidR="007701C8" w:rsidRPr="004A175F">
        <w:t>a</w:t>
      </w:r>
      <w:r w:rsidR="006D0DC6" w:rsidRPr="004A175F">
        <w:t xml:space="preserve"> prawnego. Z kolei notyfikacja jest w zasadzie tylko czynnością techniczną, polegającą na wprowadzeniu w odpowiednim systemie elektronicznym zarządzanym przez KE, zgłoszenia jednostki. Utrzymanie autoryzacji wydaje się zatem optymalnym rozwiązaniem.</w:t>
      </w:r>
    </w:p>
    <w:p w:rsidR="00343685" w:rsidRPr="004A175F" w:rsidRDefault="00343685" w:rsidP="004A175F">
      <w:pPr>
        <w:pStyle w:val="USTustnpkodeksu"/>
        <w:spacing w:before="120"/>
        <w:ind w:firstLine="0"/>
        <w:rPr>
          <w:rFonts w:ascii="Times New Roman" w:hAnsi="Times New Roman" w:cs="Times New Roman"/>
          <w:szCs w:val="24"/>
        </w:rPr>
      </w:pPr>
      <w:r w:rsidRPr="004A175F">
        <w:rPr>
          <w:rFonts w:ascii="Times New Roman" w:hAnsi="Times New Roman" w:cs="Times New Roman"/>
          <w:szCs w:val="24"/>
        </w:rPr>
        <w:t xml:space="preserve">Wprowadzono jednocześnie zasadę, że autoryzacja jako decyzja administracyjna ma charakter deklaratoryjny, natomiast uprawnienia do działania jako jednostka notyfikowana nabywa jednostka oceniająca zgodność w wyniku pomyślnego przejścia procedury notyfikacyjnej. </w:t>
      </w:r>
      <w:r w:rsidR="002063C8" w:rsidRPr="004A175F">
        <w:rPr>
          <w:rFonts w:ascii="Times New Roman" w:hAnsi="Times New Roman" w:cs="Times New Roman"/>
          <w:szCs w:val="24"/>
        </w:rPr>
        <w:t>Jednostka oceniająca zgodność może prowadzić działalność jednostki notyfikowanej pod warunkiem, że Komisja i pozostałe państwa członkowskie nie zgłosiły zastrzeżeń w terminie dwóch tygodni od notyfikacji, a w terminie dwóch miesięcy od notyfikacji w przypadku jednostek, któ</w:t>
      </w:r>
      <w:r w:rsidR="00B30F16">
        <w:rPr>
          <w:rFonts w:ascii="Times New Roman" w:hAnsi="Times New Roman" w:cs="Times New Roman"/>
          <w:szCs w:val="24"/>
        </w:rPr>
        <w:t>re nie posiadają akredytacji. W </w:t>
      </w:r>
      <w:r w:rsidR="002063C8" w:rsidRPr="004A175F">
        <w:rPr>
          <w:rFonts w:ascii="Times New Roman" w:hAnsi="Times New Roman" w:cs="Times New Roman"/>
          <w:szCs w:val="24"/>
        </w:rPr>
        <w:t>przypadku zgłoszenia zastrzeżeń jednostka oceniająca zgodność może prowadzić działalność jednostki notyfikowanej po jej uwidocznieniu w wykazie jednostek notyfikowanych publikowanym przez Komisję Europejską.</w:t>
      </w:r>
    </w:p>
    <w:p w:rsidR="00CD3733" w:rsidRPr="004A175F" w:rsidRDefault="006D0DC6" w:rsidP="004A175F">
      <w:pPr>
        <w:spacing w:before="120" w:line="360" w:lineRule="auto"/>
        <w:jc w:val="both"/>
      </w:pPr>
      <w:r w:rsidRPr="004A175F">
        <w:lastRenderedPageBreak/>
        <w:t>Trudn</w:t>
      </w:r>
      <w:r w:rsidR="009F49C3">
        <w:t>e</w:t>
      </w:r>
      <w:r w:rsidRPr="004A175F">
        <w:t xml:space="preserve"> natomiast do przyjęcia jest pozostawienie w niezmienionym kształcie systemu, z którym decyzja merytoryczna (autoryzacja) jest dokonywana przez inny organ (właściwego ministra), a czynność techniczna (notyfikacja) przez inny (ministra właściwego ds. gospodarki). W takim systemie organ notyfikujący pełni jedynie rolę przekaźnika. </w:t>
      </w:r>
      <w:r w:rsidR="00CD3733" w:rsidRPr="004A175F">
        <w:t xml:space="preserve">Nowe ramy </w:t>
      </w:r>
      <w:r w:rsidR="00BF65A1" w:rsidRPr="004A175F">
        <w:t xml:space="preserve">prawne </w:t>
      </w:r>
      <w:r w:rsidR="00CD3733" w:rsidRPr="004A175F">
        <w:t>oczekują jednak od organu notyfikującego znacznie bardziej aktywnej roli – powinien on posiadać merytoryczne kompetencje w zakresie oceny notyfikowanych przez siebie jednostek i mo</w:t>
      </w:r>
      <w:r w:rsidR="00B30F16">
        <w:t>nitorowania ich działalności, w </w:t>
      </w:r>
      <w:r w:rsidR="00CD3733" w:rsidRPr="004A175F">
        <w:t>szczególności wyspecjalizowany personel</w:t>
      </w:r>
      <w:r w:rsidR="00D43284" w:rsidRPr="004A175F">
        <w:t xml:space="preserve"> (artykuł R15 decyzji 768/2008</w:t>
      </w:r>
      <w:r w:rsidR="0072603D" w:rsidRPr="004A175F">
        <w:t>/WE</w:t>
      </w:r>
      <w:r w:rsidR="00D43284" w:rsidRPr="004A175F">
        <w:t>)</w:t>
      </w:r>
      <w:r w:rsidR="00CD3733" w:rsidRPr="004A175F">
        <w:t>.</w:t>
      </w:r>
    </w:p>
    <w:p w:rsidR="00EF5B65" w:rsidRPr="00F804F3" w:rsidRDefault="00CD3733" w:rsidP="004A175F">
      <w:pPr>
        <w:spacing w:before="120" w:line="360" w:lineRule="auto"/>
        <w:jc w:val="both"/>
      </w:pPr>
      <w:r w:rsidRPr="004A175F">
        <w:t xml:space="preserve">Ministrowi właściwemu ds. gospodarki </w:t>
      </w:r>
      <w:r w:rsidR="0042553C" w:rsidRPr="004A175F">
        <w:t>wy</w:t>
      </w:r>
      <w:r w:rsidRPr="004A175F">
        <w:t>znaczona została rola organu notyfikującego ze względu na jego wiodącą rolę w obszarze systemu oraz pozycję najbardziej a</w:t>
      </w:r>
      <w:r w:rsidR="00D43284" w:rsidRPr="004A175F">
        <w:t>ktywnego organu autoryzującego. M</w:t>
      </w:r>
      <w:r w:rsidRPr="004A175F">
        <w:t>inister gospodarki jest w przypadku wielu wyrobów odpowiedzialny zarówno za au</w:t>
      </w:r>
      <w:r w:rsidR="00D43284" w:rsidRPr="004A175F">
        <w:t>toryzację, jak i za notyfikację jednostek oceniających zgodność tych wyrobów</w:t>
      </w:r>
      <w:r w:rsidRPr="004A175F">
        <w:t>.</w:t>
      </w:r>
      <w:r w:rsidR="00D43284" w:rsidRPr="004A175F">
        <w:t xml:space="preserve"> Wówczas sytuacja z perspektywy wymagań określonych w decyzji 768/2008</w:t>
      </w:r>
      <w:r w:rsidR="0072603D" w:rsidRPr="004A175F">
        <w:t>/WE</w:t>
      </w:r>
      <w:r w:rsidR="00D43284" w:rsidRPr="004A175F">
        <w:t xml:space="preserve"> jest prawidłowa – ten sam organ wydaje decyzję merytoryczną (autoryzację) i dokonuje czynności technicznej (notyfikacji). Istnieją jednak obszary, w których decyzj</w:t>
      </w:r>
      <w:r w:rsidR="007701C8" w:rsidRPr="004A175F">
        <w:t>e</w:t>
      </w:r>
      <w:r w:rsidR="00D43284" w:rsidRPr="004A175F">
        <w:t xml:space="preserve"> autoryzacyjne wydawane są przez inne organy (najbardziej znaczące to wyroby budowlane i medyczne). Wówczas aspekt merytoryczny i techniczny są oddzielone. </w:t>
      </w:r>
      <w:r w:rsidR="00DF6138" w:rsidRPr="004A175F">
        <w:t xml:space="preserve">Wydaje się, że jedynym rozsądnym wyjściem z tej sytuacji jest systemowe połączenie </w:t>
      </w:r>
      <w:r w:rsidR="001A5E6D" w:rsidRPr="004A175F">
        <w:t xml:space="preserve">procesu autoryzacji i notyfikacji w jednym organie państwa poprzez decentralizację systemu notyfikacji. Taki jest sens art. </w:t>
      </w:r>
      <w:r w:rsidR="00E07A01" w:rsidRPr="004A175F">
        <w:t>2</w:t>
      </w:r>
      <w:r w:rsidR="00D3564E" w:rsidRPr="004A175F">
        <w:t>9</w:t>
      </w:r>
      <w:r w:rsidR="001A5E6D" w:rsidRPr="004A175F">
        <w:t>. Nielogiczn</w:t>
      </w:r>
      <w:r w:rsidR="009F49C3">
        <w:t xml:space="preserve">e </w:t>
      </w:r>
      <w:r w:rsidR="001A5E6D" w:rsidRPr="004A175F">
        <w:t>i nieekonomiczn</w:t>
      </w:r>
      <w:r w:rsidR="009F49C3">
        <w:t>e</w:t>
      </w:r>
      <w:r w:rsidR="001A5E6D" w:rsidRPr="004A175F">
        <w:t xml:space="preserve"> byłyby bowiem próby jakiegoś specjalnego wyposażenia organu notyfikującego (obecnie – minist</w:t>
      </w:r>
      <w:r w:rsidR="00B30F16">
        <w:t>ra właściwego ds. gospodarki) w </w:t>
      </w:r>
      <w:r w:rsidR="001A5E6D" w:rsidRPr="004A175F">
        <w:t xml:space="preserve">dodatkowe kompetencje (przede wszystkim wyszkoloną kadrę) w zakresie oceny jednostek autoryzowanych przez inne organy. </w:t>
      </w:r>
      <w:r w:rsidR="0088578C" w:rsidRPr="004A175F">
        <w:t xml:space="preserve">Model, w którym istnieje kilka organów notyfikujących nie jest niczym szczególnym; funkcjonuje w niektórych państwach UE. </w:t>
      </w:r>
    </w:p>
    <w:p w:rsidR="001B058E" w:rsidRPr="00406F7B" w:rsidRDefault="001B058E" w:rsidP="00406F7B">
      <w:pPr>
        <w:spacing w:before="240" w:line="360" w:lineRule="auto"/>
      </w:pPr>
      <w:r w:rsidRPr="00406F7B">
        <w:t>Polskie Centrum Akredytacji</w:t>
      </w:r>
    </w:p>
    <w:p w:rsidR="00B835CB" w:rsidRPr="004A175F" w:rsidRDefault="00BC077B" w:rsidP="004A175F">
      <w:pPr>
        <w:spacing w:before="120" w:line="360" w:lineRule="auto"/>
        <w:jc w:val="both"/>
      </w:pPr>
      <w:r w:rsidRPr="004A175F">
        <w:t>Przepisy dotyczące Polskiego Centrum Akredytacji zostały dostosowane do schematu, według którego określono ustrój i zadania takich podmiotów, jak Narodowe Centrum Badań i Rozwoju, Narodowe Centrum Nauki czy Centrum Polsko-Rosyjskiego Dialogu i Porozumienia. PCA ma pozostać specyficzną jednostką – państwową osobą prawną</w:t>
      </w:r>
      <w:r w:rsidR="007701C8" w:rsidRPr="004A175F">
        <w:t>,</w:t>
      </w:r>
      <w:r w:rsidRPr="004A175F">
        <w:t xml:space="preserve"> wykonującą ustawowo określone zadania.</w:t>
      </w:r>
    </w:p>
    <w:p w:rsidR="00B835CB" w:rsidRPr="004A175F" w:rsidRDefault="00BC077B" w:rsidP="004A175F">
      <w:pPr>
        <w:spacing w:before="120" w:line="360" w:lineRule="auto"/>
        <w:jc w:val="both"/>
      </w:pPr>
      <w:r w:rsidRPr="004A175F">
        <w:lastRenderedPageBreak/>
        <w:t>Zadania PCA uzupełniono o wykonywane już faktycznie zadania w zakresie współpracy międzynarodow</w:t>
      </w:r>
      <w:r w:rsidR="0042553C" w:rsidRPr="004A175F">
        <w:t>ej</w:t>
      </w:r>
      <w:r w:rsidRPr="004A175F">
        <w:t xml:space="preserve"> w zakresie akredytacji. Wprowadzono też spójny system planowania i sprawozdawczości, nie tylko finansowej, ale i merytorycznej. Dokumenty merytoryczne (art. </w:t>
      </w:r>
      <w:r w:rsidR="0077329B" w:rsidRPr="004A175F">
        <w:t>4</w:t>
      </w:r>
      <w:r w:rsidR="00D3564E" w:rsidRPr="004A175F">
        <w:t>8</w:t>
      </w:r>
      <w:r w:rsidR="00E07A01" w:rsidRPr="004A175F">
        <w:t xml:space="preserve"> </w:t>
      </w:r>
      <w:r w:rsidRPr="004A175F">
        <w:t xml:space="preserve">ust. </w:t>
      </w:r>
      <w:r w:rsidR="0077329B" w:rsidRPr="004A175F">
        <w:t>1</w:t>
      </w:r>
      <w:r w:rsidR="00F7785C" w:rsidRPr="004A175F">
        <w:t xml:space="preserve"> pkt 4</w:t>
      </w:r>
      <w:r w:rsidRPr="004A175F">
        <w:t>) podlegać mają zatwierdzeniu przez Radę</w:t>
      </w:r>
      <w:r w:rsidR="00942E88">
        <w:t>,</w:t>
      </w:r>
      <w:r w:rsidRPr="004A175F">
        <w:t xml:space="preserve"> co jest wyrazem zwiększenia jej roli w systemie. Zasady powołania Dyrektora PCA zostały zmienione w minimalnym stopniu. Wprowadzono natomiast przesłanki odwołania Dyrektora, których ustawa z 2002 r. nie określa. Dla równowagi wprowadzono również zasadę kadencyjności stanowiska Dyrektora PCA.</w:t>
      </w:r>
    </w:p>
    <w:p w:rsidR="005C07F4" w:rsidRPr="004A175F" w:rsidRDefault="00FE5538" w:rsidP="004A175F">
      <w:pPr>
        <w:spacing w:before="120" w:line="360" w:lineRule="auto"/>
        <w:jc w:val="both"/>
      </w:pPr>
      <w:r w:rsidRPr="004A175F">
        <w:t>Istotne modyfikacje, podyktowane również w dużej mierze koniecznością zapewnienia zgodności z regulacjami europejskimi, wprowadzono w zakresie zasad finansowania PCA. PCA prowadzi samodzielną gospodarkę finansową. Jego przychodami są przychody z prowadzonej działalności oraz inne przychody. Podstawą gospodarki finansowej PCA jest roczny plan finansowy, którego projekt po zatwierdzeniu przez ministra właściwego do spraw gospodarki, jest przekazywany do ministra właściwego do spraw finansów publicznych, w trybie i w terminie określonym w przepisach dotyczących prac nad projektem ustawy budżetowej. Ze sprawozdań finansowych PCA, zatwierdzonych przez ministra właściwego do spraw gospodarki wynika, że PCA w</w:t>
      </w:r>
      <w:r w:rsidR="005C07F4" w:rsidRPr="004A175F">
        <w:t xml:space="preserve">ykazuje coroczny zysk netto w wysokości nawet 10% przychodów. Środki pieniężne zgromadzone na rachunkach bankowych wynoszą ponad 10 mln zł. </w:t>
      </w:r>
      <w:r w:rsidR="00B30F16">
        <w:t>Zgodnie z </w:t>
      </w:r>
      <w:r w:rsidRPr="004A175F">
        <w:t xml:space="preserve">obowiązującą ustawą z dnia </w:t>
      </w:r>
      <w:r w:rsidRPr="004A175F">
        <w:rPr>
          <w:bCs/>
        </w:rPr>
        <w:t>30 sierpnia 2002</w:t>
      </w:r>
      <w:r w:rsidR="008E00D6" w:rsidRPr="004A175F">
        <w:rPr>
          <w:bCs/>
        </w:rPr>
        <w:t xml:space="preserve"> </w:t>
      </w:r>
      <w:r w:rsidRPr="004A175F">
        <w:rPr>
          <w:bCs/>
        </w:rPr>
        <w:t xml:space="preserve">r. </w:t>
      </w:r>
      <w:r w:rsidRPr="004A175F">
        <w:t>o systemie oceny zgodności, PCA zatwierdzony zysk przeznacza w 70% na</w:t>
      </w:r>
      <w:r w:rsidR="0072603D" w:rsidRPr="004A175F">
        <w:t xml:space="preserve"> swój fundusz podstawowy i w 30</w:t>
      </w:r>
      <w:r w:rsidRPr="004A175F">
        <w:t xml:space="preserve">% wpłaca do budżetu państwa. </w:t>
      </w:r>
    </w:p>
    <w:p w:rsidR="007B62F2" w:rsidRPr="004A175F" w:rsidRDefault="00FE5538" w:rsidP="004A175F">
      <w:pPr>
        <w:spacing w:before="120" w:line="360" w:lineRule="auto"/>
        <w:jc w:val="both"/>
      </w:pPr>
      <w:r w:rsidRPr="004A175F">
        <w:t>Art. 4 rozporządzenia 765/2008</w:t>
      </w:r>
      <w:r w:rsidR="0072603D" w:rsidRPr="004A175F">
        <w:t>/WE</w:t>
      </w:r>
      <w:r w:rsidRPr="004A175F">
        <w:t>, który dotyczy ogólnych zasad funkcjonowania krajowych jednostek akredytujących, stanowi wprost, że krajowa jednostka akredytująca prowadzi działalnoś</w:t>
      </w:r>
      <w:r w:rsidR="0042553C" w:rsidRPr="004A175F">
        <w:t>ć</w:t>
      </w:r>
      <w:r w:rsidRPr="004A175F">
        <w:t xml:space="preserve"> nienastawioną na zysk.</w:t>
      </w:r>
      <w:r w:rsidR="005C07F4" w:rsidRPr="004A175F">
        <w:t xml:space="preserve"> Taka deklaracja znalazła się również w Statucie PCA. </w:t>
      </w:r>
      <w:r w:rsidR="007B62F2" w:rsidRPr="004A175F">
        <w:t>Dotychczasowa praktyka funkcjonowania PCA wskazuje jednak, że istniejące regulacje nie sprzyjają realizacji powyższej zasady, wręcz przeciwnie – zachęcają do wypracowywania i gromadzenia zysku.</w:t>
      </w:r>
    </w:p>
    <w:p w:rsidR="007B62F2" w:rsidRPr="004A175F" w:rsidRDefault="007B62F2" w:rsidP="004A175F">
      <w:pPr>
        <w:spacing w:before="120" w:line="360" w:lineRule="auto"/>
        <w:jc w:val="both"/>
        <w:rPr>
          <w:color w:val="000000"/>
        </w:rPr>
      </w:pPr>
      <w:r w:rsidRPr="004A175F">
        <w:t xml:space="preserve">W motywach </w:t>
      </w:r>
      <w:r w:rsidR="005C07F4" w:rsidRPr="004A175F">
        <w:t>preambuły rozporządzenia 765/2008</w:t>
      </w:r>
      <w:r w:rsidR="0072603D" w:rsidRPr="004A175F">
        <w:t>/WE</w:t>
      </w:r>
      <w:r w:rsidR="005C07F4" w:rsidRPr="004A175F">
        <w:t xml:space="preserve"> wskazuje</w:t>
      </w:r>
      <w:r w:rsidRPr="004A175F">
        <w:t xml:space="preserve"> się m.in.</w:t>
      </w:r>
      <w:r w:rsidR="005C07F4" w:rsidRPr="004A175F">
        <w:t xml:space="preserve">, że „nienastawiona na zysk działalność krajowych jednostek akredytujących powinna być rozumiana jako działalność, która nie dąży do powiększenia majątku właścicieli lub członków organizacji o zyski pieniężne lub materialne. Chociaż jednostki te nie mają na </w:t>
      </w:r>
      <w:r w:rsidR="005C07F4" w:rsidRPr="004A175F">
        <w:lastRenderedPageBreak/>
        <w:t>celu maksymalizacji lub dystrybucji zysków, mogą one świadczyć usługi odpłatnie lub uzyskiwać dochód. Wszelkie nadwyżki dochodów wynikające ze świadczenia tych usług mogą być wykorzystane na inwestycje w dalszy rozwój działalności krajowych jednostek akredytujących, o ile jest to zgodne z główną działalnością tych jednostek.”</w:t>
      </w:r>
      <w:r w:rsidR="00942E88">
        <w:t>.</w:t>
      </w:r>
      <w:r w:rsidRPr="004A175F">
        <w:t xml:space="preserve"> Równocześnie podkreślono, że „akredytacja powinna w zasadzie być działalnością samofinansującą się. Państwa członkowskie powinny zapewnić odpowiednie wsparcie finansowe na rzecz realizacji zadań specjalnych.”</w:t>
      </w:r>
      <w:r w:rsidR="00942E88">
        <w:t>.</w:t>
      </w:r>
      <w:r w:rsidRPr="004A175F">
        <w:t xml:space="preserve"> </w:t>
      </w:r>
      <w:r w:rsidR="005C07F4" w:rsidRPr="004A175F">
        <w:t>W opublikowanych w 2014</w:t>
      </w:r>
      <w:r w:rsidR="00942E88">
        <w:t xml:space="preserve"> r. </w:t>
      </w:r>
      <w:r w:rsidR="005C07F4" w:rsidRPr="004A175F">
        <w:t>wytycznych Komisji Europejskiej</w:t>
      </w:r>
      <w:r w:rsidRPr="004A175F">
        <w:t xml:space="preserve"> dot. działalności non-profit jednostek akredytujących podniesiono problem przekazywania do budżetu państwa dochodów z akredytacji</w:t>
      </w:r>
      <w:r w:rsidR="00942E88">
        <w:t>,</w:t>
      </w:r>
      <w:r w:rsidRPr="004A175F">
        <w:t xml:space="preserve"> oceniając takie zjawisko jako niepożądany przejaw naruszenia zasady działalności non-</w:t>
      </w:r>
      <w:r w:rsidR="009D551C">
        <w:br/>
        <w:t>-</w:t>
      </w:r>
      <w:r w:rsidRPr="004A175F">
        <w:t>profit jednostek. Jeśli jednostka akredytująca osiąga dochody przewyższające koszty działalności</w:t>
      </w:r>
      <w:r w:rsidR="00942E88">
        <w:t>,</w:t>
      </w:r>
      <w:r w:rsidRPr="004A175F">
        <w:t xml:space="preserve"> rekomenduje się podjęcie działań w kierunku</w:t>
      </w:r>
      <w:r w:rsidR="004A175F" w:rsidRPr="004A175F">
        <w:t xml:space="preserve"> </w:t>
      </w:r>
      <w:r w:rsidRPr="004A175F">
        <w:rPr>
          <w:color w:val="000000"/>
        </w:rPr>
        <w:t>zmniejszenia zysków poprzez redukcję opłat za akredytację lub rozszerzenie zakresu działalności akredytacyjnej (mniejsze jednostki, rozwój działalności międzynarodowej).</w:t>
      </w:r>
    </w:p>
    <w:p w:rsidR="00BC077B" w:rsidRPr="004A175F" w:rsidRDefault="007B62F2" w:rsidP="004A175F">
      <w:pPr>
        <w:spacing w:before="120" w:line="360" w:lineRule="auto"/>
        <w:jc w:val="both"/>
      </w:pPr>
      <w:r w:rsidRPr="004A175F">
        <w:rPr>
          <w:color w:val="000000"/>
        </w:rPr>
        <w:t xml:space="preserve">Proponowane w projekcie ustawy zmiany stanowią odpowiedź na powyższe rekomendacje. Przewiduje się zatem rezygnacje z zasady odprowadzania części zysku do budżetu państwa, przy jednoczesnym wprowadzeniu </w:t>
      </w:r>
      <w:r w:rsidR="00841E1D" w:rsidRPr="004A175F">
        <w:rPr>
          <w:color w:val="000000"/>
        </w:rPr>
        <w:t xml:space="preserve">zasad i procedury podziału wypracowanego zysku, które mają na celu praktyczne zapewnienie realizacji zasady działalności nienastawionej na zysk. </w:t>
      </w:r>
      <w:r w:rsidR="004A7DB3" w:rsidRPr="004A175F">
        <w:rPr>
          <w:color w:val="000000"/>
        </w:rPr>
        <w:t xml:space="preserve">Zgodnie z art. </w:t>
      </w:r>
      <w:r w:rsidR="0077329B" w:rsidRPr="004A175F">
        <w:rPr>
          <w:color w:val="000000"/>
        </w:rPr>
        <w:t>5</w:t>
      </w:r>
      <w:r w:rsidR="00CB6483" w:rsidRPr="004A175F">
        <w:rPr>
          <w:color w:val="000000"/>
        </w:rPr>
        <w:t>4</w:t>
      </w:r>
      <w:r w:rsidR="0077329B" w:rsidRPr="004A175F">
        <w:rPr>
          <w:color w:val="000000"/>
        </w:rPr>
        <w:t xml:space="preserve"> </w:t>
      </w:r>
      <w:r w:rsidR="004A7DB3" w:rsidRPr="004A175F">
        <w:rPr>
          <w:color w:val="000000"/>
        </w:rPr>
        <w:t xml:space="preserve">ust. 1 o podziale zysku będzie więc decydował minister właściwy ds. gospodarki na wniosek dyrektora pozytywnie zaopiniowany przez Radę </w:t>
      </w:r>
      <w:r w:rsidR="0077329B" w:rsidRPr="004A175F">
        <w:rPr>
          <w:color w:val="000000"/>
        </w:rPr>
        <w:t xml:space="preserve">ds. </w:t>
      </w:r>
      <w:r w:rsidR="004A7DB3" w:rsidRPr="004A175F">
        <w:rPr>
          <w:color w:val="000000"/>
        </w:rPr>
        <w:t xml:space="preserve">akredytacji. Procedura taka zapewnia udział wszystkich kluczowych organów w podjęciu decyzji; jest ona podobna do procedury podziału zysku w spółkach kapitałowych. Jednocześnie wprowadza się w art. </w:t>
      </w:r>
      <w:r w:rsidR="00E07A01" w:rsidRPr="004A175F">
        <w:rPr>
          <w:color w:val="000000"/>
        </w:rPr>
        <w:t>5</w:t>
      </w:r>
      <w:r w:rsidR="00CB6483" w:rsidRPr="004A175F">
        <w:rPr>
          <w:color w:val="000000"/>
        </w:rPr>
        <w:t>4</w:t>
      </w:r>
      <w:r w:rsidR="00E07A01" w:rsidRPr="004A175F">
        <w:rPr>
          <w:color w:val="000000"/>
        </w:rPr>
        <w:t xml:space="preserve"> </w:t>
      </w:r>
      <w:r w:rsidR="004A7DB3" w:rsidRPr="004A175F">
        <w:rPr>
          <w:color w:val="000000"/>
        </w:rPr>
        <w:t>ust. 2 wytyczne co do sposobu podziału zysku, zgodne z duchem przepisów i rekomendacji wspólnotowych.</w:t>
      </w:r>
      <w:r w:rsidR="00923009" w:rsidRPr="004A175F">
        <w:rPr>
          <w:color w:val="000000"/>
        </w:rPr>
        <w:t xml:space="preserve"> </w:t>
      </w:r>
    </w:p>
    <w:p w:rsidR="008204FE" w:rsidRPr="004A175F" w:rsidRDefault="009901D6" w:rsidP="004A175F">
      <w:pPr>
        <w:spacing w:before="120" w:line="360" w:lineRule="auto"/>
        <w:jc w:val="both"/>
      </w:pPr>
      <w:r w:rsidRPr="004A175F">
        <w:t>Takie rozwiązania powinny nie tylko zapewnić zgodność z regulacjami europejskimi, ale też przyczynić się do rozwoju</w:t>
      </w:r>
      <w:r w:rsidR="009C264C" w:rsidRPr="004A175F">
        <w:t xml:space="preserve"> zakresu i</w:t>
      </w:r>
      <w:r w:rsidRPr="004A175F">
        <w:t xml:space="preserve"> większej dostępności</w:t>
      </w:r>
      <w:r w:rsidR="009C264C" w:rsidRPr="004A175F">
        <w:t xml:space="preserve"> akredytacji dla jednostek oceniających. Jest to pożądane z perspektywy całego systemu, a nawet szerzej – z p</w:t>
      </w:r>
      <w:r w:rsidR="009030BB" w:rsidRPr="004A175F">
        <w:t>unktu widzenia całej gospodarki. A</w:t>
      </w:r>
      <w:r w:rsidR="009C264C" w:rsidRPr="004A175F">
        <w:t>kr</w:t>
      </w:r>
      <w:r w:rsidR="00C0282E" w:rsidRPr="004A175F">
        <w:t xml:space="preserve">edytacja stanowi bowiem </w:t>
      </w:r>
      <w:r w:rsidR="009C264C" w:rsidRPr="004A175F">
        <w:t>wiarygodne potwierdzenie technicznych kompetencji jednostek, których zadaniem jest zapewnienie zgodności z mającymi zastosowanie wymaganiami</w:t>
      </w:r>
      <w:r w:rsidR="009030BB" w:rsidRPr="004A175F">
        <w:t>, a także przyczynia się do wzmocnienia wzajemnego zaufania pomiędzy instytucjami publicznymi, podmiotami gospodarczymi i konsumentami</w:t>
      </w:r>
      <w:r w:rsidR="009C264C" w:rsidRPr="004A175F">
        <w:t>.</w:t>
      </w:r>
    </w:p>
    <w:p w:rsidR="007E2882" w:rsidRPr="004A175F" w:rsidRDefault="007E2882" w:rsidP="004A175F">
      <w:pPr>
        <w:spacing w:before="120" w:line="360" w:lineRule="auto"/>
        <w:jc w:val="both"/>
      </w:pPr>
      <w:r w:rsidRPr="004A175F">
        <w:lastRenderedPageBreak/>
        <w:t xml:space="preserve">Drugi obszar, w którym przewiduje się poważniejsze zmiany w stosunku do ustawy </w:t>
      </w:r>
      <w:r w:rsidR="00B30F16">
        <w:t>z </w:t>
      </w:r>
      <w:r w:rsidR="00845281" w:rsidRPr="004A175F">
        <w:t>dnia 30 sierpnia 2002 r.</w:t>
      </w:r>
      <w:r w:rsidR="00220AF8" w:rsidRPr="004A175F">
        <w:t xml:space="preserve"> </w:t>
      </w:r>
      <w:r w:rsidR="00845281" w:rsidRPr="004A175F">
        <w:t>o systemie oceny zgodności</w:t>
      </w:r>
      <w:r w:rsidRPr="004A175F">
        <w:t xml:space="preserve">, dotyczy wzmocnienia ustrojowej pozycji Rady ds. akredytacji. </w:t>
      </w:r>
      <w:r w:rsidR="0018411C" w:rsidRPr="004A175F">
        <w:t>Obecnie PCA funkcjonuje jako państwowa osoba prawna</w:t>
      </w:r>
      <w:r w:rsidR="00223CBB" w:rsidRPr="004A175F">
        <w:t>, utworzona w celu wykonywania zadań publicznych</w:t>
      </w:r>
      <w:r w:rsidR="0018411C" w:rsidRPr="004A175F">
        <w:t xml:space="preserve"> o określonych w ustawie zadaniach, podlegająca nadzorowi ministra właściwego ds. gospodarki. </w:t>
      </w:r>
      <w:r w:rsidR="00223CBB" w:rsidRPr="004A175F">
        <w:t>Zgodnie z art. 34 ust. 2 ustawy z dnia 8 sierpnia 1996 r. o Radzie Ministrów, minister nadzoruje i kontroluje działalność jednostek, w stosunku do których uzyskał uprawnienia nadzorcze, w tym PCA, na podstawie przepisów ustawowych – na zasadach określonych w tych przepisach.</w:t>
      </w:r>
      <w:r w:rsidR="004A175F" w:rsidRPr="004A175F">
        <w:t xml:space="preserve"> </w:t>
      </w:r>
    </w:p>
    <w:p w:rsidR="00974D55" w:rsidRPr="004A175F" w:rsidRDefault="0018411C" w:rsidP="004A175F">
      <w:pPr>
        <w:spacing w:before="120" w:line="360" w:lineRule="auto"/>
        <w:jc w:val="both"/>
      </w:pPr>
      <w:r w:rsidRPr="004A175F">
        <w:t>Naturę funkcjonowania agend państwowych, takich jak PCA, można opisać jako rodzaj związku agencyjnego, w którym jedna strona (przełożony) deleguje pracę drugiej (agentowi). Przełożonym w takim stosunku jest państwo (reprezentowane zwykle przez właściwego ministra), agentem – wyspecjalizowana jednostka (agencja państwowa, urząd centralny itp.)</w:t>
      </w:r>
      <w:r w:rsidR="00472A08" w:rsidRPr="004A175F">
        <w:t xml:space="preserve">. Problem relacji pomiędzy tymi podmiotami (relacja „pryncypał – agent”) jest jednym z głównych nurtów badań </w:t>
      </w:r>
      <w:r w:rsidR="00D41592" w:rsidRPr="004A175F">
        <w:t>nowe</w:t>
      </w:r>
      <w:r w:rsidR="00472A08" w:rsidRPr="004A175F">
        <w:t>j ekonomii instytucjonalnej i teorii organizacji</w:t>
      </w:r>
      <w:r w:rsidR="000F1F9B" w:rsidRPr="004A175F">
        <w:t xml:space="preserve"> (zajmowali się nim m.in. laureaci nagrody Nobla w dziedzinie ekonomii Ronald </w:t>
      </w:r>
      <w:proofErr w:type="spellStart"/>
      <w:r w:rsidR="000F1F9B" w:rsidRPr="004A175F">
        <w:t>Coase</w:t>
      </w:r>
      <w:proofErr w:type="spellEnd"/>
      <w:r w:rsidR="000F1F9B" w:rsidRPr="004A175F">
        <w:t xml:space="preserve">, Olivier E. </w:t>
      </w:r>
      <w:proofErr w:type="spellStart"/>
      <w:r w:rsidR="000F1F9B" w:rsidRPr="004A175F">
        <w:t>Williamson</w:t>
      </w:r>
      <w:proofErr w:type="spellEnd"/>
      <w:r w:rsidR="000F1F9B" w:rsidRPr="004A175F">
        <w:t xml:space="preserve">, czy Jean </w:t>
      </w:r>
      <w:proofErr w:type="spellStart"/>
      <w:r w:rsidR="000F1F9B" w:rsidRPr="004A175F">
        <w:t>Tirole</w:t>
      </w:r>
      <w:proofErr w:type="spellEnd"/>
      <w:r w:rsidR="000F1F9B" w:rsidRPr="004A175F">
        <w:t>, zdo</w:t>
      </w:r>
      <w:r w:rsidR="00064C7A" w:rsidRPr="004A175F">
        <w:t>bywca nagrody w roku 2014)</w:t>
      </w:r>
      <w:r w:rsidR="00472A08" w:rsidRPr="004A175F">
        <w:t>.</w:t>
      </w:r>
      <w:r w:rsidR="00974D55" w:rsidRPr="004A175F">
        <w:t xml:space="preserve"> Problem agencji ma charakter uniwersalny, występuje zarówno w relacjach wewnętrznych (np. pomiędzy właścicielem a zarządem spółki), jak i zewnętrznych (pomiędzy spółką matką a spółką zależną), w sektorze prywatnym oraz publicznym. Relacja pryncypał</w:t>
      </w:r>
      <w:r w:rsidR="00942E88">
        <w:t xml:space="preserve"> – </w:t>
      </w:r>
      <w:r w:rsidR="00974D55" w:rsidRPr="004A175F">
        <w:t>agent w sposób nieunikniony prowadzi do powstawania zjawisk konfliktu celów pomiędzy agentem i przełożonym (sprzeczność celów, oportunizm) oraz trudnościami weryfikacji przez przełożonego tego</w:t>
      </w:r>
      <w:r w:rsidR="00C27BD5">
        <w:t>,</w:t>
      </w:r>
      <w:r w:rsidR="00974D55" w:rsidRPr="004A175F">
        <w:t xml:space="preserve"> co właściwie agent wykonuje (asymetria informacji). Zjawiska te przyczyniają się do obniżenia efektywności wykonywania zadań z punktu widzenia celów przełożonego, pokrzywdzenia ostatecznych odbiorców danej usługi – klientów agenta, generują wysokie koszty związane z nadzorem i weryfikacją działalności agenta (koszty agencji, koszty transakcyjne).</w:t>
      </w:r>
      <w:r w:rsidR="009B2C57" w:rsidRPr="004A175F">
        <w:t xml:space="preserve"> Sposobem ograniczenia problemu agencji mogą być restrykcyjne regulacje, system zachęt i kar, ściślejsza podległość. W relacjach korporacyjnych najbardziej klasycznym instrumentem przełamywania oportunizmu i asymetrii informacji jest instytucja rady nadzorczej. </w:t>
      </w:r>
    </w:p>
    <w:p w:rsidR="009B2C57" w:rsidRPr="004A175F" w:rsidRDefault="009B2C57" w:rsidP="004A175F">
      <w:pPr>
        <w:spacing w:before="120" w:line="360" w:lineRule="auto"/>
        <w:jc w:val="both"/>
      </w:pPr>
      <w:r w:rsidRPr="004A175F">
        <w:t xml:space="preserve">W relacjach pomiędzy instytucjami sektora publicznego problem agencji może być ograniczany poprzez wprowadzenie ustrojowej podległości i uprawnień do kontroli </w:t>
      </w:r>
      <w:r w:rsidRPr="004A175F">
        <w:lastRenderedPageBreak/>
        <w:t>(zmiany) decyzji agenta. Taki charakter mają relacj</w:t>
      </w:r>
      <w:r w:rsidR="00942E88">
        <w:t>e</w:t>
      </w:r>
      <w:r w:rsidRPr="004A175F">
        <w:t xml:space="preserve"> pomiędzy organami administracji publicznej, opisane w </w:t>
      </w:r>
      <w:r w:rsidR="00942E88">
        <w:t>K</w:t>
      </w:r>
      <w:r w:rsidRPr="004A175F">
        <w:t xml:space="preserve">odeksie </w:t>
      </w:r>
      <w:r w:rsidR="00D940C8" w:rsidRPr="004A175F">
        <w:t>p</w:t>
      </w:r>
      <w:r w:rsidRPr="004A175F">
        <w:t xml:space="preserve">ostępowania </w:t>
      </w:r>
      <w:r w:rsidR="00D940C8" w:rsidRPr="004A175F">
        <w:t>a</w:t>
      </w:r>
      <w:r w:rsidRPr="004A175F">
        <w:t xml:space="preserve">dministracyjnego. </w:t>
      </w:r>
      <w:r w:rsidR="00D90B6D" w:rsidRPr="004A175F">
        <w:t xml:space="preserve">W przypadku jednostek publicznych o wyższym poziomie odrębności (agencje wykonawcze, państwowe osoby prawne) takie rozwiązanie jest niemożliwe. Dlatego wprowadza się pewne szczególne instrumenty </w:t>
      </w:r>
      <w:r w:rsidR="00035968" w:rsidRPr="004A175F">
        <w:t>redukcji oportunizmu i asymetrii informacji, takie jak wzmocnienie nadzoru finansowego, obowiązki sprawozdawcze, a przede wszystkim rady nadzorcze i konsultacyjne.</w:t>
      </w:r>
    </w:p>
    <w:p w:rsidR="00CB3C3B" w:rsidRPr="004A175F" w:rsidRDefault="006C63E5" w:rsidP="004A175F">
      <w:pPr>
        <w:spacing w:before="120" w:line="360" w:lineRule="auto"/>
        <w:jc w:val="both"/>
      </w:pPr>
      <w:r w:rsidRPr="004A175F">
        <w:t xml:space="preserve">Ustawa z </w:t>
      </w:r>
      <w:r w:rsidR="00845281" w:rsidRPr="004A175F">
        <w:t xml:space="preserve">dnia 30 sierpnia </w:t>
      </w:r>
      <w:r w:rsidRPr="004A175F">
        <w:t xml:space="preserve">2002 r. </w:t>
      </w:r>
      <w:r w:rsidR="00845281" w:rsidRPr="004A175F">
        <w:t xml:space="preserve">o systemie oceny zgodności </w:t>
      </w:r>
      <w:r w:rsidR="00CB3C3B" w:rsidRPr="004A175F">
        <w:t>nie wprowadziła skutecznych mechanizmów nadzoru nad PCA i ograniczania efektów</w:t>
      </w:r>
      <w:r w:rsidR="00D611BF">
        <w:t xml:space="preserve"> agencyjnych w </w:t>
      </w:r>
      <w:r w:rsidR="00CB3C3B" w:rsidRPr="004A175F">
        <w:t xml:space="preserve">relacji PCA – minister </w:t>
      </w:r>
      <w:r w:rsidR="00845281" w:rsidRPr="004A175F">
        <w:t xml:space="preserve">właściwy do spraw </w:t>
      </w:r>
      <w:r w:rsidR="00CB3C3B" w:rsidRPr="004A175F">
        <w:t xml:space="preserve">gospodarki. Problem ten został zauważony już w trakcie </w:t>
      </w:r>
      <w:r w:rsidR="00CB3C3B" w:rsidRPr="004A175F">
        <w:rPr>
          <w:bCs/>
          <w:color w:val="000000"/>
        </w:rPr>
        <w:t>przeprowadzonej przez NIK kontroli funkcjonowania Polskiego Centrum Akredytacji w latach 2005</w:t>
      </w:r>
      <w:r w:rsidR="009D551C">
        <w:rPr>
          <w:bCs/>
          <w:color w:val="000000"/>
        </w:rPr>
        <w:t>–</w:t>
      </w:r>
      <w:r w:rsidR="00CB3C3B" w:rsidRPr="004A175F">
        <w:rPr>
          <w:bCs/>
          <w:color w:val="000000"/>
        </w:rPr>
        <w:t xml:space="preserve">2007, czego efektem było wprowadzenie w ustawie przepisów regulujących tryb i zasady wnoszenia do sądów powszechnych </w:t>
      </w:r>
      <w:proofErr w:type="spellStart"/>
      <w:r w:rsidR="00CB3C3B" w:rsidRPr="004A175F">
        <w:rPr>
          <w:bCs/>
          <w:color w:val="000000"/>
        </w:rPr>
        <w:t>odwołań</w:t>
      </w:r>
      <w:proofErr w:type="spellEnd"/>
      <w:r w:rsidR="00DE17EB" w:rsidRPr="004A175F">
        <w:rPr>
          <w:bCs/>
          <w:color w:val="000000"/>
        </w:rPr>
        <w:t xml:space="preserve"> </w:t>
      </w:r>
      <w:r w:rsidR="00CB3C3B" w:rsidRPr="004A175F">
        <w:rPr>
          <w:bCs/>
          <w:color w:val="000000"/>
        </w:rPr>
        <w:t>od orzeczeń Komitetu Odwoławczego przy PCA, a także wprowadzenie obowiązku zatwierdzania planów i sprawozdań PCA przez ministra właściwego do spraw gospodarki.</w:t>
      </w:r>
      <w:r w:rsidR="006E1005" w:rsidRPr="004A175F">
        <w:rPr>
          <w:bCs/>
          <w:color w:val="000000"/>
        </w:rPr>
        <w:t xml:space="preserve"> Problemem pozostała natomiast pozycja Rady ds. akredytacji, która jako organ doradczy Dyrektora PCA pozostaje ciałem poz</w:t>
      </w:r>
      <w:r w:rsidR="00D611BF">
        <w:rPr>
          <w:bCs/>
          <w:color w:val="000000"/>
        </w:rPr>
        <w:t>bawionym realnych kompetencji i </w:t>
      </w:r>
      <w:r w:rsidR="006E1005" w:rsidRPr="004A175F">
        <w:rPr>
          <w:bCs/>
          <w:color w:val="000000"/>
        </w:rPr>
        <w:t xml:space="preserve">wpływu na działalność Centrum. </w:t>
      </w:r>
      <w:r w:rsidR="007F6522" w:rsidRPr="004A175F">
        <w:rPr>
          <w:bCs/>
          <w:color w:val="000000"/>
        </w:rPr>
        <w:t xml:space="preserve">Nie ma ona również charakteru eksperckiego, ponieważ członkostwo w </w:t>
      </w:r>
      <w:r w:rsidR="00DE17EB" w:rsidRPr="004A175F">
        <w:rPr>
          <w:bCs/>
          <w:color w:val="000000"/>
        </w:rPr>
        <w:t>R</w:t>
      </w:r>
      <w:r w:rsidR="007F6522" w:rsidRPr="004A175F">
        <w:rPr>
          <w:bCs/>
          <w:color w:val="000000"/>
        </w:rPr>
        <w:t xml:space="preserve">adzie nie jest uwarunkowane żadnymi kompetencjami merytorycznymi. </w:t>
      </w:r>
    </w:p>
    <w:p w:rsidR="00CB3C3B" w:rsidRPr="004A175F" w:rsidRDefault="001A407A" w:rsidP="004A175F">
      <w:pPr>
        <w:spacing w:before="120" w:line="360" w:lineRule="auto"/>
        <w:jc w:val="both"/>
      </w:pPr>
      <w:r w:rsidRPr="004A175F">
        <w:t xml:space="preserve">Proponowane w ustawie rozwiązania mają na celu nadanie </w:t>
      </w:r>
      <w:r w:rsidR="00DE17EB" w:rsidRPr="004A175F">
        <w:t>R</w:t>
      </w:r>
      <w:r w:rsidRPr="004A175F">
        <w:t>adzie charakteru niezależnego od Dyrektora organu PCA, o konkretnych kompetencjach (opiniowanie planów i sprawozdań finansowych, zatwierdzanie planów i sprawozdań merytorycznych, opiniowanie wniosków w sprawie podziału zysku, opiniowanie kandydatur na członków Komitetu Odwoławczego).</w:t>
      </w:r>
      <w:r w:rsidR="004C1C32" w:rsidRPr="004A175F">
        <w:t xml:space="preserve"> Zmianom ma ulec sposób funkcjonowania </w:t>
      </w:r>
      <w:r w:rsidR="00DE17EB" w:rsidRPr="004A175F">
        <w:t>R</w:t>
      </w:r>
      <w:r w:rsidR="004C1C32" w:rsidRPr="004A175F">
        <w:t xml:space="preserve">ady (częstsze posiedzenia, powoływanie komisji tematycznych, również z udziałem zewnętrznych ekspertów). </w:t>
      </w:r>
      <w:r w:rsidR="006839F0" w:rsidRPr="004A175F">
        <w:t xml:space="preserve">W celu nadania </w:t>
      </w:r>
      <w:r w:rsidR="00DE17EB" w:rsidRPr="004A175F">
        <w:t>R</w:t>
      </w:r>
      <w:r w:rsidR="006839F0" w:rsidRPr="004A175F">
        <w:t>adzie charakteru bardziej eksperckiego i zwiększenia jej autorytetu</w:t>
      </w:r>
      <w:r w:rsidR="00942E88">
        <w:t>,</w:t>
      </w:r>
      <w:r w:rsidR="006839F0" w:rsidRPr="004A175F">
        <w:t xml:space="preserve"> proponuje się wprowadzenie wymagania doświadczenia zawodowego i wiedzy w zakresie akredytacji i oceny zgodności dla kandydatów na członków </w:t>
      </w:r>
      <w:r w:rsidR="00DE17EB" w:rsidRPr="004A175F">
        <w:t>R</w:t>
      </w:r>
      <w:r w:rsidR="006839F0" w:rsidRPr="004A175F">
        <w:t>ady.</w:t>
      </w:r>
      <w:r w:rsidR="00D248C9" w:rsidRPr="004A175F">
        <w:t xml:space="preserve"> </w:t>
      </w:r>
    </w:p>
    <w:p w:rsidR="00DE17EB" w:rsidRPr="004A175F" w:rsidRDefault="00FC6CF9" w:rsidP="004A175F">
      <w:pPr>
        <w:spacing w:before="120" w:line="360" w:lineRule="auto"/>
        <w:jc w:val="both"/>
      </w:pPr>
      <w:r w:rsidRPr="004A175F">
        <w:t xml:space="preserve">W </w:t>
      </w:r>
      <w:r w:rsidR="00DE17EB" w:rsidRPr="004A175F">
        <w:t xml:space="preserve">zamyśle </w:t>
      </w:r>
      <w:r w:rsidRPr="004A175F">
        <w:t xml:space="preserve">projektodawców Rada ds. akredytacji </w:t>
      </w:r>
      <w:r w:rsidR="00845281" w:rsidRPr="004A175F">
        <w:t>powinna zapewniać</w:t>
      </w:r>
      <w:r w:rsidRPr="004A175F">
        <w:t xml:space="preserve"> ograniczenie asymetrii informacji pomiędzy PCA a organem nadzoru poprzez ekspercką, niezależną </w:t>
      </w:r>
      <w:r w:rsidRPr="004A175F">
        <w:lastRenderedPageBreak/>
        <w:t>i</w:t>
      </w:r>
      <w:r w:rsidR="00D611BF">
        <w:t> </w:t>
      </w:r>
      <w:r w:rsidRPr="004A175F">
        <w:t>podejmowaną przy udziale szerokiego spektrum podmiotów zainteresowanych działalnością PCA ocenę funkcjonowania tej jednostki. Rada powinna być też podstawowym forum dyskusji i wymiany poglądów oraz organizacji środowiska zaangażowanego w zagadnienie akredytacji i oceny zgodności (zarówno jednostek oceniających zgodność, organizacji gospodarczych, jak też regulatorów i para</w:t>
      </w:r>
      <w:r w:rsidR="009D551C">
        <w:t>-</w:t>
      </w:r>
      <w:r w:rsidR="009D551C">
        <w:br/>
      </w:r>
      <w:r w:rsidRPr="004A175F">
        <w:t>-regulatorów, takich jak PKN czy GUM)</w:t>
      </w:r>
      <w:r w:rsidR="00DE17EB" w:rsidRPr="004A175F">
        <w:t>.</w:t>
      </w:r>
    </w:p>
    <w:p w:rsidR="00A91A06" w:rsidRPr="00406F7B" w:rsidRDefault="00A91A06" w:rsidP="00406F7B">
      <w:pPr>
        <w:spacing w:before="240" w:line="360" w:lineRule="auto"/>
        <w:jc w:val="both"/>
        <w:rPr>
          <w:bCs/>
        </w:rPr>
      </w:pPr>
      <w:r w:rsidRPr="00406F7B">
        <w:rPr>
          <w:bCs/>
        </w:rPr>
        <w:t>System nadzoru rynku</w:t>
      </w:r>
    </w:p>
    <w:p w:rsidR="00A91A06" w:rsidRPr="004A175F" w:rsidRDefault="00CD1452" w:rsidP="004A175F">
      <w:pPr>
        <w:spacing w:before="120" w:line="360" w:lineRule="auto"/>
        <w:jc w:val="both"/>
      </w:pPr>
      <w:r w:rsidRPr="004A175F">
        <w:t>Rozwiązania przewidziane w z</w:t>
      </w:r>
      <w:r w:rsidR="00A91A06" w:rsidRPr="004A175F">
        <w:t xml:space="preserve">nowelizowanych dyrektywach sektorowych, a także pośrednio </w:t>
      </w:r>
      <w:r w:rsidRPr="004A175F">
        <w:t xml:space="preserve">w </w:t>
      </w:r>
      <w:r w:rsidR="00A91A06" w:rsidRPr="004A175F">
        <w:t>decyzji Parlamentu Europejskiego i</w:t>
      </w:r>
      <w:r w:rsidR="008E00D6" w:rsidRPr="004A175F">
        <w:t xml:space="preserve"> </w:t>
      </w:r>
      <w:r w:rsidR="00A91A06" w:rsidRPr="004A175F">
        <w:t>Rady nr 768/2008/WE z dnia 9 lipca 2008 r. w</w:t>
      </w:r>
      <w:r w:rsidR="008E00D6" w:rsidRPr="004A175F">
        <w:t xml:space="preserve"> </w:t>
      </w:r>
      <w:r w:rsidR="00A91A06" w:rsidRPr="004A175F">
        <w:t>sprawie wspólnych ram dotyczących wprowadzania produktów do obrotu, uchylającej decyzję Rady 93/465/EWG</w:t>
      </w:r>
      <w:r w:rsidRPr="004A175F">
        <w:t xml:space="preserve">, </w:t>
      </w:r>
      <w:r w:rsidR="00A91A06" w:rsidRPr="004A175F">
        <w:t>będ</w:t>
      </w:r>
      <w:r w:rsidRPr="004A175F">
        <w:t>ą</w:t>
      </w:r>
      <w:r w:rsidR="00A91A06" w:rsidRPr="004A175F">
        <w:t xml:space="preserve"> skutkował</w:t>
      </w:r>
      <w:r w:rsidRPr="004A175F">
        <w:t>y</w:t>
      </w:r>
      <w:r w:rsidR="00A91A06" w:rsidRPr="004A175F">
        <w:t xml:space="preserve"> następującymi zmianami</w:t>
      </w:r>
      <w:r w:rsidRPr="004A175F">
        <w:t xml:space="preserve"> w</w:t>
      </w:r>
      <w:r w:rsidR="00D611BF">
        <w:t> </w:t>
      </w:r>
      <w:r w:rsidRPr="004A175F">
        <w:t>stosunku do ustawy z dn</w:t>
      </w:r>
      <w:r w:rsidR="00942E88">
        <w:t xml:space="preserve">ia </w:t>
      </w:r>
      <w:r w:rsidRPr="004A175F">
        <w:t>30</w:t>
      </w:r>
      <w:r w:rsidR="00942E88">
        <w:t xml:space="preserve"> sierpnia </w:t>
      </w:r>
      <w:r w:rsidRPr="004A175F">
        <w:t>2002 r. o systemie oceny zgodności</w:t>
      </w:r>
      <w:r w:rsidR="00A91A06" w:rsidRPr="004A175F">
        <w:t>:</w:t>
      </w:r>
    </w:p>
    <w:p w:rsidR="00A91A06" w:rsidRPr="004A175F" w:rsidRDefault="00A91A06" w:rsidP="0076280F">
      <w:pPr>
        <w:numPr>
          <w:ilvl w:val="0"/>
          <w:numId w:val="3"/>
        </w:numPr>
        <w:tabs>
          <w:tab w:val="clear" w:pos="720"/>
          <w:tab w:val="num" w:pos="426"/>
        </w:tabs>
        <w:spacing w:line="360" w:lineRule="auto"/>
        <w:ind w:left="426" w:hanging="426"/>
        <w:jc w:val="both"/>
      </w:pPr>
      <w:r w:rsidRPr="004A175F">
        <w:t xml:space="preserve">dostosowano terminologię i siatkę pojęciową do stosowanej w unijnych przepisach </w:t>
      </w:r>
      <w:proofErr w:type="spellStart"/>
      <w:r w:rsidRPr="004A175F">
        <w:t>harmonizacyjnych</w:t>
      </w:r>
      <w:proofErr w:type="spellEnd"/>
      <w:r w:rsidRPr="004A175F">
        <w:t>; przede wszystkim zaczęto posługiwać się terminem „nadzór rynku”, zastępując dotychczas obowiązujący „system kontroli wyrobów”, zdefiniowano pojęcie „udostępnienie na rynku”; zrezygnowano z podziału na zasadnicze, szczegółowe i inne wymagania;</w:t>
      </w:r>
    </w:p>
    <w:p w:rsidR="00A91A06" w:rsidRPr="004A175F" w:rsidRDefault="00A91A06" w:rsidP="0076280F">
      <w:pPr>
        <w:numPr>
          <w:ilvl w:val="0"/>
          <w:numId w:val="3"/>
        </w:numPr>
        <w:tabs>
          <w:tab w:val="clear" w:pos="720"/>
          <w:tab w:val="num" w:pos="426"/>
        </w:tabs>
        <w:spacing w:line="360" w:lineRule="auto"/>
        <w:ind w:left="426" w:hanging="426"/>
        <w:jc w:val="both"/>
      </w:pPr>
      <w:r w:rsidRPr="004A175F">
        <w:t>rozszerzono listę organów podejmujących działania wobec produktów niespełniających wymagań o organy administracji miar;</w:t>
      </w:r>
    </w:p>
    <w:p w:rsidR="00A91A06" w:rsidRPr="004A175F" w:rsidRDefault="00A91A06" w:rsidP="0076280F">
      <w:pPr>
        <w:numPr>
          <w:ilvl w:val="0"/>
          <w:numId w:val="3"/>
        </w:numPr>
        <w:tabs>
          <w:tab w:val="clear" w:pos="720"/>
          <w:tab w:val="num" w:pos="426"/>
        </w:tabs>
        <w:spacing w:line="360" w:lineRule="auto"/>
        <w:ind w:left="426" w:hanging="426"/>
        <w:jc w:val="both"/>
      </w:pPr>
      <w:r w:rsidRPr="004A175F">
        <w:t>zmieniono sposób komunikacji między organem monitorującym a organami nadzoru rynku, wprowadzając podstawę do korzystania z unijnego systemu informatycznego ICSMS</w:t>
      </w:r>
      <w:r w:rsidR="00486843" w:rsidRPr="004A175F">
        <w:t xml:space="preserve"> administrowanego przez Komisję Europejską</w:t>
      </w:r>
      <w:r w:rsidRPr="004A175F">
        <w:t>;</w:t>
      </w:r>
    </w:p>
    <w:p w:rsidR="00A91A06" w:rsidRPr="004A175F" w:rsidRDefault="00A91A06" w:rsidP="0076280F">
      <w:pPr>
        <w:numPr>
          <w:ilvl w:val="0"/>
          <w:numId w:val="3"/>
        </w:numPr>
        <w:tabs>
          <w:tab w:val="clear" w:pos="720"/>
          <w:tab w:val="num" w:pos="426"/>
        </w:tabs>
        <w:spacing w:line="360" w:lineRule="auto"/>
        <w:ind w:left="426" w:hanging="426"/>
        <w:jc w:val="both"/>
      </w:pPr>
      <w:r w:rsidRPr="004A175F">
        <w:t>dostosowano procedury kontroli i prowadzenia postępowań do procedur przewidzianych w</w:t>
      </w:r>
      <w:r w:rsidR="008E00D6" w:rsidRPr="004A175F">
        <w:t xml:space="preserve"> </w:t>
      </w:r>
      <w:r w:rsidRPr="004A175F">
        <w:t>pakiecie dyrektyw sektorowych;</w:t>
      </w:r>
    </w:p>
    <w:p w:rsidR="00A91A06" w:rsidRPr="004A175F" w:rsidRDefault="00A91A06" w:rsidP="0076280F">
      <w:pPr>
        <w:numPr>
          <w:ilvl w:val="0"/>
          <w:numId w:val="3"/>
        </w:numPr>
        <w:tabs>
          <w:tab w:val="clear" w:pos="720"/>
          <w:tab w:val="num" w:pos="426"/>
        </w:tabs>
        <w:spacing w:line="360" w:lineRule="auto"/>
        <w:ind w:left="426" w:hanging="426"/>
        <w:jc w:val="both"/>
      </w:pPr>
      <w:r w:rsidRPr="004A175F">
        <w:t xml:space="preserve">zmieniono system kar opartych na </w:t>
      </w:r>
      <w:r w:rsidR="00942E88">
        <w:t>K</w:t>
      </w:r>
      <w:r w:rsidRPr="004A175F">
        <w:t xml:space="preserve">odeksie karnym na system kar pieniężnych, co ma przyczynić się do podniesienia efektywności </w:t>
      </w:r>
      <w:r w:rsidR="00D0390D" w:rsidRPr="004A175F">
        <w:t>egzekwowania przepisów ustawy i</w:t>
      </w:r>
      <w:r w:rsidR="00D611BF">
        <w:t> </w:t>
      </w:r>
      <w:r w:rsidRPr="004A175F">
        <w:t>wypełnić warunki stawiane przez unijną legisl</w:t>
      </w:r>
      <w:r w:rsidR="00D0390D" w:rsidRPr="004A175F">
        <w:t>ację (nadanie odstraszającego i</w:t>
      </w:r>
      <w:r w:rsidR="00D611BF">
        <w:t> </w:t>
      </w:r>
      <w:r w:rsidRPr="004A175F">
        <w:t>proporcjonalnego charakteru sankcjom).</w:t>
      </w:r>
    </w:p>
    <w:p w:rsidR="00A91A06" w:rsidRPr="00406F7B" w:rsidRDefault="00A91A06" w:rsidP="00406F7B">
      <w:pPr>
        <w:spacing w:before="240" w:line="360" w:lineRule="auto"/>
        <w:jc w:val="both"/>
        <w:rPr>
          <w:bCs/>
        </w:rPr>
      </w:pPr>
      <w:r w:rsidRPr="00406F7B">
        <w:rPr>
          <w:bCs/>
        </w:rPr>
        <w:t>Oddział 1 Przepisy ogólne</w:t>
      </w:r>
    </w:p>
    <w:p w:rsidR="00A91A06" w:rsidRPr="004A175F" w:rsidRDefault="00A91A06" w:rsidP="004A175F">
      <w:pPr>
        <w:spacing w:before="120" w:line="360" w:lineRule="auto"/>
        <w:jc w:val="both"/>
      </w:pPr>
      <w:r w:rsidRPr="004A175F">
        <w:t xml:space="preserve">W art. </w:t>
      </w:r>
      <w:r w:rsidR="000101B8" w:rsidRPr="004A175F">
        <w:t>5</w:t>
      </w:r>
      <w:r w:rsidR="00D0390D" w:rsidRPr="004A175F">
        <w:t>8</w:t>
      </w:r>
      <w:r w:rsidRPr="004A175F">
        <w:t xml:space="preserve"> wskazano organy tworzące system nadzoru rynku oraz poszerzono katalog tych organów o</w:t>
      </w:r>
      <w:r w:rsidR="008E00D6" w:rsidRPr="004A175F">
        <w:t xml:space="preserve"> </w:t>
      </w:r>
      <w:r w:rsidRPr="004A175F">
        <w:t>organy administracji miar (dyrektorzy okręgowych urzędów miar</w:t>
      </w:r>
      <w:r w:rsidR="00D611BF">
        <w:t xml:space="preserve"> i </w:t>
      </w:r>
      <w:r w:rsidR="0093686C" w:rsidRPr="004A175F">
        <w:t>Prezes Głównego Urzędu Miar</w:t>
      </w:r>
      <w:r w:rsidRPr="004A175F">
        <w:t xml:space="preserve">). Administracja miar posiada odpowiednią wiedzę </w:t>
      </w:r>
      <w:r w:rsidRPr="004A175F">
        <w:lastRenderedPageBreak/>
        <w:t>specjalistyczną w</w:t>
      </w:r>
      <w:r w:rsidR="004A175F" w:rsidRPr="004A175F">
        <w:t xml:space="preserve"> </w:t>
      </w:r>
      <w:r w:rsidRPr="004A175F">
        <w:t>zakresie przyrządów pomiarowych i wag, a także własne laboratoria, w</w:t>
      </w:r>
      <w:r w:rsidR="008E00D6" w:rsidRPr="004A175F">
        <w:t xml:space="preserve"> </w:t>
      </w:r>
      <w:r w:rsidRPr="004A175F">
        <w:t xml:space="preserve">których może przeprowadzać badania specjalistyczne spełniania przez </w:t>
      </w:r>
      <w:r w:rsidR="0093686C" w:rsidRPr="004A175F">
        <w:t xml:space="preserve">te </w:t>
      </w:r>
      <w:r w:rsidRPr="004A175F">
        <w:t>wyroby wymagań. Tym samym zadanie kontroli i prowadzenia postępowań w sprawie przyrządów pomiarowych i wag nieautomatycznych niespełniających wymagań nie będzie już kompetencją organów Inspekcji Handlowej</w:t>
      </w:r>
      <w:r w:rsidR="0093686C" w:rsidRPr="004A175F">
        <w:t xml:space="preserve"> i Prezesa UOKiK</w:t>
      </w:r>
      <w:r w:rsidRPr="004A175F">
        <w:t>.</w:t>
      </w:r>
      <w:r w:rsidR="009F207A" w:rsidRPr="004A175F">
        <w:t xml:space="preserve"> Jednocze</w:t>
      </w:r>
      <w:r w:rsidR="00816E8B" w:rsidRPr="004A175F">
        <w:t>śnie, ze względu na utrzymanie w mocy systemu kontroli wyrobów</w:t>
      </w:r>
      <w:r w:rsidR="00CD1452" w:rsidRPr="004A175F">
        <w:t xml:space="preserve"> regulowanego </w:t>
      </w:r>
      <w:r w:rsidR="00816E8B" w:rsidRPr="004A175F">
        <w:t>ustawą</w:t>
      </w:r>
      <w:r w:rsidR="00D611BF">
        <w:t xml:space="preserve"> z </w:t>
      </w:r>
      <w:r w:rsidR="00942E88">
        <w:t xml:space="preserve">dnia </w:t>
      </w:r>
      <w:r w:rsidR="00CD1452" w:rsidRPr="004A175F">
        <w:t>30</w:t>
      </w:r>
      <w:r w:rsidR="00942E88">
        <w:t xml:space="preserve"> sierpnia </w:t>
      </w:r>
      <w:r w:rsidR="00CD1452" w:rsidRPr="004A175F">
        <w:t>2002 r. o</w:t>
      </w:r>
      <w:r w:rsidR="00816E8B" w:rsidRPr="004A175F">
        <w:t xml:space="preserve"> systemie oceny zgodnoś</w:t>
      </w:r>
      <w:r w:rsidR="00CD1452" w:rsidRPr="004A175F">
        <w:t>ci</w:t>
      </w:r>
      <w:r w:rsidR="009F207A" w:rsidRPr="004A175F">
        <w:t xml:space="preserve"> i brak</w:t>
      </w:r>
      <w:r w:rsidR="00CD1452" w:rsidRPr="004A175F">
        <w:t>u</w:t>
      </w:r>
      <w:r w:rsidR="009F207A" w:rsidRPr="004A175F">
        <w:t xml:space="preserve"> nowelizacji dyrektywy 2000/14/WE Parlamentu Europejskiego i</w:t>
      </w:r>
      <w:r w:rsidR="004A175F" w:rsidRPr="004A175F">
        <w:t xml:space="preserve"> </w:t>
      </w:r>
      <w:r w:rsidR="009F207A" w:rsidRPr="004A175F">
        <w:t xml:space="preserve">Rady z dnia 8 maja 2000 r. w sprawie zbliżenia ustawodawstw Państw Członkowskich odnoszących się do emisji hałasu do środowiska przez urządzenia używane na zewnątrz pomieszczeń (Dz. Urz. UE L </w:t>
      </w:r>
      <w:r w:rsidR="00CD1452" w:rsidRPr="004A175F">
        <w:t>162 z</w:t>
      </w:r>
      <w:r w:rsidR="00D611BF">
        <w:t> </w:t>
      </w:r>
      <w:r w:rsidR="008B36EB">
        <w:t>03.07.2000 </w:t>
      </w:r>
      <w:r w:rsidR="009F207A" w:rsidRPr="004A175F">
        <w:t xml:space="preserve">r., str. 1, ze zm.), </w:t>
      </w:r>
      <w:r w:rsidR="00CD1452" w:rsidRPr="004A175F">
        <w:t>nie uwzględniono w katalogu organów nadzoru rynku</w:t>
      </w:r>
      <w:r w:rsidR="00816E8B" w:rsidRPr="004A175F">
        <w:t xml:space="preserve"> (określonego w art. 58 ustawy)</w:t>
      </w:r>
      <w:r w:rsidR="00CD1452" w:rsidRPr="004A175F">
        <w:t xml:space="preserve"> organów ochrony środowiska</w:t>
      </w:r>
      <w:r w:rsidR="009F207A" w:rsidRPr="004A175F">
        <w:t>.</w:t>
      </w:r>
      <w:r w:rsidR="00CD1452" w:rsidRPr="004A175F">
        <w:t xml:space="preserve"> Nadal jednak organy ochrony środowiska pełnią rolę organów wysp</w:t>
      </w:r>
      <w:r w:rsidR="00D611BF">
        <w:t>ecjalizowanych na mocy ustawy z </w:t>
      </w:r>
      <w:r w:rsidR="00942E88">
        <w:t xml:space="preserve">dnia </w:t>
      </w:r>
      <w:r w:rsidR="00CD1452" w:rsidRPr="004A175F">
        <w:t>30</w:t>
      </w:r>
      <w:r w:rsidR="00942E88">
        <w:t xml:space="preserve"> sierpnia </w:t>
      </w:r>
      <w:r w:rsidR="00CD1452" w:rsidRPr="004A175F">
        <w:t xml:space="preserve">2002 r. </w:t>
      </w:r>
      <w:r w:rsidR="00816E8B" w:rsidRPr="004A175F">
        <w:t>o</w:t>
      </w:r>
      <w:r w:rsidR="004A175F" w:rsidRPr="004A175F">
        <w:t xml:space="preserve"> </w:t>
      </w:r>
      <w:r w:rsidR="00CD1452" w:rsidRPr="004A175F">
        <w:t>systemie oceny zgodności.</w:t>
      </w:r>
    </w:p>
    <w:p w:rsidR="00A91A06" w:rsidRPr="004A175F" w:rsidRDefault="00A91A06" w:rsidP="004A175F">
      <w:pPr>
        <w:spacing w:before="120" w:line="360" w:lineRule="auto"/>
        <w:jc w:val="both"/>
      </w:pPr>
      <w:r w:rsidRPr="004A175F">
        <w:t xml:space="preserve">W art. </w:t>
      </w:r>
      <w:r w:rsidR="003A4040" w:rsidRPr="004A175F">
        <w:t>5</w:t>
      </w:r>
      <w:r w:rsidR="009F207A" w:rsidRPr="004A175F">
        <w:t>9</w:t>
      </w:r>
      <w:r w:rsidRPr="004A175F">
        <w:t xml:space="preserve"> doprecyzowano zadania Prezesa UOKiK jako organu monitorującego, umożliwiając mu przekazywanie informacji o wyrobach niespełniających wymagań także organom celnym oraz organom nadzoru rynku państw cz</w:t>
      </w:r>
      <w:r w:rsidR="00D0390D" w:rsidRPr="004A175F">
        <w:t>łonkowskich Unii Europejskiej i</w:t>
      </w:r>
      <w:r w:rsidR="004A175F" w:rsidRPr="004A175F">
        <w:t xml:space="preserve"> </w:t>
      </w:r>
      <w:r w:rsidRPr="004A175F">
        <w:t>państw członkowskich Europejskiego Obszaru Gospodarczego. Zracjonalizowano zakres informacji przekazywanyc</w:t>
      </w:r>
      <w:r w:rsidR="00D611BF">
        <w:t>h Prezesowi UOKiK, rezygnując z </w:t>
      </w:r>
      <w:r w:rsidRPr="004A175F">
        <w:t>obowiązku przekazywania informacji o</w:t>
      </w:r>
      <w:r w:rsidR="008E00D6" w:rsidRPr="004A175F">
        <w:t xml:space="preserve"> </w:t>
      </w:r>
      <w:r w:rsidRPr="004A175F">
        <w:t>wszczęciu i zakończeniu postępowań przez organy nadzoru rynku. Dodatkowo doprecyzowano organy, które powinny przekazywać Prezesowi UOKiK plany i sprawozdania z</w:t>
      </w:r>
      <w:r w:rsidR="008E00D6" w:rsidRPr="004A175F">
        <w:t xml:space="preserve"> </w:t>
      </w:r>
      <w:r w:rsidRPr="004A175F">
        <w:t>przeprowadzonych kontroli oraz podjętych działań w obszarze nadzoru rynku. Prezes UOKiK, tak jak dotychczas, w ramach monitorowania systemu, może wnioskować do innych krajowych organów nadzoru rynku o przeprowadzenie kontroli wyrobu potencjalnie stwarzającego zagrożenie dla zdrowia i życia oraz zgłaszać uwagi do planów przekazywanych przez te organy. Ponadto Prezes UOKiK nie będzie gromadził informacji o kontroli wyrobów odrębnie, a</w:t>
      </w:r>
      <w:r w:rsidR="008E00D6" w:rsidRPr="004A175F">
        <w:t xml:space="preserve"> </w:t>
      </w:r>
      <w:r w:rsidRPr="004A175F">
        <w:t>korzystał do tego celu z</w:t>
      </w:r>
      <w:r w:rsidR="004A175F" w:rsidRPr="004A175F">
        <w:t xml:space="preserve"> </w:t>
      </w:r>
      <w:r w:rsidRPr="004A175F">
        <w:t xml:space="preserve">unijnego systemu ICSMS, racjonalizując zadanie monitorowania systemu. Jednocześnie poszerzono zakres obowiązków organów nadzoru </w:t>
      </w:r>
      <w:r w:rsidR="009F207A" w:rsidRPr="004A175F">
        <w:t>rynku o</w:t>
      </w:r>
      <w:r w:rsidR="004A175F" w:rsidRPr="004A175F">
        <w:t xml:space="preserve"> </w:t>
      </w:r>
      <w:r w:rsidRPr="004A175F">
        <w:t>możliwość uczestniczenia w pracach grup ds. współpracy administracyjnej (tzw</w:t>
      </w:r>
      <w:r w:rsidR="009F207A" w:rsidRPr="004A175F">
        <w:t>. ADCO) i</w:t>
      </w:r>
      <w:r w:rsidR="004A175F" w:rsidRPr="004A175F">
        <w:t xml:space="preserve"> </w:t>
      </w:r>
      <w:r w:rsidRPr="004A175F">
        <w:t>forach międzynarodowych poświęconych nadzorowi rynku, a także organów Rady i Komisji Europejskiej. Jasno określono zadanie organów nadzoru rynku w zakresie wydawania opinii dla organów celnych.</w:t>
      </w:r>
    </w:p>
    <w:p w:rsidR="00A91A06" w:rsidRPr="004A175F" w:rsidRDefault="00A91A06" w:rsidP="004A175F">
      <w:pPr>
        <w:spacing w:before="120" w:line="360" w:lineRule="auto"/>
        <w:jc w:val="both"/>
      </w:pPr>
      <w:r w:rsidRPr="004A175F">
        <w:lastRenderedPageBreak/>
        <w:t xml:space="preserve">Art. </w:t>
      </w:r>
      <w:r w:rsidR="009F207A" w:rsidRPr="004A175F">
        <w:t>60</w:t>
      </w:r>
      <w:r w:rsidRPr="004A175F">
        <w:t xml:space="preserve"> określa nowe uprawnienie Prezesa UOKiK w systemie nadzoru rynku na poziomie krajowym. Bazując na dotychczasowych doświadczeniach Prezesa UOKiK jako organu monitorującego, wprowadzono rozwiązanie poszerzające jego uprawnienia o</w:t>
      </w:r>
      <w:r w:rsidR="008E00D6" w:rsidRPr="004A175F">
        <w:t xml:space="preserve"> </w:t>
      </w:r>
      <w:r w:rsidRPr="004A175F">
        <w:t xml:space="preserve">możliwość występowania do innych organów nadzoru rynku z wnioskami dotyczącymi realizowania zadań przez te organy w ramach systemu nadzoru rynku. </w:t>
      </w:r>
      <w:r w:rsidR="009E3817" w:rsidRPr="004A175F">
        <w:t>Efektywne monitorowanie systemu nie jest możliwe bez odpowiedniego narzędzia. Takim n</w:t>
      </w:r>
      <w:r w:rsidR="009419C7" w:rsidRPr="004A175F">
        <w:t>arzędzie</w:t>
      </w:r>
      <w:r w:rsidR="009E3817" w:rsidRPr="004A175F">
        <w:t>m</w:t>
      </w:r>
      <w:r w:rsidR="009419C7" w:rsidRPr="004A175F">
        <w:t xml:space="preserve"> </w:t>
      </w:r>
      <w:r w:rsidR="009E3817" w:rsidRPr="004A175F">
        <w:t xml:space="preserve">ma być możliwość zwracania się Prezesa UOKiK </w:t>
      </w:r>
      <w:r w:rsidR="001D1808" w:rsidRPr="004A175F">
        <w:t xml:space="preserve">do pozostałych organów nadzoru rynku </w:t>
      </w:r>
      <w:r w:rsidR="009E3817" w:rsidRPr="004A175F">
        <w:t>z w</w:t>
      </w:r>
      <w:r w:rsidR="00CD1452" w:rsidRPr="004A175F">
        <w:t>n</w:t>
      </w:r>
      <w:r w:rsidR="009E3817" w:rsidRPr="004A175F">
        <w:t xml:space="preserve">ioskami </w:t>
      </w:r>
      <w:r w:rsidR="001D1808" w:rsidRPr="004A175F">
        <w:t xml:space="preserve">dotyczącymi realizacji ich </w:t>
      </w:r>
      <w:r w:rsidR="009E3817" w:rsidRPr="004A175F">
        <w:t>zadań w ramach systemu nadzoru rynku, szczególnie tych</w:t>
      </w:r>
      <w:r w:rsidR="00942E88">
        <w:t>,</w:t>
      </w:r>
      <w:r w:rsidR="009E3817" w:rsidRPr="004A175F">
        <w:t xml:space="preserve"> które w</w:t>
      </w:r>
      <w:r w:rsidR="004A175F" w:rsidRPr="004A175F">
        <w:t xml:space="preserve"> </w:t>
      </w:r>
      <w:r w:rsidR="009E3817" w:rsidRPr="004A175F">
        <w:t xml:space="preserve">systemie są od niedawna lub </w:t>
      </w:r>
      <w:r w:rsidR="00CD1452" w:rsidRPr="004A175F">
        <w:t>mają zbliżony zakres działań</w:t>
      </w:r>
      <w:r w:rsidR="009E3817" w:rsidRPr="004A175F">
        <w:t xml:space="preserve">. </w:t>
      </w:r>
      <w:r w:rsidR="00972E57" w:rsidRPr="004A175F">
        <w:t>W</w:t>
      </w:r>
      <w:r w:rsidR="004A175F" w:rsidRPr="004A175F">
        <w:t xml:space="preserve"> </w:t>
      </w:r>
      <w:r w:rsidR="009E3817" w:rsidRPr="004A175F">
        <w:t xml:space="preserve">zamierzeniu narzędzie to ma </w:t>
      </w:r>
      <w:r w:rsidR="009419C7" w:rsidRPr="004A175F">
        <w:t>pozwoli</w:t>
      </w:r>
      <w:r w:rsidR="009E3817" w:rsidRPr="004A175F">
        <w:t>ć</w:t>
      </w:r>
      <w:r w:rsidR="009419C7" w:rsidRPr="004A175F">
        <w:t xml:space="preserve"> </w:t>
      </w:r>
      <w:r w:rsidR="009E3817" w:rsidRPr="004A175F">
        <w:t xml:space="preserve">Prezesowi UOKiK </w:t>
      </w:r>
      <w:r w:rsidR="009419C7" w:rsidRPr="004A175F">
        <w:t xml:space="preserve">na </w:t>
      </w:r>
      <w:r w:rsidR="009E3817" w:rsidRPr="004A175F">
        <w:t>bieżące reagowanie na sygnały płynące z</w:t>
      </w:r>
      <w:r w:rsidR="004A175F" w:rsidRPr="004A175F">
        <w:t xml:space="preserve"> </w:t>
      </w:r>
      <w:r w:rsidR="009E3817" w:rsidRPr="004A175F">
        <w:t>rynku. Często bowiem organizacje przedsiębiorców, jak i</w:t>
      </w:r>
      <w:r w:rsidR="004A175F" w:rsidRPr="004A175F">
        <w:t xml:space="preserve"> </w:t>
      </w:r>
      <w:r w:rsidR="009E3817" w:rsidRPr="004A175F">
        <w:t>konsumenckie, zwracają</w:t>
      </w:r>
      <w:r w:rsidR="00D611BF">
        <w:t xml:space="preserve"> się do Prezesa UOKiK o pomoc w </w:t>
      </w:r>
      <w:r w:rsidR="009E3817" w:rsidRPr="004A175F">
        <w:t>wyeliminowaniu negatywnych zjawisk wpływających</w:t>
      </w:r>
      <w:r w:rsidR="00C57D97" w:rsidRPr="004A175F">
        <w:t xml:space="preserve"> bezpośrednio lub pośrednio</w:t>
      </w:r>
      <w:r w:rsidR="009E3817" w:rsidRPr="004A175F">
        <w:t>, zarówno na poziom ochrony konsumentów,</w:t>
      </w:r>
      <w:r w:rsidR="00972E57" w:rsidRPr="004A175F">
        <w:t xml:space="preserve"> jak i</w:t>
      </w:r>
      <w:r w:rsidR="004A175F" w:rsidRPr="004A175F">
        <w:t xml:space="preserve"> </w:t>
      </w:r>
      <w:r w:rsidR="00C57D97" w:rsidRPr="004A175F">
        <w:t>konkurencję</w:t>
      </w:r>
      <w:r w:rsidR="009E3817" w:rsidRPr="004A175F">
        <w:t xml:space="preserve">. </w:t>
      </w:r>
      <w:r w:rsidR="00C57D97" w:rsidRPr="004A175F">
        <w:t xml:space="preserve">Nie zawsze </w:t>
      </w:r>
      <w:r w:rsidR="00972E57" w:rsidRPr="004A175F">
        <w:t xml:space="preserve">osiągnięcie zamierzonego celu </w:t>
      </w:r>
      <w:r w:rsidR="00C57D97" w:rsidRPr="004A175F">
        <w:t xml:space="preserve">jest możliwe przy pomocy </w:t>
      </w:r>
      <w:r w:rsidR="009B1A24" w:rsidRPr="004A175F">
        <w:t xml:space="preserve">nadzorowanej </w:t>
      </w:r>
      <w:r w:rsidR="00972E57" w:rsidRPr="004A175F">
        <w:t xml:space="preserve">przez Prezesa UOKiK </w:t>
      </w:r>
      <w:r w:rsidR="00C57D97" w:rsidRPr="004A175F">
        <w:t xml:space="preserve">Inspekcji Handlowej. </w:t>
      </w:r>
      <w:r w:rsidR="008A5B5A" w:rsidRPr="004A175F">
        <w:t xml:space="preserve">Czasem może to wymagać koordynacji działań </w:t>
      </w:r>
      <w:r w:rsidR="005D57EF" w:rsidRPr="004A175F">
        <w:t xml:space="preserve">lub zaangażowania </w:t>
      </w:r>
      <w:r w:rsidR="008A5B5A" w:rsidRPr="004A175F">
        <w:t xml:space="preserve">kilku organów. </w:t>
      </w:r>
      <w:r w:rsidR="009B1A24" w:rsidRPr="004A175F">
        <w:t>Narzędzie n</w:t>
      </w:r>
      <w:r w:rsidR="00C57D97" w:rsidRPr="004A175F">
        <w:t>ie ma</w:t>
      </w:r>
      <w:r w:rsidR="00D611BF">
        <w:t xml:space="preserve"> jednak służyć do ingerowania w </w:t>
      </w:r>
      <w:r w:rsidR="00C57D97" w:rsidRPr="004A175F">
        <w:t>niezależność organów nadzoru rynku i</w:t>
      </w:r>
      <w:r w:rsidR="004A175F" w:rsidRPr="004A175F">
        <w:t xml:space="preserve"> </w:t>
      </w:r>
      <w:r w:rsidR="00C57D97" w:rsidRPr="004A175F">
        <w:t xml:space="preserve">prowadzonych przez nie polityk. </w:t>
      </w:r>
      <w:r w:rsidRPr="004A175F">
        <w:t>Pozostawiono możliwość występowania organów nadzoru rynku do organów celnych o</w:t>
      </w:r>
      <w:r w:rsidR="00D611BF">
        <w:t> </w:t>
      </w:r>
      <w:r w:rsidRPr="004A175F">
        <w:t>dane dotyczące podmiotów dokonujących przywozu wyrobów z</w:t>
      </w:r>
      <w:r w:rsidR="008E00D6" w:rsidRPr="004A175F">
        <w:t xml:space="preserve"> </w:t>
      </w:r>
      <w:r w:rsidR="00D611BF">
        <w:t>państw trzecich, w </w:t>
      </w:r>
      <w:r w:rsidRPr="004A175F">
        <w:t>tym o</w:t>
      </w:r>
      <w:r w:rsidR="008E00D6" w:rsidRPr="004A175F">
        <w:t xml:space="preserve"> </w:t>
      </w:r>
      <w:r w:rsidRPr="004A175F">
        <w:t>informacje objęte tajemnicą celną w zakresie niezbędnym do przeprowadzenia kontroli oraz postępowań dot. spełniania przez wyroby wymagań.</w:t>
      </w:r>
    </w:p>
    <w:p w:rsidR="009F207A" w:rsidRPr="004A175F" w:rsidRDefault="009B7030" w:rsidP="004A175F">
      <w:pPr>
        <w:spacing w:before="120" w:line="360" w:lineRule="auto"/>
        <w:jc w:val="both"/>
      </w:pPr>
      <w:r w:rsidRPr="004A175F">
        <w:t xml:space="preserve">Art. </w:t>
      </w:r>
      <w:r w:rsidR="009F207A" w:rsidRPr="004A175F">
        <w:t>61</w:t>
      </w:r>
      <w:r w:rsidRPr="004A175F">
        <w:t xml:space="preserve"> </w:t>
      </w:r>
      <w:r w:rsidR="00D503DC" w:rsidRPr="004A175F">
        <w:t xml:space="preserve">ustanawia </w:t>
      </w:r>
      <w:r w:rsidRPr="004A175F">
        <w:t xml:space="preserve">rejestr wyrobów </w:t>
      </w:r>
      <w:r w:rsidR="009F207A" w:rsidRPr="004A175F">
        <w:t>niezgodnych z</w:t>
      </w:r>
      <w:r w:rsidR="004A175F" w:rsidRPr="004A175F">
        <w:t xml:space="preserve"> </w:t>
      </w:r>
      <w:r w:rsidR="009F207A" w:rsidRPr="004A175F">
        <w:t>wymaganiami lub stwarzających zagrożenie</w:t>
      </w:r>
      <w:r w:rsidRPr="004A175F">
        <w:t xml:space="preserve">. </w:t>
      </w:r>
      <w:r w:rsidR="00D503DC" w:rsidRPr="004A175F">
        <w:t>W</w:t>
      </w:r>
      <w:r w:rsidRPr="004A175F">
        <w:t xml:space="preserve"> rejestrze będą gromadzone i</w:t>
      </w:r>
      <w:r w:rsidR="004A175F" w:rsidRPr="004A175F">
        <w:t xml:space="preserve"> </w:t>
      </w:r>
      <w:r w:rsidRPr="004A175F">
        <w:t xml:space="preserve">udostępniane opinii publicznej </w:t>
      </w:r>
      <w:r w:rsidR="001B5262" w:rsidRPr="004A175F">
        <w:t>informacje na temat wyrobów niespełniających wymagań</w:t>
      </w:r>
      <w:r w:rsidR="00D503DC" w:rsidRPr="004A175F">
        <w:t xml:space="preserve"> lub stwarzających zagrożenie</w:t>
      </w:r>
      <w:r w:rsidR="001B5262" w:rsidRPr="004A175F">
        <w:t>, wobec których</w:t>
      </w:r>
      <w:r w:rsidRPr="004A175F">
        <w:t xml:space="preserve"> </w:t>
      </w:r>
      <w:r w:rsidR="001B5262" w:rsidRPr="004A175F">
        <w:t xml:space="preserve">organy nadzoru rynku podjęły działania. </w:t>
      </w:r>
      <w:r w:rsidR="009F207A" w:rsidRPr="004A175F">
        <w:t xml:space="preserve">Jednocześnie doprecyzowano zasady </w:t>
      </w:r>
      <w:r w:rsidR="00675A24" w:rsidRPr="004A175F">
        <w:t>usuwania</w:t>
      </w:r>
      <w:r w:rsidR="009F207A" w:rsidRPr="004A175F">
        <w:t xml:space="preserve"> </w:t>
      </w:r>
      <w:r w:rsidR="00D503DC" w:rsidRPr="004A175F">
        <w:t>wpisów</w:t>
      </w:r>
      <w:r w:rsidR="009F207A" w:rsidRPr="004A175F">
        <w:t xml:space="preserve"> z rejestru</w:t>
      </w:r>
      <w:r w:rsidR="00D503DC" w:rsidRPr="004A175F">
        <w:t>.</w:t>
      </w:r>
      <w:r w:rsidR="009F207A" w:rsidRPr="004A175F">
        <w:t xml:space="preserve"> </w:t>
      </w:r>
      <w:r w:rsidR="009F207A" w:rsidRPr="004A175F">
        <w:rPr>
          <w:bCs/>
        </w:rPr>
        <w:t xml:space="preserve">Prezes UOKiK </w:t>
      </w:r>
      <w:r w:rsidR="00D503DC" w:rsidRPr="004A175F">
        <w:rPr>
          <w:bCs/>
        </w:rPr>
        <w:t xml:space="preserve">wypisuje </w:t>
      </w:r>
      <w:r w:rsidR="009F207A" w:rsidRPr="004A175F">
        <w:rPr>
          <w:bCs/>
        </w:rPr>
        <w:t>z rejestru</w:t>
      </w:r>
      <w:r w:rsidR="00675A24" w:rsidRPr="004A175F">
        <w:rPr>
          <w:bCs/>
        </w:rPr>
        <w:t>, w</w:t>
      </w:r>
      <w:r w:rsidR="004A175F" w:rsidRPr="004A175F">
        <w:rPr>
          <w:bCs/>
        </w:rPr>
        <w:t xml:space="preserve"> </w:t>
      </w:r>
      <w:r w:rsidR="009F207A" w:rsidRPr="004A175F">
        <w:rPr>
          <w:bCs/>
        </w:rPr>
        <w:t>przypadku gdy strona p</w:t>
      </w:r>
      <w:r w:rsidR="00675A24" w:rsidRPr="004A175F">
        <w:rPr>
          <w:bCs/>
        </w:rPr>
        <w:t>ostępowania</w:t>
      </w:r>
      <w:r w:rsidR="009F207A" w:rsidRPr="004A175F">
        <w:rPr>
          <w:bCs/>
        </w:rPr>
        <w:t xml:space="preserve"> </w:t>
      </w:r>
      <w:r w:rsidR="00675A24" w:rsidRPr="004A175F">
        <w:rPr>
          <w:bCs/>
        </w:rPr>
        <w:t>wykonała decyzję nakładając</w:t>
      </w:r>
      <w:r w:rsidR="00D611BF">
        <w:rPr>
          <w:bCs/>
        </w:rPr>
        <w:t>ą na nią obowiązki wynikające z </w:t>
      </w:r>
      <w:r w:rsidR="00675A24" w:rsidRPr="004A175F">
        <w:rPr>
          <w:bCs/>
        </w:rPr>
        <w:t>ustawy.</w:t>
      </w:r>
      <w:r w:rsidR="009F207A" w:rsidRPr="004A175F">
        <w:rPr>
          <w:bCs/>
        </w:rPr>
        <w:t xml:space="preserve"> </w:t>
      </w:r>
      <w:r w:rsidR="00675A24" w:rsidRPr="004A175F">
        <w:rPr>
          <w:bCs/>
        </w:rPr>
        <w:t xml:space="preserve">Ujednolica to również zasady obsługi rejestru z rejestrem produktów niebezpiecznych także prowadzonym przez Prezesa UOKiK. Ponadto wprowadzono możliwość </w:t>
      </w:r>
      <w:r w:rsidR="00D503DC" w:rsidRPr="004A175F">
        <w:rPr>
          <w:bCs/>
        </w:rPr>
        <w:t>usunięcia wpisu z</w:t>
      </w:r>
      <w:r w:rsidR="004A175F" w:rsidRPr="004A175F">
        <w:rPr>
          <w:bCs/>
        </w:rPr>
        <w:t xml:space="preserve"> </w:t>
      </w:r>
      <w:r w:rsidR="00675A24" w:rsidRPr="004A175F">
        <w:rPr>
          <w:bCs/>
        </w:rPr>
        <w:t xml:space="preserve">rejestru, </w:t>
      </w:r>
      <w:r w:rsidR="009F207A" w:rsidRPr="004A175F">
        <w:rPr>
          <w:bCs/>
        </w:rPr>
        <w:t>w przypad</w:t>
      </w:r>
      <w:r w:rsidR="00675A24" w:rsidRPr="004A175F">
        <w:rPr>
          <w:bCs/>
        </w:rPr>
        <w:t>ku</w:t>
      </w:r>
      <w:r w:rsidR="009F207A" w:rsidRPr="004A175F">
        <w:rPr>
          <w:bCs/>
        </w:rPr>
        <w:t xml:space="preserve"> gdy </w:t>
      </w:r>
      <w:r w:rsidR="00675A24" w:rsidRPr="004A175F">
        <w:rPr>
          <w:bCs/>
        </w:rPr>
        <w:t>podmiot gospodarczy</w:t>
      </w:r>
      <w:r w:rsidR="009F207A" w:rsidRPr="004A175F">
        <w:rPr>
          <w:bCs/>
        </w:rPr>
        <w:t xml:space="preserve"> zaprzestał prowad</w:t>
      </w:r>
      <w:r w:rsidR="00675A24" w:rsidRPr="004A175F">
        <w:rPr>
          <w:bCs/>
        </w:rPr>
        <w:t>zenia działalności</w:t>
      </w:r>
      <w:r w:rsidR="00D503DC" w:rsidRPr="004A175F">
        <w:rPr>
          <w:bCs/>
        </w:rPr>
        <w:t xml:space="preserve"> gospodarczej</w:t>
      </w:r>
      <w:r w:rsidR="00675A24" w:rsidRPr="004A175F">
        <w:rPr>
          <w:bCs/>
        </w:rPr>
        <w:t>.</w:t>
      </w:r>
      <w:r w:rsidR="009F207A" w:rsidRPr="004A175F">
        <w:rPr>
          <w:bCs/>
        </w:rPr>
        <w:t xml:space="preserve"> </w:t>
      </w:r>
      <w:r w:rsidR="00675A24" w:rsidRPr="004A175F">
        <w:rPr>
          <w:bCs/>
        </w:rPr>
        <w:t xml:space="preserve">Wtedy </w:t>
      </w:r>
      <w:r w:rsidR="009F207A" w:rsidRPr="004A175F">
        <w:rPr>
          <w:bCs/>
        </w:rPr>
        <w:t xml:space="preserve">wpis usuwa się nie wcześniej niż po upływie 24 miesięcy od dnia </w:t>
      </w:r>
      <w:r w:rsidR="00D503DC" w:rsidRPr="004A175F">
        <w:rPr>
          <w:bCs/>
        </w:rPr>
        <w:t xml:space="preserve">jego </w:t>
      </w:r>
      <w:r w:rsidR="009F207A" w:rsidRPr="004A175F">
        <w:rPr>
          <w:bCs/>
        </w:rPr>
        <w:t>dokonania.</w:t>
      </w:r>
      <w:r w:rsidR="00675A24" w:rsidRPr="004A175F">
        <w:rPr>
          <w:bCs/>
        </w:rPr>
        <w:t xml:space="preserve"> Do tej pory nie było takiego </w:t>
      </w:r>
      <w:r w:rsidR="00675A24" w:rsidRPr="004A175F">
        <w:rPr>
          <w:bCs/>
        </w:rPr>
        <w:lastRenderedPageBreak/>
        <w:t xml:space="preserve">rozwiązania, co uniemożliwiało </w:t>
      </w:r>
      <w:r w:rsidR="00D503DC" w:rsidRPr="004A175F">
        <w:rPr>
          <w:bCs/>
        </w:rPr>
        <w:t>usuwanie wpisów</w:t>
      </w:r>
      <w:r w:rsidR="00675A24" w:rsidRPr="004A175F">
        <w:rPr>
          <w:bCs/>
        </w:rPr>
        <w:t xml:space="preserve"> z</w:t>
      </w:r>
      <w:r w:rsidR="004A175F" w:rsidRPr="004A175F">
        <w:rPr>
          <w:bCs/>
        </w:rPr>
        <w:t xml:space="preserve"> </w:t>
      </w:r>
      <w:r w:rsidR="00675A24" w:rsidRPr="004A175F">
        <w:rPr>
          <w:bCs/>
        </w:rPr>
        <w:t>rejestru w przypadku zaistnienia takiej sytuacji.</w:t>
      </w:r>
    </w:p>
    <w:p w:rsidR="00675A24" w:rsidRPr="004A175F" w:rsidRDefault="00A91A06" w:rsidP="004A175F">
      <w:pPr>
        <w:spacing w:before="120" w:line="360" w:lineRule="auto"/>
        <w:jc w:val="both"/>
      </w:pPr>
      <w:r w:rsidRPr="004A175F">
        <w:t xml:space="preserve">Art. </w:t>
      </w:r>
      <w:r w:rsidR="00E02CE9" w:rsidRPr="004A175F">
        <w:t>6</w:t>
      </w:r>
      <w:r w:rsidR="00675A24" w:rsidRPr="004A175F">
        <w:t>2</w:t>
      </w:r>
      <w:r w:rsidRPr="004A175F">
        <w:t xml:space="preserve"> określa podstawę prawną do posługiwania się przez organy nadzoru rynku oraz Prezesa UOKiK unijnym systemem informacyjnym i</w:t>
      </w:r>
      <w:r w:rsidR="008E00D6" w:rsidRPr="004A175F">
        <w:t xml:space="preserve"> </w:t>
      </w:r>
      <w:r w:rsidRPr="004A175F">
        <w:t>komunikacyjnym do celów nadzoru rynku prowadzonym przez Komisję Europejską (system ICSMS). W systemie tym gromadzone są dane dotyczące wyrobów niezgodnych i stwarzających zagrożenie, podmiotów gospodarczych oraz działań podjętych przez organy nadzoru rynku państw członkowskich UE, na zasadach określonych przez Komisję Europejską. System ten jest główną platformą wymiany informacji w</w:t>
      </w:r>
      <w:r w:rsidR="008E00D6" w:rsidRPr="004A175F">
        <w:t xml:space="preserve"> </w:t>
      </w:r>
      <w:r w:rsidRPr="004A175F">
        <w:t>obszarze nadzoru rynku na poziomie unijnym i</w:t>
      </w:r>
      <w:r w:rsidR="004A175F" w:rsidRPr="004A175F">
        <w:t xml:space="preserve"> </w:t>
      </w:r>
      <w:r w:rsidRPr="004A175F">
        <w:t>krajowym. Poprzednio organy nadzoru rynku, organy celne i Prezes UOKiK korzystały z</w:t>
      </w:r>
      <w:r w:rsidR="004A175F" w:rsidRPr="004A175F">
        <w:t xml:space="preserve"> </w:t>
      </w:r>
      <w:r w:rsidRPr="004A175F">
        <w:t xml:space="preserve">krajowego systemu informatycznego działającego na podstawie rozporządzenia Rady Ministrów z dnia 10 grudnia 2008 r. </w:t>
      </w:r>
      <w:proofErr w:type="spellStart"/>
      <w:r w:rsidRPr="004A175F">
        <w:t>ws</w:t>
      </w:r>
      <w:proofErr w:type="spellEnd"/>
      <w:r w:rsidRPr="004A175F">
        <w:t xml:space="preserve">. przepływu informacji dotyczących systemu kontroli wyrobów (Dz. U. Nr 230, poz. 1540). Ze względu na dublowanie informacji z systemu krajowego </w:t>
      </w:r>
      <w:r w:rsidR="00D503DC" w:rsidRPr="004A175F">
        <w:t xml:space="preserve">z tymi wprowadzanymi do </w:t>
      </w:r>
      <w:r w:rsidRPr="004A175F">
        <w:t>system</w:t>
      </w:r>
      <w:r w:rsidR="00D503DC" w:rsidRPr="004A175F">
        <w:t>u</w:t>
      </w:r>
      <w:r w:rsidRPr="004A175F">
        <w:t xml:space="preserve"> ICSMS oraz brak możliwości połączenia tych systemów w jeden, zdecydowano się zrezygnować z utrzymywania systemu krajowego, zmniejszając tym samym koszty utrzymywania systemu informatycznego przez Prezesa UOKiK.</w:t>
      </w:r>
      <w:r w:rsidR="005D57EF" w:rsidRPr="004A175F">
        <w:t xml:space="preserve"> Jednocześnie do systemu ICSMS będą wprowadzane także dane dotyczące kontroli i postępowań prowadzonych na podstawie ustawy</w:t>
      </w:r>
      <w:r w:rsidR="00D503DC" w:rsidRPr="004A175F">
        <w:t xml:space="preserve"> z dn</w:t>
      </w:r>
      <w:r w:rsidR="00714CF9">
        <w:t xml:space="preserve">ia </w:t>
      </w:r>
      <w:r w:rsidR="00D503DC" w:rsidRPr="004A175F">
        <w:t>30</w:t>
      </w:r>
      <w:r w:rsidR="00714CF9">
        <w:t xml:space="preserve"> sierpnia </w:t>
      </w:r>
      <w:r w:rsidR="00D503DC" w:rsidRPr="004A175F">
        <w:t>2002 r. o systemie oceny zgodności</w:t>
      </w:r>
      <w:r w:rsidR="005D57EF" w:rsidRPr="004A175F">
        <w:t xml:space="preserve">, gdyż Komisja Europejska wymaga informacji na temat działań </w:t>
      </w:r>
      <w:r w:rsidR="000116C3" w:rsidRPr="004A175F">
        <w:t xml:space="preserve">i zastosowanych środków, </w:t>
      </w:r>
      <w:r w:rsidR="005D57EF" w:rsidRPr="004A175F">
        <w:t>obejmujących wszystkie obszary unijnego systemu nadzoru rynku</w:t>
      </w:r>
      <w:r w:rsidR="000116C3" w:rsidRPr="004A175F">
        <w:t xml:space="preserve"> (także wyrobów objętych przepisami dyrektyw </w:t>
      </w:r>
      <w:r w:rsidR="00D503DC" w:rsidRPr="004A175F">
        <w:t>sektorowych</w:t>
      </w:r>
      <w:r w:rsidR="000116C3" w:rsidRPr="004A175F">
        <w:t xml:space="preserve"> niedostosowanych jeszcze do decyzji 768/2008</w:t>
      </w:r>
      <w:r w:rsidR="00816E8B" w:rsidRPr="004A175F">
        <w:t>/WE</w:t>
      </w:r>
      <w:r w:rsidR="000116C3" w:rsidRPr="004A175F">
        <w:t>)</w:t>
      </w:r>
      <w:r w:rsidR="005D57EF" w:rsidRPr="004A175F">
        <w:t>.</w:t>
      </w:r>
      <w:r w:rsidR="00675A24" w:rsidRPr="004A175F">
        <w:t xml:space="preserve"> Dodatkowo </w:t>
      </w:r>
      <w:r w:rsidR="00D503DC" w:rsidRPr="004A175F">
        <w:t>przepis</w:t>
      </w:r>
      <w:r w:rsidR="00675A24" w:rsidRPr="004A175F">
        <w:t xml:space="preserve"> ten określa zasady zgłaszania zastrzeżeń co do zasadności przyjętych przez inne państwo członkowskie środków administracyjnych, o których informacje zostały wprowadzone do systemu ICSMS. Nadano Prezesowi UOKiK kompetencję wyrażania sprzeciwu wobec tych środków na wniosek właściwego organu nadzoru rynku, jeżeli jest to uzasadnione realizacją celów</w:t>
      </w:r>
      <w:r w:rsidR="003F178F" w:rsidRPr="004A175F">
        <w:t xml:space="preserve"> ustawy</w:t>
      </w:r>
      <w:r w:rsidR="00675A24" w:rsidRPr="004A175F">
        <w:t>.</w:t>
      </w:r>
      <w:r w:rsidR="003F178F" w:rsidRPr="004A175F">
        <w:t xml:space="preserve"> Wdraża to procedurę </w:t>
      </w:r>
      <w:r w:rsidR="00816E8B" w:rsidRPr="004A175F">
        <w:t>ochronną</w:t>
      </w:r>
      <w:r w:rsidR="00FC7A86" w:rsidRPr="004A175F">
        <w:t xml:space="preserve"> zdefiniowaną</w:t>
      </w:r>
      <w:r w:rsidR="003F178F" w:rsidRPr="004A175F">
        <w:t xml:space="preserve"> w decyzji 768/2008/WE.</w:t>
      </w:r>
    </w:p>
    <w:p w:rsidR="00A91A06" w:rsidRPr="004A175F" w:rsidRDefault="00A91A06" w:rsidP="004A175F">
      <w:pPr>
        <w:spacing w:before="120" w:line="360" w:lineRule="auto"/>
        <w:jc w:val="both"/>
      </w:pPr>
      <w:r w:rsidRPr="004A175F">
        <w:t xml:space="preserve">W art. </w:t>
      </w:r>
      <w:r w:rsidR="0062701E" w:rsidRPr="004A175F">
        <w:t>6</w:t>
      </w:r>
      <w:r w:rsidR="003F178F" w:rsidRPr="004A175F">
        <w:t>3</w:t>
      </w:r>
      <w:r w:rsidR="0062701E" w:rsidRPr="004A175F">
        <w:t xml:space="preserve"> </w:t>
      </w:r>
      <w:r w:rsidRPr="004A175F">
        <w:t>przewidziano jakie przepisy będą miały zastosowanie w postępowaniach organów nadzoru rynku (</w:t>
      </w:r>
      <w:r w:rsidR="00FC7A86" w:rsidRPr="004A175F">
        <w:t xml:space="preserve">zarówno </w:t>
      </w:r>
      <w:r w:rsidRPr="004A175F">
        <w:t>kontroln</w:t>
      </w:r>
      <w:r w:rsidR="00FC7A86" w:rsidRPr="004A175F">
        <w:t>ych, jak</w:t>
      </w:r>
      <w:r w:rsidRPr="004A175F">
        <w:t xml:space="preserve"> i administracyjn</w:t>
      </w:r>
      <w:r w:rsidR="00FC7A86" w:rsidRPr="004A175F">
        <w:t>ych</w:t>
      </w:r>
      <w:r w:rsidRPr="004A175F">
        <w:t xml:space="preserve">) </w:t>
      </w:r>
      <w:r w:rsidR="00FC7A86" w:rsidRPr="004A175F">
        <w:t>w</w:t>
      </w:r>
      <w:r w:rsidRPr="004A175F">
        <w:t xml:space="preserve"> zakresie nieuregulowanym w nowej ustawie</w:t>
      </w:r>
      <w:r w:rsidR="00FC7A86" w:rsidRPr="004A175F">
        <w:t>.</w:t>
      </w:r>
      <w:r w:rsidRPr="004A175F">
        <w:t xml:space="preserve"> </w:t>
      </w:r>
    </w:p>
    <w:p w:rsidR="00A91A06" w:rsidRPr="004A7263" w:rsidRDefault="00A91A06" w:rsidP="004A7263">
      <w:pPr>
        <w:keepNext/>
        <w:spacing w:before="120" w:line="360" w:lineRule="auto"/>
        <w:jc w:val="both"/>
        <w:rPr>
          <w:bCs/>
        </w:rPr>
      </w:pPr>
      <w:r w:rsidRPr="004A7263">
        <w:rPr>
          <w:bCs/>
        </w:rPr>
        <w:lastRenderedPageBreak/>
        <w:t xml:space="preserve">Oddział 2 </w:t>
      </w:r>
      <w:r w:rsidR="003F178F" w:rsidRPr="004A7263">
        <w:rPr>
          <w:bCs/>
        </w:rPr>
        <w:t>K</w:t>
      </w:r>
      <w:r w:rsidRPr="004A7263">
        <w:rPr>
          <w:bCs/>
        </w:rPr>
        <w:t>ontrol</w:t>
      </w:r>
      <w:r w:rsidR="003F178F" w:rsidRPr="004A7263">
        <w:rPr>
          <w:bCs/>
        </w:rPr>
        <w:t>a</w:t>
      </w:r>
      <w:r w:rsidRPr="004A7263">
        <w:rPr>
          <w:bCs/>
        </w:rPr>
        <w:t xml:space="preserve"> w systemie nadzoru rynku</w:t>
      </w:r>
    </w:p>
    <w:p w:rsidR="00A91A06" w:rsidRPr="004A175F" w:rsidRDefault="00FC7A86" w:rsidP="004A7263">
      <w:pPr>
        <w:keepNext/>
        <w:spacing w:before="120" w:line="360" w:lineRule="auto"/>
        <w:jc w:val="both"/>
      </w:pPr>
      <w:r w:rsidRPr="004A175F">
        <w:t>W o</w:t>
      </w:r>
      <w:r w:rsidR="00A91A06" w:rsidRPr="004A175F">
        <w:t>ddzia</w:t>
      </w:r>
      <w:r w:rsidRPr="004A175F">
        <w:t>le</w:t>
      </w:r>
      <w:r w:rsidR="00A91A06" w:rsidRPr="004A175F">
        <w:t xml:space="preserve"> </w:t>
      </w:r>
      <w:r w:rsidRPr="004A175F">
        <w:t xml:space="preserve">2 </w:t>
      </w:r>
      <w:r w:rsidR="00A91A06" w:rsidRPr="004A175F">
        <w:t>uporządkowan</w:t>
      </w:r>
      <w:r w:rsidRPr="004A175F">
        <w:t>o</w:t>
      </w:r>
      <w:r w:rsidR="00A91A06" w:rsidRPr="004A175F">
        <w:t xml:space="preserve"> przepis</w:t>
      </w:r>
      <w:r w:rsidRPr="004A175F">
        <w:t>y</w:t>
      </w:r>
      <w:r w:rsidR="00A91A06" w:rsidRPr="004A175F">
        <w:t xml:space="preserve"> dotycząc</w:t>
      </w:r>
      <w:r w:rsidRPr="004A175F">
        <w:t>e</w:t>
      </w:r>
      <w:r w:rsidR="00A91A06" w:rsidRPr="004A175F">
        <w:t xml:space="preserve"> prowadzenia kontroli przez organy nadzoru rynku, grupując je w jednym miejscu i wyraźn</w:t>
      </w:r>
      <w:r w:rsidR="00714CF9">
        <w:t>i</w:t>
      </w:r>
      <w:r w:rsidR="00A91A06" w:rsidRPr="004A175F">
        <w:t>e oddzielając od przepisów dotyczących prowadzenia postępowań administracyjnych.</w:t>
      </w:r>
    </w:p>
    <w:p w:rsidR="00A91A06" w:rsidRPr="004A175F" w:rsidRDefault="00A91A06" w:rsidP="004A175F">
      <w:pPr>
        <w:spacing w:before="120" w:line="360" w:lineRule="auto"/>
        <w:jc w:val="both"/>
      </w:pPr>
      <w:r w:rsidRPr="004A175F">
        <w:t xml:space="preserve">W art. </w:t>
      </w:r>
      <w:r w:rsidR="00FB5502" w:rsidRPr="004A175F">
        <w:t>6</w:t>
      </w:r>
      <w:r w:rsidR="003F178F" w:rsidRPr="004A175F">
        <w:t>4</w:t>
      </w:r>
      <w:r w:rsidRPr="004A175F">
        <w:t xml:space="preserve"> doprecyzowano u kogo organy nadzoru rynku prowadzą kontrole, wskazując</w:t>
      </w:r>
      <w:r w:rsidR="00714CF9">
        <w:t>,</w:t>
      </w:r>
      <w:r w:rsidRPr="004A175F">
        <w:t xml:space="preserve"> oprócz podmiotów gospodarczych zdefiniowanych w ustawie i aktach wykonawczych wydanych na podstawie art. 1</w:t>
      </w:r>
      <w:r w:rsidR="003F178F" w:rsidRPr="004A175F">
        <w:t>2</w:t>
      </w:r>
      <w:r w:rsidRPr="004A175F">
        <w:t xml:space="preserve">, także </w:t>
      </w:r>
      <w:r w:rsidR="00EF0363" w:rsidRPr="004A175F">
        <w:t xml:space="preserve">przedsiębiorców będących </w:t>
      </w:r>
      <w:r w:rsidRPr="004A175F">
        <w:t>użytkownik</w:t>
      </w:r>
      <w:r w:rsidR="00EF0363" w:rsidRPr="004A175F">
        <w:t>ami</w:t>
      </w:r>
      <w:r w:rsidRPr="004A175F">
        <w:t xml:space="preserve"> wyrobów. Pozwoli to na domknięcie systemu nadzoru rynku. Pozostałe rozwiązania dotyczące kontroli nie różnią się od tych stosowanych pod rządami ustawy</w:t>
      </w:r>
      <w:r w:rsidR="00D611BF">
        <w:t xml:space="preserve"> z </w:t>
      </w:r>
      <w:r w:rsidR="0042019A">
        <w:t>dn</w:t>
      </w:r>
      <w:r w:rsidR="00D611BF">
        <w:t>ia</w:t>
      </w:r>
      <w:r w:rsidR="0042019A">
        <w:t> </w:t>
      </w:r>
      <w:r w:rsidR="00FC7A86" w:rsidRPr="004A175F">
        <w:t>30</w:t>
      </w:r>
      <w:r w:rsidR="00714CF9">
        <w:t xml:space="preserve"> sierpnia </w:t>
      </w:r>
      <w:r w:rsidR="00FC7A86" w:rsidRPr="004A175F">
        <w:t>2002 r. o systemie oceny zgodności</w:t>
      </w:r>
      <w:r w:rsidRPr="004A175F">
        <w:t>, np. możliwości udziału w</w:t>
      </w:r>
      <w:r w:rsidR="008E00D6" w:rsidRPr="004A175F">
        <w:t xml:space="preserve"> </w:t>
      </w:r>
      <w:r w:rsidRPr="004A175F">
        <w:t xml:space="preserve">kontroli organu nadzoru rynku przedstawiciela UOKiK jako reprezentanta organu monitorującego. </w:t>
      </w:r>
    </w:p>
    <w:p w:rsidR="00A91A06" w:rsidRPr="004A175F" w:rsidRDefault="00A91A06" w:rsidP="004A175F">
      <w:pPr>
        <w:spacing w:before="120" w:line="360" w:lineRule="auto"/>
        <w:jc w:val="both"/>
      </w:pPr>
      <w:r w:rsidRPr="004A175F">
        <w:t xml:space="preserve">Przepis art. </w:t>
      </w:r>
      <w:r w:rsidR="00FB5502" w:rsidRPr="004A175F">
        <w:t>6</w:t>
      </w:r>
      <w:r w:rsidR="003F178F" w:rsidRPr="004A175F">
        <w:t>5</w:t>
      </w:r>
      <w:r w:rsidRPr="004A175F">
        <w:t xml:space="preserve"> zobowiązuje jednostki notyfikowane przeprowadzające badania wyrobów w</w:t>
      </w:r>
      <w:r w:rsidR="008E00D6" w:rsidRPr="004A175F">
        <w:t xml:space="preserve"> </w:t>
      </w:r>
      <w:r w:rsidRPr="004A175F">
        <w:t xml:space="preserve">ramach procedur oceny zgodności do współpracy z organami nadzoru rynku. </w:t>
      </w:r>
    </w:p>
    <w:p w:rsidR="00A91A06" w:rsidRPr="004A175F" w:rsidRDefault="00A91A06" w:rsidP="004A175F">
      <w:pPr>
        <w:spacing w:before="120" w:line="360" w:lineRule="auto"/>
        <w:jc w:val="both"/>
      </w:pPr>
      <w:r w:rsidRPr="004A175F">
        <w:t xml:space="preserve">W art. </w:t>
      </w:r>
      <w:r w:rsidR="00FB5502" w:rsidRPr="004A175F">
        <w:t>6</w:t>
      </w:r>
      <w:r w:rsidR="003F178F" w:rsidRPr="004A175F">
        <w:t>6</w:t>
      </w:r>
      <w:r w:rsidRPr="004A175F">
        <w:t xml:space="preserve"> określono obowiązek kontrolowanego oraz innych podmiotów posiadających dowody lub informacje niezbędne do ustalenia, czy wyrób spełnia wymagania lub nie stwarza zagrożenia, </w:t>
      </w:r>
      <w:r w:rsidR="00FC7A86" w:rsidRPr="004A175F">
        <w:t xml:space="preserve">do współpracy z organem nadzoru rynku </w:t>
      </w:r>
      <w:r w:rsidRPr="004A175F">
        <w:t>prowadząc</w:t>
      </w:r>
      <w:r w:rsidR="00FC7A86" w:rsidRPr="004A175F">
        <w:t>ym</w:t>
      </w:r>
      <w:r w:rsidRPr="004A175F">
        <w:t xml:space="preserve"> kontrolę.</w:t>
      </w:r>
    </w:p>
    <w:p w:rsidR="00A91A06" w:rsidRPr="004A175F" w:rsidRDefault="00FC4ACF" w:rsidP="004A175F">
      <w:pPr>
        <w:spacing w:before="120" w:line="360" w:lineRule="auto"/>
        <w:jc w:val="both"/>
      </w:pPr>
      <w:r w:rsidRPr="004A175F">
        <w:t xml:space="preserve">W przypadku braku współpracy lub wprowadzaniu w błąd ze strony kontrolowanego lub podmiotów zobowiązanych do współpracy, organ prowadzący kontrolę </w:t>
      </w:r>
      <w:r w:rsidR="00A91A06" w:rsidRPr="004A175F">
        <w:t>dokon</w:t>
      </w:r>
      <w:r w:rsidRPr="004A175F">
        <w:t>uje</w:t>
      </w:r>
      <w:r w:rsidR="00A91A06" w:rsidRPr="004A175F">
        <w:t xml:space="preserve"> ustaleń na podstawie </w:t>
      </w:r>
      <w:r w:rsidRPr="004A175F">
        <w:t xml:space="preserve">dostępnych </w:t>
      </w:r>
      <w:r w:rsidR="00A91A06" w:rsidRPr="004A175F">
        <w:t xml:space="preserve">dowodów, danych lub informacji </w:t>
      </w:r>
      <w:r w:rsidRPr="004A175F">
        <w:t>(art. 67)</w:t>
      </w:r>
      <w:r w:rsidR="00A91A06" w:rsidRPr="004A175F">
        <w:t>.</w:t>
      </w:r>
    </w:p>
    <w:p w:rsidR="00A91A06" w:rsidRPr="004A175F" w:rsidRDefault="00A91A06" w:rsidP="004A175F">
      <w:pPr>
        <w:spacing w:before="120" w:line="360" w:lineRule="auto"/>
        <w:jc w:val="both"/>
      </w:pPr>
      <w:r w:rsidRPr="004A175F">
        <w:t xml:space="preserve">Art. </w:t>
      </w:r>
      <w:r w:rsidR="00FB5502" w:rsidRPr="004A175F">
        <w:t>6</w:t>
      </w:r>
      <w:r w:rsidR="003F178F" w:rsidRPr="004A175F">
        <w:t>8</w:t>
      </w:r>
      <w:r w:rsidRPr="004A175F">
        <w:t xml:space="preserve"> reguluje kwestie ujawniania informacji uzyskiwanych w toku kontroli przez organ nadzoru rynku, w tym informacji objętych tajemnicą przedsiębiorstwa. </w:t>
      </w:r>
    </w:p>
    <w:p w:rsidR="00A91A06" w:rsidRPr="004A175F" w:rsidRDefault="00A91A06" w:rsidP="004A175F">
      <w:pPr>
        <w:spacing w:before="120" w:line="360" w:lineRule="auto"/>
        <w:jc w:val="both"/>
      </w:pPr>
      <w:r w:rsidRPr="004A175F">
        <w:t xml:space="preserve">Art. </w:t>
      </w:r>
      <w:r w:rsidR="00FB5502" w:rsidRPr="004A175F">
        <w:t>6</w:t>
      </w:r>
      <w:r w:rsidR="003F178F" w:rsidRPr="004A175F">
        <w:t>9</w:t>
      </w:r>
      <w:r w:rsidRPr="004A175F">
        <w:t xml:space="preserve"> określa prawa osoby kontrolującej. W przepisie dokonano zmian redakcyjnych oraz wynikających z praktyki kontrolnej, w szczególności wprowadza się możliwość zabezpieczania w trakcie kontroli, nie tylko dowodów, ale także wyrobów (ust. 1 pkt 7). Zdarzało się bowiem, że kwestionowane wyroby były sprzedawane przed zakończeniem czynności kontrolnych, czy przekazaniem wyników badań laboratoryjnych kontrolowanemu. Pozostałe ustępy regulują możliwość żądania przez organ nadzoru rynku tłumaczenia dokumentów na język polski oraz zastosowania przepisów bezpieczeństwa i higieny pracy do osoby kontrolującej.</w:t>
      </w:r>
    </w:p>
    <w:p w:rsidR="00A91A06" w:rsidRPr="004A175F" w:rsidRDefault="00A91A06" w:rsidP="004A175F">
      <w:pPr>
        <w:spacing w:before="120" w:line="360" w:lineRule="auto"/>
        <w:jc w:val="both"/>
      </w:pPr>
      <w:r w:rsidRPr="004A175F">
        <w:lastRenderedPageBreak/>
        <w:t xml:space="preserve">Art. </w:t>
      </w:r>
      <w:r w:rsidR="003F178F" w:rsidRPr="004A175F">
        <w:t>70</w:t>
      </w:r>
      <w:r w:rsidRPr="004A175F">
        <w:t xml:space="preserve"> określa obowiązki kontrolowanego lub </w:t>
      </w:r>
      <w:r w:rsidR="00D611BF">
        <w:t>jego upoważnionego pracownika w </w:t>
      </w:r>
      <w:r w:rsidRPr="004A175F">
        <w:t>trakcie kontroli.</w:t>
      </w:r>
    </w:p>
    <w:p w:rsidR="00A91A06" w:rsidRPr="004A175F" w:rsidRDefault="00A91A06" w:rsidP="004A175F">
      <w:pPr>
        <w:spacing w:before="120" w:line="360" w:lineRule="auto"/>
        <w:jc w:val="both"/>
      </w:pPr>
      <w:r w:rsidRPr="004A175F">
        <w:t xml:space="preserve">W art. </w:t>
      </w:r>
      <w:r w:rsidR="003F178F" w:rsidRPr="004A175F">
        <w:t>71</w:t>
      </w:r>
      <w:r w:rsidRPr="004A175F">
        <w:t xml:space="preserve"> </w:t>
      </w:r>
      <w:r w:rsidR="00FC4ACF" w:rsidRPr="004A175F">
        <w:t>z</w:t>
      </w:r>
      <w:r w:rsidRPr="004A175F">
        <w:t xml:space="preserve">obowiązano podmioty gospodarcze, będące w posiadaniu wyrobów lub dokumentów objętych zakresem kontroli przeprowadzanej u innego </w:t>
      </w:r>
      <w:r w:rsidR="00FC4ACF" w:rsidRPr="004A175F">
        <w:t>podmiotu gospodarczego</w:t>
      </w:r>
      <w:r w:rsidRPr="004A175F">
        <w:t>, do ich udostępnienia oraz umożliwienia pobrania próbek wyrobów do badań. Celem tego przepisu jest racjonalizacja działań kontrolnych organów nadzoru rynku oraz usprawnienie procesu eliminowania z obrotu wyrobów stwarzających zagrożenie dla zdrowia i bezpieczeństwa.</w:t>
      </w:r>
    </w:p>
    <w:p w:rsidR="00A91A06" w:rsidRPr="004A175F" w:rsidRDefault="00A91A06" w:rsidP="004A175F">
      <w:pPr>
        <w:spacing w:before="120" w:line="360" w:lineRule="auto"/>
        <w:jc w:val="both"/>
      </w:pPr>
      <w:r w:rsidRPr="004A175F">
        <w:t xml:space="preserve">Art. </w:t>
      </w:r>
      <w:r w:rsidR="00FB5502" w:rsidRPr="004A175F">
        <w:t>7</w:t>
      </w:r>
      <w:r w:rsidR="006E3172" w:rsidRPr="004A175F">
        <w:t>2</w:t>
      </w:r>
      <w:r w:rsidRPr="004A175F">
        <w:t xml:space="preserve"> </w:t>
      </w:r>
      <w:r w:rsidR="006E3172" w:rsidRPr="004A175F">
        <w:t xml:space="preserve">ust. 1 </w:t>
      </w:r>
      <w:r w:rsidRPr="004A175F">
        <w:t>wprowadza możliwość poddawania wyrobu badaniom przez organ nadzoru rynku</w:t>
      </w:r>
      <w:r w:rsidR="00FC4ACF" w:rsidRPr="004A175F">
        <w:t xml:space="preserve"> lub zlecania ich</w:t>
      </w:r>
      <w:r w:rsidRPr="004A175F">
        <w:t xml:space="preserve"> </w:t>
      </w:r>
      <w:r w:rsidR="00FC4ACF" w:rsidRPr="004A175F">
        <w:t xml:space="preserve">przeprowadzenia </w:t>
      </w:r>
      <w:r w:rsidR="001B5262" w:rsidRPr="004A175F">
        <w:t>laboratorium</w:t>
      </w:r>
      <w:r w:rsidR="00FC4ACF" w:rsidRPr="004A175F">
        <w:t xml:space="preserve"> zewnętrznemu</w:t>
      </w:r>
      <w:r w:rsidRPr="004A175F">
        <w:t>.</w:t>
      </w:r>
      <w:r w:rsidR="006E3172" w:rsidRPr="004A175F">
        <w:t xml:space="preserve"> Ust. 2</w:t>
      </w:r>
      <w:r w:rsidR="009D551C">
        <w:t>–</w:t>
      </w:r>
      <w:r w:rsidR="006E3172" w:rsidRPr="004A175F">
        <w:t xml:space="preserve">6 </w:t>
      </w:r>
      <w:r w:rsidR="00FC4ACF" w:rsidRPr="004A175F">
        <w:t>regulują przez organy nadzoru rynku</w:t>
      </w:r>
      <w:r w:rsidR="00FC4ACF" w:rsidRPr="004A175F" w:rsidDel="00FC4ACF">
        <w:t xml:space="preserve"> </w:t>
      </w:r>
      <w:r w:rsidRPr="004A175F">
        <w:t>pobierani</w:t>
      </w:r>
      <w:r w:rsidR="00FC4ACF" w:rsidRPr="004A175F">
        <w:t>e</w:t>
      </w:r>
      <w:r w:rsidRPr="004A175F">
        <w:t xml:space="preserve"> próbek do badań laboratoryjnych. </w:t>
      </w:r>
    </w:p>
    <w:p w:rsidR="00A91A06" w:rsidRPr="004A175F" w:rsidRDefault="00A91A06" w:rsidP="004A175F">
      <w:pPr>
        <w:spacing w:before="120" w:line="360" w:lineRule="auto"/>
        <w:jc w:val="both"/>
      </w:pPr>
      <w:r w:rsidRPr="004A175F">
        <w:t xml:space="preserve">Art. </w:t>
      </w:r>
      <w:r w:rsidR="00FB5502" w:rsidRPr="004A175F">
        <w:t>73</w:t>
      </w:r>
      <w:r w:rsidRPr="004A175F">
        <w:t xml:space="preserve"> reguluje sposób dokumentowania zabezpieczenia dowodów, wyrobów, pobierania próbek, dokonania oględzin lub przeprowadzenia innych czynności kontrolnych. Z tych czynności sporządza się protokół.</w:t>
      </w:r>
    </w:p>
    <w:p w:rsidR="00A91A06" w:rsidRPr="004A175F" w:rsidRDefault="00A91A06" w:rsidP="004A175F">
      <w:pPr>
        <w:spacing w:before="120" w:line="360" w:lineRule="auto"/>
        <w:jc w:val="both"/>
      </w:pPr>
      <w:r w:rsidRPr="004A175F">
        <w:t xml:space="preserve">Art. </w:t>
      </w:r>
      <w:r w:rsidR="00B030F8" w:rsidRPr="004A175F">
        <w:t>74</w:t>
      </w:r>
      <w:r w:rsidRPr="004A175F">
        <w:t xml:space="preserve"> określa zasady pobierania </w:t>
      </w:r>
      <w:r w:rsidR="00FC4ACF" w:rsidRPr="004A175F">
        <w:t xml:space="preserve">przez organy nadzoru rynku i organy celne, uwzględniając ich specyfikę, </w:t>
      </w:r>
      <w:r w:rsidRPr="004A175F">
        <w:t>opłat od podmiotów gospodarczych za badania laboratoryjne, w przypadku stwierdzenia w ich wyniku niezgodności wyrobu lub stwarzania przez niego zagrożenia. W związku z</w:t>
      </w:r>
      <w:r w:rsidR="008E00D6" w:rsidRPr="004A175F">
        <w:t xml:space="preserve"> </w:t>
      </w:r>
      <w:r w:rsidRPr="004A175F">
        <w:t>wątpliwościami prawnymi przy stosowaniu poprzednich przepisów dotyczących obciążania opłatami za badania, wskazano formę</w:t>
      </w:r>
      <w:r w:rsidR="00714CF9">
        <w:t>,</w:t>
      </w:r>
      <w:r w:rsidRPr="004A175F">
        <w:t xml:space="preserve"> w jakiej mają być orzekane opłaty (postanowienie).</w:t>
      </w:r>
    </w:p>
    <w:p w:rsidR="00A91A06" w:rsidRPr="004A175F" w:rsidRDefault="00A91A06" w:rsidP="004A175F">
      <w:pPr>
        <w:spacing w:before="120" w:line="360" w:lineRule="auto"/>
        <w:jc w:val="both"/>
      </w:pPr>
      <w:r w:rsidRPr="004A175F">
        <w:t xml:space="preserve">Przepis art. </w:t>
      </w:r>
      <w:r w:rsidR="00B030F8" w:rsidRPr="004A175F">
        <w:t>75</w:t>
      </w:r>
      <w:r w:rsidRPr="004A175F">
        <w:t xml:space="preserve"> ust. 1 umożliwia organowi nadzoru rynku przeprowadzającemu kontrolę wydanie </w:t>
      </w:r>
      <w:r w:rsidR="00D57738" w:rsidRPr="004A175F">
        <w:t xml:space="preserve">na 3 miesiące </w:t>
      </w:r>
      <w:r w:rsidRPr="004A175F">
        <w:t xml:space="preserve">decyzji zakazującej udostępniania wyrobu, w przypadku stwierdzenia, że nie spełnia on wymagań lub stwarza zagrożenie. </w:t>
      </w:r>
      <w:r w:rsidR="006E3172" w:rsidRPr="004A175F">
        <w:t xml:space="preserve">W ust. 2 </w:t>
      </w:r>
      <w:r w:rsidR="00493F8E" w:rsidRPr="004A175F">
        <w:t>określono zasadę współpracy o</w:t>
      </w:r>
      <w:r w:rsidR="006E3172" w:rsidRPr="004A175F">
        <w:t>rgan</w:t>
      </w:r>
      <w:r w:rsidR="00493F8E" w:rsidRPr="004A175F">
        <w:t>u</w:t>
      </w:r>
      <w:r w:rsidR="006E3172" w:rsidRPr="004A175F">
        <w:t xml:space="preserve"> nadzoru rynku </w:t>
      </w:r>
      <w:r w:rsidR="00493F8E" w:rsidRPr="004A175F">
        <w:t>z jednostką</w:t>
      </w:r>
      <w:r w:rsidR="006E3172" w:rsidRPr="004A175F">
        <w:t xml:space="preserve"> notyfikowaną, która przeprowadzała ocenę zgodności. </w:t>
      </w:r>
      <w:r w:rsidRPr="004A175F">
        <w:t>Dodatkowo w</w:t>
      </w:r>
      <w:r w:rsidR="008E00D6" w:rsidRPr="004A175F">
        <w:t xml:space="preserve"> </w:t>
      </w:r>
      <w:r w:rsidRPr="004A175F">
        <w:t xml:space="preserve">ust. </w:t>
      </w:r>
      <w:r w:rsidR="006E3172" w:rsidRPr="004A175F">
        <w:t>3</w:t>
      </w:r>
      <w:r w:rsidRPr="004A175F">
        <w:t xml:space="preserve"> </w:t>
      </w:r>
      <w:r w:rsidR="00493F8E" w:rsidRPr="004A175F">
        <w:t xml:space="preserve">umożliwiono </w:t>
      </w:r>
      <w:r w:rsidRPr="004A175F">
        <w:t xml:space="preserve">podmiotom gospodarczym podjęcie działań naprawczych. W ust. </w:t>
      </w:r>
      <w:r w:rsidR="006E3172" w:rsidRPr="004A175F">
        <w:t>4</w:t>
      </w:r>
      <w:r w:rsidRPr="004A175F">
        <w:t xml:space="preserve"> określono </w:t>
      </w:r>
      <w:r w:rsidR="00D57738" w:rsidRPr="004A175F">
        <w:t xml:space="preserve">dalszy tok </w:t>
      </w:r>
      <w:r w:rsidRPr="004A175F">
        <w:t>postępowani</w:t>
      </w:r>
      <w:r w:rsidR="004A28EC" w:rsidRPr="004A175F">
        <w:t>a</w:t>
      </w:r>
      <w:r w:rsidRPr="004A175F">
        <w:t xml:space="preserve"> w</w:t>
      </w:r>
      <w:r w:rsidR="008E00D6" w:rsidRPr="004A175F">
        <w:t xml:space="preserve"> </w:t>
      </w:r>
      <w:r w:rsidRPr="004A175F">
        <w:t>przypadku</w:t>
      </w:r>
      <w:r w:rsidR="00714CF9">
        <w:t>,</w:t>
      </w:r>
      <w:r w:rsidRPr="004A175F">
        <w:t xml:space="preserve"> gdy podmiot gospodarczy nie przedstawi dowodów potwierdzających podjęcie </w:t>
      </w:r>
      <w:r w:rsidR="004A28EC" w:rsidRPr="004A175F">
        <w:t xml:space="preserve">skutecznych </w:t>
      </w:r>
      <w:r w:rsidRPr="004A175F">
        <w:t xml:space="preserve">działań naprawczych. </w:t>
      </w:r>
      <w:r w:rsidR="00493F8E" w:rsidRPr="004A175F">
        <w:t>W</w:t>
      </w:r>
      <w:r w:rsidRPr="004A175F">
        <w:t xml:space="preserve"> sytuacji braku podjęcia działań przez podmioty gospodarcze odpowiedzialne za wprowadzenie wyrobu do obrotu, protokół wraz z aktami kontroli jest także przekazywany do wszczęcia postępowania administracyjnego.</w:t>
      </w:r>
    </w:p>
    <w:p w:rsidR="00A91A06" w:rsidRPr="004A7263" w:rsidRDefault="00A91A06" w:rsidP="004A7263">
      <w:pPr>
        <w:keepNext/>
        <w:spacing w:before="120" w:line="360" w:lineRule="auto"/>
        <w:jc w:val="both"/>
        <w:rPr>
          <w:bCs/>
        </w:rPr>
      </w:pPr>
      <w:r w:rsidRPr="004A7263">
        <w:rPr>
          <w:bCs/>
        </w:rPr>
        <w:lastRenderedPageBreak/>
        <w:t>Oddział 3 Postępowania administracyjne w systemie nadzoru rynku</w:t>
      </w:r>
    </w:p>
    <w:p w:rsidR="00A91A06" w:rsidRPr="004A175F" w:rsidRDefault="00A91A06" w:rsidP="004A7263">
      <w:pPr>
        <w:keepNext/>
        <w:spacing w:before="120" w:line="360" w:lineRule="auto"/>
        <w:jc w:val="both"/>
      </w:pPr>
      <w:r w:rsidRPr="004A175F">
        <w:t>Oddział 3 reguluje przepisy dotyczące procedur postępowania w przypadku stwierdzenia niezgodności wyrobu z wymaganiami oraz wprowadza procedurę postępowania w</w:t>
      </w:r>
      <w:r w:rsidR="008E00D6" w:rsidRPr="004A175F">
        <w:t xml:space="preserve"> </w:t>
      </w:r>
      <w:r w:rsidRPr="004A175F">
        <w:t>odniesieniu do wyrobów spełniających wymagania, lecz pomimo to stwarzających zagrożenie. Przyjęte rozwiązania mają na celu ułatwienie organowi nadzoru rynku podejmowanie decyzji w</w:t>
      </w:r>
      <w:r w:rsidR="008E00D6" w:rsidRPr="004A175F">
        <w:t xml:space="preserve"> </w:t>
      </w:r>
      <w:r w:rsidRPr="004A175F">
        <w:t>zakresie zasadności wszczęcia postępowania</w:t>
      </w:r>
      <w:r w:rsidR="00C55F55" w:rsidRPr="004A175F">
        <w:t xml:space="preserve"> i</w:t>
      </w:r>
      <w:r w:rsidR="00D611BF">
        <w:t> </w:t>
      </w:r>
      <w:r w:rsidRPr="004A175F">
        <w:t>usprawnienie prowadzenia postępowań.</w:t>
      </w:r>
    </w:p>
    <w:p w:rsidR="00A91A06" w:rsidRPr="004A175F" w:rsidRDefault="00A91A06" w:rsidP="004A175F">
      <w:pPr>
        <w:spacing w:before="120" w:line="360" w:lineRule="auto"/>
        <w:jc w:val="both"/>
      </w:pPr>
      <w:r w:rsidRPr="004A175F">
        <w:rPr>
          <w:bCs/>
        </w:rPr>
        <w:t>W art.</w:t>
      </w:r>
      <w:r w:rsidR="008E00D6" w:rsidRPr="004A175F">
        <w:rPr>
          <w:bCs/>
        </w:rPr>
        <w:t xml:space="preserve"> </w:t>
      </w:r>
      <w:r w:rsidR="00B030F8" w:rsidRPr="004A175F">
        <w:rPr>
          <w:bCs/>
        </w:rPr>
        <w:t>76</w:t>
      </w:r>
      <w:r w:rsidRPr="004A175F">
        <w:rPr>
          <w:bCs/>
        </w:rPr>
        <w:t xml:space="preserve"> ust.</w:t>
      </w:r>
      <w:r w:rsidR="008E00D6" w:rsidRPr="004A175F">
        <w:t xml:space="preserve"> </w:t>
      </w:r>
      <w:r w:rsidRPr="004A175F">
        <w:t>1 określony został tryb wszczynania postępowania w sprawie wprowadzonych do obrotu wyrobów niezgodnych z</w:t>
      </w:r>
      <w:r w:rsidR="008E00D6" w:rsidRPr="004A175F">
        <w:t xml:space="preserve"> </w:t>
      </w:r>
      <w:r w:rsidRPr="004A175F">
        <w:t>wymaganiami. Postępowanie wszczyna się z</w:t>
      </w:r>
      <w:r w:rsidR="008E00D6" w:rsidRPr="004A175F">
        <w:t xml:space="preserve"> </w:t>
      </w:r>
      <w:r w:rsidRPr="004A175F">
        <w:t>urzędu, w</w:t>
      </w:r>
      <w:r w:rsidR="008E00D6" w:rsidRPr="004A175F">
        <w:t xml:space="preserve"> </w:t>
      </w:r>
      <w:r w:rsidRPr="004A175F">
        <w:t xml:space="preserve">przypadku gdy ustalenia kontroli wskazują, że wyrób nie spełnia wymagań. Postępowanie </w:t>
      </w:r>
      <w:r w:rsidR="00C55F55" w:rsidRPr="004A175F">
        <w:t xml:space="preserve">prowadzi się </w:t>
      </w:r>
      <w:r w:rsidRPr="004A175F">
        <w:t xml:space="preserve">nie dłużej niż 4 miesiące. </w:t>
      </w:r>
    </w:p>
    <w:p w:rsidR="00A91A06" w:rsidRPr="004A175F" w:rsidRDefault="00A91A06" w:rsidP="004A175F">
      <w:pPr>
        <w:spacing w:before="120" w:line="360" w:lineRule="auto"/>
        <w:jc w:val="both"/>
      </w:pPr>
      <w:r w:rsidRPr="004A175F">
        <w:t xml:space="preserve">Art. </w:t>
      </w:r>
      <w:r w:rsidR="00B030F8" w:rsidRPr="004A175F">
        <w:t>77</w:t>
      </w:r>
      <w:r w:rsidRPr="004A175F">
        <w:t xml:space="preserve"> umożliwia organowi nadzoru rynku przeprowadzenie lub zlecenie przeprowadzenia dodatkowej kontroli w celu ustalenia łańcucha dostaw wyrobu lub zwrócenie się do podmiotu gospodarczego o udzielenie dodatkowych informacji lub wyjaśnień dotyczących wyrobu, jeżeli jest to konieczne dla zbadania zasadności wszczęcia postępowania. Dotychczasowa praktyka wykazuje, że organy nadzoru rynku, z uwagi na konieczność przestrzegania właściwości miejscowej, nie są w stanie ustalić ról podmiotów gospodarczych występujących w łańcuchu dostaw. Brak dostatecznych informacji w dowodach dostaw kontrolowanych wyrobów uniemożliwia ich identyfikację. Problemy te powodują, że często stroną postępowania zamiast podmiotu wprowadzającego wyrób do obrotu jest dystrybutor. </w:t>
      </w:r>
    </w:p>
    <w:p w:rsidR="00A91A06" w:rsidRPr="004A175F" w:rsidRDefault="00A91A06" w:rsidP="004A175F">
      <w:pPr>
        <w:spacing w:before="120" w:line="360" w:lineRule="auto"/>
        <w:jc w:val="both"/>
        <w:rPr>
          <w:bCs/>
        </w:rPr>
      </w:pPr>
      <w:r w:rsidRPr="004A175F">
        <w:t xml:space="preserve">W art. </w:t>
      </w:r>
      <w:r w:rsidR="00B030F8" w:rsidRPr="004A175F">
        <w:t>78</w:t>
      </w:r>
      <w:r w:rsidRPr="004A175F">
        <w:t xml:space="preserve"> przewidziano dla organu nadzoru prowadzącego postępowanie możliwość przedłużenia w drodze decyzji okresu obowiązywania, wydanego w toku kontroli zakazu dalszego udostępniania wyrobu niezgodnego, do czasu zakończenia postępowania.</w:t>
      </w:r>
    </w:p>
    <w:p w:rsidR="00A91A06" w:rsidRPr="004A175F" w:rsidRDefault="00A91A06" w:rsidP="004A175F">
      <w:pPr>
        <w:spacing w:before="120" w:line="360" w:lineRule="auto"/>
        <w:jc w:val="both"/>
      </w:pPr>
      <w:r w:rsidRPr="004A175F">
        <w:rPr>
          <w:bCs/>
        </w:rPr>
        <w:t>Przepis art.</w:t>
      </w:r>
      <w:r w:rsidR="008E00D6" w:rsidRPr="004A175F">
        <w:rPr>
          <w:bCs/>
        </w:rPr>
        <w:t xml:space="preserve"> </w:t>
      </w:r>
      <w:r w:rsidR="00B030F8" w:rsidRPr="004A175F">
        <w:rPr>
          <w:bCs/>
        </w:rPr>
        <w:t>79</w:t>
      </w:r>
      <w:r w:rsidR="008E00D6" w:rsidRPr="004A175F">
        <w:t xml:space="preserve"> </w:t>
      </w:r>
      <w:r w:rsidRPr="004A175F">
        <w:t>ust. 1</w:t>
      </w:r>
      <w:r w:rsidR="008E00D6" w:rsidRPr="004A175F">
        <w:t xml:space="preserve"> </w:t>
      </w:r>
      <w:r w:rsidRPr="004A175F">
        <w:t>stanowi, że stroną postępowania jest podmiot gospodarczy, wobec którego postępowanie zostało wszczęte. Organiza</w:t>
      </w:r>
      <w:r w:rsidR="00D611BF">
        <w:t>cja społeczna może występować z </w:t>
      </w:r>
      <w:r w:rsidRPr="004A175F">
        <w:t>żądaniem dopuszczenia jej do udziału w</w:t>
      </w:r>
      <w:r w:rsidR="008E00D6" w:rsidRPr="004A175F">
        <w:t xml:space="preserve"> </w:t>
      </w:r>
      <w:r w:rsidRPr="004A175F">
        <w:t>postępowaniu tylko w przypadku, gdy osoba będąca stroną postępowania jest członkiem tej organizacji (</w:t>
      </w:r>
      <w:r w:rsidRPr="004A175F">
        <w:rPr>
          <w:bCs/>
        </w:rPr>
        <w:t>art.</w:t>
      </w:r>
      <w:r w:rsidR="008E00D6" w:rsidRPr="004A175F">
        <w:rPr>
          <w:bCs/>
        </w:rPr>
        <w:t xml:space="preserve"> </w:t>
      </w:r>
      <w:r w:rsidR="00AB1B04" w:rsidRPr="004A175F">
        <w:rPr>
          <w:bCs/>
        </w:rPr>
        <w:t>79</w:t>
      </w:r>
      <w:r w:rsidRPr="004A175F">
        <w:rPr>
          <w:bCs/>
        </w:rPr>
        <w:t xml:space="preserve"> </w:t>
      </w:r>
      <w:r w:rsidRPr="004A175F">
        <w:t>ust. 2).</w:t>
      </w:r>
      <w:r w:rsidR="008E00D6" w:rsidRPr="004A175F">
        <w:t xml:space="preserve"> </w:t>
      </w:r>
    </w:p>
    <w:p w:rsidR="00A91A06" w:rsidRPr="004A175F" w:rsidRDefault="00A91A06" w:rsidP="004A175F">
      <w:pPr>
        <w:spacing w:before="120" w:line="360" w:lineRule="auto"/>
        <w:jc w:val="both"/>
      </w:pPr>
      <w:r w:rsidRPr="004A175F">
        <w:t xml:space="preserve">Zgodnie z art. </w:t>
      </w:r>
      <w:r w:rsidR="00734518" w:rsidRPr="004A175F">
        <w:t>80</w:t>
      </w:r>
      <w:r w:rsidRPr="004A175F">
        <w:t xml:space="preserve"> ust. 1, dowodem z dokumentu w postępowaniu może być tylko oryginał dokumentu lub jego kopia poświadczona przez organ administracji publicznej, notariusza, adwokata, radcę prawnego, rzecznika patentowego, doradcę podatkowego, </w:t>
      </w:r>
      <w:r w:rsidRPr="004A175F">
        <w:lastRenderedPageBreak/>
        <w:t>stronę postępowania lub upoważnionego pracownika strony postępowania. Jeżeli dokument został sporządzony w</w:t>
      </w:r>
      <w:r w:rsidR="008E00D6" w:rsidRPr="004A175F">
        <w:t xml:space="preserve"> </w:t>
      </w:r>
      <w:r w:rsidRPr="004A175F">
        <w:t>języku obcym, organ nadzoru rynku prowadzący postępowanie może zażądać także przedłożenia poświadczonego przez tłumacza przysięgłego tłumaczenia na język polski tego dokumentu albo jego części, mającej stanowić dowód w sprawie (</w:t>
      </w:r>
      <w:r w:rsidRPr="004A175F">
        <w:rPr>
          <w:bCs/>
        </w:rPr>
        <w:t>art.</w:t>
      </w:r>
      <w:r w:rsidR="008E00D6" w:rsidRPr="004A175F">
        <w:rPr>
          <w:bCs/>
        </w:rPr>
        <w:t xml:space="preserve"> </w:t>
      </w:r>
      <w:r w:rsidR="00734518" w:rsidRPr="004A175F">
        <w:rPr>
          <w:bCs/>
        </w:rPr>
        <w:t>80</w:t>
      </w:r>
      <w:r w:rsidRPr="004A175F">
        <w:rPr>
          <w:bCs/>
        </w:rPr>
        <w:t xml:space="preserve"> </w:t>
      </w:r>
      <w:r w:rsidRPr="004A175F">
        <w:t>ust. 2).</w:t>
      </w:r>
    </w:p>
    <w:p w:rsidR="00A91A06" w:rsidRPr="004A175F" w:rsidRDefault="00A91A06" w:rsidP="004A175F">
      <w:pPr>
        <w:spacing w:before="120" w:line="360" w:lineRule="auto"/>
        <w:jc w:val="both"/>
        <w:rPr>
          <w:bCs/>
        </w:rPr>
      </w:pPr>
      <w:r w:rsidRPr="004A175F">
        <w:rPr>
          <w:bCs/>
        </w:rPr>
        <w:t>W art.</w:t>
      </w:r>
      <w:r w:rsidR="008E00D6" w:rsidRPr="004A175F">
        <w:rPr>
          <w:bCs/>
        </w:rPr>
        <w:t xml:space="preserve"> </w:t>
      </w:r>
      <w:r w:rsidR="00734518" w:rsidRPr="004A175F">
        <w:rPr>
          <w:bCs/>
        </w:rPr>
        <w:t>81</w:t>
      </w:r>
      <w:r w:rsidR="008E00D6" w:rsidRPr="004A175F">
        <w:t xml:space="preserve"> </w:t>
      </w:r>
      <w:r w:rsidRPr="004A175F">
        <w:t>przewidziano możliwość przeprowadzenia w toku postępowania badań próbki kontrolnej, w przypadku gdy nie została ona zbadana w toku kontroli. Badanie takie może być przeprowadzone na wniosek strony lub organu nadzoru rynku prowadzącego postępowanie. Przeprowadzenie takich badań może mieć decydujące znaczenie dla strony postępowania, gdyż wynik badania ma charakter rozstrzygający. Wprowadzenie tego przepisu daje stronie możliwość zweryfikowania wyników badań przeprowadzonych w toku kontroli, w</w:t>
      </w:r>
      <w:r w:rsidR="008E00D6" w:rsidRPr="004A175F">
        <w:t xml:space="preserve"> </w:t>
      </w:r>
      <w:r w:rsidRPr="004A175F">
        <w:t>której przeprowadzeniu nie brała ona udziału.</w:t>
      </w:r>
    </w:p>
    <w:p w:rsidR="00A91A06" w:rsidRPr="004A175F" w:rsidRDefault="00A91A06" w:rsidP="004A175F">
      <w:pPr>
        <w:spacing w:before="120" w:line="360" w:lineRule="auto"/>
        <w:jc w:val="both"/>
      </w:pPr>
      <w:r w:rsidRPr="004A175F">
        <w:rPr>
          <w:bCs/>
        </w:rPr>
        <w:t>Przepis art.</w:t>
      </w:r>
      <w:r w:rsidR="008E00D6" w:rsidRPr="004A175F">
        <w:rPr>
          <w:bCs/>
        </w:rPr>
        <w:t xml:space="preserve"> </w:t>
      </w:r>
      <w:r w:rsidR="00734518" w:rsidRPr="004A175F">
        <w:rPr>
          <w:bCs/>
        </w:rPr>
        <w:t>82</w:t>
      </w:r>
      <w:r w:rsidR="008E00D6" w:rsidRPr="004A175F">
        <w:t xml:space="preserve"> </w:t>
      </w:r>
      <w:r w:rsidRPr="004A175F">
        <w:t xml:space="preserve">ust. 1 przewiduje możliwość wyznaczenia stronie postępowania przez organ nadzoru rynku prowadzący postępowanie, w drodze postanowienia, terminu na przedstawienie dowodów podjęcia działań potwierdzających usunięcie niezgodności </w:t>
      </w:r>
      <w:r w:rsidR="00C55F55" w:rsidRPr="004A175F">
        <w:t xml:space="preserve">wyrobu </w:t>
      </w:r>
      <w:r w:rsidRPr="004A175F">
        <w:t>z</w:t>
      </w:r>
      <w:r w:rsidR="008E00D6" w:rsidRPr="004A175F">
        <w:t xml:space="preserve"> </w:t>
      </w:r>
      <w:r w:rsidRPr="004A175F">
        <w:t xml:space="preserve">wymaganiami, wycofanie </w:t>
      </w:r>
      <w:r w:rsidR="00C55F55" w:rsidRPr="004A175F">
        <w:t xml:space="preserve">go </w:t>
      </w:r>
      <w:r w:rsidRPr="004A175F">
        <w:t>z obrotu, odzyskanie, zniszczenie lub powiadomienie konsumentów lub użytkowników o</w:t>
      </w:r>
      <w:r w:rsidR="008E00D6" w:rsidRPr="004A175F">
        <w:t xml:space="preserve"> </w:t>
      </w:r>
      <w:r w:rsidRPr="004A175F">
        <w:t xml:space="preserve">stwierdzonych niezgodnościach. </w:t>
      </w:r>
      <w:r w:rsidR="00A848B2" w:rsidRPr="004A175F">
        <w:t>Katalog działań naprawczych dostępnych stroni</w:t>
      </w:r>
      <w:r w:rsidR="00D611BF">
        <w:t>e po otrzymaniu zawiadomienia o </w:t>
      </w:r>
      <w:r w:rsidR="00A848B2" w:rsidRPr="004A175F">
        <w:t>wszczęciu postępowania</w:t>
      </w:r>
      <w:r w:rsidR="00A848B2" w:rsidRPr="004A175F" w:rsidDel="00A848B2">
        <w:t xml:space="preserve"> </w:t>
      </w:r>
      <w:r w:rsidR="00714CF9">
        <w:t>p</w:t>
      </w:r>
      <w:r w:rsidRPr="004A175F">
        <w:t xml:space="preserve">oszerzono, w porównaniu do </w:t>
      </w:r>
      <w:r w:rsidR="00D611BF">
        <w:t>obowiązującego w ustawie z </w:t>
      </w:r>
      <w:r w:rsidR="00A848B2" w:rsidRPr="004A175F">
        <w:t>dn</w:t>
      </w:r>
      <w:r w:rsidR="00D611BF">
        <w:t>ia</w:t>
      </w:r>
      <w:r w:rsidR="00A848B2" w:rsidRPr="004A175F">
        <w:t xml:space="preserve"> 30</w:t>
      </w:r>
      <w:r w:rsidR="00714CF9">
        <w:t xml:space="preserve"> sierpnia </w:t>
      </w:r>
      <w:r w:rsidR="00A848B2" w:rsidRPr="004A175F">
        <w:t>2002 r. o systemie oceny zgodności</w:t>
      </w:r>
      <w:r w:rsidRPr="004A175F">
        <w:t>, o odzyskanie wyrobu oraz jego zniszczenie.</w:t>
      </w:r>
    </w:p>
    <w:p w:rsidR="00A91A06" w:rsidRPr="004A175F" w:rsidRDefault="00A91A06" w:rsidP="004A175F">
      <w:pPr>
        <w:spacing w:before="120" w:line="360" w:lineRule="auto"/>
        <w:jc w:val="both"/>
      </w:pPr>
      <w:r w:rsidRPr="004A175F">
        <w:t xml:space="preserve">W art. </w:t>
      </w:r>
      <w:r w:rsidR="00734518" w:rsidRPr="004A175F">
        <w:t>82</w:t>
      </w:r>
      <w:r w:rsidRPr="004A175F">
        <w:t xml:space="preserve"> ust. 3 nałożono na podmioty gospodarcze</w:t>
      </w:r>
      <w:r w:rsidR="002727EB" w:rsidRPr="004A175F">
        <w:t>, inne niż strona postępowania,</w:t>
      </w:r>
      <w:r w:rsidRPr="004A175F">
        <w:t xml:space="preserve"> </w:t>
      </w:r>
      <w:r w:rsidR="002727EB" w:rsidRPr="004A175F">
        <w:t xml:space="preserve">obowiązek przekazania na żądanie organu nadzoru rynku prowadzącego postępowanie, </w:t>
      </w:r>
      <w:r w:rsidRPr="004A175F">
        <w:t>posiada</w:t>
      </w:r>
      <w:r w:rsidR="002727EB" w:rsidRPr="004A175F">
        <w:t>n</w:t>
      </w:r>
      <w:r w:rsidR="001671A9">
        <w:t>ych</w:t>
      </w:r>
      <w:r w:rsidRPr="004A175F">
        <w:t xml:space="preserve"> dowod</w:t>
      </w:r>
      <w:r w:rsidR="001671A9">
        <w:t>ów</w:t>
      </w:r>
      <w:r w:rsidRPr="004A175F">
        <w:t xml:space="preserve"> lub informacj</w:t>
      </w:r>
      <w:r w:rsidR="001671A9">
        <w:t>i</w:t>
      </w:r>
      <w:r w:rsidRPr="004A175F">
        <w:t xml:space="preserve"> potwierdzając</w:t>
      </w:r>
      <w:r w:rsidR="001671A9">
        <w:t>ych</w:t>
      </w:r>
      <w:r w:rsidRPr="004A175F">
        <w:t xml:space="preserve"> podjęcie działań przez stronę postępowania. Wprowadzenie tego obowiązku umożliwi sprawniejsze zbieranie dowodów w postępowaniu, potwierdzających podjęcie działań naprawczych przez stronę postępowania, co może przyczynić się do szybkiego zakończenia</w:t>
      </w:r>
      <w:r w:rsidR="002727EB" w:rsidRPr="004A175F">
        <w:t xml:space="preserve"> prowadzonego postępowania</w:t>
      </w:r>
      <w:r w:rsidRPr="004A175F">
        <w:t>.</w:t>
      </w:r>
    </w:p>
    <w:p w:rsidR="00A91A06" w:rsidRPr="004A175F" w:rsidRDefault="00A91A06" w:rsidP="004A175F">
      <w:pPr>
        <w:spacing w:before="120" w:line="360" w:lineRule="auto"/>
        <w:jc w:val="both"/>
        <w:rPr>
          <w:bCs/>
        </w:rPr>
      </w:pPr>
      <w:r w:rsidRPr="004A175F">
        <w:t xml:space="preserve">W art. </w:t>
      </w:r>
      <w:r w:rsidR="00734518" w:rsidRPr="004A175F">
        <w:t>82</w:t>
      </w:r>
      <w:r w:rsidRPr="004A175F">
        <w:t xml:space="preserve"> ust. 4 przewidziano możliwość przeprowadzenia albo zlecenia właściwemu organowi przeprowadzeni</w:t>
      </w:r>
      <w:r w:rsidR="00714CF9">
        <w:t>a</w:t>
      </w:r>
      <w:r w:rsidRPr="004A175F">
        <w:t xml:space="preserve"> kontroli mającej na celu ustalenie, czy strona postępowania podjęła działania wskazane w postanowieniu. Przepis ten służy zweryfikowaniu przez </w:t>
      </w:r>
      <w:r w:rsidRPr="004A175F">
        <w:lastRenderedPageBreak/>
        <w:t>organ nadzoru rynku prowadzący postępowanie otrzymanych informacji o</w:t>
      </w:r>
      <w:r w:rsidR="008E00D6" w:rsidRPr="004A175F">
        <w:t xml:space="preserve"> </w:t>
      </w:r>
      <w:r w:rsidRPr="004A175F">
        <w:t xml:space="preserve">podjętych przez stronę działaniach naprawczych. </w:t>
      </w:r>
    </w:p>
    <w:p w:rsidR="00A91A06" w:rsidRPr="004A175F" w:rsidRDefault="00A91A06" w:rsidP="004A175F">
      <w:pPr>
        <w:spacing w:before="120" w:line="360" w:lineRule="auto"/>
        <w:jc w:val="both"/>
      </w:pPr>
      <w:r w:rsidRPr="004A175F">
        <w:rPr>
          <w:bCs/>
        </w:rPr>
        <w:t>W art.</w:t>
      </w:r>
      <w:r w:rsidR="008E00D6" w:rsidRPr="004A175F">
        <w:rPr>
          <w:bCs/>
        </w:rPr>
        <w:t xml:space="preserve"> </w:t>
      </w:r>
      <w:r w:rsidR="00734518" w:rsidRPr="004A175F">
        <w:rPr>
          <w:bCs/>
        </w:rPr>
        <w:t>83</w:t>
      </w:r>
      <w:r w:rsidR="008E00D6" w:rsidRPr="004A175F">
        <w:t xml:space="preserve"> </w:t>
      </w:r>
      <w:r w:rsidRPr="004A175F">
        <w:t>przewidziano, że do czasu trwania postępowania nie wlicza się wyznaczonego przez organ terminu na przedstawienie dowodów podjęcia działań oraz czasu trwania kontroli sprawdzającej.</w:t>
      </w:r>
    </w:p>
    <w:p w:rsidR="00A91A06" w:rsidRPr="004A175F" w:rsidRDefault="00A91A06" w:rsidP="004A175F">
      <w:pPr>
        <w:spacing w:before="120" w:line="360" w:lineRule="auto"/>
        <w:jc w:val="both"/>
      </w:pPr>
      <w:r w:rsidRPr="004A175F">
        <w:t xml:space="preserve">Przepisy art. </w:t>
      </w:r>
      <w:r w:rsidR="00734518" w:rsidRPr="004A175F">
        <w:t>84</w:t>
      </w:r>
      <w:r w:rsidR="008E00D6" w:rsidRPr="004A175F">
        <w:t xml:space="preserve"> </w:t>
      </w:r>
      <w:r w:rsidRPr="004A175F">
        <w:t>szczegółowo regulują środki prawne</w:t>
      </w:r>
      <w:r w:rsidR="000D0335">
        <w:t>,</w:t>
      </w:r>
      <w:r w:rsidRPr="004A175F">
        <w:t xml:space="preserve"> jakie przysługują organowi nadzoru rynku prowadzącemu postępowanie. Organ nadzoru rynku prowadzący postępowanie w sprawie wprowadzonych </w:t>
      </w:r>
      <w:r w:rsidR="00D611BF">
        <w:t>do obrotu wyrobów niezgodnych z </w:t>
      </w:r>
      <w:r w:rsidRPr="004A175F">
        <w:t>wymaganiami wydaje decyzję o umorzeniu postępowania, jeżeli: stwierdzi, że wyrób spełnia wymagania lub spełnia wymagania i nie stwarza zagrożenia, niezgodność wyrobu z</w:t>
      </w:r>
      <w:r w:rsidR="008E00D6" w:rsidRPr="004A175F">
        <w:t xml:space="preserve"> </w:t>
      </w:r>
      <w:r w:rsidRPr="004A175F">
        <w:t>wymaganiami lub niezgodność i stwarzane zagrożenie zostały usunięte, wyrób został wycofany z</w:t>
      </w:r>
      <w:r w:rsidR="008E00D6" w:rsidRPr="004A175F">
        <w:t xml:space="preserve"> </w:t>
      </w:r>
      <w:r w:rsidRPr="004A175F">
        <w:t>obrotu, odzyskany, zniszczony lub powiadomiono użytkowników o</w:t>
      </w:r>
      <w:r w:rsidR="008E00D6" w:rsidRPr="004A175F">
        <w:t xml:space="preserve"> </w:t>
      </w:r>
      <w:r w:rsidRPr="004A175F">
        <w:t xml:space="preserve">stwierdzonych niezgodnościach postępowanie z innych przyczyn stało się bezprzedmiotowe (art. </w:t>
      </w:r>
      <w:r w:rsidR="00734518" w:rsidRPr="004A175F">
        <w:t>84</w:t>
      </w:r>
      <w:r w:rsidRPr="004A175F">
        <w:t xml:space="preserve"> ust. 1).</w:t>
      </w:r>
    </w:p>
    <w:p w:rsidR="00A91A06" w:rsidRPr="004A175F" w:rsidRDefault="00A91A06" w:rsidP="004A175F">
      <w:pPr>
        <w:spacing w:before="120" w:line="360" w:lineRule="auto"/>
        <w:jc w:val="both"/>
      </w:pPr>
      <w:r w:rsidRPr="004A175F">
        <w:t>Natomiast w sytuacji gdy stwierdzono, że wyrób nie spełnia wymagań, a strona postępowania nie przedstawiła dowodów potwierdzających usunięcie niezgodności wyrobu z</w:t>
      </w:r>
      <w:r w:rsidR="008E00D6" w:rsidRPr="004A175F">
        <w:t xml:space="preserve"> </w:t>
      </w:r>
      <w:r w:rsidRPr="004A175F">
        <w:t xml:space="preserve">wymaganiami, wycofanie </w:t>
      </w:r>
      <w:r w:rsidR="00A848B2" w:rsidRPr="004A175F">
        <w:t xml:space="preserve">go </w:t>
      </w:r>
      <w:r w:rsidRPr="004A175F">
        <w:t>z</w:t>
      </w:r>
      <w:r w:rsidR="008E00D6" w:rsidRPr="004A175F">
        <w:t xml:space="preserve"> </w:t>
      </w:r>
      <w:r w:rsidRPr="004A175F">
        <w:t>obrotu, odzyskanie lub powiadomienie konsumentów lub użytkowników o</w:t>
      </w:r>
      <w:r w:rsidR="008E00D6" w:rsidRPr="004A175F">
        <w:t xml:space="preserve"> </w:t>
      </w:r>
      <w:r w:rsidRPr="004A175F">
        <w:t>stwierdzonych niezgodnościach, organ nadzoru rynku prowadzący postępowanie może, w</w:t>
      </w:r>
      <w:r w:rsidR="008E00D6" w:rsidRPr="004A175F">
        <w:t xml:space="preserve"> </w:t>
      </w:r>
      <w:r w:rsidRPr="004A175F">
        <w:t>drodze decyzji: nakazać usunięcie niezgodności; nakazać wycofanie wyrobu z obrotu; zakazać udostępniania wyrobu; nakazać odzyskanie wyrobu; nakazać zniszczenie wyrobu; nakazać powiadomienie konsumentów lub użytkowników o</w:t>
      </w:r>
      <w:r w:rsidR="008E00D6" w:rsidRPr="004A175F">
        <w:t xml:space="preserve"> </w:t>
      </w:r>
      <w:r w:rsidRPr="004A175F">
        <w:t>stwierdzonych niezgodnościach z</w:t>
      </w:r>
      <w:r w:rsidR="008E00D6" w:rsidRPr="004A175F">
        <w:t xml:space="preserve"> </w:t>
      </w:r>
      <w:r w:rsidRPr="004A175F">
        <w:t>wymaganiami</w:t>
      </w:r>
      <w:r w:rsidR="00A848B2" w:rsidRPr="004A175F">
        <w:t xml:space="preserve"> </w:t>
      </w:r>
      <w:r w:rsidRPr="004A175F">
        <w:t xml:space="preserve">(art. </w:t>
      </w:r>
      <w:r w:rsidR="00734518" w:rsidRPr="004A175F">
        <w:t>84</w:t>
      </w:r>
      <w:r w:rsidRPr="004A175F">
        <w:t xml:space="preserve"> ust. 2).</w:t>
      </w:r>
    </w:p>
    <w:p w:rsidR="00A91A06" w:rsidRPr="004A175F" w:rsidRDefault="00A91A06" w:rsidP="004A175F">
      <w:pPr>
        <w:spacing w:before="120" w:line="360" w:lineRule="auto"/>
        <w:jc w:val="both"/>
      </w:pPr>
      <w:r w:rsidRPr="004A175F">
        <w:t>Wymienione środki, stosuje się w zależności od rodzaju stwierdzonej niezgodności wyrobu z wymaganiami oraz stopnia powodowan</w:t>
      </w:r>
      <w:r w:rsidR="00D611BF">
        <w:t>ego zagrożenia, mając na celu w </w:t>
      </w:r>
      <w:r w:rsidRPr="004A175F">
        <w:t>szczególności odwrócenie grożącego niebezpieczeństwa lub usunięcie już istniejącego zagrożenia dla życia i</w:t>
      </w:r>
      <w:r w:rsidR="008E00D6" w:rsidRPr="004A175F">
        <w:t xml:space="preserve"> </w:t>
      </w:r>
      <w:r w:rsidRPr="004A175F">
        <w:t xml:space="preserve">zdrowia ludzi, </w:t>
      </w:r>
      <w:r w:rsidR="00A848B2" w:rsidRPr="004A175F">
        <w:t xml:space="preserve">a także zagrożenia dla mienia, środowiska oraz interesu publicznego </w:t>
      </w:r>
      <w:r w:rsidRPr="004A175F">
        <w:t xml:space="preserve">(art. </w:t>
      </w:r>
      <w:r w:rsidR="00734518" w:rsidRPr="004A175F">
        <w:t>84</w:t>
      </w:r>
      <w:r w:rsidRPr="004A175F">
        <w:t xml:space="preserve"> ust. 3).</w:t>
      </w:r>
    </w:p>
    <w:p w:rsidR="00A91A06" w:rsidRPr="004A175F" w:rsidRDefault="00A91A06" w:rsidP="004A175F">
      <w:pPr>
        <w:spacing w:before="120" w:line="360" w:lineRule="auto"/>
        <w:jc w:val="both"/>
      </w:pPr>
      <w:r w:rsidRPr="004A175F">
        <w:t xml:space="preserve">Zniszczenie wyrobu może zostać nakazane jedynie w przypadku stwierdzenia, że wyrób stwarza poważne zagrożenie, którego nie można wyeliminować w inny sposób (art. </w:t>
      </w:r>
      <w:r w:rsidR="00734518" w:rsidRPr="004A175F">
        <w:t>84</w:t>
      </w:r>
      <w:r w:rsidRPr="004A175F">
        <w:t xml:space="preserve"> ust. 4).</w:t>
      </w:r>
    </w:p>
    <w:p w:rsidR="00A91A06" w:rsidRPr="004A175F" w:rsidRDefault="00A91A06" w:rsidP="004A175F">
      <w:pPr>
        <w:spacing w:before="120" w:line="360" w:lineRule="auto"/>
        <w:jc w:val="both"/>
      </w:pPr>
      <w:r w:rsidRPr="004A175F">
        <w:lastRenderedPageBreak/>
        <w:t>Uwzględniają</w:t>
      </w:r>
      <w:r w:rsidR="001671A9">
        <w:t>c</w:t>
      </w:r>
      <w:r w:rsidRPr="004A175F">
        <w:t xml:space="preserve"> rolę dystrybutora w łańcuchu dostaw, tak jak dotychczas stosowane przez organ nadzoru </w:t>
      </w:r>
      <w:r w:rsidR="00A848B2" w:rsidRPr="004A175F">
        <w:t xml:space="preserve">rynku </w:t>
      </w:r>
      <w:r w:rsidRPr="004A175F">
        <w:t>środki, mają zastosowan</w:t>
      </w:r>
      <w:r w:rsidR="00714CF9">
        <w:t>i</w:t>
      </w:r>
      <w:r w:rsidRPr="004A175F">
        <w:t xml:space="preserve">e wyłącznie wobec wyrobów przez niego udostępnionych (art. </w:t>
      </w:r>
      <w:r w:rsidR="00734518" w:rsidRPr="004A175F">
        <w:t>84</w:t>
      </w:r>
      <w:r w:rsidRPr="004A175F">
        <w:t xml:space="preserve"> ust. 5).</w:t>
      </w:r>
    </w:p>
    <w:p w:rsidR="00A91A06" w:rsidRPr="004A175F" w:rsidRDefault="00A91A06" w:rsidP="004A175F">
      <w:pPr>
        <w:spacing w:before="120" w:line="360" w:lineRule="auto"/>
        <w:jc w:val="both"/>
      </w:pPr>
      <w:r w:rsidRPr="004A175F">
        <w:t>W wydanej decyzji organ nadzoru rynku prowadząc</w:t>
      </w:r>
      <w:r w:rsidR="00D611BF">
        <w:t>y postępowanie określa termin i </w:t>
      </w:r>
      <w:r w:rsidRPr="004A175F">
        <w:t xml:space="preserve">sposób poinformowania przez stronę postępowania o wykonaniu decyzji (art. </w:t>
      </w:r>
      <w:r w:rsidR="00734518" w:rsidRPr="004A175F">
        <w:t>84</w:t>
      </w:r>
      <w:r w:rsidR="00D611BF">
        <w:t xml:space="preserve"> ust. </w:t>
      </w:r>
      <w:r w:rsidRPr="004A175F">
        <w:t xml:space="preserve">6). </w:t>
      </w:r>
    </w:p>
    <w:p w:rsidR="00A91A06" w:rsidRPr="004A175F" w:rsidRDefault="007615B4" w:rsidP="004A175F">
      <w:pPr>
        <w:spacing w:before="120" w:line="360" w:lineRule="auto"/>
        <w:jc w:val="both"/>
      </w:pPr>
      <w:r w:rsidRPr="004A175F">
        <w:t xml:space="preserve">Art. 84 ust. 7 i 8 umożliwiają organowi nadzoru rynku </w:t>
      </w:r>
      <w:r w:rsidR="00A91A06" w:rsidRPr="004A175F">
        <w:t>nadani</w:t>
      </w:r>
      <w:r w:rsidRPr="004A175F">
        <w:t>e</w:t>
      </w:r>
      <w:r w:rsidR="00A91A06" w:rsidRPr="004A175F">
        <w:t xml:space="preserve"> decyzji rygoru natychmiastowej wykonalności, jeżeli w </w:t>
      </w:r>
      <w:r w:rsidRPr="004A175F">
        <w:t xml:space="preserve">jego </w:t>
      </w:r>
      <w:r w:rsidR="00A91A06" w:rsidRPr="004A175F">
        <w:t xml:space="preserve">ocenie wymaga tego interes użytkowników wyrobu oraz możliwość zlecenia kontroli sprawdzającej wykonanie decyzji. </w:t>
      </w:r>
    </w:p>
    <w:p w:rsidR="00A91A06" w:rsidRPr="004A175F" w:rsidRDefault="007615B4" w:rsidP="004A175F">
      <w:pPr>
        <w:spacing w:before="120" w:line="360" w:lineRule="auto"/>
        <w:jc w:val="both"/>
      </w:pPr>
      <w:r w:rsidRPr="004A175F">
        <w:t>P</w:t>
      </w:r>
      <w:r w:rsidR="00A91A06" w:rsidRPr="004A175F">
        <w:t>rzepisy dyrektyw sektorowych przewidują odrębn</w:t>
      </w:r>
      <w:r w:rsidRPr="004A175F">
        <w:t>ą</w:t>
      </w:r>
      <w:r w:rsidR="00A91A06" w:rsidRPr="004A175F">
        <w:t xml:space="preserve"> procedur</w:t>
      </w:r>
      <w:r w:rsidRPr="004A175F">
        <w:t>ę</w:t>
      </w:r>
      <w:r w:rsidR="00A91A06" w:rsidRPr="004A175F">
        <w:t xml:space="preserve"> postępowania w</w:t>
      </w:r>
      <w:r w:rsidR="00D611BF">
        <w:t> </w:t>
      </w:r>
      <w:r w:rsidR="00A91A06" w:rsidRPr="004A175F">
        <w:t>sytuacji, gdy wyrób</w:t>
      </w:r>
      <w:r w:rsidR="007F14E6">
        <w:t xml:space="preserve"> </w:t>
      </w:r>
      <w:r w:rsidR="00A91A06" w:rsidRPr="004A175F">
        <w:t>spełnia wymagania</w:t>
      </w:r>
      <w:r w:rsidRPr="004A175F">
        <w:t>, a mimo to</w:t>
      </w:r>
      <w:r w:rsidR="00A91A06" w:rsidRPr="004A175F">
        <w:t xml:space="preserve"> stwarza zagrożenie. </w:t>
      </w:r>
      <w:r w:rsidRPr="004A175F">
        <w:t xml:space="preserve">W ustawie wdraża ją art. 85. </w:t>
      </w:r>
      <w:r w:rsidR="00A91A06" w:rsidRPr="004A175F">
        <w:t xml:space="preserve">W ust. </w:t>
      </w:r>
      <w:r w:rsidRPr="004A175F">
        <w:t xml:space="preserve">3 </w:t>
      </w:r>
      <w:r w:rsidR="00A91A06" w:rsidRPr="004A175F">
        <w:t xml:space="preserve">określono podstawy prawne do umorzenia postępowania, zaś w ust. </w:t>
      </w:r>
      <w:r w:rsidRPr="004A175F">
        <w:t xml:space="preserve">4 </w:t>
      </w:r>
      <w:r w:rsidR="00A91A06" w:rsidRPr="004A175F">
        <w:t>środki prawne</w:t>
      </w:r>
      <w:r w:rsidR="00E76D0D">
        <w:t>,</w:t>
      </w:r>
      <w:r w:rsidR="00A91A06" w:rsidRPr="004A175F">
        <w:t xml:space="preserve"> jakie przysługują organowi nadzoru rynku prowadzącemu postępowanie, w sytuacji gdy podmiot gospodarczy nie podejmie działań naprawczych. Środki te mają taki sam charakter jak te, które stosowane są w przypadku postępowania w odniesieniu do wyrobu, który nie spełnia wymagań. W</w:t>
      </w:r>
      <w:r w:rsidR="008E00D6" w:rsidRPr="004A175F">
        <w:t xml:space="preserve"> </w:t>
      </w:r>
      <w:r w:rsidR="00A91A06" w:rsidRPr="004A175F">
        <w:t xml:space="preserve">ust. </w:t>
      </w:r>
      <w:r w:rsidRPr="004A175F">
        <w:t xml:space="preserve">5 </w:t>
      </w:r>
      <w:r w:rsidR="00A91A06" w:rsidRPr="004A175F">
        <w:t xml:space="preserve">określono </w:t>
      </w:r>
      <w:r w:rsidRPr="004A175F">
        <w:t xml:space="preserve">przesłanki </w:t>
      </w:r>
      <w:r w:rsidR="00D611BF">
        <w:t>w </w:t>
      </w:r>
      <w:r w:rsidR="00A91A06" w:rsidRPr="004A175F">
        <w:t>zakresie stosowania środków prawnych. Zgodnie z</w:t>
      </w:r>
      <w:r w:rsidR="008E00D6" w:rsidRPr="004A175F">
        <w:t xml:space="preserve"> </w:t>
      </w:r>
      <w:r w:rsidR="00A91A06" w:rsidRPr="004A175F">
        <w:t xml:space="preserve">przyjętymi w prawodawstwie unijnym zasadami, środki stosuje się w zależności od stopnia powodowanego zagrożenia, mając na celu w szczególności odwrócenie grożącego niebezpieczeństwa lub usunięcie już istniejącego zagrożenia dla życia i zdrowia ludzi, </w:t>
      </w:r>
      <w:r w:rsidRPr="004A175F">
        <w:t>a także zagrożenia dla mienia, środowiska oraz interesu publicznego.</w:t>
      </w:r>
    </w:p>
    <w:p w:rsidR="00A91A06" w:rsidRPr="004A175F" w:rsidRDefault="00A91A06" w:rsidP="004A175F">
      <w:pPr>
        <w:spacing w:before="120" w:line="360" w:lineRule="auto"/>
        <w:jc w:val="both"/>
      </w:pPr>
      <w:r w:rsidRPr="004A175F">
        <w:t xml:space="preserve">Przepis art. </w:t>
      </w:r>
      <w:r w:rsidR="00F5488D" w:rsidRPr="004A175F">
        <w:t>86</w:t>
      </w:r>
      <w:r w:rsidRPr="004A175F">
        <w:t xml:space="preserve"> reguluje kwestie opłat związanych z badaniami i opiniami biegłych przeprowadzonymi oraz wydanymi w toku i dla potrzeb prowadzonego postępowania. Zasadą jest, że opłaty za badania ponosi strona postępowania.</w:t>
      </w:r>
    </w:p>
    <w:p w:rsidR="00A91A06" w:rsidRPr="007F14E6" w:rsidRDefault="00A91A06" w:rsidP="007F14E6">
      <w:pPr>
        <w:spacing w:before="240" w:line="360" w:lineRule="auto"/>
        <w:jc w:val="both"/>
        <w:rPr>
          <w:bCs/>
        </w:rPr>
      </w:pPr>
      <w:r w:rsidRPr="007F14E6">
        <w:rPr>
          <w:bCs/>
        </w:rPr>
        <w:t>Oddział 4 Współpraca między organami nadzoru rynku a</w:t>
      </w:r>
      <w:r w:rsidR="008E00D6" w:rsidRPr="007F14E6">
        <w:rPr>
          <w:bCs/>
        </w:rPr>
        <w:t xml:space="preserve"> </w:t>
      </w:r>
      <w:r w:rsidRPr="007F14E6">
        <w:rPr>
          <w:bCs/>
        </w:rPr>
        <w:t>organami celnymi</w:t>
      </w:r>
    </w:p>
    <w:p w:rsidR="00A91A06" w:rsidRPr="004A175F" w:rsidRDefault="00A91A06" w:rsidP="004A175F">
      <w:pPr>
        <w:spacing w:before="120" w:line="360" w:lineRule="auto"/>
        <w:jc w:val="both"/>
      </w:pPr>
      <w:r w:rsidRPr="004A175F">
        <w:t xml:space="preserve">Art. </w:t>
      </w:r>
      <w:r w:rsidR="00440CE9" w:rsidRPr="004A175F">
        <w:t>8</w:t>
      </w:r>
      <w:r w:rsidR="00573150" w:rsidRPr="004A175F">
        <w:t>7</w:t>
      </w:r>
      <w:r w:rsidRPr="004A175F">
        <w:t xml:space="preserve"> reguluje zasady współpracy między organami nadzoru rynku a</w:t>
      </w:r>
      <w:r w:rsidR="008E00D6" w:rsidRPr="004A175F">
        <w:t xml:space="preserve"> </w:t>
      </w:r>
      <w:r w:rsidRPr="004A175F">
        <w:t xml:space="preserve">organami celnymi, szczególnie kwestie wydawania opinii przez organy nadzoru rynku na wniosek organów celnych zatrzymujących na granicy wyroby potencjalnie niespełniające wymagań. Współpraca ta jest istotnym elementem zapewniania efektywności działania systemu nadzoru rynku. W ust. 8 uregulowano kwestię pobierania opłat za badania </w:t>
      </w:r>
      <w:r w:rsidRPr="004A175F">
        <w:lastRenderedPageBreak/>
        <w:t xml:space="preserve">laboratoryjne wyrobów przed dopuszczeniem do obrotu. Wprowadzenie tego przepisu spowoduje, że </w:t>
      </w:r>
      <w:r w:rsidR="00E76AB5" w:rsidRPr="004A175F">
        <w:t xml:space="preserve">zarówno organy nadzoru rynku, jak i </w:t>
      </w:r>
      <w:r w:rsidRPr="004A175F">
        <w:t>organy celne</w:t>
      </w:r>
      <w:r w:rsidR="00E76AB5" w:rsidRPr="004A175F">
        <w:t>,</w:t>
      </w:r>
      <w:r w:rsidRPr="004A175F">
        <w:t xml:space="preserve"> badając wyroby zatrzymane na granicy</w:t>
      </w:r>
      <w:r w:rsidR="00E76D0D">
        <w:t>,</w:t>
      </w:r>
      <w:r w:rsidRPr="004A175F">
        <w:t xml:space="preserve"> będą mogły obciążać importerów kosztami tych badań. </w:t>
      </w:r>
      <w:r w:rsidR="00583774" w:rsidRPr="004A175F">
        <w:t>Ponadto w ust. 10</w:t>
      </w:r>
      <w:r w:rsidR="00F2607F" w:rsidRPr="004A175F">
        <w:t xml:space="preserve"> wprowadzono możliwość</w:t>
      </w:r>
      <w:r w:rsidR="00583774" w:rsidRPr="004A175F">
        <w:t xml:space="preserve"> określenia szczegółowych zasad współpracy między organami nadzoru rynku a organami celnymi </w:t>
      </w:r>
      <w:r w:rsidR="00F2607F" w:rsidRPr="004A175F">
        <w:t>w formie porozumień.</w:t>
      </w:r>
    </w:p>
    <w:p w:rsidR="00A91A06" w:rsidRPr="007F14E6" w:rsidRDefault="00A91A06" w:rsidP="007F14E6">
      <w:pPr>
        <w:spacing w:before="240" w:line="360" w:lineRule="auto"/>
        <w:jc w:val="both"/>
        <w:rPr>
          <w:bCs/>
          <w:u w:val="single"/>
        </w:rPr>
      </w:pPr>
      <w:r w:rsidRPr="007F14E6">
        <w:rPr>
          <w:bCs/>
        </w:rPr>
        <w:t>Kary pieniężne</w:t>
      </w:r>
    </w:p>
    <w:p w:rsidR="00A91A06" w:rsidRPr="004A175F" w:rsidRDefault="00A91A06" w:rsidP="004A175F">
      <w:pPr>
        <w:spacing w:before="120" w:line="360" w:lineRule="auto"/>
        <w:jc w:val="both"/>
      </w:pPr>
      <w:r w:rsidRPr="004A175F">
        <w:t xml:space="preserve">Obowiązująca obecnie ustawa przewiduje za naruszenie określonych w niej obowiązków odpowiedzialność karną. W praktyce kary te okazały się mało skuteczne </w:t>
      </w:r>
      <w:r w:rsidR="009D551C">
        <w:t>–</w:t>
      </w:r>
      <w:r w:rsidRPr="004A175F">
        <w:t xml:space="preserve"> wbrew intencji ustawodawcy, przedsiębiorcy nie ponoszą finansowych konsekwencji wprowadzania do obrotu wyrobów niezgodnych z wymaganiami, czy też niestosowania się do nak</w:t>
      </w:r>
      <w:r w:rsidR="0072603D" w:rsidRPr="004A175F">
        <w:t>azów organów. Rozporządzenie</w:t>
      </w:r>
      <w:r w:rsidR="00E76D0D">
        <w:t xml:space="preserve"> nr</w:t>
      </w:r>
      <w:r w:rsidR="0072603D" w:rsidRPr="004A175F">
        <w:t xml:space="preserve"> </w:t>
      </w:r>
      <w:r w:rsidRPr="004A175F">
        <w:t>765/2008</w:t>
      </w:r>
      <w:r w:rsidR="0072603D" w:rsidRPr="004A175F">
        <w:t>/WE</w:t>
      </w:r>
      <w:r w:rsidRPr="004A175F">
        <w:t xml:space="preserve"> stanowi natomiast, że sankcje przewidziane przez ustawodawcę krajowego powinny </w:t>
      </w:r>
      <w:r w:rsidR="00D611BF">
        <w:t>być skuteczne, proporcjonalne i </w:t>
      </w:r>
      <w:r w:rsidRPr="004A175F">
        <w:t xml:space="preserve">odstraszające. </w:t>
      </w:r>
      <w:r w:rsidR="00714CF9">
        <w:t>A</w:t>
      </w:r>
      <w:r w:rsidR="000D446B">
        <w:t>b</w:t>
      </w:r>
      <w:r w:rsidRPr="004A175F">
        <w:t xml:space="preserve">y wzmocnić działanie przepisów ustawy, a tym samym ochronę konsumentów oraz środowiska naturalnego, proponuje się wprowadzenie kar administracyjnych, nakładanych w drodze decyzji. </w:t>
      </w:r>
    </w:p>
    <w:p w:rsidR="00A91A06" w:rsidRPr="004A175F" w:rsidRDefault="00A91A06" w:rsidP="004A175F">
      <w:pPr>
        <w:spacing w:before="120" w:line="360" w:lineRule="auto"/>
        <w:jc w:val="both"/>
      </w:pPr>
      <w:r w:rsidRPr="004A175F">
        <w:t xml:space="preserve">Kary będą nakładane na podmioty gospodarcze, a ich wysokość została określona kwotowo. Ustawa – w zależności od czynu – określa maksymalną wysokość kary do 100 000 zł. </w:t>
      </w:r>
      <w:r w:rsidR="00DE6905" w:rsidRPr="004A175F">
        <w:t>Art. 9</w:t>
      </w:r>
      <w:r w:rsidR="00954F10" w:rsidRPr="004A175F">
        <w:t>7</w:t>
      </w:r>
      <w:r w:rsidR="00DE6905" w:rsidRPr="004A175F">
        <w:t xml:space="preserve"> </w:t>
      </w:r>
      <w:r w:rsidR="0090346F" w:rsidRPr="004A175F">
        <w:t>określa</w:t>
      </w:r>
      <w:r w:rsidR="00E76AB5" w:rsidRPr="004A175F">
        <w:t xml:space="preserve"> właściwość</w:t>
      </w:r>
      <w:r w:rsidR="0090346F" w:rsidRPr="004A175F">
        <w:t xml:space="preserve"> organ</w:t>
      </w:r>
      <w:r w:rsidR="00E76AB5" w:rsidRPr="004A175F">
        <w:t>ów</w:t>
      </w:r>
      <w:r w:rsidR="0090346F" w:rsidRPr="004A175F">
        <w:t xml:space="preserve"> do nakładania kar pieniężnych. </w:t>
      </w:r>
      <w:r w:rsidRPr="004A175F">
        <w:t xml:space="preserve">Wśród dyrektyw wymiaru kary (art. </w:t>
      </w:r>
      <w:r w:rsidR="0021083A" w:rsidRPr="004A175F">
        <w:t>9</w:t>
      </w:r>
      <w:r w:rsidR="00954F10" w:rsidRPr="004A175F">
        <w:t>7</w:t>
      </w:r>
      <w:r w:rsidR="0021083A" w:rsidRPr="004A175F">
        <w:t xml:space="preserve"> </w:t>
      </w:r>
      <w:r w:rsidRPr="004A175F">
        <w:t xml:space="preserve">ust. </w:t>
      </w:r>
      <w:r w:rsidR="002D547D" w:rsidRPr="004A175F">
        <w:t>3</w:t>
      </w:r>
      <w:r w:rsidRPr="004A175F">
        <w:t xml:space="preserve">) znalazły się: stopień i okoliczności naruszenia przepisów ustawy, </w:t>
      </w:r>
      <w:r w:rsidR="00AB1B04" w:rsidRPr="004A175F">
        <w:t xml:space="preserve">liczba wyrobów niezgodnych z wymaganiami wprowadzonych do obrotu, </w:t>
      </w:r>
      <w:r w:rsidRPr="004A175F">
        <w:t>a także</w:t>
      </w:r>
      <w:r w:rsidR="00F90AE4" w:rsidRPr="004A175F">
        <w:t xml:space="preserve"> uprzednie naruszanie przepisów ustawy i współpraca z organem nadzoru</w:t>
      </w:r>
      <w:r w:rsidR="00F81B2B" w:rsidRPr="004A175F">
        <w:t>.</w:t>
      </w:r>
      <w:r w:rsidR="00F90AE4" w:rsidRPr="004A175F">
        <w:t xml:space="preserve"> </w:t>
      </w:r>
      <w:r w:rsidRPr="004A175F">
        <w:t xml:space="preserve">W art. </w:t>
      </w:r>
      <w:r w:rsidR="00F81B2B" w:rsidRPr="004A175F">
        <w:t>9</w:t>
      </w:r>
      <w:r w:rsidR="00954F10" w:rsidRPr="004A175F">
        <w:t>7</w:t>
      </w:r>
      <w:r w:rsidR="00F81B2B" w:rsidRPr="004A175F">
        <w:t xml:space="preserve"> </w:t>
      </w:r>
      <w:r w:rsidRPr="004A175F">
        <w:t xml:space="preserve">ust. </w:t>
      </w:r>
      <w:r w:rsidR="002D547D" w:rsidRPr="004A175F">
        <w:t>4</w:t>
      </w:r>
      <w:r w:rsidRPr="004A175F">
        <w:t xml:space="preserve"> projektu przewidziano także możliwość odstąpienia przez organ od wymierzenia kary</w:t>
      </w:r>
      <w:r w:rsidR="00E76AB5" w:rsidRPr="004A175F">
        <w:t xml:space="preserve">, jeżeli podmiot gospodarczy przedstawi dowody </w:t>
      </w:r>
      <w:r w:rsidR="003F23F4" w:rsidRPr="004A175F">
        <w:t>potwierdzające podjęcie</w:t>
      </w:r>
      <w:r w:rsidR="00E76AB5" w:rsidRPr="004A175F">
        <w:t xml:space="preserve"> działań naprawczych</w:t>
      </w:r>
      <w:r w:rsidRPr="004A175F">
        <w:t xml:space="preserve">. W art. </w:t>
      </w:r>
      <w:r w:rsidR="00156CD4" w:rsidRPr="004A175F">
        <w:t>9</w:t>
      </w:r>
      <w:r w:rsidR="00954F10" w:rsidRPr="004A175F">
        <w:t>8</w:t>
      </w:r>
      <w:r w:rsidR="00156CD4" w:rsidRPr="004A175F">
        <w:t xml:space="preserve"> </w:t>
      </w:r>
      <w:r w:rsidRPr="004A175F">
        <w:t>ustawy określono natomiast termin zapłaty kary i</w:t>
      </w:r>
      <w:r w:rsidR="008E00D6" w:rsidRPr="004A175F">
        <w:t xml:space="preserve"> </w:t>
      </w:r>
      <w:r w:rsidRPr="004A175F">
        <w:t xml:space="preserve">odesłania dotyczące stosowania przepisów działu III ustawy z dnia 29 sierpnia 1997 r. </w:t>
      </w:r>
      <w:r w:rsidR="009D551C">
        <w:t>–</w:t>
      </w:r>
      <w:r w:rsidRPr="004A175F">
        <w:t xml:space="preserve"> Ordynacja podatkowa oraz przepisów o postępowaniu egzekucyjnym w administracji.</w:t>
      </w:r>
      <w:r w:rsidR="0090346F" w:rsidRPr="004A175F">
        <w:t xml:space="preserve"> Wskazano także </w:t>
      </w:r>
      <w:r w:rsidR="00E76AB5" w:rsidRPr="004A175F">
        <w:t xml:space="preserve">termin </w:t>
      </w:r>
      <w:r w:rsidR="0090346F" w:rsidRPr="004A175F">
        <w:t>przedawnienia się nałożonych kar.</w:t>
      </w:r>
    </w:p>
    <w:p w:rsidR="00A91A06" w:rsidRPr="007F14E6" w:rsidRDefault="00A91A06" w:rsidP="007F14E6">
      <w:pPr>
        <w:spacing w:before="240" w:line="360" w:lineRule="auto"/>
        <w:jc w:val="both"/>
        <w:rPr>
          <w:bCs/>
          <w:u w:val="single"/>
        </w:rPr>
      </w:pPr>
      <w:r w:rsidRPr="007F14E6">
        <w:rPr>
          <w:bCs/>
        </w:rPr>
        <w:t>Zmiany w przepisach obowiązujących</w:t>
      </w:r>
    </w:p>
    <w:p w:rsidR="00A91A06" w:rsidRPr="004A175F" w:rsidRDefault="00A91A06" w:rsidP="004A175F">
      <w:pPr>
        <w:spacing w:before="120" w:line="360" w:lineRule="auto"/>
        <w:jc w:val="both"/>
      </w:pPr>
      <w:r w:rsidRPr="004A175F">
        <w:t xml:space="preserve">Wdrożenie pakietu dyrektyw sektorowych oraz poprawa efektywności systemu nadzoru rynku wymaga wprowadzenia także zmian w obecnie obowiązujących przepisach, </w:t>
      </w:r>
      <w:r w:rsidRPr="004A175F">
        <w:lastRenderedPageBreak/>
        <w:t>w</w:t>
      </w:r>
      <w:r w:rsidR="00D611BF">
        <w:t> </w:t>
      </w:r>
      <w:r w:rsidRPr="004A175F">
        <w:t>tym szczególnie w</w:t>
      </w:r>
      <w:r w:rsidR="008E00D6" w:rsidRPr="004A175F">
        <w:t xml:space="preserve"> </w:t>
      </w:r>
      <w:r w:rsidRPr="004A175F">
        <w:t xml:space="preserve">przepisach kompetencyjnych organów nadzoru rynku określonych w (art. </w:t>
      </w:r>
      <w:r w:rsidR="00156CD4" w:rsidRPr="004A175F">
        <w:t>9</w:t>
      </w:r>
      <w:r w:rsidR="004522B6" w:rsidRPr="004A175F">
        <w:t>9</w:t>
      </w:r>
      <w:r w:rsidR="009D551C">
        <w:t>–</w:t>
      </w:r>
      <w:r w:rsidR="00A432DA" w:rsidRPr="004A175F">
        <w:t>11</w:t>
      </w:r>
      <w:r w:rsidR="00BF5839" w:rsidRPr="004A175F">
        <w:t>2</w:t>
      </w:r>
      <w:r w:rsidR="00A432DA" w:rsidRPr="004A175F">
        <w:t xml:space="preserve"> </w:t>
      </w:r>
      <w:r w:rsidRPr="004A175F">
        <w:t xml:space="preserve">ustawy): </w:t>
      </w:r>
    </w:p>
    <w:p w:rsidR="00BF5839" w:rsidRPr="004A175F" w:rsidRDefault="00A91A06" w:rsidP="0076280F">
      <w:pPr>
        <w:numPr>
          <w:ilvl w:val="0"/>
          <w:numId w:val="6"/>
        </w:numPr>
        <w:tabs>
          <w:tab w:val="left" w:pos="426"/>
        </w:tabs>
        <w:spacing w:line="360" w:lineRule="auto"/>
        <w:ind w:left="426" w:hanging="426"/>
        <w:jc w:val="both"/>
      </w:pPr>
      <w:r w:rsidRPr="004A175F">
        <w:t xml:space="preserve">ustawie z </w:t>
      </w:r>
      <w:r w:rsidR="00BF5839" w:rsidRPr="004A175F">
        <w:t>dnia 21 marca 1991 r. o obszarach morsk</w:t>
      </w:r>
      <w:r w:rsidR="00D611BF">
        <w:t>ich Rzeczypospolitej Polskiej i </w:t>
      </w:r>
      <w:r w:rsidR="00BF5839" w:rsidRPr="004A175F">
        <w:t>administracji morskiej (Dz. U. z 2013 r. poz. 934 i 1014 oraz z 2015 r. poz. 1642)</w:t>
      </w:r>
      <w:r w:rsidR="00E76D0D">
        <w:t>;</w:t>
      </w:r>
    </w:p>
    <w:p w:rsidR="00E67F69" w:rsidRPr="004A175F" w:rsidRDefault="00E67F69" w:rsidP="0076280F">
      <w:pPr>
        <w:numPr>
          <w:ilvl w:val="0"/>
          <w:numId w:val="6"/>
        </w:numPr>
        <w:tabs>
          <w:tab w:val="left" w:pos="426"/>
        </w:tabs>
        <w:spacing w:line="360" w:lineRule="auto"/>
        <w:ind w:left="426" w:hanging="426"/>
        <w:jc w:val="both"/>
      </w:pPr>
      <w:r w:rsidRPr="004A175F">
        <w:t xml:space="preserve">ustawie z dnia 15 grudnia 2000 r. o Inspekcji Handlowej </w:t>
      </w:r>
      <w:r w:rsidR="00BF5839" w:rsidRPr="004A175F">
        <w:t>(Dz. U. z 2014 r. poz. 148</w:t>
      </w:r>
      <w:r w:rsidR="00F90E34">
        <w:t>,</w:t>
      </w:r>
      <w:r w:rsidR="00BF5839" w:rsidRPr="004A175F">
        <w:t xml:space="preserve"> z </w:t>
      </w:r>
      <w:proofErr w:type="spellStart"/>
      <w:r w:rsidR="00BF5839" w:rsidRPr="004A175F">
        <w:t>późn</w:t>
      </w:r>
      <w:proofErr w:type="spellEnd"/>
      <w:r w:rsidR="00BF5839" w:rsidRPr="004A175F">
        <w:t>. zm.</w:t>
      </w:r>
      <w:r w:rsidR="00BF5839" w:rsidRPr="00D63191">
        <w:rPr>
          <w:vertAlign w:val="superscript"/>
        </w:rPr>
        <w:footnoteReference w:id="5"/>
      </w:r>
      <w:r w:rsidR="00BF5839" w:rsidRPr="00D63191">
        <w:rPr>
          <w:vertAlign w:val="superscript"/>
        </w:rPr>
        <w:t>)</w:t>
      </w:r>
      <w:r w:rsidR="00BF5839" w:rsidRPr="004A175F">
        <w:t>)</w:t>
      </w:r>
      <w:r w:rsidRPr="004A175F">
        <w:t>;</w:t>
      </w:r>
    </w:p>
    <w:p w:rsidR="00D96751" w:rsidRPr="004A175F" w:rsidRDefault="00D96751" w:rsidP="0076280F">
      <w:pPr>
        <w:numPr>
          <w:ilvl w:val="0"/>
          <w:numId w:val="6"/>
        </w:numPr>
        <w:tabs>
          <w:tab w:val="left" w:pos="426"/>
        </w:tabs>
        <w:spacing w:line="360" w:lineRule="auto"/>
        <w:ind w:left="426" w:hanging="426"/>
        <w:jc w:val="both"/>
      </w:pPr>
      <w:r w:rsidRPr="004A175F">
        <w:t xml:space="preserve">ustawie z dnia 11 maja 2001 r. – Prawo o miarach </w:t>
      </w:r>
      <w:r w:rsidR="00BF5839" w:rsidRPr="004A175F">
        <w:t>(Dz. U. z 2013 r. poz. 1069 oraz z 2015 r. poz. 978)</w:t>
      </w:r>
      <w:r w:rsidR="00CD2F05" w:rsidRPr="004A175F">
        <w:t>;</w:t>
      </w:r>
    </w:p>
    <w:p w:rsidR="00BF5839" w:rsidRPr="004A175F" w:rsidRDefault="00BF5839" w:rsidP="0076280F">
      <w:pPr>
        <w:numPr>
          <w:ilvl w:val="0"/>
          <w:numId w:val="6"/>
        </w:numPr>
        <w:tabs>
          <w:tab w:val="left" w:pos="426"/>
        </w:tabs>
        <w:spacing w:line="360" w:lineRule="auto"/>
        <w:ind w:left="426" w:hanging="426"/>
        <w:jc w:val="both"/>
      </w:pPr>
      <w:r w:rsidRPr="004A175F">
        <w:t xml:space="preserve">ustawie z dnia 30 sierpnia 2002 r. o systemie oceny zgodności (Dz. U. z 2014 r. poz. 1645, z </w:t>
      </w:r>
      <w:proofErr w:type="spellStart"/>
      <w:r w:rsidRPr="004A175F">
        <w:t>późn</w:t>
      </w:r>
      <w:proofErr w:type="spellEnd"/>
      <w:r w:rsidRPr="004A175F">
        <w:t>. zm.</w:t>
      </w:r>
      <w:r w:rsidRPr="00D63191">
        <w:rPr>
          <w:vertAlign w:val="superscript"/>
        </w:rPr>
        <w:footnoteReference w:id="6"/>
      </w:r>
      <w:r w:rsidRPr="00D63191">
        <w:rPr>
          <w:vertAlign w:val="superscript"/>
        </w:rPr>
        <w:t>)</w:t>
      </w:r>
      <w:r w:rsidRPr="004A175F">
        <w:t>);</w:t>
      </w:r>
    </w:p>
    <w:p w:rsidR="00E67F69" w:rsidRPr="004A175F" w:rsidRDefault="00E67F69" w:rsidP="0076280F">
      <w:pPr>
        <w:numPr>
          <w:ilvl w:val="0"/>
          <w:numId w:val="6"/>
        </w:numPr>
        <w:tabs>
          <w:tab w:val="left" w:pos="426"/>
        </w:tabs>
        <w:spacing w:line="360" w:lineRule="auto"/>
        <w:ind w:left="426" w:hanging="426"/>
        <w:jc w:val="both"/>
      </w:pPr>
      <w:r w:rsidRPr="004A175F">
        <w:t xml:space="preserve">ustawie z dnia 28 marca 2003 r. o transporcie kolejowym </w:t>
      </w:r>
      <w:r w:rsidR="0042019A">
        <w:t>(Dz. U. z 2015 r. poz. </w:t>
      </w:r>
      <w:r w:rsidR="00BF5839" w:rsidRPr="004A175F">
        <w:t xml:space="preserve">1297, z </w:t>
      </w:r>
      <w:proofErr w:type="spellStart"/>
      <w:r w:rsidR="00BF5839" w:rsidRPr="004A175F">
        <w:t>późn</w:t>
      </w:r>
      <w:proofErr w:type="spellEnd"/>
      <w:r w:rsidR="00BF5839" w:rsidRPr="004A175F">
        <w:t>. zm.</w:t>
      </w:r>
      <w:r w:rsidR="00BF5839" w:rsidRPr="00D63191">
        <w:rPr>
          <w:vertAlign w:val="superscript"/>
        </w:rPr>
        <w:footnoteReference w:id="7"/>
      </w:r>
      <w:r w:rsidR="00BF5839" w:rsidRPr="00D63191">
        <w:rPr>
          <w:vertAlign w:val="superscript"/>
        </w:rPr>
        <w:t>)</w:t>
      </w:r>
      <w:r w:rsidR="00BF5839" w:rsidRPr="004A175F">
        <w:t>)</w:t>
      </w:r>
      <w:r w:rsidRPr="004A175F">
        <w:t>;</w:t>
      </w:r>
    </w:p>
    <w:p w:rsidR="000E5B29" w:rsidRPr="004A175F" w:rsidRDefault="000E5B29" w:rsidP="0076280F">
      <w:pPr>
        <w:numPr>
          <w:ilvl w:val="0"/>
          <w:numId w:val="6"/>
        </w:numPr>
        <w:tabs>
          <w:tab w:val="left" w:pos="426"/>
        </w:tabs>
        <w:spacing w:line="360" w:lineRule="auto"/>
        <w:ind w:left="426" w:hanging="426"/>
        <w:jc w:val="both"/>
      </w:pPr>
      <w:r w:rsidRPr="004A175F">
        <w:t xml:space="preserve">ustawie z dnia 12 grudnia 2003 r. o ogólnym bezpieczeństwie produktów </w:t>
      </w:r>
      <w:r w:rsidR="00BF5839" w:rsidRPr="004A175F">
        <w:t>(Dz.</w:t>
      </w:r>
      <w:r w:rsidR="00D611BF">
        <w:t xml:space="preserve"> U. z </w:t>
      </w:r>
      <w:r w:rsidR="00BF5839" w:rsidRPr="004A175F">
        <w:t>2015 r. poz. 322)</w:t>
      </w:r>
      <w:r w:rsidR="00DE6905" w:rsidRPr="004A175F">
        <w:t>;</w:t>
      </w:r>
    </w:p>
    <w:p w:rsidR="00E67F69" w:rsidRPr="004A175F" w:rsidRDefault="00E67F69" w:rsidP="0076280F">
      <w:pPr>
        <w:numPr>
          <w:ilvl w:val="0"/>
          <w:numId w:val="6"/>
        </w:numPr>
        <w:tabs>
          <w:tab w:val="left" w:pos="426"/>
        </w:tabs>
        <w:spacing w:line="360" w:lineRule="auto"/>
        <w:ind w:left="426" w:hanging="426"/>
        <w:jc w:val="both"/>
      </w:pPr>
      <w:r w:rsidRPr="004A175F">
        <w:t xml:space="preserve">ustawie z dnia 16 kwietnia 2004 r. o wyrobach budowlanych </w:t>
      </w:r>
      <w:r w:rsidR="00BF5839" w:rsidRPr="004A175F">
        <w:t>(Dz. U. z</w:t>
      </w:r>
      <w:r w:rsidR="004A175F" w:rsidRPr="004A175F">
        <w:t xml:space="preserve"> </w:t>
      </w:r>
      <w:r w:rsidR="00BF5839" w:rsidRPr="004A175F">
        <w:t>2014</w:t>
      </w:r>
      <w:r w:rsidR="004A175F" w:rsidRPr="004A175F">
        <w:t xml:space="preserve"> </w:t>
      </w:r>
      <w:r w:rsidR="0042019A">
        <w:t>r. poz. </w:t>
      </w:r>
      <w:r w:rsidR="00BF5839" w:rsidRPr="004A175F">
        <w:t>883 oraz z 2015 r. poz. 1165)</w:t>
      </w:r>
      <w:r w:rsidRPr="004A175F">
        <w:t>;</w:t>
      </w:r>
    </w:p>
    <w:p w:rsidR="00E67F69" w:rsidRPr="004A175F" w:rsidRDefault="00E67F69" w:rsidP="0076280F">
      <w:pPr>
        <w:numPr>
          <w:ilvl w:val="0"/>
          <w:numId w:val="6"/>
        </w:numPr>
        <w:tabs>
          <w:tab w:val="left" w:pos="426"/>
        </w:tabs>
        <w:spacing w:line="360" w:lineRule="auto"/>
        <w:ind w:left="426" w:hanging="426"/>
        <w:jc w:val="both"/>
      </w:pPr>
      <w:r w:rsidRPr="004A175F">
        <w:t>ustawie z dnia 20 kwietnia 2004 r. o wyposażeniu morskim (</w:t>
      </w:r>
      <w:r w:rsidR="00BF5839" w:rsidRPr="004A175F">
        <w:t>Dz. U. Nr 93, poz. 899 oraz z 2011 r. Nr 228, poz. 1368)</w:t>
      </w:r>
      <w:r w:rsidRPr="004A175F">
        <w:t>;</w:t>
      </w:r>
    </w:p>
    <w:p w:rsidR="00E67F69" w:rsidRPr="004A175F" w:rsidRDefault="00E67F69" w:rsidP="0076280F">
      <w:pPr>
        <w:numPr>
          <w:ilvl w:val="0"/>
          <w:numId w:val="6"/>
        </w:numPr>
        <w:tabs>
          <w:tab w:val="left" w:pos="426"/>
        </w:tabs>
        <w:spacing w:line="360" w:lineRule="auto"/>
        <w:ind w:left="426" w:hanging="426"/>
        <w:jc w:val="both"/>
      </w:pPr>
      <w:r w:rsidRPr="004A175F">
        <w:t>ustawie z dnia 16</w:t>
      </w:r>
      <w:r w:rsidR="008E00D6" w:rsidRPr="004A175F">
        <w:t xml:space="preserve"> </w:t>
      </w:r>
      <w:r w:rsidRPr="004A175F">
        <w:t xml:space="preserve">lipca 2004 r. – Prawo telekomunikacyjne </w:t>
      </w:r>
      <w:r w:rsidR="0042019A">
        <w:t>(Dz. U. z 2014 r. poz. </w:t>
      </w:r>
      <w:r w:rsidR="00BF5839" w:rsidRPr="004A175F">
        <w:t xml:space="preserve">243, z </w:t>
      </w:r>
      <w:proofErr w:type="spellStart"/>
      <w:r w:rsidR="00BF5839" w:rsidRPr="004A175F">
        <w:t>późn</w:t>
      </w:r>
      <w:proofErr w:type="spellEnd"/>
      <w:r w:rsidR="00BF5839" w:rsidRPr="004A175F">
        <w:t>. zm.</w:t>
      </w:r>
      <w:r w:rsidR="00BF5839" w:rsidRPr="00D63191">
        <w:rPr>
          <w:vertAlign w:val="superscript"/>
        </w:rPr>
        <w:footnoteReference w:id="8"/>
      </w:r>
      <w:r w:rsidR="00BF5839" w:rsidRPr="00D63191">
        <w:rPr>
          <w:vertAlign w:val="superscript"/>
        </w:rPr>
        <w:t>)</w:t>
      </w:r>
      <w:r w:rsidR="00BF5839" w:rsidRPr="004A175F">
        <w:t>)</w:t>
      </w:r>
      <w:r w:rsidRPr="004A175F">
        <w:t>;</w:t>
      </w:r>
    </w:p>
    <w:p w:rsidR="00E67F69" w:rsidRPr="004A175F" w:rsidRDefault="00E67F69" w:rsidP="0076280F">
      <w:pPr>
        <w:numPr>
          <w:ilvl w:val="0"/>
          <w:numId w:val="6"/>
        </w:numPr>
        <w:tabs>
          <w:tab w:val="left" w:pos="426"/>
        </w:tabs>
        <w:spacing w:line="360" w:lineRule="auto"/>
        <w:ind w:left="426" w:hanging="426"/>
        <w:jc w:val="both"/>
      </w:pPr>
      <w:r w:rsidRPr="004A175F">
        <w:t>ustawie z</w:t>
      </w:r>
      <w:r w:rsidR="008E00D6" w:rsidRPr="004A175F">
        <w:t xml:space="preserve"> </w:t>
      </w:r>
      <w:r w:rsidRPr="004A175F">
        <w:t xml:space="preserve">dnia 13 kwietnia 2007 r. o Państwowej Inspekcji Pracy </w:t>
      </w:r>
      <w:r w:rsidR="00BF5839" w:rsidRPr="004A175F">
        <w:t>(Dz. U. z 2015 r. poz. 640 i 1240);</w:t>
      </w:r>
    </w:p>
    <w:p w:rsidR="00E67F69" w:rsidRPr="004A175F" w:rsidRDefault="00E67F69" w:rsidP="0076280F">
      <w:pPr>
        <w:numPr>
          <w:ilvl w:val="0"/>
          <w:numId w:val="6"/>
        </w:numPr>
        <w:tabs>
          <w:tab w:val="left" w:pos="426"/>
        </w:tabs>
        <w:spacing w:line="360" w:lineRule="auto"/>
        <w:ind w:left="426" w:hanging="426"/>
        <w:jc w:val="both"/>
      </w:pPr>
      <w:r w:rsidRPr="004A175F">
        <w:t>ustawie z dnia 13 kwietnia 2007 r. o</w:t>
      </w:r>
      <w:r w:rsidR="008E00D6" w:rsidRPr="004A175F">
        <w:t xml:space="preserve"> </w:t>
      </w:r>
      <w:r w:rsidRPr="004A175F">
        <w:t xml:space="preserve">kompatybilności elektromagnetycznej </w:t>
      </w:r>
      <w:r w:rsidR="00BF5839" w:rsidRPr="004A175F">
        <w:t xml:space="preserve">(Dz. U. Nr 82, poz. 556, z </w:t>
      </w:r>
      <w:proofErr w:type="spellStart"/>
      <w:r w:rsidR="00BF5839" w:rsidRPr="004A175F">
        <w:t>późn</w:t>
      </w:r>
      <w:proofErr w:type="spellEnd"/>
      <w:r w:rsidR="00BF5839" w:rsidRPr="004A175F">
        <w:t>. zm.</w:t>
      </w:r>
      <w:r w:rsidR="00BF5839" w:rsidRPr="004A175F">
        <w:rPr>
          <w:rStyle w:val="Odwoanieprzypisudolnego"/>
        </w:rPr>
        <w:footnoteReference w:id="9"/>
      </w:r>
      <w:r w:rsidR="00BF5839" w:rsidRPr="004A175F">
        <w:rPr>
          <w:rStyle w:val="IGindeksgrny"/>
        </w:rPr>
        <w:t>)</w:t>
      </w:r>
      <w:r w:rsidR="00BF5839" w:rsidRPr="004A175F">
        <w:t>)</w:t>
      </w:r>
      <w:r w:rsidRPr="004A175F">
        <w:t>;</w:t>
      </w:r>
    </w:p>
    <w:p w:rsidR="00E67F69" w:rsidRPr="004A175F" w:rsidRDefault="00E67F69" w:rsidP="0076280F">
      <w:pPr>
        <w:numPr>
          <w:ilvl w:val="0"/>
          <w:numId w:val="6"/>
        </w:numPr>
        <w:tabs>
          <w:tab w:val="left" w:pos="426"/>
        </w:tabs>
        <w:spacing w:line="360" w:lineRule="auto"/>
        <w:ind w:left="426" w:hanging="426"/>
        <w:jc w:val="both"/>
      </w:pPr>
      <w:r w:rsidRPr="004A175F">
        <w:t xml:space="preserve">ustawie z dnia 20 maja 2010 r. o wyrobach medycznych </w:t>
      </w:r>
      <w:r w:rsidR="003B3986" w:rsidRPr="004A175F">
        <w:t>(Dz. U. z 2015 r. poz. 876 i 1918)</w:t>
      </w:r>
      <w:r w:rsidRPr="004A175F">
        <w:t>;</w:t>
      </w:r>
    </w:p>
    <w:p w:rsidR="008E3622" w:rsidRPr="004A175F" w:rsidRDefault="00E67F69" w:rsidP="007F14E6">
      <w:pPr>
        <w:numPr>
          <w:ilvl w:val="0"/>
          <w:numId w:val="6"/>
        </w:numPr>
        <w:tabs>
          <w:tab w:val="left" w:pos="426"/>
        </w:tabs>
        <w:spacing w:before="120" w:line="360" w:lineRule="auto"/>
        <w:ind w:left="426" w:hanging="426"/>
        <w:jc w:val="both"/>
      </w:pPr>
      <w:r w:rsidRPr="004A175F">
        <w:lastRenderedPageBreak/>
        <w:t xml:space="preserve">ustawie z dnia 9 czerwca 2011 r. </w:t>
      </w:r>
      <w:r w:rsidR="009D551C">
        <w:t>–</w:t>
      </w:r>
      <w:r w:rsidR="003B3986" w:rsidRPr="004A175F">
        <w:t xml:space="preserve"> </w:t>
      </w:r>
      <w:r w:rsidRPr="004A175F">
        <w:t xml:space="preserve">Prawo geologiczne i górnicze </w:t>
      </w:r>
      <w:r w:rsidR="003B3986" w:rsidRPr="004A175F">
        <w:t>(Dz. U. z 2015 r. poz. 196 i 1505)</w:t>
      </w:r>
      <w:r w:rsidRPr="004A175F">
        <w:t>;</w:t>
      </w:r>
    </w:p>
    <w:p w:rsidR="00643C0A" w:rsidRPr="004A175F" w:rsidRDefault="00E67F69" w:rsidP="007F14E6">
      <w:pPr>
        <w:numPr>
          <w:ilvl w:val="0"/>
          <w:numId w:val="6"/>
        </w:numPr>
        <w:tabs>
          <w:tab w:val="left" w:pos="426"/>
        </w:tabs>
        <w:spacing w:before="120" w:line="360" w:lineRule="auto"/>
        <w:ind w:left="426" w:hanging="426"/>
        <w:jc w:val="both"/>
      </w:pPr>
      <w:r w:rsidRPr="004A175F">
        <w:t xml:space="preserve">ustawie z dnia 19 sierpnia z 2011 r. o przewozie towarów niebezpiecznych </w:t>
      </w:r>
      <w:r w:rsidR="003B3986" w:rsidRPr="004A175F">
        <w:t>(Dz. U. Nr 227, poz. 1367 i Nr 244, poz. 1454 oraz z 2015 r. poz. 1273 i 1893);</w:t>
      </w:r>
    </w:p>
    <w:p w:rsidR="00E67F69" w:rsidRPr="004A175F" w:rsidRDefault="00643C0A" w:rsidP="007F14E6">
      <w:pPr>
        <w:numPr>
          <w:ilvl w:val="0"/>
          <w:numId w:val="6"/>
        </w:numPr>
        <w:tabs>
          <w:tab w:val="left" w:pos="426"/>
        </w:tabs>
        <w:spacing w:before="120" w:line="360" w:lineRule="auto"/>
        <w:ind w:left="426" w:hanging="426"/>
        <w:jc w:val="both"/>
      </w:pPr>
      <w:r w:rsidRPr="004A175F">
        <w:t>ustawie z</w:t>
      </w:r>
      <w:r w:rsidR="004A175F" w:rsidRPr="004A175F">
        <w:t xml:space="preserve"> </w:t>
      </w:r>
      <w:r w:rsidRPr="004A175F">
        <w:t xml:space="preserve">dnia 14 września 2012 r. </w:t>
      </w:r>
      <w:r w:rsidR="004522B6" w:rsidRPr="004A175F">
        <w:t>o informowaniu o zużyciu energii przez produkty wykorzystujące energię oraz o kontroli realizacji programu znakowania urządzeń biurowych</w:t>
      </w:r>
      <w:r w:rsidR="004522B6" w:rsidRPr="004A175F" w:rsidDel="004522B6">
        <w:t xml:space="preserve"> </w:t>
      </w:r>
      <w:r w:rsidR="003B3986" w:rsidRPr="004A175F">
        <w:t>(Dz. U. poz. 1203 oraz z 2015 r. poz. 1069).</w:t>
      </w:r>
    </w:p>
    <w:p w:rsidR="00C1218E" w:rsidRPr="004A175F" w:rsidRDefault="00A91A06" w:rsidP="007F14E6">
      <w:pPr>
        <w:spacing w:before="120" w:line="360" w:lineRule="auto"/>
        <w:jc w:val="both"/>
      </w:pPr>
      <w:r w:rsidRPr="004A175F">
        <w:t>Przepisy zmieniające wyżej wymienione ustawy porządkują kompetencje poszczególnych organów nadzoru rynku i wzmacniają ich pozycję ustrojową. Zapewniają stosowanie jednolitych dla wszystkich organów nadzoru rynku procedur postępowania, z wyjątkiem organów nadzoru budowlanego</w:t>
      </w:r>
      <w:r w:rsidR="004522B6" w:rsidRPr="004A175F">
        <w:t>, Inspekcji Transportu Drogowego i Prezesa Urzędu Transportu Kolejowego, ze względu na specyfikę kontrolowanych obszarów</w:t>
      </w:r>
      <w:r w:rsidRPr="004A175F">
        <w:t xml:space="preserve">. </w:t>
      </w:r>
    </w:p>
    <w:p w:rsidR="00526326" w:rsidRPr="004A175F" w:rsidRDefault="00526326" w:rsidP="007F14E6">
      <w:pPr>
        <w:spacing w:before="120" w:line="360" w:lineRule="auto"/>
        <w:jc w:val="both"/>
      </w:pPr>
      <w:r w:rsidRPr="004A175F">
        <w:t xml:space="preserve">Jednocześnie w ustawie z dnia 16 lipca 2004 r. </w:t>
      </w:r>
      <w:r w:rsidR="009D551C">
        <w:t>–</w:t>
      </w:r>
      <w:r w:rsidRPr="004A175F">
        <w:t xml:space="preserve"> Prawo telekomunikacyjne </w:t>
      </w:r>
      <w:r w:rsidR="006C183E" w:rsidRPr="004A175F">
        <w:t>przypisano Prezesowi</w:t>
      </w:r>
      <w:r w:rsidRPr="004A175F">
        <w:t xml:space="preserve"> Urzędu Komunikacji Elektronicznej </w:t>
      </w:r>
      <w:r w:rsidR="006C183E" w:rsidRPr="004A175F">
        <w:t xml:space="preserve">realizację zadań z zakresu rozporządzenia Komisji (WE) nr 617/2013 z dnia 26 czerwca 2013 r. w sprawie wykonania dyrektywy 2005/32/WE Parlamentu Europejskiego i Rady w odniesieniu do wymogów dotyczących </w:t>
      </w:r>
      <w:proofErr w:type="spellStart"/>
      <w:r w:rsidR="006C183E" w:rsidRPr="004A175F">
        <w:t>ekoprojektu</w:t>
      </w:r>
      <w:proofErr w:type="spellEnd"/>
      <w:r w:rsidR="006C183E" w:rsidRPr="004A175F">
        <w:t xml:space="preserve"> dla komputerów </w:t>
      </w:r>
      <w:r w:rsidR="00D611BF">
        <w:t>i serwerów (Dz. Urz. UE L 175 z </w:t>
      </w:r>
      <w:r w:rsidR="006C183E" w:rsidRPr="004A175F">
        <w:t>27.06.2013, str. 13), które obowiązuje bezpośrednio od lipca 2014 roku.</w:t>
      </w:r>
    </w:p>
    <w:p w:rsidR="00A91A06" w:rsidRPr="004A175F" w:rsidRDefault="00A91A06" w:rsidP="007F14E6">
      <w:pPr>
        <w:spacing w:before="120" w:line="360" w:lineRule="auto"/>
        <w:jc w:val="both"/>
      </w:pPr>
      <w:r w:rsidRPr="004A175F">
        <w:t>Ponadto przejęcie zadań organu nadzoru rynku przez administrację miar wymaga wprowadzenia zmian w ustawie z dnia 11 maja 2001 r. – Prawo o miarach, polegających na wskazaniu, które organy administracji miar będą realizowały zadania wynikające z ustawy o system</w:t>
      </w:r>
      <w:r w:rsidR="004522B6" w:rsidRPr="004A175F">
        <w:t>ach</w:t>
      </w:r>
      <w:r w:rsidRPr="004A175F">
        <w:t xml:space="preserve"> oceny zgodności </w:t>
      </w:r>
      <w:r w:rsidR="00643C0A" w:rsidRPr="004A175F">
        <w:t xml:space="preserve">i nadzoru rynku </w:t>
      </w:r>
      <w:r w:rsidRPr="004A175F">
        <w:t>oraz w jakim zakresie (</w:t>
      </w:r>
      <w:r w:rsidR="00526326" w:rsidRPr="004A175F">
        <w:t xml:space="preserve">dyrektor okręgowego </w:t>
      </w:r>
      <w:r w:rsidRPr="004A175F">
        <w:t xml:space="preserve">urzędu miar będzie kontrolował spełnianie przez wyroby wymagań, natomiast </w:t>
      </w:r>
      <w:r w:rsidR="00526326" w:rsidRPr="004A175F">
        <w:t>Prezes Głównego U</w:t>
      </w:r>
      <w:r w:rsidRPr="004A175F">
        <w:t xml:space="preserve">rzędu </w:t>
      </w:r>
      <w:r w:rsidR="00526326" w:rsidRPr="004A175F">
        <w:t>M</w:t>
      </w:r>
      <w:r w:rsidRPr="004A175F">
        <w:t>iar – prowadził postępowania w sprawie niezgodnych wyrobów wprowadzonych do obrotu).</w:t>
      </w:r>
    </w:p>
    <w:p w:rsidR="008E2230" w:rsidRPr="004A175F" w:rsidRDefault="008E2230" w:rsidP="007F14E6">
      <w:pPr>
        <w:spacing w:before="120" w:line="360" w:lineRule="auto"/>
        <w:jc w:val="both"/>
      </w:pPr>
      <w:r w:rsidRPr="004A175F">
        <w:t>Zmiany proponowane w ustawie z dnia 28 marca 2003 r. o transporcie kolejowym mają charakter wynikowy i są konsekwencją uregulowań przyjętych w procedowanym projekcie. Projekt ustawy przewiduje przeniesienie obowiązku dokonywania notyfikacji z ministra właściwego ds. gospodarki na organ dokonujący autoryzacji (ministra lub kierownika urzędu centralnego właściwego ze względu na przedmi</w:t>
      </w:r>
      <w:r w:rsidR="00CB0FD7" w:rsidRPr="004A175F">
        <w:t>ot oceny zgodności), co wymusza zmiany w</w:t>
      </w:r>
      <w:r w:rsidRPr="004A175F">
        <w:t xml:space="preserve"> art. 25i ustawy o transporcie kolejowym. Obejmują one </w:t>
      </w:r>
      <w:r w:rsidRPr="004A175F">
        <w:lastRenderedPageBreak/>
        <w:t>wskazanie, że notyfikacji dokonuje Prezes UTK</w:t>
      </w:r>
      <w:r w:rsidR="00E76D0D">
        <w:t>,</w:t>
      </w:r>
      <w:r w:rsidRPr="004A175F">
        <w:t xml:space="preserve"> oraz wprowadzają przepis kompetencyjny umożliwiający Prezesowi UTK cofnięcie notyfikacji lub ograniczenia jej zakresu w określonych przypadkach. Zdecydowana większość zmian wprowadzanych w ustawie o transporcie kolejowym wiąże się z eliminacją dotychczasowego podziału na „notyfikowane jednostki certyfikujące”, „notyfikowane jednostki kontrolujące” i „notyfikowane laboratoria” oraz wprowadzeniem w ich miejsce jednego pojęcia „jednostki notyfikowanej”</w:t>
      </w:r>
      <w:r w:rsidR="00D611BF">
        <w:t>. W celu zachowania zgodności z </w:t>
      </w:r>
      <w:r w:rsidRPr="004A175F">
        <w:t>przepisami nowej ustawy o system</w:t>
      </w:r>
      <w:r w:rsidR="004522B6" w:rsidRPr="004A175F">
        <w:t>ach</w:t>
      </w:r>
      <w:r w:rsidRPr="004A175F">
        <w:t xml:space="preserve"> oceny zgodności </w:t>
      </w:r>
      <w:r w:rsidR="00CB0FD7" w:rsidRPr="004A175F">
        <w:t xml:space="preserve">i nadzoru rynku </w:t>
      </w:r>
      <w:r w:rsidRPr="004A175F">
        <w:t>analogiczne zmiany muszą być również dokonane w ustawie o transporcie kolejowym. W efekcie zmieniane są przepisy m.in. art. 4, 23f, 23g oraz więk</w:t>
      </w:r>
      <w:r w:rsidR="00D611BF">
        <w:t xml:space="preserve">szości z rozdziału </w:t>
      </w:r>
      <w:proofErr w:type="spellStart"/>
      <w:r w:rsidR="00D611BF">
        <w:t>IVa</w:t>
      </w:r>
      <w:proofErr w:type="spellEnd"/>
      <w:r w:rsidR="00D611BF">
        <w:t xml:space="preserve"> ustawy o </w:t>
      </w:r>
      <w:r w:rsidRPr="004A175F">
        <w:t>transporcie kolejowym (art. 25</w:t>
      </w:r>
      <w:r w:rsidR="00EF0363" w:rsidRPr="004A175F">
        <w:t>b ust. 1</w:t>
      </w:r>
      <w:r w:rsidR="009D551C">
        <w:t>–</w:t>
      </w:r>
      <w:r w:rsidR="00EF0363" w:rsidRPr="004A175F">
        <w:t>2, 25ca, 25cc, 25d i 25h</w:t>
      </w:r>
      <w:r w:rsidRPr="004A175F">
        <w:t>), gdzie występowało dotychczas przynajmniej jedno z trzech ww. poję</w:t>
      </w:r>
      <w:r w:rsidR="00D611BF">
        <w:t>ć. Pozostałe zmiany w ustawie o </w:t>
      </w:r>
      <w:r w:rsidRPr="004A175F">
        <w:t xml:space="preserve">transporcie kolejowym mają charakter techniczny i dotyczą zastąpienia </w:t>
      </w:r>
      <w:proofErr w:type="spellStart"/>
      <w:r w:rsidRPr="004A175F">
        <w:t>odwołań</w:t>
      </w:r>
      <w:proofErr w:type="spellEnd"/>
      <w:r w:rsidRPr="004A175F">
        <w:t xml:space="preserve"> do dotychczasowej ustawy z dnia 30 sierpnia 2002 r. o systemie oceny zgodnoś</w:t>
      </w:r>
      <w:r w:rsidR="00CB0FD7" w:rsidRPr="004A175F">
        <w:t xml:space="preserve">ci </w:t>
      </w:r>
      <w:proofErr w:type="spellStart"/>
      <w:r w:rsidR="00CB0FD7" w:rsidRPr="004A175F">
        <w:t>odwołaniami</w:t>
      </w:r>
      <w:proofErr w:type="spellEnd"/>
      <w:r w:rsidR="00CB0FD7" w:rsidRPr="004A175F">
        <w:t xml:space="preserve"> do nowej ustawy.</w:t>
      </w:r>
    </w:p>
    <w:p w:rsidR="00E95FD1" w:rsidRPr="004A175F" w:rsidRDefault="005B1AC1" w:rsidP="007F14E6">
      <w:pPr>
        <w:spacing w:before="120" w:line="360" w:lineRule="auto"/>
        <w:jc w:val="both"/>
      </w:pPr>
      <w:r w:rsidRPr="004A175F">
        <w:t>Zmiany</w:t>
      </w:r>
      <w:r w:rsidR="00E95FD1" w:rsidRPr="004A175F">
        <w:t xml:space="preserve"> ustawy z dnia 13 kwietnia 2007 r. o kompatybilności elektromagnetycznej wynika</w:t>
      </w:r>
      <w:r w:rsidRPr="004A175F">
        <w:t>ją</w:t>
      </w:r>
      <w:r w:rsidR="00E95FD1" w:rsidRPr="004A175F">
        <w:t xml:space="preserve"> z konieczności dostosowania przepisów do dyrektywy Parlamentu Europejskiego i Rady 2014/30/UE z dnia 26 lutego 2014 r. w sprawie harmonizacji ustawodawstw państw członkowskich odnoszących się do kompatybilności elektromagnetycznej. Zastąpiła ona dyrektywę 2004/108/WE w sprawie zb</w:t>
      </w:r>
      <w:r w:rsidRPr="004A175F">
        <w:t>liżenia ustawodawstw państw c</w:t>
      </w:r>
      <w:r w:rsidR="00E95FD1" w:rsidRPr="004A175F">
        <w:t>złonkowskich odnoszących się do kompatybilności ele</w:t>
      </w:r>
      <w:r w:rsidRPr="004A175F">
        <w:t>ktromagnetycznej oraz uchylającą</w:t>
      </w:r>
      <w:r w:rsidR="00E95FD1" w:rsidRPr="004A175F">
        <w:t xml:space="preserve"> dyrektywę 89/336/EWG, która została wdrożona w ustawie o kompatybilności elektromagnetycznej.</w:t>
      </w:r>
      <w:r w:rsidRPr="004A175F">
        <w:t xml:space="preserve"> </w:t>
      </w:r>
      <w:r w:rsidR="00E95FD1" w:rsidRPr="004A175F">
        <w:t>Część zmian ma charakter legislacyjny i polega na zmianie odesłania do usta</w:t>
      </w:r>
      <w:r w:rsidR="00D611BF">
        <w:t>wy o systemie oceny zgodności i </w:t>
      </w:r>
      <w:r w:rsidR="00E95FD1" w:rsidRPr="004A175F">
        <w:t>nadzoru rynku oraz o zmianie niektórych innych ustaw oraz w przypadku produktów lotniczych odesłanie do zmienionej dyrektywy (art. 5 pkt 7).</w:t>
      </w:r>
    </w:p>
    <w:p w:rsidR="00E95FD1" w:rsidRPr="004A175F" w:rsidRDefault="005B1AC1" w:rsidP="007F14E6">
      <w:pPr>
        <w:spacing w:before="120" w:line="360" w:lineRule="auto"/>
        <w:jc w:val="both"/>
      </w:pPr>
      <w:r w:rsidRPr="004A175F">
        <w:t>W</w:t>
      </w:r>
      <w:r w:rsidR="00E95FD1" w:rsidRPr="004A175F">
        <w:t>prowadzono też zmiany mające na celu ujednolicenie pojęć</w:t>
      </w:r>
      <w:r w:rsidR="000D446B">
        <w:t>,</w:t>
      </w:r>
      <w:r w:rsidR="00E95FD1" w:rsidRPr="004A175F">
        <w:t xml:space="preserve"> którymi posługują się projekt ustawy o systemie oceny zgodności oraz ustawa o kompatybilności elektromagnetycznej. W tym celu zmieniono m.in. zwrot:</w:t>
      </w:r>
    </w:p>
    <w:p w:rsidR="00E95FD1" w:rsidRPr="004A175F" w:rsidRDefault="007F14E6" w:rsidP="00D63191">
      <w:pPr>
        <w:tabs>
          <w:tab w:val="left" w:pos="322"/>
        </w:tabs>
        <w:spacing w:line="360" w:lineRule="auto"/>
        <w:jc w:val="both"/>
      </w:pPr>
      <w:r>
        <w:t>–</w:t>
      </w:r>
      <w:r>
        <w:tab/>
      </w:r>
      <w:r w:rsidR="00E95FD1" w:rsidRPr="004A175F">
        <w:t>„dostępne w obrocie” na „udostępnione na rynku” (art. 6 pkt 1);</w:t>
      </w:r>
    </w:p>
    <w:p w:rsidR="00E95FD1" w:rsidRPr="004A175F" w:rsidRDefault="007F14E6" w:rsidP="007F14E6">
      <w:pPr>
        <w:tabs>
          <w:tab w:val="left" w:pos="322"/>
        </w:tabs>
        <w:spacing w:line="360" w:lineRule="auto"/>
        <w:ind w:left="322" w:hanging="322"/>
        <w:jc w:val="both"/>
      </w:pPr>
      <w:r>
        <w:t>–</w:t>
      </w:r>
      <w:r>
        <w:tab/>
      </w:r>
      <w:r w:rsidR="000D446B">
        <w:t>„</w:t>
      </w:r>
      <w:r w:rsidR="00E95FD1" w:rsidRPr="004A175F">
        <w:t>od dnia wyprodukowania ostatniego egzemplarza” na „od dnia wprowadzenia aparatury do obrotu” (art. 16 ust. 1);</w:t>
      </w:r>
    </w:p>
    <w:p w:rsidR="00E95FD1" w:rsidRPr="004A175F" w:rsidRDefault="007F14E6" w:rsidP="007F14E6">
      <w:pPr>
        <w:tabs>
          <w:tab w:val="left" w:pos="322"/>
        </w:tabs>
        <w:spacing w:line="360" w:lineRule="auto"/>
        <w:jc w:val="both"/>
      </w:pPr>
      <w:r>
        <w:t>–</w:t>
      </w:r>
      <w:r>
        <w:tab/>
      </w:r>
      <w:r w:rsidR="00E95FD1" w:rsidRPr="004A175F">
        <w:t>„oddanie do użytku” na „wprowadzenie do obrotu” (art. 17 ust. 1);</w:t>
      </w:r>
    </w:p>
    <w:p w:rsidR="00E95FD1" w:rsidRPr="004A175F" w:rsidRDefault="007F14E6" w:rsidP="007F14E6">
      <w:pPr>
        <w:tabs>
          <w:tab w:val="left" w:pos="322"/>
        </w:tabs>
        <w:spacing w:line="360" w:lineRule="auto"/>
        <w:jc w:val="both"/>
      </w:pPr>
      <w:r>
        <w:lastRenderedPageBreak/>
        <w:t>–</w:t>
      </w:r>
      <w:r>
        <w:tab/>
      </w:r>
      <w:r w:rsidR="00E95FD1" w:rsidRPr="004A175F">
        <w:t>„niedostępna w obrocie” na „niedostępna na rynku” (art. 17 ust. 3).</w:t>
      </w:r>
    </w:p>
    <w:p w:rsidR="00E95FD1" w:rsidRPr="004A175F" w:rsidRDefault="00E95FD1" w:rsidP="007F14E6">
      <w:pPr>
        <w:spacing w:before="120" w:line="360" w:lineRule="auto"/>
        <w:jc w:val="both"/>
      </w:pPr>
      <w:r w:rsidRPr="004A175F">
        <w:t>Uszczegółowiono przepisy dotyczące oznakowania CE (art. 14), instalacji stacjonarnej (art. 16a), dokumentacji technicznej (art. 10). Rozbudowano również przepisy dotyczące poddawania aparatury ocenie zgodności z udziałem jednostki notyfikowanej (art. 11), co wynika z doprecyzowania dyrektyw</w:t>
      </w:r>
      <w:r w:rsidR="0042019A">
        <w:t>y w tym zakresie (załącznik III </w:t>
      </w:r>
      <w:r w:rsidRPr="004A175F">
        <w:t xml:space="preserve">dyrektywy </w:t>
      </w:r>
      <w:r w:rsidR="009D551C">
        <w:t>–</w:t>
      </w:r>
      <w:r w:rsidRPr="004A175F">
        <w:t xml:space="preserve"> badanie typu UE).</w:t>
      </w:r>
      <w:r w:rsidR="005B1AC1" w:rsidRPr="004A175F">
        <w:t xml:space="preserve"> </w:t>
      </w:r>
      <w:r w:rsidRPr="004A175F">
        <w:t>Uchylono art. 13 ustawy wskazujący w sposób opisowy zawartość deklaracji zgodności i wprowadzono załącznik do ustawy określający szczegółowo wzór deklaracji zgodności UE zgodnie z brzmieniem wskazanym przez dyrektywę.</w:t>
      </w:r>
      <w:r w:rsidR="005B1AC1" w:rsidRPr="004A175F">
        <w:t xml:space="preserve"> </w:t>
      </w:r>
      <w:r w:rsidRPr="004A175F">
        <w:t>W celu zapewnienia zgodności z art. 19 ust. 1 akapit 3 dyrektywy uzupełniono art. 17 ust. 4 pkt 5 o dane identyfikujące importera.</w:t>
      </w:r>
    </w:p>
    <w:p w:rsidR="00115BB8" w:rsidRPr="004A175F" w:rsidRDefault="00E95FD1" w:rsidP="004A175F">
      <w:pPr>
        <w:spacing w:before="120" w:line="360" w:lineRule="auto"/>
        <w:jc w:val="both"/>
      </w:pPr>
      <w:r w:rsidRPr="004A175F">
        <w:t>Wprowadzono przepis przejściowy</w:t>
      </w:r>
      <w:r w:rsidR="009C73C2" w:rsidRPr="004A175F">
        <w:t>,</w:t>
      </w:r>
      <w:r w:rsidRPr="004A175F">
        <w:t xml:space="preserve"> zgodnie z któr</w:t>
      </w:r>
      <w:r w:rsidR="00D611BF">
        <w:t>ym urządzenia, o których mowa w </w:t>
      </w:r>
      <w:r w:rsidRPr="004A175F">
        <w:t>art. 1, mogą być wprowadzone do obrotu lub oddane do użytku zgodnie z przepisami obowiązującymi przed dniem wejścia w życie niniejszej ustawy do dnia 20 kwietnia 2016 r. Ma to na celu realizację zobowiązania wynikającego z art. 43 dyrektywy</w:t>
      </w:r>
      <w:r w:rsidR="000D446B">
        <w:t>,</w:t>
      </w:r>
      <w:r w:rsidRPr="004A175F">
        <w:t xml:space="preserve"> zgodnie z którym państwa członkowskie nie utrudniają udostępniania na rynku lub oddawania do użytku urządzeń, które są zgodne z dyrektywą 2004/108/WE, i które zostały wprowadzone do obrotu przed ww. dniem.</w:t>
      </w:r>
    </w:p>
    <w:p w:rsidR="00220AF8" w:rsidRPr="007F14E6" w:rsidRDefault="00EE2A8B" w:rsidP="007F14E6">
      <w:pPr>
        <w:spacing w:before="240" w:line="360" w:lineRule="auto"/>
        <w:jc w:val="both"/>
      </w:pPr>
      <w:r w:rsidRPr="007F14E6">
        <w:t>Przepisy przejściowe i końcowe</w:t>
      </w:r>
    </w:p>
    <w:p w:rsidR="00EE2A8B" w:rsidRPr="004A175F" w:rsidRDefault="00EE2A8B" w:rsidP="007F14E6">
      <w:pPr>
        <w:spacing w:before="120" w:line="360" w:lineRule="auto"/>
        <w:jc w:val="both"/>
      </w:pPr>
      <w:r w:rsidRPr="004A175F">
        <w:t>P</w:t>
      </w:r>
      <w:r w:rsidR="00DE17EB" w:rsidRPr="004A175F">
        <w:t>rzepis</w:t>
      </w:r>
      <w:r w:rsidRPr="004A175F">
        <w:t>y</w:t>
      </w:r>
      <w:r w:rsidR="00DE17EB" w:rsidRPr="004A175F">
        <w:t xml:space="preserve"> </w:t>
      </w:r>
      <w:r w:rsidRPr="004A175F">
        <w:t xml:space="preserve">przejściowe i </w:t>
      </w:r>
      <w:r w:rsidR="00DE17EB" w:rsidRPr="004A175F">
        <w:t>końcow</w:t>
      </w:r>
      <w:r w:rsidRPr="004A175F">
        <w:t>e</w:t>
      </w:r>
      <w:r w:rsidR="00EF5B65" w:rsidRPr="004A175F">
        <w:t xml:space="preserve"> </w:t>
      </w:r>
      <w:r w:rsidRPr="004A175F">
        <w:t>dotyczą funkcjonowania Polskiego Centrum Akredytacji, rozpoczętych procedur akredytacji oraz kontroli i postępowań w sprawie wyrobów podlegających ocenie zgodności.</w:t>
      </w:r>
    </w:p>
    <w:p w:rsidR="00761839" w:rsidRPr="004A175F" w:rsidRDefault="00EC191D" w:rsidP="007F14E6">
      <w:pPr>
        <w:spacing w:before="120" w:line="360" w:lineRule="auto"/>
        <w:jc w:val="both"/>
      </w:pPr>
      <w:r w:rsidRPr="004A175F">
        <w:t xml:space="preserve">Ze względu na niedostosowanie przez </w:t>
      </w:r>
      <w:r w:rsidR="00B9463B" w:rsidRPr="004A175F">
        <w:t xml:space="preserve">Parlament Europejski i Radę </w:t>
      </w:r>
      <w:r w:rsidRPr="004A175F">
        <w:t xml:space="preserve">wszystkich dyrektyw </w:t>
      </w:r>
      <w:r w:rsidR="003F23F4" w:rsidRPr="004A175F">
        <w:t>sektorowych</w:t>
      </w:r>
      <w:r w:rsidRPr="004A175F">
        <w:t xml:space="preserve"> </w:t>
      </w:r>
      <w:r w:rsidR="00B9463B" w:rsidRPr="004A175F">
        <w:t xml:space="preserve">objętych unijnym systemem nadzoru rynku </w:t>
      </w:r>
      <w:r w:rsidRPr="004A175F">
        <w:t>do decyzji 768/2008</w:t>
      </w:r>
      <w:r w:rsidR="0072603D" w:rsidRPr="004A175F">
        <w:t>/WE</w:t>
      </w:r>
      <w:r w:rsidRPr="004A175F">
        <w:t>, konieczne jest pozostawienie mo</w:t>
      </w:r>
      <w:r w:rsidR="00D611BF">
        <w:t>żliwości prowadzenia kontroli i </w:t>
      </w:r>
      <w:r w:rsidRPr="004A175F">
        <w:t>postępowań, a także karania na podstawie przepisów u</w:t>
      </w:r>
      <w:r w:rsidR="00DE17EB" w:rsidRPr="004A175F">
        <w:t>staw</w:t>
      </w:r>
      <w:r w:rsidRPr="004A175F">
        <w:t>y</w:t>
      </w:r>
      <w:r w:rsidR="00D611BF">
        <w:t xml:space="preserve"> z dnia 30 sierpnia 2002 r. o </w:t>
      </w:r>
      <w:r w:rsidR="00DE17EB" w:rsidRPr="004A175F">
        <w:t>systemie oceny zgodności</w:t>
      </w:r>
      <w:r w:rsidRPr="004A175F">
        <w:t>.</w:t>
      </w:r>
      <w:r w:rsidR="00DE17EB" w:rsidRPr="004A175F">
        <w:t xml:space="preserve"> </w:t>
      </w:r>
      <w:r w:rsidRPr="004A175F">
        <w:t xml:space="preserve">Przepisy te będą miały zastosowanie do czasu dostosowania </w:t>
      </w:r>
      <w:r w:rsidR="003F23F4" w:rsidRPr="004A175F">
        <w:t xml:space="preserve">pozostałych </w:t>
      </w:r>
      <w:r w:rsidRPr="004A175F">
        <w:t xml:space="preserve">dyrektyw </w:t>
      </w:r>
      <w:r w:rsidR="003F23F4" w:rsidRPr="004A175F">
        <w:t xml:space="preserve">sektorowych </w:t>
      </w:r>
      <w:r w:rsidRPr="004A175F">
        <w:t>do decyzji 768/2008</w:t>
      </w:r>
      <w:r w:rsidR="0072603D" w:rsidRPr="004A175F">
        <w:t>/WE</w:t>
      </w:r>
      <w:r w:rsidR="00761839" w:rsidRPr="004A175F">
        <w:t xml:space="preserve"> oraz </w:t>
      </w:r>
      <w:r w:rsidR="00D611BF">
        <w:t>w </w:t>
      </w:r>
      <w:r w:rsidR="00DE17EB" w:rsidRPr="004A175F">
        <w:t xml:space="preserve">stosunku do wyrobów objętych </w:t>
      </w:r>
      <w:r w:rsidR="00B9463B" w:rsidRPr="004A175F">
        <w:t xml:space="preserve">tymi dyrektywami, które zostały wdrożone na grunt prawa krajowego </w:t>
      </w:r>
      <w:r w:rsidR="003F23F4" w:rsidRPr="004A175F">
        <w:t xml:space="preserve">niżej wymienionymi </w:t>
      </w:r>
      <w:r w:rsidR="00DE17EB" w:rsidRPr="004A175F">
        <w:t>rozporządzeni</w:t>
      </w:r>
      <w:r w:rsidR="00761839" w:rsidRPr="004A175F">
        <w:t xml:space="preserve">ami wydanymi na podstawie art. 9 i 10 ustawy z </w:t>
      </w:r>
      <w:r w:rsidR="00415E2F">
        <w:t xml:space="preserve">dnia </w:t>
      </w:r>
      <w:r w:rsidR="00761839" w:rsidRPr="004A175F">
        <w:t>30 sierpnia 2002 r.</w:t>
      </w:r>
      <w:r w:rsidR="005B1AC1" w:rsidRPr="004A175F">
        <w:t xml:space="preserve"> o systemie oceny zgodności</w:t>
      </w:r>
      <w:r w:rsidR="00761839" w:rsidRPr="004A175F">
        <w:t xml:space="preserve">: </w:t>
      </w:r>
    </w:p>
    <w:p w:rsidR="007215B3" w:rsidRPr="004A175F" w:rsidRDefault="007215B3" w:rsidP="004A175F">
      <w:pPr>
        <w:pStyle w:val="PKTpunkt"/>
        <w:spacing w:before="120"/>
        <w:rPr>
          <w:rFonts w:ascii="Times New Roman" w:hAnsi="Times New Roman"/>
          <w:szCs w:val="24"/>
        </w:rPr>
      </w:pPr>
      <w:r w:rsidRPr="004A175F">
        <w:rPr>
          <w:rFonts w:ascii="Times New Roman" w:hAnsi="Times New Roman"/>
          <w:bCs w:val="0"/>
          <w:szCs w:val="24"/>
        </w:rPr>
        <w:lastRenderedPageBreak/>
        <w:t>1)</w:t>
      </w:r>
      <w:r w:rsidR="00FE51AE" w:rsidRPr="004A175F">
        <w:rPr>
          <w:rFonts w:ascii="Times New Roman" w:hAnsi="Times New Roman"/>
          <w:bCs w:val="0"/>
          <w:szCs w:val="24"/>
        </w:rPr>
        <w:tab/>
      </w:r>
      <w:r w:rsidRPr="004A175F">
        <w:rPr>
          <w:rFonts w:ascii="Times New Roman" w:hAnsi="Times New Roman"/>
          <w:szCs w:val="24"/>
        </w:rPr>
        <w:t xml:space="preserve">rozporządzenie Ministra Infrastruktury z dnia 11 grudnia 2003 r. w sprawie zasadniczych wymagań dla kolei linowych przeznaczonych do przewozu osób (Dz. U. </w:t>
      </w:r>
      <w:r w:rsidR="00C82B3E" w:rsidRPr="004A175F">
        <w:rPr>
          <w:rFonts w:ascii="Times New Roman" w:hAnsi="Times New Roman"/>
          <w:szCs w:val="24"/>
        </w:rPr>
        <w:t xml:space="preserve">z 2004 r. </w:t>
      </w:r>
      <w:r w:rsidRPr="004A175F">
        <w:rPr>
          <w:rFonts w:ascii="Times New Roman" w:hAnsi="Times New Roman"/>
          <w:szCs w:val="24"/>
        </w:rPr>
        <w:t>Nr 15, poz. 130);</w:t>
      </w:r>
    </w:p>
    <w:p w:rsidR="007215B3" w:rsidRPr="004A175F" w:rsidRDefault="007215B3" w:rsidP="007F14E6">
      <w:pPr>
        <w:spacing w:line="360" w:lineRule="auto"/>
        <w:ind w:left="510" w:hanging="510"/>
        <w:jc w:val="both"/>
        <w:rPr>
          <w:bCs/>
        </w:rPr>
      </w:pPr>
      <w:r w:rsidRPr="004A175F">
        <w:rPr>
          <w:bCs/>
        </w:rPr>
        <w:t>2)</w:t>
      </w:r>
      <w:r w:rsidR="00FE51AE" w:rsidRPr="004A175F">
        <w:rPr>
          <w:bCs/>
        </w:rPr>
        <w:tab/>
      </w:r>
      <w:r w:rsidRPr="004A175F">
        <w:rPr>
          <w:bCs/>
        </w:rPr>
        <w:t>rozporządzenie Ministra Gospodarki z dnia 20 października 2005 r. w sprawie zasadniczych wymagań dotyczących efektywności energetycznej nowych wodnych kotłów grzewczych opalanych paliwami ciekłymi lub gazowymi (Dz. U. Nr 218, poz. 1846</w:t>
      </w:r>
      <w:r w:rsidR="000E6092" w:rsidRPr="004A175F">
        <w:rPr>
          <w:bCs/>
        </w:rPr>
        <w:t xml:space="preserve">, z </w:t>
      </w:r>
      <w:proofErr w:type="spellStart"/>
      <w:r w:rsidR="000E6092" w:rsidRPr="004A175F">
        <w:rPr>
          <w:bCs/>
        </w:rPr>
        <w:t>późn</w:t>
      </w:r>
      <w:proofErr w:type="spellEnd"/>
      <w:r w:rsidR="000E6092" w:rsidRPr="004A175F">
        <w:rPr>
          <w:bCs/>
        </w:rPr>
        <w:t>. zm.</w:t>
      </w:r>
      <w:r w:rsidRPr="004A175F">
        <w:rPr>
          <w:bCs/>
        </w:rPr>
        <w:t>);</w:t>
      </w:r>
    </w:p>
    <w:p w:rsidR="007215B3" w:rsidRPr="004A175F" w:rsidRDefault="007215B3" w:rsidP="007F14E6">
      <w:pPr>
        <w:spacing w:line="360" w:lineRule="auto"/>
        <w:ind w:left="510" w:hanging="510"/>
        <w:jc w:val="both"/>
        <w:rPr>
          <w:bCs/>
        </w:rPr>
      </w:pPr>
      <w:r w:rsidRPr="004A175F">
        <w:rPr>
          <w:bCs/>
        </w:rPr>
        <w:t>3)</w:t>
      </w:r>
      <w:r w:rsidR="00FE51AE" w:rsidRPr="004A175F">
        <w:rPr>
          <w:bCs/>
        </w:rPr>
        <w:tab/>
      </w:r>
      <w:r w:rsidRPr="004A175F">
        <w:rPr>
          <w:bCs/>
        </w:rPr>
        <w:t>rozporządzenie Ministra Gospodarki z dnia 21 grudnia 2005 r. w sprawie zasadniczych wymagań dla urządzeń używ</w:t>
      </w:r>
      <w:r w:rsidR="00D611BF">
        <w:rPr>
          <w:bCs/>
        </w:rPr>
        <w:t>anych na zewnątrz pomieszczeń w </w:t>
      </w:r>
      <w:r w:rsidRPr="004A175F">
        <w:rPr>
          <w:bCs/>
        </w:rPr>
        <w:t xml:space="preserve">zakresie emisji hałasu do środowiska (Dz. U. Nr 263, poz. 2202, </w:t>
      </w:r>
      <w:r w:rsidR="000E6092" w:rsidRPr="004A175F">
        <w:rPr>
          <w:bCs/>
        </w:rPr>
        <w:t xml:space="preserve">z </w:t>
      </w:r>
      <w:proofErr w:type="spellStart"/>
      <w:r w:rsidR="000E6092" w:rsidRPr="004A175F">
        <w:rPr>
          <w:bCs/>
        </w:rPr>
        <w:t>późn</w:t>
      </w:r>
      <w:proofErr w:type="spellEnd"/>
      <w:r w:rsidR="000E6092" w:rsidRPr="004A175F">
        <w:rPr>
          <w:bCs/>
        </w:rPr>
        <w:t>.</w:t>
      </w:r>
      <w:r w:rsidRPr="004A175F">
        <w:rPr>
          <w:bCs/>
        </w:rPr>
        <w:t>);</w:t>
      </w:r>
    </w:p>
    <w:p w:rsidR="007215B3" w:rsidRPr="004A175F" w:rsidRDefault="007215B3" w:rsidP="007F14E6">
      <w:pPr>
        <w:spacing w:line="360" w:lineRule="auto"/>
        <w:ind w:left="510" w:hanging="510"/>
        <w:jc w:val="both"/>
        <w:rPr>
          <w:bCs/>
        </w:rPr>
      </w:pPr>
      <w:r w:rsidRPr="004A175F">
        <w:rPr>
          <w:bCs/>
        </w:rPr>
        <w:t>4)</w:t>
      </w:r>
      <w:r w:rsidR="00FE51AE" w:rsidRPr="004A175F">
        <w:rPr>
          <w:bCs/>
        </w:rPr>
        <w:tab/>
      </w:r>
      <w:r w:rsidRPr="004A175F">
        <w:rPr>
          <w:bCs/>
        </w:rPr>
        <w:t>rozporządzenie Ministra Gospodarki z dnia 21 grudnia 2005 r. w sprawie zasadniczych wymagań dla środków ochrony indy</w:t>
      </w:r>
      <w:r w:rsidR="0042019A">
        <w:rPr>
          <w:bCs/>
        </w:rPr>
        <w:t>widualnej (Dz. U. Nr 259, poz. </w:t>
      </w:r>
      <w:r w:rsidRPr="004A175F">
        <w:rPr>
          <w:bCs/>
        </w:rPr>
        <w:t>2173);</w:t>
      </w:r>
    </w:p>
    <w:p w:rsidR="007215B3" w:rsidRPr="004A175F" w:rsidRDefault="007215B3" w:rsidP="007F14E6">
      <w:pPr>
        <w:spacing w:line="360" w:lineRule="auto"/>
        <w:ind w:left="510" w:hanging="510"/>
        <w:jc w:val="both"/>
        <w:rPr>
          <w:bCs/>
        </w:rPr>
      </w:pPr>
      <w:r w:rsidRPr="004A175F">
        <w:rPr>
          <w:bCs/>
        </w:rPr>
        <w:t>5)</w:t>
      </w:r>
      <w:r w:rsidR="00FE51AE" w:rsidRPr="004A175F">
        <w:rPr>
          <w:bCs/>
        </w:rPr>
        <w:tab/>
      </w:r>
      <w:r w:rsidRPr="004A175F">
        <w:rPr>
          <w:bCs/>
        </w:rPr>
        <w:t>rozporządzenie Ministra Gospodarki z dnia 21 grudnia 2005 r. w sprawie zasadniczych wymagań dla urządzeń spalających paliwa gazowe (Dz. U. Nr 263, poz. 2201);</w:t>
      </w:r>
    </w:p>
    <w:p w:rsidR="007215B3" w:rsidRPr="004A175F" w:rsidRDefault="007215B3" w:rsidP="007F14E6">
      <w:pPr>
        <w:spacing w:line="360" w:lineRule="auto"/>
        <w:ind w:left="510" w:hanging="510"/>
        <w:jc w:val="both"/>
        <w:rPr>
          <w:bCs/>
        </w:rPr>
      </w:pPr>
      <w:r w:rsidRPr="004A175F">
        <w:rPr>
          <w:bCs/>
        </w:rPr>
        <w:t>6)</w:t>
      </w:r>
      <w:r w:rsidR="00FE51AE" w:rsidRPr="004A175F">
        <w:rPr>
          <w:bCs/>
        </w:rPr>
        <w:tab/>
      </w:r>
      <w:r w:rsidRPr="004A175F">
        <w:rPr>
          <w:bCs/>
        </w:rPr>
        <w:t>rozporządzenie Ministra Gospodarki z dnia 4 sierpnia 2006 r. w sprawie szczegółowych wymagań dla wyrobów ze szkła kryształowego (Dz. U. Nr 148, poz. 1070);</w:t>
      </w:r>
    </w:p>
    <w:p w:rsidR="007215B3" w:rsidRPr="004A175F" w:rsidRDefault="007215B3" w:rsidP="007F14E6">
      <w:pPr>
        <w:spacing w:line="360" w:lineRule="auto"/>
        <w:ind w:left="510" w:hanging="510"/>
        <w:jc w:val="both"/>
        <w:rPr>
          <w:bCs/>
        </w:rPr>
      </w:pPr>
      <w:r w:rsidRPr="004A175F">
        <w:rPr>
          <w:bCs/>
        </w:rPr>
        <w:t>7)</w:t>
      </w:r>
      <w:r w:rsidR="00FE51AE" w:rsidRPr="004A175F">
        <w:rPr>
          <w:bCs/>
        </w:rPr>
        <w:tab/>
      </w:r>
      <w:r w:rsidRPr="004A175F">
        <w:rPr>
          <w:bCs/>
        </w:rPr>
        <w:t>rozporządzenie Ministra Gospodarki z dnia 21 października 2008 r. w sprawie zasadniczych wymagań dla maszyn (Dz. U. Nr 199, poz. 1228</w:t>
      </w:r>
      <w:r w:rsidR="000E6092" w:rsidRPr="004A175F">
        <w:rPr>
          <w:bCs/>
        </w:rPr>
        <w:t xml:space="preserve">, z </w:t>
      </w:r>
      <w:proofErr w:type="spellStart"/>
      <w:r w:rsidR="000E6092" w:rsidRPr="004A175F">
        <w:rPr>
          <w:bCs/>
        </w:rPr>
        <w:t>późn</w:t>
      </w:r>
      <w:proofErr w:type="spellEnd"/>
      <w:r w:rsidR="000E6092" w:rsidRPr="004A175F">
        <w:rPr>
          <w:bCs/>
        </w:rPr>
        <w:t>. zm.</w:t>
      </w:r>
      <w:r w:rsidRPr="004A175F">
        <w:rPr>
          <w:bCs/>
        </w:rPr>
        <w:t>);</w:t>
      </w:r>
    </w:p>
    <w:p w:rsidR="007215B3" w:rsidRPr="004A175F" w:rsidRDefault="007215B3" w:rsidP="007F14E6">
      <w:pPr>
        <w:spacing w:line="360" w:lineRule="auto"/>
        <w:ind w:left="510" w:hanging="510"/>
        <w:jc w:val="both"/>
        <w:rPr>
          <w:bCs/>
        </w:rPr>
      </w:pPr>
      <w:r w:rsidRPr="004A175F">
        <w:rPr>
          <w:bCs/>
        </w:rPr>
        <w:t>8)</w:t>
      </w:r>
      <w:r w:rsidR="00FE51AE" w:rsidRPr="004A175F">
        <w:rPr>
          <w:bCs/>
        </w:rPr>
        <w:tab/>
      </w:r>
      <w:r w:rsidRPr="004A175F">
        <w:rPr>
          <w:bCs/>
        </w:rPr>
        <w:t>rozporządzenie Ministra Gospodarki z dnia 5 listopada 2009 r. w sprawie szczegółowych wymagań dla wyrobów aerozolowych (Dz. U. z 201</w:t>
      </w:r>
      <w:r w:rsidR="00247420" w:rsidRPr="004A175F">
        <w:rPr>
          <w:bCs/>
        </w:rPr>
        <w:t>5</w:t>
      </w:r>
      <w:r w:rsidRPr="004A175F">
        <w:rPr>
          <w:bCs/>
        </w:rPr>
        <w:t xml:space="preserve"> r. poz. </w:t>
      </w:r>
      <w:r w:rsidR="00247420" w:rsidRPr="004A175F">
        <w:rPr>
          <w:bCs/>
        </w:rPr>
        <w:t>854</w:t>
      </w:r>
      <w:r w:rsidRPr="004A175F">
        <w:rPr>
          <w:bCs/>
        </w:rPr>
        <w:t>);</w:t>
      </w:r>
    </w:p>
    <w:p w:rsidR="007215B3" w:rsidRPr="004A175F" w:rsidRDefault="007215B3" w:rsidP="007F14E6">
      <w:pPr>
        <w:spacing w:line="360" w:lineRule="auto"/>
        <w:ind w:left="510" w:hanging="510"/>
        <w:jc w:val="both"/>
        <w:rPr>
          <w:bCs/>
        </w:rPr>
      </w:pPr>
      <w:r w:rsidRPr="004A175F">
        <w:rPr>
          <w:bCs/>
        </w:rPr>
        <w:t>9)</w:t>
      </w:r>
      <w:r w:rsidR="00FE51AE" w:rsidRPr="004A175F">
        <w:rPr>
          <w:bCs/>
        </w:rPr>
        <w:tab/>
      </w:r>
      <w:r w:rsidRPr="004A175F">
        <w:rPr>
          <w:bCs/>
        </w:rPr>
        <w:t>rozporządzenie Ministra Gospodarki z dnia 17 grudnia 2010 r. w sprawie procedur oceny zgodności wyrobów wykorzystujących en</w:t>
      </w:r>
      <w:r w:rsidR="0042019A">
        <w:rPr>
          <w:bCs/>
        </w:rPr>
        <w:t>ergię oraz ich oznakowania (Dz. </w:t>
      </w:r>
      <w:r w:rsidRPr="004A175F">
        <w:rPr>
          <w:bCs/>
        </w:rPr>
        <w:t xml:space="preserve">U. z 2011 r. Nr 8, poz. 32, </w:t>
      </w:r>
      <w:r w:rsidR="00D85747" w:rsidRPr="004A175F">
        <w:rPr>
          <w:bCs/>
        </w:rPr>
        <w:t xml:space="preserve">z </w:t>
      </w:r>
      <w:proofErr w:type="spellStart"/>
      <w:r w:rsidR="00D85747" w:rsidRPr="004A175F">
        <w:rPr>
          <w:bCs/>
        </w:rPr>
        <w:t>późn</w:t>
      </w:r>
      <w:proofErr w:type="spellEnd"/>
      <w:r w:rsidR="00D85747" w:rsidRPr="004A175F">
        <w:rPr>
          <w:bCs/>
        </w:rPr>
        <w:t>. zm.</w:t>
      </w:r>
      <w:r w:rsidRPr="004A175F">
        <w:rPr>
          <w:bCs/>
        </w:rPr>
        <w:t>);</w:t>
      </w:r>
    </w:p>
    <w:p w:rsidR="007215B3" w:rsidRPr="004A175F" w:rsidRDefault="007215B3" w:rsidP="007F14E6">
      <w:pPr>
        <w:spacing w:line="360" w:lineRule="auto"/>
        <w:ind w:left="510" w:hanging="510"/>
        <w:jc w:val="both"/>
        <w:rPr>
          <w:bCs/>
        </w:rPr>
      </w:pPr>
      <w:r w:rsidRPr="004A175F">
        <w:rPr>
          <w:bCs/>
        </w:rPr>
        <w:t>1</w:t>
      </w:r>
      <w:r w:rsidR="003F23F4" w:rsidRPr="004A175F">
        <w:rPr>
          <w:bCs/>
        </w:rPr>
        <w:t>0</w:t>
      </w:r>
      <w:r w:rsidRPr="004A175F">
        <w:rPr>
          <w:bCs/>
        </w:rPr>
        <w:t>)</w:t>
      </w:r>
      <w:r w:rsidR="00FE51AE" w:rsidRPr="004A175F">
        <w:rPr>
          <w:bCs/>
        </w:rPr>
        <w:tab/>
      </w:r>
      <w:r w:rsidRPr="004A175F">
        <w:rPr>
          <w:bCs/>
        </w:rPr>
        <w:t>rozporządzenie Ministra Gospodarki z dnia 8 maja 2013 r. w sprawie zasadniczych wymagań dotyczących ograniczenia stosowania niektórych niebezpiecznych substancji w sprzęcie elektrycznym i elektronicznym (Dz. U. poz. 547);</w:t>
      </w:r>
    </w:p>
    <w:p w:rsidR="007215B3" w:rsidRPr="004A175F" w:rsidRDefault="007215B3" w:rsidP="007F14E6">
      <w:pPr>
        <w:spacing w:line="360" w:lineRule="auto"/>
        <w:ind w:left="510" w:hanging="510"/>
        <w:jc w:val="both"/>
        <w:rPr>
          <w:bCs/>
        </w:rPr>
      </w:pPr>
      <w:r w:rsidRPr="004A175F">
        <w:rPr>
          <w:bCs/>
        </w:rPr>
        <w:t>1</w:t>
      </w:r>
      <w:r w:rsidR="003F23F4" w:rsidRPr="004A175F">
        <w:rPr>
          <w:bCs/>
        </w:rPr>
        <w:t>1</w:t>
      </w:r>
      <w:r w:rsidRPr="004A175F">
        <w:rPr>
          <w:bCs/>
        </w:rPr>
        <w:t>)</w:t>
      </w:r>
      <w:r w:rsidR="00FE51AE" w:rsidRPr="004A175F">
        <w:rPr>
          <w:bCs/>
        </w:rPr>
        <w:tab/>
      </w:r>
      <w:r w:rsidRPr="004A175F">
        <w:rPr>
          <w:bCs/>
        </w:rPr>
        <w:t>rozporządzenie Ministra Gospodarki z dnia 30 kwietnia 2014 r. w sprawie szczegółowych wymagań dla silników spalinowych w zakresie ograniczenia emisji zanieczyszczeń gazowych i cząstek stałych przez te silniki (Dz. U. poz. 588)</w:t>
      </w:r>
      <w:r w:rsidR="001C103E" w:rsidRPr="004A175F">
        <w:rPr>
          <w:bCs/>
        </w:rPr>
        <w:t>.</w:t>
      </w:r>
    </w:p>
    <w:p w:rsidR="00D73694" w:rsidRPr="004A175F" w:rsidRDefault="00761839" w:rsidP="007F14E6">
      <w:pPr>
        <w:spacing w:before="120" w:line="360" w:lineRule="auto"/>
        <w:jc w:val="both"/>
      </w:pPr>
      <w:r w:rsidRPr="004A175F">
        <w:lastRenderedPageBreak/>
        <w:t xml:space="preserve">Jednocześnie dane dotyczące działań </w:t>
      </w:r>
      <w:r w:rsidR="00D73694" w:rsidRPr="004A175F">
        <w:t xml:space="preserve">i środków </w:t>
      </w:r>
      <w:r w:rsidRPr="004A175F">
        <w:t xml:space="preserve">podejmowanych </w:t>
      </w:r>
      <w:r w:rsidR="00D73694" w:rsidRPr="004A175F">
        <w:t xml:space="preserve">wobec wyrobów objętych ww. aktami, </w:t>
      </w:r>
      <w:r w:rsidRPr="004A175F">
        <w:t>powinny być wprowadzane do unijnego systemu ICSMS</w:t>
      </w:r>
      <w:r w:rsidR="00D73694" w:rsidRPr="004A175F">
        <w:t>, a nie systemu krajowego</w:t>
      </w:r>
      <w:r w:rsidR="00B9463B" w:rsidRPr="004A175F">
        <w:t>, który zostanie zamknięty</w:t>
      </w:r>
      <w:r w:rsidRPr="004A175F">
        <w:t xml:space="preserve">. </w:t>
      </w:r>
    </w:p>
    <w:p w:rsidR="00BD14DE" w:rsidRPr="004A175F" w:rsidRDefault="00BD14DE" w:rsidP="007F14E6">
      <w:pPr>
        <w:spacing w:before="120" w:line="360" w:lineRule="auto"/>
        <w:jc w:val="both"/>
      </w:pPr>
      <w:r w:rsidRPr="004A175F">
        <w:t>Fundamentalne znaczenie dla sprawnego wdrożenia ustawy i obrotu gospodarczego ma art</w:t>
      </w:r>
      <w:r w:rsidR="003B3986" w:rsidRPr="004A175F">
        <w:t>. 120</w:t>
      </w:r>
      <w:r w:rsidRPr="004A175F">
        <w:t>. Stanowi on odpowiedź na pewien błąd legislacyjny, który znalazł się we wdrażanych ustawą dyrektywach pakietu NLF. Polega on na tym, że przepisy dotyczące jednostek notyfikowanych wchodzą w życie w tym samym czasie co pozostałe przepisy dyrektyw. Taka konstrukcja nie pozostawia czasu na przeprowadzenie odpowiednich procedur (zarówno</w:t>
      </w:r>
      <w:r w:rsidR="00D611BF">
        <w:t xml:space="preserve"> wewnętrznych, krajowych, jak i </w:t>
      </w:r>
      <w:r w:rsidRPr="004A175F">
        <w:t xml:space="preserve">unijnych) na ocenę i notyfikację jednostek. Błąd ten został zauważony i </w:t>
      </w:r>
      <w:r w:rsidR="00A82F0A" w:rsidRPr="004A175F">
        <w:t xml:space="preserve">ma być </w:t>
      </w:r>
      <w:r w:rsidRPr="004A175F">
        <w:t>naprawiony w późniejszych aktach praw</w:t>
      </w:r>
      <w:r w:rsidR="00A82F0A" w:rsidRPr="004A175F">
        <w:t>a wspólnotowego. P</w:t>
      </w:r>
      <w:r w:rsidRPr="004A175F">
        <w:t xml:space="preserve">rojekt rozporządzenia </w:t>
      </w:r>
      <w:r w:rsidR="00D611BF">
        <w:t>w </w:t>
      </w:r>
      <w:r w:rsidR="00A82F0A" w:rsidRPr="004A175F">
        <w:t>sprawie środków ochrony indywidualnej procesowany obecnie w KE zakłada, że przepisy dotyczące notyfikacji jednostek oceny zgodności wchodzą w życie sześć miesięcy po opublikowaniu, podczas gdy pozostałe przepisy – po dwóch latach. Daje to aż półtoraroczny okres przejściowy na dostosowanie i przeprowadzenie wszystkich procedur dotyczących jednostek oceniających zgodność. Art. 12</w:t>
      </w:r>
      <w:r w:rsidR="003B3986" w:rsidRPr="004A175F">
        <w:t>0</w:t>
      </w:r>
      <w:r w:rsidR="00A82F0A" w:rsidRPr="004A175F">
        <w:t xml:space="preserve"> przewiduje możliwość natychmiastowego notyfikowania jednostek oceniających zgodność wyrobów podlegających wdrażanym dyrektywom, które posiadają notyfikację do dyrektyw uchylanych, w zakresie odpowiadającym posiadanej dotychczas notyfikacji oraz posiadanej akredytacji. Taka notyfikacja będzie miała charakter przejściowy i po sześciu miesiącach zostanie cofnięta. W tym czasie jednostki oceniające zgodność oraz organy notyfikujące będą miały czas na przeprowadzenie wszystkich niezbędnych procedur określonych w ustawie.</w:t>
      </w:r>
    </w:p>
    <w:p w:rsidR="00E84B77" w:rsidRPr="004A175F" w:rsidRDefault="00D329A7" w:rsidP="004A175F">
      <w:pPr>
        <w:spacing w:before="120" w:line="360" w:lineRule="auto"/>
        <w:jc w:val="both"/>
      </w:pPr>
      <w:r w:rsidRPr="004A175F">
        <w:t xml:space="preserve">Odstępuje się od zasady zawartej w § 1 ust. 1 </w:t>
      </w:r>
      <w:r w:rsidR="000D446B">
        <w:t>u</w:t>
      </w:r>
      <w:r w:rsidRPr="004A175F">
        <w:t>chwały</w:t>
      </w:r>
      <w:r w:rsidR="0042019A">
        <w:t xml:space="preserve"> </w:t>
      </w:r>
      <w:r w:rsidR="000D446B">
        <w:t>n</w:t>
      </w:r>
      <w:r w:rsidR="0042019A">
        <w:t>r 20 Rady Ministrów z dnia 18 </w:t>
      </w:r>
      <w:r w:rsidRPr="004A175F">
        <w:t>lutego 2014 r. w sprawie zaleceń ujednolicenia terminów wejścia w życie niektórych aktów normatywnych (M.P. poz. 205)</w:t>
      </w:r>
      <w:r w:rsidR="005242B3" w:rsidRPr="004A175F">
        <w:t>. Ustawa powinna wejść w życie w możliwie najszybszym terminie, m.in. ze względu na konieczność jak najszybszego notyfikowania jednostek oceniających zgodność, uchwalenia wymaganych aktów wykonawczych (w szczególności tych wydawanych na podstawie art. 12) oraz ze względu na fakt, że termin implementacji jednej z wdrażanych nią dyrektyw już upłynął.</w:t>
      </w:r>
      <w:r w:rsidRPr="004A175F">
        <w:t xml:space="preserve"> </w:t>
      </w:r>
      <w:r w:rsidR="005242B3" w:rsidRPr="004A175F">
        <w:t>Z</w:t>
      </w:r>
      <w:r w:rsidRPr="004A175F">
        <w:t>godnie z prawem unijnym t</w:t>
      </w:r>
      <w:r w:rsidR="00845281" w:rsidRPr="004A175F">
        <w:t xml:space="preserve">ermin </w:t>
      </w:r>
      <w:r w:rsidR="005242B3" w:rsidRPr="004A175F">
        <w:t>stosowania przepisów</w:t>
      </w:r>
      <w:r w:rsidR="00845281" w:rsidRPr="004A175F">
        <w:t xml:space="preserve"> ustawy </w:t>
      </w:r>
      <w:r w:rsidR="005242B3" w:rsidRPr="004A175F">
        <w:t xml:space="preserve">do poszczególnych wyrobów </w:t>
      </w:r>
      <w:r w:rsidR="00845281" w:rsidRPr="004A175F">
        <w:t xml:space="preserve">powinien być zbieżny z terminem wdrożenia pakietu </w:t>
      </w:r>
      <w:r w:rsidR="0042019A">
        <w:t>8 </w:t>
      </w:r>
      <w:r w:rsidR="00845281" w:rsidRPr="004A175F">
        <w:t>dyrektyw dostosowanych do NFL</w:t>
      </w:r>
      <w:r w:rsidR="00415E2F">
        <w:t>,</w:t>
      </w:r>
      <w:r w:rsidR="00845281" w:rsidRPr="004A175F">
        <w:t xml:space="preserve"> tj. 20 kwietnia 2016 r. Natomiast w odniesieniu do</w:t>
      </w:r>
      <w:r w:rsidR="00E84B77" w:rsidRPr="004A175F">
        <w:t>:</w:t>
      </w:r>
    </w:p>
    <w:p w:rsidR="00E84B77" w:rsidRPr="004A175F" w:rsidRDefault="00845281" w:rsidP="007F14E6">
      <w:pPr>
        <w:numPr>
          <w:ilvl w:val="0"/>
          <w:numId w:val="8"/>
        </w:numPr>
        <w:spacing w:before="120" w:line="360" w:lineRule="auto"/>
        <w:ind w:left="392" w:hanging="392"/>
        <w:jc w:val="both"/>
        <w:rPr>
          <w:bCs/>
        </w:rPr>
      </w:pPr>
      <w:r w:rsidRPr="004A175F">
        <w:lastRenderedPageBreak/>
        <w:t xml:space="preserve">wyrobów podlegających dyrektywie 2013/53/UE (rekreacyjne jednostki pływające) przepisy </w:t>
      </w:r>
      <w:r w:rsidR="004B1DD1" w:rsidRPr="004A175F">
        <w:t>ustawy</w:t>
      </w:r>
      <w:r w:rsidRPr="004A175F">
        <w:t xml:space="preserve"> powinny obowiązywać od 1 </w:t>
      </w:r>
      <w:r w:rsidR="008D631F">
        <w:t>kwietnia</w:t>
      </w:r>
      <w:r w:rsidRPr="004A175F">
        <w:t xml:space="preserve"> 2016 r.</w:t>
      </w:r>
      <w:r w:rsidR="000D446B">
        <w:t>;</w:t>
      </w:r>
    </w:p>
    <w:p w:rsidR="00E84B77" w:rsidRPr="004A175F" w:rsidRDefault="00E84B77" w:rsidP="007F14E6">
      <w:pPr>
        <w:numPr>
          <w:ilvl w:val="0"/>
          <w:numId w:val="8"/>
        </w:numPr>
        <w:spacing w:before="120" w:line="360" w:lineRule="auto"/>
        <w:ind w:left="392" w:hanging="392"/>
        <w:jc w:val="both"/>
        <w:rPr>
          <w:bCs/>
        </w:rPr>
      </w:pPr>
      <w:r w:rsidRPr="004A175F">
        <w:rPr>
          <w:bCs/>
        </w:rPr>
        <w:t>wyrobów, podlegających dyrektywie 2014/53/UE (urządzenia radiow</w:t>
      </w:r>
      <w:r w:rsidR="001A035A" w:rsidRPr="004A175F">
        <w:rPr>
          <w:bCs/>
        </w:rPr>
        <w:t>e</w:t>
      </w:r>
      <w:r w:rsidRPr="004A175F">
        <w:rPr>
          <w:bCs/>
        </w:rPr>
        <w:t>) przepisy ustawy stosuje się od dnia 13 czerwca 2016 r.</w:t>
      </w:r>
      <w:r w:rsidR="000D446B">
        <w:rPr>
          <w:bCs/>
        </w:rPr>
        <w:t>;</w:t>
      </w:r>
    </w:p>
    <w:p w:rsidR="00C13C7F" w:rsidRPr="004A175F" w:rsidRDefault="00E84B77" w:rsidP="007F14E6">
      <w:pPr>
        <w:numPr>
          <w:ilvl w:val="0"/>
          <w:numId w:val="8"/>
        </w:numPr>
        <w:spacing w:before="120" w:line="360" w:lineRule="auto"/>
        <w:ind w:left="392" w:hanging="392"/>
        <w:jc w:val="both"/>
      </w:pPr>
      <w:r w:rsidRPr="004A175F">
        <w:rPr>
          <w:bCs/>
        </w:rPr>
        <w:t>wyrobów podlegających dyrektywie 2014/68/UE (urządzenia ciśnieniowe), przepisy ustawy stosuje się od dnia 19 lipca 2016 r.</w:t>
      </w:r>
    </w:p>
    <w:p w:rsidR="00EE2A8B" w:rsidRPr="004A175F" w:rsidRDefault="008E00D6" w:rsidP="004A175F">
      <w:pPr>
        <w:spacing w:before="120" w:line="360" w:lineRule="auto"/>
        <w:jc w:val="both"/>
      </w:pPr>
      <w:r w:rsidRPr="004A175F">
        <w:t>Projekt ustawy jest zgodny z prawem Unii Europejskiej.</w:t>
      </w:r>
    </w:p>
    <w:p w:rsidR="00C13C7F" w:rsidRPr="004A175F" w:rsidRDefault="00C13C7F" w:rsidP="004A175F">
      <w:pPr>
        <w:spacing w:before="120" w:line="360" w:lineRule="auto"/>
        <w:jc w:val="both"/>
      </w:pPr>
      <w:r w:rsidRPr="004A175F">
        <w:t xml:space="preserve">Projekt ustawy nie podlega notyfikacji w trybie określonym w rozporządzeniu Rady Ministrów z dnia 23 grudnia 2002 r. w sprawie sposobu funkcjonowania krajowego systemu notyfikacji norm i aktów prawnych (Dz. U. Nr 239, poz. 2039, z </w:t>
      </w:r>
      <w:proofErr w:type="spellStart"/>
      <w:r w:rsidRPr="004A175F">
        <w:t>późn</w:t>
      </w:r>
      <w:proofErr w:type="spellEnd"/>
      <w:r w:rsidRPr="004A175F">
        <w:t>. zm.).</w:t>
      </w:r>
    </w:p>
    <w:p w:rsidR="00C13C7F" w:rsidRPr="004A175F" w:rsidRDefault="00C13C7F" w:rsidP="004A175F">
      <w:pPr>
        <w:spacing w:before="120" w:line="360" w:lineRule="auto"/>
        <w:jc w:val="both"/>
      </w:pPr>
      <w:r w:rsidRPr="004A175F">
        <w:t xml:space="preserve">Zgodnie z art. 5 ustawy z dnia 7 lipca 2005 r. o działalności lobbingowej w procesie stanowienia prawa (Dz. U. Nr 169, poz. 1414, z </w:t>
      </w:r>
      <w:proofErr w:type="spellStart"/>
      <w:r w:rsidRPr="004A175F">
        <w:t>późn</w:t>
      </w:r>
      <w:proofErr w:type="spellEnd"/>
      <w:r w:rsidRPr="004A175F">
        <w:t>. zm.), projekt zosta</w:t>
      </w:r>
      <w:r w:rsidR="009C73C2" w:rsidRPr="004A175F">
        <w:t>ł</w:t>
      </w:r>
      <w:r w:rsidRPr="004A175F">
        <w:t xml:space="preserve"> zamieszczony w</w:t>
      </w:r>
      <w:r w:rsidR="008E00D6" w:rsidRPr="004A175F">
        <w:t xml:space="preserve"> </w:t>
      </w:r>
      <w:r w:rsidRPr="004A175F">
        <w:t>Biuletynie Informacji Publicznej Rządowego Centrum Legislacji.</w:t>
      </w:r>
    </w:p>
    <w:p w:rsidR="004A175F" w:rsidRPr="004A175F" w:rsidRDefault="004A175F" w:rsidP="004A175F">
      <w:pPr>
        <w:spacing w:before="120" w:line="360" w:lineRule="auto"/>
        <w:jc w:val="both"/>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Pr="004A175F" w:rsidRDefault="004A175F" w:rsidP="004A175F">
      <w:pPr>
        <w:rPr>
          <w:rFonts w:cs="A"/>
        </w:rPr>
      </w:pPr>
    </w:p>
    <w:p w:rsidR="004A175F" w:rsidRDefault="004A175F" w:rsidP="004A175F">
      <w:pPr>
        <w:rPr>
          <w:rFonts w:cs="A"/>
        </w:rPr>
      </w:pPr>
    </w:p>
    <w:p w:rsidR="004A175F" w:rsidRDefault="004A175F" w:rsidP="004A175F">
      <w:pPr>
        <w:rPr>
          <w:rFonts w:cs="A"/>
        </w:rPr>
      </w:pPr>
    </w:p>
    <w:p w:rsidR="004A175F" w:rsidRDefault="004A175F" w:rsidP="004A175F">
      <w:pPr>
        <w:rPr>
          <w:rFonts w:cs="A"/>
        </w:rPr>
        <w:sectPr w:rsidR="004A175F" w:rsidSect="00953084">
          <w:footerReference w:type="default" r:id="rId8"/>
          <w:pgSz w:w="11906" w:h="16838" w:code="9"/>
          <w:pgMar w:top="1588" w:right="1418" w:bottom="1418" w:left="1985" w:header="709" w:footer="709" w:gutter="0"/>
          <w:cols w:space="708"/>
          <w:titlePg/>
          <w:docGrid w:linePitch="360"/>
        </w:sectPr>
      </w:pPr>
    </w:p>
    <w:tbl>
      <w:tblPr>
        <w:tblW w:w="10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8"/>
        <w:gridCol w:w="780"/>
        <w:gridCol w:w="312"/>
        <w:gridCol w:w="426"/>
        <w:gridCol w:w="567"/>
        <w:gridCol w:w="283"/>
        <w:gridCol w:w="281"/>
        <w:gridCol w:w="570"/>
        <w:gridCol w:w="422"/>
        <w:gridCol w:w="7"/>
        <w:gridCol w:w="705"/>
        <w:gridCol w:w="282"/>
        <w:gridCol w:w="710"/>
        <w:gridCol w:w="315"/>
        <w:gridCol w:w="112"/>
        <w:gridCol w:w="565"/>
        <w:gridCol w:w="462"/>
        <w:gridCol w:w="530"/>
        <w:gridCol w:w="610"/>
        <w:gridCol w:w="383"/>
        <w:gridCol w:w="1155"/>
        <w:gridCol w:w="10"/>
      </w:tblGrid>
      <w:tr w:rsidR="004A175F" w:rsidRPr="004A175F" w:rsidTr="00F64F79">
        <w:trPr>
          <w:gridAfter w:val="1"/>
          <w:wAfter w:w="10" w:type="dxa"/>
          <w:trHeight w:val="1611"/>
        </w:trPr>
        <w:tc>
          <w:tcPr>
            <w:tcW w:w="4959" w:type="dxa"/>
            <w:gridSpan w:val="9"/>
          </w:tcPr>
          <w:p w:rsidR="004A175F" w:rsidRPr="004A175F" w:rsidRDefault="004A175F" w:rsidP="00AE0ED6">
            <w:pPr>
              <w:ind w:left="34"/>
              <w:rPr>
                <w:rFonts w:eastAsia="Calibri"/>
                <w:color w:val="000000"/>
                <w:sz w:val="22"/>
                <w:szCs w:val="22"/>
                <w:lang w:eastAsia="en-US"/>
              </w:rPr>
            </w:pPr>
            <w:bookmarkStart w:id="1" w:name="t1"/>
            <w:r w:rsidRPr="004A175F">
              <w:rPr>
                <w:rFonts w:eastAsia="Calibri"/>
                <w:b/>
                <w:color w:val="000000"/>
                <w:sz w:val="22"/>
                <w:szCs w:val="22"/>
                <w:lang w:eastAsia="en-US"/>
              </w:rPr>
              <w:lastRenderedPageBreak/>
              <w:t>Nazwa projektu</w:t>
            </w:r>
          </w:p>
          <w:p w:rsidR="004A175F" w:rsidRPr="004A175F" w:rsidRDefault="004A175F" w:rsidP="00AE0ED6">
            <w:pPr>
              <w:ind w:left="34"/>
              <w:rPr>
                <w:rFonts w:eastAsia="Calibri"/>
                <w:color w:val="000000"/>
                <w:sz w:val="22"/>
                <w:szCs w:val="22"/>
                <w:lang w:eastAsia="en-US"/>
              </w:rPr>
            </w:pPr>
            <w:r w:rsidRPr="004A175F">
              <w:rPr>
                <w:rFonts w:eastAsia="Calibri"/>
                <w:color w:val="000000"/>
                <w:sz w:val="22"/>
                <w:szCs w:val="22"/>
                <w:lang w:eastAsia="en-US"/>
              </w:rPr>
              <w:t xml:space="preserve">Ustawa o systemie oceny zgodności i nadzoru rynku </w:t>
            </w:r>
          </w:p>
          <w:p w:rsidR="004A175F" w:rsidRPr="004A175F" w:rsidRDefault="004A175F" w:rsidP="00AE0ED6">
            <w:pPr>
              <w:spacing w:before="120"/>
              <w:ind w:left="34"/>
              <w:rPr>
                <w:rFonts w:eastAsia="Calibri"/>
                <w:b/>
                <w:color w:val="000000"/>
                <w:sz w:val="22"/>
                <w:szCs w:val="22"/>
                <w:lang w:eastAsia="en-US"/>
              </w:rPr>
            </w:pPr>
            <w:r w:rsidRPr="004A175F">
              <w:rPr>
                <w:rFonts w:eastAsia="Calibri"/>
                <w:b/>
                <w:color w:val="000000"/>
                <w:sz w:val="22"/>
                <w:szCs w:val="22"/>
                <w:lang w:eastAsia="en-US"/>
              </w:rPr>
              <w:t>Ministerstwo wiodące i ministerstwa współpracujące</w:t>
            </w:r>
          </w:p>
          <w:bookmarkEnd w:id="1"/>
          <w:p w:rsidR="004A175F" w:rsidRPr="004A175F" w:rsidRDefault="004A175F" w:rsidP="00AE0ED6">
            <w:pPr>
              <w:ind w:left="34"/>
              <w:rPr>
                <w:rFonts w:eastAsia="Calibri"/>
                <w:color w:val="000000"/>
                <w:sz w:val="22"/>
                <w:szCs w:val="22"/>
                <w:lang w:eastAsia="en-US"/>
              </w:rPr>
            </w:pPr>
            <w:r w:rsidRPr="004A175F">
              <w:rPr>
                <w:rFonts w:eastAsia="Calibri"/>
                <w:color w:val="000000"/>
                <w:sz w:val="22"/>
                <w:szCs w:val="22"/>
                <w:lang w:eastAsia="en-US"/>
              </w:rPr>
              <w:t>Ministerstwo Rozwoju</w:t>
            </w:r>
          </w:p>
          <w:p w:rsidR="004A175F" w:rsidRPr="004A175F" w:rsidRDefault="004A175F" w:rsidP="00AE0ED6">
            <w:pPr>
              <w:ind w:left="34"/>
              <w:rPr>
                <w:rFonts w:eastAsia="Calibri"/>
                <w:color w:val="000000"/>
                <w:sz w:val="22"/>
                <w:szCs w:val="22"/>
                <w:lang w:eastAsia="en-US"/>
              </w:rPr>
            </w:pPr>
          </w:p>
          <w:p w:rsidR="004A175F" w:rsidRPr="004A175F" w:rsidRDefault="004A175F" w:rsidP="00AE0ED6">
            <w:pPr>
              <w:ind w:left="34"/>
              <w:rPr>
                <w:rFonts w:eastAsia="Calibri"/>
                <w:b/>
                <w:sz w:val="21"/>
                <w:szCs w:val="21"/>
                <w:lang w:eastAsia="en-US"/>
              </w:rPr>
            </w:pPr>
            <w:r w:rsidRPr="004A175F">
              <w:rPr>
                <w:rFonts w:eastAsia="Calibri"/>
                <w:b/>
                <w:sz w:val="21"/>
                <w:lang w:eastAsia="en-US"/>
              </w:rPr>
              <w:t>Osoba odpowiedzialna za projekt w randze Ministra, Sekretarza Stanu lub Podsekretarza Stanu</w:t>
            </w:r>
            <w:r w:rsidRPr="004A175F">
              <w:rPr>
                <w:rFonts w:eastAsia="Calibri"/>
                <w:b/>
                <w:sz w:val="21"/>
                <w:szCs w:val="21"/>
                <w:lang w:eastAsia="en-US"/>
              </w:rPr>
              <w:t xml:space="preserve"> </w:t>
            </w:r>
          </w:p>
          <w:p w:rsidR="004A175F" w:rsidRPr="004A175F" w:rsidRDefault="004A175F" w:rsidP="00AE0ED6">
            <w:pPr>
              <w:ind w:left="34"/>
              <w:rPr>
                <w:rFonts w:eastAsia="Calibri"/>
                <w:sz w:val="21"/>
                <w:szCs w:val="21"/>
                <w:lang w:eastAsia="en-US"/>
              </w:rPr>
            </w:pPr>
            <w:r w:rsidRPr="004A175F">
              <w:rPr>
                <w:rFonts w:eastAsia="Calibri"/>
                <w:sz w:val="21"/>
                <w:szCs w:val="21"/>
                <w:lang w:eastAsia="en-US"/>
              </w:rPr>
              <w:t xml:space="preserve">Jadwiga </w:t>
            </w:r>
            <w:proofErr w:type="spellStart"/>
            <w:r w:rsidRPr="004A175F">
              <w:rPr>
                <w:rFonts w:eastAsia="Calibri"/>
                <w:sz w:val="21"/>
                <w:szCs w:val="21"/>
                <w:lang w:eastAsia="en-US"/>
              </w:rPr>
              <w:t>Emilewicz</w:t>
            </w:r>
            <w:proofErr w:type="spellEnd"/>
            <w:r w:rsidRPr="004A175F">
              <w:rPr>
                <w:rFonts w:eastAsia="Calibri"/>
                <w:sz w:val="21"/>
                <w:szCs w:val="21"/>
                <w:lang w:eastAsia="en-US"/>
              </w:rPr>
              <w:t>, Podsekretarz Stanu</w:t>
            </w:r>
          </w:p>
          <w:p w:rsidR="004A175F" w:rsidRPr="004A175F" w:rsidRDefault="004A175F" w:rsidP="00AE0ED6">
            <w:pPr>
              <w:spacing w:before="120"/>
              <w:ind w:left="34"/>
              <w:rPr>
                <w:rFonts w:eastAsia="Calibri"/>
                <w:b/>
                <w:color w:val="000000"/>
                <w:sz w:val="22"/>
                <w:szCs w:val="22"/>
                <w:lang w:eastAsia="en-US"/>
              </w:rPr>
            </w:pPr>
            <w:r w:rsidRPr="004A175F">
              <w:rPr>
                <w:rFonts w:eastAsia="Calibri"/>
                <w:b/>
                <w:color w:val="000000"/>
                <w:sz w:val="22"/>
                <w:szCs w:val="22"/>
                <w:lang w:eastAsia="en-US"/>
              </w:rPr>
              <w:t>Kontakt do opiekuna merytorycznego projektu</w:t>
            </w:r>
          </w:p>
          <w:p w:rsidR="004A175F" w:rsidRPr="004A175F" w:rsidRDefault="004A175F" w:rsidP="00AE0ED6">
            <w:pPr>
              <w:ind w:left="34"/>
              <w:rPr>
                <w:rFonts w:eastAsia="Calibri"/>
                <w:color w:val="000000"/>
                <w:sz w:val="22"/>
                <w:szCs w:val="22"/>
                <w:lang w:eastAsia="en-US"/>
              </w:rPr>
            </w:pPr>
            <w:r w:rsidRPr="004A175F">
              <w:rPr>
                <w:rFonts w:eastAsia="Calibri"/>
                <w:color w:val="000000"/>
                <w:sz w:val="22"/>
                <w:szCs w:val="22"/>
                <w:lang w:eastAsia="en-US"/>
              </w:rPr>
              <w:t>Małgorzata Kacprzyk, Departament Innowacji i Przemysłu, tel. 22 693 54 67 malgorzata.kacprzyk@mg.gov.pl</w:t>
            </w:r>
          </w:p>
        </w:tc>
        <w:tc>
          <w:tcPr>
            <w:tcW w:w="5836" w:type="dxa"/>
            <w:gridSpan w:val="12"/>
            <w:shd w:val="clear" w:color="auto" w:fill="FFFFFF"/>
          </w:tcPr>
          <w:p w:rsidR="009D551C" w:rsidRDefault="004A175F" w:rsidP="004A175F">
            <w:pPr>
              <w:rPr>
                <w:rFonts w:eastAsia="Calibri"/>
                <w:b/>
                <w:sz w:val="21"/>
                <w:szCs w:val="21"/>
                <w:lang w:eastAsia="en-US"/>
              </w:rPr>
            </w:pPr>
            <w:r w:rsidRPr="004A175F">
              <w:rPr>
                <w:rFonts w:eastAsia="Calibri"/>
                <w:b/>
                <w:sz w:val="21"/>
                <w:szCs w:val="21"/>
                <w:lang w:eastAsia="en-US"/>
              </w:rPr>
              <w:t>Data sporządzenia</w:t>
            </w:r>
          </w:p>
          <w:p w:rsidR="004A175F" w:rsidRPr="004A175F" w:rsidRDefault="004A175F" w:rsidP="004A175F">
            <w:pPr>
              <w:rPr>
                <w:rFonts w:eastAsia="Calibri"/>
                <w:b/>
                <w:sz w:val="21"/>
                <w:szCs w:val="21"/>
                <w:lang w:eastAsia="en-US"/>
              </w:rPr>
            </w:pPr>
            <w:r w:rsidRPr="004A175F">
              <w:rPr>
                <w:rFonts w:eastAsia="Calibri"/>
                <w:sz w:val="21"/>
                <w:szCs w:val="21"/>
                <w:lang w:eastAsia="en-US"/>
              </w:rPr>
              <w:t>26 stycznia 2016 r.</w:t>
            </w:r>
          </w:p>
          <w:p w:rsidR="004A175F" w:rsidRPr="004A175F" w:rsidRDefault="004A175F" w:rsidP="004A175F">
            <w:pPr>
              <w:rPr>
                <w:rFonts w:eastAsia="Calibri"/>
                <w:b/>
                <w:sz w:val="22"/>
                <w:szCs w:val="22"/>
                <w:lang w:eastAsia="en-US"/>
              </w:rPr>
            </w:pPr>
          </w:p>
          <w:p w:rsidR="004A175F" w:rsidRPr="004A175F" w:rsidRDefault="009D551C" w:rsidP="004A175F">
            <w:pPr>
              <w:rPr>
                <w:rFonts w:eastAsia="Calibri"/>
                <w:b/>
                <w:sz w:val="22"/>
                <w:szCs w:val="22"/>
                <w:lang w:eastAsia="en-US"/>
              </w:rPr>
            </w:pPr>
            <w:r>
              <w:rPr>
                <w:rFonts w:eastAsia="Calibri"/>
                <w:b/>
                <w:sz w:val="22"/>
                <w:szCs w:val="22"/>
                <w:lang w:eastAsia="en-US"/>
              </w:rPr>
              <w:t>Źródło:</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Europejskiego i Rady 2009/48/WE z 18 czerwca 2009 r w sprawie bezpieczeństwa zabawek;</w:t>
            </w:r>
          </w:p>
          <w:p w:rsidR="004A175F" w:rsidRPr="004A175F" w:rsidRDefault="004A175F" w:rsidP="004A175F">
            <w:pPr>
              <w:numPr>
                <w:ilvl w:val="0"/>
                <w:numId w:val="16"/>
              </w:numPr>
              <w:spacing w:line="276" w:lineRule="auto"/>
              <w:rPr>
                <w:rFonts w:ascii="Calibri" w:eastAsia="Calibri" w:hAnsi="Calibri"/>
                <w:sz w:val="22"/>
                <w:szCs w:val="22"/>
                <w:lang w:eastAsia="en-US"/>
              </w:rPr>
            </w:pPr>
            <w:r w:rsidRPr="004A175F">
              <w:rPr>
                <w:rFonts w:cs="Arial"/>
                <w:sz w:val="22"/>
                <w:szCs w:val="22"/>
              </w:rPr>
              <w:t>dyrektywa Parlamentu Europejskiego i Rady 2013/29/UE z</w:t>
            </w:r>
            <w:r w:rsidR="00AE0ED6">
              <w:rPr>
                <w:rFonts w:cs="Arial"/>
                <w:sz w:val="22"/>
                <w:szCs w:val="22"/>
              </w:rPr>
              <w:t> </w:t>
            </w:r>
            <w:r w:rsidRPr="004A175F">
              <w:rPr>
                <w:rFonts w:cs="Arial"/>
                <w:sz w:val="22"/>
                <w:szCs w:val="22"/>
              </w:rPr>
              <w:t>dnia 12 czerwca 2013 r. w sprawie harmonizacji ustawodawstw państw członkowskich odnoszących się do udostępniania na rynku wyrobów pirotechnicznych;</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Europejskiego</w:t>
            </w:r>
            <w:r w:rsidR="00AE0ED6">
              <w:rPr>
                <w:rFonts w:cs="Arial"/>
                <w:sz w:val="22"/>
                <w:szCs w:val="22"/>
              </w:rPr>
              <w:t xml:space="preserve"> i Rady 2013/53/UE z </w:t>
            </w:r>
            <w:r w:rsidRPr="004A175F">
              <w:rPr>
                <w:rFonts w:cs="Arial"/>
                <w:sz w:val="22"/>
                <w:szCs w:val="22"/>
              </w:rPr>
              <w:t>dnia 20 listopada 2013 r. w sprawie rekreacyjnych jednostek pływających i skuterów wodnych i uchylająca dyrektywę 94/25/WE;</w:t>
            </w:r>
          </w:p>
          <w:p w:rsidR="004A175F" w:rsidRPr="004A175F" w:rsidRDefault="004A175F" w:rsidP="004A175F">
            <w:pPr>
              <w:numPr>
                <w:ilvl w:val="0"/>
                <w:numId w:val="16"/>
              </w:numPr>
              <w:spacing w:line="276" w:lineRule="auto"/>
              <w:rPr>
                <w:rFonts w:cs="Arial"/>
                <w:sz w:val="22"/>
                <w:szCs w:val="22"/>
              </w:rPr>
            </w:pPr>
            <w:r w:rsidRPr="004A175F">
              <w:rPr>
                <w:rFonts w:cs="Arial"/>
                <w:sz w:val="22"/>
                <w:szCs w:val="22"/>
              </w:rPr>
              <w:t>dyrektywa Parlamentu Eu</w:t>
            </w:r>
            <w:r w:rsidR="00AE0ED6">
              <w:rPr>
                <w:rFonts w:cs="Arial"/>
                <w:sz w:val="22"/>
                <w:szCs w:val="22"/>
              </w:rPr>
              <w:t>ropejskiego i Rady 2014/28/UE z </w:t>
            </w:r>
            <w:r w:rsidRPr="004A175F">
              <w:rPr>
                <w:rFonts w:cs="Arial"/>
                <w:sz w:val="22"/>
                <w:szCs w:val="22"/>
              </w:rPr>
              <w:t>dnia 26 lutego 2014 r. w sprawie</w:t>
            </w:r>
            <w:r w:rsidR="00F804F3">
              <w:rPr>
                <w:rFonts w:cs="Arial"/>
                <w:sz w:val="22"/>
                <w:szCs w:val="22"/>
              </w:rPr>
              <w:t xml:space="preserve"> </w:t>
            </w:r>
            <w:r w:rsidRPr="004A175F">
              <w:rPr>
                <w:rFonts w:cs="Arial"/>
                <w:sz w:val="22"/>
                <w:szCs w:val="22"/>
              </w:rPr>
              <w:t>harmonizacji ustawodawstw państw członkowskich odnoszących się do udostępniania na rynku i kontroli materiałów wybuchowych przeznaczonych do użytku cywilnego;</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w:t>
            </w:r>
            <w:r w:rsidR="00AE0ED6">
              <w:rPr>
                <w:rFonts w:cs="Arial"/>
                <w:sz w:val="22"/>
                <w:szCs w:val="22"/>
              </w:rPr>
              <w:t>ropejskiego i Rady 2014/29/UE z </w:t>
            </w:r>
            <w:r w:rsidRPr="004A175F">
              <w:rPr>
                <w:rFonts w:cs="Arial"/>
                <w:sz w:val="22"/>
                <w:szCs w:val="22"/>
              </w:rPr>
              <w:t>dnia 26 lutego 2014 r. w sprawie harmonizacji ustawodawstw państw członkowskich odnoszących się do udostępniania na rynku prostych zbiorników ciśnieniowych;</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w:t>
            </w:r>
            <w:r w:rsidR="00AE0ED6">
              <w:rPr>
                <w:rFonts w:cs="Arial"/>
                <w:sz w:val="22"/>
                <w:szCs w:val="22"/>
              </w:rPr>
              <w:t>ropejskiego i Rady 2014/30/UE z </w:t>
            </w:r>
            <w:r w:rsidRPr="004A175F">
              <w:rPr>
                <w:rFonts w:cs="Arial"/>
                <w:sz w:val="22"/>
                <w:szCs w:val="22"/>
              </w:rPr>
              <w:t>dnia 26 lutego 2014 r. w sprawie harmonizacji ustawodawstw państw członkowskich odnoszących się do kompatybilności elektromagnetycznej;</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w:t>
            </w:r>
            <w:r w:rsidR="00AE0ED6">
              <w:rPr>
                <w:rFonts w:cs="Arial"/>
                <w:sz w:val="22"/>
                <w:szCs w:val="22"/>
              </w:rPr>
              <w:t>ropejskiego i Rady 2014/31/UE z </w:t>
            </w:r>
            <w:r w:rsidRPr="004A175F">
              <w:rPr>
                <w:rFonts w:cs="Arial"/>
                <w:sz w:val="22"/>
                <w:szCs w:val="22"/>
              </w:rPr>
              <w:t>dnia 26 lutego 2014 r. w sprawie harmonizacji ustawodawstw państw członkowskich odnoszących się do udostępniania na rynku wag nieautomatycznych;</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Europejs</w:t>
            </w:r>
            <w:r w:rsidR="00AE0ED6">
              <w:rPr>
                <w:rFonts w:cs="Arial"/>
                <w:sz w:val="22"/>
                <w:szCs w:val="22"/>
              </w:rPr>
              <w:t>kiego i Rady 2014/32/UE z </w:t>
            </w:r>
            <w:r w:rsidRPr="004A175F">
              <w:rPr>
                <w:rFonts w:cs="Arial"/>
                <w:sz w:val="22"/>
                <w:szCs w:val="22"/>
              </w:rPr>
              <w:t>dnia 26 lutego 2014 r. w sprawie harmonizacji ustawodawstw państw członkowskich odnoszących się do udostępniania na rynku przyrządów pomiarowych;</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w:t>
            </w:r>
            <w:r w:rsidR="00AE0ED6">
              <w:rPr>
                <w:rFonts w:cs="Arial"/>
                <w:sz w:val="22"/>
                <w:szCs w:val="22"/>
              </w:rPr>
              <w:t>ropejskiego i Rady 2014/33/UE z </w:t>
            </w:r>
            <w:r w:rsidRPr="004A175F">
              <w:rPr>
                <w:rFonts w:cs="Arial"/>
                <w:sz w:val="22"/>
                <w:szCs w:val="22"/>
              </w:rPr>
              <w:t>dnia 26 lutego 2014 r. w sprawie harmonizacji ustawodawstw państw członkowskich dotyczących dźwigów i elementów bezpieczeństwa do dźwigów;</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w:t>
            </w:r>
            <w:r w:rsidR="00AE0ED6">
              <w:rPr>
                <w:rFonts w:cs="Arial"/>
                <w:sz w:val="22"/>
                <w:szCs w:val="22"/>
              </w:rPr>
              <w:t>ropejskiego i Rady 2014/34/UE z </w:t>
            </w:r>
            <w:r w:rsidRPr="004A175F">
              <w:rPr>
                <w:rFonts w:cs="Arial"/>
                <w:sz w:val="22"/>
                <w:szCs w:val="22"/>
              </w:rPr>
              <w:t>dnia 26 lutego 2014 r. w sprawie harmonizacji ustawodawstw państw członkowskich odnoszących się do urządzeń i systemów ochronnych przeznaczonych do użytku w atmosferze potencjalnie wybuchowej;</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Europejskiego i Rady 2014/35/UE z dnia 26 lutego 2014 r. w sprawie harmonizacji ustawodawstw państw członkowskich odnoszących się do udostępniania na rynku sprzętu elektrycznego przewidzianego do stosowania w określonych granicach napięcia;</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 xml:space="preserve">dyrektywa Parlamentu Europejskiego i Rady 2014/53/UE z dnia 16 kwietnia 2014 r. w sprawie harmonizacji </w:t>
            </w:r>
            <w:r w:rsidRPr="004A175F">
              <w:rPr>
                <w:rFonts w:cs="Arial"/>
                <w:sz w:val="22"/>
                <w:szCs w:val="22"/>
              </w:rPr>
              <w:lastRenderedPageBreak/>
              <w:t>ustawodawstw państw członkowskich odnoszących się do udostępniania na rynku urządzeń radiowych i uchylająca dyrektywę 1999/5/WE</w:t>
            </w:r>
            <w:r w:rsidR="00AE0ED6">
              <w:rPr>
                <w:rFonts w:cs="Arial"/>
                <w:sz w:val="22"/>
                <w:szCs w:val="22"/>
              </w:rPr>
              <w:t>;</w:t>
            </w:r>
          </w:p>
          <w:p w:rsidR="004A175F" w:rsidRPr="004A175F" w:rsidRDefault="004A175F" w:rsidP="004A175F">
            <w:pPr>
              <w:numPr>
                <w:ilvl w:val="0"/>
                <w:numId w:val="16"/>
              </w:numPr>
              <w:spacing w:line="276" w:lineRule="auto"/>
              <w:jc w:val="both"/>
              <w:rPr>
                <w:rFonts w:cs="Arial"/>
                <w:sz w:val="22"/>
                <w:szCs w:val="22"/>
              </w:rPr>
            </w:pPr>
            <w:r w:rsidRPr="004A175F">
              <w:rPr>
                <w:rFonts w:cs="Arial"/>
                <w:sz w:val="22"/>
                <w:szCs w:val="22"/>
              </w:rPr>
              <w:t>dyrektywa Parlamentu Europejskiego i Rady 2014/68/UE z dnia 15 maja 2014 r. w sprawie harmonizacji ustawodawstw państw członkowskich odnoszących się do udostępniania na rynku urządzeń ciśnieniowych.</w:t>
            </w:r>
          </w:p>
          <w:p w:rsidR="004A175F" w:rsidRPr="004A175F" w:rsidRDefault="004A175F" w:rsidP="004A175F">
            <w:pPr>
              <w:spacing w:before="120"/>
              <w:rPr>
                <w:rFonts w:eastAsia="Calibri"/>
                <w:b/>
                <w:color w:val="000000"/>
                <w:sz w:val="22"/>
                <w:szCs w:val="22"/>
                <w:lang w:eastAsia="en-US"/>
              </w:rPr>
            </w:pPr>
            <w:r w:rsidRPr="004A175F">
              <w:rPr>
                <w:rFonts w:eastAsia="Calibri"/>
                <w:b/>
                <w:color w:val="000000"/>
                <w:sz w:val="22"/>
                <w:szCs w:val="22"/>
                <w:lang w:eastAsia="en-US"/>
              </w:rPr>
              <w:t>Nr w wykazie prac</w:t>
            </w:r>
          </w:p>
          <w:p w:rsidR="004A175F" w:rsidRPr="004A175F" w:rsidRDefault="004A175F" w:rsidP="004A175F">
            <w:pPr>
              <w:rPr>
                <w:rFonts w:eastAsia="Calibri"/>
                <w:color w:val="000000"/>
                <w:sz w:val="28"/>
                <w:szCs w:val="28"/>
                <w:lang w:eastAsia="en-US"/>
              </w:rPr>
            </w:pPr>
            <w:r w:rsidRPr="004A175F">
              <w:rPr>
                <w:rFonts w:eastAsia="Calibri"/>
                <w:color w:val="000000"/>
                <w:sz w:val="28"/>
                <w:szCs w:val="28"/>
                <w:lang w:eastAsia="en-US"/>
              </w:rPr>
              <w:t>UC 26</w:t>
            </w:r>
          </w:p>
        </w:tc>
      </w:tr>
      <w:tr w:rsidR="004A175F" w:rsidRPr="004A175F" w:rsidTr="00F64F79">
        <w:trPr>
          <w:gridAfter w:val="1"/>
          <w:wAfter w:w="10" w:type="dxa"/>
          <w:trHeight w:val="142"/>
        </w:trPr>
        <w:tc>
          <w:tcPr>
            <w:tcW w:w="10795" w:type="dxa"/>
            <w:gridSpan w:val="21"/>
            <w:shd w:val="clear" w:color="auto" w:fill="99CCFF"/>
          </w:tcPr>
          <w:p w:rsidR="004A175F" w:rsidRPr="004A175F" w:rsidRDefault="004A175F" w:rsidP="004A175F">
            <w:pPr>
              <w:ind w:left="57"/>
              <w:jc w:val="center"/>
              <w:rPr>
                <w:rFonts w:eastAsia="Calibri"/>
                <w:b/>
                <w:color w:val="FFFFFF"/>
                <w:sz w:val="32"/>
                <w:szCs w:val="32"/>
                <w:lang w:eastAsia="en-US"/>
              </w:rPr>
            </w:pPr>
            <w:r w:rsidRPr="004A175F">
              <w:rPr>
                <w:rFonts w:eastAsia="Calibri"/>
                <w:b/>
                <w:color w:val="FFFFFF"/>
                <w:sz w:val="32"/>
                <w:szCs w:val="32"/>
                <w:lang w:eastAsia="en-US"/>
              </w:rPr>
              <w:lastRenderedPageBreak/>
              <w:t>OCENA SKUTKÓW REGULACJI</w:t>
            </w:r>
          </w:p>
        </w:tc>
      </w:tr>
      <w:tr w:rsidR="004A175F" w:rsidRPr="004A175F" w:rsidTr="00F64F79">
        <w:trPr>
          <w:gridAfter w:val="1"/>
          <w:wAfter w:w="10" w:type="dxa"/>
          <w:trHeight w:val="333"/>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sz w:val="22"/>
                <w:szCs w:val="22"/>
                <w:lang w:eastAsia="en-US"/>
              </w:rPr>
              <w:t>Jaki problem jest rozwiązywany?</w:t>
            </w:r>
            <w:bookmarkStart w:id="2" w:name="Wybór1"/>
            <w:bookmarkEnd w:id="2"/>
          </w:p>
        </w:tc>
      </w:tr>
      <w:tr w:rsidR="004A175F" w:rsidRPr="004A175F" w:rsidTr="00F64F79">
        <w:trPr>
          <w:gridAfter w:val="1"/>
          <w:wAfter w:w="10" w:type="dxa"/>
          <w:trHeight w:val="142"/>
        </w:trPr>
        <w:tc>
          <w:tcPr>
            <w:tcW w:w="10795" w:type="dxa"/>
            <w:gridSpan w:val="21"/>
            <w:shd w:val="clear" w:color="auto" w:fill="FFFFFF"/>
          </w:tcPr>
          <w:p w:rsidR="004A175F" w:rsidRPr="004A175F" w:rsidRDefault="004A175F" w:rsidP="00AE0ED6">
            <w:pPr>
              <w:spacing w:before="120"/>
              <w:jc w:val="both"/>
              <w:rPr>
                <w:rFonts w:eastAsia="Calibri"/>
                <w:color w:val="000000"/>
                <w:sz w:val="22"/>
                <w:szCs w:val="22"/>
                <w:lang w:eastAsia="en-US"/>
              </w:rPr>
            </w:pPr>
            <w:r w:rsidRPr="004A175F">
              <w:rPr>
                <w:rFonts w:eastAsia="Calibri"/>
                <w:color w:val="000000"/>
                <w:sz w:val="22"/>
                <w:szCs w:val="22"/>
                <w:lang w:eastAsia="en-US"/>
              </w:rPr>
              <w:t>PROBLEM: brak możliwości otrzymywania przez przedsiębiorców certyfikatów zgodności w Polsce po 2016 r.</w:t>
            </w:r>
          </w:p>
          <w:p w:rsidR="004A175F" w:rsidRPr="004A175F" w:rsidRDefault="004A175F" w:rsidP="004A175F">
            <w:pPr>
              <w:jc w:val="both"/>
              <w:rPr>
                <w:rFonts w:eastAsia="Calibri"/>
                <w:color w:val="000000"/>
                <w:sz w:val="22"/>
                <w:szCs w:val="22"/>
                <w:lang w:eastAsia="en-US"/>
              </w:rPr>
            </w:pPr>
            <w:r w:rsidRPr="004A175F">
              <w:rPr>
                <w:rFonts w:eastAsia="Calibri"/>
                <w:color w:val="000000"/>
                <w:sz w:val="22"/>
                <w:szCs w:val="22"/>
                <w:lang w:eastAsia="en-US"/>
              </w:rPr>
              <w:t>PRZYCZYNA: Niedostosowanie prawa krajowego do prawa Unii Europejskiej, harmonizującego wymagania dla produktów</w:t>
            </w:r>
            <w:r w:rsidR="00F804F3">
              <w:rPr>
                <w:rFonts w:eastAsia="Calibri"/>
                <w:color w:val="000000"/>
                <w:sz w:val="22"/>
                <w:szCs w:val="22"/>
                <w:lang w:eastAsia="en-US"/>
              </w:rPr>
              <w:t xml:space="preserve"> </w:t>
            </w:r>
            <w:r w:rsidRPr="004A175F">
              <w:rPr>
                <w:rFonts w:eastAsia="Calibri"/>
                <w:color w:val="000000"/>
                <w:sz w:val="22"/>
                <w:szCs w:val="22"/>
                <w:lang w:eastAsia="en-US"/>
              </w:rPr>
              <w:t>wprowadzanych do obrotu na jednolitym rynku UE. Nowe ramy prawne (NLF) dla prawa unijnego, regulującego wprowadzanie do obrotu wyrobów, stanowią dwa wzajemnie uzupełniające się akty prawne: rozporządzenie Parlamentu Europejskiego i Rady (WE) nr 765/2008 z dnia 9 lipca 20</w:t>
            </w:r>
            <w:r w:rsidR="00AE0ED6">
              <w:rPr>
                <w:rFonts w:eastAsia="Calibri"/>
                <w:color w:val="000000"/>
                <w:sz w:val="22"/>
                <w:szCs w:val="22"/>
                <w:lang w:eastAsia="en-US"/>
              </w:rPr>
              <w:t>08 r. ustanawiające wymagania w </w:t>
            </w:r>
            <w:r w:rsidRPr="004A175F">
              <w:rPr>
                <w:rFonts w:eastAsia="Calibri"/>
                <w:color w:val="000000"/>
                <w:sz w:val="22"/>
                <w:szCs w:val="22"/>
                <w:lang w:eastAsia="en-US"/>
              </w:rPr>
              <w:t>zakresie akredytacji i nadzoru rynku odnoszące się do warunków wprowadzania produktów do obrotu i uchylającego rozporządzenie (EWG) nr 339/93</w:t>
            </w:r>
            <w:r w:rsidR="00F804F3">
              <w:rPr>
                <w:rFonts w:eastAsia="Calibri"/>
                <w:color w:val="000000"/>
                <w:sz w:val="22"/>
                <w:szCs w:val="22"/>
                <w:lang w:eastAsia="en-US"/>
              </w:rPr>
              <w:t xml:space="preserve"> </w:t>
            </w:r>
            <w:r w:rsidRPr="004A175F">
              <w:rPr>
                <w:rFonts w:eastAsia="Calibri"/>
                <w:color w:val="000000"/>
                <w:sz w:val="22"/>
                <w:szCs w:val="22"/>
                <w:lang w:eastAsia="en-US"/>
              </w:rPr>
              <w:t>oraz decyzja Parlamentu Europejskiego i</w:t>
            </w:r>
            <w:r w:rsidR="00F804F3">
              <w:rPr>
                <w:rFonts w:eastAsia="Calibri"/>
                <w:color w:val="000000"/>
                <w:sz w:val="22"/>
                <w:szCs w:val="22"/>
                <w:lang w:eastAsia="en-US"/>
              </w:rPr>
              <w:t xml:space="preserve"> </w:t>
            </w:r>
            <w:r w:rsidRPr="004A175F">
              <w:rPr>
                <w:rFonts w:eastAsia="Calibri"/>
                <w:color w:val="000000"/>
                <w:sz w:val="22"/>
                <w:szCs w:val="22"/>
                <w:lang w:eastAsia="en-US"/>
              </w:rPr>
              <w:t>Rady nr 768/2008/WE z dnia 9 lipca 2008 r. w</w:t>
            </w:r>
            <w:r w:rsidR="00F804F3">
              <w:rPr>
                <w:rFonts w:eastAsia="Calibri"/>
                <w:color w:val="000000"/>
                <w:sz w:val="22"/>
                <w:szCs w:val="22"/>
                <w:lang w:eastAsia="en-US"/>
              </w:rPr>
              <w:t xml:space="preserve"> </w:t>
            </w:r>
            <w:r w:rsidRPr="004A175F">
              <w:rPr>
                <w:rFonts w:eastAsia="Calibri"/>
                <w:color w:val="000000"/>
                <w:sz w:val="22"/>
                <w:szCs w:val="22"/>
                <w:lang w:eastAsia="en-US"/>
              </w:rPr>
              <w:t xml:space="preserve">sprawie wspólnych ram dotyczących wprowadzania produktów do obrotu, uchylającej decyzję Rady 93/465/EWG. Niedostosowanie prawa krajowego powoduje w konsekwencji brak możliwości transpozycji do porządku krajowego pakietu dziewięciu dyrektyw dostosowanych do NLF w ramach tzw. „pakietu dostosowawczego” oraz dyrektywy dotyczącej łodzi rekreacyjnych. </w:t>
            </w:r>
          </w:p>
          <w:p w:rsidR="004A175F" w:rsidRPr="004A175F" w:rsidRDefault="004A175F" w:rsidP="009D551C">
            <w:pPr>
              <w:jc w:val="both"/>
              <w:rPr>
                <w:rFonts w:eastAsia="Calibri"/>
                <w:color w:val="000000"/>
                <w:sz w:val="22"/>
                <w:szCs w:val="22"/>
                <w:lang w:eastAsia="en-US"/>
              </w:rPr>
            </w:pPr>
            <w:r w:rsidRPr="004A175F">
              <w:rPr>
                <w:rFonts w:eastAsia="Calibri"/>
                <w:color w:val="000000"/>
                <w:sz w:val="22"/>
                <w:szCs w:val="22"/>
                <w:lang w:eastAsia="en-US"/>
              </w:rPr>
              <w:t>System nadzoru rynku funkcjonuje w Polsce od przeszło 10 lat. Z tej perspektywy dostrzeżono pewne elementy istniejącego systemu, które wymagają poprawy (szczególnie system karania), doprecyzowania lub zmiany, tak aby umożliwić podejmowanie skutecznych działań organom nadzoru rynku, skierowanych na pełne wyeliminowanie zagrożeń dla zdrowia lub życia konsumentów i</w:t>
            </w:r>
            <w:r w:rsidR="00F804F3">
              <w:rPr>
                <w:rFonts w:eastAsia="Calibri"/>
                <w:color w:val="000000"/>
                <w:sz w:val="22"/>
                <w:szCs w:val="22"/>
                <w:lang w:eastAsia="en-US"/>
              </w:rPr>
              <w:t xml:space="preserve"> </w:t>
            </w:r>
            <w:r w:rsidRPr="004A175F">
              <w:rPr>
                <w:rFonts w:eastAsia="Calibri"/>
                <w:color w:val="000000"/>
                <w:sz w:val="22"/>
                <w:szCs w:val="22"/>
                <w:lang w:eastAsia="en-US"/>
              </w:rPr>
              <w:t>użytkowników. Ponadto wprowadzone zmiany wynikają z analizy podejścia i wytycznych prezentowanych przez Komisję Europejską oraz są wynikiem zacieśniającej się współpracy z</w:t>
            </w:r>
            <w:r w:rsidR="00F804F3">
              <w:rPr>
                <w:rFonts w:eastAsia="Calibri"/>
                <w:color w:val="000000"/>
                <w:sz w:val="22"/>
                <w:szCs w:val="22"/>
                <w:lang w:eastAsia="en-US"/>
              </w:rPr>
              <w:t xml:space="preserve"> </w:t>
            </w:r>
            <w:r w:rsidRPr="004A175F">
              <w:rPr>
                <w:rFonts w:eastAsia="Calibri"/>
                <w:color w:val="000000"/>
                <w:sz w:val="22"/>
                <w:szCs w:val="22"/>
                <w:lang w:eastAsia="en-US"/>
              </w:rPr>
              <w:t>organami nadzoru rynku innych państw członkowskich Unii Europejskiej, a także korzystania z wypracowanych dobrych praktyk.</w:t>
            </w:r>
          </w:p>
        </w:tc>
      </w:tr>
      <w:tr w:rsidR="004A175F" w:rsidRPr="004A175F" w:rsidTr="00F64F79">
        <w:trPr>
          <w:gridAfter w:val="1"/>
          <w:wAfter w:w="10" w:type="dxa"/>
          <w:trHeight w:val="142"/>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color w:val="000000"/>
                <w:spacing w:val="-2"/>
                <w:sz w:val="22"/>
                <w:szCs w:val="22"/>
                <w:lang w:eastAsia="en-US"/>
              </w:rPr>
              <w:t>Rekomendowane rozwiązanie, w tym planowane narzędzia interwencji, i oczekiwany efekt</w:t>
            </w:r>
          </w:p>
        </w:tc>
      </w:tr>
      <w:tr w:rsidR="004A175F" w:rsidRPr="004A175F" w:rsidTr="00F64F79">
        <w:trPr>
          <w:gridAfter w:val="1"/>
          <w:wAfter w:w="10" w:type="dxa"/>
          <w:trHeight w:val="142"/>
        </w:trPr>
        <w:tc>
          <w:tcPr>
            <w:tcW w:w="10795" w:type="dxa"/>
            <w:gridSpan w:val="21"/>
            <w:shd w:val="clear" w:color="auto" w:fill="auto"/>
          </w:tcPr>
          <w:p w:rsidR="004A175F" w:rsidRPr="004A175F" w:rsidRDefault="004A175F" w:rsidP="00AE0ED6">
            <w:pPr>
              <w:spacing w:before="120"/>
              <w:jc w:val="both"/>
              <w:rPr>
                <w:rFonts w:eastAsia="Calibri"/>
                <w:color w:val="000000"/>
                <w:spacing w:val="-2"/>
                <w:sz w:val="22"/>
                <w:szCs w:val="22"/>
                <w:lang w:eastAsia="en-US"/>
              </w:rPr>
            </w:pPr>
            <w:r w:rsidRPr="004A175F">
              <w:rPr>
                <w:rFonts w:eastAsia="Calibri"/>
                <w:color w:val="000000"/>
                <w:spacing w:val="-2"/>
                <w:sz w:val="22"/>
                <w:szCs w:val="22"/>
                <w:lang w:eastAsia="en-US"/>
              </w:rPr>
              <w:t>Przeprowadzona analiza powyższego problemu wykazała, że optymalnym rozwiązaniem jest regulacja legislacyjna w postaci ustawy, a alternatywne sposoby rozwiązania problemu nie znajdują uzasadnionego zastosowania. Rezygnacja z jakiejkolwiek regulacji spowoduje, że po 2016 r. nasze regulacje dotyczące oceny zgodności nie będą w pełni spójne z prawem Unii Europejskiej, krajowe jednostki oceniające zgodność nie będą mogły być notyfikowane do nowych dyrektyw. Brak krajowych jednostek notyfikowanych spowoduje brak możliwości otrzymywania przez przedsiębiorców certyfikatów zgodności w Polsce. Przedsiębiorcy będą musieli dokonywać sprawdzenia zgodności wyrobów z wymaganiami w zagranicznych jednostkach notyfikowanych, co zwiększy koszty badań i spowoduje ogromne trudności z wprowadzaniem wyrobów do obrotu zarówno na rynek polski</w:t>
            </w:r>
            <w:r w:rsidR="00AE0ED6">
              <w:rPr>
                <w:rFonts w:eastAsia="Calibri"/>
                <w:color w:val="000000"/>
                <w:spacing w:val="-2"/>
                <w:sz w:val="22"/>
                <w:szCs w:val="22"/>
                <w:lang w:eastAsia="en-US"/>
              </w:rPr>
              <w:t>,</w:t>
            </w:r>
            <w:r w:rsidRPr="004A175F">
              <w:rPr>
                <w:rFonts w:eastAsia="Calibri"/>
                <w:color w:val="000000"/>
                <w:spacing w:val="-2"/>
                <w:sz w:val="22"/>
                <w:szCs w:val="22"/>
                <w:lang w:eastAsia="en-US"/>
              </w:rPr>
              <w:t xml:space="preserve"> jak i europejski.</w:t>
            </w:r>
          </w:p>
          <w:p w:rsidR="004A175F" w:rsidRPr="004A175F" w:rsidRDefault="004A175F" w:rsidP="009D551C">
            <w:pPr>
              <w:jc w:val="both"/>
              <w:rPr>
                <w:rFonts w:eastAsia="Calibri"/>
                <w:color w:val="000000"/>
                <w:spacing w:val="-2"/>
                <w:sz w:val="22"/>
                <w:szCs w:val="22"/>
                <w:lang w:eastAsia="en-US"/>
              </w:rPr>
            </w:pPr>
            <w:r w:rsidRPr="004A175F">
              <w:rPr>
                <w:rFonts w:eastAsia="Calibri"/>
                <w:color w:val="000000"/>
                <w:spacing w:val="-2"/>
                <w:sz w:val="22"/>
                <w:szCs w:val="22"/>
                <w:lang w:eastAsia="en-US"/>
              </w:rPr>
              <w:t>Rozwiązania, które dostosują prawo krajowe do NFL: uregulowanie obowiązków podmiotów gospodarczych: m.in. producentów i ich upoważnionych przedstawicieli, importerów, dystrybutorów; utworzenie katalogu wymagań dla notyfikowanych jednostek oceniających zgodność; doprecyzowanie przepisów dotyczących nadzoru rynku; uaktualnienie siatki pojęciowej i terminologii systemu oceny zgodności i nadzoru rynku.</w:t>
            </w:r>
          </w:p>
        </w:tc>
      </w:tr>
      <w:tr w:rsidR="004A175F" w:rsidRPr="004A175F" w:rsidTr="00F64F79">
        <w:trPr>
          <w:gridAfter w:val="1"/>
          <w:wAfter w:w="10" w:type="dxa"/>
          <w:trHeight w:val="307"/>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spacing w:val="-2"/>
                <w:sz w:val="22"/>
                <w:szCs w:val="22"/>
                <w:lang w:eastAsia="en-US"/>
              </w:rPr>
              <w:t>Jak problem został rozwiązany w innych krajach, w szczególności krajach członkowskich OECD/UE</w:t>
            </w:r>
            <w:r w:rsidRPr="004A175F">
              <w:rPr>
                <w:rFonts w:eastAsia="Calibri"/>
                <w:b/>
                <w:color w:val="000000"/>
                <w:sz w:val="22"/>
                <w:szCs w:val="22"/>
                <w:lang w:eastAsia="en-US"/>
              </w:rPr>
              <w:t>?</w:t>
            </w:r>
            <w:r w:rsidRPr="00F804F3">
              <w:rPr>
                <w:rFonts w:eastAsia="Calibri"/>
                <w:color w:val="000000"/>
                <w:sz w:val="22"/>
                <w:szCs w:val="22"/>
                <w:lang w:eastAsia="en-US"/>
              </w:rPr>
              <w:t xml:space="preserve"> </w:t>
            </w:r>
          </w:p>
        </w:tc>
      </w:tr>
      <w:tr w:rsidR="004A175F" w:rsidRPr="004A175F" w:rsidTr="00F64F79">
        <w:trPr>
          <w:gridAfter w:val="1"/>
          <w:wAfter w:w="10" w:type="dxa"/>
          <w:trHeight w:val="142"/>
        </w:trPr>
        <w:tc>
          <w:tcPr>
            <w:tcW w:w="10795" w:type="dxa"/>
            <w:gridSpan w:val="21"/>
            <w:shd w:val="clear" w:color="auto" w:fill="auto"/>
          </w:tcPr>
          <w:p w:rsidR="004A175F" w:rsidRPr="004A175F" w:rsidRDefault="004A175F" w:rsidP="00AE0ED6">
            <w:pPr>
              <w:spacing w:before="120"/>
              <w:jc w:val="both"/>
              <w:rPr>
                <w:rFonts w:eastAsia="Calibri"/>
                <w:color w:val="000000"/>
                <w:spacing w:val="-2"/>
                <w:sz w:val="22"/>
                <w:szCs w:val="22"/>
                <w:lang w:eastAsia="en-US"/>
              </w:rPr>
            </w:pPr>
            <w:r w:rsidRPr="004A175F">
              <w:rPr>
                <w:rFonts w:eastAsia="Calibri"/>
                <w:color w:val="000000"/>
                <w:spacing w:val="-2"/>
                <w:sz w:val="22"/>
                <w:szCs w:val="22"/>
                <w:lang w:eastAsia="en-US"/>
              </w:rPr>
              <w:t>Pełna implementacja prawa unijnego, harmonizującego wymagania dla wyrobów wprowadzanych do obrotu na jednolitym rynku Unii Europejskiej oraz ujednolicenie procedur stosowanych w systemie nadzoru rynku.</w:t>
            </w:r>
          </w:p>
        </w:tc>
      </w:tr>
      <w:tr w:rsidR="004A175F" w:rsidRPr="004A175F" w:rsidTr="00F64F79">
        <w:trPr>
          <w:gridAfter w:val="1"/>
          <w:wAfter w:w="10" w:type="dxa"/>
          <w:trHeight w:val="359"/>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color w:val="000000"/>
                <w:sz w:val="22"/>
                <w:szCs w:val="22"/>
                <w:lang w:eastAsia="en-US"/>
              </w:rPr>
              <w:t>Podmioty, na które oddziałuje projekt</w:t>
            </w: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spacing w:before="40"/>
              <w:jc w:val="center"/>
              <w:rPr>
                <w:rFonts w:eastAsia="Calibri"/>
                <w:color w:val="000000"/>
                <w:spacing w:val="-2"/>
                <w:sz w:val="22"/>
                <w:szCs w:val="22"/>
                <w:lang w:eastAsia="en-US"/>
              </w:rPr>
            </w:pPr>
            <w:r w:rsidRPr="004A175F">
              <w:rPr>
                <w:rFonts w:eastAsia="Calibri"/>
                <w:color w:val="000000"/>
                <w:spacing w:val="-2"/>
                <w:sz w:val="22"/>
                <w:szCs w:val="22"/>
                <w:lang w:eastAsia="en-US"/>
              </w:rPr>
              <w:t>Grupa</w:t>
            </w:r>
          </w:p>
        </w:tc>
        <w:tc>
          <w:tcPr>
            <w:tcW w:w="1276" w:type="dxa"/>
            <w:gridSpan w:val="3"/>
            <w:shd w:val="clear" w:color="auto" w:fill="auto"/>
          </w:tcPr>
          <w:p w:rsidR="004A175F" w:rsidRPr="004A175F" w:rsidRDefault="004A175F" w:rsidP="004A175F">
            <w:pPr>
              <w:spacing w:before="40"/>
              <w:jc w:val="center"/>
              <w:rPr>
                <w:rFonts w:eastAsia="Calibri"/>
                <w:color w:val="000000"/>
                <w:spacing w:val="-2"/>
                <w:sz w:val="22"/>
                <w:szCs w:val="22"/>
                <w:lang w:eastAsia="en-US"/>
              </w:rPr>
            </w:pPr>
            <w:r w:rsidRPr="004A175F">
              <w:rPr>
                <w:rFonts w:eastAsia="Calibri"/>
                <w:color w:val="000000"/>
                <w:spacing w:val="-2"/>
                <w:sz w:val="22"/>
                <w:szCs w:val="22"/>
                <w:lang w:eastAsia="en-US"/>
              </w:rPr>
              <w:t>Wielkość</w:t>
            </w:r>
          </w:p>
        </w:tc>
        <w:tc>
          <w:tcPr>
            <w:tcW w:w="1985" w:type="dxa"/>
            <w:gridSpan w:val="5"/>
            <w:shd w:val="clear" w:color="auto" w:fill="auto"/>
          </w:tcPr>
          <w:p w:rsidR="004A175F" w:rsidRPr="004A175F" w:rsidRDefault="004A175F" w:rsidP="004A175F">
            <w:pPr>
              <w:spacing w:before="40"/>
              <w:jc w:val="center"/>
              <w:rPr>
                <w:rFonts w:eastAsia="Calibri"/>
                <w:color w:val="000000"/>
                <w:spacing w:val="-2"/>
                <w:sz w:val="22"/>
                <w:szCs w:val="22"/>
                <w:lang w:eastAsia="en-US"/>
              </w:rPr>
            </w:pPr>
            <w:r w:rsidRPr="004A175F">
              <w:rPr>
                <w:rFonts w:eastAsia="Calibri"/>
                <w:color w:val="000000"/>
                <w:spacing w:val="-2"/>
                <w:sz w:val="22"/>
                <w:szCs w:val="22"/>
                <w:lang w:eastAsia="en-US"/>
              </w:rPr>
              <w:t>Źródło danych</w:t>
            </w:r>
            <w:r w:rsidRPr="004A175F" w:rsidDel="00260F33">
              <w:rPr>
                <w:rFonts w:eastAsia="Calibri"/>
                <w:color w:val="000000"/>
                <w:spacing w:val="-2"/>
                <w:sz w:val="22"/>
                <w:szCs w:val="22"/>
                <w:lang w:eastAsia="en-US"/>
              </w:rPr>
              <w:t xml:space="preserve"> </w:t>
            </w:r>
          </w:p>
        </w:tc>
        <w:tc>
          <w:tcPr>
            <w:tcW w:w="5124" w:type="dxa"/>
            <w:gridSpan w:val="10"/>
            <w:shd w:val="clear" w:color="auto" w:fill="auto"/>
          </w:tcPr>
          <w:p w:rsidR="004A175F" w:rsidRPr="004A175F" w:rsidRDefault="004A175F" w:rsidP="004A175F">
            <w:pPr>
              <w:spacing w:before="40"/>
              <w:jc w:val="center"/>
              <w:rPr>
                <w:rFonts w:eastAsia="Calibri"/>
                <w:color w:val="000000"/>
                <w:spacing w:val="-2"/>
                <w:sz w:val="22"/>
                <w:szCs w:val="22"/>
                <w:lang w:eastAsia="en-US"/>
              </w:rPr>
            </w:pPr>
            <w:r w:rsidRPr="004A175F">
              <w:rPr>
                <w:rFonts w:eastAsia="Calibri"/>
                <w:color w:val="000000"/>
                <w:spacing w:val="-2"/>
                <w:sz w:val="22"/>
                <w:szCs w:val="22"/>
                <w:lang w:eastAsia="en-US"/>
              </w:rPr>
              <w:t>Oddziaływanie</w:t>
            </w: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t>Przedsiębiorcy (producenci, importerzy, dystrybutorzy)</w:t>
            </w:r>
          </w:p>
        </w:tc>
        <w:tc>
          <w:tcPr>
            <w:tcW w:w="1276"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35 000 tys.*</w:t>
            </w:r>
          </w:p>
        </w:tc>
        <w:tc>
          <w:tcPr>
            <w:tcW w:w="1985" w:type="dxa"/>
            <w:gridSpan w:val="5"/>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GUS</w:t>
            </w:r>
          </w:p>
        </w:tc>
        <w:tc>
          <w:tcPr>
            <w:tcW w:w="5124" w:type="dxa"/>
            <w:gridSpan w:val="10"/>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Zgodnie z ustawą o systemie oceny zgodności obowiązki każdego z podmiotów gospodarczych są uzależnione od ich roli w łańcuchu dostaw i dystrybucji. Generalnie podmioty te zobowiązane są do zapewnienia zgodności wyrobów z wymaganiami określonymi w poszczególnych dyrektywach sektorowych. Podmioty te </w:t>
            </w:r>
            <w:r w:rsidRPr="004A175F">
              <w:rPr>
                <w:rFonts w:eastAsia="Calibri"/>
                <w:color w:val="000000"/>
                <w:spacing w:val="-2"/>
                <w:sz w:val="22"/>
                <w:szCs w:val="22"/>
                <w:lang w:eastAsia="en-US"/>
              </w:rPr>
              <w:lastRenderedPageBreak/>
              <w:t>przeprowadzają zatem ocenę zgodności z wymaganiami przed wprowadzeniem wyrobów do obrotu lub oddaniem ich do użytku. Dyrektywy sektorowe określają szczegóły dotyczące przeprowadzania procedury oceny zgodności wyrobów z wymaganiami. Procedury postępo</w:t>
            </w:r>
            <w:r w:rsidR="00AE0ED6">
              <w:rPr>
                <w:rFonts w:eastAsia="Calibri"/>
                <w:color w:val="000000"/>
                <w:spacing w:val="-2"/>
                <w:sz w:val="22"/>
                <w:szCs w:val="22"/>
                <w:lang w:eastAsia="en-US"/>
              </w:rPr>
              <w:t>wania nazywane są „modułami”. W </w:t>
            </w:r>
            <w:r w:rsidRPr="004A175F">
              <w:rPr>
                <w:rFonts w:eastAsia="Calibri"/>
                <w:color w:val="000000"/>
                <w:spacing w:val="-2"/>
                <w:sz w:val="22"/>
                <w:szCs w:val="22"/>
                <w:lang w:eastAsia="en-US"/>
              </w:rPr>
              <w:t>obecnie obowiązujących regulacjach obowiązki producentów, importerów i dystrybutorów regulowane są w poszczególnych rozporządzeniach wydanych na podstawie art. 9 ustawy o systemie oceny zgodności, wdrażających poszczególne dyrektywy. Na nieprawidłowość takiej regulacji zwróciło uwagę Rządowe Centrum Legislacji. Konieczne jest</w:t>
            </w:r>
            <w:r w:rsidR="00AE0ED6">
              <w:rPr>
                <w:rFonts w:eastAsia="Calibri"/>
                <w:color w:val="000000"/>
                <w:spacing w:val="-2"/>
                <w:sz w:val="22"/>
                <w:szCs w:val="22"/>
                <w:lang w:eastAsia="en-US"/>
              </w:rPr>
              <w:t>, a</w:t>
            </w:r>
            <w:r w:rsidRPr="004A175F">
              <w:rPr>
                <w:rFonts w:eastAsia="Calibri"/>
                <w:color w:val="000000"/>
                <w:spacing w:val="-2"/>
                <w:sz w:val="22"/>
                <w:szCs w:val="22"/>
                <w:lang w:eastAsia="en-US"/>
              </w:rPr>
              <w:t>by uprawnienia i obowiązki podmiotów gospodarczych uregulowane były w drodze ustawy. Nowa ustawa gromadzi w jednym miejscu przepisy dotyczące wszystkich uczestników obrotu zgodnie z rozporządzeniem 765/2008 oraz decyzją 768/2008. Ma to na celu ułatwienie stosowania przepisów przedsiębiorcom oraz umożliwienie ich identyfikacji w łańcuchu dystrybucji jednocześnie jasno wskazując ich obowiązki i uprawnienia.</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Niedostosowanie praw</w:t>
            </w:r>
            <w:r w:rsidR="009D551C">
              <w:rPr>
                <w:rFonts w:eastAsia="Calibri"/>
                <w:color w:val="000000"/>
                <w:spacing w:val="-2"/>
                <w:sz w:val="22"/>
                <w:szCs w:val="22"/>
                <w:lang w:eastAsia="en-US"/>
              </w:rPr>
              <w:t>a polskiego do prawa UE do 2016 </w:t>
            </w:r>
            <w:r w:rsidRPr="004A175F">
              <w:rPr>
                <w:rFonts w:eastAsia="Calibri"/>
                <w:color w:val="000000"/>
                <w:spacing w:val="-2"/>
                <w:sz w:val="22"/>
                <w:szCs w:val="22"/>
                <w:lang w:eastAsia="en-US"/>
              </w:rPr>
              <w:t>r. spowoduje, że krajowe jednostki oceniające zgodność nie będą mogły być notyfikowane do nowych dyrektyw sektorowych. Brak krajowych jednostek notyfikowanych spowoduje brak możliwości otrzymywania przez przedsiębiorców certyfikatów zgodności w Polsce. Przedsiębiorcy będą musieli dokonywać sprawdzenia zgodności wyrobów z wymaganiami w zagranicznych jednostkach notyfikowanych, co zwiększy koszty badań i spowoduje ogromne trudności z wprowadzaniem wyrobów do obrotu zarówno na rynek polski</w:t>
            </w:r>
            <w:r w:rsidR="00AE0ED6">
              <w:rPr>
                <w:rFonts w:eastAsia="Calibri"/>
                <w:color w:val="000000"/>
                <w:spacing w:val="-2"/>
                <w:sz w:val="22"/>
                <w:szCs w:val="22"/>
                <w:lang w:eastAsia="en-US"/>
              </w:rPr>
              <w:t>,</w:t>
            </w:r>
            <w:r w:rsidRPr="004A175F">
              <w:rPr>
                <w:rFonts w:eastAsia="Calibri"/>
                <w:color w:val="000000"/>
                <w:spacing w:val="-2"/>
                <w:sz w:val="22"/>
                <w:szCs w:val="22"/>
                <w:lang w:eastAsia="en-US"/>
              </w:rPr>
              <w:t xml:space="preserve"> jak i europejski.</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Ponadto brak dostosowanych przepisów w zakresie nadzoru rynku sprawi, że organy nadzoru rynku i</w:t>
            </w:r>
            <w:r w:rsidR="00F804F3">
              <w:rPr>
                <w:rFonts w:eastAsia="Calibri"/>
                <w:color w:val="000000"/>
                <w:spacing w:val="-2"/>
                <w:sz w:val="22"/>
                <w:szCs w:val="22"/>
                <w:lang w:eastAsia="en-US"/>
              </w:rPr>
              <w:t xml:space="preserve"> </w:t>
            </w:r>
            <w:r w:rsidRPr="004A175F">
              <w:rPr>
                <w:rFonts w:eastAsia="Calibri"/>
                <w:color w:val="000000"/>
                <w:spacing w:val="-2"/>
                <w:sz w:val="22"/>
                <w:szCs w:val="22"/>
                <w:lang w:eastAsia="en-US"/>
              </w:rPr>
              <w:t>organy celne nie będą mogły skutecznie przeciwdziałać obrotowi wyrobami niespełniającymi wymagań sprowadzanymi w ramach wymiany wewnątrzunijnej lub z krajów trzecich.</w:t>
            </w: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lastRenderedPageBreak/>
              <w:t>Jednostki oceniające zgodność</w:t>
            </w:r>
          </w:p>
        </w:tc>
        <w:tc>
          <w:tcPr>
            <w:tcW w:w="1276"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80 </w:t>
            </w:r>
          </w:p>
        </w:tc>
        <w:tc>
          <w:tcPr>
            <w:tcW w:w="1985" w:type="dxa"/>
            <w:gridSpan w:val="5"/>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Baza NANDO</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(wykaz jednostek notyfikowanych, prowadzony przez Komisję Europejską)</w:t>
            </w:r>
          </w:p>
          <w:p w:rsidR="004A175F" w:rsidRPr="004A175F" w:rsidRDefault="004A175F" w:rsidP="004A175F">
            <w:pPr>
              <w:rPr>
                <w:rFonts w:eastAsia="Calibri"/>
                <w:color w:val="000000"/>
                <w:spacing w:val="-2"/>
                <w:sz w:val="22"/>
                <w:szCs w:val="22"/>
                <w:lang w:eastAsia="en-US"/>
              </w:rPr>
            </w:pP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Obwieszczenie Ministra Gospodarki w sprawie informacji o notyfikowanych jednostkach certyfikujących i jednostkach kontrolujących oraz notyfikowanych laboratoriach</w:t>
            </w:r>
          </w:p>
        </w:tc>
        <w:tc>
          <w:tcPr>
            <w:tcW w:w="5124" w:type="dxa"/>
            <w:gridSpan w:val="10"/>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 przypadku niektórych modułów oceny zgodności, niezbędny jest udział tzw. strony trzeciej</w:t>
            </w:r>
            <w:r w:rsidR="00AE0ED6">
              <w:rPr>
                <w:rFonts w:eastAsia="Calibri"/>
                <w:color w:val="000000"/>
                <w:spacing w:val="-2"/>
                <w:sz w:val="22"/>
                <w:szCs w:val="22"/>
                <w:lang w:eastAsia="en-US"/>
              </w:rPr>
              <w:t>,</w:t>
            </w:r>
            <w:r w:rsidRPr="004A175F">
              <w:rPr>
                <w:rFonts w:eastAsia="Calibri"/>
                <w:color w:val="000000"/>
                <w:spacing w:val="-2"/>
                <w:sz w:val="22"/>
                <w:szCs w:val="22"/>
                <w:lang w:eastAsia="en-US"/>
              </w:rPr>
              <w:t xml:space="preserve"> tj. jednostki notyfikowanej, która przeprowadza badania zgodności wyrobu z wymaganiami określonymi w dyrektywach i wystawia certyfikat zgodności. Wskazać należy, że w latach 2004–2013 można zaobserwować coroczny wzrost liczby podmiotów zlecających jednostkom notyfikowanym przeprowadzenie oceny zgodności, od poziomu ok. 1500 podmiotów w 2004</w:t>
            </w:r>
            <w:r w:rsidR="009D551C">
              <w:rPr>
                <w:rFonts w:eastAsia="Calibri"/>
                <w:color w:val="000000"/>
                <w:spacing w:val="-2"/>
                <w:sz w:val="22"/>
                <w:szCs w:val="22"/>
                <w:lang w:eastAsia="en-US"/>
              </w:rPr>
              <w:t>–2006 do 2400 </w:t>
            </w:r>
            <w:r w:rsidRPr="004A175F">
              <w:rPr>
                <w:rFonts w:eastAsia="Calibri"/>
                <w:color w:val="000000"/>
                <w:spacing w:val="-2"/>
                <w:sz w:val="22"/>
                <w:szCs w:val="22"/>
                <w:lang w:eastAsia="en-US"/>
              </w:rPr>
              <w:t>podmiotów w 2012 roku. Podmiotami zlecającymi w latach 2004</w:t>
            </w:r>
            <w:r w:rsidR="009D551C">
              <w:rPr>
                <w:rFonts w:eastAsia="Calibri"/>
                <w:color w:val="000000"/>
                <w:spacing w:val="-2"/>
                <w:sz w:val="22"/>
                <w:szCs w:val="22"/>
                <w:lang w:eastAsia="en-US"/>
              </w:rPr>
              <w:t>–</w:t>
            </w:r>
            <w:r w:rsidRPr="004A175F">
              <w:rPr>
                <w:rFonts w:eastAsia="Calibri"/>
                <w:color w:val="000000"/>
                <w:spacing w:val="-2"/>
                <w:sz w:val="22"/>
                <w:szCs w:val="22"/>
                <w:lang w:eastAsia="en-US"/>
              </w:rPr>
              <w:t>2013, w 90</w:t>
            </w:r>
            <w:r w:rsidR="009D551C">
              <w:rPr>
                <w:rFonts w:eastAsia="Calibri"/>
                <w:color w:val="000000"/>
                <w:spacing w:val="-2"/>
                <w:sz w:val="22"/>
                <w:szCs w:val="22"/>
                <w:lang w:eastAsia="en-US"/>
              </w:rPr>
              <w:t>–</w:t>
            </w:r>
            <w:r w:rsidRPr="004A175F">
              <w:rPr>
                <w:rFonts w:eastAsia="Calibri"/>
                <w:color w:val="000000"/>
                <w:spacing w:val="-2"/>
                <w:sz w:val="22"/>
                <w:szCs w:val="22"/>
                <w:lang w:eastAsia="en-US"/>
              </w:rPr>
              <w:t>97% byli polscy przedsiębiorcy.</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Wskazać należy, iż w obecnie obowiązujących przepisach wymagania co do jednostek notyfikowanych nie są określone w ustawie. Do kwestii tych odnoszą się rozporządzenia implementujące poszczególne dyrektywy, co jest rozwiązaniem niekorzystnym i powodującym brak przejrzystości przepisów, bowiem wymagania te są niemal identyczne dla wszystkich jednostek oceniających zgodność.</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lastRenderedPageBreak/>
              <w:t>Jeżeli po 2016 r. polskie regulacje dotyczące oceny zgodności nie będą w pełni spójne z prawem Unii Europejskiej, krajowe jednostki oceniające zgodność nie będą mogły być notyfikowane do nowych dyrektyw.</w:t>
            </w: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lastRenderedPageBreak/>
              <w:t>Krajowa jednostka akredytująca</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Polskie Centrum Akredytacji (PCA)</w:t>
            </w:r>
          </w:p>
        </w:tc>
        <w:tc>
          <w:tcPr>
            <w:tcW w:w="1276" w:type="dxa"/>
            <w:gridSpan w:val="3"/>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1 </w:t>
            </w:r>
          </w:p>
        </w:tc>
        <w:tc>
          <w:tcPr>
            <w:tcW w:w="1985" w:type="dxa"/>
            <w:gridSpan w:val="5"/>
            <w:shd w:val="clear" w:color="auto" w:fill="auto"/>
          </w:tcPr>
          <w:p w:rsidR="004A175F" w:rsidRPr="004A175F" w:rsidRDefault="004A175F">
            <w:pPr>
              <w:rPr>
                <w:rFonts w:eastAsia="Calibri"/>
                <w:color w:val="000000"/>
                <w:spacing w:val="-2"/>
                <w:sz w:val="22"/>
                <w:szCs w:val="22"/>
                <w:lang w:eastAsia="en-US"/>
              </w:rPr>
            </w:pPr>
            <w:r w:rsidRPr="004A175F">
              <w:rPr>
                <w:rFonts w:eastAsia="Calibri"/>
                <w:color w:val="000000"/>
                <w:spacing w:val="-2"/>
                <w:sz w:val="22"/>
                <w:szCs w:val="22"/>
                <w:lang w:eastAsia="en-US"/>
              </w:rPr>
              <w:t>Usta</w:t>
            </w:r>
            <w:r w:rsidR="00AE0ED6">
              <w:rPr>
                <w:rFonts w:eastAsia="Calibri"/>
                <w:color w:val="000000"/>
                <w:spacing w:val="-2"/>
                <w:sz w:val="22"/>
                <w:szCs w:val="22"/>
                <w:lang w:eastAsia="en-US"/>
              </w:rPr>
              <w:t>wa o systemie oceny zgodności z </w:t>
            </w:r>
            <w:r w:rsidRPr="004A175F">
              <w:rPr>
                <w:rFonts w:eastAsia="Calibri"/>
                <w:color w:val="000000"/>
                <w:spacing w:val="-2"/>
                <w:sz w:val="22"/>
                <w:szCs w:val="22"/>
                <w:lang w:eastAsia="en-US"/>
              </w:rPr>
              <w:t>dni</w:t>
            </w:r>
            <w:r w:rsidR="00AE0ED6">
              <w:rPr>
                <w:rFonts w:eastAsia="Calibri"/>
                <w:color w:val="000000"/>
                <w:spacing w:val="-2"/>
                <w:sz w:val="22"/>
                <w:szCs w:val="22"/>
                <w:lang w:eastAsia="en-US"/>
              </w:rPr>
              <w:t>a 30 sierpnia 2002 r. (Dz. U. z </w:t>
            </w:r>
            <w:r w:rsidRPr="004A175F">
              <w:rPr>
                <w:rFonts w:eastAsia="Calibri"/>
                <w:color w:val="000000"/>
                <w:spacing w:val="-2"/>
                <w:sz w:val="22"/>
                <w:szCs w:val="22"/>
                <w:lang w:eastAsia="en-US"/>
              </w:rPr>
              <w:t xml:space="preserve">2014 r. poz. 1645 </w:t>
            </w:r>
            <w:r w:rsidR="00F90E34">
              <w:rPr>
                <w:rFonts w:eastAsia="Calibri"/>
                <w:color w:val="000000"/>
                <w:spacing w:val="-2"/>
                <w:sz w:val="22"/>
                <w:szCs w:val="22"/>
                <w:lang w:eastAsia="en-US"/>
              </w:rPr>
              <w:t>i</w:t>
            </w:r>
            <w:r w:rsidR="00AE0ED6">
              <w:rPr>
                <w:rFonts w:eastAsia="Calibri"/>
                <w:color w:val="000000"/>
                <w:spacing w:val="-2"/>
                <w:sz w:val="22"/>
                <w:szCs w:val="22"/>
                <w:lang w:eastAsia="en-US"/>
              </w:rPr>
              <w:t> </w:t>
            </w:r>
            <w:r w:rsidRPr="004A175F">
              <w:rPr>
                <w:rFonts w:eastAsia="Calibri"/>
                <w:color w:val="000000"/>
                <w:spacing w:val="-2"/>
                <w:sz w:val="22"/>
                <w:szCs w:val="22"/>
                <w:lang w:eastAsia="en-US"/>
              </w:rPr>
              <w:t>1662)</w:t>
            </w:r>
          </w:p>
        </w:tc>
        <w:tc>
          <w:tcPr>
            <w:tcW w:w="5124" w:type="dxa"/>
            <w:gridSpan w:val="10"/>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PCA to jednostka udzielająca akredytacji jednostkom oceniającym zgodność, co oznacza, że jednostka taka spełnia wymagania określone w normach zharmonizowanych oraz w stosownych przypadkach, wszelkie dodatkowe wymagania, w tym wymagania określone w odpowiednich systemach sektorowych konieczne do realizacji określon</w:t>
            </w:r>
            <w:r w:rsidR="00A30D85">
              <w:rPr>
                <w:rFonts w:eastAsia="Calibri"/>
                <w:color w:val="000000"/>
                <w:spacing w:val="-2"/>
                <w:sz w:val="22"/>
                <w:szCs w:val="22"/>
                <w:lang w:eastAsia="en-US"/>
              </w:rPr>
              <w:t>ych czynności związanych z oceną</w:t>
            </w:r>
            <w:r w:rsidRPr="004A175F">
              <w:rPr>
                <w:rFonts w:eastAsia="Calibri"/>
                <w:color w:val="000000"/>
                <w:spacing w:val="-2"/>
                <w:sz w:val="22"/>
                <w:szCs w:val="22"/>
                <w:lang w:eastAsia="en-US"/>
              </w:rPr>
              <w:t xml:space="preserve"> zgodności.</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 2013 r. PCA udzieliło 103 akredytacji (w tym 83 dla laboratoriów badawczych). Na koniec 2013 r. liczba udzielonych akredytacji to 1437.</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Projekt ustawy nie zmienia roli PCA natomiast odnosi się do kwestii jego finansowania. Mając na uwadze treść sprawozdań finansowych za ostatnie lata działalności PCA oraz istotę i rolę PCA, jako krajowej jednostki akredytującej, w projektowanej ustawie proponuje się uregulować kwestie finansowania PCA.</w:t>
            </w: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tabs>
                <w:tab w:val="left" w:pos="1560"/>
              </w:tabs>
              <w:rPr>
                <w:rFonts w:eastAsia="Calibri"/>
                <w:color w:val="000000"/>
                <w:sz w:val="22"/>
                <w:szCs w:val="22"/>
                <w:lang w:eastAsia="en-US"/>
              </w:rPr>
            </w:pPr>
            <w:r w:rsidRPr="004A175F">
              <w:rPr>
                <w:rFonts w:eastAsia="Calibri"/>
                <w:color w:val="000000"/>
                <w:sz w:val="22"/>
                <w:szCs w:val="22"/>
                <w:lang w:eastAsia="en-US"/>
              </w:rPr>
              <w:t>Organy administracji publicznej – organy autoryzujące jednostki oceniające zgodność:</w:t>
            </w:r>
          </w:p>
          <w:p w:rsidR="004A175F" w:rsidRPr="004A175F" w:rsidRDefault="004A175F" w:rsidP="004A175F">
            <w:pPr>
              <w:numPr>
                <w:ilvl w:val="0"/>
                <w:numId w:val="14"/>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Ministerstwo Rozwoju,</w:t>
            </w:r>
          </w:p>
          <w:p w:rsidR="004A175F" w:rsidRPr="004A175F" w:rsidRDefault="004A175F" w:rsidP="004A175F">
            <w:pPr>
              <w:numPr>
                <w:ilvl w:val="0"/>
                <w:numId w:val="14"/>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Ministerstwo Zdrowia,</w:t>
            </w:r>
          </w:p>
          <w:p w:rsidR="004A175F" w:rsidRPr="004A175F" w:rsidRDefault="004A175F" w:rsidP="004A175F">
            <w:pPr>
              <w:numPr>
                <w:ilvl w:val="0"/>
                <w:numId w:val="14"/>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Urząd Transportu Kolejowego,</w:t>
            </w:r>
          </w:p>
          <w:p w:rsidR="004A175F" w:rsidRPr="004A175F" w:rsidRDefault="004A175F" w:rsidP="004A175F">
            <w:pPr>
              <w:numPr>
                <w:ilvl w:val="0"/>
                <w:numId w:val="14"/>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Ministerstwo Infrastruktury i Budownictwa</w:t>
            </w:r>
            <w:r w:rsidR="00985166">
              <w:rPr>
                <w:rFonts w:eastAsia="Calibri"/>
                <w:color w:val="000000"/>
                <w:spacing w:val="-2"/>
                <w:sz w:val="22"/>
                <w:szCs w:val="22"/>
                <w:lang w:eastAsia="en-US"/>
              </w:rPr>
              <w:t>,</w:t>
            </w:r>
          </w:p>
          <w:p w:rsidR="004A175F" w:rsidRPr="004A175F" w:rsidRDefault="004A175F" w:rsidP="004A175F">
            <w:pPr>
              <w:numPr>
                <w:ilvl w:val="0"/>
                <w:numId w:val="14"/>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Ministerstwo Gospodarki Morskiej i Żeglugi Śródlądowej</w:t>
            </w:r>
            <w:r w:rsidR="00985166">
              <w:rPr>
                <w:rFonts w:eastAsia="Calibri"/>
                <w:color w:val="000000"/>
                <w:spacing w:val="-2"/>
                <w:sz w:val="22"/>
                <w:szCs w:val="22"/>
                <w:lang w:eastAsia="en-US"/>
              </w:rPr>
              <w:t>,</w:t>
            </w:r>
          </w:p>
          <w:p w:rsidR="004A175F" w:rsidRPr="004A175F" w:rsidRDefault="004A175F" w:rsidP="009D551C">
            <w:pPr>
              <w:numPr>
                <w:ilvl w:val="0"/>
                <w:numId w:val="14"/>
              </w:numPr>
              <w:spacing w:line="276" w:lineRule="auto"/>
              <w:ind w:left="202" w:hanging="284"/>
              <w:rPr>
                <w:rFonts w:eastAsia="Calibri"/>
                <w:color w:val="000000"/>
                <w:sz w:val="22"/>
                <w:szCs w:val="22"/>
                <w:lang w:eastAsia="en-US"/>
              </w:rPr>
            </w:pPr>
            <w:r w:rsidRPr="004A175F">
              <w:rPr>
                <w:rFonts w:eastAsia="Calibri"/>
                <w:color w:val="000000"/>
                <w:spacing w:val="-2"/>
                <w:sz w:val="22"/>
                <w:szCs w:val="22"/>
                <w:lang w:eastAsia="en-US"/>
              </w:rPr>
              <w:t>Ministerstwo Cyfryzacji</w:t>
            </w:r>
          </w:p>
        </w:tc>
        <w:tc>
          <w:tcPr>
            <w:tcW w:w="1276" w:type="dxa"/>
            <w:gridSpan w:val="3"/>
            <w:shd w:val="clear" w:color="auto" w:fill="auto"/>
          </w:tcPr>
          <w:p w:rsidR="004A175F" w:rsidRPr="004A175F" w:rsidRDefault="004A175F" w:rsidP="004A175F">
            <w:pPr>
              <w:ind w:left="202"/>
              <w:rPr>
                <w:rFonts w:eastAsia="Calibri"/>
                <w:color w:val="000000"/>
                <w:spacing w:val="-2"/>
                <w:sz w:val="22"/>
                <w:szCs w:val="22"/>
                <w:lang w:eastAsia="en-US"/>
              </w:rPr>
            </w:pPr>
            <w:r w:rsidRPr="004A175F">
              <w:rPr>
                <w:rFonts w:eastAsia="Calibri"/>
                <w:color w:val="000000"/>
                <w:spacing w:val="-2"/>
                <w:sz w:val="22"/>
                <w:szCs w:val="22"/>
                <w:lang w:eastAsia="en-US"/>
              </w:rPr>
              <w:t>5</w:t>
            </w:r>
          </w:p>
        </w:tc>
        <w:tc>
          <w:tcPr>
            <w:tcW w:w="1985" w:type="dxa"/>
            <w:gridSpan w:val="5"/>
            <w:shd w:val="clear" w:color="auto" w:fill="auto"/>
          </w:tcPr>
          <w:p w:rsidR="004A175F" w:rsidRPr="004A175F" w:rsidRDefault="009D551C" w:rsidP="009D551C">
            <w:pPr>
              <w:ind w:right="-67"/>
              <w:rPr>
                <w:rFonts w:eastAsia="Calibri"/>
                <w:color w:val="000000"/>
                <w:spacing w:val="-2"/>
                <w:sz w:val="22"/>
                <w:szCs w:val="22"/>
                <w:lang w:eastAsia="en-US"/>
              </w:rPr>
            </w:pPr>
            <w:r>
              <w:rPr>
                <w:rFonts w:eastAsia="Calibri"/>
                <w:color w:val="000000"/>
                <w:spacing w:val="-2"/>
                <w:sz w:val="22"/>
                <w:szCs w:val="22"/>
                <w:lang w:eastAsia="en-US"/>
              </w:rPr>
              <w:t>–</w:t>
            </w:r>
            <w:r w:rsidR="004A175F" w:rsidRPr="004A175F">
              <w:rPr>
                <w:rFonts w:eastAsia="Calibri"/>
                <w:color w:val="000000"/>
                <w:spacing w:val="-2"/>
                <w:sz w:val="22"/>
                <w:szCs w:val="22"/>
                <w:lang w:eastAsia="en-US"/>
              </w:rPr>
              <w:t xml:space="preserve"> Ustawa o systemie oceny zgodności,</w:t>
            </w:r>
          </w:p>
          <w:p w:rsidR="004A175F" w:rsidRPr="004A175F" w:rsidRDefault="009D551C" w:rsidP="009D551C">
            <w:pPr>
              <w:rPr>
                <w:rFonts w:eastAsia="Calibri"/>
                <w:color w:val="000000"/>
                <w:spacing w:val="-2"/>
                <w:sz w:val="22"/>
                <w:szCs w:val="22"/>
                <w:lang w:eastAsia="en-US"/>
              </w:rPr>
            </w:pPr>
            <w:r>
              <w:rPr>
                <w:rFonts w:eastAsia="Calibri"/>
                <w:color w:val="000000"/>
                <w:spacing w:val="-2"/>
                <w:sz w:val="22"/>
                <w:szCs w:val="22"/>
                <w:lang w:eastAsia="en-US"/>
              </w:rPr>
              <w:t>–</w:t>
            </w:r>
            <w:r w:rsidR="004A175F" w:rsidRPr="004A175F">
              <w:rPr>
                <w:rFonts w:eastAsia="Calibri"/>
                <w:color w:val="000000"/>
                <w:spacing w:val="-2"/>
                <w:sz w:val="22"/>
                <w:szCs w:val="22"/>
                <w:lang w:eastAsia="en-US"/>
              </w:rPr>
              <w:t xml:space="preserve"> </w:t>
            </w:r>
            <w:r w:rsidR="00AD6B40">
              <w:rPr>
                <w:rFonts w:eastAsia="Calibri"/>
                <w:color w:val="000000"/>
                <w:spacing w:val="-2"/>
                <w:sz w:val="22"/>
                <w:szCs w:val="22"/>
                <w:lang w:eastAsia="en-US"/>
              </w:rPr>
              <w:t>U</w:t>
            </w:r>
            <w:r w:rsidR="004A175F" w:rsidRPr="004A175F">
              <w:rPr>
                <w:rFonts w:eastAsia="Calibri"/>
                <w:color w:val="000000"/>
                <w:spacing w:val="-2"/>
                <w:sz w:val="22"/>
                <w:szCs w:val="22"/>
                <w:lang w:eastAsia="en-US"/>
              </w:rPr>
              <w:t>stawa o działach administracji rządowej z dnia 4 września 1997 r. (Dz. U. z 1997 r. Nr. 141, poz. 943).</w:t>
            </w:r>
          </w:p>
          <w:p w:rsidR="004A175F" w:rsidRPr="004A175F" w:rsidRDefault="004A175F" w:rsidP="004A175F">
            <w:pPr>
              <w:rPr>
                <w:rFonts w:eastAsia="Calibri"/>
                <w:color w:val="000000"/>
                <w:spacing w:val="-2"/>
                <w:sz w:val="22"/>
                <w:szCs w:val="22"/>
                <w:lang w:eastAsia="en-US"/>
              </w:rPr>
            </w:pPr>
          </w:p>
        </w:tc>
        <w:tc>
          <w:tcPr>
            <w:tcW w:w="5124" w:type="dxa"/>
            <w:gridSpan w:val="10"/>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Organy te jako organy potwierdzające kompetencje jednostek oceniających zgodność, w drodze decyzji administracyjnej udzielają autoryzacji poszczególnym jednostkom. Minister Gospodarki jest organem notyfikującym Komisji Europejskiej i innym </w:t>
            </w:r>
            <w:r w:rsidR="00A30D85">
              <w:rPr>
                <w:rFonts w:eastAsia="Calibri"/>
                <w:color w:val="000000"/>
                <w:spacing w:val="-2"/>
                <w:sz w:val="22"/>
                <w:szCs w:val="22"/>
                <w:lang w:eastAsia="en-US"/>
              </w:rPr>
              <w:t>p</w:t>
            </w:r>
            <w:r w:rsidRPr="004A175F">
              <w:rPr>
                <w:rFonts w:eastAsia="Calibri"/>
                <w:color w:val="000000"/>
                <w:spacing w:val="-2"/>
                <w:sz w:val="22"/>
                <w:szCs w:val="22"/>
                <w:lang w:eastAsia="en-US"/>
              </w:rPr>
              <w:t xml:space="preserve">aństwom </w:t>
            </w:r>
            <w:r w:rsidR="00A30D85">
              <w:rPr>
                <w:rFonts w:eastAsia="Calibri"/>
                <w:color w:val="000000"/>
                <w:spacing w:val="-2"/>
                <w:sz w:val="22"/>
                <w:szCs w:val="22"/>
                <w:lang w:eastAsia="en-US"/>
              </w:rPr>
              <w:t>c</w:t>
            </w:r>
            <w:r w:rsidRPr="004A175F">
              <w:rPr>
                <w:rFonts w:eastAsia="Calibri"/>
                <w:color w:val="000000"/>
                <w:spacing w:val="-2"/>
                <w:sz w:val="22"/>
                <w:szCs w:val="22"/>
                <w:lang w:eastAsia="en-US"/>
              </w:rPr>
              <w:t xml:space="preserve">złonkowskim wszystkie polskie jednostki, które uzyskały autoryzację właściwych organów. Ponadto sprawuje on nadzór nad notyfikowanymi jednostkami oceniającymi zgodność. </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Proponuje się, aby ze względu na konkretne kompetencje merytoryczne organu notyfikującego, autoryzacji i notyfikacji dokonywał organ właściwy ze względu na przedmiot oceny zgodności.</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 związku z wydaniem nowej regulacji zwiększą się kompetencje organów, które będą dokonywać autoryzacji i notyfikacji jednostek oceniających zgodność.</w:t>
            </w:r>
          </w:p>
          <w:p w:rsidR="004A175F" w:rsidRPr="004A175F" w:rsidRDefault="004A175F" w:rsidP="004A175F">
            <w:pPr>
              <w:rPr>
                <w:rFonts w:eastAsia="Calibri"/>
                <w:color w:val="000000"/>
                <w:spacing w:val="-2"/>
                <w:sz w:val="22"/>
                <w:szCs w:val="22"/>
                <w:lang w:eastAsia="en-US"/>
              </w:rPr>
            </w:pPr>
          </w:p>
        </w:tc>
      </w:tr>
      <w:tr w:rsidR="004A175F" w:rsidRPr="004A175F" w:rsidTr="00F64F79">
        <w:trPr>
          <w:gridAfter w:val="1"/>
          <w:wAfter w:w="10" w:type="dxa"/>
          <w:trHeight w:val="142"/>
        </w:trPr>
        <w:tc>
          <w:tcPr>
            <w:tcW w:w="2410" w:type="dxa"/>
            <w:gridSpan w:val="3"/>
            <w:shd w:val="clear" w:color="auto" w:fill="auto"/>
          </w:tcPr>
          <w:p w:rsidR="004A175F" w:rsidRPr="004A175F" w:rsidRDefault="004A175F" w:rsidP="004A175F">
            <w:pPr>
              <w:tabs>
                <w:tab w:val="left" w:pos="1560"/>
              </w:tabs>
              <w:rPr>
                <w:rFonts w:eastAsia="Calibri"/>
                <w:color w:val="000000"/>
                <w:sz w:val="22"/>
                <w:szCs w:val="22"/>
                <w:lang w:eastAsia="en-US"/>
              </w:rPr>
            </w:pPr>
            <w:r w:rsidRPr="004A175F">
              <w:rPr>
                <w:rFonts w:eastAsia="Calibri"/>
                <w:color w:val="000000"/>
                <w:sz w:val="22"/>
                <w:szCs w:val="22"/>
                <w:lang w:eastAsia="en-US"/>
              </w:rPr>
              <w:t>Organy nadzoru rynku:</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Urząd Ochrony Konkurencji i Konsumentów,</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Inspekcja Handlowa,</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Państwowa Inspekcja Pracy</w:t>
            </w:r>
            <w:r w:rsidR="00A30D85">
              <w:rPr>
                <w:rFonts w:eastAsia="Calibri"/>
                <w:color w:val="000000"/>
                <w:spacing w:val="-2"/>
                <w:sz w:val="22"/>
                <w:szCs w:val="22"/>
                <w:lang w:eastAsia="en-US"/>
              </w:rPr>
              <w:t>,</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Urząd Komunikacji Elektronicznej,</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Inspekcja Ochrony Środowiska,</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Urząd Transportu Kolejowego,</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organy nadzoru budowlanego,</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Wyższy Urząd Górniczy,</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lastRenderedPageBreak/>
              <w:t>urzędy morskie,</w:t>
            </w:r>
          </w:p>
          <w:p w:rsidR="004A175F" w:rsidRPr="004A175F" w:rsidRDefault="004A175F" w:rsidP="004A175F">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Inspekcja Transportu Drogowego,</w:t>
            </w:r>
          </w:p>
          <w:p w:rsidR="004A175F" w:rsidRPr="004A175F" w:rsidRDefault="004A175F" w:rsidP="00985166">
            <w:pPr>
              <w:numPr>
                <w:ilvl w:val="0"/>
                <w:numId w:val="15"/>
              </w:numPr>
              <w:spacing w:line="276" w:lineRule="auto"/>
              <w:ind w:left="202" w:hanging="284"/>
              <w:rPr>
                <w:rFonts w:eastAsia="Calibri"/>
                <w:color w:val="000000"/>
                <w:spacing w:val="-2"/>
                <w:sz w:val="22"/>
                <w:szCs w:val="22"/>
                <w:lang w:eastAsia="en-US"/>
              </w:rPr>
            </w:pPr>
            <w:r w:rsidRPr="004A175F">
              <w:rPr>
                <w:rFonts w:eastAsia="Calibri"/>
                <w:color w:val="000000"/>
                <w:spacing w:val="-2"/>
                <w:sz w:val="22"/>
                <w:szCs w:val="22"/>
                <w:lang w:eastAsia="en-US"/>
              </w:rPr>
              <w:t>organy administracji miar</w:t>
            </w:r>
          </w:p>
        </w:tc>
        <w:tc>
          <w:tcPr>
            <w:tcW w:w="1276" w:type="dxa"/>
            <w:gridSpan w:val="3"/>
            <w:shd w:val="clear" w:color="auto" w:fill="auto"/>
          </w:tcPr>
          <w:p w:rsidR="004A175F" w:rsidRPr="004A175F" w:rsidRDefault="004A175F" w:rsidP="004A175F">
            <w:pPr>
              <w:ind w:left="202"/>
              <w:rPr>
                <w:rFonts w:eastAsia="Calibri"/>
                <w:color w:val="000000"/>
                <w:spacing w:val="-2"/>
                <w:sz w:val="22"/>
                <w:szCs w:val="22"/>
                <w:lang w:eastAsia="en-US"/>
              </w:rPr>
            </w:pPr>
          </w:p>
          <w:p w:rsidR="004A175F" w:rsidRPr="004A175F" w:rsidRDefault="004A175F" w:rsidP="004A175F">
            <w:pPr>
              <w:ind w:left="202"/>
              <w:rPr>
                <w:rFonts w:eastAsia="Calibri"/>
                <w:color w:val="000000"/>
                <w:spacing w:val="-2"/>
                <w:sz w:val="22"/>
                <w:szCs w:val="22"/>
                <w:lang w:eastAsia="en-US"/>
              </w:rPr>
            </w:pPr>
            <w:r w:rsidRPr="004A175F">
              <w:rPr>
                <w:rFonts w:eastAsia="Calibri"/>
                <w:color w:val="000000"/>
                <w:spacing w:val="-2"/>
                <w:sz w:val="22"/>
                <w:szCs w:val="22"/>
                <w:lang w:eastAsia="en-US"/>
              </w:rPr>
              <w:t>11</w:t>
            </w:r>
          </w:p>
        </w:tc>
        <w:tc>
          <w:tcPr>
            <w:tcW w:w="1985" w:type="dxa"/>
            <w:gridSpan w:val="5"/>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Ustawa o systemie oceny zgodności</w:t>
            </w:r>
          </w:p>
        </w:tc>
        <w:tc>
          <w:tcPr>
            <w:tcW w:w="5124" w:type="dxa"/>
            <w:gridSpan w:val="10"/>
            <w:shd w:val="clear" w:color="auto" w:fill="auto"/>
          </w:tcPr>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Dotychczasowa ustawa o systemie oceny zgodności tworzyła system kontroli wyrobów składający się z wskazanych organów wyspecjalizowanych oraz organów celnych. Obecnie projektowana wprowadza system nadzoru rynku, który tworzą te same organy odpowiedzialne za kontrolę i podejmowanie środków wobec wyrobów niespełniających wymagań. Ustawa szczególną rolę przypisuje Prezesowi UOKiK, który dodatkowo jest organem monitorującym funkcjonowanie systemu nadzoru rynku. </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 ramach dostosowania do prawa unijnego konieczne jest dostosowanie procedur postępowania w przypadku wyrobów spełniających i niespełniających wymagań stwarzających zagrożenie, określenie procedur postępowania w</w:t>
            </w:r>
            <w:r w:rsidR="00F804F3">
              <w:rPr>
                <w:rFonts w:eastAsia="Calibri"/>
                <w:color w:val="000000"/>
                <w:spacing w:val="-2"/>
                <w:sz w:val="22"/>
                <w:szCs w:val="22"/>
                <w:lang w:eastAsia="en-US"/>
              </w:rPr>
              <w:t xml:space="preserve"> </w:t>
            </w:r>
            <w:r w:rsidRPr="004A175F">
              <w:rPr>
                <w:rFonts w:eastAsia="Calibri"/>
                <w:color w:val="000000"/>
                <w:spacing w:val="-2"/>
                <w:sz w:val="22"/>
                <w:szCs w:val="22"/>
                <w:lang w:eastAsia="en-US"/>
              </w:rPr>
              <w:t xml:space="preserve">przypadku niezgodności o charakterze formalnym. </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Należy zapewnić skuteczny, proporcjonalny i</w:t>
            </w:r>
            <w:r w:rsidR="00F804F3">
              <w:rPr>
                <w:rFonts w:eastAsia="Calibri"/>
                <w:color w:val="000000"/>
                <w:spacing w:val="-2"/>
                <w:sz w:val="22"/>
                <w:szCs w:val="22"/>
                <w:lang w:eastAsia="en-US"/>
              </w:rPr>
              <w:t xml:space="preserve"> </w:t>
            </w:r>
            <w:r w:rsidRPr="004A175F">
              <w:rPr>
                <w:rFonts w:eastAsia="Calibri"/>
                <w:color w:val="000000"/>
                <w:spacing w:val="-2"/>
                <w:sz w:val="22"/>
                <w:szCs w:val="22"/>
                <w:lang w:eastAsia="en-US"/>
              </w:rPr>
              <w:t>o</w:t>
            </w:r>
            <w:r w:rsidR="00F804F3">
              <w:rPr>
                <w:rFonts w:eastAsia="Calibri"/>
                <w:color w:val="000000"/>
                <w:spacing w:val="-2"/>
                <w:sz w:val="22"/>
                <w:szCs w:val="22"/>
                <w:lang w:eastAsia="en-US"/>
              </w:rPr>
              <w:t xml:space="preserve">dstraszający system kar, a w </w:t>
            </w:r>
            <w:r w:rsidRPr="004A175F">
              <w:rPr>
                <w:rFonts w:eastAsia="Calibri"/>
                <w:color w:val="000000"/>
                <w:spacing w:val="-2"/>
                <w:sz w:val="22"/>
                <w:szCs w:val="22"/>
                <w:lang w:eastAsia="en-US"/>
              </w:rPr>
              <w:t>konsekwencji wysoki poziom ochrony konsumentów i</w:t>
            </w:r>
            <w:r w:rsidR="00F804F3">
              <w:rPr>
                <w:rFonts w:eastAsia="Calibri"/>
                <w:color w:val="000000"/>
                <w:spacing w:val="-2"/>
                <w:sz w:val="22"/>
                <w:szCs w:val="22"/>
                <w:lang w:eastAsia="en-US"/>
              </w:rPr>
              <w:t xml:space="preserve"> </w:t>
            </w:r>
            <w:r w:rsidRPr="004A175F">
              <w:rPr>
                <w:rFonts w:eastAsia="Calibri"/>
                <w:color w:val="000000"/>
                <w:spacing w:val="-2"/>
                <w:sz w:val="22"/>
                <w:szCs w:val="22"/>
                <w:lang w:eastAsia="en-US"/>
              </w:rPr>
              <w:t xml:space="preserve">użytkowników oraz </w:t>
            </w:r>
            <w:r w:rsidRPr="004A175F">
              <w:rPr>
                <w:rFonts w:eastAsia="Calibri"/>
                <w:color w:val="000000"/>
                <w:spacing w:val="-2"/>
                <w:sz w:val="22"/>
                <w:szCs w:val="22"/>
                <w:lang w:eastAsia="en-US"/>
              </w:rPr>
              <w:lastRenderedPageBreak/>
              <w:t>środowiska naturalnego. Ma on pozwolić skutecznie eliminować z rynku nieuczciwe podmioty gospodarcze oferujące wyroby niebezpieczne lub niespełniające unijnych przepisów</w:t>
            </w:r>
            <w:r w:rsidR="00A30D85">
              <w:rPr>
                <w:rFonts w:eastAsia="Calibri"/>
                <w:color w:val="000000"/>
                <w:spacing w:val="-2"/>
                <w:sz w:val="22"/>
                <w:szCs w:val="22"/>
                <w:lang w:eastAsia="en-US"/>
              </w:rPr>
              <w:t>.</w:t>
            </w:r>
          </w:p>
          <w:p w:rsidR="004A175F" w:rsidRPr="004A175F" w:rsidRDefault="004A175F" w:rsidP="004A175F">
            <w:pPr>
              <w:rPr>
                <w:rFonts w:eastAsia="Calibri"/>
                <w:color w:val="000000"/>
                <w:spacing w:val="-2"/>
                <w:sz w:val="22"/>
                <w:szCs w:val="22"/>
                <w:lang w:eastAsia="en-US"/>
              </w:rPr>
            </w:pP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Ponadto brak dostosowanych przepisów w zakresie nadzoru rynku sprawi, że organy nadzoru rynku i</w:t>
            </w:r>
            <w:r w:rsidR="00F804F3">
              <w:rPr>
                <w:rFonts w:eastAsia="Calibri"/>
                <w:color w:val="000000"/>
                <w:spacing w:val="-2"/>
                <w:sz w:val="22"/>
                <w:szCs w:val="22"/>
                <w:lang w:eastAsia="en-US"/>
              </w:rPr>
              <w:t xml:space="preserve"> </w:t>
            </w:r>
            <w:r w:rsidRPr="004A175F">
              <w:rPr>
                <w:rFonts w:eastAsia="Calibri"/>
                <w:color w:val="000000"/>
                <w:spacing w:val="-2"/>
                <w:sz w:val="22"/>
                <w:szCs w:val="22"/>
                <w:lang w:eastAsia="en-US"/>
              </w:rPr>
              <w:t>organy celne nie będą mogły skutecznie przeciwdziałać obrotowi wyrobami niespełniającymi wymagań sprowadzanymi w ramach wymiany wewnątrzunijnej lub z krajów trzecich</w:t>
            </w:r>
            <w:r w:rsidR="00A30D85">
              <w:rPr>
                <w:rFonts w:eastAsia="Calibri"/>
                <w:color w:val="000000"/>
                <w:spacing w:val="-2"/>
                <w:sz w:val="22"/>
                <w:szCs w:val="22"/>
                <w:lang w:eastAsia="en-US"/>
              </w:rPr>
              <w:t>.</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 xml:space="preserve">Proponuje się również rozszerzenie katalogu organów nadzoru rynku o organy administracji miar. Uznać należy, że jedynie te organy posiadają infrastrukturę i wiedzę techniczną niezbędną do rzeczywistego wykonywania kontroli przyrządów pomiarowych. Wskazać należy, że rozwiązanie takie nie będzie rodzić dodatkowych kosztów, ponieważ przyrządy pomiarowe objęte systemem oceny zgodności „wypadają” z obszaru legalizacji pierwotnej oraz nadzoru metrologicznego wykonywanego w trybie </w:t>
            </w:r>
            <w:r w:rsidRPr="004A175F">
              <w:rPr>
                <w:rFonts w:eastAsia="Calibri"/>
                <w:iCs/>
                <w:color w:val="000000"/>
                <w:spacing w:val="-2"/>
                <w:sz w:val="22"/>
                <w:szCs w:val="22"/>
                <w:lang w:eastAsia="en-US"/>
              </w:rPr>
              <w:t>ustawy</w:t>
            </w:r>
            <w:r w:rsidRPr="004A175F">
              <w:rPr>
                <w:rFonts w:eastAsia="Calibri"/>
                <w:color w:val="000000"/>
                <w:spacing w:val="-2"/>
                <w:sz w:val="22"/>
                <w:szCs w:val="22"/>
                <w:lang w:eastAsia="en-US"/>
              </w:rPr>
              <w:t xml:space="preserve"> z dnia 11 maja 2001 r. </w:t>
            </w:r>
            <w:r w:rsidRPr="004A175F">
              <w:rPr>
                <w:rFonts w:eastAsia="Calibri"/>
                <w:iCs/>
                <w:color w:val="000000"/>
                <w:spacing w:val="-2"/>
                <w:sz w:val="22"/>
                <w:szCs w:val="22"/>
                <w:lang w:eastAsia="en-US"/>
              </w:rPr>
              <w:t>– Prawo o miarach</w:t>
            </w:r>
            <w:r w:rsidRPr="004A175F">
              <w:rPr>
                <w:rFonts w:eastAsia="Calibri"/>
                <w:color w:val="000000"/>
                <w:spacing w:val="-2"/>
                <w:sz w:val="22"/>
                <w:szCs w:val="22"/>
                <w:lang w:eastAsia="en-US"/>
              </w:rPr>
              <w:t>, a zatem przejęcie zadań w obszarze kontroli wyrobów wprowadzanych do obrotu odbywać się będzie w dużej mierze naturalnie i w ramach istniejącego potencjału organizacyjnego i kadrowego administracji miar.</w:t>
            </w:r>
          </w:p>
          <w:p w:rsidR="004A175F" w:rsidRPr="004A175F" w:rsidRDefault="004A175F" w:rsidP="004A175F">
            <w:pPr>
              <w:rPr>
                <w:rFonts w:eastAsia="Calibri"/>
                <w:color w:val="000000"/>
                <w:spacing w:val="-2"/>
                <w:sz w:val="22"/>
                <w:szCs w:val="22"/>
                <w:lang w:eastAsia="en-US"/>
              </w:rPr>
            </w:pPr>
            <w:r w:rsidRPr="004A175F">
              <w:rPr>
                <w:rFonts w:eastAsia="Calibri"/>
                <w:color w:val="000000"/>
                <w:spacing w:val="-2"/>
                <w:sz w:val="22"/>
                <w:szCs w:val="22"/>
                <w:lang w:eastAsia="en-US"/>
              </w:rPr>
              <w:t>W związku z wydaniem nowej regulacji zwiększą się kompetencje organów nadzoru rynku.</w:t>
            </w:r>
          </w:p>
        </w:tc>
      </w:tr>
      <w:tr w:rsidR="004A175F" w:rsidRPr="004A175F" w:rsidTr="00F64F79">
        <w:trPr>
          <w:gridAfter w:val="1"/>
          <w:wAfter w:w="10" w:type="dxa"/>
          <w:trHeight w:val="302"/>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color w:val="000000"/>
                <w:sz w:val="22"/>
                <w:szCs w:val="22"/>
                <w:lang w:eastAsia="en-US"/>
              </w:rPr>
              <w:lastRenderedPageBreak/>
              <w:t>Informacje na temat zakresu, czasu trwania i podsumowanie wyników konsultacji</w:t>
            </w:r>
          </w:p>
        </w:tc>
      </w:tr>
      <w:tr w:rsidR="004A175F" w:rsidRPr="004A175F" w:rsidTr="00F64F79">
        <w:trPr>
          <w:gridAfter w:val="1"/>
          <w:wAfter w:w="10" w:type="dxa"/>
          <w:trHeight w:val="342"/>
        </w:trPr>
        <w:tc>
          <w:tcPr>
            <w:tcW w:w="10795" w:type="dxa"/>
            <w:gridSpan w:val="21"/>
            <w:shd w:val="clear" w:color="auto" w:fill="FFFFFF"/>
          </w:tcPr>
          <w:p w:rsidR="004A175F" w:rsidRPr="004A175F" w:rsidRDefault="004A175F" w:rsidP="00A30D85">
            <w:pPr>
              <w:spacing w:before="120"/>
              <w:jc w:val="both"/>
              <w:rPr>
                <w:rFonts w:eastAsia="Calibri"/>
                <w:color w:val="000000"/>
                <w:spacing w:val="-2"/>
                <w:sz w:val="22"/>
                <w:szCs w:val="22"/>
                <w:lang w:eastAsia="en-US"/>
              </w:rPr>
            </w:pPr>
            <w:r w:rsidRPr="004A175F">
              <w:rPr>
                <w:rFonts w:eastAsia="Calibri"/>
                <w:color w:val="000000"/>
                <w:spacing w:val="-2"/>
                <w:sz w:val="22"/>
                <w:szCs w:val="22"/>
                <w:lang w:eastAsia="en-US"/>
              </w:rPr>
              <w:t>Projekt ustawy został skonsultowany z Polskim Centrum Akredytacji, Polskim Komitetem Normalizacyjnym, jednostkami notyfikowanymi, instytucjami, które są reprezentowane w Radzie ds. Akredytacji, organami nadzoru rynku, organizacjami zrzeszającymi pracodawców i przedsiębiorców</w:t>
            </w:r>
            <w:r w:rsidR="00A30D85">
              <w:rPr>
                <w:rFonts w:eastAsia="Calibri"/>
                <w:color w:val="000000"/>
                <w:spacing w:val="-2"/>
                <w:sz w:val="22"/>
                <w:szCs w:val="22"/>
                <w:lang w:eastAsia="en-US"/>
              </w:rPr>
              <w:t>,</w:t>
            </w:r>
            <w:r w:rsidRPr="004A175F">
              <w:rPr>
                <w:rFonts w:eastAsia="Calibri"/>
                <w:color w:val="000000"/>
                <w:spacing w:val="-2"/>
                <w:sz w:val="22"/>
                <w:szCs w:val="22"/>
                <w:lang w:eastAsia="en-US"/>
              </w:rPr>
              <w:t xml:space="preserve"> a także organizacjami zrzeszającymi związki zawodowe. Projekt ustawy został również umieszczony na rządowym portalu konsultacji publicznych: www.konsultacje.gov.pl.</w:t>
            </w:r>
          </w:p>
          <w:p w:rsidR="004A175F" w:rsidRPr="004A175F" w:rsidRDefault="004A175F" w:rsidP="0042019A">
            <w:pPr>
              <w:jc w:val="both"/>
              <w:rPr>
                <w:rFonts w:eastAsia="Calibri"/>
                <w:color w:val="000000"/>
                <w:spacing w:val="-2"/>
                <w:sz w:val="22"/>
                <w:szCs w:val="22"/>
                <w:lang w:eastAsia="en-US"/>
              </w:rPr>
            </w:pPr>
            <w:r w:rsidRPr="004A175F">
              <w:rPr>
                <w:rFonts w:eastAsia="Calibri"/>
                <w:color w:val="000000"/>
                <w:spacing w:val="-2"/>
                <w:sz w:val="22"/>
                <w:szCs w:val="22"/>
                <w:lang w:eastAsia="en-US"/>
              </w:rPr>
              <w:t>Konsultacje publiczne trwały od 16 lutego do 17 marca 2015 r. Wyniki konsultacji</w:t>
            </w:r>
            <w:r w:rsidR="00A30D85">
              <w:rPr>
                <w:rFonts w:eastAsia="Calibri"/>
                <w:color w:val="000000"/>
                <w:spacing w:val="-2"/>
                <w:sz w:val="22"/>
                <w:szCs w:val="22"/>
                <w:lang w:eastAsia="en-US"/>
              </w:rPr>
              <w:t xml:space="preserve"> zawiera raport z konsultacji i </w:t>
            </w:r>
            <w:r w:rsidRPr="004A175F">
              <w:rPr>
                <w:rFonts w:eastAsia="Calibri"/>
                <w:color w:val="000000"/>
                <w:spacing w:val="-2"/>
                <w:sz w:val="22"/>
                <w:szCs w:val="22"/>
                <w:lang w:eastAsia="en-US"/>
              </w:rPr>
              <w:t>opiniowania.</w:t>
            </w:r>
          </w:p>
        </w:tc>
      </w:tr>
      <w:tr w:rsidR="004A175F" w:rsidRPr="004A175F" w:rsidTr="00F64F79">
        <w:trPr>
          <w:gridAfter w:val="1"/>
          <w:wAfter w:w="10" w:type="dxa"/>
          <w:trHeight w:val="363"/>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color w:val="000000"/>
                <w:sz w:val="22"/>
                <w:szCs w:val="22"/>
                <w:lang w:eastAsia="en-US"/>
              </w:rPr>
              <w:t xml:space="preserve"> Wpływ na sektor finansów publicznych</w:t>
            </w:r>
          </w:p>
        </w:tc>
      </w:tr>
      <w:tr w:rsidR="004A175F" w:rsidRPr="004A175F" w:rsidTr="00F64F79">
        <w:trPr>
          <w:gridAfter w:val="1"/>
          <w:wAfter w:w="10" w:type="dxa"/>
          <w:trHeight w:val="142"/>
        </w:trPr>
        <w:tc>
          <w:tcPr>
            <w:tcW w:w="2836" w:type="dxa"/>
            <w:gridSpan w:val="4"/>
            <w:vMerge w:val="restart"/>
            <w:shd w:val="clear" w:color="auto" w:fill="FFFFFF"/>
          </w:tcPr>
          <w:p w:rsidR="004A175F" w:rsidRPr="004A175F" w:rsidRDefault="004A175F" w:rsidP="004A175F">
            <w:pPr>
              <w:spacing w:before="40" w:after="40" w:line="276" w:lineRule="auto"/>
              <w:rPr>
                <w:rFonts w:eastAsia="Calibri"/>
                <w:i/>
                <w:color w:val="000000"/>
                <w:sz w:val="21"/>
                <w:szCs w:val="21"/>
                <w:lang w:eastAsia="en-US"/>
              </w:rPr>
            </w:pPr>
            <w:r w:rsidRPr="004A175F">
              <w:rPr>
                <w:rFonts w:eastAsia="Calibri"/>
                <w:color w:val="000000"/>
                <w:sz w:val="21"/>
                <w:szCs w:val="21"/>
                <w:lang w:eastAsia="en-US"/>
              </w:rPr>
              <w:t>(ceny stałe z 2013 r.)</w:t>
            </w:r>
          </w:p>
        </w:tc>
        <w:tc>
          <w:tcPr>
            <w:tcW w:w="7959" w:type="dxa"/>
            <w:gridSpan w:val="17"/>
            <w:shd w:val="clear" w:color="auto" w:fill="FFFFFF"/>
          </w:tcPr>
          <w:p w:rsidR="004A175F" w:rsidRPr="004A175F" w:rsidRDefault="004A175F" w:rsidP="004A175F">
            <w:pPr>
              <w:spacing w:before="40" w:after="40"/>
              <w:jc w:val="center"/>
              <w:rPr>
                <w:rFonts w:eastAsia="Calibri"/>
                <w:i/>
                <w:color w:val="000000"/>
                <w:spacing w:val="-2"/>
                <w:sz w:val="21"/>
                <w:szCs w:val="21"/>
                <w:lang w:eastAsia="en-US"/>
              </w:rPr>
            </w:pPr>
            <w:r w:rsidRPr="004A175F">
              <w:rPr>
                <w:rFonts w:eastAsia="Calibri"/>
                <w:color w:val="000000"/>
                <w:sz w:val="21"/>
                <w:szCs w:val="21"/>
                <w:lang w:eastAsia="en-US"/>
              </w:rPr>
              <w:t>Skutki w okresie 10 lat od wejścia w życie zmian [mln zł]</w:t>
            </w:r>
          </w:p>
        </w:tc>
      </w:tr>
      <w:tr w:rsidR="004A175F" w:rsidRPr="004A175F" w:rsidTr="00F64F79">
        <w:trPr>
          <w:gridAfter w:val="1"/>
          <w:wAfter w:w="10" w:type="dxa"/>
          <w:trHeight w:val="142"/>
        </w:trPr>
        <w:tc>
          <w:tcPr>
            <w:tcW w:w="2836" w:type="dxa"/>
            <w:gridSpan w:val="4"/>
            <w:vMerge/>
            <w:shd w:val="clear" w:color="auto" w:fill="FFFFFF"/>
          </w:tcPr>
          <w:p w:rsidR="004A175F" w:rsidRPr="004A175F" w:rsidRDefault="004A175F" w:rsidP="004A175F">
            <w:pPr>
              <w:spacing w:before="40" w:after="40"/>
              <w:rPr>
                <w:rFonts w:eastAsia="Calibri"/>
                <w:i/>
                <w:color w:val="000000"/>
                <w:sz w:val="21"/>
                <w:szCs w:val="21"/>
                <w:lang w:eastAsia="en-US"/>
              </w:rPr>
            </w:pPr>
          </w:p>
        </w:tc>
        <w:tc>
          <w:tcPr>
            <w:tcW w:w="1131"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1</w:t>
            </w:r>
          </w:p>
        </w:tc>
        <w:tc>
          <w:tcPr>
            <w:tcW w:w="994"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2</w:t>
            </w:r>
          </w:p>
        </w:tc>
        <w:tc>
          <w:tcPr>
            <w:tcW w:w="1025"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3</w:t>
            </w:r>
          </w:p>
        </w:tc>
        <w:tc>
          <w:tcPr>
            <w:tcW w:w="1139"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5</w:t>
            </w:r>
          </w:p>
        </w:tc>
        <w:tc>
          <w:tcPr>
            <w:tcW w:w="1140"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10</w:t>
            </w:r>
          </w:p>
        </w:tc>
        <w:tc>
          <w:tcPr>
            <w:tcW w:w="1538" w:type="dxa"/>
            <w:gridSpan w:val="2"/>
            <w:shd w:val="clear" w:color="auto" w:fill="FFFFFF"/>
          </w:tcPr>
          <w:p w:rsidR="004A175F" w:rsidRPr="004A175F" w:rsidRDefault="004A175F" w:rsidP="004A175F">
            <w:pPr>
              <w:spacing w:before="40" w:after="40"/>
              <w:jc w:val="center"/>
              <w:rPr>
                <w:rFonts w:eastAsia="Calibri"/>
                <w:color w:val="000000"/>
                <w:spacing w:val="-2"/>
                <w:sz w:val="21"/>
                <w:szCs w:val="21"/>
                <w:lang w:eastAsia="en-US"/>
              </w:rPr>
            </w:pPr>
            <w:r w:rsidRPr="004A175F">
              <w:rPr>
                <w:rFonts w:eastAsia="Calibri"/>
                <w:color w:val="000000"/>
                <w:spacing w:val="-2"/>
                <w:sz w:val="21"/>
                <w:szCs w:val="21"/>
                <w:lang w:eastAsia="en-US"/>
              </w:rPr>
              <w:t>Łącznie (0</w:t>
            </w:r>
            <w:r w:rsidR="009D551C" w:rsidRPr="009D551C">
              <w:rPr>
                <w:rFonts w:eastAsia="Calibri"/>
                <w:color w:val="000000"/>
                <w:spacing w:val="-2"/>
                <w:sz w:val="21"/>
                <w:szCs w:val="21"/>
                <w:lang w:eastAsia="en-US"/>
              </w:rPr>
              <w:t>–</w:t>
            </w:r>
            <w:r w:rsidRPr="004A175F">
              <w:rPr>
                <w:rFonts w:eastAsia="Calibri"/>
                <w:color w:val="000000"/>
                <w:spacing w:val="-2"/>
                <w:sz w:val="21"/>
                <w:szCs w:val="21"/>
                <w:lang w:eastAsia="en-US"/>
              </w:rPr>
              <w:t>10)</w:t>
            </w:r>
          </w:p>
        </w:tc>
      </w:tr>
      <w:tr w:rsidR="004A175F" w:rsidRPr="004A175F" w:rsidTr="00F64F79">
        <w:trPr>
          <w:trHeight w:val="321"/>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b/>
                <w:color w:val="000000"/>
                <w:sz w:val="21"/>
                <w:szCs w:val="21"/>
                <w:lang w:eastAsia="en-US"/>
              </w:rPr>
              <w:t>Dochody ogółem</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p>
        </w:tc>
        <w:tc>
          <w:tcPr>
            <w:tcW w:w="992" w:type="dxa"/>
            <w:gridSpan w:val="2"/>
            <w:shd w:val="clear" w:color="auto" w:fill="FFFFFF"/>
          </w:tcPr>
          <w:p w:rsidR="004A175F" w:rsidRPr="004A175F" w:rsidRDefault="004A175F" w:rsidP="004A175F">
            <w:pPr>
              <w:rPr>
                <w:rFonts w:eastAsia="Calibri"/>
                <w:color w:val="000000"/>
                <w:sz w:val="21"/>
                <w:szCs w:val="21"/>
                <w:lang w:eastAsia="en-US"/>
              </w:rPr>
            </w:pPr>
          </w:p>
        </w:tc>
        <w:tc>
          <w:tcPr>
            <w:tcW w:w="994" w:type="dxa"/>
            <w:gridSpan w:val="3"/>
            <w:shd w:val="clear" w:color="auto" w:fill="FFFFFF"/>
          </w:tcPr>
          <w:p w:rsidR="004A175F" w:rsidRPr="004A175F" w:rsidRDefault="004A175F" w:rsidP="004A175F">
            <w:pPr>
              <w:rPr>
                <w:rFonts w:eastAsia="Calibri"/>
                <w:color w:val="000000"/>
                <w:sz w:val="21"/>
                <w:szCs w:val="21"/>
                <w:lang w:eastAsia="en-US"/>
              </w:rPr>
            </w:pP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p>
        </w:tc>
        <w:tc>
          <w:tcPr>
            <w:tcW w:w="1548" w:type="dxa"/>
            <w:gridSpan w:val="3"/>
            <w:shd w:val="clear" w:color="auto" w:fill="FFFFFF"/>
          </w:tcPr>
          <w:p w:rsidR="004A175F" w:rsidRPr="004A175F" w:rsidRDefault="004A175F" w:rsidP="004A175F">
            <w:pPr>
              <w:rPr>
                <w:rFonts w:eastAsia="Calibri"/>
                <w:color w:val="000000"/>
                <w:spacing w:val="-2"/>
                <w:sz w:val="21"/>
                <w:szCs w:val="21"/>
                <w:lang w:eastAsia="en-US"/>
              </w:rPr>
            </w:pPr>
          </w:p>
        </w:tc>
      </w:tr>
      <w:tr w:rsidR="004A175F" w:rsidRPr="004A175F" w:rsidTr="00F64F79">
        <w:trPr>
          <w:trHeight w:val="321"/>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budżet państwa</w:t>
            </w:r>
          </w:p>
        </w:tc>
        <w:tc>
          <w:tcPr>
            <w:tcW w:w="1131" w:type="dxa"/>
            <w:gridSpan w:val="3"/>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992" w:type="dxa"/>
            <w:gridSpan w:val="2"/>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994" w:type="dxa"/>
            <w:gridSpan w:val="3"/>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1025" w:type="dxa"/>
            <w:gridSpan w:val="2"/>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1139" w:type="dxa"/>
            <w:gridSpan w:val="3"/>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1140" w:type="dxa"/>
            <w:gridSpan w:val="2"/>
            <w:shd w:val="clear" w:color="auto" w:fill="FFFFFF"/>
          </w:tcPr>
          <w:p w:rsidR="004A175F" w:rsidRPr="004A175F" w:rsidRDefault="004A175F" w:rsidP="004A175F">
            <w:pPr>
              <w:rPr>
                <w:rFonts w:eastAsia="Calibri"/>
                <w:sz w:val="22"/>
                <w:szCs w:val="22"/>
                <w:lang w:eastAsia="en-US"/>
              </w:rPr>
            </w:pPr>
            <w:r w:rsidRPr="004A175F">
              <w:rPr>
                <w:rFonts w:eastAsia="Calibri"/>
                <w:sz w:val="22"/>
                <w:szCs w:val="22"/>
                <w:lang w:eastAsia="en-US"/>
              </w:rPr>
              <w:t>4 mln</w:t>
            </w:r>
          </w:p>
        </w:tc>
        <w:tc>
          <w:tcPr>
            <w:tcW w:w="1548" w:type="dxa"/>
            <w:gridSpan w:val="3"/>
            <w:shd w:val="clear" w:color="auto" w:fill="FFFFFF"/>
          </w:tcPr>
          <w:p w:rsidR="004A175F" w:rsidRPr="004A175F" w:rsidRDefault="004A175F" w:rsidP="004A175F">
            <w:pPr>
              <w:rPr>
                <w:rFonts w:eastAsia="Calibri"/>
                <w:spacing w:val="-2"/>
                <w:sz w:val="22"/>
                <w:szCs w:val="22"/>
                <w:lang w:eastAsia="en-US"/>
              </w:rPr>
            </w:pPr>
            <w:r w:rsidRPr="004A175F">
              <w:rPr>
                <w:rFonts w:eastAsia="Calibri"/>
                <w:spacing w:val="-2"/>
                <w:sz w:val="22"/>
                <w:szCs w:val="22"/>
                <w:lang w:eastAsia="en-US"/>
              </w:rPr>
              <w:t>44 mln</w:t>
            </w:r>
          </w:p>
        </w:tc>
      </w:tr>
      <w:tr w:rsidR="004A175F" w:rsidRPr="004A175F" w:rsidTr="00F64F79">
        <w:trPr>
          <w:trHeight w:val="344"/>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JST</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44"/>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pozostałe jednostki (oddzielnie)</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30"/>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b/>
                <w:color w:val="000000"/>
                <w:sz w:val="21"/>
                <w:szCs w:val="21"/>
                <w:lang w:eastAsia="en-US"/>
              </w:rPr>
              <w:t>Wydatki ogółem</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p>
        </w:tc>
        <w:tc>
          <w:tcPr>
            <w:tcW w:w="992" w:type="dxa"/>
            <w:gridSpan w:val="2"/>
            <w:shd w:val="clear" w:color="auto" w:fill="FFFFFF"/>
          </w:tcPr>
          <w:p w:rsidR="004A175F" w:rsidRPr="004A175F" w:rsidRDefault="004A175F" w:rsidP="004A175F">
            <w:pPr>
              <w:rPr>
                <w:rFonts w:eastAsia="Calibri"/>
                <w:color w:val="000000"/>
                <w:sz w:val="21"/>
                <w:szCs w:val="21"/>
                <w:lang w:eastAsia="en-US"/>
              </w:rPr>
            </w:pPr>
          </w:p>
        </w:tc>
        <w:tc>
          <w:tcPr>
            <w:tcW w:w="994" w:type="dxa"/>
            <w:gridSpan w:val="3"/>
            <w:shd w:val="clear" w:color="auto" w:fill="FFFFFF"/>
          </w:tcPr>
          <w:p w:rsidR="004A175F" w:rsidRPr="004A175F" w:rsidRDefault="004A175F" w:rsidP="004A175F">
            <w:pPr>
              <w:rPr>
                <w:rFonts w:eastAsia="Calibri"/>
                <w:color w:val="000000"/>
                <w:sz w:val="21"/>
                <w:szCs w:val="21"/>
                <w:lang w:eastAsia="en-US"/>
              </w:rPr>
            </w:pP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30"/>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budżet państwa</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r>
      <w:tr w:rsidR="004A175F" w:rsidRPr="004A175F" w:rsidTr="00F64F79">
        <w:trPr>
          <w:trHeight w:val="351"/>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JST</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51"/>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pozostałe jednostki (oddzielnie)</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60"/>
        </w:trPr>
        <w:tc>
          <w:tcPr>
            <w:tcW w:w="2836" w:type="dxa"/>
            <w:gridSpan w:val="4"/>
            <w:shd w:val="clear" w:color="auto" w:fill="FFFFFF"/>
            <w:vAlign w:val="center"/>
          </w:tcPr>
          <w:p w:rsidR="004A175F" w:rsidRPr="004A175F" w:rsidRDefault="004A175F" w:rsidP="0042019A">
            <w:pPr>
              <w:keepNext/>
              <w:rPr>
                <w:rFonts w:eastAsia="Calibri"/>
                <w:color w:val="000000"/>
                <w:sz w:val="21"/>
                <w:szCs w:val="21"/>
                <w:lang w:eastAsia="en-US"/>
              </w:rPr>
            </w:pPr>
            <w:r w:rsidRPr="004A175F">
              <w:rPr>
                <w:rFonts w:eastAsia="Calibri"/>
                <w:b/>
                <w:color w:val="000000"/>
                <w:sz w:val="21"/>
                <w:szCs w:val="21"/>
                <w:lang w:eastAsia="en-US"/>
              </w:rPr>
              <w:t>Saldo ogółem</w:t>
            </w:r>
          </w:p>
        </w:tc>
        <w:tc>
          <w:tcPr>
            <w:tcW w:w="1131" w:type="dxa"/>
            <w:gridSpan w:val="3"/>
            <w:shd w:val="clear" w:color="auto" w:fill="FFFFFF"/>
          </w:tcPr>
          <w:p w:rsidR="004A175F" w:rsidRPr="004A175F" w:rsidRDefault="004A175F" w:rsidP="0042019A">
            <w:pPr>
              <w:keepNext/>
              <w:rPr>
                <w:rFonts w:eastAsia="Calibri"/>
                <w:color w:val="000000"/>
                <w:sz w:val="21"/>
                <w:szCs w:val="21"/>
                <w:lang w:eastAsia="en-US"/>
              </w:rPr>
            </w:pPr>
          </w:p>
        </w:tc>
        <w:tc>
          <w:tcPr>
            <w:tcW w:w="992" w:type="dxa"/>
            <w:gridSpan w:val="2"/>
            <w:shd w:val="clear" w:color="auto" w:fill="FFFFFF"/>
          </w:tcPr>
          <w:p w:rsidR="004A175F" w:rsidRPr="004A175F" w:rsidRDefault="004A175F" w:rsidP="0042019A">
            <w:pPr>
              <w:keepNext/>
              <w:rPr>
                <w:rFonts w:eastAsia="Calibri"/>
                <w:color w:val="000000"/>
                <w:sz w:val="21"/>
                <w:szCs w:val="21"/>
                <w:lang w:eastAsia="en-US"/>
              </w:rPr>
            </w:pPr>
          </w:p>
        </w:tc>
        <w:tc>
          <w:tcPr>
            <w:tcW w:w="994" w:type="dxa"/>
            <w:gridSpan w:val="3"/>
            <w:shd w:val="clear" w:color="auto" w:fill="FFFFFF"/>
          </w:tcPr>
          <w:p w:rsidR="004A175F" w:rsidRPr="004A175F" w:rsidRDefault="004A175F" w:rsidP="0042019A">
            <w:pPr>
              <w:keepNext/>
              <w:rPr>
                <w:rFonts w:eastAsia="Calibri"/>
                <w:color w:val="000000"/>
                <w:sz w:val="21"/>
                <w:szCs w:val="21"/>
                <w:lang w:eastAsia="en-US"/>
              </w:rPr>
            </w:pPr>
          </w:p>
        </w:tc>
        <w:tc>
          <w:tcPr>
            <w:tcW w:w="1025" w:type="dxa"/>
            <w:gridSpan w:val="2"/>
            <w:shd w:val="clear" w:color="auto" w:fill="FFFFFF"/>
          </w:tcPr>
          <w:p w:rsidR="004A175F" w:rsidRPr="004A175F" w:rsidRDefault="004A175F" w:rsidP="0042019A">
            <w:pPr>
              <w:keepNext/>
              <w:rPr>
                <w:rFonts w:eastAsia="Calibri"/>
                <w:color w:val="000000"/>
                <w:sz w:val="21"/>
                <w:szCs w:val="21"/>
                <w:lang w:eastAsia="en-US"/>
              </w:rPr>
            </w:pPr>
          </w:p>
        </w:tc>
        <w:tc>
          <w:tcPr>
            <w:tcW w:w="1139" w:type="dxa"/>
            <w:gridSpan w:val="3"/>
            <w:shd w:val="clear" w:color="auto" w:fill="FFFFFF"/>
          </w:tcPr>
          <w:p w:rsidR="004A175F" w:rsidRPr="004A175F" w:rsidRDefault="004A175F" w:rsidP="0042019A">
            <w:pPr>
              <w:keepNext/>
              <w:rPr>
                <w:rFonts w:eastAsia="Calibri"/>
                <w:color w:val="000000"/>
                <w:sz w:val="21"/>
                <w:szCs w:val="21"/>
                <w:lang w:eastAsia="en-US"/>
              </w:rPr>
            </w:pPr>
          </w:p>
        </w:tc>
        <w:tc>
          <w:tcPr>
            <w:tcW w:w="1140" w:type="dxa"/>
            <w:gridSpan w:val="2"/>
            <w:shd w:val="clear" w:color="auto" w:fill="FFFFFF"/>
          </w:tcPr>
          <w:p w:rsidR="004A175F" w:rsidRPr="004A175F" w:rsidRDefault="004A175F" w:rsidP="0042019A">
            <w:pPr>
              <w:keepNext/>
              <w:rPr>
                <w:rFonts w:eastAsia="Calibri"/>
                <w:color w:val="000000"/>
                <w:sz w:val="21"/>
                <w:szCs w:val="21"/>
                <w:lang w:eastAsia="en-US"/>
              </w:rPr>
            </w:pP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60"/>
        </w:trPr>
        <w:tc>
          <w:tcPr>
            <w:tcW w:w="2836" w:type="dxa"/>
            <w:gridSpan w:val="4"/>
            <w:shd w:val="clear" w:color="auto" w:fill="FFFFFF"/>
            <w:vAlign w:val="center"/>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budżet państwa</w:t>
            </w:r>
          </w:p>
        </w:tc>
        <w:tc>
          <w:tcPr>
            <w:tcW w:w="1131"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992"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994"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1025"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1139"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1140"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4 mln</w:t>
            </w:r>
          </w:p>
        </w:tc>
        <w:tc>
          <w:tcPr>
            <w:tcW w:w="1548" w:type="dxa"/>
            <w:gridSpan w:val="3"/>
            <w:shd w:val="clear" w:color="auto" w:fill="FFFFFF"/>
          </w:tcPr>
          <w:p w:rsidR="004A175F" w:rsidRPr="004A175F" w:rsidRDefault="00A30D85" w:rsidP="004A175F">
            <w:pPr>
              <w:rPr>
                <w:rFonts w:eastAsia="Calibri"/>
                <w:color w:val="000000"/>
                <w:sz w:val="21"/>
                <w:szCs w:val="21"/>
                <w:lang w:eastAsia="en-US"/>
              </w:rPr>
            </w:pPr>
            <w:r>
              <w:rPr>
                <w:rFonts w:eastAsia="Calibri"/>
                <w:color w:val="000000"/>
                <w:sz w:val="21"/>
                <w:szCs w:val="21"/>
                <w:lang w:eastAsia="en-US"/>
              </w:rPr>
              <w:t>4</w:t>
            </w:r>
            <w:r w:rsidR="004A175F" w:rsidRPr="004A175F">
              <w:rPr>
                <w:rFonts w:eastAsia="Calibri"/>
                <w:color w:val="000000"/>
                <w:sz w:val="21"/>
                <w:szCs w:val="21"/>
                <w:lang w:eastAsia="en-US"/>
              </w:rPr>
              <w:t>4 mln</w:t>
            </w:r>
          </w:p>
        </w:tc>
      </w:tr>
      <w:tr w:rsidR="004A175F" w:rsidRPr="004A175F" w:rsidTr="00F64F79">
        <w:trPr>
          <w:trHeight w:val="357"/>
        </w:trPr>
        <w:tc>
          <w:tcPr>
            <w:tcW w:w="2836" w:type="dxa"/>
            <w:gridSpan w:val="4"/>
            <w:shd w:val="clear" w:color="auto" w:fill="FFFFFF"/>
            <w:vAlign w:val="center"/>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JST</w:t>
            </w:r>
          </w:p>
        </w:tc>
        <w:tc>
          <w:tcPr>
            <w:tcW w:w="1131"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2019A">
            <w:pPr>
              <w:keepNext/>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trHeight w:val="357"/>
        </w:trPr>
        <w:tc>
          <w:tcPr>
            <w:tcW w:w="2836" w:type="dxa"/>
            <w:gridSpan w:val="4"/>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pozostałe jednostki (oddzielnie)</w:t>
            </w:r>
          </w:p>
        </w:tc>
        <w:tc>
          <w:tcPr>
            <w:tcW w:w="1131"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025"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9"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40"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548" w:type="dxa"/>
            <w:gridSpan w:val="3"/>
            <w:shd w:val="clear" w:color="auto" w:fill="FFFFFF"/>
          </w:tcPr>
          <w:p w:rsidR="004A175F" w:rsidRPr="004A175F" w:rsidRDefault="004A175F" w:rsidP="004A175F">
            <w:pPr>
              <w:rPr>
                <w:rFonts w:eastAsia="Calibri"/>
                <w:color w:val="000000"/>
                <w:sz w:val="21"/>
                <w:szCs w:val="21"/>
                <w:lang w:eastAsia="en-US"/>
              </w:rPr>
            </w:pPr>
          </w:p>
        </w:tc>
      </w:tr>
      <w:tr w:rsidR="004A175F" w:rsidRPr="004A175F" w:rsidTr="00F64F79">
        <w:trPr>
          <w:gridAfter w:val="1"/>
          <w:wAfter w:w="10" w:type="dxa"/>
          <w:trHeight w:val="348"/>
        </w:trPr>
        <w:tc>
          <w:tcPr>
            <w:tcW w:w="2098" w:type="dxa"/>
            <w:gridSpan w:val="2"/>
            <w:shd w:val="clear" w:color="auto" w:fill="FFFFFF"/>
            <w:vAlign w:val="center"/>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 xml:space="preserve">Źródła finansowania </w:t>
            </w:r>
          </w:p>
        </w:tc>
        <w:tc>
          <w:tcPr>
            <w:tcW w:w="8697" w:type="dxa"/>
            <w:gridSpan w:val="19"/>
            <w:shd w:val="clear" w:color="auto" w:fill="FFFFFF"/>
            <w:vAlign w:val="center"/>
          </w:tcPr>
          <w:p w:rsidR="004A175F" w:rsidRPr="004A175F" w:rsidRDefault="004A175F" w:rsidP="009D551C">
            <w:pPr>
              <w:jc w:val="both"/>
              <w:rPr>
                <w:rFonts w:eastAsia="Calibri"/>
                <w:color w:val="000000"/>
                <w:sz w:val="21"/>
                <w:szCs w:val="21"/>
                <w:lang w:eastAsia="en-US"/>
              </w:rPr>
            </w:pPr>
            <w:r w:rsidRPr="004A175F">
              <w:rPr>
                <w:rFonts w:eastAsia="Calibri"/>
                <w:color w:val="000000"/>
                <w:sz w:val="21"/>
                <w:szCs w:val="21"/>
                <w:lang w:eastAsia="en-US"/>
              </w:rPr>
              <w:t>Kary administracyjne wpłacane do budżetu przez ukaranych przedsiębiorców.</w:t>
            </w:r>
          </w:p>
        </w:tc>
      </w:tr>
      <w:tr w:rsidR="004A175F" w:rsidRPr="004A175F" w:rsidTr="00F64F79">
        <w:trPr>
          <w:gridAfter w:val="1"/>
          <w:wAfter w:w="10" w:type="dxa"/>
          <w:trHeight w:val="699"/>
        </w:trPr>
        <w:tc>
          <w:tcPr>
            <w:tcW w:w="2098"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lastRenderedPageBreak/>
              <w:t>Dodatkowe informacje, w tym wskazanie źródeł danych i przyjętych do obliczeń założeń</w:t>
            </w:r>
          </w:p>
        </w:tc>
        <w:tc>
          <w:tcPr>
            <w:tcW w:w="8697" w:type="dxa"/>
            <w:gridSpan w:val="19"/>
            <w:shd w:val="clear" w:color="auto" w:fill="FFFFFF"/>
          </w:tcPr>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Dotychczasowe wpływy z nakładanych grzywien wyniosły w latach 2012</w:t>
            </w:r>
            <w:r w:rsidR="009D551C">
              <w:rPr>
                <w:rFonts w:eastAsia="Calibri"/>
                <w:color w:val="000000"/>
                <w:sz w:val="21"/>
                <w:szCs w:val="21"/>
                <w:lang w:eastAsia="en-US"/>
              </w:rPr>
              <w:t>–</w:t>
            </w:r>
            <w:r w:rsidRPr="004A175F">
              <w:rPr>
                <w:rFonts w:eastAsia="Calibri"/>
                <w:color w:val="000000"/>
                <w:sz w:val="21"/>
                <w:szCs w:val="21"/>
                <w:lang w:eastAsia="en-US"/>
              </w:rPr>
              <w:t>2014 łącznie 36</w:t>
            </w:r>
            <w:r w:rsidR="00A30D85">
              <w:rPr>
                <w:rFonts w:eastAsia="Calibri"/>
                <w:color w:val="000000"/>
                <w:sz w:val="21"/>
                <w:szCs w:val="21"/>
                <w:lang w:eastAsia="en-US"/>
              </w:rPr>
              <w:t> 160 zł (w tym 12 </w:t>
            </w:r>
            <w:r w:rsidRPr="004A175F">
              <w:rPr>
                <w:rFonts w:eastAsia="Calibri"/>
                <w:color w:val="000000"/>
                <w:sz w:val="21"/>
                <w:szCs w:val="21"/>
                <w:lang w:eastAsia="en-US"/>
              </w:rPr>
              <w:t>910 zł z grzywien orzeczonych przez organy wyspecjalizowane i 23</w:t>
            </w:r>
            <w:r w:rsidR="00A30D85">
              <w:rPr>
                <w:rFonts w:eastAsia="Calibri"/>
                <w:color w:val="000000"/>
                <w:sz w:val="21"/>
                <w:szCs w:val="21"/>
                <w:lang w:eastAsia="en-US"/>
              </w:rPr>
              <w:t> </w:t>
            </w:r>
            <w:r w:rsidRPr="004A175F">
              <w:rPr>
                <w:rFonts w:eastAsia="Calibri"/>
                <w:color w:val="000000"/>
                <w:sz w:val="21"/>
                <w:szCs w:val="21"/>
                <w:lang w:eastAsia="en-US"/>
              </w:rPr>
              <w:t>250 zł z grzywien nałożonych przez wojewódzkie inspektoraty Inspekcji Handlowej).</w:t>
            </w:r>
          </w:p>
          <w:p w:rsidR="004A175F" w:rsidRPr="004A175F" w:rsidRDefault="004A175F" w:rsidP="004A175F">
            <w:pPr>
              <w:jc w:val="both"/>
              <w:rPr>
                <w:rFonts w:eastAsia="Calibri"/>
                <w:color w:val="000000"/>
                <w:sz w:val="21"/>
                <w:szCs w:val="21"/>
                <w:lang w:eastAsia="en-US"/>
              </w:rPr>
            </w:pPr>
          </w:p>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Wprowadzenie nowego systemu karania</w:t>
            </w:r>
            <w:r w:rsidR="00A30D85">
              <w:rPr>
                <w:rFonts w:eastAsia="Calibri"/>
                <w:color w:val="000000"/>
                <w:sz w:val="21"/>
                <w:szCs w:val="21"/>
                <w:lang w:eastAsia="en-US"/>
              </w:rPr>
              <w:t xml:space="preserve"> opartego na karach pieniężnych</w:t>
            </w:r>
            <w:r w:rsidRPr="004A175F">
              <w:rPr>
                <w:rFonts w:eastAsia="Calibri"/>
                <w:color w:val="000000"/>
                <w:sz w:val="21"/>
                <w:szCs w:val="21"/>
                <w:lang w:eastAsia="en-US"/>
              </w:rPr>
              <w:t xml:space="preserve"> spowoduje zwiększenie dochodów państwa. Zakłada się, że 10 organów nadzoru rynku będzie wydawać rocznie 500 decyzji administracyjnych, skutkujących nałożeniem kar pieniężnych. N</w:t>
            </w:r>
            <w:r w:rsidR="0042019A">
              <w:rPr>
                <w:rFonts w:eastAsia="Calibri"/>
                <w:color w:val="000000"/>
                <w:sz w:val="21"/>
                <w:szCs w:val="21"/>
                <w:lang w:eastAsia="en-US"/>
              </w:rPr>
              <w:t>ajwyższy wymiar kary wynosi 100 </w:t>
            </w:r>
            <w:r w:rsidRPr="004A175F">
              <w:rPr>
                <w:rFonts w:eastAsia="Calibri"/>
                <w:color w:val="000000"/>
                <w:sz w:val="21"/>
                <w:szCs w:val="21"/>
                <w:lang w:eastAsia="en-US"/>
              </w:rPr>
              <w:t xml:space="preserve">tys. </w:t>
            </w:r>
            <w:r w:rsidR="00A30D85">
              <w:rPr>
                <w:rFonts w:eastAsia="Calibri"/>
                <w:color w:val="000000"/>
                <w:sz w:val="21"/>
                <w:szCs w:val="21"/>
                <w:lang w:eastAsia="en-US"/>
              </w:rPr>
              <w:t>zł</w:t>
            </w:r>
            <w:r w:rsidRPr="004A175F">
              <w:rPr>
                <w:rFonts w:eastAsia="Calibri"/>
                <w:color w:val="000000"/>
                <w:sz w:val="21"/>
                <w:szCs w:val="21"/>
                <w:lang w:eastAsia="en-US"/>
              </w:rPr>
              <w:t xml:space="preserve">, zaś sytuacji podlegających karze jest 5. Zatem zakłada się, że średnia wysokość kary wyniesie 8 tys. </w:t>
            </w:r>
            <w:r w:rsidR="00A30D85">
              <w:rPr>
                <w:rFonts w:eastAsia="Calibri"/>
                <w:color w:val="000000"/>
                <w:sz w:val="21"/>
                <w:szCs w:val="21"/>
                <w:lang w:eastAsia="en-US"/>
              </w:rPr>
              <w:t>zł</w:t>
            </w:r>
            <w:r w:rsidRPr="004A175F">
              <w:rPr>
                <w:rFonts w:eastAsia="Calibri"/>
                <w:color w:val="000000"/>
                <w:sz w:val="21"/>
                <w:szCs w:val="21"/>
                <w:lang w:eastAsia="en-US"/>
              </w:rPr>
              <w:t xml:space="preserve">. Oznacza to średni dochód budżetu państwa w wysokości 4 mln </w:t>
            </w:r>
            <w:r w:rsidR="00A30D85">
              <w:rPr>
                <w:rFonts w:eastAsia="Calibri"/>
                <w:color w:val="000000"/>
                <w:sz w:val="21"/>
                <w:szCs w:val="21"/>
                <w:lang w:eastAsia="en-US"/>
              </w:rPr>
              <w:t>zł</w:t>
            </w:r>
            <w:r w:rsidRPr="004A175F">
              <w:rPr>
                <w:rFonts w:eastAsia="Calibri"/>
                <w:color w:val="000000"/>
                <w:sz w:val="21"/>
                <w:szCs w:val="21"/>
                <w:lang w:eastAsia="en-US"/>
              </w:rPr>
              <w:t>.</w:t>
            </w:r>
          </w:p>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Założenia do obliczeń są bardzo szacunkowe i opierają się na danych statystycznych prezentowanych w raportach z funkcjonowania systemu kontroli wyrobów podlegających dyrektywom nowego podejścia na dany rok – zatem: przyjęto, że 10 organów nadzoru rynku uczestniczących w systemie (dodano administrację miar, która wcześniej nie była w systemie, zatem nie wiadomo ile decyzji będzie wydawać rocznie) będzie wydawać rocznie 500 decyzji administracyjnych, skutkujących nałożeniem kar pieniężnych (art. 89</w:t>
            </w:r>
            <w:r w:rsidR="009D551C">
              <w:rPr>
                <w:rFonts w:eastAsia="Calibri"/>
                <w:color w:val="000000"/>
                <w:sz w:val="21"/>
                <w:szCs w:val="21"/>
                <w:lang w:eastAsia="en-US"/>
              </w:rPr>
              <w:t>–</w:t>
            </w:r>
            <w:r w:rsidR="0042019A">
              <w:rPr>
                <w:rFonts w:eastAsia="Calibri"/>
                <w:color w:val="000000"/>
                <w:sz w:val="21"/>
                <w:szCs w:val="21"/>
                <w:lang w:eastAsia="en-US"/>
              </w:rPr>
              <w:t>93 projektu), czyli po 50 </w:t>
            </w:r>
            <w:r w:rsidRPr="004A175F">
              <w:rPr>
                <w:rFonts w:eastAsia="Calibri"/>
                <w:color w:val="000000"/>
                <w:sz w:val="21"/>
                <w:szCs w:val="21"/>
                <w:lang w:eastAsia="en-US"/>
              </w:rPr>
              <w:t>decyzji na organ. Rozpiętość kar waha się od 20 do 100 tys.</w:t>
            </w:r>
            <w:r w:rsidR="0042019A">
              <w:rPr>
                <w:rFonts w:eastAsia="Calibri"/>
                <w:color w:val="000000"/>
                <w:sz w:val="21"/>
                <w:szCs w:val="21"/>
                <w:lang w:eastAsia="en-US"/>
              </w:rPr>
              <w:t xml:space="preserve"> </w:t>
            </w:r>
            <w:r w:rsidR="00A30D85">
              <w:rPr>
                <w:rFonts w:eastAsia="Calibri"/>
                <w:color w:val="000000"/>
                <w:sz w:val="21"/>
                <w:szCs w:val="21"/>
                <w:lang w:eastAsia="en-US"/>
              </w:rPr>
              <w:t>zł</w:t>
            </w:r>
            <w:r w:rsidR="0042019A">
              <w:rPr>
                <w:rFonts w:eastAsia="Calibri"/>
                <w:color w:val="000000"/>
                <w:sz w:val="21"/>
                <w:szCs w:val="21"/>
                <w:lang w:eastAsia="en-US"/>
              </w:rPr>
              <w:t xml:space="preserve"> (średnia arytmetyczna – 40 tys. </w:t>
            </w:r>
            <w:r w:rsidR="00A30D85">
              <w:rPr>
                <w:rFonts w:eastAsia="Calibri"/>
                <w:color w:val="000000"/>
                <w:sz w:val="21"/>
                <w:szCs w:val="21"/>
                <w:lang w:eastAsia="en-US"/>
              </w:rPr>
              <w:t>zł</w:t>
            </w:r>
            <w:r w:rsidRPr="004A175F">
              <w:rPr>
                <w:rFonts w:eastAsia="Calibri"/>
                <w:color w:val="000000"/>
                <w:sz w:val="21"/>
                <w:szCs w:val="21"/>
                <w:lang w:eastAsia="en-US"/>
              </w:rPr>
              <w:t xml:space="preserve">), gdyż sytuacji podlegających karze jest 5. Dzieląc średnią przez liczbę decyzji przypadających na 1 organ, dostajemy wskaźnik 0,8. Przyjęto zatem, że średnia wysokość kary wyniesie 8 tys. </w:t>
            </w:r>
            <w:r w:rsidR="00A30D85">
              <w:rPr>
                <w:rFonts w:eastAsia="Calibri"/>
                <w:color w:val="000000"/>
                <w:sz w:val="21"/>
                <w:szCs w:val="21"/>
                <w:lang w:eastAsia="en-US"/>
              </w:rPr>
              <w:t>zł</w:t>
            </w:r>
            <w:r w:rsidRPr="004A175F">
              <w:rPr>
                <w:rFonts w:eastAsia="Calibri"/>
                <w:color w:val="000000"/>
                <w:sz w:val="21"/>
                <w:szCs w:val="21"/>
                <w:lang w:eastAsia="en-US"/>
              </w:rPr>
              <w:t xml:space="preserve">. Mnożąc przez 500 decyzji otrzymujemy średni dochód budżetu państwa w wysokości 4 mln </w:t>
            </w:r>
            <w:r w:rsidR="00A30D85">
              <w:rPr>
                <w:rFonts w:eastAsia="Calibri"/>
                <w:color w:val="000000"/>
                <w:sz w:val="21"/>
                <w:szCs w:val="21"/>
                <w:lang w:eastAsia="en-US"/>
              </w:rPr>
              <w:t>zł</w:t>
            </w:r>
            <w:r w:rsidRPr="004A175F">
              <w:rPr>
                <w:rFonts w:eastAsia="Calibri"/>
                <w:color w:val="000000"/>
                <w:sz w:val="21"/>
                <w:szCs w:val="21"/>
                <w:lang w:eastAsia="en-US"/>
              </w:rPr>
              <w:t xml:space="preserve">. Należy wskazać, że średnia kara nakładana na podstawie ustawy o ogólnym bezpieczeństwie produktów (gdzie także przewiduje się karę pieniężną w wysokości do 100 tys. </w:t>
            </w:r>
            <w:r w:rsidR="00A30D85">
              <w:rPr>
                <w:rFonts w:eastAsia="Calibri"/>
                <w:color w:val="000000"/>
                <w:sz w:val="21"/>
                <w:szCs w:val="21"/>
                <w:lang w:eastAsia="en-US"/>
              </w:rPr>
              <w:t>zł</w:t>
            </w:r>
            <w:r w:rsidRPr="004A175F">
              <w:rPr>
                <w:rFonts w:eastAsia="Calibri"/>
                <w:color w:val="000000"/>
                <w:sz w:val="21"/>
                <w:szCs w:val="21"/>
                <w:lang w:eastAsia="en-US"/>
              </w:rPr>
              <w:t xml:space="preserve"> za wprowadzenie na rynek niebezpiecznego produktu) w 2014 r. wyniosła 14 tys. </w:t>
            </w:r>
            <w:r w:rsidR="00A30D85">
              <w:rPr>
                <w:rFonts w:eastAsia="Calibri"/>
                <w:color w:val="000000"/>
                <w:sz w:val="21"/>
                <w:szCs w:val="21"/>
                <w:lang w:eastAsia="en-US"/>
              </w:rPr>
              <w:t xml:space="preserve">zł </w:t>
            </w:r>
            <w:r w:rsidRPr="004A175F">
              <w:rPr>
                <w:rFonts w:eastAsia="Calibri"/>
                <w:color w:val="000000"/>
                <w:sz w:val="21"/>
                <w:szCs w:val="21"/>
                <w:lang w:eastAsia="en-US"/>
              </w:rPr>
              <w:t>– a należy uwzględnić, że te kary dotyczą głównie sytuacji, gdy wykrywane jest poważne zagrożenie bezpieczeństwa i zdrowia konsumentów; dlatego przy szacowaniu wysokości kar w systemie nadzoru rynku kierowano się także tą przesłanką.</w:t>
            </w:r>
          </w:p>
          <w:p w:rsidR="004A175F" w:rsidRPr="004A175F" w:rsidRDefault="004A175F" w:rsidP="004A175F">
            <w:pPr>
              <w:jc w:val="both"/>
              <w:rPr>
                <w:rFonts w:eastAsia="Calibri"/>
                <w:color w:val="000000"/>
                <w:sz w:val="21"/>
                <w:szCs w:val="21"/>
                <w:lang w:eastAsia="en-US"/>
              </w:rPr>
            </w:pPr>
          </w:p>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Koszty kar administracyjnych nakładanych na przedsiębiorstwa są wliczone w prowadzenie postępowania administracyjnego – nie da się ich wyodrębnić.</w:t>
            </w:r>
          </w:p>
          <w:p w:rsidR="004A175F" w:rsidRPr="004A175F" w:rsidRDefault="004A175F" w:rsidP="004A175F">
            <w:pPr>
              <w:jc w:val="both"/>
              <w:rPr>
                <w:rFonts w:eastAsia="Calibri"/>
                <w:color w:val="000000"/>
                <w:sz w:val="21"/>
                <w:szCs w:val="21"/>
                <w:lang w:eastAsia="en-US"/>
              </w:rPr>
            </w:pPr>
          </w:p>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Zysk netto PCA oraz wpłata do budżetu państwa w latach 2009</w:t>
            </w:r>
            <w:r w:rsidR="009D551C">
              <w:rPr>
                <w:rFonts w:eastAsia="Calibri"/>
                <w:color w:val="000000"/>
                <w:sz w:val="21"/>
                <w:szCs w:val="21"/>
                <w:lang w:eastAsia="en-US"/>
              </w:rPr>
              <w:t>–</w:t>
            </w:r>
            <w:r w:rsidRPr="004A175F">
              <w:rPr>
                <w:rFonts w:eastAsia="Calibri"/>
                <w:color w:val="000000"/>
                <w:sz w:val="21"/>
                <w:szCs w:val="21"/>
                <w:lang w:eastAsia="en-US"/>
              </w:rPr>
              <w:t>2014:</w:t>
            </w:r>
          </w:p>
          <w:tbl>
            <w:tblPr>
              <w:tblW w:w="0" w:type="auto"/>
              <w:tblLayout w:type="fixed"/>
              <w:tblLook w:val="00A0" w:firstRow="1" w:lastRow="0" w:firstColumn="1" w:lastColumn="0" w:noHBand="0" w:noVBand="0"/>
            </w:tblPr>
            <w:tblGrid>
              <w:gridCol w:w="1119"/>
              <w:gridCol w:w="1214"/>
              <w:gridCol w:w="1214"/>
              <w:gridCol w:w="1214"/>
              <w:gridCol w:w="1214"/>
              <w:gridCol w:w="1214"/>
              <w:gridCol w:w="1214"/>
            </w:tblGrid>
            <w:tr w:rsidR="003D151B" w:rsidRPr="004A175F" w:rsidTr="00F64F79">
              <w:trPr>
                <w:trHeight w:val="235"/>
              </w:trPr>
              <w:tc>
                <w:tcPr>
                  <w:tcW w:w="1119"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ROK</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2009</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2010</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2011</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2012</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2013</w:t>
                  </w:r>
                </w:p>
              </w:tc>
              <w:tc>
                <w:tcPr>
                  <w:tcW w:w="1214"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2014</w:t>
                  </w:r>
                </w:p>
              </w:tc>
            </w:tr>
            <w:tr w:rsidR="003D151B" w:rsidRPr="004A175F" w:rsidTr="00F64F79">
              <w:trPr>
                <w:trHeight w:val="720"/>
              </w:trPr>
              <w:tc>
                <w:tcPr>
                  <w:tcW w:w="1119"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Zysk netto</w:t>
                  </w:r>
                </w:p>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(w zł)</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2.460.795,97</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2.021.590,40</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1.696.662,93</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2.388.418,99</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2.462.177,73</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2.915.785,41</w:t>
                  </w:r>
                </w:p>
              </w:tc>
            </w:tr>
            <w:tr w:rsidR="003D151B" w:rsidRPr="004A175F" w:rsidTr="00F64F79">
              <w:trPr>
                <w:trHeight w:val="470"/>
              </w:trPr>
              <w:tc>
                <w:tcPr>
                  <w:tcW w:w="1119" w:type="dxa"/>
                  <w:tcBorders>
                    <w:top w:val="single" w:sz="6" w:space="0" w:color="000000"/>
                    <w:left w:val="single" w:sz="6" w:space="0" w:color="000000"/>
                    <w:bottom w:val="single" w:sz="6" w:space="0" w:color="000000"/>
                    <w:right w:val="single" w:sz="6" w:space="0" w:color="000000"/>
                  </w:tcBorders>
                  <w:shd w:val="clear" w:color="auto" w:fill="37605E"/>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 xml:space="preserve">Wpłata </w:t>
                  </w:r>
                  <w:r w:rsidR="003D151B" w:rsidRPr="00F64F79">
                    <w:rPr>
                      <w:rFonts w:eastAsia="Calibri"/>
                      <w:b/>
                      <w:bCs/>
                      <w:color w:val="000000"/>
                      <w:sz w:val="19"/>
                      <w:szCs w:val="19"/>
                      <w:lang w:eastAsia="en-US"/>
                    </w:rPr>
                    <w:br/>
                  </w:r>
                  <w:r w:rsidRPr="00F64F79">
                    <w:rPr>
                      <w:rFonts w:eastAsia="Calibri"/>
                      <w:b/>
                      <w:bCs/>
                      <w:color w:val="000000"/>
                      <w:sz w:val="19"/>
                      <w:szCs w:val="19"/>
                      <w:lang w:eastAsia="en-US"/>
                    </w:rPr>
                    <w:t>do budżetu</w:t>
                  </w:r>
                </w:p>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(w zł)</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738.238,79</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606.477,12</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508.999,00</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716.525,00</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738.653,00</w:t>
                  </w:r>
                </w:p>
              </w:tc>
              <w:tc>
                <w:tcPr>
                  <w:tcW w:w="1214" w:type="dxa"/>
                  <w:tcBorders>
                    <w:top w:val="single" w:sz="6" w:space="0" w:color="000000"/>
                    <w:left w:val="single" w:sz="6" w:space="0" w:color="000000"/>
                    <w:bottom w:val="single" w:sz="6" w:space="0" w:color="000000"/>
                    <w:right w:val="single" w:sz="6" w:space="0" w:color="000000"/>
                  </w:tcBorders>
                  <w:shd w:val="clear" w:color="auto" w:fill="FFFFFF"/>
                </w:tcPr>
                <w:p w:rsidR="004A175F" w:rsidRPr="00F64F79" w:rsidRDefault="004A175F" w:rsidP="004A175F">
                  <w:pPr>
                    <w:jc w:val="both"/>
                    <w:rPr>
                      <w:rFonts w:eastAsia="Calibri"/>
                      <w:b/>
                      <w:bCs/>
                      <w:color w:val="000000"/>
                      <w:sz w:val="19"/>
                      <w:szCs w:val="19"/>
                      <w:lang w:eastAsia="en-US"/>
                    </w:rPr>
                  </w:pPr>
                  <w:r w:rsidRPr="00F64F79">
                    <w:rPr>
                      <w:rFonts w:eastAsia="Calibri"/>
                      <w:b/>
                      <w:bCs/>
                      <w:color w:val="000000"/>
                      <w:sz w:val="19"/>
                      <w:szCs w:val="19"/>
                      <w:lang w:eastAsia="en-US"/>
                    </w:rPr>
                    <w:t>874.736,00</w:t>
                  </w:r>
                </w:p>
              </w:tc>
            </w:tr>
          </w:tbl>
          <w:p w:rsidR="004A175F" w:rsidRPr="004A175F" w:rsidRDefault="004A175F" w:rsidP="004A175F">
            <w:pPr>
              <w:jc w:val="both"/>
              <w:rPr>
                <w:rFonts w:eastAsia="Calibri"/>
                <w:b/>
                <w:bCs/>
                <w:color w:val="000000"/>
                <w:sz w:val="21"/>
                <w:szCs w:val="21"/>
                <w:lang w:eastAsia="en-US"/>
              </w:rPr>
            </w:pPr>
          </w:p>
          <w:p w:rsidR="004A175F" w:rsidRPr="004A175F" w:rsidRDefault="004A175F" w:rsidP="009D551C">
            <w:pPr>
              <w:tabs>
                <w:tab w:val="left" w:pos="5024"/>
              </w:tabs>
              <w:jc w:val="both"/>
              <w:rPr>
                <w:rFonts w:eastAsia="Calibri"/>
                <w:color w:val="000000"/>
                <w:sz w:val="21"/>
                <w:szCs w:val="21"/>
                <w:lang w:eastAsia="en-US"/>
              </w:rPr>
            </w:pPr>
            <w:r w:rsidRPr="004A175F">
              <w:rPr>
                <w:rFonts w:eastAsia="Calibri"/>
                <w:color w:val="000000"/>
                <w:sz w:val="21"/>
                <w:szCs w:val="21"/>
                <w:lang w:eastAsia="en-US"/>
              </w:rPr>
              <w:t>Skumulowany zysk netto (2009</w:t>
            </w:r>
            <w:r w:rsidR="009D551C">
              <w:rPr>
                <w:rFonts w:eastAsia="Calibri"/>
                <w:color w:val="000000"/>
                <w:sz w:val="21"/>
                <w:szCs w:val="21"/>
                <w:lang w:eastAsia="en-US"/>
              </w:rPr>
              <w:t>–</w:t>
            </w:r>
            <w:r w:rsidRPr="004A175F">
              <w:rPr>
                <w:rFonts w:eastAsia="Calibri"/>
                <w:color w:val="000000"/>
                <w:sz w:val="21"/>
                <w:szCs w:val="21"/>
                <w:lang w:eastAsia="en-US"/>
              </w:rPr>
              <w:t>2014):</w:t>
            </w:r>
            <w:r w:rsidRPr="004A175F">
              <w:rPr>
                <w:rFonts w:eastAsia="Calibri"/>
                <w:color w:val="000000"/>
                <w:sz w:val="21"/>
                <w:szCs w:val="21"/>
                <w:lang w:eastAsia="en-US"/>
              </w:rPr>
              <w:tab/>
              <w:t>11.029.642 zł (średnio 2.205.928 zł rocznie)</w:t>
            </w:r>
          </w:p>
          <w:p w:rsidR="004A175F" w:rsidRPr="004A175F" w:rsidRDefault="004A175F" w:rsidP="009D551C">
            <w:pPr>
              <w:tabs>
                <w:tab w:val="left" w:pos="5117"/>
              </w:tabs>
              <w:jc w:val="both"/>
              <w:rPr>
                <w:rFonts w:eastAsia="Calibri"/>
                <w:color w:val="000000"/>
                <w:sz w:val="21"/>
                <w:szCs w:val="21"/>
                <w:lang w:eastAsia="en-US"/>
              </w:rPr>
            </w:pPr>
            <w:r w:rsidRPr="004A175F">
              <w:rPr>
                <w:rFonts w:eastAsia="Calibri"/>
                <w:color w:val="000000"/>
                <w:sz w:val="21"/>
                <w:szCs w:val="21"/>
                <w:lang w:eastAsia="en-US"/>
              </w:rPr>
              <w:t>Skumulowana wpłata do budżetu państwa (2009</w:t>
            </w:r>
            <w:r w:rsidR="009D551C">
              <w:rPr>
                <w:rFonts w:eastAsia="Calibri"/>
                <w:color w:val="000000"/>
                <w:sz w:val="21"/>
                <w:szCs w:val="21"/>
                <w:lang w:eastAsia="en-US"/>
              </w:rPr>
              <w:t>–</w:t>
            </w:r>
            <w:r w:rsidRPr="004A175F">
              <w:rPr>
                <w:rFonts w:eastAsia="Calibri"/>
                <w:color w:val="000000"/>
                <w:sz w:val="21"/>
                <w:szCs w:val="21"/>
                <w:lang w:eastAsia="en-US"/>
              </w:rPr>
              <w:t>2014):</w:t>
            </w:r>
            <w:r w:rsidRPr="004A175F">
              <w:rPr>
                <w:rFonts w:eastAsia="Calibri"/>
                <w:color w:val="000000"/>
                <w:sz w:val="21"/>
                <w:szCs w:val="21"/>
                <w:lang w:eastAsia="en-US"/>
              </w:rPr>
              <w:tab/>
              <w:t>3.308.892 zł (średnio 661.778 zł rocznie)</w:t>
            </w:r>
          </w:p>
          <w:p w:rsidR="004A175F" w:rsidRPr="004A175F" w:rsidRDefault="004A175F" w:rsidP="004A175F">
            <w:pPr>
              <w:jc w:val="both"/>
              <w:rPr>
                <w:rFonts w:eastAsia="Calibri"/>
                <w:color w:val="000000"/>
                <w:sz w:val="21"/>
                <w:szCs w:val="21"/>
                <w:lang w:eastAsia="en-US"/>
              </w:rPr>
            </w:pPr>
          </w:p>
          <w:p w:rsidR="004A175F" w:rsidRPr="004A175F" w:rsidRDefault="004A175F" w:rsidP="009D551C">
            <w:pPr>
              <w:jc w:val="both"/>
              <w:rPr>
                <w:rFonts w:eastAsia="Calibri"/>
                <w:color w:val="000000"/>
                <w:sz w:val="21"/>
                <w:szCs w:val="21"/>
                <w:lang w:eastAsia="en-US"/>
              </w:rPr>
            </w:pPr>
            <w:r w:rsidRPr="004A175F">
              <w:rPr>
                <w:rFonts w:eastAsia="Calibri"/>
                <w:color w:val="000000"/>
                <w:sz w:val="21"/>
                <w:szCs w:val="21"/>
                <w:lang w:eastAsia="en-US"/>
              </w:rPr>
              <w:t>W wyniku rezygnacji z wpłaty do budżetu państwa 30% zysku PCA nie przewiduje się obniżenia opłat za czynności związane z akredytacją. Zysk PCA, zgodnie z wytycznymi europejskimi, zostanie przeznaczony na rozwój działalności akredytacyjnej.</w:t>
            </w:r>
          </w:p>
        </w:tc>
      </w:tr>
      <w:tr w:rsidR="004A175F" w:rsidRPr="004A175F" w:rsidTr="008D1BDC">
        <w:trPr>
          <w:gridAfter w:val="1"/>
          <w:wAfter w:w="10" w:type="dxa"/>
          <w:trHeight w:val="345"/>
        </w:trPr>
        <w:tc>
          <w:tcPr>
            <w:tcW w:w="10795" w:type="dxa"/>
            <w:gridSpan w:val="21"/>
            <w:shd w:val="clear" w:color="auto" w:fill="99CCFF"/>
          </w:tcPr>
          <w:p w:rsidR="004A175F" w:rsidRPr="004A175F" w:rsidRDefault="004A175F" w:rsidP="004A175F">
            <w:pPr>
              <w:numPr>
                <w:ilvl w:val="0"/>
                <w:numId w:val="13"/>
              </w:numPr>
              <w:spacing w:before="120" w:after="120" w:line="276" w:lineRule="auto"/>
              <w:jc w:val="both"/>
              <w:rPr>
                <w:rFonts w:eastAsia="Calibri"/>
                <w:b/>
                <w:color w:val="000000"/>
                <w:spacing w:val="-2"/>
                <w:sz w:val="22"/>
                <w:szCs w:val="22"/>
                <w:lang w:eastAsia="en-US"/>
              </w:rPr>
            </w:pPr>
            <w:r w:rsidRPr="004A175F">
              <w:rPr>
                <w:rFonts w:eastAsia="Calibri"/>
                <w:b/>
                <w:color w:val="000000"/>
                <w:spacing w:val="-2"/>
                <w:sz w:val="22"/>
                <w:szCs w:val="22"/>
                <w:lang w:eastAsia="en-US"/>
              </w:rPr>
              <w:t xml:space="preserve">Wpływ na </w:t>
            </w:r>
            <w:r w:rsidRPr="004A175F">
              <w:rPr>
                <w:rFonts w:eastAsia="Calibri"/>
                <w:b/>
                <w:color w:val="000000"/>
                <w:sz w:val="22"/>
                <w:szCs w:val="22"/>
                <w:lang w:eastAsia="en-US"/>
              </w:rPr>
              <w:t xml:space="preserve">konkurencyjność gospodarki i przedsiębiorczość, w tym funkcjonowanie przedsiębiorców oraz na rodzinę, obywateli i gospodarstwa domowe </w:t>
            </w:r>
          </w:p>
        </w:tc>
      </w:tr>
      <w:tr w:rsidR="004A175F" w:rsidRPr="004A175F" w:rsidTr="008D1BDC">
        <w:trPr>
          <w:gridAfter w:val="1"/>
          <w:wAfter w:w="10" w:type="dxa"/>
          <w:trHeight w:val="142"/>
        </w:trPr>
        <w:tc>
          <w:tcPr>
            <w:tcW w:w="10795" w:type="dxa"/>
            <w:gridSpan w:val="21"/>
            <w:shd w:val="clear" w:color="auto" w:fill="FFFFFF"/>
          </w:tcPr>
          <w:p w:rsidR="004A175F" w:rsidRPr="004A175F" w:rsidRDefault="004A175F" w:rsidP="004A175F">
            <w:pPr>
              <w:jc w:val="center"/>
              <w:rPr>
                <w:rFonts w:eastAsia="Calibri"/>
                <w:color w:val="000000"/>
                <w:spacing w:val="-2"/>
                <w:sz w:val="21"/>
                <w:szCs w:val="21"/>
                <w:lang w:eastAsia="en-US"/>
              </w:rPr>
            </w:pPr>
            <w:r w:rsidRPr="004A175F">
              <w:rPr>
                <w:rFonts w:eastAsia="Calibri"/>
                <w:color w:val="000000"/>
                <w:spacing w:val="-2"/>
                <w:sz w:val="21"/>
                <w:szCs w:val="21"/>
                <w:lang w:eastAsia="en-US"/>
              </w:rPr>
              <w:t>Skutki</w:t>
            </w:r>
          </w:p>
        </w:tc>
      </w:tr>
      <w:tr w:rsidR="004A175F" w:rsidRPr="004A175F" w:rsidTr="008D1BDC">
        <w:trPr>
          <w:gridAfter w:val="1"/>
          <w:wAfter w:w="10" w:type="dxa"/>
          <w:trHeight w:val="142"/>
        </w:trPr>
        <w:tc>
          <w:tcPr>
            <w:tcW w:w="3403" w:type="dxa"/>
            <w:gridSpan w:val="5"/>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Czas w latach od wejścia w życie zmian</w:t>
            </w:r>
          </w:p>
        </w:tc>
        <w:tc>
          <w:tcPr>
            <w:tcW w:w="1134"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0</w:t>
            </w:r>
          </w:p>
        </w:tc>
        <w:tc>
          <w:tcPr>
            <w:tcW w:w="1134"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1</w:t>
            </w:r>
          </w:p>
        </w:tc>
        <w:tc>
          <w:tcPr>
            <w:tcW w:w="992"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2</w:t>
            </w:r>
          </w:p>
        </w:tc>
        <w:tc>
          <w:tcPr>
            <w:tcW w:w="992" w:type="dxa"/>
            <w:gridSpan w:val="3"/>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3</w:t>
            </w:r>
          </w:p>
        </w:tc>
        <w:tc>
          <w:tcPr>
            <w:tcW w:w="992"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5</w:t>
            </w:r>
          </w:p>
        </w:tc>
        <w:tc>
          <w:tcPr>
            <w:tcW w:w="993" w:type="dxa"/>
            <w:gridSpan w:val="2"/>
            <w:shd w:val="clear" w:color="auto" w:fill="FFFFFF"/>
          </w:tcPr>
          <w:p w:rsidR="004A175F" w:rsidRPr="004A175F" w:rsidRDefault="004A175F" w:rsidP="004A175F">
            <w:pPr>
              <w:jc w:val="center"/>
              <w:rPr>
                <w:rFonts w:eastAsia="Calibri"/>
                <w:color w:val="000000"/>
                <w:sz w:val="21"/>
                <w:szCs w:val="21"/>
                <w:lang w:eastAsia="en-US"/>
              </w:rPr>
            </w:pPr>
            <w:r w:rsidRPr="004A175F">
              <w:rPr>
                <w:rFonts w:eastAsia="Calibri"/>
                <w:color w:val="000000"/>
                <w:sz w:val="21"/>
                <w:szCs w:val="21"/>
                <w:lang w:eastAsia="en-US"/>
              </w:rPr>
              <w:t>10</w:t>
            </w:r>
          </w:p>
        </w:tc>
        <w:tc>
          <w:tcPr>
            <w:tcW w:w="1155" w:type="dxa"/>
            <w:shd w:val="clear" w:color="auto" w:fill="FFFFFF"/>
          </w:tcPr>
          <w:p w:rsidR="004A175F" w:rsidRPr="004A175F" w:rsidRDefault="004A175F" w:rsidP="009D551C">
            <w:pPr>
              <w:ind w:left="-17"/>
              <w:jc w:val="center"/>
              <w:rPr>
                <w:rFonts w:eastAsia="Calibri"/>
                <w:color w:val="000000"/>
                <w:spacing w:val="-2"/>
                <w:sz w:val="21"/>
                <w:szCs w:val="21"/>
                <w:lang w:eastAsia="en-US"/>
              </w:rPr>
            </w:pPr>
            <w:r w:rsidRPr="004A175F">
              <w:rPr>
                <w:rFonts w:eastAsia="Calibri"/>
                <w:color w:val="000000"/>
                <w:spacing w:val="-2"/>
                <w:sz w:val="21"/>
                <w:szCs w:val="21"/>
                <w:lang w:eastAsia="en-US"/>
              </w:rPr>
              <w:t>Łącznie</w:t>
            </w:r>
            <w:r w:rsidRPr="004A175F" w:rsidDel="0073273A">
              <w:rPr>
                <w:rFonts w:eastAsia="Calibri"/>
                <w:color w:val="000000"/>
                <w:spacing w:val="-2"/>
                <w:sz w:val="21"/>
                <w:szCs w:val="21"/>
                <w:lang w:eastAsia="en-US"/>
              </w:rPr>
              <w:t xml:space="preserve"> </w:t>
            </w:r>
            <w:r w:rsidRPr="004A175F">
              <w:rPr>
                <w:rFonts w:eastAsia="Calibri"/>
                <w:color w:val="000000"/>
                <w:spacing w:val="-2"/>
                <w:sz w:val="21"/>
                <w:szCs w:val="21"/>
                <w:lang w:eastAsia="en-US"/>
              </w:rPr>
              <w:t>(0</w:t>
            </w:r>
            <w:r w:rsidR="009D551C" w:rsidRPr="009D551C">
              <w:rPr>
                <w:rFonts w:eastAsia="Calibri"/>
                <w:color w:val="000000"/>
                <w:spacing w:val="-2"/>
                <w:sz w:val="21"/>
                <w:szCs w:val="21"/>
                <w:lang w:eastAsia="en-US"/>
              </w:rPr>
              <w:t>–</w:t>
            </w:r>
            <w:r w:rsidRPr="004A175F">
              <w:rPr>
                <w:rFonts w:eastAsia="Calibri"/>
                <w:color w:val="000000"/>
                <w:spacing w:val="-2"/>
                <w:sz w:val="21"/>
                <w:szCs w:val="21"/>
                <w:lang w:eastAsia="en-US"/>
              </w:rPr>
              <w:t>10)</w:t>
            </w:r>
          </w:p>
        </w:tc>
      </w:tr>
      <w:tr w:rsidR="004A175F" w:rsidRPr="004A175F" w:rsidTr="00F64F79">
        <w:trPr>
          <w:gridAfter w:val="1"/>
          <w:wAfter w:w="10" w:type="dxa"/>
          <w:trHeight w:val="333"/>
        </w:trPr>
        <w:tc>
          <w:tcPr>
            <w:tcW w:w="1318" w:type="dxa"/>
            <w:vMerge w:val="restart"/>
            <w:shd w:val="clear" w:color="auto" w:fill="FFFFFF"/>
          </w:tcPr>
          <w:p w:rsidR="004A175F" w:rsidRPr="004A175F" w:rsidRDefault="004A175F" w:rsidP="004A175F">
            <w:pPr>
              <w:spacing w:line="276" w:lineRule="auto"/>
              <w:rPr>
                <w:rFonts w:eastAsia="Calibri"/>
                <w:color w:val="000000"/>
                <w:sz w:val="21"/>
                <w:szCs w:val="21"/>
                <w:lang w:eastAsia="en-US"/>
              </w:rPr>
            </w:pPr>
            <w:r w:rsidRPr="004A175F">
              <w:rPr>
                <w:rFonts w:eastAsia="Calibri"/>
                <w:color w:val="000000"/>
                <w:sz w:val="21"/>
                <w:szCs w:val="21"/>
                <w:lang w:eastAsia="en-US"/>
              </w:rPr>
              <w:t>W ujęciu pieniężnym</w:t>
            </w:r>
          </w:p>
          <w:p w:rsidR="004A175F" w:rsidRPr="004A175F" w:rsidRDefault="004A175F" w:rsidP="004A175F">
            <w:pPr>
              <w:spacing w:line="276" w:lineRule="auto"/>
              <w:rPr>
                <w:rFonts w:eastAsia="Calibri"/>
                <w:spacing w:val="-2"/>
                <w:sz w:val="21"/>
                <w:szCs w:val="21"/>
                <w:lang w:eastAsia="en-US"/>
              </w:rPr>
            </w:pPr>
            <w:r w:rsidRPr="004A175F">
              <w:rPr>
                <w:rFonts w:eastAsia="Calibri"/>
                <w:spacing w:val="-2"/>
                <w:sz w:val="21"/>
                <w:szCs w:val="21"/>
                <w:lang w:eastAsia="en-US"/>
              </w:rPr>
              <w:t xml:space="preserve">(w mln zł, </w:t>
            </w:r>
          </w:p>
          <w:p w:rsidR="004A175F" w:rsidRPr="004A175F" w:rsidRDefault="004A175F" w:rsidP="004A175F">
            <w:pPr>
              <w:rPr>
                <w:rFonts w:eastAsia="Calibri"/>
                <w:color w:val="000000"/>
                <w:sz w:val="21"/>
                <w:szCs w:val="21"/>
                <w:lang w:eastAsia="en-US"/>
              </w:rPr>
            </w:pPr>
            <w:r w:rsidRPr="004A175F">
              <w:rPr>
                <w:rFonts w:eastAsia="Calibri"/>
                <w:spacing w:val="-2"/>
                <w:sz w:val="21"/>
                <w:szCs w:val="21"/>
                <w:lang w:eastAsia="en-US"/>
              </w:rPr>
              <w:t>ceny stałe z</w:t>
            </w:r>
            <w:r w:rsidR="003D151B">
              <w:rPr>
                <w:rFonts w:eastAsia="Calibri"/>
                <w:spacing w:val="-2"/>
                <w:sz w:val="21"/>
                <w:szCs w:val="21"/>
                <w:lang w:eastAsia="en-US"/>
              </w:rPr>
              <w:t> </w:t>
            </w:r>
            <w:r w:rsidRPr="004A175F">
              <w:rPr>
                <w:rFonts w:eastAsia="Calibri"/>
                <w:spacing w:val="-2"/>
                <w:sz w:val="21"/>
                <w:szCs w:val="21"/>
                <w:lang w:eastAsia="en-US"/>
              </w:rPr>
              <w:t>2013 r.)</w:t>
            </w: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duże przedsiębiorstwa</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3"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55" w:type="dxa"/>
            <w:shd w:val="clear" w:color="auto" w:fill="FFFFFF"/>
          </w:tcPr>
          <w:p w:rsidR="004A175F" w:rsidRPr="004A175F" w:rsidRDefault="004A175F" w:rsidP="004A175F">
            <w:pPr>
              <w:rPr>
                <w:rFonts w:eastAsia="Calibri"/>
                <w:color w:val="000000"/>
                <w:spacing w:val="-2"/>
                <w:sz w:val="21"/>
                <w:szCs w:val="21"/>
                <w:lang w:eastAsia="en-US"/>
              </w:rPr>
            </w:pPr>
            <w:r w:rsidRPr="004A175F">
              <w:rPr>
                <w:rFonts w:eastAsia="Calibri"/>
                <w:color w:val="000000"/>
                <w:spacing w:val="-2"/>
                <w:sz w:val="21"/>
                <w:szCs w:val="21"/>
                <w:lang w:eastAsia="en-US"/>
              </w:rPr>
              <w:t>0</w:t>
            </w:r>
          </w:p>
        </w:tc>
      </w:tr>
      <w:tr w:rsidR="004A175F" w:rsidRPr="004A175F" w:rsidTr="008E5176">
        <w:trPr>
          <w:gridAfter w:val="1"/>
          <w:wAfter w:w="10" w:type="dxa"/>
          <w:trHeight w:val="333"/>
        </w:trPr>
        <w:tc>
          <w:tcPr>
            <w:tcW w:w="1318" w:type="dxa"/>
            <w:vMerge/>
            <w:shd w:val="clear" w:color="auto" w:fill="FFFFFF"/>
          </w:tcPr>
          <w:p w:rsidR="004A175F" w:rsidRPr="004A175F" w:rsidRDefault="004A175F" w:rsidP="004A175F">
            <w:pPr>
              <w:spacing w:line="276" w:lineRule="auto"/>
              <w:rPr>
                <w:rFonts w:eastAsia="Calibri"/>
                <w:color w:val="000000"/>
                <w:sz w:val="21"/>
                <w:szCs w:val="21"/>
                <w:lang w:eastAsia="en-US"/>
              </w:rPr>
            </w:pP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sektor mikro-, małych i średnich przedsiębiorstw</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3"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55" w:type="dxa"/>
            <w:shd w:val="clear" w:color="auto" w:fill="FFFFFF"/>
          </w:tcPr>
          <w:p w:rsidR="004A175F" w:rsidRPr="004A175F" w:rsidRDefault="004A175F" w:rsidP="004A175F">
            <w:pPr>
              <w:rPr>
                <w:rFonts w:eastAsia="Calibri"/>
                <w:color w:val="000000"/>
                <w:spacing w:val="-2"/>
                <w:sz w:val="21"/>
                <w:szCs w:val="21"/>
                <w:lang w:eastAsia="en-US"/>
              </w:rPr>
            </w:pPr>
            <w:r w:rsidRPr="004A175F">
              <w:rPr>
                <w:rFonts w:eastAsia="Calibri"/>
                <w:color w:val="000000"/>
                <w:spacing w:val="-2"/>
                <w:sz w:val="21"/>
                <w:szCs w:val="21"/>
                <w:lang w:eastAsia="en-US"/>
              </w:rPr>
              <w:t>0</w:t>
            </w:r>
          </w:p>
        </w:tc>
      </w:tr>
      <w:tr w:rsidR="004A175F" w:rsidRPr="004A175F" w:rsidTr="008E5176">
        <w:trPr>
          <w:gridAfter w:val="1"/>
          <w:wAfter w:w="10" w:type="dxa"/>
          <w:trHeight w:val="960"/>
        </w:trPr>
        <w:tc>
          <w:tcPr>
            <w:tcW w:w="1318" w:type="dxa"/>
            <w:vMerge/>
            <w:shd w:val="clear" w:color="auto" w:fill="FFFFFF"/>
          </w:tcPr>
          <w:p w:rsidR="004A175F" w:rsidRPr="004A175F" w:rsidRDefault="004A175F" w:rsidP="004A175F">
            <w:pPr>
              <w:rPr>
                <w:rFonts w:eastAsia="Calibri"/>
                <w:color w:val="000000"/>
                <w:sz w:val="21"/>
                <w:szCs w:val="21"/>
                <w:lang w:eastAsia="en-US"/>
              </w:rPr>
            </w:pP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sz w:val="21"/>
                <w:szCs w:val="21"/>
                <w:lang w:eastAsia="en-US"/>
              </w:rPr>
              <w:t>rodzina, obywatele oraz gospodarstwa domowe</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34"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3"/>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2"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993" w:type="dxa"/>
            <w:gridSpan w:val="2"/>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0</w:t>
            </w:r>
          </w:p>
        </w:tc>
        <w:tc>
          <w:tcPr>
            <w:tcW w:w="1155" w:type="dxa"/>
            <w:shd w:val="clear" w:color="auto" w:fill="FFFFFF"/>
          </w:tcPr>
          <w:p w:rsidR="004A175F" w:rsidRPr="004A175F" w:rsidRDefault="004A175F" w:rsidP="004A175F">
            <w:pPr>
              <w:rPr>
                <w:rFonts w:eastAsia="Calibri"/>
                <w:color w:val="000000"/>
                <w:spacing w:val="-2"/>
                <w:sz w:val="21"/>
                <w:szCs w:val="21"/>
                <w:lang w:eastAsia="en-US"/>
              </w:rPr>
            </w:pPr>
            <w:r w:rsidRPr="004A175F">
              <w:rPr>
                <w:rFonts w:eastAsia="Calibri"/>
                <w:color w:val="000000"/>
                <w:spacing w:val="-2"/>
                <w:sz w:val="21"/>
                <w:szCs w:val="21"/>
                <w:lang w:eastAsia="en-US"/>
              </w:rPr>
              <w:t>0</w:t>
            </w:r>
          </w:p>
        </w:tc>
      </w:tr>
      <w:tr w:rsidR="004A175F" w:rsidRPr="004A175F" w:rsidTr="008E5176">
        <w:trPr>
          <w:gridAfter w:val="1"/>
          <w:wAfter w:w="10" w:type="dxa"/>
          <w:trHeight w:val="435"/>
        </w:trPr>
        <w:tc>
          <w:tcPr>
            <w:tcW w:w="1318" w:type="dxa"/>
            <w:vMerge w:val="restart"/>
            <w:shd w:val="clear" w:color="auto" w:fill="FFFFFF"/>
          </w:tcPr>
          <w:p w:rsidR="004A175F" w:rsidRPr="004A175F" w:rsidRDefault="004A175F" w:rsidP="009D551C">
            <w:pPr>
              <w:ind w:left="-64" w:right="-109"/>
              <w:rPr>
                <w:rFonts w:eastAsia="Calibri"/>
                <w:color w:val="000000"/>
                <w:sz w:val="21"/>
                <w:szCs w:val="21"/>
                <w:lang w:eastAsia="en-US"/>
              </w:rPr>
            </w:pPr>
            <w:r w:rsidRPr="004A175F">
              <w:rPr>
                <w:rFonts w:eastAsia="Calibri"/>
                <w:color w:val="000000"/>
                <w:sz w:val="21"/>
                <w:szCs w:val="21"/>
                <w:lang w:eastAsia="en-US"/>
              </w:rPr>
              <w:lastRenderedPageBreak/>
              <w:t>W ujęciu niepieniężnym</w:t>
            </w: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duże przedsiębiorstwa</w:t>
            </w:r>
          </w:p>
        </w:tc>
        <w:tc>
          <w:tcPr>
            <w:tcW w:w="7392" w:type="dxa"/>
            <w:gridSpan w:val="16"/>
            <w:shd w:val="clear" w:color="auto" w:fill="FFFFFF"/>
          </w:tcPr>
          <w:p w:rsidR="004A175F" w:rsidRPr="004A175F" w:rsidRDefault="004A175F" w:rsidP="009D551C">
            <w:pPr>
              <w:jc w:val="both"/>
              <w:rPr>
                <w:rFonts w:eastAsia="Calibri"/>
                <w:color w:val="000000"/>
                <w:spacing w:val="-2"/>
                <w:sz w:val="21"/>
                <w:szCs w:val="21"/>
                <w:lang w:eastAsia="en-US"/>
              </w:rPr>
            </w:pPr>
            <w:r w:rsidRPr="004A175F">
              <w:rPr>
                <w:rFonts w:eastAsia="Calibri"/>
                <w:color w:val="000000"/>
                <w:spacing w:val="-2"/>
                <w:sz w:val="21"/>
                <w:szCs w:val="21"/>
                <w:lang w:eastAsia="en-US"/>
              </w:rPr>
              <w:t xml:space="preserve">Doprecyzowanie obowiązków podmiotów gospodarczych oraz umożliwienie ich identyfikacji w łańcuchu dystrybucji ułatwi przedsiębiorcom stosowanie przepisów prawnych. </w:t>
            </w:r>
          </w:p>
        </w:tc>
      </w:tr>
      <w:tr w:rsidR="004A175F" w:rsidRPr="004A175F" w:rsidTr="008E5176">
        <w:trPr>
          <w:gridAfter w:val="1"/>
          <w:wAfter w:w="10" w:type="dxa"/>
          <w:trHeight w:val="434"/>
        </w:trPr>
        <w:tc>
          <w:tcPr>
            <w:tcW w:w="1318" w:type="dxa"/>
            <w:vMerge/>
            <w:shd w:val="clear" w:color="auto" w:fill="FFFFFF"/>
          </w:tcPr>
          <w:p w:rsidR="004A175F" w:rsidRPr="004A175F" w:rsidRDefault="004A175F" w:rsidP="004A175F">
            <w:pPr>
              <w:rPr>
                <w:rFonts w:eastAsia="Calibri"/>
                <w:color w:val="000000"/>
                <w:sz w:val="21"/>
                <w:szCs w:val="21"/>
                <w:lang w:eastAsia="en-US"/>
              </w:rPr>
            </w:pP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sektor mikro-, małych i średnich przedsiębiorstw</w:t>
            </w:r>
          </w:p>
        </w:tc>
        <w:tc>
          <w:tcPr>
            <w:tcW w:w="7392" w:type="dxa"/>
            <w:gridSpan w:val="16"/>
            <w:shd w:val="clear" w:color="auto" w:fill="FFFFFF"/>
          </w:tcPr>
          <w:p w:rsidR="004A175F" w:rsidRPr="004A175F" w:rsidRDefault="004A175F" w:rsidP="009D551C">
            <w:pPr>
              <w:jc w:val="both"/>
              <w:rPr>
                <w:rFonts w:eastAsia="Calibri"/>
                <w:color w:val="000000"/>
                <w:spacing w:val="-2"/>
                <w:sz w:val="21"/>
                <w:szCs w:val="21"/>
                <w:lang w:eastAsia="en-US"/>
              </w:rPr>
            </w:pPr>
            <w:r w:rsidRPr="004A175F">
              <w:rPr>
                <w:rFonts w:eastAsia="Calibri"/>
                <w:color w:val="000000"/>
                <w:spacing w:val="-2"/>
                <w:sz w:val="21"/>
                <w:szCs w:val="21"/>
                <w:lang w:eastAsia="en-US"/>
              </w:rPr>
              <w:t xml:space="preserve">Jasne sprecyzowanie obowiązków podmiotów gospodarczych oraz umożliwienie ich identyfikacji w łańcuchu dystrybucji ułatwi przedsiębiorcom stosowanie przepisów prawnych. </w:t>
            </w:r>
          </w:p>
        </w:tc>
      </w:tr>
      <w:tr w:rsidR="004A175F" w:rsidRPr="004A175F" w:rsidTr="008E5176">
        <w:trPr>
          <w:gridAfter w:val="1"/>
          <w:wAfter w:w="10" w:type="dxa"/>
          <w:trHeight w:val="596"/>
        </w:trPr>
        <w:tc>
          <w:tcPr>
            <w:tcW w:w="1318" w:type="dxa"/>
            <w:vMerge/>
            <w:shd w:val="clear" w:color="auto" w:fill="FFFFFF"/>
          </w:tcPr>
          <w:p w:rsidR="004A175F" w:rsidRPr="004A175F" w:rsidRDefault="004A175F" w:rsidP="004A175F">
            <w:pPr>
              <w:rPr>
                <w:rFonts w:eastAsia="Calibri"/>
                <w:color w:val="000000"/>
                <w:sz w:val="21"/>
                <w:szCs w:val="21"/>
                <w:lang w:eastAsia="en-US"/>
              </w:rPr>
            </w:pPr>
          </w:p>
        </w:tc>
        <w:tc>
          <w:tcPr>
            <w:tcW w:w="2085" w:type="dxa"/>
            <w:gridSpan w:val="4"/>
            <w:shd w:val="clear" w:color="auto" w:fill="FFFFFF"/>
          </w:tcPr>
          <w:p w:rsidR="004A175F" w:rsidRPr="004A175F" w:rsidRDefault="004A175F" w:rsidP="004A175F">
            <w:pPr>
              <w:tabs>
                <w:tab w:val="right" w:pos="1936"/>
              </w:tabs>
              <w:rPr>
                <w:rFonts w:eastAsia="Calibri"/>
                <w:color w:val="000000"/>
                <w:sz w:val="21"/>
                <w:szCs w:val="21"/>
                <w:lang w:eastAsia="en-US"/>
              </w:rPr>
            </w:pPr>
            <w:r w:rsidRPr="004A175F">
              <w:rPr>
                <w:rFonts w:eastAsia="Calibri"/>
                <w:sz w:val="21"/>
                <w:szCs w:val="21"/>
                <w:lang w:eastAsia="en-US"/>
              </w:rPr>
              <w:t>rodzina, obywatele oraz gospodarstwa domowe</w:t>
            </w:r>
            <w:r w:rsidRPr="004A175F">
              <w:rPr>
                <w:rFonts w:eastAsia="Calibri"/>
                <w:color w:val="000000"/>
                <w:sz w:val="21"/>
                <w:szCs w:val="21"/>
                <w:lang w:eastAsia="en-US"/>
              </w:rPr>
              <w:t xml:space="preserve"> </w:t>
            </w:r>
          </w:p>
        </w:tc>
        <w:tc>
          <w:tcPr>
            <w:tcW w:w="7392" w:type="dxa"/>
            <w:gridSpan w:val="16"/>
            <w:shd w:val="clear" w:color="auto" w:fill="FFFFFF"/>
          </w:tcPr>
          <w:p w:rsidR="004A175F" w:rsidRPr="004A175F" w:rsidRDefault="004A175F" w:rsidP="009D551C">
            <w:pPr>
              <w:jc w:val="both"/>
              <w:rPr>
                <w:rFonts w:eastAsia="Calibri"/>
                <w:color w:val="000000"/>
                <w:spacing w:val="-2"/>
                <w:sz w:val="21"/>
                <w:szCs w:val="21"/>
                <w:lang w:eastAsia="en-US"/>
              </w:rPr>
            </w:pPr>
            <w:r w:rsidRPr="004A175F">
              <w:rPr>
                <w:rFonts w:eastAsia="Calibri"/>
                <w:color w:val="000000"/>
                <w:spacing w:val="-2"/>
                <w:sz w:val="21"/>
                <w:szCs w:val="21"/>
                <w:lang w:eastAsia="en-US"/>
              </w:rPr>
              <w:t>Prawidłowo funkcjonujący system oceny zgodności to eliminacja wszelkich zagrożeń, jakie stwarzają wyroby zarówno dla konsumentów, jak i środowiska, a także znoszenie barier technicznych w handlu i ułatwienie międzynarodowego obrotu towarowego.</w:t>
            </w:r>
          </w:p>
        </w:tc>
      </w:tr>
      <w:tr w:rsidR="004A175F" w:rsidRPr="004A175F" w:rsidTr="008E5176">
        <w:trPr>
          <w:gridAfter w:val="1"/>
          <w:wAfter w:w="10" w:type="dxa"/>
          <w:trHeight w:val="142"/>
        </w:trPr>
        <w:tc>
          <w:tcPr>
            <w:tcW w:w="1318" w:type="dxa"/>
            <w:vMerge w:val="restart"/>
            <w:shd w:val="clear" w:color="auto" w:fill="FFFFFF"/>
          </w:tcPr>
          <w:p w:rsidR="004A175F" w:rsidRPr="004A175F" w:rsidRDefault="004A175F" w:rsidP="009D551C">
            <w:pPr>
              <w:ind w:left="-50" w:right="-66"/>
              <w:rPr>
                <w:rFonts w:eastAsia="Calibri"/>
                <w:color w:val="000000"/>
                <w:sz w:val="21"/>
                <w:szCs w:val="21"/>
                <w:lang w:eastAsia="en-US"/>
              </w:rPr>
            </w:pPr>
            <w:r w:rsidRPr="004A175F">
              <w:rPr>
                <w:rFonts w:eastAsia="Calibri"/>
                <w:color w:val="000000"/>
                <w:sz w:val="21"/>
                <w:szCs w:val="21"/>
                <w:lang w:eastAsia="en-US"/>
              </w:rPr>
              <w:t>Niemierzalne</w:t>
            </w: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 xml:space="preserve">Przedsiębiorstwa </w:t>
            </w:r>
          </w:p>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(producent, importer, dystrybutor)</w:t>
            </w:r>
          </w:p>
          <w:p w:rsidR="004A175F" w:rsidRPr="004A175F" w:rsidRDefault="004A175F" w:rsidP="004A175F">
            <w:pPr>
              <w:rPr>
                <w:rFonts w:eastAsia="Calibri"/>
                <w:color w:val="000000"/>
                <w:sz w:val="21"/>
                <w:szCs w:val="21"/>
                <w:lang w:eastAsia="en-US"/>
              </w:rPr>
            </w:pPr>
          </w:p>
        </w:tc>
        <w:tc>
          <w:tcPr>
            <w:tcW w:w="7392" w:type="dxa"/>
            <w:gridSpan w:val="16"/>
            <w:shd w:val="clear" w:color="auto" w:fill="FFFFFF"/>
          </w:tcPr>
          <w:p w:rsidR="004A175F" w:rsidRPr="004A175F" w:rsidRDefault="004A175F" w:rsidP="009D551C">
            <w:pPr>
              <w:jc w:val="both"/>
              <w:rPr>
                <w:rFonts w:eastAsia="Calibri"/>
                <w:bCs/>
                <w:color w:val="000000"/>
                <w:spacing w:val="-2"/>
                <w:sz w:val="21"/>
                <w:szCs w:val="21"/>
                <w:lang w:eastAsia="en-US"/>
              </w:rPr>
            </w:pPr>
            <w:r w:rsidRPr="004A175F">
              <w:rPr>
                <w:rFonts w:eastAsia="Calibri"/>
                <w:bCs/>
                <w:color w:val="000000"/>
                <w:spacing w:val="-2"/>
                <w:sz w:val="21"/>
                <w:szCs w:val="21"/>
                <w:lang w:eastAsia="en-US"/>
              </w:rPr>
              <w:t xml:space="preserve">Funkcjonowanie systemu oceny zgodności wg zasad obowiązujących w Unii Europejskiej gwarantuje przedsiębiorcom prawo do korzystania z traktatowej zasady swobodnego przepływu towarów, zatem </w:t>
            </w:r>
            <w:r w:rsidRPr="004A175F">
              <w:rPr>
                <w:rFonts w:eastAsia="Calibri"/>
                <w:color w:val="000000"/>
                <w:spacing w:val="-2"/>
                <w:sz w:val="21"/>
                <w:szCs w:val="21"/>
                <w:lang w:eastAsia="en-US"/>
              </w:rPr>
              <w:t>dostosowanie prawa krajowego do regulacji unijnych zapewni polskim przedsiębiorcom prawo do swobodnego obrotu wytworzonymi/importowanymi wyrobami.</w:t>
            </w:r>
          </w:p>
        </w:tc>
      </w:tr>
      <w:tr w:rsidR="004A175F" w:rsidRPr="004A175F" w:rsidTr="008E5176">
        <w:trPr>
          <w:gridAfter w:val="1"/>
          <w:wAfter w:w="10" w:type="dxa"/>
          <w:trHeight w:val="142"/>
        </w:trPr>
        <w:tc>
          <w:tcPr>
            <w:tcW w:w="1318" w:type="dxa"/>
            <w:vMerge/>
            <w:shd w:val="clear" w:color="auto" w:fill="FFFFFF"/>
          </w:tcPr>
          <w:p w:rsidR="004A175F" w:rsidRPr="004A175F" w:rsidRDefault="004A175F" w:rsidP="004A175F">
            <w:pPr>
              <w:rPr>
                <w:rFonts w:eastAsia="Calibri"/>
                <w:color w:val="000000"/>
                <w:sz w:val="21"/>
                <w:szCs w:val="21"/>
                <w:lang w:eastAsia="en-US"/>
              </w:rPr>
            </w:pPr>
          </w:p>
        </w:tc>
        <w:tc>
          <w:tcPr>
            <w:tcW w:w="2085" w:type="dxa"/>
            <w:gridSpan w:val="4"/>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Polskie jednostki notyfikowane:</w:t>
            </w:r>
          </w:p>
        </w:tc>
        <w:tc>
          <w:tcPr>
            <w:tcW w:w="7392" w:type="dxa"/>
            <w:gridSpan w:val="16"/>
            <w:shd w:val="clear" w:color="auto" w:fill="FFFFFF"/>
          </w:tcPr>
          <w:p w:rsidR="004A175F" w:rsidRPr="004A175F" w:rsidRDefault="004A175F" w:rsidP="002760BC">
            <w:pPr>
              <w:jc w:val="both"/>
              <w:rPr>
                <w:rFonts w:eastAsia="Calibri"/>
                <w:color w:val="000000"/>
                <w:spacing w:val="-2"/>
                <w:sz w:val="21"/>
                <w:szCs w:val="21"/>
                <w:lang w:eastAsia="en-US"/>
              </w:rPr>
            </w:pPr>
            <w:r w:rsidRPr="004A175F">
              <w:rPr>
                <w:rFonts w:eastAsia="Calibri"/>
                <w:color w:val="000000"/>
                <w:spacing w:val="-2"/>
                <w:sz w:val="21"/>
                <w:szCs w:val="21"/>
                <w:lang w:eastAsia="en-US"/>
              </w:rPr>
              <w:t>Spełnianie przez polskie jednostki oceniające zgodność wymagań określonych w projekcie ustawy o systemie oceny zgodności oraz ich notyfikacja w zakresie poszczególnych dyrektyw umożliwia świadczenie usług w zakresie oceny zgodności na rzecz polskich, jak i zagranicznych podmiotów.</w:t>
            </w:r>
          </w:p>
        </w:tc>
      </w:tr>
      <w:tr w:rsidR="004A175F" w:rsidRPr="004A175F" w:rsidTr="008E5176">
        <w:trPr>
          <w:gridAfter w:val="1"/>
          <w:wAfter w:w="10" w:type="dxa"/>
          <w:trHeight w:val="1266"/>
        </w:trPr>
        <w:tc>
          <w:tcPr>
            <w:tcW w:w="1318" w:type="dxa"/>
            <w:shd w:val="clear" w:color="auto" w:fill="FFFFFF"/>
          </w:tcPr>
          <w:p w:rsidR="004A175F" w:rsidRPr="004A175F" w:rsidRDefault="004A175F" w:rsidP="004A175F">
            <w:pPr>
              <w:rPr>
                <w:rFonts w:eastAsia="Calibri"/>
                <w:color w:val="000000"/>
                <w:sz w:val="21"/>
                <w:szCs w:val="21"/>
                <w:lang w:eastAsia="en-US"/>
              </w:rPr>
            </w:pPr>
            <w:r w:rsidRPr="004A175F">
              <w:rPr>
                <w:rFonts w:eastAsia="Calibri"/>
                <w:color w:val="000000"/>
                <w:sz w:val="21"/>
                <w:szCs w:val="21"/>
                <w:lang w:eastAsia="en-US"/>
              </w:rPr>
              <w:t xml:space="preserve">Dodatkowe informacje, w tym wskazanie źródeł danych i przyjętych do obliczeń założeń </w:t>
            </w:r>
          </w:p>
        </w:tc>
        <w:tc>
          <w:tcPr>
            <w:tcW w:w="9477" w:type="dxa"/>
            <w:gridSpan w:val="20"/>
            <w:shd w:val="clear" w:color="auto" w:fill="FFFFFF"/>
            <w:vAlign w:val="center"/>
          </w:tcPr>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 Dane uzyskane z Głównego Urzędu Statystycznego, należy zaznaczyć jednak, że żadna z nomenklatur stosowanych przez organy statystki państwowej (PKWiU, CN, SITC) nie jest spójna z nazewnictwem stosowanym w dyrektywach sektorowych. W związku z tym przedstawione dane mają charakter mocno szacunkowy, w szczególności nie odzwierciedlają grup produktów w taki sam sposób</w:t>
            </w:r>
            <w:r w:rsidR="003D151B">
              <w:rPr>
                <w:rFonts w:eastAsia="Calibri"/>
                <w:color w:val="000000"/>
                <w:sz w:val="21"/>
                <w:szCs w:val="21"/>
                <w:lang w:eastAsia="en-US"/>
              </w:rPr>
              <w:t>,</w:t>
            </w:r>
            <w:r w:rsidRPr="004A175F">
              <w:rPr>
                <w:rFonts w:eastAsia="Calibri"/>
                <w:color w:val="000000"/>
                <w:sz w:val="21"/>
                <w:szCs w:val="21"/>
                <w:lang w:eastAsia="en-US"/>
              </w:rPr>
              <w:t xml:space="preserve"> jak czynią to akty prawne. </w:t>
            </w:r>
          </w:p>
          <w:p w:rsidR="004A175F" w:rsidRPr="004A175F" w:rsidRDefault="004A175F" w:rsidP="004A175F">
            <w:pPr>
              <w:jc w:val="both"/>
              <w:rPr>
                <w:rFonts w:eastAsia="Calibri"/>
                <w:color w:val="000000"/>
                <w:sz w:val="21"/>
                <w:szCs w:val="21"/>
                <w:lang w:eastAsia="en-US"/>
              </w:rPr>
            </w:pPr>
            <w:r w:rsidRPr="004A175F">
              <w:rPr>
                <w:rFonts w:eastAsia="Calibri"/>
                <w:color w:val="000000"/>
                <w:sz w:val="21"/>
                <w:szCs w:val="21"/>
                <w:lang w:eastAsia="en-US"/>
              </w:rPr>
              <w:t>Najtrudniejsza do interpretacji ze względu na duży stopień zagregowania danych jest Polska Klasyfikacja Wyrobów i Usług (PKWiU) stosowana w odniesieniu do produkcji. Przyjęto, że spośród działów PKWiU, ujętych w zagregowanych danych statystycznych, do działów, objętych przepisami dyrektyw sektorowych, należy zaliczyć następujące:</w:t>
            </w:r>
          </w:p>
          <w:p w:rsidR="004A175F" w:rsidRPr="004A175F" w:rsidRDefault="004A175F" w:rsidP="004A175F">
            <w:pPr>
              <w:numPr>
                <w:ilvl w:val="0"/>
                <w:numId w:val="17"/>
              </w:numPr>
              <w:spacing w:line="276" w:lineRule="auto"/>
              <w:jc w:val="both"/>
              <w:rPr>
                <w:rFonts w:eastAsia="Calibri"/>
                <w:color w:val="000000"/>
                <w:sz w:val="21"/>
                <w:szCs w:val="21"/>
                <w:lang w:eastAsia="en-US"/>
              </w:rPr>
            </w:pPr>
            <w:r w:rsidRPr="004A175F">
              <w:rPr>
                <w:rFonts w:eastAsia="Calibri"/>
                <w:color w:val="000000"/>
                <w:sz w:val="21"/>
                <w:szCs w:val="21"/>
                <w:lang w:eastAsia="en-US"/>
              </w:rPr>
              <w:t>produkcja komputerów, wyrobów elektronicznych i optycznych,</w:t>
            </w:r>
          </w:p>
          <w:p w:rsidR="004A175F" w:rsidRPr="004A175F" w:rsidRDefault="004A175F" w:rsidP="004A175F">
            <w:pPr>
              <w:numPr>
                <w:ilvl w:val="0"/>
                <w:numId w:val="17"/>
              </w:numPr>
              <w:spacing w:line="276" w:lineRule="auto"/>
              <w:jc w:val="both"/>
              <w:rPr>
                <w:rFonts w:eastAsia="Calibri"/>
                <w:color w:val="000000"/>
                <w:sz w:val="21"/>
                <w:szCs w:val="21"/>
                <w:lang w:eastAsia="en-US"/>
              </w:rPr>
            </w:pPr>
            <w:r w:rsidRPr="004A175F">
              <w:rPr>
                <w:rFonts w:eastAsia="Calibri"/>
                <w:color w:val="000000"/>
                <w:sz w:val="21"/>
                <w:szCs w:val="21"/>
                <w:lang w:eastAsia="en-US"/>
              </w:rPr>
              <w:t>produkcja urządzeń elektrycznych,</w:t>
            </w:r>
          </w:p>
          <w:p w:rsidR="004A175F" w:rsidRPr="004A175F" w:rsidRDefault="004A175F" w:rsidP="004A175F">
            <w:pPr>
              <w:numPr>
                <w:ilvl w:val="0"/>
                <w:numId w:val="17"/>
              </w:numPr>
              <w:spacing w:line="276" w:lineRule="auto"/>
              <w:jc w:val="both"/>
              <w:rPr>
                <w:rFonts w:eastAsia="Calibri"/>
                <w:color w:val="000000"/>
                <w:sz w:val="21"/>
                <w:szCs w:val="21"/>
                <w:lang w:eastAsia="en-US"/>
              </w:rPr>
            </w:pPr>
            <w:r w:rsidRPr="004A175F">
              <w:rPr>
                <w:rFonts w:eastAsia="Calibri"/>
                <w:color w:val="000000"/>
                <w:sz w:val="21"/>
                <w:szCs w:val="21"/>
                <w:lang w:eastAsia="en-US"/>
              </w:rPr>
              <w:t>produkcja maszyn i urządzeń,</w:t>
            </w:r>
          </w:p>
          <w:p w:rsidR="004A175F" w:rsidRPr="004A175F" w:rsidRDefault="004A175F" w:rsidP="009D551C">
            <w:pPr>
              <w:numPr>
                <w:ilvl w:val="0"/>
                <w:numId w:val="17"/>
              </w:numPr>
              <w:spacing w:line="276" w:lineRule="auto"/>
              <w:jc w:val="both"/>
              <w:rPr>
                <w:rFonts w:eastAsia="Calibri"/>
                <w:color w:val="000000"/>
                <w:sz w:val="21"/>
                <w:szCs w:val="21"/>
                <w:lang w:eastAsia="en-US"/>
              </w:rPr>
            </w:pPr>
            <w:r w:rsidRPr="004A175F">
              <w:rPr>
                <w:rFonts w:eastAsia="Calibri"/>
                <w:color w:val="000000"/>
                <w:sz w:val="21"/>
                <w:szCs w:val="21"/>
                <w:lang w:eastAsia="en-US"/>
              </w:rPr>
              <w:t>naprawa, konserwacja i instalowanie maszyn i urządzeń.</w:t>
            </w:r>
          </w:p>
        </w:tc>
      </w:tr>
      <w:tr w:rsidR="004A175F" w:rsidRPr="004A175F" w:rsidTr="008E5176">
        <w:trPr>
          <w:gridAfter w:val="1"/>
          <w:wAfter w:w="10" w:type="dxa"/>
          <w:trHeight w:val="342"/>
        </w:trPr>
        <w:tc>
          <w:tcPr>
            <w:tcW w:w="10795" w:type="dxa"/>
            <w:gridSpan w:val="21"/>
            <w:shd w:val="clear" w:color="auto" w:fill="99CCFF"/>
            <w:vAlign w:val="center"/>
          </w:tcPr>
          <w:p w:rsidR="004A175F" w:rsidRPr="004A175F" w:rsidRDefault="004A175F" w:rsidP="004A175F">
            <w:pPr>
              <w:numPr>
                <w:ilvl w:val="0"/>
                <w:numId w:val="13"/>
              </w:numPr>
              <w:spacing w:before="60" w:after="60" w:line="276" w:lineRule="auto"/>
              <w:ind w:left="318" w:hanging="284"/>
              <w:jc w:val="both"/>
              <w:rPr>
                <w:rFonts w:eastAsia="Calibri"/>
                <w:b/>
                <w:color w:val="000000"/>
                <w:sz w:val="22"/>
                <w:szCs w:val="22"/>
                <w:lang w:eastAsia="en-US"/>
              </w:rPr>
            </w:pPr>
            <w:r w:rsidRPr="004A175F">
              <w:rPr>
                <w:rFonts w:eastAsia="Calibri"/>
                <w:b/>
                <w:color w:val="000000"/>
                <w:sz w:val="22"/>
                <w:szCs w:val="22"/>
                <w:lang w:eastAsia="en-US"/>
              </w:rPr>
              <w:t>Zmiana obciążeń regulacyjnych (w tym obowiązków informacyjnych) wynikających z projektu</w:t>
            </w:r>
          </w:p>
        </w:tc>
      </w:tr>
      <w:tr w:rsidR="004A175F" w:rsidRPr="004A175F" w:rsidTr="008E5176">
        <w:trPr>
          <w:gridAfter w:val="1"/>
          <w:wAfter w:w="10" w:type="dxa"/>
          <w:trHeight w:val="151"/>
        </w:trPr>
        <w:tc>
          <w:tcPr>
            <w:tcW w:w="10795" w:type="dxa"/>
            <w:gridSpan w:val="21"/>
            <w:shd w:val="clear" w:color="auto" w:fill="FFFFFF"/>
          </w:tcPr>
          <w:p w:rsidR="004A175F" w:rsidRPr="004A175F" w:rsidRDefault="00D611BF" w:rsidP="004A175F">
            <w:pPr>
              <w:rPr>
                <w:rFonts w:eastAsia="Calibri"/>
                <w:color w:val="000000"/>
                <w:sz w:val="22"/>
                <w:szCs w:val="22"/>
                <w:lang w:eastAsia="en-US"/>
              </w:rPr>
            </w:pPr>
            <w:r>
              <w:rPr>
                <w:rFonts w:eastAsia="Calibri"/>
                <w:color w:val="000000"/>
                <w:sz w:val="22"/>
                <w:szCs w:val="22"/>
                <w:lang w:eastAsia="en-US"/>
              </w:rPr>
              <w:fldChar w:fldCharType="begin">
                <w:ffData>
                  <w:name w:val=""/>
                  <w:enabled/>
                  <w:calcOnExit w:val="0"/>
                  <w:checkBox>
                    <w:sizeAuto/>
                    <w:default w:val="1"/>
                  </w:checkBox>
                </w:ffData>
              </w:fldChar>
            </w:r>
            <w:r>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Pr>
                <w:rFonts w:eastAsia="Calibri"/>
                <w:color w:val="000000"/>
                <w:sz w:val="22"/>
                <w:szCs w:val="22"/>
                <w:lang w:eastAsia="en-US"/>
              </w:rPr>
              <w:fldChar w:fldCharType="end"/>
            </w:r>
            <w:r w:rsidRPr="004A175F">
              <w:rPr>
                <w:rFonts w:eastAsia="Calibri"/>
                <w:color w:val="000000"/>
                <w:sz w:val="22"/>
                <w:szCs w:val="22"/>
                <w:lang w:eastAsia="en-US"/>
              </w:rPr>
              <w:t xml:space="preserve"> </w:t>
            </w:r>
            <w:r w:rsidR="004A175F" w:rsidRPr="004A175F">
              <w:rPr>
                <w:rFonts w:eastAsia="Calibri"/>
                <w:color w:val="000000"/>
                <w:spacing w:val="-2"/>
                <w:sz w:val="22"/>
                <w:szCs w:val="22"/>
                <w:lang w:eastAsia="en-US"/>
              </w:rPr>
              <w:t>nie dotyczy</w:t>
            </w:r>
          </w:p>
        </w:tc>
      </w:tr>
      <w:tr w:rsidR="004A175F" w:rsidRPr="004A175F" w:rsidTr="008E5176">
        <w:trPr>
          <w:gridAfter w:val="1"/>
          <w:wAfter w:w="10" w:type="dxa"/>
          <w:trHeight w:val="946"/>
        </w:trPr>
        <w:tc>
          <w:tcPr>
            <w:tcW w:w="4966" w:type="dxa"/>
            <w:gridSpan w:val="10"/>
            <w:shd w:val="clear" w:color="auto" w:fill="FFFFFF"/>
          </w:tcPr>
          <w:p w:rsidR="004A175F" w:rsidRPr="004A175F" w:rsidRDefault="004A175F" w:rsidP="004A175F">
            <w:pPr>
              <w:spacing w:line="276" w:lineRule="auto"/>
              <w:rPr>
                <w:rFonts w:eastAsia="Calibri"/>
                <w:color w:val="000000"/>
                <w:spacing w:val="-2"/>
                <w:sz w:val="22"/>
                <w:szCs w:val="22"/>
                <w:lang w:eastAsia="en-US"/>
              </w:rPr>
            </w:pPr>
            <w:r w:rsidRPr="004A175F">
              <w:rPr>
                <w:rFonts w:eastAsia="Calibri"/>
                <w:color w:val="000000"/>
                <w:spacing w:val="-2"/>
                <w:sz w:val="22"/>
                <w:szCs w:val="22"/>
                <w:lang w:eastAsia="en-US"/>
              </w:rPr>
              <w:t xml:space="preserve">Wprowadzane są obciążenia poza bezwzględnie wymaganymi przez UE </w:t>
            </w:r>
            <w:r w:rsidRPr="004A175F">
              <w:rPr>
                <w:rFonts w:eastAsia="Calibri"/>
                <w:color w:val="000000"/>
                <w:sz w:val="22"/>
                <w:szCs w:val="22"/>
                <w:lang w:eastAsia="en-US"/>
              </w:rPr>
              <w:t>(szczegóły w odwróconej tabeli zgodności).</w:t>
            </w:r>
          </w:p>
        </w:tc>
        <w:tc>
          <w:tcPr>
            <w:tcW w:w="5829" w:type="dxa"/>
            <w:gridSpan w:val="11"/>
            <w:shd w:val="clear" w:color="auto" w:fill="FFFFFF"/>
          </w:tcPr>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tak</w:t>
            </w:r>
          </w:p>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nie</w:t>
            </w:r>
          </w:p>
          <w:p w:rsidR="004A175F" w:rsidRPr="004A175F" w:rsidRDefault="004A175F" w:rsidP="004A175F">
            <w:pPr>
              <w:spacing w:line="276" w:lineRule="auto"/>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nie dotyczy</w:t>
            </w:r>
          </w:p>
        </w:tc>
      </w:tr>
      <w:tr w:rsidR="004A175F" w:rsidRPr="004A175F" w:rsidTr="008E5176">
        <w:trPr>
          <w:gridAfter w:val="1"/>
          <w:wAfter w:w="10" w:type="dxa"/>
          <w:trHeight w:val="1245"/>
        </w:trPr>
        <w:tc>
          <w:tcPr>
            <w:tcW w:w="4966" w:type="dxa"/>
            <w:gridSpan w:val="10"/>
            <w:shd w:val="clear" w:color="auto" w:fill="FFFFFF"/>
          </w:tcPr>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 xml:space="preserve">zmniejszenie liczby dokumentów </w:t>
            </w:r>
          </w:p>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zmniejszenie liczby procedur</w:t>
            </w:r>
          </w:p>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skrócenie czasu na załatwienie sprawy</w:t>
            </w:r>
          </w:p>
          <w:p w:rsidR="004A175F" w:rsidRPr="004A175F" w:rsidRDefault="004A175F" w:rsidP="004A175F">
            <w:pPr>
              <w:spacing w:line="276" w:lineRule="auto"/>
              <w:rPr>
                <w:rFonts w:eastAsia="Calibri"/>
                <w:b/>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inne:</w:t>
            </w:r>
            <w:r w:rsidRPr="004A175F">
              <w:rPr>
                <w:rFonts w:eastAsia="Calibri"/>
                <w:color w:val="000000"/>
                <w:sz w:val="22"/>
                <w:szCs w:val="22"/>
                <w:lang w:eastAsia="en-US"/>
              </w:rPr>
              <w:t xml:space="preserve"> </w:t>
            </w:r>
            <w:r w:rsidRPr="004A175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4A175F">
              <w:rPr>
                <w:rFonts w:eastAsia="Calibri"/>
                <w:color w:val="000000"/>
                <w:sz w:val="22"/>
                <w:szCs w:val="22"/>
                <w:lang w:eastAsia="en-US"/>
              </w:rPr>
              <w:instrText xml:space="preserve"> FORMTEXT </w:instrText>
            </w:r>
            <w:r w:rsidRPr="004A175F">
              <w:rPr>
                <w:rFonts w:eastAsia="Calibri"/>
                <w:color w:val="000000"/>
                <w:sz w:val="22"/>
                <w:szCs w:val="22"/>
                <w:lang w:eastAsia="en-US"/>
              </w:rPr>
            </w:r>
            <w:r w:rsidRPr="004A175F">
              <w:rPr>
                <w:rFonts w:eastAsia="Calibri"/>
                <w:color w:val="000000"/>
                <w:sz w:val="22"/>
                <w:szCs w:val="22"/>
                <w:lang w:eastAsia="en-US"/>
              </w:rPr>
              <w:fldChar w:fldCharType="separate"/>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color w:val="000000"/>
                <w:sz w:val="22"/>
                <w:szCs w:val="22"/>
                <w:lang w:eastAsia="en-US"/>
              </w:rPr>
              <w:fldChar w:fldCharType="end"/>
            </w:r>
          </w:p>
        </w:tc>
        <w:tc>
          <w:tcPr>
            <w:tcW w:w="5829" w:type="dxa"/>
            <w:gridSpan w:val="11"/>
            <w:shd w:val="clear" w:color="auto" w:fill="FFFFFF"/>
          </w:tcPr>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zwiększenie liczby dokumentów</w:t>
            </w:r>
          </w:p>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zwiększenie liczby procedur</w:t>
            </w:r>
          </w:p>
          <w:p w:rsidR="004A175F" w:rsidRPr="004A175F" w:rsidRDefault="004A175F" w:rsidP="004A175F">
            <w:pPr>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wydłużenie czasu na załatwienie sprawy</w:t>
            </w:r>
          </w:p>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inne:</w:t>
            </w:r>
            <w:r w:rsidRPr="004A175F">
              <w:rPr>
                <w:rFonts w:eastAsia="Calibri"/>
                <w:color w:val="000000"/>
                <w:sz w:val="22"/>
                <w:szCs w:val="22"/>
                <w:lang w:eastAsia="en-US"/>
              </w:rPr>
              <w:t xml:space="preserve"> </w:t>
            </w:r>
            <w:r w:rsidRPr="004A175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4A175F">
              <w:rPr>
                <w:rFonts w:eastAsia="Calibri"/>
                <w:color w:val="000000"/>
                <w:sz w:val="22"/>
                <w:szCs w:val="22"/>
                <w:lang w:eastAsia="en-US"/>
              </w:rPr>
              <w:instrText xml:space="preserve"> FORMTEXT </w:instrText>
            </w:r>
            <w:r w:rsidRPr="004A175F">
              <w:rPr>
                <w:rFonts w:eastAsia="Calibri"/>
                <w:color w:val="000000"/>
                <w:sz w:val="22"/>
                <w:szCs w:val="22"/>
                <w:lang w:eastAsia="en-US"/>
              </w:rPr>
            </w:r>
            <w:r w:rsidRPr="004A175F">
              <w:rPr>
                <w:rFonts w:eastAsia="Calibri"/>
                <w:color w:val="000000"/>
                <w:sz w:val="22"/>
                <w:szCs w:val="22"/>
                <w:lang w:eastAsia="en-US"/>
              </w:rPr>
              <w:fldChar w:fldCharType="separate"/>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color w:val="000000"/>
                <w:sz w:val="22"/>
                <w:szCs w:val="22"/>
                <w:lang w:eastAsia="en-US"/>
              </w:rPr>
              <w:fldChar w:fldCharType="end"/>
            </w:r>
          </w:p>
          <w:p w:rsidR="004A175F" w:rsidRPr="004A175F" w:rsidRDefault="004A175F" w:rsidP="004A175F">
            <w:pPr>
              <w:rPr>
                <w:rFonts w:eastAsia="Calibri"/>
                <w:color w:val="000000"/>
                <w:sz w:val="22"/>
                <w:szCs w:val="22"/>
                <w:lang w:eastAsia="en-US"/>
              </w:rPr>
            </w:pPr>
          </w:p>
        </w:tc>
      </w:tr>
      <w:tr w:rsidR="004A175F" w:rsidRPr="004A175F" w:rsidTr="008E5176">
        <w:trPr>
          <w:gridAfter w:val="1"/>
          <w:wAfter w:w="10" w:type="dxa"/>
          <w:trHeight w:val="870"/>
        </w:trPr>
        <w:tc>
          <w:tcPr>
            <w:tcW w:w="4966" w:type="dxa"/>
            <w:gridSpan w:val="10"/>
            <w:shd w:val="clear" w:color="auto" w:fill="FFFFFF"/>
          </w:tcPr>
          <w:p w:rsidR="004A175F" w:rsidRPr="004A175F" w:rsidRDefault="004A175F" w:rsidP="004A175F">
            <w:pPr>
              <w:rPr>
                <w:rFonts w:eastAsia="Calibri"/>
                <w:color w:val="000000"/>
                <w:sz w:val="22"/>
                <w:szCs w:val="22"/>
                <w:lang w:eastAsia="en-US"/>
              </w:rPr>
            </w:pPr>
            <w:r w:rsidRPr="004A175F">
              <w:rPr>
                <w:rFonts w:eastAsia="Calibri"/>
                <w:color w:val="000000"/>
                <w:spacing w:val="-2"/>
                <w:sz w:val="22"/>
                <w:szCs w:val="22"/>
                <w:lang w:eastAsia="en-US"/>
              </w:rPr>
              <w:t xml:space="preserve">Wprowadzane obciążenia są przystosowane do ich elektronizacji. </w:t>
            </w:r>
          </w:p>
        </w:tc>
        <w:tc>
          <w:tcPr>
            <w:tcW w:w="5829" w:type="dxa"/>
            <w:gridSpan w:val="11"/>
            <w:shd w:val="clear" w:color="auto" w:fill="FFFFFF"/>
          </w:tcPr>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tak</w:t>
            </w:r>
          </w:p>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nie</w:t>
            </w:r>
          </w:p>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2"/>
                <w:szCs w:val="22"/>
                <w:lang w:eastAsia="en-US"/>
              </w:rPr>
              <w:t xml:space="preserve"> nie dotyczy</w:t>
            </w:r>
          </w:p>
        </w:tc>
      </w:tr>
      <w:tr w:rsidR="004A175F" w:rsidRPr="004A175F" w:rsidTr="008E5176">
        <w:trPr>
          <w:gridAfter w:val="1"/>
          <w:wAfter w:w="10" w:type="dxa"/>
          <w:trHeight w:val="630"/>
        </w:trPr>
        <w:tc>
          <w:tcPr>
            <w:tcW w:w="10795" w:type="dxa"/>
            <w:gridSpan w:val="21"/>
            <w:shd w:val="clear" w:color="auto" w:fill="FFFFFF"/>
          </w:tcPr>
          <w:p w:rsidR="004A175F" w:rsidRPr="004A175F" w:rsidRDefault="004A175F" w:rsidP="004A175F">
            <w:pPr>
              <w:jc w:val="both"/>
              <w:rPr>
                <w:rFonts w:eastAsia="Calibri"/>
                <w:color w:val="000000"/>
                <w:sz w:val="22"/>
                <w:szCs w:val="22"/>
                <w:lang w:eastAsia="en-US"/>
              </w:rPr>
            </w:pPr>
            <w:r w:rsidRPr="004A175F">
              <w:rPr>
                <w:rFonts w:eastAsia="Calibri"/>
                <w:color w:val="000000"/>
                <w:sz w:val="22"/>
                <w:szCs w:val="22"/>
                <w:lang w:eastAsia="en-US"/>
              </w:rPr>
              <w:t>Komentarz:</w:t>
            </w:r>
          </w:p>
          <w:p w:rsidR="004A175F" w:rsidRPr="004A175F" w:rsidRDefault="004A175F" w:rsidP="009D551C">
            <w:pPr>
              <w:jc w:val="both"/>
              <w:rPr>
                <w:rFonts w:eastAsia="Calibri"/>
                <w:color w:val="000000"/>
                <w:sz w:val="22"/>
                <w:szCs w:val="22"/>
                <w:lang w:eastAsia="en-US"/>
              </w:rPr>
            </w:pPr>
            <w:r w:rsidRPr="004A175F">
              <w:rPr>
                <w:rFonts w:eastAsia="Calibri"/>
                <w:color w:val="000000"/>
                <w:sz w:val="22"/>
                <w:szCs w:val="22"/>
                <w:lang w:eastAsia="en-US"/>
              </w:rPr>
              <w:t>Obowiązki przedsiębiorców, zawarte w projekcie ustawy, występują również obecnie, są jedynie rozproszone w różnych aktach wykonawczych wydanych na podstawie ustawy z dnia 30 sierpnia 2002 r. o systemie oceny zgodności.</w:t>
            </w:r>
          </w:p>
        </w:tc>
      </w:tr>
      <w:tr w:rsidR="004A175F" w:rsidRPr="004A175F" w:rsidTr="008E5176">
        <w:trPr>
          <w:gridAfter w:val="1"/>
          <w:wAfter w:w="10" w:type="dxa"/>
          <w:trHeight w:val="142"/>
        </w:trPr>
        <w:tc>
          <w:tcPr>
            <w:tcW w:w="10795" w:type="dxa"/>
            <w:gridSpan w:val="21"/>
            <w:shd w:val="clear" w:color="auto" w:fill="99CCFF"/>
          </w:tcPr>
          <w:p w:rsidR="004A175F" w:rsidRPr="004A175F" w:rsidRDefault="004A175F" w:rsidP="0042019A">
            <w:pPr>
              <w:keepNext/>
              <w:numPr>
                <w:ilvl w:val="0"/>
                <w:numId w:val="13"/>
              </w:numPr>
              <w:spacing w:before="60" w:after="60" w:line="276" w:lineRule="auto"/>
              <w:jc w:val="both"/>
              <w:rPr>
                <w:rFonts w:eastAsia="Calibri"/>
                <w:b/>
                <w:color w:val="000000"/>
                <w:sz w:val="22"/>
                <w:szCs w:val="22"/>
                <w:lang w:eastAsia="en-US"/>
              </w:rPr>
            </w:pPr>
            <w:r w:rsidRPr="004A175F">
              <w:rPr>
                <w:rFonts w:eastAsia="Calibri"/>
                <w:b/>
                <w:color w:val="000000"/>
                <w:sz w:val="22"/>
                <w:szCs w:val="22"/>
                <w:lang w:eastAsia="en-US"/>
              </w:rPr>
              <w:lastRenderedPageBreak/>
              <w:t xml:space="preserve">Wpływ na rynek pracy </w:t>
            </w:r>
          </w:p>
        </w:tc>
      </w:tr>
      <w:tr w:rsidR="004A175F" w:rsidRPr="004A175F" w:rsidTr="008E5176">
        <w:trPr>
          <w:gridAfter w:val="1"/>
          <w:wAfter w:w="10" w:type="dxa"/>
          <w:trHeight w:val="142"/>
        </w:trPr>
        <w:tc>
          <w:tcPr>
            <w:tcW w:w="10795" w:type="dxa"/>
            <w:gridSpan w:val="21"/>
            <w:shd w:val="clear" w:color="auto" w:fill="auto"/>
          </w:tcPr>
          <w:p w:rsidR="004A175F" w:rsidRPr="004A175F" w:rsidRDefault="00B44A4D" w:rsidP="007B3785">
            <w:pPr>
              <w:keepNext/>
              <w:spacing w:before="120" w:after="120"/>
              <w:jc w:val="both"/>
              <w:rPr>
                <w:rFonts w:eastAsia="Calibri"/>
                <w:color w:val="000000"/>
                <w:sz w:val="22"/>
                <w:szCs w:val="22"/>
                <w:lang w:eastAsia="en-US"/>
              </w:rPr>
            </w:pPr>
            <w:r>
              <w:rPr>
                <w:rFonts w:eastAsia="Calibri"/>
                <w:color w:val="000000"/>
                <w:sz w:val="22"/>
                <w:szCs w:val="22"/>
                <w:lang w:eastAsia="en-US"/>
              </w:rPr>
              <w:t>B</w:t>
            </w:r>
            <w:r w:rsidR="004A175F" w:rsidRPr="004A175F">
              <w:rPr>
                <w:rFonts w:eastAsia="Calibri"/>
                <w:color w:val="000000"/>
                <w:sz w:val="22"/>
                <w:szCs w:val="22"/>
                <w:lang w:eastAsia="en-US"/>
              </w:rPr>
              <w:t>rak wpływu</w:t>
            </w:r>
            <w:r>
              <w:rPr>
                <w:rFonts w:eastAsia="Calibri"/>
                <w:color w:val="000000"/>
                <w:sz w:val="22"/>
                <w:szCs w:val="22"/>
                <w:lang w:eastAsia="en-US"/>
              </w:rPr>
              <w:t>.</w:t>
            </w:r>
          </w:p>
        </w:tc>
      </w:tr>
      <w:tr w:rsidR="004A175F" w:rsidRPr="004A175F" w:rsidTr="008E5176">
        <w:trPr>
          <w:gridAfter w:val="1"/>
          <w:wAfter w:w="10" w:type="dxa"/>
          <w:trHeight w:val="142"/>
        </w:trPr>
        <w:tc>
          <w:tcPr>
            <w:tcW w:w="10795" w:type="dxa"/>
            <w:gridSpan w:val="21"/>
            <w:shd w:val="clear" w:color="auto" w:fill="99CCFF"/>
          </w:tcPr>
          <w:p w:rsidR="004A175F" w:rsidRPr="004A175F" w:rsidRDefault="004A175F" w:rsidP="0042019A">
            <w:pPr>
              <w:keepNext/>
              <w:numPr>
                <w:ilvl w:val="0"/>
                <w:numId w:val="13"/>
              </w:numPr>
              <w:spacing w:before="60" w:after="60" w:line="276" w:lineRule="auto"/>
              <w:jc w:val="both"/>
              <w:rPr>
                <w:rFonts w:eastAsia="Calibri"/>
                <w:b/>
                <w:color w:val="000000"/>
                <w:sz w:val="22"/>
                <w:szCs w:val="22"/>
                <w:lang w:eastAsia="en-US"/>
              </w:rPr>
            </w:pPr>
            <w:r w:rsidRPr="004A175F">
              <w:rPr>
                <w:rFonts w:eastAsia="Calibri"/>
                <w:b/>
                <w:color w:val="000000"/>
                <w:sz w:val="22"/>
                <w:szCs w:val="22"/>
                <w:lang w:eastAsia="en-US"/>
              </w:rPr>
              <w:t>Wpływ na pozostałe obszary</w:t>
            </w:r>
          </w:p>
        </w:tc>
      </w:tr>
      <w:tr w:rsidR="004A175F" w:rsidRPr="004A175F" w:rsidTr="008E5176">
        <w:trPr>
          <w:gridAfter w:val="1"/>
          <w:wAfter w:w="10" w:type="dxa"/>
          <w:trHeight w:val="1031"/>
        </w:trPr>
        <w:tc>
          <w:tcPr>
            <w:tcW w:w="3403" w:type="dxa"/>
            <w:gridSpan w:val="5"/>
            <w:shd w:val="clear" w:color="auto" w:fill="FFFFFF"/>
          </w:tcPr>
          <w:p w:rsidR="004A175F" w:rsidRPr="004A175F" w:rsidRDefault="004A175F" w:rsidP="007B3785">
            <w:pPr>
              <w:keepNext/>
              <w:spacing w:before="120"/>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
                  <w:enabled/>
                  <w:calcOnExit w:val="0"/>
                  <w:checkBox>
                    <w:sizeAuto/>
                    <w:default w:val="1"/>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środowisko naturalne</w:t>
            </w:r>
          </w:p>
          <w:p w:rsidR="004A175F" w:rsidRPr="004A175F" w:rsidRDefault="004A175F" w:rsidP="0042019A">
            <w:pPr>
              <w:keepNext/>
              <w:rPr>
                <w:rFonts w:eastAsia="Calibri"/>
                <w:color w:val="000000"/>
                <w:sz w:val="22"/>
                <w:szCs w:val="22"/>
                <w:lang w:eastAsia="en-US"/>
              </w:rPr>
            </w:pPr>
            <w:r w:rsidRPr="004A175F">
              <w:rPr>
                <w:rFonts w:eastAsia="Calibri"/>
                <w:color w:val="000000"/>
                <w:sz w:val="22"/>
                <w:szCs w:val="22"/>
                <w:lang w:eastAsia="en-US"/>
              </w:rPr>
              <w:fldChar w:fldCharType="begin">
                <w:ffData>
                  <w:name w:val=""/>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z w:val="22"/>
                <w:szCs w:val="22"/>
                <w:lang w:eastAsia="en-US"/>
              </w:rPr>
              <w:t>sytuacja i rozwój regionalny</w:t>
            </w:r>
          </w:p>
          <w:p w:rsidR="004A175F" w:rsidRPr="004A175F" w:rsidRDefault="004A175F" w:rsidP="0042019A">
            <w:pPr>
              <w:keepNext/>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 xml:space="preserve">inne: </w:t>
            </w:r>
            <w:r w:rsidRPr="004A175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4A175F">
              <w:rPr>
                <w:rFonts w:eastAsia="Calibri"/>
                <w:color w:val="000000"/>
                <w:sz w:val="22"/>
                <w:szCs w:val="22"/>
                <w:lang w:eastAsia="en-US"/>
              </w:rPr>
              <w:instrText xml:space="preserve"> FORMTEXT </w:instrText>
            </w:r>
            <w:r w:rsidRPr="004A175F">
              <w:rPr>
                <w:rFonts w:eastAsia="Calibri"/>
                <w:color w:val="000000"/>
                <w:sz w:val="22"/>
                <w:szCs w:val="22"/>
                <w:lang w:eastAsia="en-US"/>
              </w:rPr>
            </w:r>
            <w:r w:rsidRPr="004A175F">
              <w:rPr>
                <w:rFonts w:eastAsia="Calibri"/>
                <w:color w:val="000000"/>
                <w:sz w:val="22"/>
                <w:szCs w:val="22"/>
                <w:lang w:eastAsia="en-US"/>
              </w:rPr>
              <w:fldChar w:fldCharType="separate"/>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hAnsi="Calibri"/>
                <w:noProof/>
                <w:color w:val="000000"/>
                <w:sz w:val="22"/>
                <w:szCs w:val="22"/>
                <w:lang w:eastAsia="en-US"/>
              </w:rPr>
              <w:t> </w:t>
            </w:r>
            <w:r w:rsidRPr="004A175F">
              <w:rPr>
                <w:rFonts w:eastAsia="Calibri"/>
                <w:color w:val="000000"/>
                <w:sz w:val="22"/>
                <w:szCs w:val="22"/>
                <w:lang w:eastAsia="en-US"/>
              </w:rPr>
              <w:fldChar w:fldCharType="end"/>
            </w:r>
          </w:p>
        </w:tc>
        <w:tc>
          <w:tcPr>
            <w:tcW w:w="3687" w:type="dxa"/>
            <w:gridSpan w:val="10"/>
            <w:shd w:val="clear" w:color="auto" w:fill="FFFFFF"/>
          </w:tcPr>
          <w:p w:rsidR="004A175F" w:rsidRPr="004A175F" w:rsidRDefault="004A175F" w:rsidP="007B3785">
            <w:pPr>
              <w:keepNext/>
              <w:spacing w:before="120"/>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demografia</w:t>
            </w:r>
          </w:p>
          <w:p w:rsidR="004A175F" w:rsidRPr="004A175F" w:rsidRDefault="004A175F" w:rsidP="0042019A">
            <w:pPr>
              <w:keepNext/>
              <w:rPr>
                <w:rFonts w:eastAsia="Calibri"/>
                <w:color w:val="000000"/>
                <w:sz w:val="22"/>
                <w:szCs w:val="22"/>
                <w:lang w:eastAsia="en-US"/>
              </w:rPr>
            </w:pPr>
            <w:r w:rsidRPr="004A175F">
              <w:rPr>
                <w:rFonts w:eastAsia="Calibri"/>
                <w:color w:val="000000"/>
                <w:sz w:val="22"/>
                <w:szCs w:val="22"/>
                <w:lang w:eastAsia="en-US"/>
              </w:rPr>
              <w:fldChar w:fldCharType="begin">
                <w:ffData>
                  <w:name w:val=""/>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z w:val="22"/>
                <w:szCs w:val="22"/>
                <w:lang w:eastAsia="en-US"/>
              </w:rPr>
              <w:t>mienie państwowe</w:t>
            </w:r>
          </w:p>
        </w:tc>
        <w:tc>
          <w:tcPr>
            <w:tcW w:w="3705" w:type="dxa"/>
            <w:gridSpan w:val="6"/>
            <w:shd w:val="clear" w:color="auto" w:fill="FFFFFF"/>
          </w:tcPr>
          <w:p w:rsidR="004A175F" w:rsidRPr="004A175F" w:rsidRDefault="004A175F" w:rsidP="007B3785">
            <w:pPr>
              <w:keepNext/>
              <w:spacing w:before="120"/>
              <w:rPr>
                <w:rFonts w:eastAsia="Calibri"/>
                <w:color w:val="000000"/>
                <w:spacing w:val="-2"/>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informatyzacja</w:t>
            </w:r>
          </w:p>
          <w:p w:rsidR="004A175F" w:rsidRPr="004A175F" w:rsidRDefault="004A175F" w:rsidP="0042019A">
            <w:pPr>
              <w:keepNext/>
              <w:rPr>
                <w:rFonts w:eastAsia="Calibri"/>
                <w:color w:val="000000"/>
                <w:sz w:val="22"/>
                <w:szCs w:val="22"/>
                <w:lang w:eastAsia="en-US"/>
              </w:rPr>
            </w:pPr>
            <w:r w:rsidRPr="004A175F">
              <w:rPr>
                <w:rFonts w:eastAsia="Calibri"/>
                <w:color w:val="000000"/>
                <w:sz w:val="22"/>
                <w:szCs w:val="22"/>
                <w:lang w:eastAsia="en-US"/>
              </w:rPr>
              <w:fldChar w:fldCharType="begin">
                <w:ffData>
                  <w:name w:val="Wybór1"/>
                  <w:enabled/>
                  <w:calcOnExit w:val="0"/>
                  <w:checkBox>
                    <w:sizeAuto/>
                    <w:default w:val="0"/>
                  </w:checkBox>
                </w:ffData>
              </w:fldChar>
            </w:r>
            <w:r w:rsidRPr="004A175F">
              <w:rPr>
                <w:rFonts w:eastAsia="Calibri"/>
                <w:color w:val="000000"/>
                <w:sz w:val="22"/>
                <w:szCs w:val="22"/>
                <w:lang w:eastAsia="en-US"/>
              </w:rPr>
              <w:instrText xml:space="preserve"> FORMCHECKBOX </w:instrText>
            </w:r>
            <w:r w:rsidR="00E12650">
              <w:rPr>
                <w:rFonts w:eastAsia="Calibri"/>
                <w:color w:val="000000"/>
                <w:sz w:val="22"/>
                <w:szCs w:val="22"/>
                <w:lang w:eastAsia="en-US"/>
              </w:rPr>
            </w:r>
            <w:r w:rsidR="00E12650">
              <w:rPr>
                <w:rFonts w:eastAsia="Calibri"/>
                <w:color w:val="000000"/>
                <w:sz w:val="22"/>
                <w:szCs w:val="22"/>
                <w:lang w:eastAsia="en-US"/>
              </w:rPr>
              <w:fldChar w:fldCharType="separate"/>
            </w:r>
            <w:r w:rsidRPr="004A175F">
              <w:rPr>
                <w:rFonts w:eastAsia="Calibri"/>
                <w:color w:val="000000"/>
                <w:sz w:val="22"/>
                <w:szCs w:val="22"/>
                <w:lang w:eastAsia="en-US"/>
              </w:rPr>
              <w:fldChar w:fldCharType="end"/>
            </w:r>
            <w:r w:rsidRPr="004A175F">
              <w:rPr>
                <w:rFonts w:eastAsia="Calibri"/>
                <w:color w:val="000000"/>
                <w:sz w:val="20"/>
                <w:szCs w:val="20"/>
                <w:lang w:eastAsia="en-US"/>
              </w:rPr>
              <w:t xml:space="preserve"> </w:t>
            </w:r>
            <w:r w:rsidRPr="004A175F">
              <w:rPr>
                <w:rFonts w:eastAsia="Calibri"/>
                <w:color w:val="000000"/>
                <w:spacing w:val="-2"/>
                <w:sz w:val="22"/>
                <w:szCs w:val="22"/>
                <w:lang w:eastAsia="en-US"/>
              </w:rPr>
              <w:t>zdrowie</w:t>
            </w:r>
          </w:p>
        </w:tc>
      </w:tr>
      <w:tr w:rsidR="004A175F" w:rsidRPr="004A175F" w:rsidTr="008E5176">
        <w:trPr>
          <w:gridAfter w:val="1"/>
          <w:wAfter w:w="10" w:type="dxa"/>
          <w:trHeight w:val="712"/>
        </w:trPr>
        <w:tc>
          <w:tcPr>
            <w:tcW w:w="2098" w:type="dxa"/>
            <w:gridSpan w:val="2"/>
            <w:shd w:val="clear" w:color="auto" w:fill="FFFFFF"/>
            <w:vAlign w:val="center"/>
          </w:tcPr>
          <w:p w:rsidR="004A175F" w:rsidRPr="004A175F" w:rsidRDefault="004A175F" w:rsidP="004A175F">
            <w:pPr>
              <w:rPr>
                <w:rFonts w:eastAsia="Calibri"/>
                <w:color w:val="000000"/>
                <w:sz w:val="22"/>
                <w:szCs w:val="22"/>
                <w:lang w:eastAsia="en-US"/>
              </w:rPr>
            </w:pPr>
            <w:r w:rsidRPr="004A175F">
              <w:rPr>
                <w:rFonts w:eastAsia="Calibri"/>
                <w:color w:val="000000"/>
                <w:sz w:val="22"/>
                <w:szCs w:val="22"/>
                <w:lang w:eastAsia="en-US"/>
              </w:rPr>
              <w:t>Omówienie wpływu</w:t>
            </w:r>
          </w:p>
        </w:tc>
        <w:tc>
          <w:tcPr>
            <w:tcW w:w="8697" w:type="dxa"/>
            <w:gridSpan w:val="19"/>
            <w:shd w:val="clear" w:color="auto" w:fill="FFFFFF"/>
            <w:vAlign w:val="center"/>
          </w:tcPr>
          <w:p w:rsidR="004A175F" w:rsidRPr="004A175F" w:rsidRDefault="004A175F" w:rsidP="009D551C">
            <w:pPr>
              <w:jc w:val="both"/>
              <w:rPr>
                <w:rFonts w:eastAsia="Calibri"/>
                <w:color w:val="000000"/>
                <w:spacing w:val="-2"/>
                <w:sz w:val="22"/>
                <w:szCs w:val="22"/>
                <w:lang w:eastAsia="en-US"/>
              </w:rPr>
            </w:pPr>
            <w:r w:rsidRPr="004A175F">
              <w:rPr>
                <w:rFonts w:eastAsia="Calibri"/>
                <w:color w:val="000000"/>
                <w:spacing w:val="-2"/>
                <w:sz w:val="22"/>
                <w:szCs w:val="22"/>
                <w:lang w:eastAsia="en-US"/>
              </w:rPr>
              <w:t>Prawidłowo funkcjonujący system oceny zgodności to eliminacja wszelkich zagrożeń, jakie stwarzają wyroby dla konsumentów, ale także dla środowiska naturalnego.</w:t>
            </w:r>
          </w:p>
        </w:tc>
      </w:tr>
      <w:tr w:rsidR="004A175F" w:rsidRPr="004A175F" w:rsidTr="008E5176">
        <w:trPr>
          <w:gridAfter w:val="1"/>
          <w:wAfter w:w="10" w:type="dxa"/>
          <w:trHeight w:val="142"/>
        </w:trPr>
        <w:tc>
          <w:tcPr>
            <w:tcW w:w="10795" w:type="dxa"/>
            <w:gridSpan w:val="21"/>
            <w:shd w:val="clear" w:color="auto" w:fill="99CCFF"/>
          </w:tcPr>
          <w:p w:rsidR="004A175F" w:rsidRPr="004A175F" w:rsidRDefault="004A175F" w:rsidP="009D551C">
            <w:pPr>
              <w:keepNext/>
              <w:numPr>
                <w:ilvl w:val="0"/>
                <w:numId w:val="13"/>
              </w:numPr>
              <w:spacing w:before="60" w:after="60" w:line="276" w:lineRule="auto"/>
              <w:jc w:val="both"/>
              <w:rPr>
                <w:rFonts w:eastAsia="Calibri"/>
                <w:b/>
                <w:sz w:val="22"/>
                <w:szCs w:val="22"/>
                <w:lang w:eastAsia="en-US"/>
              </w:rPr>
            </w:pPr>
            <w:r w:rsidRPr="004A175F">
              <w:rPr>
                <w:rFonts w:eastAsia="Calibri"/>
                <w:b/>
                <w:color w:val="000000"/>
                <w:sz w:val="22"/>
                <w:szCs w:val="22"/>
                <w:lang w:eastAsia="en-US"/>
              </w:rPr>
              <w:t>Planowane</w:t>
            </w:r>
            <w:r w:rsidRPr="004A175F">
              <w:rPr>
                <w:rFonts w:eastAsia="Calibri"/>
                <w:b/>
                <w:spacing w:val="-2"/>
                <w:sz w:val="21"/>
                <w:szCs w:val="21"/>
                <w:lang w:eastAsia="en-US"/>
              </w:rPr>
              <w:t xml:space="preserve"> wykonanie przepisów aktu prawnego</w:t>
            </w:r>
          </w:p>
        </w:tc>
      </w:tr>
      <w:tr w:rsidR="004A175F" w:rsidRPr="004A175F" w:rsidTr="00F64F79">
        <w:trPr>
          <w:gridAfter w:val="1"/>
          <w:wAfter w:w="10" w:type="dxa"/>
          <w:trHeight w:val="142"/>
        </w:trPr>
        <w:tc>
          <w:tcPr>
            <w:tcW w:w="10795" w:type="dxa"/>
            <w:gridSpan w:val="21"/>
            <w:shd w:val="clear" w:color="auto" w:fill="FFFFFF"/>
          </w:tcPr>
          <w:p w:rsidR="004A175F" w:rsidRPr="004A175F" w:rsidRDefault="004A175F" w:rsidP="008D1BDC">
            <w:pPr>
              <w:keepNext/>
              <w:spacing w:before="120" w:after="120"/>
              <w:jc w:val="both"/>
              <w:rPr>
                <w:rFonts w:eastAsia="Calibri"/>
                <w:spacing w:val="-2"/>
                <w:sz w:val="22"/>
                <w:szCs w:val="22"/>
                <w:lang w:eastAsia="en-US"/>
              </w:rPr>
            </w:pPr>
            <w:r w:rsidRPr="004A175F">
              <w:rPr>
                <w:rFonts w:eastAsia="Calibri"/>
                <w:spacing w:val="-2"/>
                <w:sz w:val="22"/>
                <w:szCs w:val="22"/>
                <w:lang w:eastAsia="en-US"/>
              </w:rPr>
              <w:t xml:space="preserve">Ustawa wejdzie w życie 1 </w:t>
            </w:r>
            <w:r w:rsidR="008D1BDC">
              <w:rPr>
                <w:rFonts w:eastAsia="Calibri"/>
                <w:spacing w:val="-2"/>
                <w:sz w:val="22"/>
                <w:szCs w:val="22"/>
                <w:lang w:eastAsia="en-US"/>
              </w:rPr>
              <w:t>kwietnia</w:t>
            </w:r>
            <w:r w:rsidRPr="004A175F">
              <w:rPr>
                <w:rFonts w:eastAsia="Calibri"/>
                <w:spacing w:val="-2"/>
                <w:sz w:val="22"/>
                <w:szCs w:val="22"/>
                <w:lang w:eastAsia="en-US"/>
              </w:rPr>
              <w:t xml:space="preserve"> 2016 r. W odniesieniu do pakietu 9 dyrektyw przepis</w:t>
            </w:r>
            <w:r w:rsidR="009D551C">
              <w:rPr>
                <w:rFonts w:eastAsia="Calibri"/>
                <w:spacing w:val="-2"/>
                <w:sz w:val="22"/>
                <w:szCs w:val="22"/>
                <w:lang w:eastAsia="en-US"/>
              </w:rPr>
              <w:t>y ustawy będą obowiązywać od 20 </w:t>
            </w:r>
            <w:r w:rsidRPr="004A175F">
              <w:rPr>
                <w:rFonts w:eastAsia="Calibri"/>
                <w:spacing w:val="-2"/>
                <w:sz w:val="22"/>
                <w:szCs w:val="22"/>
                <w:lang w:eastAsia="en-US"/>
              </w:rPr>
              <w:t>kwietnia 2016 r. Dla wyrobów, o których mowa w dyrektywie 2013/53/UE (rekreacyjne jednostki pływające), podobnie jak dla wyrobów objętych dyrektywą 2009/48/WE (zabawki) oraz dyrektywą 2013/29/UE (wyroby pirotechniczne) ustawa będzie wobec nich stosowana od dnia jej wejścia w życie. Z kolei w odniesieniu do wyrobów,</w:t>
            </w:r>
            <w:r w:rsidR="007B3785">
              <w:rPr>
                <w:rFonts w:eastAsia="Calibri"/>
                <w:bCs/>
                <w:spacing w:val="-2"/>
                <w:sz w:val="22"/>
                <w:szCs w:val="22"/>
                <w:lang w:eastAsia="en-US"/>
              </w:rPr>
              <w:t xml:space="preserve"> o </w:t>
            </w:r>
            <w:r w:rsidRPr="004A175F">
              <w:rPr>
                <w:rFonts w:eastAsia="Calibri"/>
                <w:bCs/>
                <w:spacing w:val="-2"/>
                <w:sz w:val="22"/>
                <w:szCs w:val="22"/>
                <w:lang w:eastAsia="en-US"/>
              </w:rPr>
              <w:t>których mowa w dyrektywie 2014/53/UE (urządzenia radiowe) przepisy ustawy powinny być stosowane</w:t>
            </w:r>
            <w:r w:rsidR="009D551C">
              <w:rPr>
                <w:rFonts w:eastAsia="Calibri"/>
                <w:bCs/>
                <w:spacing w:val="-2"/>
                <w:sz w:val="22"/>
                <w:szCs w:val="22"/>
                <w:lang w:eastAsia="en-US"/>
              </w:rPr>
              <w:t xml:space="preserve"> od dnia 13 </w:t>
            </w:r>
            <w:r w:rsidRPr="004A175F">
              <w:rPr>
                <w:rFonts w:eastAsia="Calibri"/>
                <w:bCs/>
                <w:spacing w:val="-2"/>
                <w:sz w:val="22"/>
                <w:szCs w:val="22"/>
                <w:lang w:eastAsia="en-US"/>
              </w:rPr>
              <w:t>czerwca 2016 r. Natomiast w stosunku do wyrobów, o których mowa w dyrektywie 2014/68/UE (urządzenia ciśnieniowe), przepisy ustawy będą stosowane od dnia 19 lipca 2016 r.</w:t>
            </w:r>
          </w:p>
        </w:tc>
      </w:tr>
      <w:tr w:rsidR="004A175F" w:rsidRPr="004A175F" w:rsidTr="00AB6562">
        <w:trPr>
          <w:gridAfter w:val="1"/>
          <w:wAfter w:w="10" w:type="dxa"/>
          <w:trHeight w:val="142"/>
        </w:trPr>
        <w:tc>
          <w:tcPr>
            <w:tcW w:w="10795" w:type="dxa"/>
            <w:gridSpan w:val="21"/>
            <w:shd w:val="clear" w:color="auto" w:fill="99CCFF"/>
          </w:tcPr>
          <w:p w:rsidR="004A175F" w:rsidRPr="004A175F" w:rsidRDefault="004A175F" w:rsidP="009D551C">
            <w:pPr>
              <w:numPr>
                <w:ilvl w:val="0"/>
                <w:numId w:val="13"/>
              </w:numPr>
              <w:spacing w:before="60" w:after="60" w:line="276" w:lineRule="auto"/>
              <w:jc w:val="both"/>
              <w:rPr>
                <w:rFonts w:eastAsia="Calibri"/>
                <w:b/>
                <w:color w:val="000000"/>
                <w:sz w:val="22"/>
                <w:szCs w:val="22"/>
                <w:lang w:eastAsia="en-US"/>
              </w:rPr>
            </w:pPr>
            <w:r w:rsidRPr="004A175F">
              <w:rPr>
                <w:rFonts w:eastAsia="Calibri"/>
                <w:b/>
                <w:spacing w:val="-2"/>
                <w:sz w:val="21"/>
                <w:szCs w:val="21"/>
                <w:lang w:eastAsia="en-US"/>
              </w:rPr>
              <w:t xml:space="preserve">W </w:t>
            </w:r>
            <w:r w:rsidRPr="004A175F">
              <w:rPr>
                <w:rFonts w:eastAsia="Calibri"/>
                <w:b/>
                <w:color w:val="000000"/>
                <w:sz w:val="22"/>
                <w:szCs w:val="22"/>
                <w:lang w:eastAsia="en-US"/>
              </w:rPr>
              <w:t>jaki</w:t>
            </w:r>
            <w:r w:rsidRPr="004A175F">
              <w:rPr>
                <w:rFonts w:eastAsia="Calibri"/>
                <w:b/>
                <w:spacing w:val="-2"/>
                <w:sz w:val="21"/>
                <w:szCs w:val="21"/>
                <w:lang w:eastAsia="en-US"/>
              </w:rPr>
              <w:t xml:space="preserve"> sposób i kiedy nastąpi ewaluacja efektów projektu oraz jakie mierniki zostaną zastosowane?</w:t>
            </w:r>
          </w:p>
        </w:tc>
      </w:tr>
      <w:tr w:rsidR="004A175F" w:rsidRPr="004A175F" w:rsidTr="00F64F79">
        <w:trPr>
          <w:gridAfter w:val="1"/>
          <w:wAfter w:w="10" w:type="dxa"/>
          <w:trHeight w:val="142"/>
        </w:trPr>
        <w:tc>
          <w:tcPr>
            <w:tcW w:w="10795" w:type="dxa"/>
            <w:gridSpan w:val="21"/>
            <w:shd w:val="clear" w:color="auto" w:fill="FFFFFF"/>
          </w:tcPr>
          <w:p w:rsidR="004A175F" w:rsidRPr="004A175F" w:rsidRDefault="004A175F" w:rsidP="007B3785">
            <w:pPr>
              <w:spacing w:before="120" w:after="120"/>
              <w:jc w:val="both"/>
              <w:rPr>
                <w:rFonts w:eastAsia="Calibri"/>
                <w:color w:val="000000"/>
                <w:spacing w:val="-2"/>
                <w:sz w:val="22"/>
                <w:szCs w:val="22"/>
                <w:lang w:eastAsia="en-US"/>
              </w:rPr>
            </w:pPr>
            <w:r w:rsidRPr="004A175F">
              <w:rPr>
                <w:rFonts w:eastAsia="Calibri"/>
                <w:color w:val="000000"/>
                <w:spacing w:val="-2"/>
                <w:sz w:val="22"/>
                <w:szCs w:val="22"/>
                <w:lang w:eastAsia="en-US"/>
              </w:rPr>
              <w:t>Ewaluacja efektów projektu będzie następowała każdego roku. Przede wszystkim dzięki corocznym sprawozdaniom</w:t>
            </w:r>
            <w:r w:rsidR="00F804F3">
              <w:rPr>
                <w:rFonts w:eastAsia="Calibri"/>
                <w:color w:val="000000"/>
                <w:spacing w:val="-2"/>
                <w:sz w:val="22"/>
                <w:szCs w:val="22"/>
                <w:lang w:eastAsia="en-US"/>
              </w:rPr>
              <w:t xml:space="preserve"> </w:t>
            </w:r>
            <w:r w:rsidR="007B3785">
              <w:rPr>
                <w:rFonts w:eastAsia="Calibri"/>
                <w:color w:val="000000"/>
                <w:spacing w:val="-2"/>
                <w:sz w:val="22"/>
                <w:szCs w:val="22"/>
                <w:lang w:eastAsia="en-US"/>
              </w:rPr>
              <w:t>z </w:t>
            </w:r>
            <w:r w:rsidRPr="004A175F">
              <w:rPr>
                <w:rFonts w:eastAsia="Calibri"/>
                <w:color w:val="000000"/>
                <w:spacing w:val="-2"/>
                <w:sz w:val="22"/>
                <w:szCs w:val="22"/>
                <w:lang w:eastAsia="en-US"/>
              </w:rPr>
              <w:t>działalności jednostek notyfikowanych, składanym przez jednostki oceniające zgodno</w:t>
            </w:r>
            <w:r w:rsidR="007B3785">
              <w:rPr>
                <w:rFonts w:eastAsia="Calibri"/>
                <w:color w:val="000000"/>
                <w:spacing w:val="-2"/>
                <w:sz w:val="22"/>
                <w:szCs w:val="22"/>
                <w:lang w:eastAsia="en-US"/>
              </w:rPr>
              <w:t>ść, jak również sprawozdaniom z </w:t>
            </w:r>
            <w:r w:rsidRPr="004A175F">
              <w:rPr>
                <w:rFonts w:eastAsia="Calibri"/>
                <w:color w:val="000000"/>
                <w:spacing w:val="-2"/>
                <w:sz w:val="22"/>
                <w:szCs w:val="22"/>
                <w:lang w:eastAsia="en-US"/>
              </w:rPr>
              <w:t>działalności PCA, zatwierdzanym przez Ministra Gospodarki, a także corocznemu raportowi dotyczącemu funkcjonowania systemu kontroli wyrobów podlegających dyrektywom nowego podejścia przygotowywanemu przez Prezesa UOKiK pełniącego rolę organu monitorującego. Miernikami są dane statystyczne dot. działań i środków podejmowanych przez organy nadzoru rynku. Jednocześnie efektywność krajowego systemu nadzoru rynku omawiana jest co roku na posiedzeniach Komitetu Sterującego ds. Nadzoru Rynku, będącego nieformalną platformą wymiany informacji i opinii pomiędzy przedstawicielami administracji państwowej zaangażowanych w realizację zadań w obszarze nadzoru rynku. Komitet ma także pomóc Prezesowi UOKiK w wypełnianiu zadań jako organu monitorującego. Komitet działa od 2004 r.</w:t>
            </w:r>
          </w:p>
          <w:p w:rsidR="004A175F" w:rsidRPr="004A175F" w:rsidRDefault="004A175F" w:rsidP="007B3785">
            <w:pPr>
              <w:spacing w:before="120" w:after="120"/>
              <w:jc w:val="both"/>
              <w:rPr>
                <w:rFonts w:eastAsia="Calibri"/>
                <w:color w:val="000000"/>
                <w:spacing w:val="-2"/>
                <w:sz w:val="22"/>
                <w:szCs w:val="22"/>
                <w:lang w:eastAsia="en-US"/>
              </w:rPr>
            </w:pPr>
            <w:r w:rsidRPr="004A175F">
              <w:rPr>
                <w:rFonts w:eastAsia="Calibri"/>
                <w:color w:val="000000"/>
                <w:spacing w:val="-2"/>
                <w:sz w:val="22"/>
                <w:szCs w:val="22"/>
                <w:lang w:eastAsia="en-US"/>
              </w:rPr>
              <w:t>Ewaluacja efektów w zakresie udzielanej akredytacji, autoryzacji notyfikacji jednostek oceniających zgodność powinna następować na bieżąco</w:t>
            </w:r>
            <w:r w:rsidR="009D551C">
              <w:rPr>
                <w:rFonts w:eastAsia="Calibri"/>
                <w:color w:val="000000"/>
                <w:spacing w:val="-2"/>
                <w:sz w:val="22"/>
                <w:szCs w:val="22"/>
                <w:lang w:eastAsia="en-US"/>
              </w:rPr>
              <w:t xml:space="preserve"> –</w:t>
            </w:r>
            <w:r w:rsidRPr="004A175F">
              <w:rPr>
                <w:rFonts w:eastAsia="Calibri"/>
                <w:color w:val="000000"/>
                <w:spacing w:val="-2"/>
                <w:sz w:val="22"/>
                <w:szCs w:val="22"/>
                <w:lang w:eastAsia="en-US"/>
              </w:rPr>
              <w:t xml:space="preserve"> mierniki jakie zostaną zastosowane dotyczą liczby podmiotów zgłaszających się do PCA o</w:t>
            </w:r>
            <w:r w:rsidR="00996A5B">
              <w:rPr>
                <w:rFonts w:eastAsia="Calibri"/>
                <w:color w:val="000000"/>
                <w:spacing w:val="-2"/>
                <w:sz w:val="22"/>
                <w:szCs w:val="22"/>
                <w:lang w:eastAsia="en-US"/>
              </w:rPr>
              <w:t> </w:t>
            </w:r>
            <w:r w:rsidRPr="004A175F">
              <w:rPr>
                <w:rFonts w:eastAsia="Calibri"/>
                <w:color w:val="000000"/>
                <w:spacing w:val="-2"/>
                <w:sz w:val="22"/>
                <w:szCs w:val="22"/>
                <w:lang w:eastAsia="en-US"/>
              </w:rPr>
              <w:t xml:space="preserve">udzielenie akredytacji, a także ilość certyfikatów/przeprowadzonych badań przez notyfikowane jednostki oceniające zgodność. </w:t>
            </w:r>
          </w:p>
        </w:tc>
      </w:tr>
      <w:tr w:rsidR="004A175F" w:rsidRPr="004A175F" w:rsidTr="00AB6562">
        <w:trPr>
          <w:gridAfter w:val="1"/>
          <w:wAfter w:w="10" w:type="dxa"/>
          <w:trHeight w:val="142"/>
        </w:trPr>
        <w:tc>
          <w:tcPr>
            <w:tcW w:w="10795" w:type="dxa"/>
            <w:gridSpan w:val="21"/>
            <w:shd w:val="clear" w:color="auto" w:fill="99CCFF"/>
          </w:tcPr>
          <w:p w:rsidR="004A175F" w:rsidRPr="004A175F" w:rsidRDefault="004A175F" w:rsidP="009D551C">
            <w:pPr>
              <w:numPr>
                <w:ilvl w:val="0"/>
                <w:numId w:val="13"/>
              </w:numPr>
              <w:spacing w:before="60" w:after="60" w:line="276" w:lineRule="auto"/>
              <w:jc w:val="both"/>
              <w:rPr>
                <w:rFonts w:eastAsia="Calibri"/>
                <w:b/>
                <w:color w:val="000000"/>
                <w:spacing w:val="-2"/>
                <w:sz w:val="22"/>
                <w:szCs w:val="22"/>
                <w:lang w:eastAsia="en-US"/>
              </w:rPr>
            </w:pPr>
            <w:r w:rsidRPr="004A175F">
              <w:rPr>
                <w:rFonts w:eastAsia="Calibri"/>
                <w:b/>
                <w:color w:val="000000"/>
                <w:sz w:val="22"/>
                <w:szCs w:val="22"/>
                <w:lang w:eastAsia="en-US"/>
              </w:rPr>
              <w:t>Załączniki</w:t>
            </w:r>
            <w:r w:rsidRPr="004A175F">
              <w:rPr>
                <w:rFonts w:eastAsia="Calibri"/>
                <w:b/>
                <w:color w:val="000000"/>
                <w:spacing w:val="-2"/>
                <w:sz w:val="22"/>
                <w:szCs w:val="22"/>
                <w:lang w:eastAsia="en-US"/>
              </w:rPr>
              <w:t xml:space="preserve"> </w:t>
            </w:r>
            <w:r w:rsidRPr="004A175F">
              <w:rPr>
                <w:rFonts w:eastAsia="Calibri"/>
                <w:b/>
                <w:spacing w:val="-2"/>
                <w:sz w:val="21"/>
                <w:szCs w:val="21"/>
                <w:lang w:eastAsia="en-US"/>
              </w:rPr>
              <w:t>(istotne dokumenty źródłowe, badania, analizy itp.</w:t>
            </w:r>
            <w:r w:rsidRPr="004A175F">
              <w:rPr>
                <w:rFonts w:eastAsia="Calibri"/>
                <w:b/>
                <w:color w:val="000000"/>
                <w:spacing w:val="-2"/>
                <w:sz w:val="22"/>
                <w:szCs w:val="22"/>
                <w:lang w:eastAsia="en-US"/>
              </w:rPr>
              <w:t xml:space="preserve">) </w:t>
            </w:r>
          </w:p>
        </w:tc>
      </w:tr>
      <w:tr w:rsidR="004A175F" w:rsidRPr="004A175F" w:rsidTr="00AB6562">
        <w:trPr>
          <w:gridAfter w:val="1"/>
          <w:wAfter w:w="10" w:type="dxa"/>
          <w:trHeight w:val="142"/>
        </w:trPr>
        <w:tc>
          <w:tcPr>
            <w:tcW w:w="10795" w:type="dxa"/>
            <w:gridSpan w:val="21"/>
            <w:shd w:val="clear" w:color="auto" w:fill="FFFFFF"/>
          </w:tcPr>
          <w:p w:rsidR="004A175F" w:rsidRPr="004A175F" w:rsidRDefault="004A175F" w:rsidP="003B5F13">
            <w:pPr>
              <w:spacing w:before="120" w:after="120"/>
              <w:jc w:val="both"/>
              <w:rPr>
                <w:rFonts w:eastAsia="Calibri"/>
                <w:color w:val="000000"/>
                <w:spacing w:val="-2"/>
                <w:sz w:val="22"/>
                <w:szCs w:val="22"/>
                <w:lang w:eastAsia="en-US"/>
              </w:rPr>
            </w:pPr>
            <w:r w:rsidRPr="004A175F">
              <w:rPr>
                <w:rFonts w:eastAsia="Calibri"/>
                <w:color w:val="000000"/>
                <w:spacing w:val="-2"/>
                <w:sz w:val="22"/>
                <w:szCs w:val="22"/>
                <w:lang w:eastAsia="en-US"/>
              </w:rPr>
              <w:t>Brak</w:t>
            </w:r>
            <w:r w:rsidR="007B3785">
              <w:rPr>
                <w:rFonts w:eastAsia="Calibri"/>
                <w:color w:val="000000"/>
                <w:spacing w:val="-2"/>
                <w:sz w:val="22"/>
                <w:szCs w:val="22"/>
                <w:lang w:eastAsia="en-US"/>
              </w:rPr>
              <w:t>.</w:t>
            </w:r>
          </w:p>
        </w:tc>
      </w:tr>
    </w:tbl>
    <w:p w:rsidR="007C7982" w:rsidRPr="009D551C" w:rsidRDefault="007C7982" w:rsidP="009D551C">
      <w:pPr>
        <w:rPr>
          <w:rFonts w:cs="A"/>
        </w:rPr>
      </w:pPr>
    </w:p>
    <w:sectPr w:rsidR="007C7982" w:rsidRPr="009D551C" w:rsidSect="004A175F">
      <w:pgSz w:w="11906" w:h="16838" w:code="9"/>
      <w:pgMar w:top="567" w:right="709"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BA4" w:rsidRDefault="006D4BA4">
      <w:r>
        <w:separator/>
      </w:r>
    </w:p>
  </w:endnote>
  <w:endnote w:type="continuationSeparator" w:id="0">
    <w:p w:rsidR="006D4BA4" w:rsidRDefault="006D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76" w:rsidRDefault="008E5176">
    <w:pPr>
      <w:pStyle w:val="Stopka"/>
      <w:jc w:val="center"/>
    </w:pPr>
    <w:r>
      <w:fldChar w:fldCharType="begin"/>
    </w:r>
    <w:r>
      <w:instrText>PAGE   \* MERGEFORMAT</w:instrText>
    </w:r>
    <w:r>
      <w:fldChar w:fldCharType="separate"/>
    </w:r>
    <w:r w:rsidR="00E12650">
      <w:rPr>
        <w:noProof/>
      </w:rPr>
      <w:t>44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BA4" w:rsidRDefault="006D4BA4">
      <w:r>
        <w:separator/>
      </w:r>
    </w:p>
  </w:footnote>
  <w:footnote w:type="continuationSeparator" w:id="0">
    <w:p w:rsidR="006D4BA4" w:rsidRDefault="006D4BA4">
      <w:r>
        <w:continuationSeparator/>
      </w:r>
    </w:p>
  </w:footnote>
  <w:footnote w:id="1">
    <w:p w:rsidR="008E5176" w:rsidRDefault="008E5176" w:rsidP="00BC4C23">
      <w:pPr>
        <w:pStyle w:val="Tekstprzypisudolnego"/>
        <w:tabs>
          <w:tab w:val="left" w:pos="284"/>
        </w:tabs>
        <w:ind w:left="284" w:hanging="284"/>
        <w:jc w:val="both"/>
      </w:pPr>
      <w:r>
        <w:rPr>
          <w:rStyle w:val="Odwoanieprzypisudolnego"/>
        </w:rPr>
        <w:footnoteRef/>
      </w:r>
      <w:r>
        <w:rPr>
          <w:vertAlign w:val="superscript"/>
        </w:rPr>
        <w:t>)</w:t>
      </w:r>
      <w:r>
        <w:tab/>
        <w:t>Rozporządzenie Parlamentu Europejskiego i Rady (UE) nr 1025/2012 z dnia 25 października 2012 r. w sprawie normalizacji europejskiej, zmieniające dyrektywy Rady 89/686/EWG i 93/15/EWG oraz dyrektywy Parlamentu Europejskiego i Rady 94/9/WE, 95/16/WE, 97/23/WE, 98/34/WE, 2004/22/WE, 2007/23/WE, 2009/23/WE i 2009/105/WE oraz uchylające decyzję Rady 87/95/EWG i decyzję Parlamentu Europejskiego i Rady nr 1673/2006/WE (Dz. Urz. UE L 316 z 14.11.2012, str. 12).</w:t>
      </w:r>
    </w:p>
  </w:footnote>
  <w:footnote w:id="2">
    <w:p w:rsidR="008E5176" w:rsidRDefault="008E5176" w:rsidP="00406F7B">
      <w:pPr>
        <w:pStyle w:val="Tekstprzypisudolnego"/>
        <w:tabs>
          <w:tab w:val="left" w:pos="284"/>
        </w:tabs>
        <w:ind w:left="284" w:hanging="284"/>
        <w:jc w:val="both"/>
      </w:pPr>
      <w:r>
        <w:rPr>
          <w:rStyle w:val="Odwoanieprzypisudolnego"/>
        </w:rPr>
        <w:footnoteRef/>
      </w:r>
      <w:r>
        <w:rPr>
          <w:vertAlign w:val="superscript"/>
        </w:rPr>
        <w:t>)</w:t>
      </w:r>
      <w:r>
        <w:tab/>
        <w:t>Rozporządzenie Parlamentu Europejskiego i Rady (WE) nr 765/2008 z dnia 9 lipca 2008 r. ustanawiające wymagania w zakresie akredytacji i nadzoru rynku odnoszące się do warunków wprowadzania produktów do obrotu i uchylające rozporządzenie (EWG) nr 339/93 (Dz. Urz. UE L 218 z 13.08.2008, str. 30) – dalej: rozporządzenie 765/2008/WE.</w:t>
      </w:r>
    </w:p>
  </w:footnote>
  <w:footnote w:id="3">
    <w:p w:rsidR="008E5176" w:rsidRDefault="008E5176" w:rsidP="00406F7B">
      <w:pPr>
        <w:pStyle w:val="Tekstprzypisudolnego"/>
        <w:tabs>
          <w:tab w:val="left" w:pos="284"/>
        </w:tabs>
        <w:ind w:left="284" w:hanging="284"/>
        <w:jc w:val="both"/>
      </w:pPr>
      <w:r>
        <w:rPr>
          <w:rStyle w:val="Odwoanieprzypisudolnego"/>
        </w:rPr>
        <w:footnoteRef/>
      </w:r>
      <w:r>
        <w:rPr>
          <w:vertAlign w:val="superscript"/>
        </w:rPr>
        <w:t>)</w:t>
      </w:r>
      <w:r>
        <w:tab/>
        <w:t>Decyzja Parlamentu Europejskiego i Rady nr 768/2008/WE z dnia 9 lipca 2008 r. w sprawie wspólnych ram dotyczących wprowadzania produktów do obrotu, uchylająca decyzję Rady 93/465/EWG (Dz. Urz. UE L 218 z 13.08.2008, str. 82) – dalej: decyzja 768/2008/WE.</w:t>
      </w:r>
    </w:p>
  </w:footnote>
  <w:footnote w:id="4">
    <w:p w:rsidR="008E5176" w:rsidRPr="00F300EA" w:rsidRDefault="008E5176" w:rsidP="00406F7B">
      <w:pPr>
        <w:pStyle w:val="Tekstprzypisudolnego"/>
        <w:tabs>
          <w:tab w:val="left" w:pos="284"/>
        </w:tabs>
        <w:ind w:left="284" w:hanging="284"/>
        <w:jc w:val="both"/>
      </w:pPr>
      <w:r w:rsidRPr="00F300EA">
        <w:rPr>
          <w:rStyle w:val="Odwoanieprzypisudolnego"/>
        </w:rPr>
        <w:footnoteRef/>
      </w:r>
      <w:r>
        <w:rPr>
          <w:vertAlign w:val="superscript"/>
        </w:rPr>
        <w:t>)</w:t>
      </w:r>
      <w:r>
        <w:tab/>
      </w:r>
      <w:r w:rsidRPr="00F300EA">
        <w:t>Podmiot ten mógłby odgrywać rolę strategiczną, jako krajowy,</w:t>
      </w:r>
      <w:r>
        <w:t xml:space="preserve"> a nawet międzynarodowy lider w </w:t>
      </w:r>
      <w:r w:rsidRPr="00F300EA">
        <w:t>obszarze certyfikacji, wykorzystując swoją markę, pozycję w organizacjach międzynarodowych oraz szczególne relacje z instytucjami polskiego państwa. Instytuc</w:t>
      </w:r>
      <w:r>
        <w:t>je te potrzebują kompetentnej i </w:t>
      </w:r>
      <w:r w:rsidRPr="00F300EA">
        <w:t>zaufanej narodowej jednostki certyfikującej systemy zarządzania we wrażliwych i strategicznych obszarach, takich jak administracja publiczna, wymiar sprawiedliwości czy państwowe instytucje finansowe i ubezpieczeniowe. Tego typu wiodące narodowe jednos</w:t>
      </w:r>
      <w:r>
        <w:t>tki certyfikujące funkcjonują w </w:t>
      </w:r>
      <w:r w:rsidRPr="00F300EA">
        <w:t>wielu państwach</w:t>
      </w:r>
      <w:r>
        <w:t>,</w:t>
      </w:r>
      <w:r w:rsidRPr="00F300EA">
        <w:t xml:space="preserve"> osiągając obroty rzędu setek milionów euro rocznie (np. francuska AFNOR, niemiecki DQS, norwesko-fińska INSPECTA), podczas gdy dzisiejsze PCBC nie przekracza kilkunastu milionów, ale złotych. </w:t>
      </w:r>
      <w:r>
        <w:t>Wiele z nich odgrywa jednocześnie rolę krajowego organu normalizacyjnego lub bardzo mocno z takim organem współpracuje.</w:t>
      </w:r>
    </w:p>
  </w:footnote>
  <w:footnote w:id="5">
    <w:p w:rsidR="008E5176" w:rsidRPr="00CC7C50" w:rsidRDefault="008E5176" w:rsidP="007F14E6">
      <w:pPr>
        <w:pStyle w:val="Tekstprzypisudolnego"/>
        <w:tabs>
          <w:tab w:val="left" w:pos="284"/>
        </w:tabs>
        <w:ind w:left="284" w:hanging="284"/>
        <w:jc w:val="both"/>
      </w:pPr>
      <w:r>
        <w:rPr>
          <w:rStyle w:val="Odwoanieprzypisudolnego"/>
        </w:rPr>
        <w:footnoteRef/>
      </w:r>
      <w:r>
        <w:rPr>
          <w:vertAlign w:val="superscript"/>
        </w:rPr>
        <w:t>)</w:t>
      </w:r>
      <w:r>
        <w:tab/>
        <w:t>Zmiany tekstu jednolitego wymienionej ustawy zostały ogłoszone w Dz. U. z 2014 r. poz. 1101 oraz z </w:t>
      </w:r>
      <w:r w:rsidRPr="00EF28BB">
        <w:t>2015 r. poz. 277, 1069 i 1688</w:t>
      </w:r>
      <w:r>
        <w:t>.</w:t>
      </w:r>
    </w:p>
  </w:footnote>
  <w:footnote w:id="6">
    <w:p w:rsidR="008E5176" w:rsidRPr="00CC7C50" w:rsidRDefault="008E5176" w:rsidP="007F14E6">
      <w:pPr>
        <w:pStyle w:val="Tekstprzypisudolnego"/>
        <w:tabs>
          <w:tab w:val="left" w:pos="284"/>
        </w:tabs>
        <w:ind w:left="284" w:hanging="284"/>
        <w:jc w:val="both"/>
      </w:pPr>
      <w:r>
        <w:rPr>
          <w:rStyle w:val="Odwoanieprzypisudolnego"/>
        </w:rPr>
        <w:footnoteRef/>
      </w:r>
      <w:r>
        <w:rPr>
          <w:vertAlign w:val="superscript"/>
        </w:rPr>
        <w:t>)</w:t>
      </w:r>
      <w:r>
        <w:tab/>
        <w:t>Zmiany tekstu jednolitego wymienionej ustawy zostały ogłoszone w Dz. U. z 2014 r. poz. 822 i 1662 oraz z 2015 r. poz. 1223 i 1918.</w:t>
      </w:r>
    </w:p>
  </w:footnote>
  <w:footnote w:id="7">
    <w:p w:rsidR="008E5176" w:rsidRDefault="008E5176" w:rsidP="007F14E6">
      <w:pPr>
        <w:pStyle w:val="Tekstprzypisudolnego"/>
        <w:tabs>
          <w:tab w:val="left" w:pos="284"/>
        </w:tabs>
        <w:ind w:left="284" w:hanging="284"/>
        <w:jc w:val="both"/>
      </w:pPr>
      <w:r>
        <w:rPr>
          <w:rStyle w:val="Odwoanieprzypisudolnego"/>
        </w:rPr>
        <w:footnoteRef/>
      </w:r>
      <w:r>
        <w:rPr>
          <w:rStyle w:val="IGindeksgrny"/>
        </w:rPr>
        <w:t>)</w:t>
      </w:r>
      <w:r>
        <w:tab/>
      </w:r>
      <w:r w:rsidRPr="0094630C">
        <w:t xml:space="preserve">Zmiany </w:t>
      </w:r>
      <w:r>
        <w:t xml:space="preserve">tekstu jednolitego </w:t>
      </w:r>
      <w:r w:rsidRPr="0094630C">
        <w:t xml:space="preserve">wymienionej ustawy zostały ogłoszone w Dz. U. z 2015 r. poz. </w:t>
      </w:r>
      <w:r>
        <w:t>1741, 1753, 1777 i 1893.</w:t>
      </w:r>
    </w:p>
  </w:footnote>
  <w:footnote w:id="8">
    <w:p w:rsidR="008E5176" w:rsidRPr="00CC7C50" w:rsidRDefault="008E5176" w:rsidP="007F14E6">
      <w:pPr>
        <w:pStyle w:val="Tekstprzypisudolnego"/>
        <w:tabs>
          <w:tab w:val="left" w:pos="284"/>
        </w:tabs>
        <w:ind w:left="284" w:hanging="284"/>
        <w:jc w:val="both"/>
      </w:pPr>
      <w:r>
        <w:rPr>
          <w:rStyle w:val="Odwoanieprzypisudolnego"/>
        </w:rPr>
        <w:footnoteRef/>
      </w:r>
      <w:r>
        <w:rPr>
          <w:vertAlign w:val="superscript"/>
        </w:rPr>
        <w:t>)</w:t>
      </w:r>
      <w:r>
        <w:tab/>
        <w:t>Zmiany tekstu jednolitego wymienionej ustawy zostały ogłoszone w Dz. U. z 2014 r. poz. 827 oraz z 2015 r. poz. 1069 i 2281.</w:t>
      </w:r>
    </w:p>
  </w:footnote>
  <w:footnote w:id="9">
    <w:p w:rsidR="008E5176" w:rsidRDefault="008E5176" w:rsidP="007F14E6">
      <w:pPr>
        <w:pStyle w:val="Tekstprzypisudolnego"/>
        <w:tabs>
          <w:tab w:val="left" w:pos="284"/>
        </w:tabs>
        <w:ind w:left="284" w:hanging="284"/>
        <w:jc w:val="both"/>
      </w:pPr>
      <w:r w:rsidRPr="00511FB8">
        <w:rPr>
          <w:rStyle w:val="Odwoanieprzypisudolnego"/>
        </w:rPr>
        <w:footnoteRef/>
      </w:r>
      <w:r w:rsidRPr="00511FB8">
        <w:rPr>
          <w:rStyle w:val="IGindeksgrny"/>
        </w:rPr>
        <w:t>)</w:t>
      </w:r>
      <w:r>
        <w:tab/>
      </w:r>
      <w:r w:rsidRPr="00511FB8">
        <w:t>Zmiany wymienionej ustawy zostały ogłoszone w Dz. U. z 2010 r. Nr 107, poz. 679</w:t>
      </w:r>
      <w:r>
        <w:t xml:space="preserve">, </w:t>
      </w:r>
      <w:r w:rsidRPr="00511FB8">
        <w:t>z 2</w:t>
      </w:r>
      <w:r>
        <w:t>012 r. poz. </w:t>
      </w:r>
      <w:r w:rsidRPr="00511FB8">
        <w:t>1445</w:t>
      </w:r>
      <w:r>
        <w:t xml:space="preserve"> oraz z 2015 r. poz. 2281</w:t>
      </w:r>
      <w:r w:rsidRPr="00511FB8">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410C"/>
    <w:multiLevelType w:val="hybridMultilevel"/>
    <w:tmpl w:val="2034AD5A"/>
    <w:lvl w:ilvl="0" w:tplc="76B0C57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A7380E"/>
    <w:multiLevelType w:val="hybridMultilevel"/>
    <w:tmpl w:val="4CC22E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AC4D85"/>
    <w:multiLevelType w:val="multilevel"/>
    <w:tmpl w:val="7A1E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BF2F52"/>
    <w:multiLevelType w:val="hybridMultilevel"/>
    <w:tmpl w:val="505C5A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0B36332"/>
    <w:multiLevelType w:val="hybridMultilevel"/>
    <w:tmpl w:val="1A08E2C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63533B1"/>
    <w:multiLevelType w:val="hybridMultilevel"/>
    <w:tmpl w:val="E20EBEE0"/>
    <w:lvl w:ilvl="0" w:tplc="76B0C57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6F5761A"/>
    <w:multiLevelType w:val="hybridMultilevel"/>
    <w:tmpl w:val="CD40AA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23691924"/>
    <w:multiLevelType w:val="hybridMultilevel"/>
    <w:tmpl w:val="4A7C0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62E7ABE"/>
    <w:multiLevelType w:val="hybridMultilevel"/>
    <w:tmpl w:val="3FD64B64"/>
    <w:lvl w:ilvl="0" w:tplc="76B0C57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93146E"/>
    <w:multiLevelType w:val="hybridMultilevel"/>
    <w:tmpl w:val="039A98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0623B9E"/>
    <w:multiLevelType w:val="hybridMultilevel"/>
    <w:tmpl w:val="D65038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11F15C1"/>
    <w:multiLevelType w:val="hybridMultilevel"/>
    <w:tmpl w:val="583A30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44F3E88"/>
    <w:multiLevelType w:val="hybridMultilevel"/>
    <w:tmpl w:val="2AC64DF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nsid w:val="55FA1A8F"/>
    <w:multiLevelType w:val="hybridMultilevel"/>
    <w:tmpl w:val="102E3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655B1FCC"/>
    <w:multiLevelType w:val="hybridMultilevel"/>
    <w:tmpl w:val="AC002DAA"/>
    <w:lvl w:ilvl="0" w:tplc="2050029A">
      <w:start w:val="1"/>
      <w:numFmt w:val="decimal"/>
      <w:lvlText w:val="%1)"/>
      <w:lvlJc w:val="left"/>
      <w:pPr>
        <w:tabs>
          <w:tab w:val="num" w:pos="360"/>
        </w:tabs>
        <w:ind w:left="360" w:hanging="360"/>
      </w:pPr>
      <w:rPr>
        <w:rFonts w:cs="Times New Roman" w:hint="default"/>
        <w:b w:val="0"/>
        <w:i w:val="0"/>
        <w:color w:val="00000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6">
    <w:nsid w:val="6F5D13F4"/>
    <w:multiLevelType w:val="hybridMultilevel"/>
    <w:tmpl w:val="C07C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1"/>
  </w:num>
  <w:num w:numId="6">
    <w:abstractNumId w:val="5"/>
  </w:num>
  <w:num w:numId="7">
    <w:abstractNumId w:val="8"/>
  </w:num>
  <w:num w:numId="8">
    <w:abstractNumId w:val="0"/>
  </w:num>
  <w:num w:numId="9">
    <w:abstractNumId w:val="16"/>
  </w:num>
  <w:num w:numId="10">
    <w:abstractNumId w:val="11"/>
  </w:num>
  <w:num w:numId="11">
    <w:abstractNumId w:val="12"/>
  </w:num>
  <w:num w:numId="12">
    <w:abstractNumId w:val="9"/>
  </w:num>
  <w:num w:numId="13">
    <w:abstractNumId w:val="10"/>
  </w:num>
  <w:num w:numId="14">
    <w:abstractNumId w:val="7"/>
  </w:num>
  <w:num w:numId="15">
    <w:abstractNumId w:val="14"/>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6D"/>
    <w:rsid w:val="00003F97"/>
    <w:rsid w:val="00005DC3"/>
    <w:rsid w:val="000101B8"/>
    <w:rsid w:val="000116C3"/>
    <w:rsid w:val="00026247"/>
    <w:rsid w:val="00035968"/>
    <w:rsid w:val="000412ED"/>
    <w:rsid w:val="00044506"/>
    <w:rsid w:val="00052FD3"/>
    <w:rsid w:val="00064C7A"/>
    <w:rsid w:val="00066CCF"/>
    <w:rsid w:val="00074C0E"/>
    <w:rsid w:val="00092755"/>
    <w:rsid w:val="00094820"/>
    <w:rsid w:val="000D0335"/>
    <w:rsid w:val="000D446B"/>
    <w:rsid w:val="000D6DAB"/>
    <w:rsid w:val="000E3483"/>
    <w:rsid w:val="000E5B29"/>
    <w:rsid w:val="000E6092"/>
    <w:rsid w:val="000E7611"/>
    <w:rsid w:val="000F04D0"/>
    <w:rsid w:val="000F1B57"/>
    <w:rsid w:val="000F1F9B"/>
    <w:rsid w:val="000F4682"/>
    <w:rsid w:val="001025E4"/>
    <w:rsid w:val="00115BB8"/>
    <w:rsid w:val="00126C27"/>
    <w:rsid w:val="00132DF1"/>
    <w:rsid w:val="00132EDB"/>
    <w:rsid w:val="0014367E"/>
    <w:rsid w:val="00143870"/>
    <w:rsid w:val="00150FE4"/>
    <w:rsid w:val="00156CD4"/>
    <w:rsid w:val="001671A9"/>
    <w:rsid w:val="00176796"/>
    <w:rsid w:val="0018411C"/>
    <w:rsid w:val="001845FF"/>
    <w:rsid w:val="00195BD6"/>
    <w:rsid w:val="001A035A"/>
    <w:rsid w:val="001A407A"/>
    <w:rsid w:val="001A512D"/>
    <w:rsid w:val="001A5E6D"/>
    <w:rsid w:val="001B058E"/>
    <w:rsid w:val="001B284D"/>
    <w:rsid w:val="001B5262"/>
    <w:rsid w:val="001B5AEB"/>
    <w:rsid w:val="001C103E"/>
    <w:rsid w:val="001D1808"/>
    <w:rsid w:val="00200D40"/>
    <w:rsid w:val="00204454"/>
    <w:rsid w:val="00204742"/>
    <w:rsid w:val="002063C8"/>
    <w:rsid w:val="0020659C"/>
    <w:rsid w:val="0021083A"/>
    <w:rsid w:val="0021276D"/>
    <w:rsid w:val="00220176"/>
    <w:rsid w:val="00220AF8"/>
    <w:rsid w:val="00223CBB"/>
    <w:rsid w:val="002242DC"/>
    <w:rsid w:val="00225195"/>
    <w:rsid w:val="00227707"/>
    <w:rsid w:val="00230E4F"/>
    <w:rsid w:val="00247420"/>
    <w:rsid w:val="00247B95"/>
    <w:rsid w:val="0025380D"/>
    <w:rsid w:val="002727EB"/>
    <w:rsid w:val="002760BC"/>
    <w:rsid w:val="002940C4"/>
    <w:rsid w:val="00296451"/>
    <w:rsid w:val="002A4F7E"/>
    <w:rsid w:val="002C0BE9"/>
    <w:rsid w:val="002D1BEB"/>
    <w:rsid w:val="002D53F8"/>
    <w:rsid w:val="002D547D"/>
    <w:rsid w:val="002D7F51"/>
    <w:rsid w:val="002F1E9A"/>
    <w:rsid w:val="00310E53"/>
    <w:rsid w:val="00314231"/>
    <w:rsid w:val="003150AE"/>
    <w:rsid w:val="00316D1A"/>
    <w:rsid w:val="0033538E"/>
    <w:rsid w:val="003413B9"/>
    <w:rsid w:val="003430F9"/>
    <w:rsid w:val="00343685"/>
    <w:rsid w:val="00344A05"/>
    <w:rsid w:val="003535B3"/>
    <w:rsid w:val="00356462"/>
    <w:rsid w:val="00376EFD"/>
    <w:rsid w:val="00381CB9"/>
    <w:rsid w:val="003A02E1"/>
    <w:rsid w:val="003A4040"/>
    <w:rsid w:val="003B3986"/>
    <w:rsid w:val="003B4632"/>
    <w:rsid w:val="003B59ED"/>
    <w:rsid w:val="003B5F13"/>
    <w:rsid w:val="003C2C12"/>
    <w:rsid w:val="003D151B"/>
    <w:rsid w:val="003D361E"/>
    <w:rsid w:val="003F178F"/>
    <w:rsid w:val="003F23F4"/>
    <w:rsid w:val="00406F7B"/>
    <w:rsid w:val="00415DC1"/>
    <w:rsid w:val="00415E2F"/>
    <w:rsid w:val="0042019A"/>
    <w:rsid w:val="0042553C"/>
    <w:rsid w:val="00436B64"/>
    <w:rsid w:val="0043786F"/>
    <w:rsid w:val="00440CE9"/>
    <w:rsid w:val="00445F85"/>
    <w:rsid w:val="00450472"/>
    <w:rsid w:val="00450D31"/>
    <w:rsid w:val="004522B6"/>
    <w:rsid w:val="00455E00"/>
    <w:rsid w:val="0047109F"/>
    <w:rsid w:val="00472A08"/>
    <w:rsid w:val="00481EDA"/>
    <w:rsid w:val="0048398A"/>
    <w:rsid w:val="00485DBD"/>
    <w:rsid w:val="00486843"/>
    <w:rsid w:val="00486F53"/>
    <w:rsid w:val="00490F9D"/>
    <w:rsid w:val="00493F8E"/>
    <w:rsid w:val="004A175F"/>
    <w:rsid w:val="004A28EC"/>
    <w:rsid w:val="004A5B7F"/>
    <w:rsid w:val="004A7263"/>
    <w:rsid w:val="004A7DB3"/>
    <w:rsid w:val="004B1DD1"/>
    <w:rsid w:val="004B5CC1"/>
    <w:rsid w:val="004C0A90"/>
    <w:rsid w:val="004C1C32"/>
    <w:rsid w:val="004C3714"/>
    <w:rsid w:val="004C50E8"/>
    <w:rsid w:val="004D29AF"/>
    <w:rsid w:val="004F2398"/>
    <w:rsid w:val="005048CA"/>
    <w:rsid w:val="00511885"/>
    <w:rsid w:val="00511DB1"/>
    <w:rsid w:val="00512837"/>
    <w:rsid w:val="00514CB7"/>
    <w:rsid w:val="00523E45"/>
    <w:rsid w:val="005242B3"/>
    <w:rsid w:val="00526326"/>
    <w:rsid w:val="0054499F"/>
    <w:rsid w:val="00571822"/>
    <w:rsid w:val="00573150"/>
    <w:rsid w:val="00582D92"/>
    <w:rsid w:val="00583239"/>
    <w:rsid w:val="00583774"/>
    <w:rsid w:val="0058492C"/>
    <w:rsid w:val="005901AE"/>
    <w:rsid w:val="00591446"/>
    <w:rsid w:val="005978C5"/>
    <w:rsid w:val="005A4534"/>
    <w:rsid w:val="005B087F"/>
    <w:rsid w:val="005B1AC1"/>
    <w:rsid w:val="005C07F4"/>
    <w:rsid w:val="005C143E"/>
    <w:rsid w:val="005D57EF"/>
    <w:rsid w:val="005D68E4"/>
    <w:rsid w:val="005F2590"/>
    <w:rsid w:val="006040B9"/>
    <w:rsid w:val="0060635F"/>
    <w:rsid w:val="00613D5C"/>
    <w:rsid w:val="0062701E"/>
    <w:rsid w:val="00637F8E"/>
    <w:rsid w:val="00640A0C"/>
    <w:rsid w:val="00641552"/>
    <w:rsid w:val="00643C0A"/>
    <w:rsid w:val="00657B74"/>
    <w:rsid w:val="0067571B"/>
    <w:rsid w:val="00675A24"/>
    <w:rsid w:val="00680EF3"/>
    <w:rsid w:val="006839F0"/>
    <w:rsid w:val="00686476"/>
    <w:rsid w:val="006A179F"/>
    <w:rsid w:val="006A21AF"/>
    <w:rsid w:val="006B0814"/>
    <w:rsid w:val="006C1252"/>
    <w:rsid w:val="006C183E"/>
    <w:rsid w:val="006C63E5"/>
    <w:rsid w:val="006D0730"/>
    <w:rsid w:val="006D0DC6"/>
    <w:rsid w:val="006D4BA4"/>
    <w:rsid w:val="006E1005"/>
    <w:rsid w:val="006E3172"/>
    <w:rsid w:val="006F2815"/>
    <w:rsid w:val="006F3228"/>
    <w:rsid w:val="007043C2"/>
    <w:rsid w:val="00712414"/>
    <w:rsid w:val="00714CF9"/>
    <w:rsid w:val="007215B3"/>
    <w:rsid w:val="0072603D"/>
    <w:rsid w:val="00734518"/>
    <w:rsid w:val="00754CF4"/>
    <w:rsid w:val="007615B4"/>
    <w:rsid w:val="00761839"/>
    <w:rsid w:val="0076280F"/>
    <w:rsid w:val="007701C8"/>
    <w:rsid w:val="00770811"/>
    <w:rsid w:val="007711EF"/>
    <w:rsid w:val="00772F68"/>
    <w:rsid w:val="0077329B"/>
    <w:rsid w:val="007837AA"/>
    <w:rsid w:val="007911FC"/>
    <w:rsid w:val="007B3785"/>
    <w:rsid w:val="007B62F2"/>
    <w:rsid w:val="007C0F4C"/>
    <w:rsid w:val="007C7782"/>
    <w:rsid w:val="007C7982"/>
    <w:rsid w:val="007E2882"/>
    <w:rsid w:val="007E7C14"/>
    <w:rsid w:val="007F14E6"/>
    <w:rsid w:val="007F58AF"/>
    <w:rsid w:val="007F6069"/>
    <w:rsid w:val="007F6522"/>
    <w:rsid w:val="007F69EB"/>
    <w:rsid w:val="007F78D7"/>
    <w:rsid w:val="00810A25"/>
    <w:rsid w:val="00816E8B"/>
    <w:rsid w:val="008204FE"/>
    <w:rsid w:val="008246CA"/>
    <w:rsid w:val="008247DD"/>
    <w:rsid w:val="00824C4D"/>
    <w:rsid w:val="008368FF"/>
    <w:rsid w:val="00841E1D"/>
    <w:rsid w:val="00844DEA"/>
    <w:rsid w:val="00845281"/>
    <w:rsid w:val="0086104C"/>
    <w:rsid w:val="0088578C"/>
    <w:rsid w:val="00897AE6"/>
    <w:rsid w:val="008A2908"/>
    <w:rsid w:val="008A5B5A"/>
    <w:rsid w:val="008B36EB"/>
    <w:rsid w:val="008D1A92"/>
    <w:rsid w:val="008D1BDC"/>
    <w:rsid w:val="008D631F"/>
    <w:rsid w:val="008E00D6"/>
    <w:rsid w:val="008E2230"/>
    <w:rsid w:val="008E3622"/>
    <w:rsid w:val="008E3CCD"/>
    <w:rsid w:val="008E5176"/>
    <w:rsid w:val="008E7A4C"/>
    <w:rsid w:val="009030BB"/>
    <w:rsid w:val="0090346F"/>
    <w:rsid w:val="00903FCB"/>
    <w:rsid w:val="00905DA2"/>
    <w:rsid w:val="00923009"/>
    <w:rsid w:val="00923E29"/>
    <w:rsid w:val="009273C9"/>
    <w:rsid w:val="0093686C"/>
    <w:rsid w:val="009419C7"/>
    <w:rsid w:val="00942E88"/>
    <w:rsid w:val="009518CE"/>
    <w:rsid w:val="00953084"/>
    <w:rsid w:val="00953CAB"/>
    <w:rsid w:val="00954CBE"/>
    <w:rsid w:val="00954F10"/>
    <w:rsid w:val="00972BEB"/>
    <w:rsid w:val="00972E57"/>
    <w:rsid w:val="00974D55"/>
    <w:rsid w:val="00981CFF"/>
    <w:rsid w:val="00985166"/>
    <w:rsid w:val="009878A8"/>
    <w:rsid w:val="009901D6"/>
    <w:rsid w:val="00991C56"/>
    <w:rsid w:val="00996A5B"/>
    <w:rsid w:val="009A7A89"/>
    <w:rsid w:val="009B1613"/>
    <w:rsid w:val="009B1A24"/>
    <w:rsid w:val="009B1C31"/>
    <w:rsid w:val="009B2C57"/>
    <w:rsid w:val="009B7030"/>
    <w:rsid w:val="009C264C"/>
    <w:rsid w:val="009C5BAE"/>
    <w:rsid w:val="009C73C2"/>
    <w:rsid w:val="009D383C"/>
    <w:rsid w:val="009D551C"/>
    <w:rsid w:val="009E206D"/>
    <w:rsid w:val="009E3817"/>
    <w:rsid w:val="009F207A"/>
    <w:rsid w:val="009F49C3"/>
    <w:rsid w:val="00A0199D"/>
    <w:rsid w:val="00A04D22"/>
    <w:rsid w:val="00A2378F"/>
    <w:rsid w:val="00A26543"/>
    <w:rsid w:val="00A30D85"/>
    <w:rsid w:val="00A3429B"/>
    <w:rsid w:val="00A367E8"/>
    <w:rsid w:val="00A432DA"/>
    <w:rsid w:val="00A60D8D"/>
    <w:rsid w:val="00A74739"/>
    <w:rsid w:val="00A75111"/>
    <w:rsid w:val="00A82F0A"/>
    <w:rsid w:val="00A848B2"/>
    <w:rsid w:val="00A859FE"/>
    <w:rsid w:val="00A91A06"/>
    <w:rsid w:val="00A930A5"/>
    <w:rsid w:val="00AB1B04"/>
    <w:rsid w:val="00AB6562"/>
    <w:rsid w:val="00AC045F"/>
    <w:rsid w:val="00AC3D9B"/>
    <w:rsid w:val="00AD6B40"/>
    <w:rsid w:val="00AE0ED6"/>
    <w:rsid w:val="00B030F8"/>
    <w:rsid w:val="00B04240"/>
    <w:rsid w:val="00B06E21"/>
    <w:rsid w:val="00B23378"/>
    <w:rsid w:val="00B30F16"/>
    <w:rsid w:val="00B44A4D"/>
    <w:rsid w:val="00B459A5"/>
    <w:rsid w:val="00B57F5B"/>
    <w:rsid w:val="00B70628"/>
    <w:rsid w:val="00B71D85"/>
    <w:rsid w:val="00B740EE"/>
    <w:rsid w:val="00B80C94"/>
    <w:rsid w:val="00B835CB"/>
    <w:rsid w:val="00B93966"/>
    <w:rsid w:val="00B9463B"/>
    <w:rsid w:val="00BA10B3"/>
    <w:rsid w:val="00BA1850"/>
    <w:rsid w:val="00BB45CB"/>
    <w:rsid w:val="00BC077B"/>
    <w:rsid w:val="00BC4C23"/>
    <w:rsid w:val="00BD14DE"/>
    <w:rsid w:val="00BD35B4"/>
    <w:rsid w:val="00BE035E"/>
    <w:rsid w:val="00BF5839"/>
    <w:rsid w:val="00BF59C3"/>
    <w:rsid w:val="00BF65A1"/>
    <w:rsid w:val="00C0282E"/>
    <w:rsid w:val="00C1218E"/>
    <w:rsid w:val="00C139A8"/>
    <w:rsid w:val="00C13C7F"/>
    <w:rsid w:val="00C152DB"/>
    <w:rsid w:val="00C16BE0"/>
    <w:rsid w:val="00C16BF5"/>
    <w:rsid w:val="00C22A71"/>
    <w:rsid w:val="00C27BD5"/>
    <w:rsid w:val="00C42364"/>
    <w:rsid w:val="00C51034"/>
    <w:rsid w:val="00C54769"/>
    <w:rsid w:val="00C55F55"/>
    <w:rsid w:val="00C57D97"/>
    <w:rsid w:val="00C605AE"/>
    <w:rsid w:val="00C74BA5"/>
    <w:rsid w:val="00C77392"/>
    <w:rsid w:val="00C82B3E"/>
    <w:rsid w:val="00C874EF"/>
    <w:rsid w:val="00CA3943"/>
    <w:rsid w:val="00CB0FD7"/>
    <w:rsid w:val="00CB3C3B"/>
    <w:rsid w:val="00CB6483"/>
    <w:rsid w:val="00CC3C95"/>
    <w:rsid w:val="00CC7735"/>
    <w:rsid w:val="00CD04F9"/>
    <w:rsid w:val="00CD1452"/>
    <w:rsid w:val="00CD2F05"/>
    <w:rsid w:val="00CD3733"/>
    <w:rsid w:val="00CD66A5"/>
    <w:rsid w:val="00CE28A4"/>
    <w:rsid w:val="00D00522"/>
    <w:rsid w:val="00D0390D"/>
    <w:rsid w:val="00D03931"/>
    <w:rsid w:val="00D1090D"/>
    <w:rsid w:val="00D1707B"/>
    <w:rsid w:val="00D172DE"/>
    <w:rsid w:val="00D248C9"/>
    <w:rsid w:val="00D27277"/>
    <w:rsid w:val="00D329A7"/>
    <w:rsid w:val="00D34619"/>
    <w:rsid w:val="00D3564E"/>
    <w:rsid w:val="00D41592"/>
    <w:rsid w:val="00D43284"/>
    <w:rsid w:val="00D46C04"/>
    <w:rsid w:val="00D476D2"/>
    <w:rsid w:val="00D503DC"/>
    <w:rsid w:val="00D53100"/>
    <w:rsid w:val="00D57738"/>
    <w:rsid w:val="00D611BF"/>
    <w:rsid w:val="00D63191"/>
    <w:rsid w:val="00D63D22"/>
    <w:rsid w:val="00D64373"/>
    <w:rsid w:val="00D73694"/>
    <w:rsid w:val="00D85747"/>
    <w:rsid w:val="00D90B6D"/>
    <w:rsid w:val="00D940C8"/>
    <w:rsid w:val="00D96751"/>
    <w:rsid w:val="00DA2CB4"/>
    <w:rsid w:val="00DB7F00"/>
    <w:rsid w:val="00DC6CDA"/>
    <w:rsid w:val="00DD2601"/>
    <w:rsid w:val="00DE00CF"/>
    <w:rsid w:val="00DE17EB"/>
    <w:rsid w:val="00DE6905"/>
    <w:rsid w:val="00DE6F68"/>
    <w:rsid w:val="00DF449A"/>
    <w:rsid w:val="00DF6138"/>
    <w:rsid w:val="00DF6CF2"/>
    <w:rsid w:val="00E02CE9"/>
    <w:rsid w:val="00E07A01"/>
    <w:rsid w:val="00E12650"/>
    <w:rsid w:val="00E12F81"/>
    <w:rsid w:val="00E17549"/>
    <w:rsid w:val="00E2596D"/>
    <w:rsid w:val="00E25CDF"/>
    <w:rsid w:val="00E46A83"/>
    <w:rsid w:val="00E47ABD"/>
    <w:rsid w:val="00E5096A"/>
    <w:rsid w:val="00E61669"/>
    <w:rsid w:val="00E67F69"/>
    <w:rsid w:val="00E76AB5"/>
    <w:rsid w:val="00E76D0D"/>
    <w:rsid w:val="00E84B77"/>
    <w:rsid w:val="00E94E96"/>
    <w:rsid w:val="00E95B9C"/>
    <w:rsid w:val="00E95FD1"/>
    <w:rsid w:val="00EA41E2"/>
    <w:rsid w:val="00EA5FC4"/>
    <w:rsid w:val="00EB5FFC"/>
    <w:rsid w:val="00EB6801"/>
    <w:rsid w:val="00EC191D"/>
    <w:rsid w:val="00EC2D78"/>
    <w:rsid w:val="00EC7688"/>
    <w:rsid w:val="00EE2A8B"/>
    <w:rsid w:val="00EF0363"/>
    <w:rsid w:val="00EF5B65"/>
    <w:rsid w:val="00EF70CD"/>
    <w:rsid w:val="00F14FB1"/>
    <w:rsid w:val="00F2607F"/>
    <w:rsid w:val="00F300EA"/>
    <w:rsid w:val="00F4618A"/>
    <w:rsid w:val="00F5488D"/>
    <w:rsid w:val="00F64F79"/>
    <w:rsid w:val="00F7785C"/>
    <w:rsid w:val="00F804F3"/>
    <w:rsid w:val="00F81B2B"/>
    <w:rsid w:val="00F8296F"/>
    <w:rsid w:val="00F90065"/>
    <w:rsid w:val="00F90AE4"/>
    <w:rsid w:val="00F90E34"/>
    <w:rsid w:val="00FB5502"/>
    <w:rsid w:val="00FB73C3"/>
    <w:rsid w:val="00FC2E0A"/>
    <w:rsid w:val="00FC4ACF"/>
    <w:rsid w:val="00FC6CF9"/>
    <w:rsid w:val="00FC6F6F"/>
    <w:rsid w:val="00FC7A86"/>
    <w:rsid w:val="00FD2621"/>
    <w:rsid w:val="00FE51AE"/>
    <w:rsid w:val="00FE5538"/>
    <w:rsid w:val="00FF03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6104C"/>
    <w:rPr>
      <w:b/>
      <w:bCs/>
    </w:rPr>
  </w:style>
  <w:style w:type="paragraph" w:styleId="Tekstprzypisudolnego">
    <w:name w:val="footnote text"/>
    <w:basedOn w:val="Normalny"/>
    <w:semiHidden/>
    <w:rsid w:val="00F300EA"/>
    <w:rPr>
      <w:sz w:val="20"/>
      <w:szCs w:val="20"/>
    </w:rPr>
  </w:style>
  <w:style w:type="character" w:styleId="Odwoanieprzypisudolnego">
    <w:name w:val="footnote reference"/>
    <w:semiHidden/>
    <w:rsid w:val="00F300EA"/>
    <w:rPr>
      <w:vertAlign w:val="superscript"/>
    </w:rPr>
  </w:style>
  <w:style w:type="paragraph" w:styleId="Tekstpodstawowy">
    <w:name w:val="Body Text"/>
    <w:basedOn w:val="Normalny"/>
    <w:link w:val="TekstpodstawowyZnak"/>
    <w:rsid w:val="00FE5538"/>
    <w:pPr>
      <w:spacing w:after="120"/>
    </w:pPr>
  </w:style>
  <w:style w:type="character" w:customStyle="1" w:styleId="TekstpodstawowyZnak">
    <w:name w:val="Tekst podstawowy Znak"/>
    <w:link w:val="Tekstpodstawowy"/>
    <w:semiHidden/>
    <w:locked/>
    <w:rsid w:val="00FE5538"/>
    <w:rPr>
      <w:sz w:val="24"/>
      <w:szCs w:val="24"/>
      <w:lang w:val="pl-PL" w:eastAsia="pl-PL" w:bidi="ar-SA"/>
    </w:rPr>
  </w:style>
  <w:style w:type="character" w:styleId="Hipercze">
    <w:name w:val="Hyperlink"/>
    <w:uiPriority w:val="99"/>
    <w:rsid w:val="00974D55"/>
    <w:rPr>
      <w:color w:val="0000FF"/>
      <w:u w:val="single"/>
    </w:rPr>
  </w:style>
  <w:style w:type="paragraph" w:styleId="Tekstprzypisukocowego">
    <w:name w:val="endnote text"/>
    <w:basedOn w:val="Normalny"/>
    <w:semiHidden/>
    <w:rsid w:val="009B2C57"/>
    <w:rPr>
      <w:sz w:val="20"/>
      <w:szCs w:val="20"/>
    </w:rPr>
  </w:style>
  <w:style w:type="character" w:styleId="Odwoanieprzypisukocowego">
    <w:name w:val="endnote reference"/>
    <w:semiHidden/>
    <w:rsid w:val="009B2C57"/>
    <w:rPr>
      <w:vertAlign w:val="superscript"/>
    </w:rPr>
  </w:style>
  <w:style w:type="paragraph" w:styleId="Tekstdymka">
    <w:name w:val="Balloon Text"/>
    <w:basedOn w:val="Normalny"/>
    <w:link w:val="TekstdymkaZnak"/>
    <w:rsid w:val="00D172DE"/>
    <w:rPr>
      <w:rFonts w:ascii="Tahoma" w:hAnsi="Tahoma"/>
      <w:sz w:val="16"/>
      <w:szCs w:val="16"/>
      <w:lang w:val="x-none" w:eastAsia="x-none"/>
    </w:rPr>
  </w:style>
  <w:style w:type="character" w:customStyle="1" w:styleId="TekstdymkaZnak">
    <w:name w:val="Tekst dymka Znak"/>
    <w:link w:val="Tekstdymka"/>
    <w:rsid w:val="00D172DE"/>
    <w:rPr>
      <w:rFonts w:ascii="Tahoma" w:hAnsi="Tahoma" w:cs="Tahoma"/>
      <w:sz w:val="16"/>
      <w:szCs w:val="16"/>
    </w:rPr>
  </w:style>
  <w:style w:type="paragraph" w:styleId="Tekstpodstawowy2">
    <w:name w:val="Body Text 2"/>
    <w:basedOn w:val="Normalny"/>
    <w:link w:val="Tekstpodstawowy2Znak"/>
    <w:rsid w:val="00A91A06"/>
    <w:pPr>
      <w:spacing w:after="120" w:line="480" w:lineRule="auto"/>
    </w:pPr>
    <w:rPr>
      <w:lang w:val="x-none" w:eastAsia="x-none"/>
    </w:rPr>
  </w:style>
  <w:style w:type="character" w:customStyle="1" w:styleId="Tekstpodstawowy2Znak">
    <w:name w:val="Tekst podstawowy 2 Znak"/>
    <w:link w:val="Tekstpodstawowy2"/>
    <w:rsid w:val="00A91A06"/>
    <w:rPr>
      <w:sz w:val="24"/>
      <w:szCs w:val="24"/>
    </w:rPr>
  </w:style>
  <w:style w:type="character" w:styleId="Odwoaniedokomentarza">
    <w:name w:val="annotation reference"/>
    <w:rsid w:val="00A91A06"/>
    <w:rPr>
      <w:sz w:val="16"/>
      <w:szCs w:val="16"/>
    </w:rPr>
  </w:style>
  <w:style w:type="paragraph" w:styleId="Tekstkomentarza">
    <w:name w:val="annotation text"/>
    <w:basedOn w:val="Normalny"/>
    <w:link w:val="TekstkomentarzaZnak"/>
    <w:rsid w:val="00A91A06"/>
    <w:rPr>
      <w:sz w:val="20"/>
      <w:szCs w:val="20"/>
    </w:rPr>
  </w:style>
  <w:style w:type="character" w:customStyle="1" w:styleId="TekstkomentarzaZnak">
    <w:name w:val="Tekst komentarza Znak"/>
    <w:basedOn w:val="Domylnaczcionkaakapitu"/>
    <w:link w:val="Tekstkomentarza"/>
    <w:rsid w:val="00A91A06"/>
  </w:style>
  <w:style w:type="paragraph" w:styleId="Tematkomentarza">
    <w:name w:val="annotation subject"/>
    <w:basedOn w:val="Tekstkomentarza"/>
    <w:next w:val="Tekstkomentarza"/>
    <w:link w:val="TematkomentarzaZnak"/>
    <w:rsid w:val="00EC191D"/>
    <w:rPr>
      <w:b/>
      <w:bCs/>
      <w:lang w:val="x-none" w:eastAsia="x-none"/>
    </w:rPr>
  </w:style>
  <w:style w:type="character" w:customStyle="1" w:styleId="TematkomentarzaZnak">
    <w:name w:val="Temat komentarza Znak"/>
    <w:link w:val="Tematkomentarza"/>
    <w:rsid w:val="00EC191D"/>
    <w:rPr>
      <w:b/>
      <w:bCs/>
    </w:rPr>
  </w:style>
  <w:style w:type="paragraph" w:customStyle="1" w:styleId="USTustnpkodeksu">
    <w:name w:val="UST(§) – ust. (§ np. kodeksu)"/>
    <w:basedOn w:val="Normalny"/>
    <w:link w:val="USTustnpkodeksuZnak"/>
    <w:uiPriority w:val="99"/>
    <w:rsid w:val="002063C8"/>
    <w:pPr>
      <w:suppressAutoHyphens/>
      <w:autoSpaceDE w:val="0"/>
      <w:autoSpaceDN w:val="0"/>
      <w:adjustRightInd w:val="0"/>
      <w:spacing w:line="360" w:lineRule="auto"/>
      <w:ind w:firstLine="510"/>
      <w:jc w:val="both"/>
    </w:pPr>
    <w:rPr>
      <w:rFonts w:ascii="Times" w:hAnsi="Times" w:cs="Arial"/>
      <w:bCs/>
      <w:szCs w:val="20"/>
    </w:rPr>
  </w:style>
  <w:style w:type="paragraph" w:customStyle="1" w:styleId="PKTpunkt">
    <w:name w:val="PKT – punkt"/>
    <w:link w:val="PKTpunktZnak"/>
    <w:uiPriority w:val="99"/>
    <w:rsid w:val="007215B3"/>
    <w:pPr>
      <w:spacing w:line="360" w:lineRule="auto"/>
      <w:ind w:left="510" w:hanging="510"/>
      <w:jc w:val="both"/>
    </w:pPr>
    <w:rPr>
      <w:rFonts w:ascii="Times" w:hAnsi="Times"/>
      <w:bCs/>
      <w:sz w:val="24"/>
    </w:rPr>
  </w:style>
  <w:style w:type="paragraph" w:styleId="Nagwek">
    <w:name w:val="header"/>
    <w:basedOn w:val="Normalny"/>
    <w:link w:val="NagwekZnak"/>
    <w:rsid w:val="000F04D0"/>
    <w:pPr>
      <w:tabs>
        <w:tab w:val="center" w:pos="4536"/>
        <w:tab w:val="right" w:pos="9072"/>
      </w:tabs>
    </w:pPr>
    <w:rPr>
      <w:lang w:val="x-none" w:eastAsia="x-none"/>
    </w:rPr>
  </w:style>
  <w:style w:type="character" w:customStyle="1" w:styleId="NagwekZnak">
    <w:name w:val="Nagłówek Znak"/>
    <w:link w:val="Nagwek"/>
    <w:rsid w:val="000F04D0"/>
    <w:rPr>
      <w:sz w:val="24"/>
      <w:szCs w:val="24"/>
    </w:rPr>
  </w:style>
  <w:style w:type="paragraph" w:styleId="Stopka">
    <w:name w:val="footer"/>
    <w:basedOn w:val="Normalny"/>
    <w:link w:val="StopkaZnak"/>
    <w:uiPriority w:val="99"/>
    <w:rsid w:val="000F04D0"/>
    <w:pPr>
      <w:tabs>
        <w:tab w:val="center" w:pos="4536"/>
        <w:tab w:val="right" w:pos="9072"/>
      </w:tabs>
    </w:pPr>
    <w:rPr>
      <w:lang w:val="x-none" w:eastAsia="x-none"/>
    </w:rPr>
  </w:style>
  <w:style w:type="character" w:customStyle="1" w:styleId="StopkaZnak">
    <w:name w:val="Stopka Znak"/>
    <w:link w:val="Stopka"/>
    <w:uiPriority w:val="99"/>
    <w:rsid w:val="000F04D0"/>
    <w:rPr>
      <w:sz w:val="24"/>
      <w:szCs w:val="24"/>
    </w:rPr>
  </w:style>
  <w:style w:type="character" w:customStyle="1" w:styleId="PKTpunktZnak">
    <w:name w:val="PKT – punkt Znak"/>
    <w:link w:val="PKTpunkt"/>
    <w:uiPriority w:val="99"/>
    <w:locked/>
    <w:rsid w:val="009F207A"/>
    <w:rPr>
      <w:rFonts w:ascii="Times" w:hAnsi="Times"/>
      <w:bCs/>
      <w:sz w:val="24"/>
      <w:lang w:bidi="ar-SA"/>
    </w:rPr>
  </w:style>
  <w:style w:type="character" w:customStyle="1" w:styleId="USTustnpkodeksuZnak">
    <w:name w:val="UST(§) – ust. (§ np. kodeksu) Znak"/>
    <w:basedOn w:val="Domylnaczcionkaakapitu"/>
    <w:link w:val="USTustnpkodeksu"/>
    <w:uiPriority w:val="99"/>
    <w:rsid w:val="009F207A"/>
    <w:rPr>
      <w:rFonts w:ascii="Times" w:hAnsi="Times" w:cs="Arial"/>
      <w:bCs/>
      <w:sz w:val="24"/>
    </w:rPr>
  </w:style>
  <w:style w:type="paragraph" w:customStyle="1" w:styleId="ODNONIKtreodnonika">
    <w:name w:val="ODNOŚNIK – treść odnośnika"/>
    <w:rsid w:val="00BF5839"/>
    <w:pPr>
      <w:ind w:left="284" w:hanging="284"/>
      <w:jc w:val="both"/>
    </w:pPr>
    <w:rPr>
      <w:rFonts w:cs="Arial"/>
    </w:rPr>
  </w:style>
  <w:style w:type="character" w:customStyle="1" w:styleId="IGindeksgrny">
    <w:name w:val="_IG_ – indeks górny"/>
    <w:rsid w:val="00BF5839"/>
    <w:rPr>
      <w:spacing w:val="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6104C"/>
    <w:rPr>
      <w:b/>
      <w:bCs/>
    </w:rPr>
  </w:style>
  <w:style w:type="paragraph" w:styleId="Tekstprzypisudolnego">
    <w:name w:val="footnote text"/>
    <w:basedOn w:val="Normalny"/>
    <w:semiHidden/>
    <w:rsid w:val="00F300EA"/>
    <w:rPr>
      <w:sz w:val="20"/>
      <w:szCs w:val="20"/>
    </w:rPr>
  </w:style>
  <w:style w:type="character" w:styleId="Odwoanieprzypisudolnego">
    <w:name w:val="footnote reference"/>
    <w:semiHidden/>
    <w:rsid w:val="00F300EA"/>
    <w:rPr>
      <w:vertAlign w:val="superscript"/>
    </w:rPr>
  </w:style>
  <w:style w:type="paragraph" w:styleId="Tekstpodstawowy">
    <w:name w:val="Body Text"/>
    <w:basedOn w:val="Normalny"/>
    <w:link w:val="TekstpodstawowyZnak"/>
    <w:rsid w:val="00FE5538"/>
    <w:pPr>
      <w:spacing w:after="120"/>
    </w:pPr>
  </w:style>
  <w:style w:type="character" w:customStyle="1" w:styleId="TekstpodstawowyZnak">
    <w:name w:val="Tekst podstawowy Znak"/>
    <w:link w:val="Tekstpodstawowy"/>
    <w:semiHidden/>
    <w:locked/>
    <w:rsid w:val="00FE5538"/>
    <w:rPr>
      <w:sz w:val="24"/>
      <w:szCs w:val="24"/>
      <w:lang w:val="pl-PL" w:eastAsia="pl-PL" w:bidi="ar-SA"/>
    </w:rPr>
  </w:style>
  <w:style w:type="character" w:styleId="Hipercze">
    <w:name w:val="Hyperlink"/>
    <w:uiPriority w:val="99"/>
    <w:rsid w:val="00974D55"/>
    <w:rPr>
      <w:color w:val="0000FF"/>
      <w:u w:val="single"/>
    </w:rPr>
  </w:style>
  <w:style w:type="paragraph" w:styleId="Tekstprzypisukocowego">
    <w:name w:val="endnote text"/>
    <w:basedOn w:val="Normalny"/>
    <w:semiHidden/>
    <w:rsid w:val="009B2C57"/>
    <w:rPr>
      <w:sz w:val="20"/>
      <w:szCs w:val="20"/>
    </w:rPr>
  </w:style>
  <w:style w:type="character" w:styleId="Odwoanieprzypisukocowego">
    <w:name w:val="endnote reference"/>
    <w:semiHidden/>
    <w:rsid w:val="009B2C57"/>
    <w:rPr>
      <w:vertAlign w:val="superscript"/>
    </w:rPr>
  </w:style>
  <w:style w:type="paragraph" w:styleId="Tekstdymka">
    <w:name w:val="Balloon Text"/>
    <w:basedOn w:val="Normalny"/>
    <w:link w:val="TekstdymkaZnak"/>
    <w:rsid w:val="00D172DE"/>
    <w:rPr>
      <w:rFonts w:ascii="Tahoma" w:hAnsi="Tahoma"/>
      <w:sz w:val="16"/>
      <w:szCs w:val="16"/>
      <w:lang w:val="x-none" w:eastAsia="x-none"/>
    </w:rPr>
  </w:style>
  <w:style w:type="character" w:customStyle="1" w:styleId="TekstdymkaZnak">
    <w:name w:val="Tekst dymka Znak"/>
    <w:link w:val="Tekstdymka"/>
    <w:rsid w:val="00D172DE"/>
    <w:rPr>
      <w:rFonts w:ascii="Tahoma" w:hAnsi="Tahoma" w:cs="Tahoma"/>
      <w:sz w:val="16"/>
      <w:szCs w:val="16"/>
    </w:rPr>
  </w:style>
  <w:style w:type="paragraph" w:styleId="Tekstpodstawowy2">
    <w:name w:val="Body Text 2"/>
    <w:basedOn w:val="Normalny"/>
    <w:link w:val="Tekstpodstawowy2Znak"/>
    <w:rsid w:val="00A91A06"/>
    <w:pPr>
      <w:spacing w:after="120" w:line="480" w:lineRule="auto"/>
    </w:pPr>
    <w:rPr>
      <w:lang w:val="x-none" w:eastAsia="x-none"/>
    </w:rPr>
  </w:style>
  <w:style w:type="character" w:customStyle="1" w:styleId="Tekstpodstawowy2Znak">
    <w:name w:val="Tekst podstawowy 2 Znak"/>
    <w:link w:val="Tekstpodstawowy2"/>
    <w:rsid w:val="00A91A06"/>
    <w:rPr>
      <w:sz w:val="24"/>
      <w:szCs w:val="24"/>
    </w:rPr>
  </w:style>
  <w:style w:type="character" w:styleId="Odwoaniedokomentarza">
    <w:name w:val="annotation reference"/>
    <w:rsid w:val="00A91A06"/>
    <w:rPr>
      <w:sz w:val="16"/>
      <w:szCs w:val="16"/>
    </w:rPr>
  </w:style>
  <w:style w:type="paragraph" w:styleId="Tekstkomentarza">
    <w:name w:val="annotation text"/>
    <w:basedOn w:val="Normalny"/>
    <w:link w:val="TekstkomentarzaZnak"/>
    <w:rsid w:val="00A91A06"/>
    <w:rPr>
      <w:sz w:val="20"/>
      <w:szCs w:val="20"/>
    </w:rPr>
  </w:style>
  <w:style w:type="character" w:customStyle="1" w:styleId="TekstkomentarzaZnak">
    <w:name w:val="Tekst komentarza Znak"/>
    <w:basedOn w:val="Domylnaczcionkaakapitu"/>
    <w:link w:val="Tekstkomentarza"/>
    <w:rsid w:val="00A91A06"/>
  </w:style>
  <w:style w:type="paragraph" w:styleId="Tematkomentarza">
    <w:name w:val="annotation subject"/>
    <w:basedOn w:val="Tekstkomentarza"/>
    <w:next w:val="Tekstkomentarza"/>
    <w:link w:val="TematkomentarzaZnak"/>
    <w:rsid w:val="00EC191D"/>
    <w:rPr>
      <w:b/>
      <w:bCs/>
      <w:lang w:val="x-none" w:eastAsia="x-none"/>
    </w:rPr>
  </w:style>
  <w:style w:type="character" w:customStyle="1" w:styleId="TematkomentarzaZnak">
    <w:name w:val="Temat komentarza Znak"/>
    <w:link w:val="Tematkomentarza"/>
    <w:rsid w:val="00EC191D"/>
    <w:rPr>
      <w:b/>
      <w:bCs/>
    </w:rPr>
  </w:style>
  <w:style w:type="paragraph" w:customStyle="1" w:styleId="USTustnpkodeksu">
    <w:name w:val="UST(§) – ust. (§ np. kodeksu)"/>
    <w:basedOn w:val="Normalny"/>
    <w:link w:val="USTustnpkodeksuZnak"/>
    <w:uiPriority w:val="99"/>
    <w:rsid w:val="002063C8"/>
    <w:pPr>
      <w:suppressAutoHyphens/>
      <w:autoSpaceDE w:val="0"/>
      <w:autoSpaceDN w:val="0"/>
      <w:adjustRightInd w:val="0"/>
      <w:spacing w:line="360" w:lineRule="auto"/>
      <w:ind w:firstLine="510"/>
      <w:jc w:val="both"/>
    </w:pPr>
    <w:rPr>
      <w:rFonts w:ascii="Times" w:hAnsi="Times" w:cs="Arial"/>
      <w:bCs/>
      <w:szCs w:val="20"/>
    </w:rPr>
  </w:style>
  <w:style w:type="paragraph" w:customStyle="1" w:styleId="PKTpunkt">
    <w:name w:val="PKT – punkt"/>
    <w:link w:val="PKTpunktZnak"/>
    <w:uiPriority w:val="99"/>
    <w:rsid w:val="007215B3"/>
    <w:pPr>
      <w:spacing w:line="360" w:lineRule="auto"/>
      <w:ind w:left="510" w:hanging="510"/>
      <w:jc w:val="both"/>
    </w:pPr>
    <w:rPr>
      <w:rFonts w:ascii="Times" w:hAnsi="Times"/>
      <w:bCs/>
      <w:sz w:val="24"/>
    </w:rPr>
  </w:style>
  <w:style w:type="paragraph" w:styleId="Nagwek">
    <w:name w:val="header"/>
    <w:basedOn w:val="Normalny"/>
    <w:link w:val="NagwekZnak"/>
    <w:rsid w:val="000F04D0"/>
    <w:pPr>
      <w:tabs>
        <w:tab w:val="center" w:pos="4536"/>
        <w:tab w:val="right" w:pos="9072"/>
      </w:tabs>
    </w:pPr>
    <w:rPr>
      <w:lang w:val="x-none" w:eastAsia="x-none"/>
    </w:rPr>
  </w:style>
  <w:style w:type="character" w:customStyle="1" w:styleId="NagwekZnak">
    <w:name w:val="Nagłówek Znak"/>
    <w:link w:val="Nagwek"/>
    <w:rsid w:val="000F04D0"/>
    <w:rPr>
      <w:sz w:val="24"/>
      <w:szCs w:val="24"/>
    </w:rPr>
  </w:style>
  <w:style w:type="paragraph" w:styleId="Stopka">
    <w:name w:val="footer"/>
    <w:basedOn w:val="Normalny"/>
    <w:link w:val="StopkaZnak"/>
    <w:uiPriority w:val="99"/>
    <w:rsid w:val="000F04D0"/>
    <w:pPr>
      <w:tabs>
        <w:tab w:val="center" w:pos="4536"/>
        <w:tab w:val="right" w:pos="9072"/>
      </w:tabs>
    </w:pPr>
    <w:rPr>
      <w:lang w:val="x-none" w:eastAsia="x-none"/>
    </w:rPr>
  </w:style>
  <w:style w:type="character" w:customStyle="1" w:styleId="StopkaZnak">
    <w:name w:val="Stopka Znak"/>
    <w:link w:val="Stopka"/>
    <w:uiPriority w:val="99"/>
    <w:rsid w:val="000F04D0"/>
    <w:rPr>
      <w:sz w:val="24"/>
      <w:szCs w:val="24"/>
    </w:rPr>
  </w:style>
  <w:style w:type="character" w:customStyle="1" w:styleId="PKTpunktZnak">
    <w:name w:val="PKT – punkt Znak"/>
    <w:link w:val="PKTpunkt"/>
    <w:uiPriority w:val="99"/>
    <w:locked/>
    <w:rsid w:val="009F207A"/>
    <w:rPr>
      <w:rFonts w:ascii="Times" w:hAnsi="Times"/>
      <w:bCs/>
      <w:sz w:val="24"/>
      <w:lang w:bidi="ar-SA"/>
    </w:rPr>
  </w:style>
  <w:style w:type="character" w:customStyle="1" w:styleId="USTustnpkodeksuZnak">
    <w:name w:val="UST(§) – ust. (§ np. kodeksu) Znak"/>
    <w:basedOn w:val="Domylnaczcionkaakapitu"/>
    <w:link w:val="USTustnpkodeksu"/>
    <w:uiPriority w:val="99"/>
    <w:rsid w:val="009F207A"/>
    <w:rPr>
      <w:rFonts w:ascii="Times" w:hAnsi="Times" w:cs="Arial"/>
      <w:bCs/>
      <w:sz w:val="24"/>
    </w:rPr>
  </w:style>
  <w:style w:type="paragraph" w:customStyle="1" w:styleId="ODNONIKtreodnonika">
    <w:name w:val="ODNOŚNIK – treść odnośnika"/>
    <w:rsid w:val="00BF5839"/>
    <w:pPr>
      <w:ind w:left="284" w:hanging="284"/>
      <w:jc w:val="both"/>
    </w:pPr>
    <w:rPr>
      <w:rFonts w:cs="Arial"/>
    </w:rPr>
  </w:style>
  <w:style w:type="character" w:customStyle="1" w:styleId="IGindeksgrny">
    <w:name w:val="_IG_ – indeks górny"/>
    <w:rsid w:val="00BF5839"/>
    <w:rPr>
      <w:spacing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641430">
      <w:bodyDiv w:val="1"/>
      <w:marLeft w:val="0"/>
      <w:marRight w:val="0"/>
      <w:marTop w:val="0"/>
      <w:marBottom w:val="0"/>
      <w:divBdr>
        <w:top w:val="none" w:sz="0" w:space="0" w:color="auto"/>
        <w:left w:val="none" w:sz="0" w:space="0" w:color="auto"/>
        <w:bottom w:val="none" w:sz="0" w:space="0" w:color="auto"/>
        <w:right w:val="none" w:sz="0" w:space="0" w:color="auto"/>
      </w:divBdr>
    </w:div>
    <w:div w:id="171797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15140</Words>
  <Characters>90845</Characters>
  <Application>Microsoft Office Word</Application>
  <DocSecurity>0</DocSecurity>
  <Lines>757</Lines>
  <Paragraphs>211</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Gospodarki</Company>
  <LinksUpToDate>false</LinksUpToDate>
  <CharactersWithSpaces>105774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Dobieszewski Maciej</dc:creator>
  <cp:lastModifiedBy>Grażyna D. Grabowska</cp:lastModifiedBy>
  <cp:revision>2</cp:revision>
  <cp:lastPrinted>2016-02-11T08:18:00Z</cp:lastPrinted>
  <dcterms:created xsi:type="dcterms:W3CDTF">2016-02-18T11:37:00Z</dcterms:created>
  <dcterms:modified xsi:type="dcterms:W3CDTF">2016-02-18T11:37:00Z</dcterms:modified>
</cp:coreProperties>
</file>