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F20" w:rsidRDefault="00B53F20" w:rsidP="00B53F20">
      <w:pPr>
        <w:jc w:val="right"/>
        <w:rPr>
          <w:sz w:val="24"/>
          <w:szCs w:val="24"/>
        </w:rPr>
      </w:pPr>
      <w:bookmarkStart w:id="0" w:name="_GoBack"/>
      <w:bookmarkEnd w:id="0"/>
      <w:r w:rsidRPr="00CA057E">
        <w:rPr>
          <w:sz w:val="24"/>
          <w:szCs w:val="24"/>
        </w:rPr>
        <w:t>Projekt</w:t>
      </w:r>
    </w:p>
    <w:p w:rsidR="00B53F20" w:rsidRPr="00CA057E" w:rsidRDefault="00B53F20" w:rsidP="00B53F20">
      <w:pPr>
        <w:jc w:val="right"/>
        <w:rPr>
          <w:sz w:val="24"/>
          <w:szCs w:val="24"/>
        </w:rPr>
      </w:pPr>
    </w:p>
    <w:p w:rsidR="00B53F20" w:rsidRDefault="00B53F20" w:rsidP="00B53F20">
      <w:pPr>
        <w:ind w:firstLine="0"/>
        <w:jc w:val="center"/>
        <w:rPr>
          <w:b/>
          <w:sz w:val="24"/>
          <w:szCs w:val="24"/>
        </w:rPr>
      </w:pPr>
      <w:r w:rsidRPr="00B8164E">
        <w:rPr>
          <w:b/>
          <w:sz w:val="24"/>
          <w:szCs w:val="24"/>
        </w:rPr>
        <w:t xml:space="preserve">Ustawa </w:t>
      </w:r>
      <w:r w:rsidRPr="00B8164E">
        <w:rPr>
          <w:b/>
          <w:sz w:val="24"/>
          <w:szCs w:val="24"/>
        </w:rPr>
        <w:br/>
        <w:t>z dnia…….</w:t>
      </w:r>
      <w:r w:rsidRPr="00B8164E">
        <w:rPr>
          <w:b/>
          <w:sz w:val="24"/>
          <w:szCs w:val="24"/>
        </w:rPr>
        <w:br/>
        <w:t>o zmianie ustawy o partiach politycznych</w:t>
      </w:r>
      <w:r>
        <w:rPr>
          <w:b/>
          <w:sz w:val="24"/>
          <w:szCs w:val="24"/>
        </w:rPr>
        <w:t xml:space="preserve"> i niektórych innych ustaw</w:t>
      </w:r>
    </w:p>
    <w:p w:rsidR="00B53F20" w:rsidRPr="00B8164E" w:rsidRDefault="00B53F20" w:rsidP="00B53F20">
      <w:pPr>
        <w:jc w:val="center"/>
        <w:rPr>
          <w:b/>
          <w:sz w:val="24"/>
          <w:szCs w:val="24"/>
        </w:rPr>
      </w:pPr>
    </w:p>
    <w:p w:rsidR="00B53F20" w:rsidRPr="00B8164E" w:rsidRDefault="00B53F20" w:rsidP="00B53F20">
      <w:pPr>
        <w:spacing w:after="0" w:line="360" w:lineRule="auto"/>
        <w:rPr>
          <w:sz w:val="24"/>
          <w:szCs w:val="24"/>
        </w:rPr>
      </w:pPr>
      <w:r w:rsidRPr="00B8164E">
        <w:rPr>
          <w:b/>
          <w:sz w:val="24"/>
          <w:szCs w:val="24"/>
        </w:rPr>
        <w:t>Art. 1</w:t>
      </w:r>
      <w:r>
        <w:rPr>
          <w:b/>
          <w:sz w:val="24"/>
          <w:szCs w:val="24"/>
        </w:rPr>
        <w:t>.</w:t>
      </w:r>
      <w:r w:rsidRPr="00B8164E">
        <w:rPr>
          <w:b/>
          <w:sz w:val="24"/>
          <w:szCs w:val="24"/>
        </w:rPr>
        <w:t xml:space="preserve"> </w:t>
      </w:r>
      <w:r w:rsidRPr="00B8164E">
        <w:rPr>
          <w:sz w:val="24"/>
          <w:szCs w:val="24"/>
        </w:rPr>
        <w:t xml:space="preserve">W ustawie z dnia 27 czerwca 1997 r. o partiach politycznych (Dz.U. </w:t>
      </w:r>
      <w:r>
        <w:rPr>
          <w:sz w:val="24"/>
          <w:szCs w:val="24"/>
        </w:rPr>
        <w:t xml:space="preserve">z </w:t>
      </w:r>
      <w:r w:rsidRPr="00B8164E">
        <w:rPr>
          <w:sz w:val="24"/>
          <w:szCs w:val="24"/>
        </w:rPr>
        <w:t>2015</w:t>
      </w:r>
      <w:r>
        <w:rPr>
          <w:sz w:val="24"/>
          <w:szCs w:val="24"/>
        </w:rPr>
        <w:t xml:space="preserve"> r. Nr 155 poz</w:t>
      </w:r>
      <w:r w:rsidRPr="00B8164E">
        <w:rPr>
          <w:sz w:val="24"/>
          <w:szCs w:val="24"/>
        </w:rPr>
        <w:t>.</w:t>
      </w:r>
      <w:r>
        <w:rPr>
          <w:sz w:val="24"/>
          <w:szCs w:val="24"/>
        </w:rPr>
        <w:t xml:space="preserve"> 924</w:t>
      </w:r>
      <w:r w:rsidRPr="00B8164E">
        <w:rPr>
          <w:sz w:val="24"/>
          <w:szCs w:val="24"/>
        </w:rPr>
        <w:t>) wprowadza się następujące zmiany:</w:t>
      </w:r>
    </w:p>
    <w:p w:rsidR="00B53F20" w:rsidRPr="00B8164E" w:rsidRDefault="00B53F20" w:rsidP="00B53F20">
      <w:pPr>
        <w:pStyle w:val="Akapitzlist"/>
        <w:numPr>
          <w:ilvl w:val="0"/>
          <w:numId w:val="24"/>
        </w:numPr>
        <w:spacing w:after="0" w:line="360" w:lineRule="auto"/>
        <w:rPr>
          <w:sz w:val="24"/>
          <w:szCs w:val="24"/>
        </w:rPr>
      </w:pPr>
      <w:r w:rsidRPr="00B8164E">
        <w:rPr>
          <w:sz w:val="24"/>
          <w:szCs w:val="24"/>
        </w:rPr>
        <w:t>W art. 24 ust.</w:t>
      </w:r>
      <w:r>
        <w:rPr>
          <w:sz w:val="24"/>
          <w:szCs w:val="24"/>
        </w:rPr>
        <w:t xml:space="preserve"> </w:t>
      </w:r>
      <w:r w:rsidRPr="00B8164E">
        <w:rPr>
          <w:sz w:val="24"/>
          <w:szCs w:val="24"/>
        </w:rPr>
        <w:t xml:space="preserve">1 </w:t>
      </w:r>
      <w:r>
        <w:rPr>
          <w:sz w:val="24"/>
          <w:szCs w:val="24"/>
        </w:rPr>
        <w:t>o</w:t>
      </w:r>
      <w:r w:rsidRPr="00B8164E">
        <w:rPr>
          <w:sz w:val="24"/>
          <w:szCs w:val="24"/>
        </w:rPr>
        <w:t>trzymuje brzmienie: „Majątek partii politycznej powstaje ze składek członkowskich, darowizn, spadków, zapisów, z dochodów z majątku oraz określonych ustawami dotacji, a także ze środków uzyskanych na zasadach określonych w art. 28a”</w:t>
      </w:r>
    </w:p>
    <w:p w:rsidR="00B53F20" w:rsidRPr="00B8164E" w:rsidRDefault="00B53F20" w:rsidP="00B53F20">
      <w:pPr>
        <w:pStyle w:val="Akapitzlist"/>
        <w:numPr>
          <w:ilvl w:val="0"/>
          <w:numId w:val="24"/>
        </w:numPr>
        <w:spacing w:after="0" w:line="360" w:lineRule="auto"/>
        <w:jc w:val="left"/>
        <w:rPr>
          <w:sz w:val="24"/>
          <w:szCs w:val="24"/>
        </w:rPr>
      </w:pPr>
      <w:r w:rsidRPr="00B8164E">
        <w:rPr>
          <w:sz w:val="24"/>
          <w:szCs w:val="24"/>
        </w:rPr>
        <w:t>W art. 25:</w:t>
      </w:r>
    </w:p>
    <w:p w:rsidR="00B53F20" w:rsidRPr="00B8164E" w:rsidRDefault="00B53F20" w:rsidP="00B53F20">
      <w:pPr>
        <w:pStyle w:val="Akapitzlist"/>
        <w:numPr>
          <w:ilvl w:val="0"/>
          <w:numId w:val="25"/>
        </w:numPr>
        <w:spacing w:after="0" w:line="360" w:lineRule="auto"/>
        <w:rPr>
          <w:sz w:val="24"/>
          <w:szCs w:val="24"/>
        </w:rPr>
      </w:pPr>
      <w:r w:rsidRPr="00B8164E">
        <w:rPr>
          <w:sz w:val="24"/>
          <w:szCs w:val="24"/>
        </w:rPr>
        <w:t>ust. 1 otrzymuje brzmienie: „1. Partii politycznej mogą być przekazywane środki finansowe jedynie przez obywateli polskich mających stałe miejsce zamieszkania na terenie Rzeczypospolitej Polskiej, z zastrzeżeniem przepisów art. 24 ust. 4 i 7, art. 28</w:t>
      </w:r>
      <w:r>
        <w:rPr>
          <w:sz w:val="24"/>
          <w:szCs w:val="24"/>
        </w:rPr>
        <w:t>a</w:t>
      </w:r>
      <w:r w:rsidRPr="00B8164E">
        <w:rPr>
          <w:sz w:val="24"/>
          <w:szCs w:val="24"/>
        </w:rPr>
        <w:t xml:space="preserve"> ust. 1 oraz przepisów ustaw dotyczących wyborów do Sejmu Rzeczypospolitej Polskiej i do Senatu Rzeczypospolitej Polskiej oraz wyborów do Parlamentu Europejskiego w zakresie dotacji podmiotowej”</w:t>
      </w:r>
    </w:p>
    <w:p w:rsidR="00B53F20" w:rsidRPr="00B8164E" w:rsidRDefault="00B53F20" w:rsidP="00B53F20">
      <w:pPr>
        <w:pStyle w:val="Akapitzlist"/>
        <w:spacing w:after="0" w:line="360" w:lineRule="auto"/>
        <w:ind w:left="1080"/>
        <w:rPr>
          <w:sz w:val="24"/>
          <w:szCs w:val="24"/>
        </w:rPr>
      </w:pPr>
    </w:p>
    <w:p w:rsidR="00B53F20" w:rsidRPr="00B8164E" w:rsidRDefault="00B53F20" w:rsidP="00B53F20">
      <w:pPr>
        <w:pStyle w:val="Akapitzlist"/>
        <w:numPr>
          <w:ilvl w:val="0"/>
          <w:numId w:val="24"/>
        </w:numPr>
        <w:spacing w:after="0" w:line="360" w:lineRule="auto"/>
        <w:rPr>
          <w:sz w:val="24"/>
          <w:szCs w:val="24"/>
        </w:rPr>
      </w:pPr>
      <w:r w:rsidRPr="00B8164E">
        <w:rPr>
          <w:sz w:val="24"/>
          <w:szCs w:val="24"/>
        </w:rPr>
        <w:t>Uchyla się art. 28</w:t>
      </w:r>
    </w:p>
    <w:p w:rsidR="00B53F20" w:rsidRPr="00B8164E" w:rsidRDefault="00B53F20" w:rsidP="00B53F20">
      <w:pPr>
        <w:pStyle w:val="Akapitzlist"/>
        <w:spacing w:after="0" w:line="360" w:lineRule="auto"/>
        <w:rPr>
          <w:sz w:val="24"/>
          <w:szCs w:val="24"/>
        </w:rPr>
      </w:pPr>
    </w:p>
    <w:p w:rsidR="00B53F20" w:rsidRPr="00B8164E" w:rsidRDefault="00B53F20" w:rsidP="00B53F20">
      <w:pPr>
        <w:pStyle w:val="Akapitzlist"/>
        <w:numPr>
          <w:ilvl w:val="0"/>
          <w:numId w:val="24"/>
        </w:numPr>
        <w:spacing w:after="0" w:line="360" w:lineRule="auto"/>
        <w:rPr>
          <w:sz w:val="24"/>
          <w:szCs w:val="24"/>
        </w:rPr>
      </w:pPr>
      <w:r w:rsidRPr="00B8164E">
        <w:rPr>
          <w:sz w:val="24"/>
          <w:szCs w:val="24"/>
        </w:rPr>
        <w:t>Po art. 28 dodaje się art. 28a w następującym brzmieniu:</w:t>
      </w:r>
    </w:p>
    <w:p w:rsidR="00B53F20" w:rsidRPr="00B8164E" w:rsidRDefault="00B53F20" w:rsidP="00B53F20">
      <w:pPr>
        <w:pStyle w:val="Akapitzlist"/>
        <w:spacing w:after="0" w:line="360" w:lineRule="auto"/>
        <w:rPr>
          <w:rFonts w:eastAsia="Times New Roman" w:cs="Tahoma"/>
          <w:color w:val="000000"/>
          <w:sz w:val="24"/>
          <w:szCs w:val="24"/>
          <w:lang w:eastAsia="pl-PL"/>
        </w:rPr>
      </w:pPr>
      <w:r w:rsidRPr="00B8164E">
        <w:rPr>
          <w:rFonts w:eastAsia="Times New Roman" w:cs="Tahoma"/>
          <w:color w:val="000000"/>
          <w:sz w:val="24"/>
          <w:szCs w:val="24"/>
          <w:lang w:eastAsia="pl-PL"/>
        </w:rPr>
        <w:t xml:space="preserve">„1. Podatnik podatku dochodowego od osób fizycznych będący obywatelem polskim może, na zasadach i w trybie określonym w przepisach odrębnych, przekazać 5 zł z kwoty podatku obliczonego zgodnie z odrębnymi </w:t>
      </w:r>
      <w:bookmarkStart w:id="1" w:name="#hiperlinkDocsList.rpc?hiperlink=type=me"/>
      <w:r w:rsidRPr="00B8164E">
        <w:rPr>
          <w:rFonts w:eastAsia="Times New Roman" w:cs="Tahoma"/>
          <w:color w:val="000000"/>
          <w:sz w:val="24"/>
          <w:szCs w:val="24"/>
          <w:lang w:eastAsia="pl-PL"/>
        </w:rPr>
        <w:t>przepisami</w:t>
      </w:r>
      <w:bookmarkEnd w:id="1"/>
      <w:r w:rsidRPr="00B8164E">
        <w:rPr>
          <w:rFonts w:eastAsia="Times New Roman" w:cs="Tahoma"/>
          <w:color w:val="000000"/>
          <w:sz w:val="24"/>
          <w:szCs w:val="24"/>
          <w:lang w:eastAsia="pl-PL"/>
        </w:rPr>
        <w:t xml:space="preserve"> na rzecz wybranej przez siebie partii politycznej</w:t>
      </w:r>
      <w:r>
        <w:rPr>
          <w:rFonts w:eastAsia="Times New Roman" w:cs="Tahoma"/>
          <w:color w:val="000000"/>
          <w:sz w:val="24"/>
          <w:szCs w:val="24"/>
          <w:lang w:eastAsia="pl-PL"/>
        </w:rPr>
        <w:t>.</w:t>
      </w:r>
    </w:p>
    <w:p w:rsidR="00B53F20" w:rsidRPr="00B8164E" w:rsidRDefault="00B53F20" w:rsidP="00B53F20">
      <w:pPr>
        <w:pStyle w:val="Akapitzlist"/>
        <w:spacing w:after="0" w:line="360" w:lineRule="auto"/>
        <w:rPr>
          <w:rFonts w:eastAsia="Times New Roman" w:cs="Tahoma"/>
          <w:color w:val="000000"/>
          <w:sz w:val="24"/>
          <w:szCs w:val="24"/>
          <w:lang w:eastAsia="pl-PL"/>
        </w:rPr>
      </w:pPr>
      <w:r w:rsidRPr="00B8164E">
        <w:rPr>
          <w:rFonts w:eastAsia="Times New Roman" w:cs="Tahoma"/>
          <w:color w:val="000000"/>
          <w:sz w:val="24"/>
          <w:szCs w:val="24"/>
          <w:lang w:eastAsia="pl-PL"/>
        </w:rPr>
        <w:lastRenderedPageBreak/>
        <w:t>2. Partia polityczna w terminie do 1 grudnia każdego roku wskazuje ministrowi właściwemu do spraw wewnętrznych numer rachunku bankowego, na który ma być przekazywan</w:t>
      </w:r>
      <w:r>
        <w:rPr>
          <w:rFonts w:eastAsia="Times New Roman" w:cs="Tahoma"/>
          <w:color w:val="000000"/>
          <w:sz w:val="24"/>
          <w:szCs w:val="24"/>
          <w:lang w:eastAsia="pl-PL"/>
        </w:rPr>
        <w:t>a kwota, o której mowa w ust. 1.</w:t>
      </w:r>
    </w:p>
    <w:p w:rsidR="00B53F20" w:rsidRPr="00B8164E" w:rsidRDefault="00B53F20" w:rsidP="00B53F20">
      <w:pPr>
        <w:pStyle w:val="Akapitzlist"/>
        <w:spacing w:after="0" w:line="360" w:lineRule="auto"/>
        <w:rPr>
          <w:rFonts w:eastAsia="Times New Roman" w:cs="Tahoma"/>
          <w:color w:val="000000"/>
          <w:sz w:val="24"/>
          <w:szCs w:val="24"/>
          <w:lang w:eastAsia="pl-PL"/>
        </w:rPr>
      </w:pPr>
      <w:r w:rsidRPr="00B8164E">
        <w:rPr>
          <w:rFonts w:eastAsia="Times New Roman" w:cs="Tahoma"/>
          <w:color w:val="000000"/>
          <w:sz w:val="24"/>
          <w:szCs w:val="24"/>
          <w:lang w:eastAsia="pl-PL"/>
        </w:rPr>
        <w:t>3. Zasady przekazywania na rzecz partii politycznych środków, o których mowa są określone w ustawie o podatk</w:t>
      </w:r>
      <w:r>
        <w:rPr>
          <w:rFonts w:eastAsia="Times New Roman" w:cs="Tahoma"/>
          <w:color w:val="000000"/>
          <w:sz w:val="24"/>
          <w:szCs w:val="24"/>
          <w:lang w:eastAsia="pl-PL"/>
        </w:rPr>
        <w:t>u dochodowym od osób fizycznych.</w:t>
      </w:r>
    </w:p>
    <w:p w:rsidR="00B53F20" w:rsidRPr="00B8164E" w:rsidRDefault="00B53F20" w:rsidP="00B53F20">
      <w:pPr>
        <w:pStyle w:val="Akapitzlist"/>
        <w:spacing w:after="0" w:line="360" w:lineRule="auto"/>
        <w:rPr>
          <w:rFonts w:eastAsia="Times New Roman" w:cs="Tahoma"/>
          <w:color w:val="000000"/>
          <w:sz w:val="24"/>
          <w:szCs w:val="24"/>
          <w:lang w:eastAsia="pl-PL"/>
        </w:rPr>
      </w:pPr>
      <w:r>
        <w:rPr>
          <w:rFonts w:eastAsia="Times New Roman" w:cs="Tahoma"/>
          <w:color w:val="000000"/>
          <w:sz w:val="24"/>
          <w:szCs w:val="24"/>
          <w:lang w:eastAsia="pl-PL"/>
        </w:rPr>
        <w:t>4</w:t>
      </w:r>
      <w:r w:rsidRPr="00B8164E">
        <w:rPr>
          <w:rFonts w:eastAsia="Times New Roman" w:cs="Tahoma"/>
          <w:color w:val="000000"/>
          <w:sz w:val="24"/>
          <w:szCs w:val="24"/>
          <w:lang w:eastAsia="pl-PL"/>
        </w:rPr>
        <w:t>. Minister właściwy do spraw wewnętrznych sporządzi wykaz partii politycznych do celów, o których mowa w ust. 1, składający się z wszystkich legalnie działających partii politycznych w pierwszym dniu roku, w którym składana jest przez</w:t>
      </w:r>
      <w:r>
        <w:rPr>
          <w:rFonts w:eastAsia="Times New Roman" w:cs="Tahoma"/>
          <w:color w:val="000000"/>
          <w:sz w:val="24"/>
          <w:szCs w:val="24"/>
          <w:lang w:eastAsia="pl-PL"/>
        </w:rPr>
        <w:t xml:space="preserve"> podatnika deklaracja podatkowa.</w:t>
      </w:r>
    </w:p>
    <w:p w:rsidR="00B53F20" w:rsidRPr="00B8164E" w:rsidRDefault="00B53F20" w:rsidP="00B53F20">
      <w:pPr>
        <w:spacing w:after="0" w:line="360" w:lineRule="auto"/>
        <w:rPr>
          <w:rFonts w:eastAsia="Times New Roman" w:cs="Tahoma"/>
          <w:color w:val="000000"/>
          <w:sz w:val="24"/>
          <w:szCs w:val="24"/>
          <w:lang w:eastAsia="pl-PL"/>
        </w:rPr>
      </w:pPr>
    </w:p>
    <w:p w:rsidR="00B53F20" w:rsidRPr="00B8164E" w:rsidRDefault="00B53F20" w:rsidP="00B53F20">
      <w:pPr>
        <w:pStyle w:val="Akapitzlist"/>
        <w:numPr>
          <w:ilvl w:val="0"/>
          <w:numId w:val="24"/>
        </w:numPr>
        <w:spacing w:after="0" w:line="360" w:lineRule="auto"/>
        <w:rPr>
          <w:rFonts w:eastAsia="Times New Roman" w:cs="Tahoma"/>
          <w:color w:val="000000"/>
          <w:sz w:val="24"/>
          <w:szCs w:val="24"/>
          <w:lang w:eastAsia="pl-PL"/>
        </w:rPr>
      </w:pPr>
      <w:r w:rsidRPr="00B8164E">
        <w:rPr>
          <w:rFonts w:eastAsia="Times New Roman" w:cs="Tahoma"/>
          <w:color w:val="000000"/>
          <w:sz w:val="24"/>
          <w:szCs w:val="24"/>
          <w:lang w:eastAsia="pl-PL"/>
        </w:rPr>
        <w:t>Uchyla się art. 29</w:t>
      </w:r>
    </w:p>
    <w:p w:rsidR="00B53F20" w:rsidRPr="00B8164E" w:rsidRDefault="00B53F20" w:rsidP="00B53F20">
      <w:pPr>
        <w:spacing w:after="0" w:line="360" w:lineRule="auto"/>
        <w:rPr>
          <w:rFonts w:eastAsia="Times New Roman" w:cs="Tahoma"/>
          <w:color w:val="000000"/>
          <w:sz w:val="24"/>
          <w:szCs w:val="24"/>
          <w:lang w:eastAsia="pl-PL"/>
        </w:rPr>
      </w:pPr>
    </w:p>
    <w:p w:rsidR="00B53F20" w:rsidRPr="00B8164E" w:rsidRDefault="00B53F20" w:rsidP="00B53F20">
      <w:pPr>
        <w:pStyle w:val="Akapitzlist"/>
        <w:numPr>
          <w:ilvl w:val="0"/>
          <w:numId w:val="24"/>
        </w:numPr>
        <w:spacing w:after="0" w:line="360" w:lineRule="auto"/>
        <w:rPr>
          <w:rFonts w:eastAsia="Times New Roman" w:cs="Tahoma"/>
          <w:color w:val="000000"/>
          <w:sz w:val="24"/>
          <w:szCs w:val="24"/>
          <w:lang w:eastAsia="pl-PL"/>
        </w:rPr>
      </w:pPr>
      <w:r w:rsidRPr="00B8164E">
        <w:rPr>
          <w:rFonts w:eastAsia="Times New Roman" w:cs="Tahoma"/>
          <w:color w:val="000000"/>
          <w:sz w:val="24"/>
          <w:szCs w:val="24"/>
          <w:lang w:eastAsia="pl-PL"/>
        </w:rPr>
        <w:t>W art. 30 ust. 3 otrzymuje brzmienie:</w:t>
      </w:r>
    </w:p>
    <w:p w:rsidR="00B53F20" w:rsidRPr="00B8164E" w:rsidRDefault="00B53F20" w:rsidP="00B53F20">
      <w:pPr>
        <w:pStyle w:val="Akapitzlist"/>
        <w:spacing w:after="0" w:line="360" w:lineRule="auto"/>
        <w:rPr>
          <w:rFonts w:eastAsia="Times New Roman" w:cs="Tahoma"/>
          <w:color w:val="000000"/>
          <w:sz w:val="24"/>
          <w:szCs w:val="24"/>
          <w:lang w:eastAsia="pl-PL"/>
        </w:rPr>
      </w:pPr>
    </w:p>
    <w:p w:rsidR="00B53F20" w:rsidRPr="00B8164E" w:rsidRDefault="00B53F20" w:rsidP="00B53F20">
      <w:pPr>
        <w:pStyle w:val="Akapitzlist"/>
        <w:spacing w:after="0" w:line="360" w:lineRule="auto"/>
        <w:rPr>
          <w:rFonts w:eastAsia="Times New Roman" w:cs="Tahoma"/>
          <w:color w:val="000000"/>
          <w:sz w:val="24"/>
          <w:szCs w:val="24"/>
          <w:lang w:eastAsia="pl-PL"/>
        </w:rPr>
      </w:pPr>
      <w:r w:rsidRPr="00B8164E">
        <w:rPr>
          <w:rFonts w:eastAsia="Times New Roman" w:cs="Tahoma"/>
          <w:color w:val="000000"/>
          <w:sz w:val="24"/>
          <w:szCs w:val="24"/>
          <w:lang w:eastAsia="pl-PL"/>
        </w:rPr>
        <w:t xml:space="preserve">„3. Partia polityczna przekazuje co najmniej </w:t>
      </w:r>
      <w:r>
        <w:rPr>
          <w:rFonts w:eastAsia="Times New Roman" w:cs="Tahoma"/>
          <w:color w:val="000000"/>
          <w:sz w:val="24"/>
          <w:szCs w:val="24"/>
          <w:lang w:eastAsia="pl-PL"/>
        </w:rPr>
        <w:t>1</w:t>
      </w:r>
      <w:r w:rsidRPr="00B8164E">
        <w:rPr>
          <w:rFonts w:eastAsia="Times New Roman" w:cs="Tahoma"/>
          <w:color w:val="000000"/>
          <w:sz w:val="24"/>
          <w:szCs w:val="24"/>
          <w:lang w:eastAsia="pl-PL"/>
        </w:rPr>
        <w:t>5% kwoty uzyskanej na zasadach określonych w art. 28a na Fundusz Ekspercki</w:t>
      </w:r>
      <w:r>
        <w:rPr>
          <w:rFonts w:eastAsia="Times New Roman" w:cs="Tahoma"/>
          <w:color w:val="000000"/>
          <w:sz w:val="24"/>
          <w:szCs w:val="24"/>
          <w:lang w:eastAsia="pl-PL"/>
        </w:rPr>
        <w:t>.</w:t>
      </w:r>
      <w:r w:rsidRPr="00B8164E">
        <w:rPr>
          <w:rFonts w:eastAsia="Times New Roman" w:cs="Tahoma"/>
          <w:color w:val="000000"/>
          <w:sz w:val="24"/>
          <w:szCs w:val="24"/>
          <w:lang w:eastAsia="pl-PL"/>
        </w:rPr>
        <w:t>”</w:t>
      </w:r>
    </w:p>
    <w:p w:rsidR="00B53F20" w:rsidRPr="00B8164E" w:rsidRDefault="00B53F20" w:rsidP="00B53F20">
      <w:pPr>
        <w:pStyle w:val="Akapitzlist"/>
        <w:spacing w:after="0" w:line="360" w:lineRule="auto"/>
        <w:rPr>
          <w:rFonts w:eastAsia="Times New Roman" w:cs="Tahoma"/>
          <w:color w:val="000000"/>
          <w:sz w:val="24"/>
          <w:szCs w:val="24"/>
          <w:lang w:eastAsia="pl-PL"/>
        </w:rPr>
      </w:pPr>
    </w:p>
    <w:p w:rsidR="00B53F20" w:rsidRPr="00B8164E" w:rsidRDefault="00B53F20" w:rsidP="00B53F20">
      <w:pPr>
        <w:pStyle w:val="Akapitzlist"/>
        <w:numPr>
          <w:ilvl w:val="0"/>
          <w:numId w:val="24"/>
        </w:numPr>
        <w:spacing w:after="0" w:line="360" w:lineRule="auto"/>
        <w:rPr>
          <w:rFonts w:eastAsia="Times New Roman" w:cs="Tahoma"/>
          <w:color w:val="000000"/>
          <w:sz w:val="24"/>
          <w:szCs w:val="24"/>
          <w:lang w:eastAsia="pl-PL"/>
        </w:rPr>
      </w:pPr>
      <w:r w:rsidRPr="00B8164E">
        <w:rPr>
          <w:rFonts w:eastAsia="Times New Roman" w:cs="Tahoma"/>
          <w:color w:val="000000"/>
          <w:sz w:val="24"/>
          <w:szCs w:val="24"/>
          <w:lang w:eastAsia="pl-PL"/>
        </w:rPr>
        <w:t>Uchyla się art. 31, 32 i 33</w:t>
      </w:r>
    </w:p>
    <w:p w:rsidR="00B53F20" w:rsidRPr="00B8164E" w:rsidRDefault="00B53F20" w:rsidP="00B53F20">
      <w:pPr>
        <w:pStyle w:val="Akapitzlist"/>
        <w:spacing w:after="0" w:line="360" w:lineRule="auto"/>
        <w:rPr>
          <w:rFonts w:eastAsia="Times New Roman" w:cs="Tahoma"/>
          <w:color w:val="000000"/>
          <w:sz w:val="24"/>
          <w:szCs w:val="24"/>
          <w:lang w:eastAsia="pl-PL"/>
        </w:rPr>
      </w:pPr>
    </w:p>
    <w:p w:rsidR="00B53F20" w:rsidRPr="00B8164E" w:rsidRDefault="00B53F20" w:rsidP="00B53F20">
      <w:pPr>
        <w:pStyle w:val="Akapitzlist"/>
        <w:numPr>
          <w:ilvl w:val="0"/>
          <w:numId w:val="24"/>
        </w:numPr>
        <w:spacing w:after="0" w:line="360" w:lineRule="auto"/>
        <w:rPr>
          <w:rFonts w:eastAsia="Times New Roman" w:cs="Tahoma"/>
          <w:color w:val="000000"/>
          <w:sz w:val="24"/>
          <w:szCs w:val="24"/>
          <w:lang w:eastAsia="pl-PL"/>
        </w:rPr>
      </w:pPr>
      <w:r w:rsidRPr="00B8164E">
        <w:rPr>
          <w:rFonts w:eastAsia="Times New Roman" w:cs="Tahoma"/>
          <w:color w:val="000000"/>
          <w:sz w:val="24"/>
          <w:szCs w:val="24"/>
          <w:lang w:eastAsia="pl-PL"/>
        </w:rPr>
        <w:t>W art. 34 wprowadza się następujące zmiany:</w:t>
      </w:r>
    </w:p>
    <w:p w:rsidR="00B53F20" w:rsidRPr="00B8164E" w:rsidRDefault="00B53F20" w:rsidP="00B53F20">
      <w:pPr>
        <w:pStyle w:val="Akapitzlist"/>
        <w:numPr>
          <w:ilvl w:val="0"/>
          <w:numId w:val="29"/>
        </w:numPr>
        <w:spacing w:after="0" w:line="360" w:lineRule="auto"/>
        <w:rPr>
          <w:rFonts w:eastAsia="Times New Roman" w:cs="Tahoma"/>
          <w:color w:val="000000"/>
          <w:sz w:val="24"/>
          <w:szCs w:val="24"/>
          <w:lang w:eastAsia="pl-PL"/>
        </w:rPr>
      </w:pPr>
      <w:r w:rsidRPr="00B8164E">
        <w:rPr>
          <w:rFonts w:eastAsia="Times New Roman" w:cs="Tahoma"/>
          <w:color w:val="000000"/>
          <w:sz w:val="24"/>
          <w:szCs w:val="24"/>
          <w:lang w:eastAsia="pl-PL"/>
        </w:rPr>
        <w:t>Ust. 1 otrzymuje brzmienie: „1. Partie polityczne sporządzają coroczną informację finansową o kwotach otrzymanych na zasadach określonych w art. 28a oraz poniesionych z tejże kwoty wyd</w:t>
      </w:r>
      <w:r>
        <w:rPr>
          <w:rFonts w:eastAsia="Times New Roman" w:cs="Tahoma"/>
          <w:color w:val="000000"/>
          <w:sz w:val="24"/>
          <w:szCs w:val="24"/>
          <w:lang w:eastAsia="pl-PL"/>
        </w:rPr>
        <w:t>atkach, zwaną dalej „informacją”.</w:t>
      </w:r>
    </w:p>
    <w:p w:rsidR="00B53F20" w:rsidRPr="00B8164E" w:rsidRDefault="00B53F20" w:rsidP="00B53F20">
      <w:pPr>
        <w:pStyle w:val="Akapitzlist"/>
        <w:numPr>
          <w:ilvl w:val="0"/>
          <w:numId w:val="29"/>
        </w:numPr>
        <w:spacing w:after="0" w:line="360" w:lineRule="auto"/>
        <w:rPr>
          <w:rFonts w:eastAsia="Times New Roman" w:cs="Tahoma"/>
          <w:color w:val="000000"/>
          <w:sz w:val="24"/>
          <w:szCs w:val="24"/>
          <w:lang w:eastAsia="pl-PL"/>
        </w:rPr>
      </w:pPr>
      <w:r w:rsidRPr="00B8164E">
        <w:rPr>
          <w:rFonts w:eastAsia="Times New Roman" w:cs="Tahoma"/>
          <w:color w:val="000000"/>
          <w:sz w:val="24"/>
          <w:szCs w:val="24"/>
          <w:lang w:eastAsia="pl-PL"/>
        </w:rPr>
        <w:t>Ust. 3 otrzymuje brzmienie: „3.</w:t>
      </w:r>
      <w:r>
        <w:rPr>
          <w:rFonts w:eastAsia="Times New Roman" w:cs="Tahoma"/>
          <w:color w:val="000000"/>
          <w:sz w:val="24"/>
          <w:szCs w:val="24"/>
          <w:lang w:eastAsia="pl-PL"/>
        </w:rPr>
        <w:t xml:space="preserve"> </w:t>
      </w:r>
      <w:r w:rsidRPr="00B8164E">
        <w:rPr>
          <w:rFonts w:eastAsia="Times New Roman" w:cs="Tahoma"/>
          <w:color w:val="000000"/>
          <w:sz w:val="24"/>
          <w:szCs w:val="24"/>
          <w:lang w:eastAsia="pl-PL"/>
        </w:rPr>
        <w:t>Minister właściwy do spraw finansów publicznych, po zasięgnięciu opinii Państwowej Komisji Wyborczej, określa w drodze rozporządzenia, wzór informacji, wraz z niezbędnymi wyjaśnieniami co do sposobu jej sporządzania i zakres zawartych w niej danych, tak aby umożliwiały w szczególności rzetelną weryfikację danych dotyczących przeznaczenia pieniędzy uzyskanych na zasadach określonych w art. 28a, w tym z Funduszu Eksperckiego.”</w:t>
      </w:r>
    </w:p>
    <w:p w:rsidR="00B53F20" w:rsidRPr="00B8164E" w:rsidRDefault="00B53F20" w:rsidP="00B53F20">
      <w:pPr>
        <w:pStyle w:val="Akapitzlist"/>
        <w:numPr>
          <w:ilvl w:val="0"/>
          <w:numId w:val="24"/>
        </w:numPr>
        <w:spacing w:after="0" w:line="360" w:lineRule="auto"/>
        <w:rPr>
          <w:rFonts w:eastAsia="Times New Roman" w:cs="Tahoma"/>
          <w:color w:val="000000"/>
          <w:sz w:val="24"/>
          <w:szCs w:val="24"/>
          <w:lang w:eastAsia="pl-PL"/>
        </w:rPr>
      </w:pPr>
      <w:r w:rsidRPr="00B8164E">
        <w:rPr>
          <w:rFonts w:eastAsia="Times New Roman" w:cs="Tahoma"/>
          <w:color w:val="000000"/>
          <w:sz w:val="24"/>
          <w:szCs w:val="24"/>
          <w:lang w:eastAsia="pl-PL"/>
        </w:rPr>
        <w:lastRenderedPageBreak/>
        <w:t>W art. 34a ust. 1a otrzymuje brzmienie: „1a. Odrzucenie informacji następuje w razie stwierdzenia wykorzystania przez partię polityczną środków otrzymanych na zasadach określonych w art. 28a na cele niezwiązane z działalnością statutową.”</w:t>
      </w:r>
    </w:p>
    <w:p w:rsidR="00B53F20" w:rsidRPr="00B8164E" w:rsidRDefault="00B53F20" w:rsidP="00B53F20">
      <w:pPr>
        <w:pStyle w:val="Akapitzlist"/>
        <w:numPr>
          <w:ilvl w:val="0"/>
          <w:numId w:val="24"/>
        </w:numPr>
        <w:spacing w:after="0" w:line="360" w:lineRule="auto"/>
        <w:rPr>
          <w:rFonts w:eastAsia="Times New Roman" w:cs="Tahoma"/>
          <w:color w:val="000000"/>
          <w:sz w:val="24"/>
          <w:szCs w:val="24"/>
          <w:lang w:eastAsia="pl-PL"/>
        </w:rPr>
      </w:pPr>
      <w:r w:rsidRPr="00B8164E">
        <w:rPr>
          <w:rFonts w:eastAsia="Times New Roman" w:cs="Tahoma"/>
          <w:color w:val="000000"/>
          <w:sz w:val="24"/>
          <w:szCs w:val="24"/>
          <w:lang w:eastAsia="pl-PL"/>
        </w:rPr>
        <w:t>W art. 34c:</w:t>
      </w:r>
    </w:p>
    <w:p w:rsidR="00B53F20" w:rsidRPr="00B8164E" w:rsidRDefault="00B53F20" w:rsidP="00B53F20">
      <w:pPr>
        <w:pStyle w:val="Akapitzlist"/>
        <w:numPr>
          <w:ilvl w:val="0"/>
          <w:numId w:val="30"/>
        </w:numPr>
        <w:spacing w:after="0" w:line="360" w:lineRule="auto"/>
        <w:rPr>
          <w:rFonts w:eastAsia="Times New Roman" w:cs="Tahoma"/>
          <w:color w:val="000000"/>
          <w:sz w:val="24"/>
          <w:szCs w:val="24"/>
          <w:lang w:eastAsia="pl-PL"/>
        </w:rPr>
      </w:pPr>
      <w:r w:rsidRPr="00B8164E">
        <w:rPr>
          <w:rFonts w:eastAsia="Times New Roman" w:cs="Tahoma"/>
          <w:color w:val="000000"/>
          <w:sz w:val="24"/>
          <w:szCs w:val="24"/>
          <w:lang w:eastAsia="pl-PL"/>
        </w:rPr>
        <w:t xml:space="preserve"> ust. 1 otrzymuje brzmienie: „1. Partia polityczna traci na rok prawo do otrzymania środków na zasadach określonych  w art. 28a, jeżeli:</w:t>
      </w:r>
    </w:p>
    <w:p w:rsidR="00B53F20" w:rsidRPr="00B53F20" w:rsidRDefault="00B53F20" w:rsidP="00B53F20">
      <w:pPr>
        <w:spacing w:after="0" w:line="360" w:lineRule="auto"/>
        <w:ind w:left="371"/>
        <w:rPr>
          <w:rFonts w:eastAsia="Times New Roman" w:cs="Tahoma"/>
          <w:color w:val="000000"/>
          <w:sz w:val="24"/>
          <w:szCs w:val="24"/>
          <w:lang w:eastAsia="pl-PL"/>
        </w:rPr>
      </w:pPr>
      <w:r w:rsidRPr="00B53F20">
        <w:rPr>
          <w:rFonts w:eastAsia="Times New Roman" w:cs="Tahoma"/>
          <w:color w:val="000000"/>
          <w:sz w:val="24"/>
          <w:szCs w:val="24"/>
          <w:lang w:eastAsia="pl-PL"/>
        </w:rPr>
        <w:t>1) nie złoży informacji w terminie określonym w art. 34 ust. 2 lub</w:t>
      </w:r>
    </w:p>
    <w:p w:rsidR="00B53F20" w:rsidRPr="00B8164E" w:rsidRDefault="00B53F20" w:rsidP="00B53F20">
      <w:pPr>
        <w:spacing w:after="0" w:line="360" w:lineRule="auto"/>
        <w:ind w:left="372" w:firstLine="708"/>
        <w:rPr>
          <w:rFonts w:eastAsia="Times New Roman" w:cs="Tahoma"/>
          <w:color w:val="000000"/>
          <w:sz w:val="24"/>
          <w:szCs w:val="24"/>
          <w:lang w:eastAsia="pl-PL"/>
        </w:rPr>
      </w:pPr>
      <w:r w:rsidRPr="00B8164E">
        <w:rPr>
          <w:rFonts w:eastAsia="Times New Roman" w:cs="Tahoma"/>
          <w:color w:val="000000"/>
          <w:sz w:val="24"/>
          <w:szCs w:val="24"/>
          <w:lang w:eastAsia="pl-PL"/>
        </w:rPr>
        <w:t>2) informacja zostanie odrzucona przez Państwową Komisję Wyborczą albo</w:t>
      </w:r>
    </w:p>
    <w:p w:rsidR="00B53F20" w:rsidRPr="00B53F20" w:rsidRDefault="00B53F20" w:rsidP="00B53F20">
      <w:pPr>
        <w:spacing w:after="0" w:line="360" w:lineRule="auto"/>
        <w:ind w:left="371"/>
        <w:rPr>
          <w:rFonts w:eastAsia="Times New Roman" w:cs="Tahoma"/>
          <w:color w:val="000000"/>
          <w:sz w:val="24"/>
          <w:szCs w:val="24"/>
          <w:lang w:eastAsia="pl-PL"/>
        </w:rPr>
      </w:pPr>
      <w:r>
        <w:rPr>
          <w:rFonts w:eastAsia="Times New Roman" w:cs="Tahoma"/>
          <w:color w:val="000000"/>
          <w:sz w:val="24"/>
          <w:szCs w:val="24"/>
          <w:lang w:eastAsia="pl-PL"/>
        </w:rPr>
        <w:t xml:space="preserve">3) </w:t>
      </w:r>
      <w:r w:rsidRPr="00B53F20">
        <w:rPr>
          <w:rFonts w:eastAsia="Times New Roman" w:cs="Tahoma"/>
          <w:color w:val="000000"/>
          <w:sz w:val="24"/>
          <w:szCs w:val="24"/>
          <w:lang w:eastAsia="pl-PL"/>
        </w:rPr>
        <w:t>Sąd Najwyższy oddalił skargę, o której mowa w art. 34 b ust. 1.”</w:t>
      </w:r>
    </w:p>
    <w:p w:rsidR="00B53F20" w:rsidRPr="00B8164E" w:rsidRDefault="00B53F20" w:rsidP="00B53F20">
      <w:pPr>
        <w:pStyle w:val="Akapitzlist"/>
        <w:numPr>
          <w:ilvl w:val="0"/>
          <w:numId w:val="30"/>
        </w:numPr>
        <w:spacing w:after="0" w:line="360" w:lineRule="auto"/>
        <w:rPr>
          <w:rFonts w:eastAsia="Times New Roman" w:cs="Tahoma"/>
          <w:color w:val="000000"/>
          <w:sz w:val="24"/>
          <w:szCs w:val="24"/>
          <w:lang w:eastAsia="pl-PL"/>
        </w:rPr>
      </w:pPr>
      <w:r w:rsidRPr="00B8164E">
        <w:rPr>
          <w:rFonts w:eastAsia="Times New Roman" w:cs="Tahoma"/>
          <w:color w:val="000000"/>
          <w:sz w:val="24"/>
          <w:szCs w:val="24"/>
          <w:lang w:eastAsia="pl-PL"/>
        </w:rPr>
        <w:t>ust. 2 otrzymuje brzmienie: „2. Utrata przez partię polityczną prawa do uzyskania środków na zasadach określonych w art. 28a następuje w następnym roku kalendarzowym, po roku, w którym wystąpiło zdarzenie, o którym mowa w ust.1.”</w:t>
      </w:r>
    </w:p>
    <w:p w:rsidR="00B53F20" w:rsidRPr="00B8164E" w:rsidRDefault="00B53F20" w:rsidP="00B53F20">
      <w:pPr>
        <w:pStyle w:val="Akapitzlist"/>
        <w:numPr>
          <w:ilvl w:val="0"/>
          <w:numId w:val="24"/>
        </w:numPr>
        <w:spacing w:after="0" w:line="360" w:lineRule="auto"/>
        <w:rPr>
          <w:sz w:val="24"/>
          <w:szCs w:val="24"/>
          <w:lang w:eastAsia="pl-PL"/>
        </w:rPr>
      </w:pPr>
      <w:r w:rsidRPr="00B8164E">
        <w:rPr>
          <w:rFonts w:eastAsia="Times New Roman" w:cs="Tahoma"/>
          <w:color w:val="000000"/>
          <w:sz w:val="24"/>
          <w:szCs w:val="24"/>
          <w:lang w:eastAsia="pl-PL"/>
        </w:rPr>
        <w:t>Art. 38d otrzymuje brzmienie: „</w:t>
      </w:r>
      <w:r w:rsidRPr="00B8164E">
        <w:rPr>
          <w:sz w:val="24"/>
          <w:szCs w:val="24"/>
          <w:lang w:eastAsia="pl-PL"/>
        </w:rPr>
        <w:t>W przypadku odrzucenia przez Państwową Komisję Wyborczą sprawozdania lub - w razie skargi na postanowienie o odrzuceniu sprawozdania - w przypadku oddalenia skargi przez Sąd Najwyższy partia polityczna traci prawo do otrzymania środków na zasadach określonych w art. 28a w następnych 3 latach. Termin ten liczy się od roku  następującego po roku, w którym nastąpiło odrzucenie sprawozdania, a w razie złożenia skargi na postanowienie o odrzuceniu sprawozdania termin ten liczy się od początku roku następującego po roku, w którym nastąpiło oddalenie skargi przez Sąd Najwyższy.</w:t>
      </w:r>
      <w:r w:rsidR="005A71B9">
        <w:rPr>
          <w:sz w:val="24"/>
          <w:szCs w:val="24"/>
          <w:lang w:eastAsia="pl-PL"/>
        </w:rPr>
        <w:t>”</w:t>
      </w:r>
    </w:p>
    <w:p w:rsidR="00B53F20" w:rsidRPr="00B8164E" w:rsidRDefault="00B53F20" w:rsidP="00B53F20">
      <w:pPr>
        <w:spacing w:after="0" w:line="360" w:lineRule="auto"/>
        <w:rPr>
          <w:sz w:val="24"/>
          <w:szCs w:val="24"/>
        </w:rPr>
      </w:pPr>
      <w:r w:rsidRPr="00B8164E">
        <w:rPr>
          <w:b/>
          <w:sz w:val="24"/>
          <w:szCs w:val="24"/>
        </w:rPr>
        <w:t>Art. 2</w:t>
      </w:r>
      <w:r>
        <w:rPr>
          <w:b/>
          <w:sz w:val="24"/>
          <w:szCs w:val="24"/>
        </w:rPr>
        <w:t>.</w:t>
      </w:r>
      <w:r w:rsidRPr="00B8164E">
        <w:rPr>
          <w:sz w:val="24"/>
          <w:szCs w:val="24"/>
        </w:rPr>
        <w:t xml:space="preserve"> W ustawie z dnia 26 lipca 1991 r. o podatku dochodowym od osób fizycznych (Dz.U. </w:t>
      </w:r>
      <w:r>
        <w:rPr>
          <w:sz w:val="24"/>
          <w:szCs w:val="24"/>
        </w:rPr>
        <w:t xml:space="preserve">z </w:t>
      </w:r>
      <w:r w:rsidRPr="00B8164E">
        <w:rPr>
          <w:sz w:val="24"/>
          <w:szCs w:val="24"/>
        </w:rPr>
        <w:t>2012</w:t>
      </w:r>
      <w:r>
        <w:rPr>
          <w:sz w:val="24"/>
          <w:szCs w:val="24"/>
        </w:rPr>
        <w:t xml:space="preserve"> r</w:t>
      </w:r>
      <w:r w:rsidRPr="00B8164E">
        <w:rPr>
          <w:sz w:val="24"/>
          <w:szCs w:val="24"/>
        </w:rPr>
        <w:t>.</w:t>
      </w:r>
      <w:r>
        <w:rPr>
          <w:sz w:val="24"/>
          <w:szCs w:val="24"/>
        </w:rPr>
        <w:t xml:space="preserve"> poz. </w:t>
      </w:r>
      <w:r w:rsidRPr="00B8164E">
        <w:rPr>
          <w:sz w:val="24"/>
          <w:szCs w:val="24"/>
        </w:rPr>
        <w:t>36</w:t>
      </w:r>
      <w:r>
        <w:rPr>
          <w:sz w:val="24"/>
          <w:szCs w:val="24"/>
        </w:rPr>
        <w:t>1) wprowadza następujące zmiany:</w:t>
      </w:r>
    </w:p>
    <w:p w:rsidR="00B53F20" w:rsidRPr="00B8164E" w:rsidRDefault="00B53F20" w:rsidP="00B53F20">
      <w:pPr>
        <w:spacing w:after="0" w:line="360" w:lineRule="auto"/>
        <w:rPr>
          <w:sz w:val="24"/>
          <w:szCs w:val="24"/>
        </w:rPr>
      </w:pPr>
    </w:p>
    <w:p w:rsidR="00B53F20" w:rsidRPr="00B8164E" w:rsidRDefault="00B53F20" w:rsidP="00B53F20">
      <w:pPr>
        <w:pStyle w:val="Akapitzlist"/>
        <w:numPr>
          <w:ilvl w:val="0"/>
          <w:numId w:val="27"/>
        </w:numPr>
        <w:spacing w:after="0" w:line="360" w:lineRule="auto"/>
        <w:rPr>
          <w:sz w:val="24"/>
          <w:szCs w:val="24"/>
        </w:rPr>
      </w:pPr>
      <w:r w:rsidRPr="00B8164E">
        <w:rPr>
          <w:sz w:val="24"/>
          <w:szCs w:val="24"/>
        </w:rPr>
        <w:t>Po art. 45c dodaje się art. 45ca w następującym brzmieniu:</w:t>
      </w:r>
    </w:p>
    <w:p w:rsidR="00B53F20" w:rsidRPr="00B8164E" w:rsidRDefault="00B53F20" w:rsidP="00B53F20">
      <w:pPr>
        <w:pStyle w:val="Akapitzlist"/>
        <w:spacing w:after="0" w:line="360" w:lineRule="auto"/>
        <w:rPr>
          <w:sz w:val="24"/>
          <w:szCs w:val="24"/>
        </w:rPr>
      </w:pPr>
      <w:r w:rsidRPr="00B8164E">
        <w:rPr>
          <w:sz w:val="24"/>
          <w:szCs w:val="24"/>
        </w:rPr>
        <w:t>„1. Naczelnik urzędu skarbowego właściwy miejscowo dla złożenia zeznania podatkowego, na wniosek, o którym mowa w ust. 3, przekazuje na rzecz jednej partii politycznej działającej na podstawie ustawy o partiach politycznych, wybranej przez podatnika  z wykazu, o którym mowa w ustawie o partiach politycznych</w:t>
      </w:r>
      <w:r>
        <w:rPr>
          <w:sz w:val="24"/>
          <w:szCs w:val="24"/>
        </w:rPr>
        <w:t>,</w:t>
      </w:r>
      <w:r w:rsidRPr="00B8164E">
        <w:rPr>
          <w:sz w:val="24"/>
          <w:szCs w:val="24"/>
        </w:rPr>
        <w:t xml:space="preserve"> zwan</w:t>
      </w:r>
      <w:r>
        <w:rPr>
          <w:sz w:val="24"/>
          <w:szCs w:val="24"/>
        </w:rPr>
        <w:t>ej</w:t>
      </w:r>
      <w:r w:rsidRPr="00B8164E">
        <w:rPr>
          <w:sz w:val="24"/>
          <w:szCs w:val="24"/>
        </w:rPr>
        <w:t xml:space="preserve"> dalej „partią polityczną”</w:t>
      </w:r>
      <w:r>
        <w:rPr>
          <w:sz w:val="24"/>
          <w:szCs w:val="24"/>
        </w:rPr>
        <w:t>,</w:t>
      </w:r>
      <w:r w:rsidRPr="00B8164E">
        <w:rPr>
          <w:sz w:val="24"/>
          <w:szCs w:val="24"/>
        </w:rPr>
        <w:t xml:space="preserve"> kwotę w wysokości 5 zł podatku należnego wynikającego:</w:t>
      </w:r>
    </w:p>
    <w:p w:rsidR="00B53F20" w:rsidRPr="00B8164E" w:rsidRDefault="00B53F20" w:rsidP="00B53F20">
      <w:pPr>
        <w:pStyle w:val="Akapitzlist"/>
        <w:numPr>
          <w:ilvl w:val="0"/>
          <w:numId w:val="28"/>
        </w:numPr>
        <w:spacing w:after="0" w:line="360" w:lineRule="auto"/>
        <w:rPr>
          <w:sz w:val="24"/>
          <w:szCs w:val="24"/>
        </w:rPr>
      </w:pPr>
      <w:r>
        <w:rPr>
          <w:sz w:val="24"/>
          <w:szCs w:val="24"/>
        </w:rPr>
        <w:t>z</w:t>
      </w:r>
      <w:r w:rsidRPr="00B8164E">
        <w:rPr>
          <w:sz w:val="24"/>
          <w:szCs w:val="24"/>
        </w:rPr>
        <w:t xml:space="preserve"> zeznania podatkowego złożonego w terminie określonym do dnia złożenia, albo</w:t>
      </w:r>
    </w:p>
    <w:p w:rsidR="00B53F20" w:rsidRPr="00B8164E" w:rsidRDefault="00B53F20" w:rsidP="00B53F20">
      <w:pPr>
        <w:pStyle w:val="Akapitzlist"/>
        <w:numPr>
          <w:ilvl w:val="0"/>
          <w:numId w:val="28"/>
        </w:numPr>
        <w:spacing w:after="0" w:line="360" w:lineRule="auto"/>
        <w:rPr>
          <w:sz w:val="24"/>
          <w:szCs w:val="24"/>
        </w:rPr>
      </w:pPr>
      <w:r>
        <w:rPr>
          <w:sz w:val="24"/>
          <w:szCs w:val="24"/>
        </w:rPr>
        <w:t>z</w:t>
      </w:r>
      <w:r w:rsidRPr="00B8164E">
        <w:rPr>
          <w:sz w:val="24"/>
          <w:szCs w:val="24"/>
        </w:rPr>
        <w:t xml:space="preserve"> korekty zeznania, o którym mowa w pkt 1, jeżeli została dokonana w ciągu miesiąca od upływu terminu złożenia zeznania podatkowego</w:t>
      </w:r>
      <w:r>
        <w:rPr>
          <w:sz w:val="24"/>
          <w:szCs w:val="24"/>
        </w:rPr>
        <w:t>.</w:t>
      </w:r>
    </w:p>
    <w:p w:rsidR="00B53F20" w:rsidRDefault="00B53F20" w:rsidP="00B53F20">
      <w:pPr>
        <w:spacing w:after="0" w:line="360" w:lineRule="auto"/>
        <w:ind w:left="709"/>
        <w:rPr>
          <w:rFonts w:eastAsia="Times New Roman" w:cs="Tahoma"/>
          <w:color w:val="000000"/>
          <w:sz w:val="24"/>
          <w:szCs w:val="24"/>
          <w:lang w:eastAsia="pl-PL"/>
        </w:rPr>
      </w:pPr>
      <w:r w:rsidRPr="00B8164E">
        <w:rPr>
          <w:sz w:val="24"/>
          <w:szCs w:val="24"/>
        </w:rPr>
        <w:t xml:space="preserve">2. </w:t>
      </w:r>
      <w:r w:rsidRPr="00B8164E">
        <w:rPr>
          <w:rFonts w:eastAsia="Times New Roman" w:cs="Tahoma"/>
          <w:color w:val="000000"/>
          <w:sz w:val="24"/>
          <w:szCs w:val="24"/>
          <w:lang w:eastAsia="pl-PL"/>
        </w:rPr>
        <w:t xml:space="preserve">Warunkiem przekazania kwoty, o której mowa w ust. 1, jest zapłata w pełnej wysokości podatku należnego stanowiącego podstawę obliczenia kwoty, która ma być przekazana na rzecz partii politycznej, nie później niż w terminie dwóch miesięcy od upływu terminu dla złożenia zeznania podatkowego. Za zapłacony podatek, o którym mowa w zdaniu pierwszym, uważa się również zaległość podatkową, której wysokość nie przekracza trzykrotności wartości opłaty pobieranej przez operatora wyznaczonego w rozumieniu </w:t>
      </w:r>
      <w:bookmarkStart w:id="2" w:name="#hiperlinkText.rpc?hiperlink=type=tresc:"/>
      <w:r w:rsidRPr="00B8164E">
        <w:rPr>
          <w:rFonts w:eastAsia="Times New Roman" w:cs="Tahoma"/>
          <w:color w:val="000000"/>
          <w:sz w:val="24"/>
          <w:szCs w:val="24"/>
          <w:lang w:eastAsia="pl-PL"/>
        </w:rPr>
        <w:t>ustawy</w:t>
      </w:r>
      <w:bookmarkEnd w:id="2"/>
      <w:r w:rsidRPr="00B8164E">
        <w:rPr>
          <w:rFonts w:eastAsia="Times New Roman" w:cs="Tahoma"/>
          <w:color w:val="000000"/>
          <w:sz w:val="24"/>
          <w:szCs w:val="24"/>
          <w:lang w:eastAsia="pl-PL"/>
        </w:rPr>
        <w:t xml:space="preserve"> z dnia 23 listopada 2012 r. - Prawo pocztowe (Dz. U. poz. 1529) za traktowanie przesyłki listowej jako przesyłki poleconej.</w:t>
      </w:r>
    </w:p>
    <w:p w:rsidR="00B53F20" w:rsidRDefault="00B53F20" w:rsidP="00B53F20">
      <w:pPr>
        <w:spacing w:after="0" w:line="360" w:lineRule="auto"/>
        <w:ind w:left="709"/>
        <w:rPr>
          <w:rFonts w:eastAsia="Times New Roman" w:cs="Tahoma"/>
          <w:color w:val="000000"/>
          <w:sz w:val="24"/>
          <w:szCs w:val="24"/>
          <w:lang w:eastAsia="pl-PL"/>
        </w:rPr>
      </w:pPr>
      <w:r w:rsidRPr="00B8164E">
        <w:rPr>
          <w:rFonts w:eastAsia="Times New Roman" w:cs="Tahoma"/>
          <w:color w:val="000000"/>
          <w:sz w:val="24"/>
          <w:szCs w:val="24"/>
          <w:lang w:eastAsia="pl-PL"/>
        </w:rPr>
        <w:t>3. Za wniosek uważa się wskazanie przez podatnika w zeznaniu podatkowym albo w korekcie zeznania, o których mowa w ust. 1, jednej partii politycznej z wykazu.</w:t>
      </w:r>
      <w:r w:rsidRPr="00B8164E">
        <w:rPr>
          <w:rFonts w:eastAsia="Times New Roman" w:cs="Tahoma"/>
          <w:color w:val="000000"/>
          <w:sz w:val="24"/>
          <w:szCs w:val="24"/>
          <w:lang w:eastAsia="pl-PL"/>
        </w:rPr>
        <w:br/>
        <w:t>4. Kwotę, o której mowa w ust. 1, naczelnik urzędu skarbowego przekazuje w terminie od maja do lipca roku następującego po roku podatkowym, za który składane jest zeznanie podatkowe, na rachunek bankowy podany przez partię polityczną zgodnie z przepisami ustawy o partiach politycznych. Kwota ta jest pomniejszana o koszty przelewu bankowego.</w:t>
      </w:r>
    </w:p>
    <w:p w:rsidR="00B53F20" w:rsidRDefault="00B53F20" w:rsidP="00B53F20">
      <w:pPr>
        <w:spacing w:after="0" w:line="360" w:lineRule="auto"/>
        <w:ind w:left="709"/>
        <w:rPr>
          <w:rFonts w:eastAsia="Times New Roman" w:cs="Tahoma"/>
          <w:color w:val="000000"/>
          <w:sz w:val="24"/>
          <w:szCs w:val="24"/>
          <w:lang w:eastAsia="pl-PL"/>
        </w:rPr>
      </w:pPr>
      <w:r w:rsidRPr="00B8164E">
        <w:rPr>
          <w:rFonts w:eastAsia="Times New Roman" w:cs="Tahoma"/>
          <w:color w:val="000000"/>
          <w:sz w:val="24"/>
          <w:szCs w:val="24"/>
          <w:lang w:eastAsia="pl-PL"/>
        </w:rPr>
        <w:t>5. Naczelnik urzędu skarbowego właściwy według siedziby partii politycznej, we wrześniu roku następującego po roku podatkowym przekazuje partii politycznej zbiorczą informację o:</w:t>
      </w:r>
    </w:p>
    <w:p w:rsidR="00B53F20" w:rsidRDefault="00B53F20" w:rsidP="00B53F20">
      <w:pPr>
        <w:spacing w:after="0" w:line="360" w:lineRule="auto"/>
        <w:ind w:left="709"/>
        <w:rPr>
          <w:rFonts w:eastAsia="Times New Roman" w:cs="Tahoma"/>
          <w:color w:val="000000"/>
          <w:sz w:val="24"/>
          <w:szCs w:val="24"/>
          <w:lang w:eastAsia="pl-PL"/>
        </w:rPr>
      </w:pPr>
      <w:r w:rsidRPr="00B8164E">
        <w:rPr>
          <w:rFonts w:eastAsia="Times New Roman" w:cs="Tahoma"/>
          <w:color w:val="000000"/>
          <w:sz w:val="24"/>
          <w:szCs w:val="24"/>
          <w:lang w:eastAsia="pl-PL"/>
        </w:rPr>
        <w:t>1) danych identyfikacyjnych (imię, nazwisko i adres), w tym obojga małżonków, którzy na wniosek podlegają łącznemu opodatkowaniu, oraz</w:t>
      </w:r>
    </w:p>
    <w:p w:rsidR="00B53F20" w:rsidRDefault="00B53F20" w:rsidP="00B53F20">
      <w:pPr>
        <w:spacing w:after="0" w:line="360" w:lineRule="auto"/>
        <w:ind w:left="709"/>
        <w:rPr>
          <w:rFonts w:eastAsia="Times New Roman" w:cs="Tahoma"/>
          <w:color w:val="000000"/>
          <w:sz w:val="24"/>
          <w:szCs w:val="24"/>
          <w:lang w:eastAsia="pl-PL"/>
        </w:rPr>
      </w:pPr>
      <w:r w:rsidRPr="00B8164E">
        <w:rPr>
          <w:rFonts w:eastAsia="Times New Roman" w:cs="Tahoma"/>
          <w:color w:val="000000"/>
          <w:sz w:val="24"/>
          <w:szCs w:val="24"/>
          <w:lang w:eastAsia="pl-PL"/>
        </w:rPr>
        <w:t>2) wysokości kwoty, o której mowa w ust. 1, przek</w:t>
      </w:r>
      <w:r>
        <w:rPr>
          <w:rFonts w:eastAsia="Times New Roman" w:cs="Tahoma"/>
          <w:color w:val="000000"/>
          <w:sz w:val="24"/>
          <w:szCs w:val="24"/>
          <w:lang w:eastAsia="pl-PL"/>
        </w:rPr>
        <w:t>azanej na rzecz tej partii.</w:t>
      </w:r>
      <w:r w:rsidRPr="00B8164E">
        <w:rPr>
          <w:rFonts w:eastAsia="Times New Roman" w:cs="Tahoma"/>
          <w:color w:val="000000"/>
          <w:sz w:val="24"/>
          <w:szCs w:val="24"/>
          <w:lang w:eastAsia="pl-PL"/>
        </w:rPr>
        <w:br/>
        <w:t xml:space="preserve">6. Minister właściwy do spraw finansów publicznych, uwzględniając potrzebę sprawnego zorganizowania procesu przekazywania kwot </w:t>
      </w:r>
      <w:r>
        <w:rPr>
          <w:rFonts w:eastAsia="Times New Roman" w:cs="Tahoma"/>
          <w:color w:val="000000"/>
          <w:sz w:val="24"/>
          <w:szCs w:val="24"/>
          <w:lang w:eastAsia="pl-PL"/>
        </w:rPr>
        <w:t>na partie polityczne w drodze przekazania 5 zł na wybraną partie polityczną</w:t>
      </w:r>
      <w:r w:rsidRPr="00B8164E">
        <w:rPr>
          <w:rFonts w:eastAsia="Times New Roman" w:cs="Tahoma"/>
          <w:color w:val="000000"/>
          <w:sz w:val="24"/>
          <w:szCs w:val="24"/>
          <w:lang w:eastAsia="pl-PL"/>
        </w:rPr>
        <w:t>, może upoważnić, w drodze rozporządzenia, podległy organ, inny niż określony w ust. 1, do realizacji zadania, o którym mowa w ust. 1.”</w:t>
      </w:r>
    </w:p>
    <w:p w:rsidR="00B53F20" w:rsidRDefault="00B53F20" w:rsidP="00B53F20">
      <w:pPr>
        <w:spacing w:after="0" w:line="360" w:lineRule="auto"/>
        <w:rPr>
          <w:rFonts w:eastAsia="Times New Roman" w:cs="Tahoma"/>
          <w:color w:val="000000"/>
          <w:sz w:val="24"/>
          <w:szCs w:val="24"/>
          <w:lang w:eastAsia="pl-PL"/>
        </w:rPr>
      </w:pPr>
      <w:r w:rsidRPr="007921D5">
        <w:rPr>
          <w:rFonts w:eastAsia="Times New Roman" w:cs="Tahoma"/>
          <w:b/>
          <w:color w:val="000000"/>
          <w:sz w:val="24"/>
          <w:szCs w:val="24"/>
          <w:lang w:eastAsia="pl-PL"/>
        </w:rPr>
        <w:t>Art. 3</w:t>
      </w:r>
      <w:r>
        <w:rPr>
          <w:rFonts w:eastAsia="Times New Roman" w:cs="Tahoma"/>
          <w:b/>
          <w:color w:val="000000"/>
          <w:sz w:val="24"/>
          <w:szCs w:val="24"/>
          <w:lang w:eastAsia="pl-PL"/>
        </w:rPr>
        <w:t xml:space="preserve">. </w:t>
      </w:r>
      <w:r w:rsidRPr="007921D5">
        <w:rPr>
          <w:rFonts w:eastAsia="Times New Roman" w:cs="Tahoma"/>
          <w:color w:val="000000"/>
          <w:sz w:val="24"/>
          <w:szCs w:val="24"/>
          <w:lang w:eastAsia="pl-PL"/>
        </w:rPr>
        <w:t>W ustawie</w:t>
      </w:r>
      <w:r>
        <w:rPr>
          <w:rFonts w:eastAsia="Times New Roman" w:cs="Tahoma"/>
          <w:color w:val="000000"/>
          <w:sz w:val="24"/>
          <w:szCs w:val="24"/>
          <w:lang w:eastAsia="pl-PL"/>
        </w:rPr>
        <w:t xml:space="preserve"> 31 stycznia 2011 Kodeks wyborczy (Dz.U. z 2011 r. 21.112 z </w:t>
      </w:r>
      <w:proofErr w:type="spellStart"/>
      <w:r>
        <w:rPr>
          <w:rFonts w:eastAsia="Times New Roman" w:cs="Tahoma"/>
          <w:color w:val="000000"/>
          <w:sz w:val="24"/>
          <w:szCs w:val="24"/>
          <w:lang w:eastAsia="pl-PL"/>
        </w:rPr>
        <w:t>późn</w:t>
      </w:r>
      <w:proofErr w:type="spellEnd"/>
      <w:r>
        <w:rPr>
          <w:rFonts w:eastAsia="Times New Roman" w:cs="Tahoma"/>
          <w:color w:val="000000"/>
          <w:sz w:val="24"/>
          <w:szCs w:val="24"/>
          <w:lang w:eastAsia="pl-PL"/>
        </w:rPr>
        <w:t>. zm.) wprowadza się następujące zmiany:</w:t>
      </w:r>
    </w:p>
    <w:p w:rsidR="00B53F20" w:rsidRDefault="00B53F20" w:rsidP="00B53F20">
      <w:pPr>
        <w:pStyle w:val="Akapitzlist"/>
        <w:numPr>
          <w:ilvl w:val="0"/>
          <w:numId w:val="31"/>
        </w:numPr>
        <w:spacing w:after="0" w:line="360" w:lineRule="auto"/>
        <w:rPr>
          <w:rFonts w:eastAsia="Times New Roman" w:cs="Tahoma"/>
          <w:color w:val="000000"/>
          <w:sz w:val="24"/>
          <w:szCs w:val="24"/>
          <w:lang w:eastAsia="pl-PL"/>
        </w:rPr>
      </w:pPr>
      <w:r>
        <w:rPr>
          <w:rFonts w:eastAsia="Times New Roman" w:cs="Tahoma"/>
          <w:color w:val="000000"/>
          <w:sz w:val="24"/>
          <w:szCs w:val="24"/>
          <w:lang w:eastAsia="pl-PL"/>
        </w:rPr>
        <w:t>W art. 147 w § 1:</w:t>
      </w:r>
    </w:p>
    <w:p w:rsidR="00B53F20" w:rsidRDefault="00B53F20" w:rsidP="00B53F20">
      <w:pPr>
        <w:pStyle w:val="Akapitzlist"/>
        <w:numPr>
          <w:ilvl w:val="0"/>
          <w:numId w:val="32"/>
        </w:numPr>
        <w:spacing w:after="160" w:line="360" w:lineRule="auto"/>
        <w:ind w:left="714" w:hanging="357"/>
        <w:rPr>
          <w:sz w:val="24"/>
          <w:szCs w:val="24"/>
          <w:lang w:eastAsia="pl-PL"/>
        </w:rPr>
      </w:pPr>
      <w:r>
        <w:rPr>
          <w:rFonts w:eastAsia="Times New Roman" w:cs="Tahoma"/>
          <w:color w:val="000000"/>
          <w:sz w:val="24"/>
          <w:szCs w:val="24"/>
          <w:lang w:eastAsia="pl-PL"/>
        </w:rPr>
        <w:t>p</w:t>
      </w:r>
      <w:r w:rsidRPr="007921D5">
        <w:rPr>
          <w:rFonts w:eastAsia="Times New Roman" w:cs="Tahoma"/>
          <w:color w:val="000000"/>
          <w:sz w:val="24"/>
          <w:szCs w:val="24"/>
          <w:lang w:eastAsia="pl-PL"/>
        </w:rPr>
        <w:t xml:space="preserve">kt 1) otrzymuje brzmienie: </w:t>
      </w:r>
      <w:r>
        <w:rPr>
          <w:rFonts w:eastAsia="Times New Roman" w:cs="Tahoma"/>
          <w:color w:val="000000"/>
          <w:sz w:val="24"/>
          <w:szCs w:val="24"/>
          <w:lang w:eastAsia="pl-PL"/>
        </w:rPr>
        <w:t xml:space="preserve">„1) </w:t>
      </w:r>
      <w:r w:rsidRPr="007921D5">
        <w:rPr>
          <w:sz w:val="24"/>
          <w:szCs w:val="24"/>
          <w:lang w:eastAsia="pl-PL"/>
        </w:rPr>
        <w:t xml:space="preserve">komitet wyborczy partii politycznej - partii politycznej nie przysługuje prawo do dotacji, o której mowa w art. 150 lub art. 151, oraz prawo do </w:t>
      </w:r>
      <w:r>
        <w:rPr>
          <w:sz w:val="24"/>
          <w:szCs w:val="24"/>
          <w:lang w:eastAsia="pl-PL"/>
        </w:rPr>
        <w:t>otrzymania środków na zasadach określonych w art. 28a</w:t>
      </w:r>
      <w:r w:rsidRPr="007921D5">
        <w:rPr>
          <w:sz w:val="24"/>
          <w:szCs w:val="24"/>
          <w:lang w:eastAsia="pl-PL"/>
        </w:rPr>
        <w:t xml:space="preserve"> ustawy z dnia 27 czerwca</w:t>
      </w:r>
      <w:r>
        <w:rPr>
          <w:sz w:val="24"/>
          <w:szCs w:val="24"/>
          <w:lang w:eastAsia="pl-PL"/>
        </w:rPr>
        <w:t xml:space="preserve"> 1997 r. o partiach politycznych przez okres jednego roku począwszy od następnego roku po wyborach, z które miało być złożone sprawozdanie</w:t>
      </w:r>
      <w:r w:rsidRPr="007921D5">
        <w:rPr>
          <w:sz w:val="24"/>
          <w:szCs w:val="24"/>
          <w:lang w:eastAsia="pl-PL"/>
        </w:rPr>
        <w:t>;</w:t>
      </w:r>
      <w:r>
        <w:rPr>
          <w:sz w:val="24"/>
          <w:szCs w:val="24"/>
          <w:lang w:eastAsia="pl-PL"/>
        </w:rPr>
        <w:t>”</w:t>
      </w:r>
    </w:p>
    <w:p w:rsidR="00B53F20" w:rsidRDefault="00B53F20" w:rsidP="00B53F20">
      <w:pPr>
        <w:pStyle w:val="Akapitzlist"/>
        <w:numPr>
          <w:ilvl w:val="0"/>
          <w:numId w:val="32"/>
        </w:numPr>
        <w:spacing w:after="160" w:line="360" w:lineRule="auto"/>
        <w:jc w:val="left"/>
        <w:rPr>
          <w:sz w:val="24"/>
          <w:szCs w:val="24"/>
        </w:rPr>
      </w:pPr>
      <w:r w:rsidRPr="00D27C9F">
        <w:rPr>
          <w:sz w:val="24"/>
          <w:szCs w:val="24"/>
        </w:rPr>
        <w:t xml:space="preserve">pkt 2) otrzymuje brzmienie: „2) koalicyjny komitet wyborczy - partii politycznej wchodzącej w skład koalicji wyborczej nie przysługuje prawo do dotacji, o której mowa w art. 150 lub art. 151, </w:t>
      </w:r>
      <w:r w:rsidRPr="007921D5">
        <w:rPr>
          <w:sz w:val="24"/>
          <w:szCs w:val="24"/>
          <w:lang w:eastAsia="pl-PL"/>
        </w:rPr>
        <w:t xml:space="preserve">oraz prawo do </w:t>
      </w:r>
      <w:r>
        <w:rPr>
          <w:sz w:val="24"/>
          <w:szCs w:val="24"/>
          <w:lang w:eastAsia="pl-PL"/>
        </w:rPr>
        <w:t>otrzymania środków na zasadach określonych w art. 28a</w:t>
      </w:r>
      <w:r w:rsidRPr="007921D5">
        <w:rPr>
          <w:sz w:val="24"/>
          <w:szCs w:val="24"/>
          <w:lang w:eastAsia="pl-PL"/>
        </w:rPr>
        <w:t xml:space="preserve"> ustawy z dnia 27 czerwca</w:t>
      </w:r>
      <w:r>
        <w:rPr>
          <w:sz w:val="24"/>
          <w:szCs w:val="24"/>
          <w:lang w:eastAsia="pl-PL"/>
        </w:rPr>
        <w:t xml:space="preserve"> 1997 r. o partiach politycznych przez okres jednego roku począwszy od następnego roku po wyborach, z które miało być złożone sprawozdanie</w:t>
      </w:r>
      <w:r w:rsidRPr="007921D5">
        <w:rPr>
          <w:sz w:val="24"/>
          <w:szCs w:val="24"/>
          <w:lang w:eastAsia="pl-PL"/>
        </w:rPr>
        <w:t>;</w:t>
      </w:r>
    </w:p>
    <w:p w:rsidR="00B53F20" w:rsidRDefault="00B53F20" w:rsidP="00B53F20">
      <w:pPr>
        <w:pStyle w:val="Akapitzlist"/>
        <w:numPr>
          <w:ilvl w:val="0"/>
          <w:numId w:val="31"/>
        </w:numPr>
        <w:spacing w:after="160" w:line="360" w:lineRule="auto"/>
        <w:ind w:left="714" w:hanging="357"/>
        <w:rPr>
          <w:sz w:val="24"/>
          <w:szCs w:val="24"/>
          <w:lang w:eastAsia="pl-PL"/>
        </w:rPr>
      </w:pPr>
      <w:r>
        <w:rPr>
          <w:sz w:val="24"/>
          <w:szCs w:val="24"/>
          <w:lang w:eastAsia="pl-PL"/>
        </w:rPr>
        <w:t>W art. 148:</w:t>
      </w:r>
    </w:p>
    <w:p w:rsidR="00B53F20" w:rsidRPr="00001A56" w:rsidRDefault="00B53F20" w:rsidP="00B53F20">
      <w:pPr>
        <w:pStyle w:val="Akapitzlist"/>
        <w:numPr>
          <w:ilvl w:val="0"/>
          <w:numId w:val="33"/>
        </w:numPr>
        <w:spacing w:after="160" w:line="360" w:lineRule="auto"/>
        <w:ind w:left="714" w:hanging="357"/>
        <w:rPr>
          <w:sz w:val="24"/>
          <w:szCs w:val="24"/>
        </w:rPr>
      </w:pPr>
      <w:r w:rsidRPr="00D27C9F">
        <w:rPr>
          <w:sz w:val="24"/>
          <w:szCs w:val="24"/>
        </w:rPr>
        <w:t xml:space="preserve">§ 2 otrzymuje brzmienie: </w:t>
      </w:r>
      <w:r>
        <w:rPr>
          <w:sz w:val="24"/>
          <w:szCs w:val="24"/>
        </w:rPr>
        <w:t xml:space="preserve">„§ 2. </w:t>
      </w:r>
      <w:r w:rsidRPr="00D27C9F">
        <w:rPr>
          <w:sz w:val="24"/>
          <w:szCs w:val="24"/>
        </w:rPr>
        <w:t>W razie odrzucenia przez Państwową Komisję Wyborczą sprawozdania finansowego lub odrzucenia skargi, o której mowa w art. 145 § 1, przysługując</w:t>
      </w:r>
      <w:r>
        <w:rPr>
          <w:sz w:val="24"/>
          <w:szCs w:val="24"/>
        </w:rPr>
        <w:t>e</w:t>
      </w:r>
      <w:r w:rsidRPr="00D27C9F">
        <w:rPr>
          <w:sz w:val="24"/>
          <w:szCs w:val="24"/>
        </w:rPr>
        <w:t xml:space="preserve"> partii politycznej </w:t>
      </w:r>
      <w:r>
        <w:rPr>
          <w:sz w:val="24"/>
          <w:szCs w:val="24"/>
        </w:rPr>
        <w:t xml:space="preserve"> środki uzyskiwane na zasadach określonych</w:t>
      </w:r>
      <w:r>
        <w:rPr>
          <w:sz w:val="24"/>
          <w:szCs w:val="24"/>
        </w:rPr>
        <w:br/>
        <w:t xml:space="preserve">w art. 28a </w:t>
      </w:r>
      <w:r w:rsidRPr="00D27C9F">
        <w:rPr>
          <w:sz w:val="24"/>
          <w:szCs w:val="24"/>
        </w:rPr>
        <w:t xml:space="preserve">ustawy z dnia 27 czerwca 1997 r. o partiach politycznych, pomniejszona zostaje o kwotę stanowiącą równowartość trzykrotności wysokości środków </w:t>
      </w:r>
      <w:r w:rsidRPr="00001A56">
        <w:rPr>
          <w:sz w:val="24"/>
          <w:szCs w:val="24"/>
        </w:rPr>
        <w:t>pozyskanych lub wydatkowanych z naruszeniem przepisów, o których mowa w art. 144 § 1 pkt 3.”</w:t>
      </w:r>
    </w:p>
    <w:p w:rsidR="00B53F20" w:rsidRPr="00001A56" w:rsidRDefault="00B53F20" w:rsidP="00B53F20">
      <w:pPr>
        <w:pStyle w:val="Akapitzlist"/>
        <w:numPr>
          <w:ilvl w:val="0"/>
          <w:numId w:val="33"/>
        </w:numPr>
        <w:spacing w:after="160" w:line="360" w:lineRule="auto"/>
        <w:ind w:left="714" w:hanging="357"/>
        <w:rPr>
          <w:rFonts w:ascii="Tahoma" w:hAnsi="Tahoma"/>
          <w:lang w:eastAsia="pl-PL"/>
        </w:rPr>
      </w:pPr>
      <w:r w:rsidRPr="00001A56">
        <w:rPr>
          <w:sz w:val="24"/>
          <w:szCs w:val="24"/>
          <w:lang w:eastAsia="pl-PL"/>
        </w:rPr>
        <w:t xml:space="preserve">§ 3 otrzymuje brzmienie: § 3. Pomniejszenie wysokości dotacji lub wysokości, środków uzyskanych na zasadach określonych w art. 28a </w:t>
      </w:r>
      <w:r w:rsidRPr="00001A56">
        <w:rPr>
          <w:sz w:val="24"/>
          <w:szCs w:val="24"/>
        </w:rPr>
        <w:t>ustawy z dnia 27 czerwca 1997 r. o partiach politycznych</w:t>
      </w:r>
      <w:r w:rsidRPr="00001A56">
        <w:rPr>
          <w:sz w:val="24"/>
          <w:szCs w:val="24"/>
          <w:lang w:eastAsia="pl-PL"/>
        </w:rPr>
        <w:t xml:space="preserve"> , o którym mowa w § 1 i 2, nie może przekraczać 75 % wysokości dotacji, o której mowa w art. 150 § 1 albo art. 151 § 1, lub 75 % uzyskanych na za</w:t>
      </w:r>
      <w:r>
        <w:rPr>
          <w:sz w:val="24"/>
          <w:szCs w:val="24"/>
          <w:lang w:eastAsia="pl-PL"/>
        </w:rPr>
        <w:t>s</w:t>
      </w:r>
      <w:r w:rsidRPr="00001A56">
        <w:rPr>
          <w:sz w:val="24"/>
          <w:szCs w:val="24"/>
          <w:lang w:eastAsia="pl-PL"/>
        </w:rPr>
        <w:t>adach określonych w art. 28a ustawy z dnia 27 czerwca 1997 r. o partiach politycznych</w:t>
      </w:r>
      <w:r w:rsidRPr="00001A56">
        <w:rPr>
          <w:rFonts w:ascii="Tahoma" w:hAnsi="Tahoma"/>
          <w:lang w:eastAsia="pl-PL"/>
        </w:rPr>
        <w:t>.</w:t>
      </w:r>
    </w:p>
    <w:p w:rsidR="00B53F20" w:rsidRPr="00B8164E" w:rsidRDefault="00B53F20" w:rsidP="00B53F20">
      <w:pPr>
        <w:spacing w:after="0" w:line="360" w:lineRule="auto"/>
        <w:rPr>
          <w:rFonts w:eastAsia="Times New Roman" w:cs="Tahoma"/>
          <w:color w:val="000000"/>
          <w:sz w:val="24"/>
          <w:szCs w:val="24"/>
          <w:lang w:eastAsia="pl-PL"/>
        </w:rPr>
      </w:pPr>
      <w:r w:rsidRPr="00B8164E">
        <w:rPr>
          <w:b/>
          <w:sz w:val="24"/>
          <w:szCs w:val="24"/>
        </w:rPr>
        <w:t>Art.</w:t>
      </w:r>
      <w:r>
        <w:rPr>
          <w:rFonts w:eastAsia="Times New Roman" w:cs="Tahoma"/>
          <w:b/>
          <w:color w:val="000000"/>
          <w:sz w:val="24"/>
          <w:szCs w:val="24"/>
          <w:lang w:eastAsia="pl-PL"/>
        </w:rPr>
        <w:t xml:space="preserve"> 4.</w:t>
      </w:r>
      <w:r w:rsidRPr="00B8164E">
        <w:rPr>
          <w:rFonts w:eastAsia="Times New Roman" w:cs="Tahoma"/>
          <w:b/>
          <w:color w:val="000000"/>
          <w:sz w:val="24"/>
          <w:szCs w:val="24"/>
          <w:lang w:eastAsia="pl-PL"/>
        </w:rPr>
        <w:t xml:space="preserve"> </w:t>
      </w:r>
      <w:r w:rsidRPr="00B8164E">
        <w:rPr>
          <w:rFonts w:eastAsia="Times New Roman" w:cs="Tahoma"/>
          <w:color w:val="000000"/>
          <w:sz w:val="24"/>
          <w:szCs w:val="24"/>
          <w:lang w:eastAsia="pl-PL"/>
        </w:rPr>
        <w:t>Subwencj</w:t>
      </w:r>
      <w:r>
        <w:rPr>
          <w:rFonts w:eastAsia="Times New Roman" w:cs="Tahoma"/>
          <w:color w:val="000000"/>
          <w:sz w:val="24"/>
          <w:szCs w:val="24"/>
          <w:lang w:eastAsia="pl-PL"/>
        </w:rPr>
        <w:t>a</w:t>
      </w:r>
      <w:r w:rsidRPr="00B8164E">
        <w:rPr>
          <w:rFonts w:eastAsia="Times New Roman" w:cs="Tahoma"/>
          <w:color w:val="000000"/>
          <w:sz w:val="24"/>
          <w:szCs w:val="24"/>
          <w:lang w:eastAsia="pl-PL"/>
        </w:rPr>
        <w:t xml:space="preserve"> z budżetu państwa </w:t>
      </w:r>
      <w:r>
        <w:rPr>
          <w:rFonts w:eastAsia="Times New Roman" w:cs="Tahoma"/>
          <w:color w:val="000000"/>
          <w:sz w:val="24"/>
          <w:szCs w:val="24"/>
          <w:lang w:eastAsia="pl-PL"/>
        </w:rPr>
        <w:t xml:space="preserve">po </w:t>
      </w:r>
      <w:r w:rsidRPr="00B8164E">
        <w:rPr>
          <w:rFonts w:eastAsia="Times New Roman" w:cs="Tahoma"/>
          <w:color w:val="000000"/>
          <w:sz w:val="24"/>
          <w:szCs w:val="24"/>
          <w:lang w:eastAsia="pl-PL"/>
        </w:rPr>
        <w:t xml:space="preserve">raz ostatni zostanie wypłacona na zasadach sprzed dnia wejścia w życie niniejszej ustawy w roku poprzedzającym dzień wejścia w życie.  </w:t>
      </w:r>
    </w:p>
    <w:p w:rsidR="00B53F20" w:rsidRDefault="00B53F20" w:rsidP="00B53F20">
      <w:pPr>
        <w:spacing w:after="0" w:line="360" w:lineRule="auto"/>
        <w:rPr>
          <w:rFonts w:eastAsia="Times New Roman" w:cs="Tahoma"/>
          <w:color w:val="000000"/>
          <w:sz w:val="24"/>
          <w:szCs w:val="24"/>
          <w:lang w:eastAsia="pl-PL"/>
        </w:rPr>
      </w:pPr>
      <w:r w:rsidRPr="00B8164E">
        <w:rPr>
          <w:rFonts w:eastAsia="Times New Roman" w:cs="Tahoma"/>
          <w:b/>
          <w:color w:val="000000"/>
          <w:sz w:val="24"/>
          <w:szCs w:val="24"/>
          <w:lang w:eastAsia="pl-PL"/>
        </w:rPr>
        <w:t xml:space="preserve">Art. </w:t>
      </w:r>
      <w:r>
        <w:rPr>
          <w:rFonts w:eastAsia="Times New Roman" w:cs="Tahoma"/>
          <w:b/>
          <w:color w:val="000000"/>
          <w:sz w:val="24"/>
          <w:szCs w:val="24"/>
          <w:lang w:eastAsia="pl-PL"/>
        </w:rPr>
        <w:t>5.</w:t>
      </w:r>
      <w:r w:rsidRPr="00B8164E">
        <w:rPr>
          <w:rFonts w:eastAsia="Times New Roman" w:cs="Tahoma"/>
          <w:b/>
          <w:color w:val="000000"/>
          <w:sz w:val="24"/>
          <w:szCs w:val="24"/>
          <w:lang w:eastAsia="pl-PL"/>
        </w:rPr>
        <w:t xml:space="preserve"> </w:t>
      </w:r>
      <w:r w:rsidRPr="00B8164E">
        <w:rPr>
          <w:rFonts w:eastAsia="Times New Roman" w:cs="Tahoma"/>
          <w:color w:val="000000"/>
          <w:sz w:val="24"/>
          <w:szCs w:val="24"/>
          <w:lang w:eastAsia="pl-PL"/>
        </w:rPr>
        <w:t>Ustawa wchodzi w życie z dniem 1 stycznia 2017 r. z wyjątkiem art. 2, który wchodzi w życie z dniem 1 września 2016 r.</w:t>
      </w:r>
    </w:p>
    <w:p w:rsidR="00B53F20" w:rsidRDefault="00B53F20" w:rsidP="00B53F20">
      <w:pPr>
        <w:spacing w:after="0" w:line="360" w:lineRule="auto"/>
        <w:rPr>
          <w:rFonts w:eastAsia="Times New Roman" w:cs="Tahoma"/>
          <w:color w:val="000000"/>
          <w:sz w:val="24"/>
          <w:szCs w:val="24"/>
          <w:lang w:eastAsia="pl-PL"/>
        </w:rPr>
      </w:pPr>
    </w:p>
    <w:p w:rsidR="00B53F20" w:rsidRDefault="00B53F20" w:rsidP="00B53F20">
      <w:pPr>
        <w:spacing w:after="0" w:line="360" w:lineRule="auto"/>
        <w:rPr>
          <w:rFonts w:eastAsia="Times New Roman" w:cs="Tahoma"/>
          <w:color w:val="000000"/>
          <w:sz w:val="24"/>
          <w:szCs w:val="24"/>
          <w:lang w:eastAsia="pl-PL"/>
        </w:rPr>
      </w:pPr>
    </w:p>
    <w:p w:rsidR="00B53F20" w:rsidRDefault="00B53F20" w:rsidP="00B53F20">
      <w:pPr>
        <w:spacing w:after="0" w:line="360" w:lineRule="auto"/>
        <w:rPr>
          <w:rFonts w:eastAsia="Times New Roman" w:cs="Tahoma"/>
          <w:color w:val="000000"/>
          <w:sz w:val="24"/>
          <w:szCs w:val="24"/>
          <w:lang w:eastAsia="pl-PL"/>
        </w:rPr>
      </w:pPr>
    </w:p>
    <w:p w:rsidR="00B53F20" w:rsidRDefault="00B53F20" w:rsidP="00B53F20">
      <w:pPr>
        <w:spacing w:after="0" w:line="360" w:lineRule="auto"/>
        <w:rPr>
          <w:rFonts w:eastAsia="Times New Roman" w:cs="Tahoma"/>
          <w:color w:val="000000"/>
          <w:sz w:val="24"/>
          <w:szCs w:val="24"/>
          <w:lang w:eastAsia="pl-PL"/>
        </w:rPr>
      </w:pPr>
    </w:p>
    <w:p w:rsidR="00B53F20" w:rsidRPr="00B8164E" w:rsidRDefault="00B53F20" w:rsidP="00B53F20">
      <w:pPr>
        <w:jc w:val="center"/>
        <w:rPr>
          <w:rFonts w:eastAsia="Times New Roman" w:cs="Tahoma"/>
          <w:b/>
          <w:color w:val="000000"/>
          <w:sz w:val="24"/>
          <w:szCs w:val="24"/>
          <w:lang w:eastAsia="pl-PL"/>
        </w:rPr>
      </w:pPr>
      <w:r w:rsidRPr="00B8164E">
        <w:rPr>
          <w:rFonts w:eastAsia="Times New Roman" w:cs="Tahoma"/>
          <w:b/>
          <w:color w:val="000000"/>
          <w:sz w:val="24"/>
          <w:szCs w:val="24"/>
          <w:lang w:eastAsia="pl-PL"/>
        </w:rPr>
        <w:t>UZASADNIENIE</w:t>
      </w:r>
    </w:p>
    <w:p w:rsidR="00B53F20" w:rsidRDefault="00B53F20" w:rsidP="00B53F20">
      <w:pPr>
        <w:spacing w:line="360" w:lineRule="auto"/>
        <w:ind w:firstLine="708"/>
        <w:rPr>
          <w:rFonts w:eastAsia="Times New Roman" w:cs="Tahoma"/>
          <w:color w:val="000000"/>
          <w:sz w:val="24"/>
          <w:szCs w:val="24"/>
          <w:lang w:eastAsia="pl-PL"/>
        </w:rPr>
      </w:pPr>
      <w:r w:rsidRPr="00B8164E">
        <w:rPr>
          <w:rFonts w:eastAsia="Times New Roman" w:cs="Tahoma"/>
          <w:color w:val="000000"/>
          <w:sz w:val="24"/>
          <w:szCs w:val="24"/>
          <w:lang w:eastAsia="pl-PL"/>
        </w:rPr>
        <w:t xml:space="preserve">W obecnie obowiązującym stanie prawnym głównym źródłem </w:t>
      </w:r>
      <w:r>
        <w:rPr>
          <w:rFonts w:eastAsia="Times New Roman" w:cs="Tahoma"/>
          <w:color w:val="000000"/>
          <w:sz w:val="24"/>
          <w:szCs w:val="24"/>
          <w:lang w:eastAsia="pl-PL"/>
        </w:rPr>
        <w:t>majątku</w:t>
      </w:r>
      <w:r w:rsidRPr="00B8164E">
        <w:rPr>
          <w:rFonts w:eastAsia="Times New Roman" w:cs="Tahoma"/>
          <w:color w:val="000000"/>
          <w:sz w:val="24"/>
          <w:szCs w:val="24"/>
          <w:lang w:eastAsia="pl-PL"/>
        </w:rPr>
        <w:t xml:space="preserve"> partii politycznych są subwencje udzielane z budżetu państwa. Wysokość subwencji oraz </w:t>
      </w:r>
      <w:r>
        <w:rPr>
          <w:rFonts w:eastAsia="Times New Roman" w:cs="Tahoma"/>
          <w:color w:val="000000"/>
          <w:sz w:val="24"/>
          <w:szCs w:val="24"/>
          <w:lang w:eastAsia="pl-PL"/>
        </w:rPr>
        <w:t>samo uprawnienie do jej otrzymania</w:t>
      </w:r>
      <w:r w:rsidRPr="00B8164E">
        <w:rPr>
          <w:rFonts w:eastAsia="Times New Roman" w:cs="Tahoma"/>
          <w:color w:val="000000"/>
          <w:sz w:val="24"/>
          <w:szCs w:val="24"/>
          <w:lang w:eastAsia="pl-PL"/>
        </w:rPr>
        <w:t xml:space="preserve"> jest uzależnion</w:t>
      </w:r>
      <w:r>
        <w:rPr>
          <w:rFonts w:eastAsia="Times New Roman" w:cs="Tahoma"/>
          <w:color w:val="000000"/>
          <w:sz w:val="24"/>
          <w:szCs w:val="24"/>
          <w:lang w:eastAsia="pl-PL"/>
        </w:rPr>
        <w:t>e</w:t>
      </w:r>
      <w:r w:rsidRPr="00B8164E">
        <w:rPr>
          <w:rFonts w:eastAsia="Times New Roman" w:cs="Tahoma"/>
          <w:color w:val="000000"/>
          <w:sz w:val="24"/>
          <w:szCs w:val="24"/>
          <w:lang w:eastAsia="pl-PL"/>
        </w:rPr>
        <w:t xml:space="preserve"> od wyniku wyborczego</w:t>
      </w:r>
      <w:r>
        <w:rPr>
          <w:rFonts w:eastAsia="Times New Roman" w:cs="Tahoma"/>
          <w:color w:val="000000"/>
          <w:sz w:val="24"/>
          <w:szCs w:val="24"/>
          <w:lang w:eastAsia="pl-PL"/>
        </w:rPr>
        <w:t xml:space="preserve"> uzyskanego przez partię w wyborach parlamentarnych. Tym samym, </w:t>
      </w:r>
      <w:r w:rsidRPr="00B8164E">
        <w:rPr>
          <w:rFonts w:eastAsia="Times New Roman" w:cs="Tahoma"/>
          <w:color w:val="000000"/>
          <w:sz w:val="24"/>
          <w:szCs w:val="24"/>
          <w:lang w:eastAsia="pl-PL"/>
        </w:rPr>
        <w:t xml:space="preserve">partie, które przekroczą próg poparcia </w:t>
      </w:r>
      <w:r>
        <w:rPr>
          <w:rFonts w:eastAsia="Times New Roman" w:cs="Tahoma"/>
          <w:color w:val="000000"/>
          <w:sz w:val="24"/>
          <w:szCs w:val="24"/>
          <w:lang w:eastAsia="pl-PL"/>
        </w:rPr>
        <w:t xml:space="preserve">wynoszący 3% ważnie oddanych głosów są uprawnione do </w:t>
      </w:r>
      <w:r w:rsidRPr="00B8164E">
        <w:rPr>
          <w:rFonts w:eastAsia="Times New Roman" w:cs="Tahoma"/>
          <w:color w:val="000000"/>
          <w:sz w:val="24"/>
          <w:szCs w:val="24"/>
          <w:lang w:eastAsia="pl-PL"/>
        </w:rPr>
        <w:t>otrzym</w:t>
      </w:r>
      <w:r>
        <w:rPr>
          <w:rFonts w:eastAsia="Times New Roman" w:cs="Tahoma"/>
          <w:color w:val="000000"/>
          <w:sz w:val="24"/>
          <w:szCs w:val="24"/>
          <w:lang w:eastAsia="pl-PL"/>
        </w:rPr>
        <w:t>ania</w:t>
      </w:r>
      <w:r w:rsidRPr="00B8164E">
        <w:rPr>
          <w:rFonts w:eastAsia="Times New Roman" w:cs="Tahoma"/>
          <w:color w:val="000000"/>
          <w:sz w:val="24"/>
          <w:szCs w:val="24"/>
          <w:lang w:eastAsia="pl-PL"/>
        </w:rPr>
        <w:t xml:space="preserve"> subwencj</w:t>
      </w:r>
      <w:r>
        <w:rPr>
          <w:rFonts w:eastAsia="Times New Roman" w:cs="Tahoma"/>
          <w:color w:val="000000"/>
          <w:sz w:val="24"/>
          <w:szCs w:val="24"/>
          <w:lang w:eastAsia="pl-PL"/>
        </w:rPr>
        <w:t>i</w:t>
      </w:r>
      <w:r w:rsidRPr="00B8164E">
        <w:rPr>
          <w:rFonts w:eastAsia="Times New Roman" w:cs="Tahoma"/>
          <w:color w:val="000000"/>
          <w:sz w:val="24"/>
          <w:szCs w:val="24"/>
          <w:lang w:eastAsia="pl-PL"/>
        </w:rPr>
        <w:t xml:space="preserve">. </w:t>
      </w:r>
    </w:p>
    <w:p w:rsidR="00B53F20" w:rsidRDefault="00B53F20" w:rsidP="00B53F20">
      <w:pPr>
        <w:spacing w:line="360" w:lineRule="auto"/>
        <w:ind w:firstLine="708"/>
        <w:rPr>
          <w:rFonts w:eastAsia="Times New Roman" w:cs="Tahoma"/>
          <w:color w:val="000000"/>
          <w:sz w:val="24"/>
          <w:szCs w:val="24"/>
          <w:lang w:eastAsia="pl-PL"/>
        </w:rPr>
      </w:pPr>
      <w:r>
        <w:rPr>
          <w:rFonts w:eastAsia="Times New Roman" w:cs="Tahoma"/>
          <w:color w:val="000000"/>
          <w:sz w:val="24"/>
          <w:szCs w:val="24"/>
          <w:lang w:eastAsia="pl-PL"/>
        </w:rPr>
        <w:t xml:space="preserve">W ramach obecnego systemu finansowania partii politycznych, obywatele więc przymusowo finansują z wpłacanych do budżetu podatków partie polityczne, które uzyskały określony wynik poparcia w wyborach parlamentarnych. W ocenie wnioskodawcy system ten jest niesprawiedliwy z kilku powodów. </w:t>
      </w:r>
    </w:p>
    <w:p w:rsidR="00B53F20" w:rsidRDefault="00B53F20" w:rsidP="00B53F20">
      <w:pPr>
        <w:spacing w:line="360" w:lineRule="auto"/>
        <w:ind w:firstLine="708"/>
        <w:rPr>
          <w:rFonts w:eastAsia="Times New Roman" w:cs="Tahoma"/>
          <w:color w:val="000000"/>
          <w:sz w:val="24"/>
          <w:szCs w:val="24"/>
          <w:lang w:eastAsia="pl-PL"/>
        </w:rPr>
      </w:pPr>
      <w:r>
        <w:rPr>
          <w:rFonts w:eastAsia="Times New Roman" w:cs="Tahoma"/>
          <w:color w:val="000000"/>
          <w:sz w:val="24"/>
          <w:szCs w:val="24"/>
          <w:lang w:eastAsia="pl-PL"/>
        </w:rPr>
        <w:t>Po pierwsze, niesprawiedliwość obecnego systemu przejawia się w przymusowości: zmusza obywatela (podatnika) do obowiązkowej składki na funkcjonowanie partii politycznych, w tym partii politycznych, których dany obywatel nie popiera. Decyzja o finansowaniu partii przez obywatela jest podjęta odgórnie. W praktyce, partie finansowane są więc również przez wyborców, którzy nie korzystają ze swojego prawa i nie biorą udziału w głosowaniu w wyborach parlamentarnych.</w:t>
      </w:r>
    </w:p>
    <w:p w:rsidR="00B53F20" w:rsidRDefault="00B53F20" w:rsidP="00B53F20">
      <w:pPr>
        <w:spacing w:line="360" w:lineRule="auto"/>
        <w:ind w:firstLine="708"/>
        <w:rPr>
          <w:rFonts w:eastAsia="Times New Roman" w:cs="Tahoma"/>
          <w:color w:val="000000"/>
          <w:sz w:val="24"/>
          <w:szCs w:val="24"/>
          <w:lang w:eastAsia="pl-PL"/>
        </w:rPr>
      </w:pPr>
      <w:r>
        <w:rPr>
          <w:rFonts w:eastAsia="Times New Roman" w:cs="Tahoma"/>
          <w:color w:val="000000"/>
          <w:sz w:val="24"/>
          <w:szCs w:val="24"/>
          <w:lang w:eastAsia="pl-PL"/>
        </w:rPr>
        <w:t xml:space="preserve">Obecny system ma również charakter dyskryminacyjny: komitety wyborcze, spontaniczne inicjatywy wyborcze, ruchy miejskie i samorządowe oraz partie polityczne o charakterze lokalnym lub powstałe w trakcie trwania kadencji Sejmu (a więc te, które nie startowały w wyborach parlamentarnych), są wykluczone z systemu subwencji. Dyskryminacja obecnego systemu jest więc szczególnie dolegliwa i jednostronnie wymierzona w inicjatywy obywatelskie. Innymi słowy, obecny system premiuje zawodowe partie polityczne „działaczy” i wyrzuca poza nawias inicjatywy mające swoje źródło w społeczeństwie obywatelskim (tzw. </w:t>
      </w:r>
      <w:proofErr w:type="spellStart"/>
      <w:r>
        <w:rPr>
          <w:rFonts w:eastAsia="Times New Roman" w:cs="Tahoma"/>
          <w:color w:val="000000"/>
          <w:sz w:val="24"/>
          <w:szCs w:val="24"/>
          <w:lang w:eastAsia="pl-PL"/>
        </w:rPr>
        <w:t>grassroots</w:t>
      </w:r>
      <w:proofErr w:type="spellEnd"/>
      <w:r>
        <w:rPr>
          <w:rFonts w:eastAsia="Times New Roman" w:cs="Tahoma"/>
          <w:color w:val="000000"/>
          <w:sz w:val="24"/>
          <w:szCs w:val="24"/>
          <w:lang w:eastAsia="pl-PL"/>
        </w:rPr>
        <w:t xml:space="preserve">).  </w:t>
      </w:r>
    </w:p>
    <w:p w:rsidR="00B53F20" w:rsidRDefault="00B53F20" w:rsidP="00B53F20">
      <w:pPr>
        <w:spacing w:line="360" w:lineRule="auto"/>
        <w:ind w:firstLine="708"/>
        <w:rPr>
          <w:rFonts w:eastAsia="Times New Roman" w:cs="Tahoma"/>
          <w:color w:val="000000"/>
          <w:sz w:val="24"/>
          <w:szCs w:val="24"/>
          <w:lang w:eastAsia="pl-PL"/>
        </w:rPr>
      </w:pPr>
      <w:r>
        <w:rPr>
          <w:rFonts w:eastAsia="Times New Roman" w:cs="Tahoma"/>
          <w:color w:val="000000"/>
          <w:sz w:val="24"/>
          <w:szCs w:val="24"/>
          <w:lang w:eastAsia="pl-PL"/>
        </w:rPr>
        <w:t>W końcu obecny system uprawnia partie polityczne do otrzymywania subwencji niezależnie od tego, czy dana partia polityczna po wyborach formułuje rząd, czy też znajduje się w opozycji. Tego rodzaju stan w sposób oczywisty faworyzuje partię rządzącą, która w praktyce dysponuje subwencją partyjną oraz zasobami rządowymi. Niesprawiedliwość tego rodzaju sytuacji powoduje, że w wielu państwach (np. w Wielkiej Brytanii) partia rządząca jest wyłączona z systemu subwencji partyjnych.</w:t>
      </w:r>
    </w:p>
    <w:p w:rsidR="00B53F20" w:rsidRDefault="00B53F20" w:rsidP="00B53F20">
      <w:pPr>
        <w:spacing w:line="360" w:lineRule="auto"/>
        <w:ind w:firstLine="708"/>
        <w:rPr>
          <w:rFonts w:eastAsia="Times New Roman" w:cs="Tahoma"/>
          <w:color w:val="000000"/>
          <w:sz w:val="24"/>
          <w:szCs w:val="24"/>
          <w:lang w:eastAsia="pl-PL"/>
        </w:rPr>
      </w:pPr>
      <w:r>
        <w:rPr>
          <w:rFonts w:eastAsia="Times New Roman" w:cs="Tahoma"/>
          <w:color w:val="000000"/>
          <w:sz w:val="24"/>
          <w:szCs w:val="24"/>
          <w:lang w:eastAsia="pl-PL"/>
        </w:rPr>
        <w:t>Obecny system w praktyce w sposób znaczący faworyzuje duże partie, które uzyskały dobre wyniki wyborcze w wyborach parlamentarnych. Pozostałe partie natomiast mogą bazować wyłącznie na darowiznach oraz wpłatach ze składek członkowskich, co sprawia, że w praktyce ich szanse wyborcze są istotnie niższe. Co więcej, na subwencje z budżetu państwa nie mają szans partie działające lokalnie, niestartujące w ogólnopolskich wyborach, a czynnie udzielające się podczas wyborów samorządowych.</w:t>
      </w:r>
    </w:p>
    <w:p w:rsidR="00B53F20" w:rsidRDefault="00B53F20" w:rsidP="00B53F20">
      <w:pPr>
        <w:spacing w:line="360" w:lineRule="auto"/>
        <w:ind w:firstLine="708"/>
        <w:rPr>
          <w:rFonts w:eastAsia="Times New Roman" w:cs="Tahoma"/>
          <w:color w:val="000000"/>
          <w:sz w:val="24"/>
          <w:szCs w:val="24"/>
          <w:lang w:eastAsia="pl-PL"/>
        </w:rPr>
      </w:pPr>
      <w:r>
        <w:rPr>
          <w:rFonts w:eastAsia="Times New Roman" w:cs="Tahoma"/>
          <w:color w:val="000000"/>
          <w:sz w:val="24"/>
          <w:szCs w:val="24"/>
          <w:lang w:eastAsia="pl-PL"/>
        </w:rPr>
        <w:t>Obecny system finansowania partii politycznych od lat budzi spore kontrowersje w społeczeństwie. W związku z tym we wrześniu 2015 r. podczas referendum ogólnokrajowego jedno z pytań dotyczyło tej kwestii. Za zmianami w sposobie finansowania partii z budżetu podczas referendum, opowiedziało się blisko 83% biorących w nim udział obywateli (prawie 2 mln głosów). Wprawdzie z uwagi na nieosiągnięcie progu frekwencyjnego, wynik referendum okazał się niewiążący, to jednak według wnioskodawcy tak jednoznaczny głos obywateli w sprawie finansowania partii politycznych nie może być zignorowany. Projekt ustawy jest więc między innymi odpowiedzią na zapotrzebowanie społeczne wyrażone przez obywateli w referendum.</w:t>
      </w:r>
    </w:p>
    <w:p w:rsidR="00B53F20" w:rsidRDefault="00B53F20" w:rsidP="00B53F20">
      <w:pPr>
        <w:spacing w:line="360" w:lineRule="auto"/>
        <w:ind w:firstLine="708"/>
        <w:rPr>
          <w:rFonts w:eastAsia="Times New Roman" w:cs="Tahoma"/>
          <w:color w:val="000000"/>
          <w:sz w:val="24"/>
          <w:szCs w:val="24"/>
          <w:lang w:eastAsia="pl-PL"/>
        </w:rPr>
      </w:pPr>
      <w:r>
        <w:rPr>
          <w:rFonts w:eastAsia="Times New Roman" w:cs="Tahoma"/>
          <w:color w:val="000000"/>
          <w:sz w:val="24"/>
          <w:szCs w:val="24"/>
          <w:lang w:eastAsia="pl-PL"/>
        </w:rPr>
        <w:t>Głównym założeniem ustawy jest likwidacja finansowania partii z budżetu w drodze subwencji budżetowych, a w zamian zastąpienie ich odpisem podatkowym działającym na podobnych zasadach jak odpis 1% podatku na organizacje pożytku publicznego. Projekt ustawy zakłada jednak odpis kwotowy, a nie procentowy z kwoty podatku. Tym samym każdy obywatel, bez względu na jego status majątkowy, będzie mógł dobrowolnie wskazać, że kwota 5 zł z płaconego przez niego podatku dochodowego jest przeznaczana na wybraną partię polityczną, z której programem się utożsamia, która jest zbieżna z jego poglądami. Kwota 5 zł jest zbliżona do kwoty subwencji obecnie otrzymywanej przez partie, które uzyskały pomiędzy 3% a 20% poparcia za każdy ważnie oddany głos</w:t>
      </w:r>
    </w:p>
    <w:p w:rsidR="00B53F20" w:rsidRDefault="00B53F20" w:rsidP="00B53F20">
      <w:pPr>
        <w:spacing w:line="360" w:lineRule="auto"/>
        <w:ind w:firstLine="708"/>
        <w:rPr>
          <w:rFonts w:eastAsia="Times New Roman" w:cs="Tahoma"/>
          <w:color w:val="000000"/>
          <w:sz w:val="24"/>
          <w:szCs w:val="24"/>
          <w:lang w:eastAsia="pl-PL"/>
        </w:rPr>
      </w:pPr>
      <w:r>
        <w:rPr>
          <w:rFonts w:eastAsia="Times New Roman" w:cs="Tahoma"/>
          <w:color w:val="000000"/>
          <w:sz w:val="24"/>
          <w:szCs w:val="24"/>
          <w:lang w:eastAsia="pl-PL"/>
        </w:rPr>
        <w:t xml:space="preserve">Warto zauważyć, że dodatkową korzyścią z proponowanego rozwiązania jest fakt, iż partie polityczne zostaną zmuszone do zabiegania o poparcie obywateli nie tylko raz na 4 lata, w okresie wyborczym, ale przez cały czas ich funkcjonowania. W praktyce partie polityczne będą konkurować nie tylko o poparcie wyborcze wyrażone w głosach, ale również o poparcie wyrażone w wysokości udzielonego wsparcia finansowego przez obywateli. Zaproponowane rozwiązanie odpowiednio może przyczynić się do większego zaangażowania wyborców w życie polityczne. </w:t>
      </w:r>
    </w:p>
    <w:p w:rsidR="00B53F20" w:rsidRDefault="00B53F20" w:rsidP="00B53F20">
      <w:pPr>
        <w:spacing w:line="360" w:lineRule="auto"/>
        <w:ind w:firstLine="708"/>
        <w:rPr>
          <w:rFonts w:eastAsia="Times New Roman" w:cs="Tahoma"/>
          <w:color w:val="000000"/>
          <w:sz w:val="24"/>
          <w:szCs w:val="24"/>
          <w:lang w:eastAsia="pl-PL"/>
        </w:rPr>
      </w:pPr>
      <w:r>
        <w:rPr>
          <w:rFonts w:eastAsia="Times New Roman" w:cs="Tahoma"/>
          <w:color w:val="000000"/>
          <w:sz w:val="24"/>
          <w:szCs w:val="24"/>
          <w:lang w:eastAsia="pl-PL"/>
        </w:rPr>
        <w:t>Zastąpienie subwencji odpisem podatkowym zniweluje dysproporcje pomiędzy legalnie działającymi partiami politycznymi. Ponadto uzależni wysokość środków uzyskiwanych przez partie od realnego dla nich poparcia oraz umożliwi uzyskanie środków przez partie małe lub działające lokalnie. Warto zauważyć, że w obecnym stanie prawnym przy subwencjach uzależnionych od wyniku wyborczego, po 4 latach kwota wypłacana na daną partię z budżetu nie ma nic wspólnego z jej realnym na dany moment poparciem.</w:t>
      </w:r>
    </w:p>
    <w:p w:rsidR="00B53F20" w:rsidRDefault="00B53F20" w:rsidP="00B53F20">
      <w:pPr>
        <w:spacing w:line="360" w:lineRule="auto"/>
        <w:ind w:firstLine="708"/>
        <w:rPr>
          <w:rFonts w:eastAsia="Times New Roman" w:cs="Tahoma"/>
          <w:color w:val="000000"/>
          <w:sz w:val="24"/>
          <w:szCs w:val="24"/>
          <w:lang w:eastAsia="pl-PL"/>
        </w:rPr>
      </w:pPr>
      <w:r>
        <w:rPr>
          <w:rFonts w:eastAsia="Times New Roman" w:cs="Tahoma"/>
          <w:color w:val="000000"/>
          <w:sz w:val="24"/>
          <w:szCs w:val="24"/>
          <w:lang w:eastAsia="pl-PL"/>
        </w:rPr>
        <w:t xml:space="preserve">Kolejnym z proponowanych rozwiązań jest likwidacja maksymalnego pułapu środków otrzymanych z budżetu państwa przez partie przekazywanych na fundusz ekspercki. Zgodnie z obecnymi przepisami pomiędzy 5% a 15% środków uzyskanych z subwencji </w:t>
      </w:r>
      <w:proofErr w:type="spellStart"/>
      <w:r>
        <w:rPr>
          <w:rFonts w:eastAsia="Times New Roman" w:cs="Tahoma"/>
          <w:color w:val="000000"/>
          <w:sz w:val="24"/>
          <w:szCs w:val="24"/>
          <w:lang w:eastAsia="pl-PL"/>
        </w:rPr>
        <w:t>muszi</w:t>
      </w:r>
      <w:proofErr w:type="spellEnd"/>
      <w:r>
        <w:rPr>
          <w:rFonts w:eastAsia="Times New Roman" w:cs="Tahoma"/>
          <w:color w:val="000000"/>
          <w:sz w:val="24"/>
          <w:szCs w:val="24"/>
          <w:lang w:eastAsia="pl-PL"/>
        </w:rPr>
        <w:t xml:space="preserve"> być przeznaczane na ten fundusz. W ramach nowego, dobrowolnego systemu finansowania partii politycznych przez obywateli, wnioskodawca proponuje zniesienie górnego pułapu wpłat przekazywanych na Fundusz Ekspercki partii. Pozostawiony jest jedynie dolny pułap podniesiony do poziomu 15% otrzymanych wpłat. Wnioskodawca uznaje obecnie obowiązujący dolny limit za niewystarczający, natomiast górny limit wpłat na Fundusz Ekspercki za pozbawiony uzasadnienia. Zniesienie górnej granicy wpłat na działalność ekspercką partii oraz podniesienie dolnego pułapu w ocenie wnioskodawcy powinno przyczynić się do podniesienia jakości pracy polskich partii politycznych.  </w:t>
      </w:r>
    </w:p>
    <w:p w:rsidR="00B53F20" w:rsidRDefault="00B53F20" w:rsidP="00B53F20">
      <w:pPr>
        <w:spacing w:line="360" w:lineRule="auto"/>
        <w:rPr>
          <w:rFonts w:eastAsia="Times New Roman" w:cs="Tahoma"/>
          <w:color w:val="000000"/>
          <w:sz w:val="24"/>
          <w:szCs w:val="24"/>
          <w:lang w:eastAsia="pl-PL"/>
        </w:rPr>
      </w:pPr>
      <w:r>
        <w:rPr>
          <w:rFonts w:eastAsia="Times New Roman" w:cs="Tahoma"/>
          <w:color w:val="000000"/>
          <w:sz w:val="24"/>
          <w:szCs w:val="24"/>
          <w:lang w:eastAsia="pl-PL"/>
        </w:rPr>
        <w:t>Projekt ustawy zakłada również nowelizację ustawy o podatku dochodowym od osób fizycznych poprzez wprowadzenie do niej rozwiązań zbliżonych do tzw. 1% odpisu podatkowego na rzecz organizacji pożytku publicznego oraz nowelizację ustawy Kodeks wyborczy poprzez znowelizowanie przepisów dotyczących utraty prawa do subwencji lub pomniejszenia subwencji w przypadku nieprawidłowości w rozliczaniu kampanii wyborczej.</w:t>
      </w:r>
    </w:p>
    <w:p w:rsidR="00B53F20" w:rsidRDefault="00B53F20" w:rsidP="00B53F20">
      <w:pPr>
        <w:spacing w:line="360" w:lineRule="auto"/>
        <w:ind w:firstLine="708"/>
        <w:rPr>
          <w:rFonts w:eastAsia="Times New Roman" w:cs="Tahoma"/>
          <w:color w:val="000000"/>
          <w:sz w:val="24"/>
          <w:szCs w:val="24"/>
          <w:lang w:eastAsia="pl-PL"/>
        </w:rPr>
      </w:pPr>
      <w:r>
        <w:rPr>
          <w:rFonts w:eastAsia="Times New Roman" w:cs="Tahoma"/>
          <w:color w:val="000000"/>
          <w:sz w:val="24"/>
          <w:szCs w:val="24"/>
          <w:lang w:eastAsia="pl-PL"/>
        </w:rPr>
        <w:t>Projekt ustawy powinien mieć pozytywny wpływ na budżet państwa. Obecnie rocznie na subwencje jest przeznaczanych blisko 60 mln złotych. Wnioskodawca zakłada, iż po wprowadzeniu zmian, zwłaszcza w pierwszych lata obowiązywania nowych zasad, budżet państwa na nich zaoszczędzi, gdyż zniechęceni do obecnej klasy politycznej obywatele chętniej nie będą przeznaczać żadnych środków na rzecz partii. W dalszych latach obciążenia budżetowe powinny być na podobnym poziomie co obecnie gdyż w tej chwili kwota subwencji za jeden głos jest zbliżona do 5 zł od głosu.</w:t>
      </w:r>
    </w:p>
    <w:p w:rsidR="00B53F20" w:rsidRDefault="00B53F20" w:rsidP="00B53F20">
      <w:pPr>
        <w:spacing w:line="360" w:lineRule="auto"/>
        <w:rPr>
          <w:rFonts w:eastAsia="Times New Roman" w:cs="Tahoma"/>
          <w:color w:val="000000"/>
          <w:sz w:val="24"/>
          <w:szCs w:val="24"/>
          <w:lang w:eastAsia="pl-PL"/>
        </w:rPr>
      </w:pPr>
      <w:r>
        <w:rPr>
          <w:rFonts w:eastAsia="Times New Roman" w:cs="Tahoma"/>
          <w:color w:val="000000"/>
          <w:sz w:val="24"/>
          <w:szCs w:val="24"/>
          <w:lang w:eastAsia="pl-PL"/>
        </w:rPr>
        <w:t>Ustawa jest zgodna z prawem Unii Europejskiej.</w:t>
      </w:r>
    </w:p>
    <w:p w:rsidR="00B53F20" w:rsidRPr="00E22C79" w:rsidRDefault="00B53F20" w:rsidP="00B53F20">
      <w:pPr>
        <w:pStyle w:val="Akapitzlist"/>
      </w:pPr>
    </w:p>
    <w:p w:rsidR="00A715E2" w:rsidRPr="00B53F20" w:rsidRDefault="00A715E2" w:rsidP="00B53F20"/>
    <w:sectPr w:rsidR="00A715E2" w:rsidRPr="00B53F20" w:rsidSect="00932556">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5AD" w:rsidRDefault="006675AD" w:rsidP="00246D77">
      <w:pPr>
        <w:spacing w:after="0" w:line="240" w:lineRule="auto"/>
      </w:pPr>
      <w:r>
        <w:separator/>
      </w:r>
    </w:p>
  </w:endnote>
  <w:endnote w:type="continuationSeparator" w:id="0">
    <w:p w:rsidR="006675AD" w:rsidRDefault="006675AD" w:rsidP="00246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8E2" w:rsidRPr="00AB4B34" w:rsidRDefault="00687D28" w:rsidP="004D5A5E">
    <w:pPr>
      <w:pStyle w:val="Stopka"/>
      <w:pBdr>
        <w:top w:val="single" w:sz="4" w:space="1" w:color="auto"/>
      </w:pBdr>
      <w:ind w:firstLine="0"/>
      <w:jc w:val="center"/>
    </w:pPr>
    <w:r>
      <w:t>Klub Poselski Kukiz’15, ul. Wiejska 4/6/8, 00-902 Warszawa, www.ruchkukiza.pl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5AD" w:rsidRDefault="006675AD" w:rsidP="00246D77">
      <w:pPr>
        <w:spacing w:after="0" w:line="240" w:lineRule="auto"/>
      </w:pPr>
      <w:r>
        <w:separator/>
      </w:r>
    </w:p>
  </w:footnote>
  <w:footnote w:type="continuationSeparator" w:id="0">
    <w:p w:rsidR="006675AD" w:rsidRDefault="006675AD" w:rsidP="00246D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8E2" w:rsidRDefault="00CF28E2" w:rsidP="00246D77">
    <w:pPr>
      <w:pStyle w:val="Nagwek"/>
      <w:ind w:firstLine="0"/>
    </w:pPr>
    <w:r>
      <w:rPr>
        <w:noProof/>
        <w:lang w:eastAsia="pl-PL"/>
      </w:rPr>
      <w:drawing>
        <wp:inline distT="0" distB="0" distL="0" distR="0">
          <wp:extent cx="3053080" cy="988060"/>
          <wp:effectExtent l="19050" t="0" r="0" b="0"/>
          <wp:docPr id="1" name="Obraz 1" descr="C:\Users\T440s\Downloads\kukiz logo'15 czerw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440s\Downloads\kukiz logo'15 czerwone.jpg"/>
                  <pic:cNvPicPr>
                    <a:picLocks noChangeAspect="1" noChangeArrowheads="1"/>
                  </pic:cNvPicPr>
                </pic:nvPicPr>
                <pic:blipFill>
                  <a:blip r:embed="rId1"/>
                  <a:srcRect/>
                  <a:stretch>
                    <a:fillRect/>
                  </a:stretch>
                </pic:blipFill>
                <pic:spPr bwMode="auto">
                  <a:xfrm>
                    <a:off x="0" y="0"/>
                    <a:ext cx="3053080" cy="98806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ttps://ssl.gstatic.com/ui/v1/icons/mail/images/cleardot.gif" style="width:.6pt;height:.6pt;visibility:visible;mso-wrap-style:square" o:bullet="t">
        <v:imagedata r:id="rId1" o:title="cleardot"/>
      </v:shape>
    </w:pict>
  </w:numPicBullet>
  <w:abstractNum w:abstractNumId="0">
    <w:nsid w:val="04F14A30"/>
    <w:multiLevelType w:val="hybridMultilevel"/>
    <w:tmpl w:val="4AC01116"/>
    <w:lvl w:ilvl="0" w:tplc="C69E3A48">
      <w:start w:val="1"/>
      <w:numFmt w:val="upperRoman"/>
      <w:lvlText w:val="%1."/>
      <w:lvlJc w:val="left"/>
      <w:pPr>
        <w:ind w:left="1428" w:hanging="7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nsid w:val="05A83226"/>
    <w:multiLevelType w:val="hybridMultilevel"/>
    <w:tmpl w:val="46186E52"/>
    <w:lvl w:ilvl="0" w:tplc="D3725CC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8B24CFC"/>
    <w:multiLevelType w:val="hybridMultilevel"/>
    <w:tmpl w:val="48C884C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D8F5C69"/>
    <w:multiLevelType w:val="hybridMultilevel"/>
    <w:tmpl w:val="E1A4D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DEA0801"/>
    <w:multiLevelType w:val="hybridMultilevel"/>
    <w:tmpl w:val="5F546FC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EDD5783"/>
    <w:multiLevelType w:val="hybridMultilevel"/>
    <w:tmpl w:val="10AE5A44"/>
    <w:lvl w:ilvl="0" w:tplc="47C490BC">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33A5530"/>
    <w:multiLevelType w:val="hybridMultilevel"/>
    <w:tmpl w:val="D19CE59C"/>
    <w:lvl w:ilvl="0" w:tplc="D38425C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49E337D"/>
    <w:multiLevelType w:val="hybridMultilevel"/>
    <w:tmpl w:val="3F8EA5F4"/>
    <w:lvl w:ilvl="0" w:tplc="3B464696">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
    <w:nsid w:val="1BBA5C67"/>
    <w:multiLevelType w:val="hybridMultilevel"/>
    <w:tmpl w:val="66B823D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1CFA4AF8"/>
    <w:multiLevelType w:val="hybridMultilevel"/>
    <w:tmpl w:val="87567FC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1DEE79C6"/>
    <w:multiLevelType w:val="hybridMultilevel"/>
    <w:tmpl w:val="49CA33DA"/>
    <w:lvl w:ilvl="0" w:tplc="F16C6CE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nsid w:val="1ECE7355"/>
    <w:multiLevelType w:val="hybridMultilevel"/>
    <w:tmpl w:val="BA10892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1EF55E21"/>
    <w:multiLevelType w:val="hybridMultilevel"/>
    <w:tmpl w:val="4B5A2BCC"/>
    <w:lvl w:ilvl="0" w:tplc="A92209B8">
      <w:start w:val="1"/>
      <w:numFmt w:val="lowerLetter"/>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3">
    <w:nsid w:val="22610FA3"/>
    <w:multiLevelType w:val="hybridMultilevel"/>
    <w:tmpl w:val="4F18CF7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6B524D1"/>
    <w:multiLevelType w:val="hybridMultilevel"/>
    <w:tmpl w:val="1EAE84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276C2144"/>
    <w:multiLevelType w:val="hybridMultilevel"/>
    <w:tmpl w:val="12F22B42"/>
    <w:lvl w:ilvl="0" w:tplc="DBFE2DD2">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4FF5BA4"/>
    <w:multiLevelType w:val="hybridMultilevel"/>
    <w:tmpl w:val="5CB4D99E"/>
    <w:lvl w:ilvl="0" w:tplc="BD3669D4">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nsid w:val="3EE818D3"/>
    <w:multiLevelType w:val="hybridMultilevel"/>
    <w:tmpl w:val="5A20D372"/>
    <w:lvl w:ilvl="0" w:tplc="70A4D4B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
    <w:nsid w:val="41052BBA"/>
    <w:multiLevelType w:val="hybridMultilevel"/>
    <w:tmpl w:val="52144A9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546906F6"/>
    <w:multiLevelType w:val="hybridMultilevel"/>
    <w:tmpl w:val="E304B044"/>
    <w:lvl w:ilvl="0" w:tplc="5BF2C63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nsid w:val="5EAE7622"/>
    <w:multiLevelType w:val="hybridMultilevel"/>
    <w:tmpl w:val="324ABCD2"/>
    <w:lvl w:ilvl="0" w:tplc="7EA2A9D0">
      <w:start w:val="1"/>
      <w:numFmt w:val="upperRoman"/>
      <w:lvlText w:val="%1."/>
      <w:lvlJc w:val="left"/>
      <w:pPr>
        <w:ind w:left="1428" w:hanging="720"/>
      </w:pPr>
      <w:rPr>
        <w:rFonts w:asciiTheme="minorHAnsi" w:eastAsiaTheme="minorHAnsi" w:hAnsiTheme="minorHAnsi" w:cstheme="minorBidi"/>
        <w:b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1">
    <w:nsid w:val="66D676E6"/>
    <w:multiLevelType w:val="hybridMultilevel"/>
    <w:tmpl w:val="4BCAF034"/>
    <w:lvl w:ilvl="0" w:tplc="C0F2A7C4">
      <w:start w:val="1"/>
      <w:numFmt w:val="bullet"/>
      <w:lvlText w:val=""/>
      <w:lvlPicBulletId w:val="0"/>
      <w:lvlJc w:val="left"/>
      <w:pPr>
        <w:tabs>
          <w:tab w:val="num" w:pos="720"/>
        </w:tabs>
        <w:ind w:left="720" w:hanging="360"/>
      </w:pPr>
      <w:rPr>
        <w:rFonts w:ascii="Symbol" w:hAnsi="Symbol" w:hint="default"/>
      </w:rPr>
    </w:lvl>
    <w:lvl w:ilvl="1" w:tplc="B97EC7F4" w:tentative="1">
      <w:start w:val="1"/>
      <w:numFmt w:val="bullet"/>
      <w:lvlText w:val=""/>
      <w:lvlJc w:val="left"/>
      <w:pPr>
        <w:tabs>
          <w:tab w:val="num" w:pos="1440"/>
        </w:tabs>
        <w:ind w:left="1440" w:hanging="360"/>
      </w:pPr>
      <w:rPr>
        <w:rFonts w:ascii="Symbol" w:hAnsi="Symbol" w:hint="default"/>
      </w:rPr>
    </w:lvl>
    <w:lvl w:ilvl="2" w:tplc="77C095D0" w:tentative="1">
      <w:start w:val="1"/>
      <w:numFmt w:val="bullet"/>
      <w:lvlText w:val=""/>
      <w:lvlJc w:val="left"/>
      <w:pPr>
        <w:tabs>
          <w:tab w:val="num" w:pos="2160"/>
        </w:tabs>
        <w:ind w:left="2160" w:hanging="360"/>
      </w:pPr>
      <w:rPr>
        <w:rFonts w:ascii="Symbol" w:hAnsi="Symbol" w:hint="default"/>
      </w:rPr>
    </w:lvl>
    <w:lvl w:ilvl="3" w:tplc="D1BCB7CE" w:tentative="1">
      <w:start w:val="1"/>
      <w:numFmt w:val="bullet"/>
      <w:lvlText w:val=""/>
      <w:lvlJc w:val="left"/>
      <w:pPr>
        <w:tabs>
          <w:tab w:val="num" w:pos="2880"/>
        </w:tabs>
        <w:ind w:left="2880" w:hanging="360"/>
      </w:pPr>
      <w:rPr>
        <w:rFonts w:ascii="Symbol" w:hAnsi="Symbol" w:hint="default"/>
      </w:rPr>
    </w:lvl>
    <w:lvl w:ilvl="4" w:tplc="E398D678" w:tentative="1">
      <w:start w:val="1"/>
      <w:numFmt w:val="bullet"/>
      <w:lvlText w:val=""/>
      <w:lvlJc w:val="left"/>
      <w:pPr>
        <w:tabs>
          <w:tab w:val="num" w:pos="3600"/>
        </w:tabs>
        <w:ind w:left="3600" w:hanging="360"/>
      </w:pPr>
      <w:rPr>
        <w:rFonts w:ascii="Symbol" w:hAnsi="Symbol" w:hint="default"/>
      </w:rPr>
    </w:lvl>
    <w:lvl w:ilvl="5" w:tplc="7B7843A2" w:tentative="1">
      <w:start w:val="1"/>
      <w:numFmt w:val="bullet"/>
      <w:lvlText w:val=""/>
      <w:lvlJc w:val="left"/>
      <w:pPr>
        <w:tabs>
          <w:tab w:val="num" w:pos="4320"/>
        </w:tabs>
        <w:ind w:left="4320" w:hanging="360"/>
      </w:pPr>
      <w:rPr>
        <w:rFonts w:ascii="Symbol" w:hAnsi="Symbol" w:hint="default"/>
      </w:rPr>
    </w:lvl>
    <w:lvl w:ilvl="6" w:tplc="0264F14C" w:tentative="1">
      <w:start w:val="1"/>
      <w:numFmt w:val="bullet"/>
      <w:lvlText w:val=""/>
      <w:lvlJc w:val="left"/>
      <w:pPr>
        <w:tabs>
          <w:tab w:val="num" w:pos="5040"/>
        </w:tabs>
        <w:ind w:left="5040" w:hanging="360"/>
      </w:pPr>
      <w:rPr>
        <w:rFonts w:ascii="Symbol" w:hAnsi="Symbol" w:hint="default"/>
      </w:rPr>
    </w:lvl>
    <w:lvl w:ilvl="7" w:tplc="8B5E2F3E" w:tentative="1">
      <w:start w:val="1"/>
      <w:numFmt w:val="bullet"/>
      <w:lvlText w:val=""/>
      <w:lvlJc w:val="left"/>
      <w:pPr>
        <w:tabs>
          <w:tab w:val="num" w:pos="5760"/>
        </w:tabs>
        <w:ind w:left="5760" w:hanging="360"/>
      </w:pPr>
      <w:rPr>
        <w:rFonts w:ascii="Symbol" w:hAnsi="Symbol" w:hint="default"/>
      </w:rPr>
    </w:lvl>
    <w:lvl w:ilvl="8" w:tplc="BE928736" w:tentative="1">
      <w:start w:val="1"/>
      <w:numFmt w:val="bullet"/>
      <w:lvlText w:val=""/>
      <w:lvlJc w:val="left"/>
      <w:pPr>
        <w:tabs>
          <w:tab w:val="num" w:pos="6480"/>
        </w:tabs>
        <w:ind w:left="6480" w:hanging="360"/>
      </w:pPr>
      <w:rPr>
        <w:rFonts w:ascii="Symbol" w:hAnsi="Symbol" w:hint="default"/>
      </w:rPr>
    </w:lvl>
  </w:abstractNum>
  <w:abstractNum w:abstractNumId="22">
    <w:nsid w:val="69CE49DA"/>
    <w:multiLevelType w:val="hybridMultilevel"/>
    <w:tmpl w:val="AC887AC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6BFB4E83"/>
    <w:multiLevelType w:val="hybridMultilevel"/>
    <w:tmpl w:val="984E652C"/>
    <w:lvl w:ilvl="0" w:tplc="7424FE98">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4">
    <w:nsid w:val="6FC0633F"/>
    <w:multiLevelType w:val="hybridMultilevel"/>
    <w:tmpl w:val="3904AEDE"/>
    <w:lvl w:ilvl="0" w:tplc="8A5C8ED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70D74A0D"/>
    <w:multiLevelType w:val="hybridMultilevel"/>
    <w:tmpl w:val="0EA0578E"/>
    <w:lvl w:ilvl="0" w:tplc="09568C5C">
      <w:start w:val="1"/>
      <w:numFmt w:val="lowerLetter"/>
      <w:lvlText w:val="%1)"/>
      <w:lvlJc w:val="left"/>
      <w:pPr>
        <w:ind w:left="720" w:hanging="360"/>
      </w:pPr>
      <w:rPr>
        <w:rFonts w:eastAsia="Times New Roman" w:cs="Tahoma" w:hint="default"/>
        <w:color w:val="00000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74B34F26"/>
    <w:multiLevelType w:val="hybridMultilevel"/>
    <w:tmpl w:val="91748B66"/>
    <w:lvl w:ilvl="0" w:tplc="2D2C423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nsid w:val="7688038A"/>
    <w:multiLevelType w:val="hybridMultilevel"/>
    <w:tmpl w:val="D2C45270"/>
    <w:lvl w:ilvl="0" w:tplc="BE5A335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nsid w:val="772176C9"/>
    <w:multiLevelType w:val="hybridMultilevel"/>
    <w:tmpl w:val="C0D41A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7C383E25"/>
    <w:multiLevelType w:val="hybridMultilevel"/>
    <w:tmpl w:val="A52C15FC"/>
    <w:lvl w:ilvl="0" w:tplc="3E3004AC">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0">
    <w:nsid w:val="7E002BE0"/>
    <w:multiLevelType w:val="hybridMultilevel"/>
    <w:tmpl w:val="B76898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7F970F11"/>
    <w:multiLevelType w:val="hybridMultilevel"/>
    <w:tmpl w:val="267A838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7FB771E3"/>
    <w:multiLevelType w:val="hybridMultilevel"/>
    <w:tmpl w:val="C144EDCC"/>
    <w:lvl w:ilvl="0" w:tplc="11A8D506">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num w:numId="1">
    <w:abstractNumId w:val="3"/>
  </w:num>
  <w:num w:numId="2">
    <w:abstractNumId w:val="21"/>
  </w:num>
  <w:num w:numId="3">
    <w:abstractNumId w:val="24"/>
  </w:num>
  <w:num w:numId="4">
    <w:abstractNumId w:val="6"/>
  </w:num>
  <w:num w:numId="5">
    <w:abstractNumId w:val="15"/>
  </w:num>
  <w:num w:numId="6">
    <w:abstractNumId w:val="5"/>
  </w:num>
  <w:num w:numId="7">
    <w:abstractNumId w:val="11"/>
  </w:num>
  <w:num w:numId="8">
    <w:abstractNumId w:val="8"/>
  </w:num>
  <w:num w:numId="9">
    <w:abstractNumId w:val="20"/>
  </w:num>
  <w:num w:numId="10">
    <w:abstractNumId w:val="0"/>
  </w:num>
  <w:num w:numId="11">
    <w:abstractNumId w:val="1"/>
  </w:num>
  <w:num w:numId="12">
    <w:abstractNumId w:val="23"/>
  </w:num>
  <w:num w:numId="13">
    <w:abstractNumId w:val="32"/>
  </w:num>
  <w:num w:numId="14">
    <w:abstractNumId w:val="29"/>
  </w:num>
  <w:num w:numId="15">
    <w:abstractNumId w:val="12"/>
  </w:num>
  <w:num w:numId="16">
    <w:abstractNumId w:val="7"/>
  </w:num>
  <w:num w:numId="17">
    <w:abstractNumId w:val="28"/>
  </w:num>
  <w:num w:numId="18">
    <w:abstractNumId w:val="2"/>
  </w:num>
  <w:num w:numId="19">
    <w:abstractNumId w:val="9"/>
  </w:num>
  <w:num w:numId="20">
    <w:abstractNumId w:val="30"/>
  </w:num>
  <w:num w:numId="21">
    <w:abstractNumId w:val="18"/>
  </w:num>
  <w:num w:numId="22">
    <w:abstractNumId w:val="14"/>
  </w:num>
  <w:num w:numId="23">
    <w:abstractNumId w:val="17"/>
  </w:num>
  <w:num w:numId="24">
    <w:abstractNumId w:val="13"/>
  </w:num>
  <w:num w:numId="25">
    <w:abstractNumId w:val="27"/>
  </w:num>
  <w:num w:numId="26">
    <w:abstractNumId w:val="16"/>
  </w:num>
  <w:num w:numId="27">
    <w:abstractNumId w:val="22"/>
  </w:num>
  <w:num w:numId="28">
    <w:abstractNumId w:val="19"/>
  </w:num>
  <w:num w:numId="29">
    <w:abstractNumId w:val="26"/>
  </w:num>
  <w:num w:numId="30">
    <w:abstractNumId w:val="10"/>
  </w:num>
  <w:num w:numId="31">
    <w:abstractNumId w:val="4"/>
  </w:num>
  <w:num w:numId="32">
    <w:abstractNumId w:val="25"/>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5E2"/>
    <w:rsid w:val="000068A1"/>
    <w:rsid w:val="00011857"/>
    <w:rsid w:val="0001326D"/>
    <w:rsid w:val="00021C66"/>
    <w:rsid w:val="00026888"/>
    <w:rsid w:val="00030239"/>
    <w:rsid w:val="00040988"/>
    <w:rsid w:val="0004261C"/>
    <w:rsid w:val="0005572E"/>
    <w:rsid w:val="000736F0"/>
    <w:rsid w:val="00086294"/>
    <w:rsid w:val="000B30DC"/>
    <w:rsid w:val="000E7F96"/>
    <w:rsid w:val="00116229"/>
    <w:rsid w:val="00117013"/>
    <w:rsid w:val="0016710B"/>
    <w:rsid w:val="0017345E"/>
    <w:rsid w:val="00184D81"/>
    <w:rsid w:val="00194A89"/>
    <w:rsid w:val="001C613D"/>
    <w:rsid w:val="001D1242"/>
    <w:rsid w:val="001F4147"/>
    <w:rsid w:val="001F74A8"/>
    <w:rsid w:val="001F7A2C"/>
    <w:rsid w:val="0022058F"/>
    <w:rsid w:val="00237EA7"/>
    <w:rsid w:val="00240744"/>
    <w:rsid w:val="00246D77"/>
    <w:rsid w:val="002953C5"/>
    <w:rsid w:val="002B4FC5"/>
    <w:rsid w:val="002C79CC"/>
    <w:rsid w:val="00332C54"/>
    <w:rsid w:val="003479E1"/>
    <w:rsid w:val="00362149"/>
    <w:rsid w:val="00365A94"/>
    <w:rsid w:val="00371C84"/>
    <w:rsid w:val="00384D59"/>
    <w:rsid w:val="003905B8"/>
    <w:rsid w:val="003E3CFB"/>
    <w:rsid w:val="00401F66"/>
    <w:rsid w:val="0046572B"/>
    <w:rsid w:val="00466DD6"/>
    <w:rsid w:val="0049395E"/>
    <w:rsid w:val="004A302E"/>
    <w:rsid w:val="004A4E0D"/>
    <w:rsid w:val="004D5A5E"/>
    <w:rsid w:val="004F2715"/>
    <w:rsid w:val="00520BFF"/>
    <w:rsid w:val="00534920"/>
    <w:rsid w:val="0053720E"/>
    <w:rsid w:val="00545290"/>
    <w:rsid w:val="00580E1E"/>
    <w:rsid w:val="005A71B9"/>
    <w:rsid w:val="005C7C9C"/>
    <w:rsid w:val="005D7D28"/>
    <w:rsid w:val="005F5E4F"/>
    <w:rsid w:val="00631B5D"/>
    <w:rsid w:val="00633F65"/>
    <w:rsid w:val="006419B4"/>
    <w:rsid w:val="006426B2"/>
    <w:rsid w:val="006466AB"/>
    <w:rsid w:val="006509DA"/>
    <w:rsid w:val="0065392E"/>
    <w:rsid w:val="006675AD"/>
    <w:rsid w:val="00687D28"/>
    <w:rsid w:val="006A151C"/>
    <w:rsid w:val="006C1395"/>
    <w:rsid w:val="006C3277"/>
    <w:rsid w:val="006F345E"/>
    <w:rsid w:val="007348A5"/>
    <w:rsid w:val="00736F9B"/>
    <w:rsid w:val="0073782D"/>
    <w:rsid w:val="00753211"/>
    <w:rsid w:val="007805A0"/>
    <w:rsid w:val="00787DFA"/>
    <w:rsid w:val="0079416D"/>
    <w:rsid w:val="007B3393"/>
    <w:rsid w:val="007B540A"/>
    <w:rsid w:val="007C26AA"/>
    <w:rsid w:val="007F33FE"/>
    <w:rsid w:val="0080600F"/>
    <w:rsid w:val="008078DD"/>
    <w:rsid w:val="00810FA1"/>
    <w:rsid w:val="008147E1"/>
    <w:rsid w:val="00827525"/>
    <w:rsid w:val="00845A65"/>
    <w:rsid w:val="008929AE"/>
    <w:rsid w:val="00897B45"/>
    <w:rsid w:val="008A2E48"/>
    <w:rsid w:val="008A7B22"/>
    <w:rsid w:val="00924C1A"/>
    <w:rsid w:val="00932556"/>
    <w:rsid w:val="00943181"/>
    <w:rsid w:val="00952A9D"/>
    <w:rsid w:val="00964468"/>
    <w:rsid w:val="009658CC"/>
    <w:rsid w:val="00990191"/>
    <w:rsid w:val="0099087C"/>
    <w:rsid w:val="009A78DC"/>
    <w:rsid w:val="009C79DC"/>
    <w:rsid w:val="009D573F"/>
    <w:rsid w:val="00A16ECB"/>
    <w:rsid w:val="00A451D8"/>
    <w:rsid w:val="00A5165D"/>
    <w:rsid w:val="00A61AAF"/>
    <w:rsid w:val="00A715E2"/>
    <w:rsid w:val="00A92195"/>
    <w:rsid w:val="00A96CAE"/>
    <w:rsid w:val="00AB157F"/>
    <w:rsid w:val="00AB309A"/>
    <w:rsid w:val="00AB4B34"/>
    <w:rsid w:val="00AC5C61"/>
    <w:rsid w:val="00AE767B"/>
    <w:rsid w:val="00B030B2"/>
    <w:rsid w:val="00B07871"/>
    <w:rsid w:val="00B16ABE"/>
    <w:rsid w:val="00B366BC"/>
    <w:rsid w:val="00B50DE3"/>
    <w:rsid w:val="00B51165"/>
    <w:rsid w:val="00B53A19"/>
    <w:rsid w:val="00B53F20"/>
    <w:rsid w:val="00B7333E"/>
    <w:rsid w:val="00BA2441"/>
    <w:rsid w:val="00BB7C2B"/>
    <w:rsid w:val="00BC3A8F"/>
    <w:rsid w:val="00BC4EB2"/>
    <w:rsid w:val="00BE0DB1"/>
    <w:rsid w:val="00BE72CC"/>
    <w:rsid w:val="00BF7D3B"/>
    <w:rsid w:val="00C02C01"/>
    <w:rsid w:val="00C20220"/>
    <w:rsid w:val="00C205FE"/>
    <w:rsid w:val="00C2283C"/>
    <w:rsid w:val="00C3443D"/>
    <w:rsid w:val="00C413C3"/>
    <w:rsid w:val="00C76326"/>
    <w:rsid w:val="00C84DB8"/>
    <w:rsid w:val="00CB00F3"/>
    <w:rsid w:val="00CE0147"/>
    <w:rsid w:val="00CE121A"/>
    <w:rsid w:val="00CE1934"/>
    <w:rsid w:val="00CF20E9"/>
    <w:rsid w:val="00CF28E2"/>
    <w:rsid w:val="00D13DFE"/>
    <w:rsid w:val="00D2152E"/>
    <w:rsid w:val="00D25DE9"/>
    <w:rsid w:val="00D265CB"/>
    <w:rsid w:val="00D30512"/>
    <w:rsid w:val="00D336AE"/>
    <w:rsid w:val="00D44BB9"/>
    <w:rsid w:val="00D7490D"/>
    <w:rsid w:val="00D82EAE"/>
    <w:rsid w:val="00E01486"/>
    <w:rsid w:val="00E04EBC"/>
    <w:rsid w:val="00E0675C"/>
    <w:rsid w:val="00E805D3"/>
    <w:rsid w:val="00EA3240"/>
    <w:rsid w:val="00ED0DAC"/>
    <w:rsid w:val="00EE7E55"/>
    <w:rsid w:val="00F038A2"/>
    <w:rsid w:val="00F22433"/>
    <w:rsid w:val="00F43B81"/>
    <w:rsid w:val="00F522F2"/>
    <w:rsid w:val="00F84006"/>
    <w:rsid w:val="00F84C7C"/>
    <w:rsid w:val="00FB401A"/>
    <w:rsid w:val="00FE5C36"/>
    <w:rsid w:val="00FF69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46D77"/>
    <w:pPr>
      <w:ind w:firstLine="709"/>
      <w:jc w:val="both"/>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46D7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46D77"/>
  </w:style>
  <w:style w:type="paragraph" w:styleId="Stopka">
    <w:name w:val="footer"/>
    <w:basedOn w:val="Normalny"/>
    <w:link w:val="StopkaZnak"/>
    <w:uiPriority w:val="99"/>
    <w:unhideWhenUsed/>
    <w:rsid w:val="00246D7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46D77"/>
  </w:style>
  <w:style w:type="paragraph" w:styleId="Tekstdymka">
    <w:name w:val="Balloon Text"/>
    <w:basedOn w:val="Normalny"/>
    <w:link w:val="TekstdymkaZnak"/>
    <w:uiPriority w:val="99"/>
    <w:semiHidden/>
    <w:unhideWhenUsed/>
    <w:rsid w:val="00246D7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46D77"/>
    <w:rPr>
      <w:rFonts w:ascii="Tahoma" w:hAnsi="Tahoma" w:cs="Tahoma"/>
      <w:sz w:val="16"/>
      <w:szCs w:val="16"/>
    </w:rPr>
  </w:style>
  <w:style w:type="character" w:styleId="Hipercze">
    <w:name w:val="Hyperlink"/>
    <w:basedOn w:val="Domylnaczcionkaakapitu"/>
    <w:uiPriority w:val="99"/>
    <w:unhideWhenUsed/>
    <w:rsid w:val="004D5A5E"/>
    <w:rPr>
      <w:color w:val="0000FF" w:themeColor="hyperlink"/>
      <w:u w:val="single"/>
    </w:rPr>
  </w:style>
  <w:style w:type="paragraph" w:styleId="Bezodstpw">
    <w:name w:val="No Spacing"/>
    <w:uiPriority w:val="1"/>
    <w:qFormat/>
    <w:rsid w:val="006466AB"/>
    <w:pPr>
      <w:spacing w:after="0" w:line="240" w:lineRule="auto"/>
      <w:ind w:firstLine="709"/>
      <w:jc w:val="both"/>
    </w:pPr>
  </w:style>
  <w:style w:type="paragraph" w:styleId="NormalnyWeb">
    <w:name w:val="Normal (Web)"/>
    <w:basedOn w:val="Normalny"/>
    <w:uiPriority w:val="99"/>
    <w:unhideWhenUsed/>
    <w:rsid w:val="00520BFF"/>
    <w:pPr>
      <w:spacing w:before="100" w:beforeAutospacing="1" w:after="100" w:afterAutospacing="1" w:line="240" w:lineRule="auto"/>
      <w:ind w:firstLine="0"/>
      <w:jc w:val="left"/>
    </w:pPr>
    <w:rPr>
      <w:rFonts w:ascii="Times New Roman" w:eastAsia="Times New Roman" w:hAnsi="Times New Roman" w:cs="Times New Roman"/>
      <w:sz w:val="24"/>
      <w:szCs w:val="24"/>
      <w:lang w:eastAsia="pl-PL"/>
    </w:rPr>
  </w:style>
  <w:style w:type="character" w:customStyle="1" w:styleId="5yl5">
    <w:name w:val="_5yl5"/>
    <w:basedOn w:val="Domylnaczcionkaakapitu"/>
    <w:rsid w:val="00520BFF"/>
  </w:style>
  <w:style w:type="character" w:customStyle="1" w:styleId="emoticontext">
    <w:name w:val="emoticon_text"/>
    <w:basedOn w:val="Domylnaczcionkaakapitu"/>
    <w:rsid w:val="00520BFF"/>
  </w:style>
  <w:style w:type="character" w:customStyle="1" w:styleId="textexposedshow">
    <w:name w:val="text_exposed_show"/>
    <w:basedOn w:val="Domylnaczcionkaakapitu"/>
    <w:rsid w:val="00BB7C2B"/>
  </w:style>
  <w:style w:type="character" w:customStyle="1" w:styleId="apple-converted-space">
    <w:name w:val="apple-converted-space"/>
    <w:basedOn w:val="Domylnaczcionkaakapitu"/>
    <w:rsid w:val="00BB7C2B"/>
  </w:style>
  <w:style w:type="paragraph" w:styleId="Akapitzlist">
    <w:name w:val="List Paragraph"/>
    <w:basedOn w:val="Normalny"/>
    <w:uiPriority w:val="34"/>
    <w:qFormat/>
    <w:rsid w:val="00CE014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46D77"/>
    <w:pPr>
      <w:ind w:firstLine="709"/>
      <w:jc w:val="both"/>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46D7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46D77"/>
  </w:style>
  <w:style w:type="paragraph" w:styleId="Stopka">
    <w:name w:val="footer"/>
    <w:basedOn w:val="Normalny"/>
    <w:link w:val="StopkaZnak"/>
    <w:uiPriority w:val="99"/>
    <w:unhideWhenUsed/>
    <w:rsid w:val="00246D7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46D77"/>
  </w:style>
  <w:style w:type="paragraph" w:styleId="Tekstdymka">
    <w:name w:val="Balloon Text"/>
    <w:basedOn w:val="Normalny"/>
    <w:link w:val="TekstdymkaZnak"/>
    <w:uiPriority w:val="99"/>
    <w:semiHidden/>
    <w:unhideWhenUsed/>
    <w:rsid w:val="00246D7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46D77"/>
    <w:rPr>
      <w:rFonts w:ascii="Tahoma" w:hAnsi="Tahoma" w:cs="Tahoma"/>
      <w:sz w:val="16"/>
      <w:szCs w:val="16"/>
    </w:rPr>
  </w:style>
  <w:style w:type="character" w:styleId="Hipercze">
    <w:name w:val="Hyperlink"/>
    <w:basedOn w:val="Domylnaczcionkaakapitu"/>
    <w:uiPriority w:val="99"/>
    <w:unhideWhenUsed/>
    <w:rsid w:val="004D5A5E"/>
    <w:rPr>
      <w:color w:val="0000FF" w:themeColor="hyperlink"/>
      <w:u w:val="single"/>
    </w:rPr>
  </w:style>
  <w:style w:type="paragraph" w:styleId="Bezodstpw">
    <w:name w:val="No Spacing"/>
    <w:uiPriority w:val="1"/>
    <w:qFormat/>
    <w:rsid w:val="006466AB"/>
    <w:pPr>
      <w:spacing w:after="0" w:line="240" w:lineRule="auto"/>
      <w:ind w:firstLine="709"/>
      <w:jc w:val="both"/>
    </w:pPr>
  </w:style>
  <w:style w:type="paragraph" w:styleId="NormalnyWeb">
    <w:name w:val="Normal (Web)"/>
    <w:basedOn w:val="Normalny"/>
    <w:uiPriority w:val="99"/>
    <w:unhideWhenUsed/>
    <w:rsid w:val="00520BFF"/>
    <w:pPr>
      <w:spacing w:before="100" w:beforeAutospacing="1" w:after="100" w:afterAutospacing="1" w:line="240" w:lineRule="auto"/>
      <w:ind w:firstLine="0"/>
      <w:jc w:val="left"/>
    </w:pPr>
    <w:rPr>
      <w:rFonts w:ascii="Times New Roman" w:eastAsia="Times New Roman" w:hAnsi="Times New Roman" w:cs="Times New Roman"/>
      <w:sz w:val="24"/>
      <w:szCs w:val="24"/>
      <w:lang w:eastAsia="pl-PL"/>
    </w:rPr>
  </w:style>
  <w:style w:type="character" w:customStyle="1" w:styleId="5yl5">
    <w:name w:val="_5yl5"/>
    <w:basedOn w:val="Domylnaczcionkaakapitu"/>
    <w:rsid w:val="00520BFF"/>
  </w:style>
  <w:style w:type="character" w:customStyle="1" w:styleId="emoticontext">
    <w:name w:val="emoticon_text"/>
    <w:basedOn w:val="Domylnaczcionkaakapitu"/>
    <w:rsid w:val="00520BFF"/>
  </w:style>
  <w:style w:type="character" w:customStyle="1" w:styleId="textexposedshow">
    <w:name w:val="text_exposed_show"/>
    <w:basedOn w:val="Domylnaczcionkaakapitu"/>
    <w:rsid w:val="00BB7C2B"/>
  </w:style>
  <w:style w:type="character" w:customStyle="1" w:styleId="apple-converted-space">
    <w:name w:val="apple-converted-space"/>
    <w:basedOn w:val="Domylnaczcionkaakapitu"/>
    <w:rsid w:val="00BB7C2B"/>
  </w:style>
  <w:style w:type="paragraph" w:styleId="Akapitzlist">
    <w:name w:val="List Paragraph"/>
    <w:basedOn w:val="Normalny"/>
    <w:uiPriority w:val="34"/>
    <w:qFormat/>
    <w:rsid w:val="00CE01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53476">
      <w:bodyDiv w:val="1"/>
      <w:marLeft w:val="0"/>
      <w:marRight w:val="0"/>
      <w:marTop w:val="0"/>
      <w:marBottom w:val="0"/>
      <w:divBdr>
        <w:top w:val="none" w:sz="0" w:space="0" w:color="auto"/>
        <w:left w:val="none" w:sz="0" w:space="0" w:color="auto"/>
        <w:bottom w:val="none" w:sz="0" w:space="0" w:color="auto"/>
        <w:right w:val="none" w:sz="0" w:space="0" w:color="auto"/>
      </w:divBdr>
    </w:div>
    <w:div w:id="715544429">
      <w:bodyDiv w:val="1"/>
      <w:marLeft w:val="0"/>
      <w:marRight w:val="0"/>
      <w:marTop w:val="0"/>
      <w:marBottom w:val="0"/>
      <w:divBdr>
        <w:top w:val="none" w:sz="0" w:space="0" w:color="auto"/>
        <w:left w:val="none" w:sz="0" w:space="0" w:color="auto"/>
        <w:bottom w:val="none" w:sz="0" w:space="0" w:color="auto"/>
        <w:right w:val="none" w:sz="0" w:space="0" w:color="auto"/>
      </w:divBdr>
    </w:div>
    <w:div w:id="737243648">
      <w:bodyDiv w:val="1"/>
      <w:marLeft w:val="0"/>
      <w:marRight w:val="0"/>
      <w:marTop w:val="0"/>
      <w:marBottom w:val="0"/>
      <w:divBdr>
        <w:top w:val="none" w:sz="0" w:space="0" w:color="auto"/>
        <w:left w:val="none" w:sz="0" w:space="0" w:color="auto"/>
        <w:bottom w:val="none" w:sz="0" w:space="0" w:color="auto"/>
        <w:right w:val="none" w:sz="0" w:space="0" w:color="auto"/>
      </w:divBdr>
      <w:divsChild>
        <w:div w:id="1464811305">
          <w:marLeft w:val="54"/>
          <w:marRight w:val="54"/>
          <w:marTop w:val="0"/>
          <w:marBottom w:val="0"/>
          <w:divBdr>
            <w:top w:val="none" w:sz="0" w:space="0" w:color="auto"/>
            <w:left w:val="none" w:sz="0" w:space="0" w:color="auto"/>
            <w:bottom w:val="none" w:sz="0" w:space="0" w:color="auto"/>
            <w:right w:val="none" w:sz="0" w:space="0" w:color="auto"/>
          </w:divBdr>
          <w:divsChild>
            <w:div w:id="1225875668">
              <w:marLeft w:val="475"/>
              <w:marRight w:val="0"/>
              <w:marTop w:val="0"/>
              <w:marBottom w:val="0"/>
              <w:divBdr>
                <w:top w:val="none" w:sz="0" w:space="0" w:color="auto"/>
                <w:left w:val="none" w:sz="0" w:space="0" w:color="auto"/>
                <w:bottom w:val="none" w:sz="0" w:space="0" w:color="auto"/>
                <w:right w:val="none" w:sz="0" w:space="0" w:color="auto"/>
              </w:divBdr>
              <w:divsChild>
                <w:div w:id="218396909">
                  <w:marLeft w:val="0"/>
                  <w:marRight w:val="0"/>
                  <w:marTop w:val="0"/>
                  <w:marBottom w:val="0"/>
                  <w:divBdr>
                    <w:top w:val="none" w:sz="0" w:space="0" w:color="auto"/>
                    <w:left w:val="none" w:sz="0" w:space="0" w:color="auto"/>
                    <w:bottom w:val="none" w:sz="0" w:space="0" w:color="auto"/>
                    <w:right w:val="none" w:sz="0" w:space="0" w:color="auto"/>
                  </w:divBdr>
                  <w:divsChild>
                    <w:div w:id="1580480993">
                      <w:marLeft w:val="82"/>
                      <w:marRight w:val="0"/>
                      <w:marTop w:val="0"/>
                      <w:marBottom w:val="0"/>
                      <w:divBdr>
                        <w:top w:val="single" w:sz="6" w:space="0" w:color="auto"/>
                        <w:left w:val="single" w:sz="6" w:space="0" w:color="auto"/>
                        <w:bottom w:val="single" w:sz="6" w:space="0" w:color="auto"/>
                        <w:right w:val="single" w:sz="6" w:space="0" w:color="auto"/>
                      </w:divBdr>
                      <w:divsChild>
                        <w:div w:id="157666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927982">
          <w:marLeft w:val="54"/>
          <w:marRight w:val="54"/>
          <w:marTop w:val="0"/>
          <w:marBottom w:val="0"/>
          <w:divBdr>
            <w:top w:val="none" w:sz="0" w:space="0" w:color="auto"/>
            <w:left w:val="none" w:sz="0" w:space="0" w:color="auto"/>
            <w:bottom w:val="none" w:sz="0" w:space="0" w:color="auto"/>
            <w:right w:val="none" w:sz="0" w:space="0" w:color="auto"/>
          </w:divBdr>
          <w:divsChild>
            <w:div w:id="2033647917">
              <w:marLeft w:val="475"/>
              <w:marRight w:val="0"/>
              <w:marTop w:val="0"/>
              <w:marBottom w:val="0"/>
              <w:divBdr>
                <w:top w:val="none" w:sz="0" w:space="0" w:color="auto"/>
                <w:left w:val="none" w:sz="0" w:space="0" w:color="auto"/>
                <w:bottom w:val="none" w:sz="0" w:space="0" w:color="auto"/>
                <w:right w:val="none" w:sz="0" w:space="0" w:color="auto"/>
              </w:divBdr>
              <w:divsChild>
                <w:div w:id="1804156562">
                  <w:marLeft w:val="0"/>
                  <w:marRight w:val="0"/>
                  <w:marTop w:val="0"/>
                  <w:marBottom w:val="0"/>
                  <w:divBdr>
                    <w:top w:val="none" w:sz="0" w:space="0" w:color="auto"/>
                    <w:left w:val="none" w:sz="0" w:space="0" w:color="auto"/>
                    <w:bottom w:val="none" w:sz="0" w:space="0" w:color="auto"/>
                    <w:right w:val="none" w:sz="0" w:space="0" w:color="auto"/>
                  </w:divBdr>
                  <w:divsChild>
                    <w:div w:id="1262373869">
                      <w:marLeft w:val="82"/>
                      <w:marRight w:val="0"/>
                      <w:marTop w:val="54"/>
                      <w:marBottom w:val="54"/>
                      <w:divBdr>
                        <w:top w:val="single" w:sz="6" w:space="0" w:color="auto"/>
                        <w:left w:val="single" w:sz="6" w:space="0" w:color="auto"/>
                        <w:bottom w:val="single" w:sz="6" w:space="0" w:color="auto"/>
                        <w:right w:val="single" w:sz="6" w:space="0" w:color="auto"/>
                      </w:divBdr>
                      <w:divsChild>
                        <w:div w:id="77787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107624">
          <w:marLeft w:val="54"/>
          <w:marRight w:val="54"/>
          <w:marTop w:val="0"/>
          <w:marBottom w:val="0"/>
          <w:divBdr>
            <w:top w:val="none" w:sz="0" w:space="0" w:color="auto"/>
            <w:left w:val="none" w:sz="0" w:space="0" w:color="auto"/>
            <w:bottom w:val="none" w:sz="0" w:space="0" w:color="auto"/>
            <w:right w:val="none" w:sz="0" w:space="0" w:color="auto"/>
          </w:divBdr>
          <w:divsChild>
            <w:div w:id="441415751">
              <w:marLeft w:val="475"/>
              <w:marRight w:val="0"/>
              <w:marTop w:val="0"/>
              <w:marBottom w:val="0"/>
              <w:divBdr>
                <w:top w:val="none" w:sz="0" w:space="0" w:color="auto"/>
                <w:left w:val="none" w:sz="0" w:space="0" w:color="auto"/>
                <w:bottom w:val="none" w:sz="0" w:space="0" w:color="auto"/>
                <w:right w:val="none" w:sz="0" w:space="0" w:color="auto"/>
              </w:divBdr>
              <w:divsChild>
                <w:div w:id="672730500">
                  <w:marLeft w:val="0"/>
                  <w:marRight w:val="0"/>
                  <w:marTop w:val="0"/>
                  <w:marBottom w:val="0"/>
                  <w:divBdr>
                    <w:top w:val="none" w:sz="0" w:space="0" w:color="auto"/>
                    <w:left w:val="none" w:sz="0" w:space="0" w:color="auto"/>
                    <w:bottom w:val="none" w:sz="0" w:space="0" w:color="auto"/>
                    <w:right w:val="none" w:sz="0" w:space="0" w:color="auto"/>
                  </w:divBdr>
                  <w:divsChild>
                    <w:div w:id="504903064">
                      <w:marLeft w:val="82"/>
                      <w:marRight w:val="0"/>
                      <w:marTop w:val="0"/>
                      <w:marBottom w:val="0"/>
                      <w:divBdr>
                        <w:top w:val="single" w:sz="6" w:space="0" w:color="auto"/>
                        <w:left w:val="single" w:sz="6" w:space="0" w:color="auto"/>
                        <w:bottom w:val="single" w:sz="6" w:space="0" w:color="auto"/>
                        <w:right w:val="single" w:sz="6" w:space="0" w:color="auto"/>
                      </w:divBdr>
                      <w:divsChild>
                        <w:div w:id="102290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071835">
          <w:marLeft w:val="54"/>
          <w:marRight w:val="54"/>
          <w:marTop w:val="0"/>
          <w:marBottom w:val="0"/>
          <w:divBdr>
            <w:top w:val="none" w:sz="0" w:space="0" w:color="auto"/>
            <w:left w:val="none" w:sz="0" w:space="0" w:color="auto"/>
            <w:bottom w:val="none" w:sz="0" w:space="0" w:color="auto"/>
            <w:right w:val="none" w:sz="0" w:space="0" w:color="auto"/>
          </w:divBdr>
          <w:divsChild>
            <w:div w:id="1847086652">
              <w:marLeft w:val="475"/>
              <w:marRight w:val="0"/>
              <w:marTop w:val="0"/>
              <w:marBottom w:val="0"/>
              <w:divBdr>
                <w:top w:val="none" w:sz="0" w:space="0" w:color="auto"/>
                <w:left w:val="none" w:sz="0" w:space="0" w:color="auto"/>
                <w:bottom w:val="none" w:sz="0" w:space="0" w:color="auto"/>
                <w:right w:val="none" w:sz="0" w:space="0" w:color="auto"/>
              </w:divBdr>
              <w:divsChild>
                <w:div w:id="1039011110">
                  <w:marLeft w:val="0"/>
                  <w:marRight w:val="0"/>
                  <w:marTop w:val="0"/>
                  <w:marBottom w:val="0"/>
                  <w:divBdr>
                    <w:top w:val="none" w:sz="0" w:space="0" w:color="auto"/>
                    <w:left w:val="none" w:sz="0" w:space="0" w:color="auto"/>
                    <w:bottom w:val="none" w:sz="0" w:space="0" w:color="auto"/>
                    <w:right w:val="none" w:sz="0" w:space="0" w:color="auto"/>
                  </w:divBdr>
                  <w:divsChild>
                    <w:div w:id="1021977477">
                      <w:marLeft w:val="82"/>
                      <w:marRight w:val="0"/>
                      <w:marTop w:val="0"/>
                      <w:marBottom w:val="0"/>
                      <w:divBdr>
                        <w:top w:val="single" w:sz="6" w:space="0" w:color="auto"/>
                        <w:left w:val="single" w:sz="6" w:space="0" w:color="auto"/>
                        <w:bottom w:val="single" w:sz="6" w:space="0" w:color="auto"/>
                        <w:right w:val="single" w:sz="6" w:space="0" w:color="auto"/>
                      </w:divBdr>
                      <w:divsChild>
                        <w:div w:id="114042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152797">
          <w:marLeft w:val="54"/>
          <w:marRight w:val="54"/>
          <w:marTop w:val="0"/>
          <w:marBottom w:val="0"/>
          <w:divBdr>
            <w:top w:val="none" w:sz="0" w:space="0" w:color="auto"/>
            <w:left w:val="none" w:sz="0" w:space="0" w:color="auto"/>
            <w:bottom w:val="none" w:sz="0" w:space="0" w:color="auto"/>
            <w:right w:val="none" w:sz="0" w:space="0" w:color="auto"/>
          </w:divBdr>
          <w:divsChild>
            <w:div w:id="513568332">
              <w:marLeft w:val="475"/>
              <w:marRight w:val="0"/>
              <w:marTop w:val="0"/>
              <w:marBottom w:val="0"/>
              <w:divBdr>
                <w:top w:val="none" w:sz="0" w:space="0" w:color="auto"/>
                <w:left w:val="none" w:sz="0" w:space="0" w:color="auto"/>
                <w:bottom w:val="none" w:sz="0" w:space="0" w:color="auto"/>
                <w:right w:val="none" w:sz="0" w:space="0" w:color="auto"/>
              </w:divBdr>
              <w:divsChild>
                <w:div w:id="917594847">
                  <w:marLeft w:val="0"/>
                  <w:marRight w:val="0"/>
                  <w:marTop w:val="0"/>
                  <w:marBottom w:val="0"/>
                  <w:divBdr>
                    <w:top w:val="none" w:sz="0" w:space="0" w:color="auto"/>
                    <w:left w:val="none" w:sz="0" w:space="0" w:color="auto"/>
                    <w:bottom w:val="none" w:sz="0" w:space="0" w:color="auto"/>
                    <w:right w:val="none" w:sz="0" w:space="0" w:color="auto"/>
                  </w:divBdr>
                  <w:divsChild>
                    <w:div w:id="796147141">
                      <w:marLeft w:val="82"/>
                      <w:marRight w:val="0"/>
                      <w:marTop w:val="0"/>
                      <w:marBottom w:val="0"/>
                      <w:divBdr>
                        <w:top w:val="single" w:sz="6" w:space="0" w:color="auto"/>
                        <w:left w:val="single" w:sz="6" w:space="0" w:color="auto"/>
                        <w:bottom w:val="single" w:sz="6" w:space="0" w:color="auto"/>
                        <w:right w:val="single" w:sz="6" w:space="0" w:color="auto"/>
                      </w:divBdr>
                      <w:divsChild>
                        <w:div w:id="90800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397516">
          <w:marLeft w:val="54"/>
          <w:marRight w:val="54"/>
          <w:marTop w:val="0"/>
          <w:marBottom w:val="0"/>
          <w:divBdr>
            <w:top w:val="none" w:sz="0" w:space="0" w:color="auto"/>
            <w:left w:val="none" w:sz="0" w:space="0" w:color="auto"/>
            <w:bottom w:val="none" w:sz="0" w:space="0" w:color="auto"/>
            <w:right w:val="none" w:sz="0" w:space="0" w:color="auto"/>
          </w:divBdr>
          <w:divsChild>
            <w:div w:id="1037005787">
              <w:marLeft w:val="475"/>
              <w:marRight w:val="0"/>
              <w:marTop w:val="0"/>
              <w:marBottom w:val="0"/>
              <w:divBdr>
                <w:top w:val="none" w:sz="0" w:space="0" w:color="auto"/>
                <w:left w:val="none" w:sz="0" w:space="0" w:color="auto"/>
                <w:bottom w:val="none" w:sz="0" w:space="0" w:color="auto"/>
                <w:right w:val="none" w:sz="0" w:space="0" w:color="auto"/>
              </w:divBdr>
              <w:divsChild>
                <w:div w:id="2069835110">
                  <w:marLeft w:val="0"/>
                  <w:marRight w:val="0"/>
                  <w:marTop w:val="0"/>
                  <w:marBottom w:val="0"/>
                  <w:divBdr>
                    <w:top w:val="none" w:sz="0" w:space="0" w:color="auto"/>
                    <w:left w:val="none" w:sz="0" w:space="0" w:color="auto"/>
                    <w:bottom w:val="none" w:sz="0" w:space="0" w:color="auto"/>
                    <w:right w:val="none" w:sz="0" w:space="0" w:color="auto"/>
                  </w:divBdr>
                  <w:divsChild>
                    <w:div w:id="912206847">
                      <w:marLeft w:val="82"/>
                      <w:marRight w:val="0"/>
                      <w:marTop w:val="0"/>
                      <w:marBottom w:val="0"/>
                      <w:divBdr>
                        <w:top w:val="single" w:sz="6" w:space="0" w:color="auto"/>
                        <w:left w:val="single" w:sz="6" w:space="0" w:color="auto"/>
                        <w:bottom w:val="single" w:sz="6" w:space="0" w:color="auto"/>
                        <w:right w:val="single" w:sz="6" w:space="0" w:color="auto"/>
                      </w:divBdr>
                      <w:divsChild>
                        <w:div w:id="173867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311151">
      <w:bodyDiv w:val="1"/>
      <w:marLeft w:val="0"/>
      <w:marRight w:val="0"/>
      <w:marTop w:val="0"/>
      <w:marBottom w:val="0"/>
      <w:divBdr>
        <w:top w:val="none" w:sz="0" w:space="0" w:color="auto"/>
        <w:left w:val="none" w:sz="0" w:space="0" w:color="auto"/>
        <w:bottom w:val="none" w:sz="0" w:space="0" w:color="auto"/>
        <w:right w:val="none" w:sz="0" w:space="0" w:color="auto"/>
      </w:divBdr>
    </w:div>
    <w:div w:id="1816532104">
      <w:bodyDiv w:val="1"/>
      <w:marLeft w:val="0"/>
      <w:marRight w:val="0"/>
      <w:marTop w:val="0"/>
      <w:marBottom w:val="0"/>
      <w:divBdr>
        <w:top w:val="none" w:sz="0" w:space="0" w:color="auto"/>
        <w:left w:val="none" w:sz="0" w:space="0" w:color="auto"/>
        <w:bottom w:val="none" w:sz="0" w:space="0" w:color="auto"/>
        <w:right w:val="none" w:sz="0" w:space="0" w:color="auto"/>
      </w:divBdr>
      <w:divsChild>
        <w:div w:id="787772028">
          <w:marLeft w:val="0"/>
          <w:marRight w:val="0"/>
          <w:marTop w:val="0"/>
          <w:marBottom w:val="0"/>
          <w:divBdr>
            <w:top w:val="none" w:sz="0" w:space="0" w:color="auto"/>
            <w:left w:val="none" w:sz="0" w:space="0" w:color="auto"/>
            <w:bottom w:val="none" w:sz="0" w:space="0" w:color="auto"/>
            <w:right w:val="none" w:sz="0" w:space="0" w:color="auto"/>
          </w:divBdr>
        </w:div>
        <w:div w:id="910967952">
          <w:marLeft w:val="0"/>
          <w:marRight w:val="0"/>
          <w:marTop w:val="0"/>
          <w:marBottom w:val="0"/>
          <w:divBdr>
            <w:top w:val="none" w:sz="0" w:space="0" w:color="auto"/>
            <w:left w:val="none" w:sz="0" w:space="0" w:color="auto"/>
            <w:bottom w:val="none" w:sz="0" w:space="0" w:color="auto"/>
            <w:right w:val="none" w:sz="0" w:space="0" w:color="auto"/>
          </w:divBdr>
        </w:div>
      </w:divsChild>
    </w:div>
    <w:div w:id="201611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92612E-C8CE-4679-B569-FAD584244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2283</Words>
  <Characters>13996</Characters>
  <Application>Microsoft Office Word</Application>
  <DocSecurity>0</DocSecurity>
  <Lines>777</Lines>
  <Paragraphs>242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T440s</dc:creator>
  <cp:lastModifiedBy>Grażyna D. Grabowska</cp:lastModifiedBy>
  <cp:revision>2</cp:revision>
  <cp:lastPrinted>2015-11-09T02:27:00Z</cp:lastPrinted>
  <dcterms:created xsi:type="dcterms:W3CDTF">2016-02-18T13:55:00Z</dcterms:created>
  <dcterms:modified xsi:type="dcterms:W3CDTF">2016-02-18T13:55:00Z</dcterms:modified>
</cp:coreProperties>
</file>