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768" w:rsidRPr="007B12EF" w:rsidRDefault="00182768" w:rsidP="0018276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182768" w:rsidRPr="007B12EF" w:rsidRDefault="00182768" w:rsidP="00182768">
      <w:pPr>
        <w:pStyle w:val="OZNRODZAKTUtznustawalubrozporzdzenieiorganwydajcy"/>
      </w:pPr>
      <w:r w:rsidRPr="007B12EF">
        <w:t>USTAWA</w:t>
      </w:r>
    </w:p>
    <w:p w:rsidR="00182768" w:rsidRPr="007B12EF" w:rsidRDefault="00182768" w:rsidP="00182768">
      <w:pPr>
        <w:pStyle w:val="DATAAKTUdatauchwalenialubwydaniaaktu"/>
      </w:pPr>
      <w:r>
        <w:t>z dnia</w:t>
      </w:r>
    </w:p>
    <w:p w:rsidR="00182768" w:rsidRPr="007B12EF" w:rsidRDefault="00182768" w:rsidP="00182768">
      <w:pPr>
        <w:pStyle w:val="TYTUAKTUprzedmiotregulacjiustawylubrozporzdzenia"/>
      </w:pPr>
      <w:r w:rsidRPr="007B12EF">
        <w:t xml:space="preserve">o zmianie ustawy o </w:t>
      </w:r>
      <w:r>
        <w:t>inwestycjach w zakresie budowy drogi wodnej łączącej Zalew Wiślany z Zatoką Gdańską</w:t>
      </w:r>
    </w:p>
    <w:p w:rsidR="00182768" w:rsidRPr="007B12EF" w:rsidRDefault="00182768" w:rsidP="00182768">
      <w:pPr>
        <w:pStyle w:val="ARTartustawynprozporzdzenia"/>
        <w:keepNext/>
      </w:pPr>
      <w:r w:rsidRPr="00182768">
        <w:rPr>
          <w:rStyle w:val="Ppogrubienie"/>
        </w:rPr>
        <w:t>Art. 1.</w:t>
      </w:r>
      <w:r w:rsidR="00F553BC">
        <w:t> </w:t>
      </w:r>
      <w:r>
        <w:t>W ustawie z dnia 24 lutego 2017</w:t>
      </w:r>
      <w:r w:rsidRPr="007B12EF">
        <w:t xml:space="preserve"> r. o </w:t>
      </w:r>
      <w:r>
        <w:t>inwestycjach w zakresie budowy drogi wodnej łączącej Zalew Wiślany z Zatoką Gdańską (Dz. U. poz. 820</w:t>
      </w:r>
      <w:r w:rsidRPr="007B12EF">
        <w:t>) wprowadza się następujące zmiany:</w:t>
      </w:r>
    </w:p>
    <w:p w:rsidR="00182768" w:rsidRPr="007B12EF" w:rsidRDefault="00182768" w:rsidP="00182768">
      <w:pPr>
        <w:pStyle w:val="PKTpunkt"/>
        <w:keepNext/>
      </w:pPr>
      <w:r>
        <w:t>1)</w:t>
      </w:r>
      <w:r>
        <w:tab/>
        <w:t>w art. 4 w ust. 6 pkt 2 otrzymuje brzmienie</w:t>
      </w:r>
      <w:r w:rsidRPr="007B12EF">
        <w:t>:</w:t>
      </w:r>
    </w:p>
    <w:p w:rsidR="00182768" w:rsidRPr="006756CD" w:rsidRDefault="00182768" w:rsidP="00182768">
      <w:pPr>
        <w:pStyle w:val="ZPKTzmpktartykuempunktem"/>
      </w:pPr>
      <w:r>
        <w:t>„</w:t>
      </w:r>
      <w:r w:rsidRPr="006756CD">
        <w:t>2)</w:t>
      </w:r>
      <w:r>
        <w:tab/>
      </w:r>
      <w:r w:rsidRPr="006756CD">
        <w:t xml:space="preserve">organów właściwych w sprawach ochrony gruntów rolnych i </w:t>
      </w:r>
      <w:r>
        <w:t>leśnych oraz melioracji wodnych –</w:t>
      </w:r>
      <w:r w:rsidRPr="006756CD">
        <w:t xml:space="preserve"> w odniesieniu do gruntów w</w:t>
      </w:r>
      <w:r>
        <w:t>ykorzystywanych na cele rolne i </w:t>
      </w:r>
      <w:r w:rsidRPr="006756CD">
        <w:t>leśne, w</w:t>
      </w:r>
      <w:r>
        <w:t xml:space="preserve"> </w:t>
      </w:r>
      <w:r w:rsidRPr="006756CD">
        <w:t>rozumieniu przepisów o gospoda</w:t>
      </w:r>
      <w:r>
        <w:t>rce nieruchomościami, zgodnie z </w:t>
      </w:r>
      <w:r w:rsidRPr="006756CD">
        <w:t>ustawą z dnia 3 lutego 1995 r. o ochronie grun</w:t>
      </w:r>
      <w:r>
        <w:t>tów rolnych i leśnych (Dz. U. z </w:t>
      </w:r>
      <w:r w:rsidRPr="006756CD">
        <w:t xml:space="preserve">2017 r. poz. 1161) oraz zgodnie z </w:t>
      </w:r>
      <w:r>
        <w:t>ustawą z dnia 20 lipca 2017 r. –</w:t>
      </w:r>
      <w:r w:rsidRPr="006756CD">
        <w:t xml:space="preserve"> Prawo wodne (Dz. U. poz. 1566 i 2180</w:t>
      </w:r>
      <w:r>
        <w:t xml:space="preserve"> oraz z 2018 r. poz. 650 i 710</w:t>
      </w:r>
      <w:r w:rsidRPr="006756CD">
        <w:t>);</w:t>
      </w:r>
      <w:r>
        <w:t>”</w:t>
      </w:r>
      <w:r w:rsidRPr="006756CD">
        <w:t>;</w:t>
      </w:r>
    </w:p>
    <w:p w:rsidR="00182768" w:rsidRDefault="00182768" w:rsidP="00182768">
      <w:pPr>
        <w:pStyle w:val="PKTpunkt"/>
        <w:keepNext/>
      </w:pPr>
      <w:r>
        <w:t>2</w:t>
      </w:r>
      <w:r w:rsidRPr="007B12EF">
        <w:t>)</w:t>
      </w:r>
      <w:r>
        <w:tab/>
        <w:t>w art. 16:</w:t>
      </w:r>
    </w:p>
    <w:p w:rsidR="00182768" w:rsidRPr="007B12EF" w:rsidRDefault="00182768" w:rsidP="00182768">
      <w:pPr>
        <w:pStyle w:val="LITlitera"/>
        <w:keepNext/>
      </w:pPr>
      <w:r>
        <w:t>a)</w:t>
      </w:r>
      <w:r>
        <w:tab/>
        <w:t>ust. 1</w:t>
      </w:r>
      <w:r w:rsidRPr="007B12EF">
        <w:t xml:space="preserve"> otrzymuje brzmienie:</w:t>
      </w:r>
    </w:p>
    <w:p w:rsidR="00182768" w:rsidRDefault="00182768" w:rsidP="00182768">
      <w:pPr>
        <w:pStyle w:val="ZLITUSTzmustliter"/>
      </w:pPr>
      <w:r>
        <w:t>„</w:t>
      </w:r>
      <w:r w:rsidRPr="0010577E">
        <w:t xml:space="preserve">1. </w:t>
      </w:r>
      <w:r w:rsidRPr="00182768">
        <w:t>Jeżeli realizacja inwestycji w zakresie infrastruktury dostępowej wymaga zgody wodnoprawnej, zgodę t</w:t>
      </w:r>
      <w:r w:rsidR="0097160F">
        <w:t>ę</w:t>
      </w:r>
      <w:r w:rsidRPr="00182768">
        <w:t xml:space="preserve"> wydaje Państwowe Gospodarstwo Wodne Wody Polskie w terminie nie dłuższym niż 30 dni od dnia złożenia wniosku o jej wydanie.</w:t>
      </w:r>
      <w:r>
        <w:t xml:space="preserve"> </w:t>
      </w:r>
      <w:r w:rsidRPr="00182768">
        <w:t>W sprawach dotyczących zgody wodnoprawnej nie stosuje się art. 396</w:t>
      </w:r>
      <w:r>
        <w:t xml:space="preserve">, art. 399 ust. 1 oraz art. 407 ust. 2 pkt 3 </w:t>
      </w:r>
      <w:r w:rsidRPr="00182768">
        <w:t xml:space="preserve">ustawy z dnia 20 lipca 2017 r. </w:t>
      </w:r>
      <w:r>
        <w:t>–</w:t>
      </w:r>
      <w:r w:rsidRPr="00182768">
        <w:t xml:space="preserve"> Prawo wodne</w:t>
      </w:r>
      <w:r w:rsidR="0097160F">
        <w:t>.</w:t>
      </w:r>
      <w:r>
        <w:t>”,</w:t>
      </w:r>
    </w:p>
    <w:p w:rsidR="00182768" w:rsidRPr="002234E3" w:rsidRDefault="00182768" w:rsidP="00182768">
      <w:pPr>
        <w:pStyle w:val="LITlitera"/>
      </w:pPr>
      <w:r w:rsidRPr="002234E3">
        <w:t>b)</w:t>
      </w:r>
      <w:r>
        <w:tab/>
        <w:t>uchyla się ust. 2,</w:t>
      </w:r>
    </w:p>
    <w:p w:rsidR="00182768" w:rsidRPr="002234E3" w:rsidRDefault="00182768" w:rsidP="00182768">
      <w:pPr>
        <w:pStyle w:val="LITlitera"/>
        <w:keepNext/>
      </w:pPr>
      <w:r w:rsidRPr="002234E3">
        <w:t>c)</w:t>
      </w:r>
      <w:r>
        <w:tab/>
        <w:t xml:space="preserve">w </w:t>
      </w:r>
      <w:r w:rsidRPr="00182768">
        <w:t xml:space="preserve">ust. 3 </w:t>
      </w:r>
      <w:r>
        <w:t xml:space="preserve">zdanie pierwsze </w:t>
      </w:r>
      <w:r w:rsidRPr="00182768">
        <w:t>otrzymuje brzmienie</w:t>
      </w:r>
      <w:r w:rsidRPr="002234E3">
        <w:t>:</w:t>
      </w:r>
    </w:p>
    <w:p w:rsidR="00182768" w:rsidRDefault="00182768" w:rsidP="00182768">
      <w:pPr>
        <w:pStyle w:val="ZLITFRAGzmlitfragmentunpzdanialiter"/>
      </w:pPr>
      <w:r>
        <w:t>„</w:t>
      </w:r>
      <w:r w:rsidRPr="00182768">
        <w:t xml:space="preserve">Stan prawny nieruchomości, o których mowa w art. 409 ust. 1 pkt 2 lit. e </w:t>
      </w:r>
      <w:r>
        <w:t>ustawy z dnia 20 lipca 2017 r. –</w:t>
      </w:r>
      <w:r w:rsidRPr="00182768">
        <w:t xml:space="preserve"> Prawo wodne, ustala się na podstawie ksiąg wieczy</w:t>
      </w:r>
      <w:r>
        <w:t>stych, a </w:t>
      </w:r>
      <w:r w:rsidRPr="00182768">
        <w:t>siedziby i adresy właścicieli i użytkowników wieczystych określa się według katastru nieruchomości.</w:t>
      </w:r>
      <w:r>
        <w:t>”,</w:t>
      </w:r>
    </w:p>
    <w:p w:rsidR="00182768" w:rsidRPr="007B12EF" w:rsidRDefault="00182768" w:rsidP="00182768">
      <w:pPr>
        <w:pStyle w:val="LITlitera"/>
        <w:keepNext/>
      </w:pPr>
      <w:r>
        <w:lastRenderedPageBreak/>
        <w:t>d</w:t>
      </w:r>
      <w:r w:rsidRPr="007B12EF">
        <w:t>)</w:t>
      </w:r>
      <w:r>
        <w:tab/>
        <w:t>ust. 4</w:t>
      </w:r>
      <w:r w:rsidRPr="007B12EF">
        <w:t xml:space="preserve"> otrzymuje brzmienie:</w:t>
      </w:r>
    </w:p>
    <w:p w:rsidR="00182768" w:rsidRDefault="00182768" w:rsidP="00182768">
      <w:pPr>
        <w:pStyle w:val="ZLITUSTzmustliter"/>
      </w:pPr>
      <w:r>
        <w:t>„</w:t>
      </w:r>
      <w:r w:rsidRPr="00182768">
        <w:t xml:space="preserve">4. Przepis art. 401 ust. 3 ustawy z dnia 20 lipca 2017 r. </w:t>
      </w:r>
      <w:r>
        <w:t>–</w:t>
      </w:r>
      <w:r w:rsidRPr="00182768">
        <w:t xml:space="preserve"> Prawo wodne ma zastosowanie również w tych postępowaniach, w których liczba stron nie przekracza 10</w:t>
      </w:r>
      <w:r>
        <w:t>.”,</w:t>
      </w:r>
    </w:p>
    <w:p w:rsidR="00182768" w:rsidRDefault="00182768" w:rsidP="00182768">
      <w:pPr>
        <w:pStyle w:val="LITlitera"/>
        <w:keepNext/>
      </w:pPr>
      <w:r>
        <w:t>e</w:t>
      </w:r>
      <w:r w:rsidRPr="007B12EF">
        <w:t>)</w:t>
      </w:r>
      <w:r>
        <w:tab/>
        <w:t>w ust. 5 pkt 2 otrzymuje brzmienie:</w:t>
      </w:r>
    </w:p>
    <w:p w:rsidR="00182768" w:rsidRPr="00AB1E65" w:rsidRDefault="00182768" w:rsidP="00182768">
      <w:pPr>
        <w:pStyle w:val="ZLITPKTzmpktliter"/>
      </w:pPr>
      <w:r>
        <w:t>„2)</w:t>
      </w:r>
      <w:r>
        <w:tab/>
      </w:r>
      <w:r w:rsidRPr="00182768">
        <w:t>właściciela wody stosuje się odpowiednio przepisy art. 6 ust. 1 pkt 2 i ust. 3 oraz art. 10</w:t>
      </w:r>
      <w:r>
        <w:t>.”,</w:t>
      </w:r>
    </w:p>
    <w:p w:rsidR="00182768" w:rsidRPr="002234E3" w:rsidRDefault="00182768" w:rsidP="00182768">
      <w:pPr>
        <w:pStyle w:val="LITlitera"/>
        <w:keepNext/>
      </w:pPr>
      <w:r>
        <w:t>f</w:t>
      </w:r>
      <w:r w:rsidRPr="002234E3">
        <w:t>)</w:t>
      </w:r>
      <w:r w:rsidRPr="002234E3">
        <w:tab/>
      </w:r>
      <w:r>
        <w:t>ust.</w:t>
      </w:r>
      <w:r w:rsidR="0097160F">
        <w:t xml:space="preserve"> </w:t>
      </w:r>
      <w:r>
        <w:t>6 i 7 otrzymują brzmienie:</w:t>
      </w:r>
    </w:p>
    <w:p w:rsidR="00182768" w:rsidRDefault="00182768" w:rsidP="00182768">
      <w:pPr>
        <w:pStyle w:val="ZLITUSTzmustliter"/>
      </w:pPr>
      <w:r>
        <w:t>„6</w:t>
      </w:r>
      <w:r w:rsidRPr="00182768">
        <w:t xml:space="preserve">. W przypadku niewydania decyzji w terminie, o którym mowa w ust. 1, minister właściwy do spraw gospodarki wodnej wymierza Państwowemu Gospodarstwu Wodnemu Wody Polskie, w drodze postanowienia, na które przysługuje zażalenie, karę w wysokości 1000 zł </w:t>
      </w:r>
      <w:r>
        <w:t>za każdy dzień zwłoki. Wpływy z </w:t>
      </w:r>
      <w:r w:rsidRPr="00182768">
        <w:t>kar stanowią dochód budżetu państwa</w:t>
      </w:r>
      <w:r>
        <w:t>.</w:t>
      </w:r>
    </w:p>
    <w:p w:rsidR="00182768" w:rsidRPr="00182768" w:rsidRDefault="00182768" w:rsidP="00182768">
      <w:pPr>
        <w:pStyle w:val="ZLITUSTzmustliter"/>
      </w:pPr>
      <w:r>
        <w:t>7</w:t>
      </w:r>
      <w:r w:rsidRPr="00182768">
        <w:t>. Karę uiszcza się w terminie 14 dni od dnia doręczenia Państwowemu Gospodarstwu Wodnemu Wody Polskie ostatecznego postanowienia, o którym mowa w ust. 6.</w:t>
      </w:r>
      <w:r>
        <w:t>”</w:t>
      </w:r>
      <w:r w:rsidRPr="00182768">
        <w:t>;</w:t>
      </w:r>
    </w:p>
    <w:p w:rsidR="00182768" w:rsidRPr="006756CD" w:rsidRDefault="00182768" w:rsidP="00182768">
      <w:pPr>
        <w:pStyle w:val="PKTpunkt"/>
        <w:keepNext/>
      </w:pPr>
      <w:r>
        <w:t>3</w:t>
      </w:r>
      <w:r w:rsidRPr="006756CD">
        <w:t>)</w:t>
      </w:r>
      <w:r w:rsidRPr="006756CD">
        <w:tab/>
        <w:t xml:space="preserve">w art. </w:t>
      </w:r>
      <w:r>
        <w:t>24</w:t>
      </w:r>
      <w:r w:rsidRPr="006756CD">
        <w:t xml:space="preserve"> ust. 2 otrzymuje brzmienie:</w:t>
      </w:r>
    </w:p>
    <w:p w:rsidR="00182768" w:rsidRDefault="00182768" w:rsidP="00182768">
      <w:pPr>
        <w:pStyle w:val="ZUSTzmustartykuempunktem"/>
      </w:pPr>
      <w:r>
        <w:t>„</w:t>
      </w:r>
      <w:r w:rsidRPr="006756CD">
        <w:t>2. Inwestor, niezwłocznie przed planowanym z</w:t>
      </w:r>
      <w:r>
        <w:t>ajęciem terenu, o którym mowa w </w:t>
      </w:r>
      <w:r w:rsidRPr="006756CD">
        <w:t>ust. 1, uzgadnia w drodze pisemnego porozumienia z zarządcą drogi, zarządcą infrastruktury kolejowej lub z odpowiednimi organami,</w:t>
      </w:r>
      <w:r>
        <w:t xml:space="preserve"> o których mowa w art. 212 ust. </w:t>
      </w:r>
      <w:r w:rsidRPr="006756CD">
        <w:t xml:space="preserve">1 </w:t>
      </w:r>
      <w:r>
        <w:t>ustawy z dnia 20 lipca 2017 r. –</w:t>
      </w:r>
      <w:r w:rsidRPr="006756CD">
        <w:t xml:space="preserve"> Prawo wodne, zakres, termin i warunki zajęcia tego terenu.</w:t>
      </w:r>
      <w:r>
        <w:t>”.</w:t>
      </w:r>
    </w:p>
    <w:p w:rsidR="00261A16" w:rsidRDefault="00182768" w:rsidP="00182768">
      <w:pPr>
        <w:pStyle w:val="ARTartustawynprozporzdzenia"/>
      </w:pPr>
      <w:r w:rsidRPr="00182768">
        <w:rPr>
          <w:rStyle w:val="Ppogrubienie"/>
        </w:rPr>
        <w:t>Art. 2.</w:t>
      </w:r>
      <w:r w:rsidR="00F553BC">
        <w:t> </w:t>
      </w:r>
      <w:r w:rsidRPr="00867940">
        <w:t xml:space="preserve">Ustawa wchodzi w życie po upływie </w:t>
      </w:r>
      <w:r>
        <w:t>7</w:t>
      </w:r>
      <w:r w:rsidRPr="00867940">
        <w:t xml:space="preserve"> </w:t>
      </w:r>
      <w:r>
        <w:t xml:space="preserve">dni </w:t>
      </w:r>
      <w:r w:rsidRPr="00867940">
        <w:t>od dnia ogłoszenia.</w:t>
      </w:r>
    </w:p>
    <w:sectPr w:rsidR="00261A1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68" w:rsidRDefault="00182768">
      <w:r>
        <w:separator/>
      </w:r>
    </w:p>
  </w:endnote>
  <w:endnote w:type="continuationSeparator" w:id="0">
    <w:p w:rsidR="00182768" w:rsidRDefault="0018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68" w:rsidRDefault="00182768">
      <w:r>
        <w:separator/>
      </w:r>
    </w:p>
  </w:footnote>
  <w:footnote w:type="continuationSeparator" w:id="0">
    <w:p w:rsidR="00182768" w:rsidRDefault="00182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C712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76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768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849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60F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27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7121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3BC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8276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8276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1E7B78-9DD4-45F4-AB25-8AC7DE63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479</Words>
  <Characters>2376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Ewa A. Genert</cp:lastModifiedBy>
  <cp:revision>2</cp:revision>
  <cp:lastPrinted>2012-04-23T06:39:00Z</cp:lastPrinted>
  <dcterms:created xsi:type="dcterms:W3CDTF">2018-05-08T10:27:00Z</dcterms:created>
  <dcterms:modified xsi:type="dcterms:W3CDTF">2018-05-08T10:27:00Z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