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646" w:rsidRDefault="007C5A8A"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7C5A8A">
        <w:t>1</w:t>
      </w:r>
      <w:r w:rsidR="00B053DE">
        <w:t>6</w:t>
      </w:r>
      <w:r w:rsidR="007C5A8A">
        <w:t xml:space="preserve"> kwietnia</w:t>
      </w:r>
      <w:r w:rsidR="00B053DE">
        <w:t xml:space="preserve"> 2018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7C5A8A" w:rsidRPr="007C5A8A">
        <w:t>o zmianie ustawy o kombatantach oraz niektórych osobach będących ofiarami represji wojennych i okresu powojennego oraz ustawy – Prawo o ruchu drogowym</w:t>
      </w:r>
    </w:p>
    <w:p w:rsidR="00186E4C" w:rsidRPr="00362DC0" w:rsidRDefault="00186E4C" w:rsidP="00186E4C">
      <w:pPr>
        <w:pStyle w:val="NIEARTTEKSTtekstnieartykuowanynppreambua"/>
        <w:rPr>
          <w:szCs w:val="24"/>
        </w:rPr>
      </w:pPr>
      <w:r w:rsidRPr="00362DC0">
        <w:rPr>
          <w:szCs w:val="24"/>
        </w:rPr>
        <w:t xml:space="preserve">Na podstawie art. 118 ust. 1 Konstytucji Rzeczypospolitej Polskiej z dnia 2 kwietnia 1997 r., Senat wnosi do Sejmu Rzeczypospolitej Polskiej projekt ustawy </w:t>
      </w:r>
      <w:r w:rsidR="007C5A8A" w:rsidRPr="00362DC0">
        <w:rPr>
          <w:bCs w:val="0"/>
          <w:szCs w:val="24"/>
        </w:rPr>
        <w:t xml:space="preserve">o zmianie ustawy </w:t>
      </w:r>
      <w:r w:rsidR="007C5A8A" w:rsidRPr="00362DC0">
        <w:rPr>
          <w:bCs w:val="0"/>
          <w:szCs w:val="24"/>
        </w:rPr>
        <w:br/>
        <w:t>o kombatantach oraz niektórych osobach będących ofiarami represji wojennych i okresu powojennego oraz ustawy – Prawo o ruchu drogowym</w:t>
      </w:r>
      <w:r w:rsidRPr="00362DC0">
        <w:rPr>
          <w:szCs w:val="24"/>
        </w:rPr>
        <w:t>.</w:t>
      </w:r>
    </w:p>
    <w:p w:rsidR="00186E4C" w:rsidRPr="00362DC0" w:rsidRDefault="00186E4C" w:rsidP="00186E4C">
      <w:pPr>
        <w:pStyle w:val="NIEARTTEKSTtekstnieartykuowanynppreambua"/>
        <w:rPr>
          <w:szCs w:val="24"/>
        </w:rPr>
      </w:pPr>
      <w:r w:rsidRPr="00362DC0">
        <w:rPr>
          <w:szCs w:val="24"/>
        </w:rPr>
        <w:t xml:space="preserve">Jednocześnie upoważnia senatora </w:t>
      </w:r>
      <w:r w:rsidR="007C5A8A" w:rsidRPr="00362DC0">
        <w:rPr>
          <w:szCs w:val="24"/>
        </w:rPr>
        <w:t>Jana Rulewskiego</w:t>
      </w:r>
      <w:r w:rsidRPr="00362DC0">
        <w:rPr>
          <w:szCs w:val="24"/>
        </w:rPr>
        <w:t xml:space="preserve"> do reprezentowania Senatu </w:t>
      </w:r>
      <w:r w:rsidR="007C5A8A" w:rsidRPr="00362DC0">
        <w:rPr>
          <w:szCs w:val="24"/>
        </w:rPr>
        <w:br/>
      </w:r>
      <w:r w:rsidRPr="00362DC0">
        <w:rPr>
          <w:szCs w:val="24"/>
        </w:rPr>
        <w:t>w pracach nad projektem.</w:t>
      </w:r>
    </w:p>
    <w:p w:rsidR="00C70646" w:rsidRPr="00621566" w:rsidRDefault="00C70646" w:rsidP="00C70646"/>
    <w:p w:rsidR="00C70646" w:rsidRDefault="00C70646" w:rsidP="00C70646"/>
    <w:p w:rsidR="007C5A8A" w:rsidRPr="00B608FF" w:rsidRDefault="007C5A8A" w:rsidP="007C5A8A">
      <w:pPr>
        <w:widowControl/>
        <w:tabs>
          <w:tab w:val="center" w:pos="6237"/>
        </w:tabs>
        <w:autoSpaceDE/>
        <w:adjustRightInd/>
        <w:spacing w:line="240" w:lineRule="auto"/>
        <w:ind w:right="-2"/>
        <w:rPr>
          <w:rFonts w:eastAsia="Times New Roman" w:cs="Times New Roman"/>
          <w:b/>
        </w:rPr>
      </w:pPr>
      <w:r w:rsidRPr="00B608FF">
        <w:rPr>
          <w:rFonts w:eastAsia="Times New Roman" w:cs="Times New Roman"/>
          <w:b/>
        </w:rPr>
        <w:tab/>
        <w:t>MARSZAŁEK SENATU</w:t>
      </w:r>
    </w:p>
    <w:p w:rsidR="007C5A8A" w:rsidRPr="00B608FF" w:rsidRDefault="007C5A8A" w:rsidP="007C5A8A">
      <w:pPr>
        <w:widowControl/>
        <w:tabs>
          <w:tab w:val="center" w:pos="6237"/>
        </w:tabs>
        <w:autoSpaceDE/>
        <w:adjustRightInd/>
        <w:spacing w:line="240" w:lineRule="auto"/>
        <w:rPr>
          <w:rFonts w:eastAsia="Times New Roman" w:cs="Times New Roman"/>
          <w:b/>
        </w:rPr>
      </w:pPr>
    </w:p>
    <w:p w:rsidR="007C5A8A" w:rsidRPr="00B608FF" w:rsidRDefault="007C5A8A" w:rsidP="007C5A8A">
      <w:pPr>
        <w:widowControl/>
        <w:tabs>
          <w:tab w:val="center" w:pos="6237"/>
        </w:tabs>
        <w:autoSpaceDE/>
        <w:adjustRightInd/>
        <w:spacing w:line="240" w:lineRule="auto"/>
        <w:rPr>
          <w:rFonts w:eastAsia="Times New Roman" w:cs="Times New Roman"/>
          <w:b/>
        </w:rPr>
      </w:pPr>
    </w:p>
    <w:p w:rsidR="007C5A8A" w:rsidRPr="00B608FF" w:rsidRDefault="007C5A8A" w:rsidP="007C5A8A">
      <w:pPr>
        <w:widowControl/>
        <w:tabs>
          <w:tab w:val="center" w:pos="6237"/>
        </w:tabs>
        <w:autoSpaceDE/>
        <w:adjustRightInd/>
        <w:spacing w:line="240" w:lineRule="auto"/>
        <w:rPr>
          <w:rFonts w:eastAsia="Times New Roman" w:cs="Times New Roman"/>
          <w:b/>
        </w:rPr>
      </w:pPr>
    </w:p>
    <w:p w:rsidR="007C5A8A" w:rsidRPr="00B608FF" w:rsidRDefault="007C5A8A" w:rsidP="007C5A8A">
      <w:pPr>
        <w:widowControl/>
        <w:tabs>
          <w:tab w:val="center" w:pos="6237"/>
        </w:tabs>
        <w:autoSpaceDE/>
        <w:adjustRightInd/>
        <w:spacing w:line="240" w:lineRule="auto"/>
        <w:ind w:right="-2"/>
        <w:rPr>
          <w:rFonts w:eastAsia="Times New Roman" w:cs="Times New Roman"/>
          <w:b/>
        </w:rPr>
      </w:pPr>
      <w:r w:rsidRPr="00B608FF">
        <w:rPr>
          <w:rFonts w:eastAsia="Times New Roman" w:cs="Times New Roman"/>
          <w:b/>
        </w:rPr>
        <w:tab/>
        <w:t>Stanisław KARCZEWSKI</w:t>
      </w:r>
    </w:p>
    <w:p w:rsidR="007C5A8A" w:rsidRDefault="007C5A8A" w:rsidP="00C70646"/>
    <w:p w:rsidR="00ED4EA5" w:rsidRDefault="00ED4EA5" w:rsidP="00C70646">
      <w:pPr>
        <w:sectPr w:rsidR="00ED4EA5" w:rsidSect="001A7F15">
          <w:headerReference w:type="default" r:id="rId8"/>
          <w:pgSz w:w="11906" w:h="16838"/>
          <w:pgMar w:top="1560" w:right="1434" w:bottom="1560" w:left="1418" w:header="709" w:footer="709" w:gutter="0"/>
          <w:cols w:space="708"/>
          <w:titlePg/>
          <w:docGrid w:linePitch="254"/>
        </w:sectPr>
      </w:pPr>
    </w:p>
    <w:p w:rsidR="00ED4EA5" w:rsidRDefault="00ED4EA5" w:rsidP="00D42A0D">
      <w:pPr>
        <w:pStyle w:val="OZNPROJEKTUwskazaniedatylubwersjiprojektu"/>
      </w:pPr>
      <w:r>
        <w:lastRenderedPageBreak/>
        <w:t>projekt</w:t>
      </w:r>
    </w:p>
    <w:p w:rsidR="00ED4EA5" w:rsidRPr="00E000DC" w:rsidRDefault="00ED4EA5" w:rsidP="004810D7">
      <w:pPr>
        <w:pStyle w:val="OZNRODZAKTUtznustawalubrozporzdzenieiorganwydajcy"/>
      </w:pPr>
      <w:r w:rsidRPr="004810D7">
        <w:t>ustawa</w:t>
      </w:r>
    </w:p>
    <w:p w:rsidR="00ED4EA5" w:rsidRDefault="00ED4EA5" w:rsidP="00912118">
      <w:pPr>
        <w:pStyle w:val="DATAAKTUdatauchwalenialubwydaniaaktu"/>
      </w:pPr>
      <w:r w:rsidRPr="00E000DC">
        <w:t>z dnia</w:t>
      </w:r>
      <w:r>
        <w:t xml:space="preserve"> </w:t>
      </w:r>
    </w:p>
    <w:p w:rsidR="00ED4EA5" w:rsidRDefault="00ED4EA5" w:rsidP="004810D7">
      <w:pPr>
        <w:pStyle w:val="TYTUAKTUprzedmiotregulacjiustawylubrozporzdzenia"/>
      </w:pPr>
      <w:r>
        <w:t xml:space="preserve">o zmianie ustawy </w:t>
      </w:r>
      <w:r w:rsidRPr="00BD3D98">
        <w:t>o kombatantach oraz niektórych osobach będących ofiarami represji wojennych i okresu powojennego</w:t>
      </w:r>
      <w:r>
        <w:t xml:space="preserve"> oraz ustawy </w:t>
      </w:r>
      <w:r w:rsidRPr="005545F1">
        <w:t>– Prawo o ruchu drogowym</w:t>
      </w:r>
    </w:p>
    <w:p w:rsidR="00ED4EA5" w:rsidRDefault="00ED4EA5" w:rsidP="00813F67">
      <w:pPr>
        <w:pStyle w:val="ARTartustawynprozporzdzenia"/>
      </w:pPr>
      <w:r w:rsidRPr="00716716">
        <w:rPr>
          <w:rStyle w:val="Ppogrubienie"/>
        </w:rPr>
        <w:t>Art. 1.</w:t>
      </w:r>
      <w:r>
        <w:t xml:space="preserve"> W ustawie </w:t>
      </w:r>
      <w:r w:rsidRPr="008932A8">
        <w:t>z dnia</w:t>
      </w:r>
      <w:r w:rsidRPr="00BD3D98">
        <w:t xml:space="preserve"> 24 stycznia 1991 r.</w:t>
      </w:r>
      <w:r w:rsidRPr="008932A8">
        <w:t xml:space="preserve"> </w:t>
      </w:r>
      <w:r w:rsidRPr="00BD3D98">
        <w:t xml:space="preserve">o kombatantach oraz niektórych osobach będących ofiarami represji wojennych i okresu powojennego </w:t>
      </w:r>
      <w:r>
        <w:t>(Dz. U. z 2018 r. poz. 276</w:t>
      </w:r>
      <w:r w:rsidRPr="001A07F5">
        <w:t>)</w:t>
      </w:r>
      <w:r>
        <w:t xml:space="preserve"> po art. 20</w:t>
      </w:r>
      <w:r w:rsidRPr="00BD3D98">
        <w:rPr>
          <w:rStyle w:val="IGindeksgrny"/>
        </w:rPr>
        <w:t>3</w:t>
      </w:r>
      <w:r>
        <w:t xml:space="preserve"> dodaje się art. 20</w:t>
      </w:r>
      <w:r w:rsidRPr="00BD3D98">
        <w:rPr>
          <w:rStyle w:val="IGindeksgrny"/>
        </w:rPr>
        <w:t>4</w:t>
      </w:r>
      <w:r>
        <w:t xml:space="preserve"> w brzmieniu:</w:t>
      </w:r>
    </w:p>
    <w:p w:rsidR="00ED4EA5" w:rsidRPr="00813F67" w:rsidRDefault="00ED4EA5" w:rsidP="009D79FF">
      <w:pPr>
        <w:pStyle w:val="ZARTzmartartykuempunktem"/>
      </w:pPr>
      <w:r>
        <w:t xml:space="preserve">„Art. </w:t>
      </w:r>
      <w:r w:rsidRPr="00813F67">
        <w:t>20</w:t>
      </w:r>
      <w:r w:rsidRPr="00BD3D98">
        <w:rPr>
          <w:rStyle w:val="IGindeksgrny"/>
        </w:rPr>
        <w:t>4</w:t>
      </w:r>
      <w:r w:rsidRPr="00813F67">
        <w:t>. 1. Członek Korpusu Weteranów Walk o Niepodległość Rzeczypospolitej Polskiej le</w:t>
      </w:r>
      <w:r>
        <w:t>gitymujący się kartą kombatanta</w:t>
      </w:r>
      <w:r w:rsidRPr="00813F67">
        <w:t xml:space="preserve"> kierujący pojazdem samochodowym oznaczonym tą kartą, może nie stosować się do niektórych znaków drogowych dotyczących zakazu ruchu lub postoju, </w:t>
      </w:r>
      <w:r>
        <w:t>na zasadach określonych dla osoby niepełnosprawnej</w:t>
      </w:r>
      <w:r w:rsidRPr="003D7A81">
        <w:t xml:space="preserve"> </w:t>
      </w:r>
      <w:r>
        <w:t>legitymującej się kartą parkingową kierującej</w:t>
      </w:r>
      <w:r w:rsidRPr="003D7A81">
        <w:t xml:space="preserve"> pojazdem samochodowym oznaczonym tą kartą</w:t>
      </w:r>
      <w:r>
        <w:t xml:space="preserve">, o której mowa w art. 8 ust. 1 </w:t>
      </w:r>
      <w:r w:rsidRPr="00813F67">
        <w:t>ustawy z dnia 20</w:t>
      </w:r>
      <w:r>
        <w:t> </w:t>
      </w:r>
      <w:r w:rsidRPr="00813F67">
        <w:t>czerwca 1997 r</w:t>
      </w:r>
      <w:r>
        <w:t>. – Prawo o ruchu drogowym (Dz. U. z 2017 r. poz. 1260,</w:t>
      </w:r>
      <w:r w:rsidRPr="006143A9">
        <w:t xml:space="preserve"> z </w:t>
      </w:r>
      <w:proofErr w:type="spellStart"/>
      <w:r w:rsidRPr="006143A9">
        <w:t>późn</w:t>
      </w:r>
      <w:proofErr w:type="spellEnd"/>
      <w:r w:rsidRPr="006143A9">
        <w:t>. zm</w:t>
      </w:r>
      <w:r>
        <w:t>.</w:t>
      </w:r>
      <w:r>
        <w:rPr>
          <w:rStyle w:val="Odwoanieprzypisudolnego"/>
        </w:rPr>
        <w:footnoteReference w:id="1"/>
      </w:r>
      <w:r>
        <w:rPr>
          <w:rStyle w:val="IGindeksgrny"/>
        </w:rPr>
        <w:t>)</w:t>
      </w:r>
      <w:r w:rsidRPr="00813F67">
        <w:t>).</w:t>
      </w:r>
    </w:p>
    <w:p w:rsidR="00ED4EA5" w:rsidRPr="00813F67" w:rsidRDefault="00ED4EA5" w:rsidP="009D79FF">
      <w:pPr>
        <w:pStyle w:val="ZUSTzmustartykuempunktem"/>
      </w:pPr>
      <w:r w:rsidRPr="00813F67">
        <w:t>2. </w:t>
      </w:r>
      <w:r>
        <w:t>Kartę k</w:t>
      </w:r>
      <w:r w:rsidRPr="00813F67">
        <w:t>ombatanta wydaje członkowi Korpusu Weteranów Walk o Niepodległość Rzeczypospolitej Polskiej Szef Urzędu do Spraw Kombatantów i Osób Represjonowanych, na jego pisemny wniosek.</w:t>
      </w:r>
    </w:p>
    <w:p w:rsidR="00ED4EA5" w:rsidRPr="00813F67" w:rsidRDefault="00ED4EA5" w:rsidP="009D79FF">
      <w:pPr>
        <w:pStyle w:val="ZUSTzmustartykuempunktem"/>
      </w:pPr>
      <w:r w:rsidRPr="00813F67">
        <w:t>3. Wniosek, o którym mowa w ust. 2, zawiera:</w:t>
      </w:r>
    </w:p>
    <w:p w:rsidR="00ED4EA5" w:rsidRPr="00813F67" w:rsidRDefault="00ED4EA5" w:rsidP="009D79FF">
      <w:pPr>
        <w:pStyle w:val="ZPKTzmpktartykuempunktem"/>
      </w:pPr>
      <w:r w:rsidRPr="00813F67">
        <w:t>1)</w:t>
      </w:r>
      <w:r w:rsidRPr="00813F67">
        <w:tab/>
        <w:t>imię i nazwisko;</w:t>
      </w:r>
    </w:p>
    <w:p w:rsidR="00ED4EA5" w:rsidRPr="00813F67" w:rsidRDefault="00ED4EA5" w:rsidP="009D79FF">
      <w:pPr>
        <w:pStyle w:val="ZPKTzmpktartykuempunktem"/>
      </w:pPr>
      <w:r w:rsidRPr="00813F67">
        <w:t>2)</w:t>
      </w:r>
      <w:r w:rsidRPr="00813F67">
        <w:tab/>
        <w:t>datę i miejsce urodzenia;</w:t>
      </w:r>
    </w:p>
    <w:p w:rsidR="00ED4EA5" w:rsidRPr="00813F67" w:rsidRDefault="00ED4EA5" w:rsidP="009D79FF">
      <w:pPr>
        <w:pStyle w:val="ZPKTzmpktartykuempunktem"/>
      </w:pPr>
      <w:r w:rsidRPr="00813F67">
        <w:t>3)</w:t>
      </w:r>
      <w:r w:rsidRPr="00813F67">
        <w:tab/>
        <w:t>numer PESEL, a w przypa</w:t>
      </w:r>
      <w:r>
        <w:t>dku nieposiadania numeru PESEL –</w:t>
      </w:r>
      <w:r w:rsidRPr="00813F67">
        <w:t xml:space="preserve"> serię i numer dowodu osobistego albo innego dokumentu potwierdzającego tożsamość;</w:t>
      </w:r>
    </w:p>
    <w:p w:rsidR="00ED4EA5" w:rsidRPr="00813F67" w:rsidRDefault="00ED4EA5" w:rsidP="009D79FF">
      <w:pPr>
        <w:pStyle w:val="ZPKTzmpktartykuempunktem"/>
      </w:pPr>
      <w:r w:rsidRPr="00813F67">
        <w:t>4)</w:t>
      </w:r>
      <w:r w:rsidRPr="00813F67">
        <w:tab/>
        <w:t>adres zamieszkania lub adres do korespondencji.</w:t>
      </w:r>
    </w:p>
    <w:p w:rsidR="00ED4EA5" w:rsidRPr="00813F67" w:rsidRDefault="00ED4EA5" w:rsidP="009D79FF">
      <w:pPr>
        <w:pStyle w:val="ZUSTzmustartykuempunktem"/>
      </w:pPr>
      <w:r w:rsidRPr="00813F67">
        <w:t>4. Kartę kombatanta wydaje się członkowi Korpusu Weteranów Walk o</w:t>
      </w:r>
      <w:r>
        <w:t> </w:t>
      </w:r>
      <w:r w:rsidRPr="00813F67">
        <w:t>Niepodległość Rzeczypospolitej Polskiej bezterminowo. Za wydanie karty nie pobiera się opłaty.</w:t>
      </w:r>
    </w:p>
    <w:p w:rsidR="00ED4EA5" w:rsidRPr="00813F67" w:rsidRDefault="00ED4EA5" w:rsidP="009D79FF">
      <w:pPr>
        <w:pStyle w:val="ZUSTzmustartykuempunktem"/>
      </w:pPr>
      <w:r w:rsidRPr="00813F67">
        <w:t>5. Karta kombatanta traci ważność:</w:t>
      </w:r>
    </w:p>
    <w:p w:rsidR="00ED4EA5" w:rsidRPr="00813F67" w:rsidRDefault="00ED4EA5" w:rsidP="009D79FF">
      <w:pPr>
        <w:pStyle w:val="ZPKTzmpktartykuempunktem"/>
      </w:pPr>
      <w:r w:rsidRPr="00813F67">
        <w:lastRenderedPageBreak/>
        <w:t>1)</w:t>
      </w:r>
      <w:r w:rsidRPr="00813F67">
        <w:tab/>
        <w:t>w przypadku zgłoszenia utraty karty przez osobę, której wydano kartę;</w:t>
      </w:r>
    </w:p>
    <w:p w:rsidR="00ED4EA5" w:rsidRPr="00813F67" w:rsidRDefault="00ED4EA5" w:rsidP="009D79FF">
      <w:pPr>
        <w:pStyle w:val="ZPKTzmpktartykuempunktem"/>
      </w:pPr>
      <w:r w:rsidRPr="00813F67">
        <w:t>2)</w:t>
      </w:r>
      <w:r w:rsidRPr="00813F67">
        <w:tab/>
        <w:t>w przypadku zwrotu karty organowi, który ją wydał;</w:t>
      </w:r>
    </w:p>
    <w:p w:rsidR="00ED4EA5" w:rsidRPr="00813F67" w:rsidRDefault="00ED4EA5" w:rsidP="009D79FF">
      <w:pPr>
        <w:pStyle w:val="ZPKTzmpktartykuempunktem"/>
      </w:pPr>
      <w:r w:rsidRPr="00813F67">
        <w:t>3)</w:t>
      </w:r>
      <w:r w:rsidRPr="00813F67">
        <w:tab/>
        <w:t>w razie śmierci osoby, której wydano kartę.</w:t>
      </w:r>
    </w:p>
    <w:p w:rsidR="00ED4EA5" w:rsidRPr="00813F67" w:rsidRDefault="00ED4EA5" w:rsidP="009D79FF">
      <w:pPr>
        <w:pStyle w:val="ZUSTzmustartykuempunktem"/>
      </w:pPr>
      <w:r>
        <w:t>6</w:t>
      </w:r>
      <w:r w:rsidRPr="00813F67">
        <w:t>. </w:t>
      </w:r>
      <w:r w:rsidRPr="0046415C">
        <w:t>Szef Urzędu do Spraw Kombatantów i Osób Represjonowanych</w:t>
      </w:r>
      <w:r w:rsidRPr="00813F67">
        <w:t xml:space="preserve"> dokonuje, z</w:t>
      </w:r>
      <w:r>
        <w:t> </w:t>
      </w:r>
      <w:r w:rsidRPr="00813F67">
        <w:t>zachowaniem przepisów ust</w:t>
      </w:r>
      <w:r>
        <w:t>awy z dnia 29 stycznia 2004 r. –</w:t>
      </w:r>
      <w:r w:rsidRPr="00813F67">
        <w:t xml:space="preserve"> Prawo zamówień publicznych (Dz. U</w:t>
      </w:r>
      <w:r>
        <w:t>. z 2017 r. poz. 1579 i 2018</w:t>
      </w:r>
      <w:r w:rsidRPr="00813F67">
        <w:t>), wyboru producenta blankietów kart kombatanta.</w:t>
      </w:r>
    </w:p>
    <w:p w:rsidR="00ED4EA5" w:rsidRPr="00813F67" w:rsidRDefault="00ED4EA5" w:rsidP="009D79FF">
      <w:pPr>
        <w:pStyle w:val="ZUSTzmustartykuempunktem"/>
      </w:pPr>
      <w:r>
        <w:t>7</w:t>
      </w:r>
      <w:r w:rsidRPr="00813F67">
        <w:t>. Minister właściwy do spraw zabezpieczenia społecznego, w porozumieniu z</w:t>
      </w:r>
      <w:r>
        <w:t> </w:t>
      </w:r>
      <w:r w:rsidRPr="00813F67">
        <w:t>ministrem właściwym do spraw transportu określi, w drodze rozporządzenia:</w:t>
      </w:r>
    </w:p>
    <w:p w:rsidR="00ED4EA5" w:rsidRPr="00813F67" w:rsidRDefault="00ED4EA5" w:rsidP="009D79FF">
      <w:pPr>
        <w:pStyle w:val="ZPKTzmpktartykuempunktem"/>
      </w:pPr>
      <w:r w:rsidRPr="00813F67">
        <w:t>1)</w:t>
      </w:r>
      <w:r w:rsidRPr="00813F67">
        <w:tab/>
        <w:t>wzór oraz tryb wydawania kart kombatanta członkom Korpusu Weteranów Walk o</w:t>
      </w:r>
      <w:r>
        <w:t> </w:t>
      </w:r>
      <w:r w:rsidRPr="00813F67">
        <w:t xml:space="preserve">Niepodległość Rzeczypospolitej Polskiej, uwzględniając w szczególności </w:t>
      </w:r>
      <w:r>
        <w:t>konieczność zapewnienia</w:t>
      </w:r>
      <w:r w:rsidRPr="00813F67">
        <w:t xml:space="preserve"> jednolitej procedury wydawania kart kombatanta</w:t>
      </w:r>
      <w:r>
        <w:t xml:space="preserve"> oraz </w:t>
      </w:r>
      <w:r w:rsidRPr="00813F67">
        <w:t>technicznego zabezpieczenia karty w sposób gwarantujący jej autentyczność;</w:t>
      </w:r>
    </w:p>
    <w:p w:rsidR="00ED4EA5" w:rsidRPr="00813F67" w:rsidRDefault="00ED4EA5" w:rsidP="009D79FF">
      <w:pPr>
        <w:pStyle w:val="ZPKTzmpktartykuempunktem"/>
      </w:pPr>
      <w:r w:rsidRPr="00813F67">
        <w:t>2)</w:t>
      </w:r>
      <w:r w:rsidRPr="00813F67">
        <w:tab/>
        <w:t>zasady nadawania numerów wydawanym kartom kombatanta, uwzględniając w</w:t>
      </w:r>
      <w:r>
        <w:t> </w:t>
      </w:r>
      <w:r w:rsidRPr="00813F67">
        <w:t>szczególności konieczność stworzenia sprawnego systemu wydawania, ewidencjonowania i kontroli prawidłowości wykorzystywania kart;</w:t>
      </w:r>
    </w:p>
    <w:p w:rsidR="00ED4EA5" w:rsidRPr="00813F67" w:rsidRDefault="00ED4EA5" w:rsidP="009D79FF">
      <w:pPr>
        <w:pStyle w:val="ZPKTzmpktartykuempunktem"/>
      </w:pPr>
      <w:r w:rsidRPr="00813F67">
        <w:t>3)</w:t>
      </w:r>
      <w:r w:rsidRPr="00813F67">
        <w:tab/>
        <w:t>tryb postępowania w sprawie zwrotu karty kombatanta, mając na względzie zapewnienie jednolitej procedury zwrotu kart;</w:t>
      </w:r>
    </w:p>
    <w:p w:rsidR="00ED4EA5" w:rsidRPr="00813F67" w:rsidRDefault="00ED4EA5" w:rsidP="009D79FF">
      <w:pPr>
        <w:pStyle w:val="ZPKTzmpktartykuempunktem"/>
      </w:pPr>
      <w:r w:rsidRPr="00813F67">
        <w:t>4)</w:t>
      </w:r>
      <w:r w:rsidRPr="00813F67">
        <w:tab/>
        <w:t>wzór wniosku o wydanie karty kombatanta, mając na uwadze zapewnienie jednolitej formy składanych wniosków.</w:t>
      </w:r>
      <w:r>
        <w:t>”.</w:t>
      </w:r>
    </w:p>
    <w:p w:rsidR="00ED4EA5" w:rsidRDefault="00ED4EA5" w:rsidP="009D79FF">
      <w:pPr>
        <w:pStyle w:val="ARTartustawynprozporzdzenia"/>
      </w:pPr>
      <w:r w:rsidRPr="004A5EFE">
        <w:rPr>
          <w:rStyle w:val="Ppogrubienie"/>
        </w:rPr>
        <w:t>Art. 2.</w:t>
      </w:r>
      <w:r w:rsidRPr="004A5EFE">
        <w:t xml:space="preserve"> </w:t>
      </w:r>
      <w:r w:rsidRPr="009D79FF">
        <w:t xml:space="preserve">W ustawie z dnia 20 czerwca 1997 r. – Prawo o ruchu drogowym z (Dz. </w:t>
      </w:r>
      <w:r>
        <w:t xml:space="preserve">U. z 2017 r. poz. 1260, </w:t>
      </w:r>
      <w:r w:rsidRPr="006143A9">
        <w:t xml:space="preserve">z </w:t>
      </w:r>
      <w:proofErr w:type="spellStart"/>
      <w:r w:rsidRPr="006143A9">
        <w:t>późn</w:t>
      </w:r>
      <w:proofErr w:type="spellEnd"/>
      <w:r w:rsidRPr="006143A9">
        <w:t>. zm</w:t>
      </w:r>
      <w:r>
        <w:t>.</w:t>
      </w:r>
      <w:r>
        <w:rPr>
          <w:rStyle w:val="Odwoanieprzypisudolnego"/>
        </w:rPr>
        <w:footnoteReference w:id="2"/>
      </w:r>
      <w:r>
        <w:rPr>
          <w:rStyle w:val="IGindeksgrny"/>
        </w:rPr>
        <w:t>)</w:t>
      </w:r>
      <w:r w:rsidRPr="009D79FF">
        <w:t>)</w:t>
      </w:r>
      <w:r>
        <w:t xml:space="preserve"> po</w:t>
      </w:r>
      <w:r w:rsidRPr="009D79FF">
        <w:t xml:space="preserve"> art. 8</w:t>
      </w:r>
      <w:r>
        <w:t>a dodaje się art. 8b w brzmieniu</w:t>
      </w:r>
      <w:r w:rsidRPr="009D79FF">
        <w:t>:</w:t>
      </w:r>
    </w:p>
    <w:p w:rsidR="00ED4EA5" w:rsidRPr="009D79FF" w:rsidRDefault="00ED4EA5" w:rsidP="00A005EB">
      <w:pPr>
        <w:pStyle w:val="ZARTzmartartykuempunktem"/>
      </w:pPr>
      <w:r>
        <w:t>„</w:t>
      </w:r>
      <w:r w:rsidRPr="009D79FF">
        <w:t xml:space="preserve">Art. </w:t>
      </w:r>
      <w:r>
        <w:t xml:space="preserve">8b. </w:t>
      </w:r>
      <w:r w:rsidRPr="00A005EB">
        <w:t>Członek Korpusu Weteranów Walk o Niepodległość Rzeczypospolitej Polskiej legitymujący się kartą kombatanta kierujący pojazdem samochodowym oznaczonym tą kartą, może nie stosować się do niektórych znaków drogowych dotyczących zakazu ruchu lub postoju, na zasadach określonych dla osoby niepełnosprawnej legitymującej się kartą parkingową kierującej pojazdem samochodowym oznaczonym tą kartą, o której mowa w art. 8 ust. 1</w:t>
      </w:r>
      <w:r w:rsidRPr="009D79FF">
        <w:t>.</w:t>
      </w:r>
      <w:r>
        <w:t>”.</w:t>
      </w:r>
    </w:p>
    <w:p w:rsidR="00ED4EA5" w:rsidRPr="004810D7" w:rsidRDefault="00ED4EA5" w:rsidP="004810D7">
      <w:pPr>
        <w:pStyle w:val="ARTartustawynprozporzdzenia"/>
      </w:pPr>
      <w:r>
        <w:rPr>
          <w:rStyle w:val="Ppogrubienie"/>
        </w:rPr>
        <w:t>Art. 3</w:t>
      </w:r>
      <w:r w:rsidRPr="00716716">
        <w:rPr>
          <w:rStyle w:val="Ppogrubienie"/>
        </w:rPr>
        <w:t>.</w:t>
      </w:r>
      <w:r>
        <w:t xml:space="preserve"> Ustawa wchodzi w życie po upływie 3 miesięcy od dnia ogłoszenia.</w:t>
      </w:r>
    </w:p>
    <w:p w:rsidR="00ED4EA5" w:rsidRDefault="00ED4EA5" w:rsidP="00C70646">
      <w:pPr>
        <w:sectPr w:rsidR="00ED4EA5" w:rsidSect="00ED4EA5">
          <w:headerReference w:type="default" r:id="rId9"/>
          <w:pgSz w:w="11906" w:h="16838"/>
          <w:pgMar w:top="1560" w:right="1434" w:bottom="1560" w:left="1418" w:header="709" w:footer="709" w:gutter="0"/>
          <w:pgNumType w:start="1"/>
          <w:cols w:space="708"/>
          <w:titlePg/>
          <w:docGrid w:linePitch="254"/>
        </w:sectPr>
      </w:pPr>
    </w:p>
    <w:p w:rsidR="00ED4EA5" w:rsidRPr="0035574B" w:rsidRDefault="00ED4EA5" w:rsidP="0035574B">
      <w:pPr>
        <w:pStyle w:val="OZNRODZAKTUtznustawalubrozporzdzenieiorganwydajcy"/>
      </w:pPr>
      <w:r w:rsidRPr="0035574B">
        <w:t>UZASADNIENIE</w:t>
      </w:r>
    </w:p>
    <w:p w:rsidR="00ED4EA5" w:rsidRPr="0035574B" w:rsidRDefault="00ED4EA5" w:rsidP="0035574B"/>
    <w:p w:rsidR="00ED4EA5" w:rsidRPr="00093586" w:rsidRDefault="00ED4EA5" w:rsidP="00093586">
      <w:pPr>
        <w:ind w:firstLine="708"/>
        <w:rPr>
          <w:b/>
          <w:bCs/>
        </w:rPr>
      </w:pPr>
      <w:r w:rsidRPr="00093586">
        <w:rPr>
          <w:b/>
          <w:bCs/>
        </w:rPr>
        <w:t>1. Cel projektowanej ustawy</w:t>
      </w:r>
    </w:p>
    <w:p w:rsidR="00ED4EA5" w:rsidRPr="009D15B3" w:rsidRDefault="00ED4EA5" w:rsidP="00804559">
      <w:pPr>
        <w:ind w:firstLine="708"/>
        <w:rPr>
          <w:bCs/>
        </w:rPr>
      </w:pPr>
      <w:r w:rsidRPr="00E17934">
        <w:t xml:space="preserve">Projekt </w:t>
      </w:r>
      <w:r>
        <w:t xml:space="preserve">ustawy </w:t>
      </w:r>
      <w:r w:rsidRPr="00E17934">
        <w:t xml:space="preserve">stanowi realizację </w:t>
      </w:r>
      <w:r>
        <w:t xml:space="preserve">wystąpienia </w:t>
      </w:r>
      <w:r w:rsidRPr="00804559">
        <w:rPr>
          <w:bCs/>
        </w:rPr>
        <w:t>Rzecznika Praw Obywatelskich</w:t>
      </w:r>
      <w:r w:rsidRPr="00804559">
        <w:t xml:space="preserve"> </w:t>
      </w:r>
      <w:r>
        <w:t>do Marszałka Senatu z dnia 21 stycznia 2017 r</w:t>
      </w:r>
      <w:r w:rsidRPr="009D15B3">
        <w:rPr>
          <w:bCs/>
        </w:rPr>
        <w:t>.</w:t>
      </w:r>
    </w:p>
    <w:p w:rsidR="00ED4EA5" w:rsidRPr="00475CAD" w:rsidRDefault="00ED4EA5" w:rsidP="00475CAD">
      <w:pPr>
        <w:ind w:firstLine="708"/>
      </w:pPr>
      <w:r w:rsidRPr="00475CAD">
        <w:t>Rzecznik Praw Obywatelskich podjął swoje wystąpienie w związku z napływającymi do jego biura skargami ze środowiska kombatantów, negatywnie oceniających regulację zawartą w ustawie z dnia 23 października 2013 r. o zmianie ustawy – Prawo o ruchu drogowym oraz niektórych innych ustaw.</w:t>
      </w:r>
    </w:p>
    <w:p w:rsidR="00ED4EA5" w:rsidRPr="00475CAD" w:rsidRDefault="00ED4EA5" w:rsidP="00475CAD">
      <w:pPr>
        <w:ind w:firstLine="708"/>
      </w:pPr>
      <w:r w:rsidRPr="00475CAD">
        <w:t>Zdaniem przedstawicieli środowisk kombatanckich, wspomniana nowela, w zakresie, w </w:t>
      </w:r>
      <w:r>
        <w:t>jakim ograniczyła</w:t>
      </w:r>
      <w:r w:rsidRPr="00475CAD">
        <w:t xml:space="preserve"> niepełnosprawnym kombatantom uprawnienia do karty parkingowej, powoduje wątpliwości co do jej zgodności z art. 19 Konstytucji RP – „Rzeczpospolita Polska specjalną opieką otacza weteranów walk o niepodległość, zwłaszcza inwalidów wojennych”.</w:t>
      </w:r>
    </w:p>
    <w:p w:rsidR="00ED4EA5" w:rsidRPr="001A6C9C" w:rsidRDefault="00ED4EA5" w:rsidP="001A6C9C">
      <w:pPr>
        <w:ind w:firstLine="708"/>
      </w:pPr>
      <w:r w:rsidRPr="001A6C9C">
        <w:t xml:space="preserve">Zdaniem Rzecznika, specjalna pomoc państwa dla weteranów walk o niepodległość, powinna odróżniać się </w:t>
      </w:r>
      <w:r w:rsidRPr="001A6C9C">
        <w:rPr>
          <w:i/>
        </w:rPr>
        <w:t>in plus</w:t>
      </w:r>
      <w:r w:rsidRPr="001A6C9C">
        <w:t xml:space="preserve"> od pomocy udzielanej innym grupom społecznym. Osoby, które zasłużyły się w walce o niepodległość kraju, mają bowiem prawo korzystać ze szczególnych przywilejów określonych przez ustawodawcę. </w:t>
      </w:r>
    </w:p>
    <w:p w:rsidR="00ED4EA5" w:rsidRPr="001A6C9C" w:rsidRDefault="00ED4EA5" w:rsidP="001A6C9C">
      <w:pPr>
        <w:ind w:firstLine="708"/>
      </w:pPr>
      <w:r w:rsidRPr="001A6C9C">
        <w:t>Przywileje dla kombatantów stanowią konstytucyjnie dopuszczone odstępstwo od zasady równości ze względu na szczególną wartość konstytucyjną, którą jest udział w walce o niepodległość (wyrok Trybunału Konstytucyjnego z dnia 9 marca 2004 r., sygn. akt K 12/02).</w:t>
      </w:r>
      <w:r>
        <w:t xml:space="preserve"> </w:t>
      </w:r>
      <w:r w:rsidRPr="001A6C9C">
        <w:t>W związku z tym Rzecznik, na podstawie art. 16 ust. 2 pkt 1 ustawy z dnia 15 lipca 1987 r. o Rzeczniku Praw Obywatelskich, zwrócił się do Przewodniczącego Komisji Praw Człowieka, Praworządności i Petycji oraz do Przewodniczącego Komisji Rodziny, Polityki Senioralnej i Społecznej Senatu RP, z prośbą o rozważenie zasadności przygotowania stosownej nowelizacji przepisów prawa, mającej na celu przywrócenie wszystkim weteranom legitymującym się orzeczeniem o niepełnosprawności, bez względu na jej stopień, uprawnień do karty parkingowej.</w:t>
      </w:r>
    </w:p>
    <w:p w:rsidR="00ED4EA5" w:rsidRPr="00650383" w:rsidRDefault="00ED4EA5" w:rsidP="00650383"/>
    <w:p w:rsidR="00ED4EA5" w:rsidRPr="00093586" w:rsidRDefault="00ED4EA5" w:rsidP="00093586">
      <w:pPr>
        <w:ind w:firstLine="708"/>
        <w:rPr>
          <w:b/>
          <w:bCs/>
        </w:rPr>
      </w:pPr>
      <w:r w:rsidRPr="00093586">
        <w:rPr>
          <w:b/>
          <w:bCs/>
        </w:rPr>
        <w:t>2. Różnice między obowiązującym a projektowanym stanem prawnym</w:t>
      </w:r>
    </w:p>
    <w:p w:rsidR="00ED4EA5" w:rsidRPr="00475CAD" w:rsidRDefault="00ED4EA5" w:rsidP="00475CAD">
      <w:pPr>
        <w:ind w:firstLine="708"/>
      </w:pPr>
      <w:r w:rsidRPr="00475CAD">
        <w:t xml:space="preserve">Ustawa z dnia 23 października 2013 r. o zmianie ustawy – Prawo o ruchu drogowym oraz niektórych innych ustaw (Dz. U. z 2013 r. poz. 1446), miała w założeniu jej wnioskodawców przeciwdziałać praktykom polegającym na nieuprawnionym posługiwaniu się przez kierujących pojazdami kartami parkingowymi przeznaczonymi dla osób niepełnosprawnych, uprawniającymi do parkowania na zastrzeżonych dla nich miejscach oraz do niestosowania się do niektórych znaków drogowych dotyczących zakazu ruchu lub postoju. </w:t>
      </w:r>
    </w:p>
    <w:p w:rsidR="00ED4EA5" w:rsidRPr="00475CAD" w:rsidRDefault="00ED4EA5" w:rsidP="00475CAD">
      <w:pPr>
        <w:ind w:firstLine="708"/>
      </w:pPr>
      <w:r w:rsidRPr="00475CAD">
        <w:t>Przed dniem wejścia noweli w życie (1 lipca 2014 r.), o kartę parkingową ubiegać się mogła osoba niepełnosprawna o obniżonej sprawności ruchowej, na podstawie wydanego przez zespół do spraw orzekania o niepełnosprawności orzeczenia o niepełnosprawności, orzeczenia o stopniu niepełnosprawności lub orzeczenia o wskazaniach do ulg i uprawnień, wraz ze wskazaniem, że osoba niepełnosprawna spełnia przesłankę obniżonej sprawności ruchowej.</w:t>
      </w:r>
    </w:p>
    <w:p w:rsidR="00ED4EA5" w:rsidRPr="00475CAD" w:rsidRDefault="00ED4EA5" w:rsidP="00475CAD">
      <w:pPr>
        <w:ind w:firstLine="708"/>
      </w:pPr>
      <w:r w:rsidRPr="00475CAD">
        <w:t>Od dnia 1 lipca 2014 r., zgodnie z nowym brzmieniem art. 8 ust. 1 i ust. 3a Prawa o ruchu drogowym, o kartę parkingową ubiegać się może osoba niepełnosprawna zaliczona do znacznego albo umiarkowanego stopnia niepełnosprawności mająca znacznie ograniczone możliwości samodzielnego poruszania się lub osoba niepełnosprawna, która nie ukończyła 16 roku życia mająca znacznie ograniczone możliwości samodzielnego poruszania się.</w:t>
      </w:r>
    </w:p>
    <w:p w:rsidR="00ED4EA5" w:rsidRPr="00475CAD" w:rsidRDefault="00ED4EA5" w:rsidP="00475CAD">
      <w:pPr>
        <w:ind w:firstLine="708"/>
      </w:pPr>
      <w:r w:rsidRPr="00475CAD">
        <w:t xml:space="preserve">Porównanie poprzedniego oraz obowiązującego stanu prawnego prowadzi do wniosku, że kryteria przyznawania kart parkingowych zostały zaostrzone. Przed wejściem w życie noweli z dnia 23 października 2013 r. uprawnienie do karty przysługiwało osobom niepełnosprawnym o obniżonej sprawności ruchowej, bez względu na stopień niepełnosprawności, obecnie – osobom zaliczonym do znacznego albo umiarkowanego stopnia niepełnosprawności. </w:t>
      </w:r>
    </w:p>
    <w:p w:rsidR="00ED4EA5" w:rsidRDefault="00ED4EA5" w:rsidP="00475CAD">
      <w:pPr>
        <w:ind w:firstLine="708"/>
      </w:pPr>
      <w:r w:rsidRPr="00475CAD">
        <w:t>Po 1 lipca 2014 r., warunkiem wydania karty parkingowej jest więc przedstawienie orzeczenia o znacznym lub umiarkowanym stopniu niepełnosprawności wraz ze wskazaniem, że osoba niepełnosprawna ma znacznie ograniczone możliwości samodzielnego poruszania się.</w:t>
      </w:r>
      <w:r>
        <w:t xml:space="preserve"> </w:t>
      </w:r>
      <w:r w:rsidRPr="00475CAD">
        <w:t>Jak wynika z informacji Rzecznika Praw Obywatelskich, opisana wyżej zmiana zasad wydawania karty parkingowej spowodowała, że niektórzy kombatanci przestali spełniać wymogi formalne niezbędne do uzyskania karty parkingowej.</w:t>
      </w:r>
    </w:p>
    <w:p w:rsidR="00ED4EA5" w:rsidRPr="009976EE" w:rsidRDefault="00ED4EA5" w:rsidP="009976EE">
      <w:pPr>
        <w:ind w:firstLine="708"/>
      </w:pPr>
      <w:r>
        <w:t xml:space="preserve">Biorąc pod rozwagę </w:t>
      </w:r>
      <w:r w:rsidRPr="009976EE">
        <w:t>szczególne zasługi dla Polski tych wszystkich obywateli polskich, którzy walczyli o suwerenność i niepodległość Ojczyzny</w:t>
      </w:r>
      <w:r>
        <w:t>, oraz mając na względzie treść</w:t>
      </w:r>
      <w:r w:rsidRPr="009976EE">
        <w:t xml:space="preserve"> art. 19 Konstytucji RP</w:t>
      </w:r>
      <w:r>
        <w:t xml:space="preserve">, nakazującego </w:t>
      </w:r>
      <w:r w:rsidRPr="009976EE">
        <w:t>specjalną opieką otacza</w:t>
      </w:r>
      <w:r>
        <w:t>ć</w:t>
      </w:r>
      <w:r w:rsidRPr="009976EE">
        <w:t xml:space="preserve"> weteranów walk o niepodległość, zwłaszcza inwalidów wojennych</w:t>
      </w:r>
      <w:r>
        <w:t>, Wnioskodawcy niniejszego projektu uznali, że przywilej w postaci korzystania z niektórych udogodnień w ruchu drogowym, powinien przysługiwać wszystkim kombatantom.</w:t>
      </w:r>
    </w:p>
    <w:p w:rsidR="00ED4EA5" w:rsidRDefault="00ED4EA5" w:rsidP="001A6C9C">
      <w:pPr>
        <w:ind w:firstLine="708"/>
      </w:pPr>
      <w:r>
        <w:t xml:space="preserve">W projekcie ustawy zaproponowano, aby członkowie </w:t>
      </w:r>
      <w:r w:rsidRPr="00C53E7A">
        <w:t>Korpusu Weteranów Walk o Niepodle</w:t>
      </w:r>
      <w:r>
        <w:t xml:space="preserve">głość Rzeczypospolitej Polskiej, zaliczeni do niego decyzją </w:t>
      </w:r>
      <w:r w:rsidRPr="00C53E7A">
        <w:t>Szef</w:t>
      </w:r>
      <w:r>
        <w:t>a</w:t>
      </w:r>
      <w:r w:rsidRPr="00C53E7A">
        <w:t xml:space="preserve"> Urzędu do Spraw Kombatantów i Osób Represjonowanych</w:t>
      </w:r>
      <w:r>
        <w:t>, korzystali w ruchu drogowym z uprawnień analogicznych do przysługujących osobom niepełnosprawnym posiadającym karty parkingowe.</w:t>
      </w:r>
    </w:p>
    <w:p w:rsidR="00ED4EA5" w:rsidRDefault="00ED4EA5" w:rsidP="001A6C9C">
      <w:pPr>
        <w:ind w:firstLine="708"/>
      </w:pPr>
      <w:r>
        <w:t xml:space="preserve">Zgodnie z art. </w:t>
      </w:r>
      <w:r w:rsidRPr="001A6C9C">
        <w:t>20</w:t>
      </w:r>
      <w:r w:rsidRPr="001A6C9C">
        <w:rPr>
          <w:vertAlign w:val="superscript"/>
        </w:rPr>
        <w:t>4</w:t>
      </w:r>
      <w:r>
        <w:rPr>
          <w:vertAlign w:val="superscript"/>
        </w:rPr>
        <w:t xml:space="preserve"> </w:t>
      </w:r>
      <w:r>
        <w:t xml:space="preserve">dodawanym do ustawy </w:t>
      </w:r>
      <w:r w:rsidRPr="001A6C9C">
        <w:t>z dnia 24 stycznia 1991 r. o kombatantach oraz niektórych osobach będących ofiarami represji wojennych i okresu powojennego</w:t>
      </w:r>
      <w:r>
        <w:t>,</w:t>
      </w:r>
      <w:r w:rsidRPr="001A6C9C">
        <w:t xml:space="preserve"> </w:t>
      </w:r>
      <w:r>
        <w:t>c</w:t>
      </w:r>
      <w:r w:rsidRPr="001A6C9C">
        <w:t xml:space="preserve">złonek Korpusu Weteranów Walk o Niepodległość Rzeczypospolitej Polskiej legitymujący się kartą kombatanta kierujący pojazdem samochodowym oznaczonym tą kartą, </w:t>
      </w:r>
      <w:r>
        <w:t xml:space="preserve">będzie mógł </w:t>
      </w:r>
      <w:r w:rsidRPr="001A6C9C">
        <w:t>nie stosować się do niektórych znaków drogowych dotyczących zakazu ruchu lub postoju, na zasadach określonych dla osoby niepełnosprawnej legitymującej się kartą parkingową kierującej pojazdem samochodowym oznaczonym tą kartą, o której mowa w art. 8 ust. 1 ustawy z dnia 20 czerwca 1997 r. – Prawo o ruchu drogowym.</w:t>
      </w:r>
    </w:p>
    <w:p w:rsidR="00ED4EA5" w:rsidRPr="001A6C9C" w:rsidRDefault="00ED4EA5" w:rsidP="00FD714E">
      <w:pPr>
        <w:ind w:firstLine="708"/>
      </w:pPr>
      <w:r>
        <w:t>Art. 8 ust. 1 Prawa o ruchu drogowym stanowi z kolei, że o</w:t>
      </w:r>
      <w:r w:rsidRPr="00FD714E">
        <w:t>soba niepełnosprawna legitymująca się kartą parkingową kierująca pojazdem samochodowym oznaczonym tą kartą, może nie stosować się do niektórych znaków drogowych dotyczących zakazu ruchu lub postoju, w zakresie określonym przepisami o których mowa w art. 7 ust. 2</w:t>
      </w:r>
      <w:r>
        <w:t>. Ten ostatni zawiera przepis upoważniający, na podstawie którego wydane zostało rozporządzenie Ministrów Infrastruktury oraz Spraw Wewnętrznych i Administracji z dnia 31 lipca 2002 r. w sprawie znaków i sygnałów drogowych</w:t>
      </w:r>
      <w:r w:rsidRPr="00FD714E">
        <w:t>.</w:t>
      </w:r>
    </w:p>
    <w:p w:rsidR="00ED4EA5" w:rsidRPr="001A6C9C" w:rsidRDefault="00ED4EA5" w:rsidP="001A6C9C">
      <w:pPr>
        <w:ind w:firstLine="708"/>
      </w:pPr>
      <w:r w:rsidRPr="001A6C9C">
        <w:t>Kartę k</w:t>
      </w:r>
      <w:r>
        <w:t>ombatanta wydawać będzie</w:t>
      </w:r>
      <w:r w:rsidRPr="001A6C9C">
        <w:t xml:space="preserve"> członkowi Korpusu Weteranów Walk o Niepodległość Rzeczypospolitej Polskiej Szef Urzędu do Spraw Kombatantów i Osób Represjonowanych, na jego pisemny wniosek.</w:t>
      </w:r>
    </w:p>
    <w:p w:rsidR="00ED4EA5" w:rsidRPr="001A6C9C" w:rsidRDefault="00ED4EA5" w:rsidP="001A6C9C">
      <w:pPr>
        <w:ind w:firstLine="708"/>
      </w:pPr>
      <w:r>
        <w:t xml:space="preserve">Karta kombatanta wydawana będzie bezterminowo i nieodpłatnie. W </w:t>
      </w:r>
      <w:r w:rsidRPr="00F8485A">
        <w:t>art. 20</w:t>
      </w:r>
      <w:r w:rsidRPr="00F8485A">
        <w:rPr>
          <w:vertAlign w:val="superscript"/>
        </w:rPr>
        <w:t xml:space="preserve">4 </w:t>
      </w:r>
      <w:r>
        <w:t>ust. 5 określono katalog sytuacji, w których k</w:t>
      </w:r>
      <w:r w:rsidRPr="001A6C9C">
        <w:t xml:space="preserve">arta kombatanta </w:t>
      </w:r>
      <w:r>
        <w:t>utraci ważność.</w:t>
      </w:r>
    </w:p>
    <w:p w:rsidR="00ED4EA5" w:rsidRPr="001A6C9C" w:rsidRDefault="00ED4EA5" w:rsidP="001A6C9C">
      <w:pPr>
        <w:ind w:firstLine="708"/>
      </w:pPr>
      <w:r>
        <w:t>W</w:t>
      </w:r>
      <w:r w:rsidRPr="00F8485A">
        <w:t>yboru producenta blankietów kart kombatanta</w:t>
      </w:r>
      <w:r>
        <w:t xml:space="preserve"> dokona Szef Urzędu do Spraw Kombatantów i Osób Represjonowanych</w:t>
      </w:r>
      <w:r w:rsidRPr="001A6C9C">
        <w:t>, z zachowaniem przepisów ustawy z dnia 29 stycznia 2004 r. – P</w:t>
      </w:r>
      <w:r>
        <w:t>rawo zamówień publicznych</w:t>
      </w:r>
      <w:r w:rsidRPr="001A6C9C">
        <w:t>.</w:t>
      </w:r>
    </w:p>
    <w:p w:rsidR="00ED4EA5" w:rsidRDefault="00ED4EA5" w:rsidP="001A6C9C">
      <w:pPr>
        <w:ind w:firstLine="708"/>
        <w:rPr>
          <w:bCs/>
        </w:rPr>
      </w:pPr>
      <w:r w:rsidRPr="001A6C9C">
        <w:t>Minister właściwy do spraw zabezpieczenia społecznego, w porozumieniu z ministrem właściwym do spraw transportu o</w:t>
      </w:r>
      <w:r>
        <w:t xml:space="preserve">kreśli, w drodze rozporządzenia m.in. </w:t>
      </w:r>
      <w:r w:rsidRPr="001A6C9C">
        <w:rPr>
          <w:bCs/>
        </w:rPr>
        <w:t xml:space="preserve">wzór oraz tryb wydawania kart kombatanta członkom Korpusu Weteranów Walk o Niepodległość Rzeczypospolitej Polskiej, zasady nadawania numerów wydawanym kartom kombatanta, tryb postępowania w sprawie zwrotu karty kombatanta, </w:t>
      </w:r>
      <w:r>
        <w:rPr>
          <w:bCs/>
        </w:rPr>
        <w:t xml:space="preserve">oraz </w:t>
      </w:r>
      <w:r w:rsidRPr="001A6C9C">
        <w:rPr>
          <w:bCs/>
        </w:rPr>
        <w:t>wzór wni</w:t>
      </w:r>
      <w:r>
        <w:rPr>
          <w:bCs/>
        </w:rPr>
        <w:t>osku o wydanie karty kombatanta</w:t>
      </w:r>
      <w:r w:rsidRPr="001A6C9C">
        <w:rPr>
          <w:bCs/>
        </w:rPr>
        <w:t>.</w:t>
      </w:r>
    </w:p>
    <w:p w:rsidR="00ED4EA5" w:rsidRPr="00093586" w:rsidRDefault="00ED4EA5" w:rsidP="00093586">
      <w:pPr>
        <w:ind w:firstLine="708"/>
        <w:rPr>
          <w:rFonts w:eastAsia="Times New Roman" w:cs="Times New Roman"/>
          <w:b/>
          <w:bCs/>
          <w:szCs w:val="24"/>
        </w:rPr>
      </w:pPr>
      <w:r w:rsidRPr="00093586">
        <w:rPr>
          <w:rFonts w:eastAsia="Times New Roman" w:cs="Times New Roman"/>
          <w:b/>
          <w:bCs/>
          <w:szCs w:val="24"/>
        </w:rPr>
        <w:t>3. Założenia</w:t>
      </w:r>
      <w:r>
        <w:rPr>
          <w:rFonts w:eastAsia="Times New Roman" w:cs="Times New Roman"/>
          <w:b/>
          <w:bCs/>
          <w:szCs w:val="24"/>
        </w:rPr>
        <w:t xml:space="preserve"> projektu podstawowego aktu wykonawczego</w:t>
      </w:r>
    </w:p>
    <w:p w:rsidR="00ED4EA5" w:rsidRDefault="00ED4EA5" w:rsidP="006773D0">
      <w:pPr>
        <w:ind w:firstLine="708"/>
      </w:pPr>
      <w:r>
        <w:t xml:space="preserve">Wejście w życie ustawy wiąże się z koniecznością wydania aktu wykonawczego, regulującego praktyczne aspekty związane z opracowaniem nowego dokumentu – karty kombatanta. </w:t>
      </w:r>
    </w:p>
    <w:p w:rsidR="00ED4EA5" w:rsidRDefault="00ED4EA5" w:rsidP="006773D0">
      <w:pPr>
        <w:ind w:firstLine="708"/>
        <w:rPr>
          <w:bCs/>
        </w:rPr>
      </w:pPr>
      <w:r w:rsidRPr="001A6C9C">
        <w:t>Minister właściwy do spraw zabezpieczenia społecznego, w porozumieniu z ministrem właściwym do spraw transportu o</w:t>
      </w:r>
      <w:r>
        <w:t xml:space="preserve">kreśli, w drodze rozporządzenia </w:t>
      </w:r>
      <w:r w:rsidRPr="001A6C9C">
        <w:rPr>
          <w:bCs/>
        </w:rPr>
        <w:t xml:space="preserve">wzór oraz tryb wydawania kart kombatanta członkom Korpusu Weteranów Walk o Niepodległość Rzeczypospolitej Polskiej, zasady nadawania numerów wydawanym kartom kombatanta, tryb postępowania w sprawie zwrotu karty kombatanta, </w:t>
      </w:r>
      <w:r>
        <w:rPr>
          <w:bCs/>
        </w:rPr>
        <w:t xml:space="preserve">oraz </w:t>
      </w:r>
      <w:r w:rsidRPr="001A6C9C">
        <w:rPr>
          <w:bCs/>
        </w:rPr>
        <w:t>wzór wni</w:t>
      </w:r>
      <w:r>
        <w:rPr>
          <w:bCs/>
        </w:rPr>
        <w:t>osku o wydanie karty kombatanta</w:t>
      </w:r>
      <w:r w:rsidRPr="001A6C9C">
        <w:rPr>
          <w:bCs/>
        </w:rPr>
        <w:t>.</w:t>
      </w:r>
    </w:p>
    <w:p w:rsidR="00ED4EA5" w:rsidRDefault="00ED4EA5" w:rsidP="006773D0">
      <w:pPr>
        <w:ind w:firstLine="708"/>
        <w:rPr>
          <w:bCs/>
        </w:rPr>
      </w:pPr>
      <w:r>
        <w:rPr>
          <w:bCs/>
        </w:rPr>
        <w:t xml:space="preserve">Przygotowując projekt aktu wykonawczego, należy mieć na względzie </w:t>
      </w:r>
      <w:r w:rsidRPr="00A707FB">
        <w:rPr>
          <w:bCs/>
        </w:rPr>
        <w:t>konieczność zapewnienia jednolitej procedury wydawania kart kombatanta oraz technicznego zabezpieczenia karty w sposób gwarantujący jej autentyczność</w:t>
      </w:r>
      <w:r>
        <w:rPr>
          <w:bCs/>
        </w:rPr>
        <w:t xml:space="preserve">, </w:t>
      </w:r>
      <w:r w:rsidRPr="00A707FB">
        <w:rPr>
          <w:bCs/>
        </w:rPr>
        <w:t>konieczność stworzenia sprawnego systemu wydawania, ewidencjonowania i kontroli prawidłowości wykorzystywania kart</w:t>
      </w:r>
      <w:r>
        <w:rPr>
          <w:bCs/>
        </w:rPr>
        <w:t xml:space="preserve">, </w:t>
      </w:r>
      <w:r w:rsidRPr="00A707FB">
        <w:rPr>
          <w:bCs/>
        </w:rPr>
        <w:t>zapewnienie jednolitej procedury zwrotu kart</w:t>
      </w:r>
      <w:r>
        <w:rPr>
          <w:bCs/>
        </w:rPr>
        <w:t xml:space="preserve"> oraz </w:t>
      </w:r>
      <w:r w:rsidRPr="00A707FB">
        <w:rPr>
          <w:bCs/>
        </w:rPr>
        <w:t>jednolitej formy składanych wniosków</w:t>
      </w:r>
      <w:r>
        <w:rPr>
          <w:bCs/>
        </w:rPr>
        <w:t>.</w:t>
      </w:r>
    </w:p>
    <w:p w:rsidR="00ED4EA5" w:rsidRDefault="00ED4EA5" w:rsidP="00D617A0">
      <w:pPr>
        <w:ind w:firstLine="708"/>
      </w:pPr>
      <w:r>
        <w:t>W rozporządzeniu trzeba przewidzieć, że załącznikiem do wniosku o wydanie karty kombatanta jest fotografia odzwierciedlająca</w:t>
      </w:r>
      <w:r w:rsidRPr="00D617A0">
        <w:t xml:space="preserve"> aktualny wizerunek osoby, której </w:t>
      </w:r>
      <w:r>
        <w:t>wniosek dotyczy, przedstawiająca</w:t>
      </w:r>
      <w:r w:rsidRPr="00D617A0">
        <w:t xml:space="preserve"> tę osobę bez nakrycia głowy i okularów z ciemnymi szkłami</w:t>
      </w:r>
      <w:r>
        <w:t>. Wzór karty kombatanta powinien zawierać fotografię jej posiadacza oraz hologram, zabezpieczające kartę przed podrobieniem oraz używaniem przez osobę nieuprawnioną.</w:t>
      </w:r>
    </w:p>
    <w:p w:rsidR="00ED4EA5" w:rsidRDefault="00ED4EA5" w:rsidP="00D617A0">
      <w:pPr>
        <w:ind w:firstLine="708"/>
      </w:pPr>
      <w:r>
        <w:t>Ponadto, w treści aktu wykonawczego należy określić tryb postępowania w razie stwierdzenia braków formalnych wniosku (wezwanie do uzupełnienia braków w zakreślonym terminie, pod rygorem pozostawienia wniosku bez rozpoznania).</w:t>
      </w:r>
    </w:p>
    <w:p w:rsidR="00ED4EA5" w:rsidRDefault="00ED4EA5" w:rsidP="00D617A0">
      <w:pPr>
        <w:ind w:firstLine="708"/>
      </w:pPr>
    </w:p>
    <w:p w:rsidR="00ED4EA5" w:rsidRPr="006C1BFF" w:rsidRDefault="00ED4EA5" w:rsidP="006C1BFF">
      <w:pPr>
        <w:ind w:firstLine="708"/>
        <w:rPr>
          <w:b/>
          <w:bCs/>
        </w:rPr>
      </w:pPr>
      <w:r>
        <w:rPr>
          <w:b/>
          <w:bCs/>
        </w:rPr>
        <w:t>4. Konsultacje</w:t>
      </w:r>
    </w:p>
    <w:p w:rsidR="00ED4EA5" w:rsidRDefault="00ED4EA5" w:rsidP="00D617A0">
      <w:pPr>
        <w:ind w:firstLine="708"/>
      </w:pPr>
      <w:r>
        <w:t>Nadesłane w ramach konsultacji opinie i uwagi są zamieszczone na senackiej stronie internetowej. Wyniki konsultacji przedstawiono w Ocenie Skutków Regulacji.</w:t>
      </w:r>
    </w:p>
    <w:p w:rsidR="00ED4EA5" w:rsidRDefault="00ED4EA5" w:rsidP="00D617A0">
      <w:pPr>
        <w:ind w:firstLine="708"/>
      </w:pPr>
    </w:p>
    <w:p w:rsidR="00ED4EA5" w:rsidRPr="00F93D51" w:rsidRDefault="00ED4EA5" w:rsidP="00F93D51">
      <w:pPr>
        <w:ind w:firstLine="708"/>
        <w:rPr>
          <w:rFonts w:eastAsia="Times New Roman"/>
          <w:b/>
          <w:bCs/>
        </w:rPr>
      </w:pPr>
      <w:r>
        <w:rPr>
          <w:rFonts w:eastAsia="Times New Roman"/>
          <w:b/>
          <w:bCs/>
        </w:rPr>
        <w:t>5</w:t>
      </w:r>
      <w:r w:rsidRPr="00F93D51">
        <w:rPr>
          <w:rFonts w:eastAsia="Times New Roman"/>
          <w:b/>
          <w:bCs/>
        </w:rPr>
        <w:t>. Oświadczenie o zgodności z prawem Unii Europejskiej</w:t>
      </w:r>
    </w:p>
    <w:p w:rsidR="00ED4EA5" w:rsidRPr="00BA7A07" w:rsidRDefault="00ED4EA5" w:rsidP="00BA7A07">
      <w:pPr>
        <w:ind w:firstLine="708"/>
      </w:pPr>
      <w:r w:rsidRPr="00847ED4">
        <w:rPr>
          <w:rFonts w:eastAsia="Times New Roman"/>
        </w:rPr>
        <w:t>Przedmiot projektowanej ustawy nie jest objęty prawem Unii Europejskiej.</w:t>
      </w:r>
    </w:p>
    <w:p w:rsidR="00ED4EA5" w:rsidRDefault="00ED4EA5" w:rsidP="00C70646">
      <w:pPr>
        <w:sectPr w:rsidR="00ED4EA5" w:rsidSect="00A43BBE">
          <w:headerReference w:type="default" r:id="rId10"/>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876"/>
        <w:gridCol w:w="14"/>
        <w:gridCol w:w="414"/>
        <w:gridCol w:w="281"/>
        <w:gridCol w:w="61"/>
        <w:gridCol w:w="506"/>
        <w:gridCol w:w="284"/>
        <w:gridCol w:w="147"/>
        <w:gridCol w:w="136"/>
        <w:gridCol w:w="149"/>
        <w:gridCol w:w="418"/>
        <w:gridCol w:w="235"/>
        <w:gridCol w:w="332"/>
        <w:gridCol w:w="455"/>
        <w:gridCol w:w="80"/>
        <w:gridCol w:w="71"/>
        <w:gridCol w:w="419"/>
        <w:gridCol w:w="113"/>
        <w:gridCol w:w="405"/>
        <w:gridCol w:w="16"/>
        <w:gridCol w:w="35"/>
        <w:gridCol w:w="570"/>
        <w:gridCol w:w="317"/>
        <w:gridCol w:w="253"/>
        <w:gridCol w:w="570"/>
        <w:gridCol w:w="115"/>
        <w:gridCol w:w="1422"/>
        <w:gridCol w:w="10"/>
      </w:tblGrid>
      <w:tr w:rsidR="00FA7205" w:rsidRPr="00FA7205" w:rsidTr="00504B63">
        <w:trPr>
          <w:gridAfter w:val="1"/>
          <w:wAfter w:w="10" w:type="dxa"/>
          <w:trHeight w:val="1611"/>
        </w:trPr>
        <w:tc>
          <w:tcPr>
            <w:tcW w:w="6631" w:type="dxa"/>
            <w:gridSpan w:val="17"/>
          </w:tcPr>
          <w:p w:rsidR="00FA7205" w:rsidRPr="00FA7205" w:rsidRDefault="00FA7205" w:rsidP="00FA7205">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FA7205">
              <w:rPr>
                <w:rFonts w:eastAsia="Calibri" w:cs="Times New Roman"/>
                <w:b/>
                <w:color w:val="000000"/>
                <w:sz w:val="22"/>
                <w:szCs w:val="22"/>
                <w:lang w:eastAsia="en-US"/>
              </w:rPr>
              <w:t>Tytuł projektu:</w:t>
            </w:r>
          </w:p>
          <w:bookmarkEnd w:id="1"/>
          <w:p w:rsidR="00FA7205" w:rsidRPr="00FA7205" w:rsidRDefault="00FA7205" w:rsidP="00FA7205">
            <w:pPr>
              <w:widowControl/>
              <w:autoSpaceDE/>
              <w:autoSpaceDN/>
              <w:adjustRightInd/>
              <w:spacing w:line="240" w:lineRule="auto"/>
              <w:ind w:hanging="34"/>
              <w:jc w:val="left"/>
              <w:rPr>
                <w:rFonts w:eastAsia="Calibri" w:cs="Times New Roman"/>
                <w:color w:val="000000"/>
                <w:sz w:val="22"/>
                <w:szCs w:val="22"/>
                <w:lang w:eastAsia="en-US"/>
              </w:rPr>
            </w:pPr>
            <w:r w:rsidRPr="00FA7205">
              <w:rPr>
                <w:rFonts w:eastAsia="Calibri" w:cs="Times New Roman"/>
                <w:color w:val="000000"/>
                <w:sz w:val="22"/>
                <w:szCs w:val="22"/>
                <w:lang w:eastAsia="en-US"/>
              </w:rPr>
              <w:t xml:space="preserve">Ustawa o zmianie ustawy o kombatantach oraz niektórych osobach będących ofiarami represji wojennych i okresu powojennego oraz ustawy – Prawo o ruchu drogowym </w:t>
            </w:r>
          </w:p>
          <w:p w:rsidR="00FA7205" w:rsidRPr="00FA7205" w:rsidRDefault="00FA7205" w:rsidP="00FA7205">
            <w:pPr>
              <w:widowControl/>
              <w:autoSpaceDE/>
              <w:autoSpaceDN/>
              <w:adjustRightInd/>
              <w:spacing w:line="240" w:lineRule="auto"/>
              <w:rPr>
                <w:rFonts w:eastAsia="Calibri" w:cs="Times New Roman"/>
                <w:b/>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b/>
                <w:sz w:val="22"/>
                <w:szCs w:val="22"/>
                <w:lang w:eastAsia="en-US"/>
              </w:rPr>
            </w:pPr>
            <w:r w:rsidRPr="00FA7205">
              <w:rPr>
                <w:rFonts w:eastAsia="Calibri" w:cs="Times New Roman"/>
                <w:b/>
                <w:sz w:val="22"/>
                <w:szCs w:val="22"/>
                <w:lang w:eastAsia="en-US"/>
              </w:rPr>
              <w:t>Przedstawiciel wnioskodawcy:</w:t>
            </w:r>
          </w:p>
          <w:p w:rsidR="00FA7205" w:rsidRPr="00FA7205" w:rsidRDefault="00FA7205" w:rsidP="00FA7205">
            <w:pPr>
              <w:widowControl/>
              <w:autoSpaceDE/>
              <w:autoSpaceDN/>
              <w:adjustRightInd/>
              <w:spacing w:line="240" w:lineRule="auto"/>
              <w:ind w:hanging="45"/>
              <w:jc w:val="left"/>
              <w:rPr>
                <w:rFonts w:eastAsia="Calibri" w:cs="Times New Roman"/>
                <w:color w:val="000000"/>
                <w:sz w:val="22"/>
                <w:szCs w:val="22"/>
                <w:lang w:eastAsia="en-US"/>
              </w:rPr>
            </w:pPr>
            <w:r w:rsidRPr="00FA7205">
              <w:rPr>
                <w:rFonts w:eastAsia="Calibri" w:cs="Times New Roman"/>
                <w:b/>
                <w:color w:val="000000"/>
                <w:sz w:val="22"/>
                <w:szCs w:val="22"/>
                <w:lang w:eastAsia="en-US"/>
              </w:rPr>
              <w:t xml:space="preserve"> </w:t>
            </w:r>
            <w:r w:rsidRPr="00FA7205">
              <w:rPr>
                <w:rFonts w:eastAsia="Calibri" w:cs="Times New Roman"/>
                <w:color w:val="000000"/>
                <w:sz w:val="22"/>
                <w:szCs w:val="22"/>
                <w:lang w:eastAsia="en-US"/>
              </w:rPr>
              <w:t xml:space="preserve">senator Jan Rulewski </w:t>
            </w:r>
          </w:p>
          <w:p w:rsidR="00FA7205" w:rsidRPr="00FA7205" w:rsidRDefault="00FA7205" w:rsidP="00FA7205">
            <w:pPr>
              <w:widowControl/>
              <w:autoSpaceDE/>
              <w:autoSpaceDN/>
              <w:adjustRightInd/>
              <w:spacing w:line="240" w:lineRule="auto"/>
              <w:ind w:hanging="45"/>
              <w:jc w:val="left"/>
              <w:rPr>
                <w:rFonts w:eastAsia="Calibri" w:cs="Times New Roman"/>
                <w:b/>
                <w:color w:val="000000"/>
                <w:sz w:val="22"/>
                <w:szCs w:val="22"/>
                <w:lang w:eastAsia="en-US"/>
              </w:rPr>
            </w:pPr>
          </w:p>
          <w:p w:rsidR="00FA7205" w:rsidRPr="00FA7205" w:rsidRDefault="00FA7205" w:rsidP="00FA7205">
            <w:pPr>
              <w:widowControl/>
              <w:autoSpaceDE/>
              <w:autoSpaceDN/>
              <w:adjustRightInd/>
              <w:spacing w:line="240" w:lineRule="auto"/>
              <w:ind w:hanging="45"/>
              <w:jc w:val="left"/>
              <w:rPr>
                <w:rFonts w:eastAsia="Calibri" w:cs="Times New Roman"/>
                <w:b/>
                <w:color w:val="000000"/>
                <w:sz w:val="22"/>
                <w:szCs w:val="22"/>
                <w:lang w:eastAsia="en-US"/>
              </w:rPr>
            </w:pPr>
            <w:r w:rsidRPr="00FA7205">
              <w:rPr>
                <w:rFonts w:eastAsia="Calibri" w:cs="Times New Roman"/>
                <w:b/>
                <w:color w:val="000000"/>
                <w:sz w:val="22"/>
                <w:szCs w:val="22"/>
                <w:lang w:eastAsia="en-US"/>
              </w:rPr>
              <w:t>Osoby odpowiedzialne za projekt w Biurze Legislacyjnym:</w:t>
            </w:r>
            <w:bookmarkStart w:id="2" w:name="t3"/>
          </w:p>
          <w:bookmarkEnd w:id="2"/>
          <w:p w:rsidR="00FA7205" w:rsidRPr="00FA7205" w:rsidRDefault="00FA7205" w:rsidP="00FA7205">
            <w:pPr>
              <w:widowControl/>
              <w:autoSpaceDE/>
              <w:autoSpaceDN/>
              <w:adjustRightInd/>
              <w:spacing w:line="240" w:lineRule="auto"/>
              <w:ind w:hanging="45"/>
              <w:jc w:val="left"/>
              <w:rPr>
                <w:rFonts w:eastAsia="Calibri" w:cs="Times New Roman"/>
                <w:color w:val="000000"/>
                <w:sz w:val="22"/>
                <w:szCs w:val="22"/>
                <w:lang w:val="en-US" w:eastAsia="en-US"/>
              </w:rPr>
            </w:pPr>
            <w:proofErr w:type="spellStart"/>
            <w:r w:rsidRPr="00FA7205">
              <w:rPr>
                <w:rFonts w:eastAsia="Calibri" w:cs="Times New Roman"/>
                <w:color w:val="000000"/>
                <w:sz w:val="22"/>
                <w:szCs w:val="22"/>
                <w:lang w:val="en-US" w:eastAsia="en-US"/>
              </w:rPr>
              <w:t>Maciej</w:t>
            </w:r>
            <w:proofErr w:type="spellEnd"/>
            <w:r w:rsidRPr="00FA7205">
              <w:rPr>
                <w:rFonts w:eastAsia="Calibri" w:cs="Times New Roman"/>
                <w:color w:val="000000"/>
                <w:sz w:val="22"/>
                <w:szCs w:val="22"/>
                <w:lang w:val="en-US" w:eastAsia="en-US"/>
              </w:rPr>
              <w:t xml:space="preserve"> </w:t>
            </w:r>
            <w:proofErr w:type="spellStart"/>
            <w:r w:rsidRPr="00FA7205">
              <w:rPr>
                <w:rFonts w:eastAsia="Calibri" w:cs="Times New Roman"/>
                <w:color w:val="000000"/>
                <w:sz w:val="22"/>
                <w:szCs w:val="22"/>
                <w:lang w:val="en-US" w:eastAsia="en-US"/>
              </w:rPr>
              <w:t>Telec</w:t>
            </w:r>
            <w:proofErr w:type="spellEnd"/>
            <w:r w:rsidRPr="00FA7205">
              <w:rPr>
                <w:rFonts w:eastAsia="Calibri" w:cs="Times New Roman"/>
                <w:color w:val="000000"/>
                <w:sz w:val="22"/>
                <w:szCs w:val="22"/>
                <w:lang w:val="en-US" w:eastAsia="en-US"/>
              </w:rPr>
              <w:t>, legislator, tel. 22 694 9302</w:t>
            </w:r>
          </w:p>
          <w:p w:rsidR="00FA7205" w:rsidRPr="00FA7205" w:rsidRDefault="00FA7205" w:rsidP="00FA7205">
            <w:pPr>
              <w:widowControl/>
              <w:autoSpaceDE/>
              <w:autoSpaceDN/>
              <w:adjustRightInd/>
              <w:spacing w:line="240" w:lineRule="auto"/>
              <w:ind w:hanging="45"/>
              <w:jc w:val="left"/>
              <w:rPr>
                <w:rFonts w:eastAsia="Calibri" w:cs="Times New Roman"/>
                <w:color w:val="000000"/>
                <w:sz w:val="22"/>
                <w:szCs w:val="22"/>
                <w:lang w:val="en-US" w:eastAsia="en-US"/>
              </w:rPr>
            </w:pPr>
            <w:r w:rsidRPr="00FA7205">
              <w:rPr>
                <w:rFonts w:eastAsia="Calibri" w:cs="Times New Roman"/>
                <w:color w:val="000000"/>
                <w:sz w:val="22"/>
                <w:szCs w:val="22"/>
                <w:lang w:val="en-US" w:eastAsia="en-US"/>
              </w:rPr>
              <w:t xml:space="preserve">Marian </w:t>
            </w:r>
            <w:proofErr w:type="spellStart"/>
            <w:r w:rsidRPr="00FA7205">
              <w:rPr>
                <w:rFonts w:eastAsia="Calibri" w:cs="Times New Roman"/>
                <w:color w:val="000000"/>
                <w:sz w:val="22"/>
                <w:szCs w:val="22"/>
                <w:lang w:val="en-US" w:eastAsia="en-US"/>
              </w:rPr>
              <w:t>Fałek</w:t>
            </w:r>
            <w:proofErr w:type="spellEnd"/>
            <w:r w:rsidRPr="00FA7205">
              <w:rPr>
                <w:rFonts w:eastAsia="Calibri" w:cs="Times New Roman"/>
                <w:color w:val="000000"/>
                <w:sz w:val="22"/>
                <w:szCs w:val="22"/>
                <w:lang w:val="en-US" w:eastAsia="en-US"/>
              </w:rPr>
              <w:t xml:space="preserve">, </w:t>
            </w:r>
            <w:proofErr w:type="spellStart"/>
            <w:r w:rsidRPr="00FA7205">
              <w:rPr>
                <w:rFonts w:eastAsia="Calibri" w:cs="Times New Roman"/>
                <w:color w:val="000000"/>
                <w:sz w:val="22"/>
                <w:szCs w:val="22"/>
                <w:lang w:val="en-US" w:eastAsia="en-US"/>
              </w:rPr>
              <w:t>ekspert</w:t>
            </w:r>
            <w:proofErr w:type="spellEnd"/>
            <w:r w:rsidRPr="00FA7205">
              <w:rPr>
                <w:rFonts w:eastAsia="Calibri" w:cs="Times New Roman"/>
                <w:color w:val="000000"/>
                <w:sz w:val="22"/>
                <w:szCs w:val="22"/>
                <w:lang w:val="en-US" w:eastAsia="en-US"/>
              </w:rPr>
              <w:t xml:space="preserve"> ds. OSR, tel. 22 694 9097</w:t>
            </w:r>
          </w:p>
        </w:tc>
        <w:tc>
          <w:tcPr>
            <w:tcW w:w="4306" w:type="dxa"/>
            <w:gridSpan w:val="12"/>
            <w:shd w:val="clear" w:color="auto" w:fill="FFFFFF"/>
          </w:tcPr>
          <w:p w:rsidR="00FA7205" w:rsidRPr="00FA7205" w:rsidRDefault="00FA7205" w:rsidP="00FA7205">
            <w:pPr>
              <w:widowControl/>
              <w:autoSpaceDE/>
              <w:autoSpaceDN/>
              <w:adjustRightInd/>
              <w:spacing w:before="120" w:line="240" w:lineRule="auto"/>
              <w:jc w:val="left"/>
              <w:rPr>
                <w:rFonts w:eastAsia="Calibri" w:cs="Times New Roman"/>
                <w:b/>
                <w:sz w:val="22"/>
                <w:szCs w:val="22"/>
                <w:lang w:eastAsia="en-US"/>
              </w:rPr>
            </w:pPr>
            <w:r w:rsidRPr="00FA7205">
              <w:rPr>
                <w:rFonts w:eastAsia="Calibri" w:cs="Times New Roman"/>
                <w:b/>
                <w:sz w:val="22"/>
                <w:szCs w:val="22"/>
                <w:lang w:eastAsia="en-US"/>
              </w:rPr>
              <w:t xml:space="preserve">Data sporządzenia: </w:t>
            </w:r>
            <w:r w:rsidRPr="00FA7205">
              <w:rPr>
                <w:rFonts w:eastAsia="Calibri" w:cs="Times New Roman"/>
                <w:sz w:val="22"/>
                <w:szCs w:val="22"/>
                <w:lang w:eastAsia="en-US"/>
              </w:rPr>
              <w:t>19 marca 2018 r.</w:t>
            </w:r>
            <w:r w:rsidRPr="00FA7205">
              <w:rPr>
                <w:rFonts w:eastAsia="Calibri" w:cs="Times New Roman"/>
                <w:b/>
                <w:sz w:val="22"/>
                <w:szCs w:val="22"/>
                <w:lang w:eastAsia="en-US"/>
              </w:rPr>
              <w:t xml:space="preserve"> </w:t>
            </w:r>
          </w:p>
          <w:p w:rsidR="00FA7205" w:rsidRPr="00FA7205" w:rsidRDefault="00FA7205" w:rsidP="00FA7205">
            <w:pPr>
              <w:widowControl/>
              <w:autoSpaceDE/>
              <w:autoSpaceDN/>
              <w:adjustRightInd/>
              <w:spacing w:line="240" w:lineRule="auto"/>
              <w:jc w:val="left"/>
              <w:rPr>
                <w:rFonts w:eastAsia="Calibri" w:cs="Times New Roman"/>
                <w:b/>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b/>
                <w:sz w:val="22"/>
                <w:szCs w:val="22"/>
                <w:lang w:eastAsia="en-US"/>
              </w:rPr>
            </w:pPr>
            <w:r w:rsidRPr="00FA7205">
              <w:rPr>
                <w:rFonts w:eastAsia="Calibri" w:cs="Times New Roman"/>
                <w:b/>
                <w:sz w:val="22"/>
                <w:szCs w:val="22"/>
                <w:lang w:eastAsia="en-US"/>
              </w:rPr>
              <w:t xml:space="preserve">Źródło:  </w:t>
            </w:r>
          </w:p>
          <w:p w:rsidR="00FA7205" w:rsidRPr="00FA7205" w:rsidRDefault="00FA7205" w:rsidP="00FA7205">
            <w:pPr>
              <w:widowControl/>
              <w:autoSpaceDE/>
              <w:autoSpaceDN/>
              <w:adjustRightInd/>
              <w:spacing w:line="240" w:lineRule="auto"/>
              <w:jc w:val="left"/>
              <w:rPr>
                <w:rFonts w:eastAsia="Calibri" w:cs="Times New Roman"/>
                <w:sz w:val="22"/>
                <w:szCs w:val="22"/>
                <w:lang w:eastAsia="en-US"/>
              </w:rPr>
            </w:pPr>
            <w:r w:rsidRPr="00FA7205">
              <w:rPr>
                <w:rFonts w:eastAsia="Calibri" w:cs="Times New Roman"/>
                <w:sz w:val="22"/>
                <w:szCs w:val="22"/>
                <w:lang w:eastAsia="en-US"/>
              </w:rPr>
              <w:t xml:space="preserve">wystąpienie Rzecznika Praw Obywatelskich </w:t>
            </w:r>
          </w:p>
          <w:p w:rsidR="00FA7205" w:rsidRPr="00FA7205" w:rsidRDefault="00FA7205" w:rsidP="00FA7205">
            <w:pPr>
              <w:widowControl/>
              <w:autoSpaceDE/>
              <w:autoSpaceDN/>
              <w:adjustRightInd/>
              <w:spacing w:line="240" w:lineRule="auto"/>
              <w:jc w:val="left"/>
              <w:rPr>
                <w:rFonts w:eastAsia="Calibri" w:cs="Times New Roman"/>
                <w:b/>
                <w:color w:val="000000"/>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b/>
                <w:color w:val="000000"/>
                <w:sz w:val="22"/>
                <w:szCs w:val="22"/>
                <w:lang w:eastAsia="en-US"/>
              </w:rPr>
              <w:t>Nr druku: 623, 623S</w:t>
            </w:r>
          </w:p>
          <w:p w:rsidR="00FA7205" w:rsidRPr="00FA7205" w:rsidRDefault="00FA7205" w:rsidP="00FA7205">
            <w:pPr>
              <w:widowControl/>
              <w:autoSpaceDE/>
              <w:autoSpaceDN/>
              <w:adjustRightInd/>
              <w:spacing w:line="240" w:lineRule="auto"/>
              <w:jc w:val="left"/>
              <w:rPr>
                <w:rFonts w:eastAsia="Calibri" w:cs="Times New Roman"/>
                <w:color w:val="000000"/>
                <w:sz w:val="28"/>
                <w:szCs w:val="28"/>
                <w:lang w:eastAsia="en-US"/>
              </w:rPr>
            </w:pPr>
          </w:p>
        </w:tc>
      </w:tr>
      <w:tr w:rsidR="00FA7205" w:rsidRPr="00FA7205" w:rsidTr="00504B63">
        <w:trPr>
          <w:gridAfter w:val="1"/>
          <w:wAfter w:w="10" w:type="dxa"/>
          <w:trHeight w:val="142"/>
        </w:trPr>
        <w:tc>
          <w:tcPr>
            <w:tcW w:w="10937" w:type="dxa"/>
            <w:gridSpan w:val="29"/>
            <w:shd w:val="clear" w:color="auto" w:fill="99CCFF"/>
          </w:tcPr>
          <w:p w:rsidR="00FA7205" w:rsidRPr="00FA7205" w:rsidRDefault="00FA7205" w:rsidP="00FA7205">
            <w:pPr>
              <w:widowControl/>
              <w:autoSpaceDE/>
              <w:autoSpaceDN/>
              <w:adjustRightInd/>
              <w:spacing w:line="240" w:lineRule="auto"/>
              <w:ind w:left="57"/>
              <w:jc w:val="center"/>
              <w:rPr>
                <w:rFonts w:eastAsia="Calibri" w:cs="Times New Roman"/>
                <w:b/>
                <w:color w:val="FFFFFF"/>
                <w:sz w:val="32"/>
                <w:szCs w:val="32"/>
                <w:lang w:eastAsia="en-US"/>
              </w:rPr>
            </w:pPr>
            <w:r w:rsidRPr="00FA7205">
              <w:rPr>
                <w:rFonts w:eastAsia="Calibri" w:cs="Times New Roman"/>
                <w:b/>
                <w:color w:val="FFFFFF"/>
                <w:sz w:val="32"/>
                <w:szCs w:val="32"/>
                <w:lang w:eastAsia="en-US"/>
              </w:rPr>
              <w:t>OCENA SKUTKÓW REGULACJI</w:t>
            </w:r>
          </w:p>
        </w:tc>
      </w:tr>
      <w:tr w:rsidR="00FA7205" w:rsidRPr="00FA7205" w:rsidTr="00504B63">
        <w:trPr>
          <w:gridAfter w:val="1"/>
          <w:wAfter w:w="10" w:type="dxa"/>
          <w:trHeight w:val="333"/>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sz w:val="22"/>
                <w:szCs w:val="22"/>
                <w:lang w:eastAsia="en-US"/>
              </w:rPr>
              <w:t>Jaki problem jest rozwiązywany?</w:t>
            </w:r>
            <w:bookmarkStart w:id="3" w:name="Wybór1"/>
            <w:bookmarkEnd w:id="3"/>
          </w:p>
        </w:tc>
      </w:tr>
      <w:tr w:rsidR="00FA7205" w:rsidRPr="00FA7205" w:rsidTr="00504B63">
        <w:trPr>
          <w:gridAfter w:val="1"/>
          <w:wAfter w:w="10" w:type="dxa"/>
          <w:trHeight w:val="142"/>
        </w:trPr>
        <w:tc>
          <w:tcPr>
            <w:tcW w:w="10937" w:type="dxa"/>
            <w:gridSpan w:val="29"/>
            <w:shd w:val="clear" w:color="auto" w:fill="FFFFFF"/>
          </w:tcPr>
          <w:p w:rsidR="00FA7205" w:rsidRPr="00FA7205" w:rsidRDefault="00FA7205" w:rsidP="00FA7205">
            <w:pPr>
              <w:widowControl/>
              <w:autoSpaceDE/>
              <w:autoSpaceDN/>
              <w:adjustRightInd/>
              <w:spacing w:line="240" w:lineRule="auto"/>
              <w:rPr>
                <w:rFonts w:eastAsia="Calibri" w:cs="Times New Roman"/>
                <w:color w:val="000000"/>
                <w:sz w:val="22"/>
                <w:szCs w:val="22"/>
                <w:lang w:eastAsia="en-US"/>
              </w:rPr>
            </w:pPr>
            <w:r w:rsidRPr="00FA7205">
              <w:rPr>
                <w:rFonts w:eastAsia="Calibri" w:cs="Times New Roman"/>
                <w:color w:val="000000"/>
                <w:sz w:val="22"/>
                <w:szCs w:val="22"/>
                <w:lang w:eastAsia="en-US"/>
              </w:rPr>
              <w:t xml:space="preserve">W związku z dostrzeżonym problemem polegającym na nieuprawnionym posługiwaniu się kartami parkingowymi przeznaczonymi dla osób niepełnosprawnych przez kierujących pojazdami została znowelizowana </w:t>
            </w:r>
            <w:r w:rsidRPr="00FA7205">
              <w:rPr>
                <w:rFonts w:eastAsia="Calibri" w:cs="Times New Roman"/>
                <w:i/>
                <w:color w:val="000000"/>
                <w:sz w:val="22"/>
                <w:szCs w:val="22"/>
                <w:lang w:eastAsia="en-US"/>
              </w:rPr>
              <w:t>ustawa z dnia 23 października 2013 r. o zmianie ustawy – Prawo o ruchu drogowym oraz niektórych innych ustaw</w:t>
            </w:r>
            <w:r w:rsidRPr="00FA7205">
              <w:rPr>
                <w:rFonts w:eastAsia="Calibri" w:cs="Times New Roman"/>
                <w:color w:val="000000"/>
                <w:sz w:val="22"/>
                <w:szCs w:val="22"/>
                <w:lang w:eastAsia="en-US"/>
              </w:rPr>
              <w:t xml:space="preserve"> (Dz. U. z 2013 r. poz. 1446). Z dniem 1 lipca 2014 r. zaostrzone zostały kryteria przyznawania kart parkingowych. Przed nowelizacją ustawy kartę parkingową mogła otrzymać osoba niepełnosprawna bez względu na stopień niepełnosprawności, po nowelizacji tylko osoby zaliczone do znacznego albo umiarkowanego stopnia niepełnosprawności. Na skutek wprowadzonej zmiany zasad wydawania kart parkingowych niektórzy kombatanci przestali spełniać wymogi formalne uprawniające ich do uzyskania karty parkingowej.    </w:t>
            </w:r>
          </w:p>
        </w:tc>
      </w:tr>
      <w:tr w:rsidR="00FA7205" w:rsidRPr="00FA7205" w:rsidTr="00504B63">
        <w:trPr>
          <w:gridAfter w:val="1"/>
          <w:wAfter w:w="10" w:type="dxa"/>
          <w:trHeight w:val="142"/>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color w:val="000000"/>
                <w:spacing w:val="-2"/>
                <w:sz w:val="22"/>
                <w:szCs w:val="22"/>
                <w:lang w:eastAsia="en-US"/>
              </w:rPr>
              <w:t>Rekomendowane rozwiązanie, w tym planowane narzędzia interwencji, i oczekiwany efekt.</w:t>
            </w:r>
          </w:p>
        </w:tc>
      </w:tr>
      <w:tr w:rsidR="00FA7205" w:rsidRPr="00FA7205" w:rsidTr="00504B63">
        <w:trPr>
          <w:gridAfter w:val="1"/>
          <w:wAfter w:w="10" w:type="dxa"/>
          <w:trHeight w:val="142"/>
        </w:trPr>
        <w:tc>
          <w:tcPr>
            <w:tcW w:w="10937" w:type="dxa"/>
            <w:gridSpan w:val="29"/>
            <w:shd w:val="clear" w:color="auto" w:fill="auto"/>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Rekomendowane rozwiązanie w postaci projektu </w:t>
            </w:r>
            <w:r w:rsidRPr="00FA7205">
              <w:rPr>
                <w:rFonts w:eastAsia="Calibri" w:cs="Times New Roman"/>
                <w:i/>
                <w:color w:val="000000"/>
                <w:spacing w:val="-2"/>
                <w:sz w:val="22"/>
                <w:szCs w:val="22"/>
                <w:lang w:eastAsia="en-US"/>
              </w:rPr>
              <w:t>ustawy o zmianie ustawy o kombatantach oraz niektórych osobach będących ofiarami represji wojennych i okresu powojennego oraz ustawy – Prawo o ruchu drogowym</w:t>
            </w:r>
            <w:r w:rsidRPr="00FA7205">
              <w:rPr>
                <w:rFonts w:eastAsia="Calibri" w:cs="Times New Roman"/>
                <w:color w:val="000000"/>
                <w:spacing w:val="-2"/>
                <w:sz w:val="22"/>
                <w:szCs w:val="22"/>
                <w:lang w:eastAsia="en-US"/>
              </w:rPr>
              <w:t xml:space="preserve"> wprowadza  następujące przepisy:</w:t>
            </w: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p>
          <w:p w:rsidR="00FA7205" w:rsidRPr="00FA7205" w:rsidRDefault="00FA7205" w:rsidP="00220C92">
            <w:pPr>
              <w:widowControl/>
              <w:numPr>
                <w:ilvl w:val="0"/>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Członek Korpusu Weteranów Walk o Niepodległość Rzeczypospolitej Polskiej legitymujący się kartą kombatanta, kierujący pojazdem samochodowym oznaczonym tą kartą, będzie mógł nie stosować się do niektórych znaków drogowych dotyczących zakazu ruchu lub postoju, na zasadach określonych dla osoby niepełnosprawnej legitymującej się kartą parkingową kierującej pojazdem samochodowym oznaczonym tą kartą,</w:t>
            </w:r>
          </w:p>
          <w:p w:rsidR="00FA7205" w:rsidRPr="00FA7205" w:rsidRDefault="00FA7205" w:rsidP="00220C92">
            <w:pPr>
              <w:widowControl/>
              <w:numPr>
                <w:ilvl w:val="0"/>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kartę kombatanta na pisemny wniosek Członka Korpusu Weteranów Walk o Niepodległość Rzeczypospolitej Polskiej będzie wydawał Szef Urzędu do Spraw Kombatantów i Osób Represjonowanych,</w:t>
            </w:r>
          </w:p>
          <w:p w:rsidR="00FA7205" w:rsidRPr="00FA7205" w:rsidRDefault="00FA7205" w:rsidP="00220C92">
            <w:pPr>
              <w:widowControl/>
              <w:numPr>
                <w:ilvl w:val="0"/>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karta kombatanta będzie wydawana bezterminowo i za jej wydanie nie będzie pobierana opłata. Dokument utraci ważność w następujących przypadkach: </w:t>
            </w: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zgłoszenia jej utraty przez osobę, której wydano,</w:t>
            </w: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zwrotu karty organowi, który ją wydał, </w:t>
            </w: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w razie śmierci osoby, której wydano kartę,</w:t>
            </w:r>
          </w:p>
          <w:p w:rsidR="00FA7205" w:rsidRPr="00FA7205" w:rsidRDefault="00FA7205" w:rsidP="00220C92">
            <w:pPr>
              <w:widowControl/>
              <w:numPr>
                <w:ilvl w:val="0"/>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Szef Urzędu do Spraw Kombatantów i Osób Represjonowanych będzie uprawniony do wyboru producenta blankietów kart kombatanta, </w:t>
            </w:r>
          </w:p>
          <w:p w:rsidR="00FA7205" w:rsidRPr="00FA7205" w:rsidRDefault="00FA7205" w:rsidP="00220C92">
            <w:pPr>
              <w:widowControl/>
              <w:numPr>
                <w:ilvl w:val="0"/>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w drodze rozporządzenia, minister właściwy do spraw zabezpieczenia społecznego w porozumieniu z ministrem właściwym do spraw transportu, określi:</w:t>
            </w:r>
          </w:p>
          <w:p w:rsidR="00FA7205" w:rsidRPr="00FA7205" w:rsidRDefault="00FA7205" w:rsidP="00220C92">
            <w:pPr>
              <w:widowControl/>
              <w:autoSpaceDE/>
              <w:autoSpaceDN/>
              <w:adjustRightInd/>
              <w:spacing w:line="240" w:lineRule="auto"/>
              <w:ind w:left="720"/>
              <w:contextualSpacing/>
              <w:rPr>
                <w:rFonts w:eastAsia="Calibri" w:cs="Times New Roman"/>
                <w:color w:val="000000"/>
                <w:spacing w:val="-2"/>
                <w:sz w:val="22"/>
                <w:szCs w:val="22"/>
                <w:lang w:eastAsia="en-US"/>
              </w:rPr>
            </w:pP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wzór oraz tryb wydawania kart kombatanta, </w:t>
            </w: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zasady nadawania numerów wydawanym kartom kombatanta, </w:t>
            </w: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tryb postępowania w sprawie zwrotu karty kombatanta,</w:t>
            </w:r>
          </w:p>
          <w:p w:rsidR="00FA7205" w:rsidRPr="00FA7205" w:rsidRDefault="00FA7205" w:rsidP="00220C92">
            <w:pPr>
              <w:widowControl/>
              <w:numPr>
                <w:ilvl w:val="1"/>
                <w:numId w:val="8"/>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wzór wniosku o wydanie karty kombatanta.           </w:t>
            </w:r>
          </w:p>
          <w:p w:rsidR="00FA7205" w:rsidRPr="00FA7205" w:rsidRDefault="00FA7205" w:rsidP="00220C92">
            <w:pPr>
              <w:widowControl/>
              <w:autoSpaceDE/>
              <w:autoSpaceDN/>
              <w:adjustRightInd/>
              <w:spacing w:line="240" w:lineRule="auto"/>
              <w:rPr>
                <w:rFonts w:eastAsia="Calibri" w:cs="Times New Roman"/>
                <w:color w:val="000000"/>
                <w:spacing w:val="-2"/>
                <w:sz w:val="22"/>
                <w:szCs w:val="22"/>
                <w:lang w:eastAsia="en-US"/>
              </w:rPr>
            </w:pPr>
          </w:p>
          <w:p w:rsidR="00FA7205" w:rsidRPr="00FA7205" w:rsidRDefault="00FA7205" w:rsidP="00220C92">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Efektem przedmiotowej regulacji będzie uzyskanie przez osoby legitymujące się kartą kombatanta analogicznych uprawnień do przysługujących osobom niepełnosprawnym posiadającym kartę parkingową.  </w:t>
            </w:r>
          </w:p>
        </w:tc>
      </w:tr>
      <w:tr w:rsidR="00FA7205" w:rsidRPr="00FA7205" w:rsidTr="00504B63">
        <w:trPr>
          <w:gridAfter w:val="1"/>
          <w:wAfter w:w="10" w:type="dxa"/>
          <w:trHeight w:val="307"/>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spacing w:val="-2"/>
                <w:sz w:val="22"/>
                <w:szCs w:val="22"/>
                <w:lang w:eastAsia="en-US"/>
              </w:rPr>
              <w:t>Jak problem został rozwiązany w innych krajach, w szczególności krajach członkowskich OECD/UE</w:t>
            </w:r>
            <w:r w:rsidRPr="00FA7205">
              <w:rPr>
                <w:rFonts w:eastAsia="Calibri" w:cs="Times New Roman"/>
                <w:b/>
                <w:color w:val="000000"/>
                <w:sz w:val="22"/>
                <w:szCs w:val="22"/>
                <w:lang w:eastAsia="en-US"/>
              </w:rPr>
              <w:t>?</w:t>
            </w:r>
            <w:r w:rsidRPr="00FA7205">
              <w:rPr>
                <w:rFonts w:eastAsia="Calibri" w:cs="Times New Roman"/>
                <w:i/>
                <w:color w:val="000000"/>
                <w:sz w:val="22"/>
                <w:szCs w:val="22"/>
                <w:lang w:eastAsia="en-US"/>
              </w:rPr>
              <w:t xml:space="preserve"> </w:t>
            </w:r>
          </w:p>
        </w:tc>
      </w:tr>
      <w:tr w:rsidR="00FA7205" w:rsidRPr="00FA7205" w:rsidTr="00504B63">
        <w:trPr>
          <w:gridAfter w:val="1"/>
          <w:wAfter w:w="10" w:type="dxa"/>
          <w:trHeight w:val="142"/>
        </w:trPr>
        <w:tc>
          <w:tcPr>
            <w:tcW w:w="10937" w:type="dxa"/>
            <w:gridSpan w:val="29"/>
            <w:shd w:val="clear" w:color="auto" w:fill="auto"/>
          </w:tcPr>
          <w:p w:rsidR="00FA7205" w:rsidRPr="00FA7205" w:rsidRDefault="00FA7205" w:rsidP="00FA7205">
            <w:pPr>
              <w:widowControl/>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W Unii Europejskiej zostały dostrzeżone problemy osób niepełnosprawnych, które doświadczają trudności w poruszaniu się. Rada Unii Europejskiej, aby pomóc tej grupie osób wydała w dniu 4 czerwca 1998 r. zalecenia w sprawie kart parkingowych dla osób niepełnosprawnych </w:t>
            </w:r>
            <w:r w:rsidRPr="00FA7205">
              <w:rPr>
                <w:rFonts w:eastAsia="MyriadPro-Regular" w:cs="Times New Roman"/>
                <w:sz w:val="22"/>
                <w:szCs w:val="22"/>
              </w:rPr>
              <w:t>(Dz. U. L 63 z 7.3.2008, s. 43)</w:t>
            </w:r>
            <w:r w:rsidRPr="00FA7205">
              <w:rPr>
                <w:rFonts w:eastAsia="Calibri" w:cs="Times New Roman"/>
                <w:color w:val="000000"/>
                <w:spacing w:val="-2"/>
                <w:sz w:val="22"/>
                <w:szCs w:val="22"/>
                <w:lang w:eastAsia="en-US"/>
              </w:rPr>
              <w:t>. W przepisach tych rekomendowano, aby kraje członkowskie z dniem 1 stycznia 2000 roku wprowadziły wspólnotowy model. Istota tego rozwiązania polega na wprowadzeniu dokumentu w postaci karty parkingowej. Osoba niepełnosprawna posiadająca ją uprawniona jest do korzystania ze specjalnych miejsc parkingowych dostępnych na terenie wszystkich krajów członkowskich. UE wprowadzając ten model, zakładała, że rozwiązanie to przyczyni się do zmniejszenia problemu ograniczonej mobilności osób niepełnosprawnych. Państwom członkowskim UE pozostawiono uprawnienie do kształtowania kręgu osób uprawnionych do uzyskania tego dokumentu.</w:t>
            </w:r>
          </w:p>
          <w:p w:rsidR="00FA7205" w:rsidRPr="00FA7205" w:rsidRDefault="00FA7205" w:rsidP="00FA7205">
            <w:pPr>
              <w:widowControl/>
              <w:spacing w:line="240" w:lineRule="auto"/>
              <w:rPr>
                <w:rFonts w:eastAsia="Calibri" w:cs="Times New Roman"/>
                <w:spacing w:val="-2"/>
                <w:sz w:val="22"/>
                <w:szCs w:val="22"/>
                <w:lang w:eastAsia="en-US"/>
              </w:rPr>
            </w:pPr>
            <w:r w:rsidRPr="00FA7205">
              <w:rPr>
                <w:rFonts w:eastAsia="Calibri" w:cs="Times New Roman"/>
                <w:spacing w:val="-2"/>
                <w:sz w:val="22"/>
                <w:szCs w:val="22"/>
                <w:lang w:eastAsia="en-US"/>
              </w:rPr>
              <w:t>Z analizy publikacji Ministerstwa Transportu Wielkiej Brytanii  (</w:t>
            </w:r>
            <w:hyperlink r:id="rId11" w:history="1">
              <w:r w:rsidRPr="00FA7205">
                <w:rPr>
                  <w:rFonts w:eastAsia="Calibri" w:cs="Times New Roman"/>
                  <w:spacing w:val="-2"/>
                  <w:sz w:val="22"/>
                  <w:szCs w:val="22"/>
                  <w:u w:val="single"/>
                  <w:lang w:eastAsia="en-US"/>
                </w:rPr>
                <w:t>www.gov.uk/government/organisations/department-for-transport</w:t>
              </w:r>
            </w:hyperlink>
            <w:r w:rsidRPr="00FA7205">
              <w:rPr>
                <w:rFonts w:eastAsia="Calibri" w:cs="Times New Roman"/>
                <w:spacing w:val="-2"/>
                <w:sz w:val="22"/>
                <w:szCs w:val="22"/>
                <w:lang w:eastAsia="en-US"/>
              </w:rPr>
              <w:t xml:space="preserve">) wynika, że już w 1971 roku Wielka Brytania wprowadziła specjalne rozwiązania uprawniające osoby niepełnosprawne do uzyskania karty parkingowej. Obecnie do kręgu osób uprawnionych do otrzymania karty parkingowej zaliczani są także weterani otrzymujący specjalny dodatek z powodu ograniczonej  możliwości poruszania się, a także osoby, którym na podstawie przepisów dla sił zbrojnych wypłacane jest odszkodowanie. Zgodnie z obowiązującymi przepisami osoba taka musi posiadać orzeczenie stwierdzające trwałą i znaczną niepełnosprawność powodującą niezdolność lub istotne trudności w chodzeniu. Maksymalna opłata za wydanie karty parkingowej wynosi £10 (1 GBP, kurs średni: 5,0042 zł, na dzień 11.05.2017 r., dane z portalu: bankier.pl). </w:t>
            </w:r>
          </w:p>
        </w:tc>
      </w:tr>
      <w:tr w:rsidR="00FA7205" w:rsidRPr="00FA7205" w:rsidTr="00504B63">
        <w:trPr>
          <w:gridAfter w:val="1"/>
          <w:wAfter w:w="10" w:type="dxa"/>
          <w:trHeight w:val="359"/>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color w:val="000000"/>
                <w:sz w:val="22"/>
                <w:szCs w:val="22"/>
                <w:lang w:eastAsia="en-US"/>
              </w:rPr>
              <w:t>Podmioty, na które oddziałuje projekt.</w:t>
            </w:r>
          </w:p>
        </w:tc>
      </w:tr>
      <w:tr w:rsidR="00FA7205" w:rsidRPr="00FA7205" w:rsidTr="00504B63">
        <w:trPr>
          <w:gridAfter w:val="1"/>
          <w:wAfter w:w="10" w:type="dxa"/>
          <w:trHeight w:val="142"/>
        </w:trPr>
        <w:tc>
          <w:tcPr>
            <w:tcW w:w="3119" w:type="dxa"/>
            <w:gridSpan w:val="3"/>
            <w:shd w:val="clear" w:color="auto" w:fill="auto"/>
          </w:tcPr>
          <w:p w:rsidR="00FA7205" w:rsidRPr="00FA7205" w:rsidRDefault="00FA7205" w:rsidP="00FA7205">
            <w:pPr>
              <w:widowControl/>
              <w:autoSpaceDE/>
              <w:autoSpaceDN/>
              <w:adjustRightInd/>
              <w:spacing w:before="40"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Grupa</w:t>
            </w:r>
          </w:p>
        </w:tc>
        <w:tc>
          <w:tcPr>
            <w:tcW w:w="1560" w:type="dxa"/>
            <w:gridSpan w:val="6"/>
            <w:shd w:val="clear" w:color="auto" w:fill="auto"/>
          </w:tcPr>
          <w:p w:rsidR="00FA7205" w:rsidRPr="00FA7205" w:rsidRDefault="00FA7205" w:rsidP="00FA7205">
            <w:pPr>
              <w:widowControl/>
              <w:autoSpaceDE/>
              <w:autoSpaceDN/>
              <w:adjustRightInd/>
              <w:spacing w:before="40"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Wielkość</w:t>
            </w:r>
          </w:p>
        </w:tc>
        <w:tc>
          <w:tcPr>
            <w:tcW w:w="2976" w:type="dxa"/>
            <w:gridSpan w:val="13"/>
            <w:shd w:val="clear" w:color="auto" w:fill="auto"/>
          </w:tcPr>
          <w:p w:rsidR="00FA7205" w:rsidRPr="00FA7205" w:rsidRDefault="00FA7205" w:rsidP="00FA7205">
            <w:pPr>
              <w:widowControl/>
              <w:autoSpaceDE/>
              <w:autoSpaceDN/>
              <w:adjustRightInd/>
              <w:spacing w:before="40"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Źródło danych</w:t>
            </w:r>
            <w:r w:rsidRPr="00FA7205" w:rsidDel="00260F33">
              <w:rPr>
                <w:rFonts w:eastAsia="Calibri" w:cs="Times New Roman"/>
                <w:color w:val="000000"/>
                <w:spacing w:val="-2"/>
                <w:sz w:val="22"/>
                <w:szCs w:val="22"/>
                <w:lang w:eastAsia="en-US"/>
              </w:rPr>
              <w:t xml:space="preserve"> </w:t>
            </w:r>
          </w:p>
        </w:tc>
        <w:tc>
          <w:tcPr>
            <w:tcW w:w="3282" w:type="dxa"/>
            <w:gridSpan w:val="7"/>
            <w:shd w:val="clear" w:color="auto" w:fill="auto"/>
          </w:tcPr>
          <w:p w:rsidR="00FA7205" w:rsidRPr="00FA7205" w:rsidRDefault="00FA7205" w:rsidP="00FA7205">
            <w:pPr>
              <w:widowControl/>
              <w:autoSpaceDE/>
              <w:autoSpaceDN/>
              <w:adjustRightInd/>
              <w:spacing w:before="40"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Oddziaływanie</w:t>
            </w:r>
          </w:p>
        </w:tc>
      </w:tr>
      <w:tr w:rsidR="00FA7205" w:rsidRPr="00FA7205" w:rsidTr="00504B63">
        <w:trPr>
          <w:gridAfter w:val="1"/>
          <w:wAfter w:w="10" w:type="dxa"/>
          <w:trHeight w:val="142"/>
        </w:trPr>
        <w:tc>
          <w:tcPr>
            <w:tcW w:w="3119" w:type="dxa"/>
            <w:gridSpan w:val="3"/>
            <w:shd w:val="clear" w:color="auto" w:fill="auto"/>
          </w:tcPr>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Członków Korpusu Weteranów Walk o Niepodległość Rzeczypospolitej Polskiej </w:t>
            </w:r>
          </w:p>
        </w:tc>
        <w:tc>
          <w:tcPr>
            <w:tcW w:w="1560" w:type="dxa"/>
            <w:gridSpan w:val="6"/>
            <w:shd w:val="clear" w:color="auto" w:fill="auto"/>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25 tys. osób</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do rachunku skutków przyjęto liczbę wniosków o wydanie karty kombatanta w ilości </w:t>
            </w:r>
            <w:r w:rsidRPr="00FA7205">
              <w:rPr>
                <w:rFonts w:eastAsia="Calibri" w:cs="Times New Roman"/>
                <w:b/>
                <w:spacing w:val="-2"/>
                <w:sz w:val="22"/>
                <w:szCs w:val="22"/>
                <w:lang w:eastAsia="en-US"/>
              </w:rPr>
              <w:t>4.000</w:t>
            </w:r>
            <w:r w:rsidRPr="00FA7205">
              <w:rPr>
                <w:rFonts w:eastAsia="Calibri" w:cs="Times New Roman"/>
                <w:spacing w:val="-2"/>
                <w:sz w:val="22"/>
                <w:szCs w:val="22"/>
                <w:lang w:eastAsia="en-US"/>
              </w:rPr>
              <w:t xml:space="preserve"> </w:t>
            </w:r>
          </w:p>
        </w:tc>
        <w:tc>
          <w:tcPr>
            <w:tcW w:w="2976" w:type="dxa"/>
            <w:gridSpan w:val="13"/>
            <w:shd w:val="clear" w:color="auto" w:fill="auto"/>
          </w:tcPr>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Urząd do Spraw Kombatantów i Osób Represjonowanych </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center"/>
              <w:rPr>
                <w:rFonts w:eastAsia="Calibri" w:cs="Times New Roman"/>
                <w:spacing w:val="-2"/>
                <w:sz w:val="22"/>
                <w:szCs w:val="22"/>
                <w:lang w:eastAsia="en-US"/>
              </w:rPr>
            </w:pPr>
            <w:r w:rsidRPr="00FA7205">
              <w:rPr>
                <w:rFonts w:eastAsia="Calibri" w:cs="Times New Roman"/>
                <w:spacing w:val="-2"/>
                <w:sz w:val="22"/>
                <w:szCs w:val="22"/>
                <w:lang w:eastAsia="en-US"/>
              </w:rPr>
              <w:t xml:space="preserve">szacunki </w:t>
            </w: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Urzędu do Spraw Kombatantów i Osób Represjonowanych </w:t>
            </w: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p>
        </w:tc>
        <w:tc>
          <w:tcPr>
            <w:tcW w:w="3282" w:type="dxa"/>
            <w:gridSpan w:val="7"/>
            <w:shd w:val="clear" w:color="auto" w:fill="auto"/>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uzyskają identyczne uprawnienia do tych jakie wynikają z posiadania karty parkingowej, będzie mógł nie stosować się do niektórych znaków drogowych dotyczących zakazu ruchu lub postoju</w:t>
            </w:r>
          </w:p>
        </w:tc>
      </w:tr>
      <w:tr w:rsidR="00FA7205" w:rsidRPr="00FA7205" w:rsidTr="00504B63">
        <w:trPr>
          <w:gridAfter w:val="1"/>
          <w:wAfter w:w="10" w:type="dxa"/>
          <w:trHeight w:val="142"/>
        </w:trPr>
        <w:tc>
          <w:tcPr>
            <w:tcW w:w="3119" w:type="dxa"/>
            <w:gridSpan w:val="3"/>
            <w:shd w:val="clear" w:color="auto" w:fill="auto"/>
          </w:tcPr>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Szef Urzędu do Spraw Kombatantów i Osób Represjonowanych </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tc>
        <w:tc>
          <w:tcPr>
            <w:tcW w:w="1560" w:type="dxa"/>
            <w:gridSpan w:val="6"/>
            <w:shd w:val="clear" w:color="auto" w:fill="auto"/>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tc>
        <w:tc>
          <w:tcPr>
            <w:tcW w:w="2976" w:type="dxa"/>
            <w:gridSpan w:val="13"/>
            <w:shd w:val="clear" w:color="auto" w:fill="auto"/>
          </w:tcPr>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p>
        </w:tc>
        <w:tc>
          <w:tcPr>
            <w:tcW w:w="3282" w:type="dxa"/>
            <w:gridSpan w:val="7"/>
            <w:shd w:val="clear" w:color="auto" w:fill="auto"/>
          </w:tcPr>
          <w:p w:rsidR="00FA7205" w:rsidRPr="00FA7205" w:rsidRDefault="00FA7205" w:rsidP="00FA7205">
            <w:pPr>
              <w:widowControl/>
              <w:numPr>
                <w:ilvl w:val="0"/>
                <w:numId w:val="6"/>
              </w:numPr>
              <w:autoSpaceDE/>
              <w:autoSpaceDN/>
              <w:adjustRightInd/>
              <w:spacing w:line="240" w:lineRule="auto"/>
              <w:contextualSpacing/>
              <w:jc w:val="left"/>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wybór producenta blankietów kart kombatanta,</w:t>
            </w:r>
          </w:p>
          <w:p w:rsidR="00FA7205" w:rsidRPr="00FA7205" w:rsidRDefault="00FA7205" w:rsidP="00FA7205">
            <w:pPr>
              <w:widowControl/>
              <w:numPr>
                <w:ilvl w:val="0"/>
                <w:numId w:val="6"/>
              </w:numPr>
              <w:autoSpaceDE/>
              <w:autoSpaceDN/>
              <w:adjustRightInd/>
              <w:spacing w:line="240" w:lineRule="auto"/>
              <w:contextualSpacing/>
              <w:jc w:val="left"/>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nałożenie zadania polegającego na realizowaniu wniosków o wydanie karty kombatanta</w:t>
            </w:r>
          </w:p>
        </w:tc>
      </w:tr>
      <w:tr w:rsidR="00FA7205" w:rsidRPr="00FA7205" w:rsidTr="00504B63">
        <w:trPr>
          <w:gridAfter w:val="1"/>
          <w:wAfter w:w="10" w:type="dxa"/>
          <w:trHeight w:val="142"/>
        </w:trPr>
        <w:tc>
          <w:tcPr>
            <w:tcW w:w="3119" w:type="dxa"/>
            <w:gridSpan w:val="3"/>
            <w:shd w:val="clear" w:color="auto" w:fill="auto"/>
          </w:tcPr>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minister właściwy do spraw zabezpieczenia społecznego </w:t>
            </w: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w porozumieniu z </w:t>
            </w: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ministrem właściwym do spraw transportu</w:t>
            </w:r>
          </w:p>
        </w:tc>
        <w:tc>
          <w:tcPr>
            <w:tcW w:w="1560" w:type="dxa"/>
            <w:gridSpan w:val="6"/>
            <w:shd w:val="clear" w:color="auto" w:fill="auto"/>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tc>
        <w:tc>
          <w:tcPr>
            <w:tcW w:w="2976" w:type="dxa"/>
            <w:gridSpan w:val="13"/>
            <w:shd w:val="clear" w:color="auto" w:fill="auto"/>
          </w:tcPr>
          <w:p w:rsidR="00FA7205" w:rsidRPr="00FA7205" w:rsidRDefault="00FA7205" w:rsidP="00FA7205">
            <w:pPr>
              <w:widowControl/>
              <w:autoSpaceDE/>
              <w:autoSpaceDN/>
              <w:adjustRightInd/>
              <w:spacing w:line="240" w:lineRule="auto"/>
              <w:jc w:val="center"/>
              <w:rPr>
                <w:rFonts w:eastAsia="Calibri" w:cs="Times New Roman"/>
                <w:color w:val="000000"/>
                <w:spacing w:val="-2"/>
                <w:sz w:val="22"/>
                <w:szCs w:val="22"/>
                <w:lang w:eastAsia="en-US"/>
              </w:rPr>
            </w:pPr>
          </w:p>
        </w:tc>
        <w:tc>
          <w:tcPr>
            <w:tcW w:w="3282" w:type="dxa"/>
            <w:gridSpan w:val="7"/>
            <w:shd w:val="clear" w:color="auto" w:fill="auto"/>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wydanie rozporządzenia określającego wzór i tryb wydawania karty kombatanta oraz wzór wniosku o wydanie karty kombatanta</w:t>
            </w: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p>
        </w:tc>
      </w:tr>
      <w:tr w:rsidR="00FA7205" w:rsidRPr="00FA7205" w:rsidTr="00504B63">
        <w:trPr>
          <w:gridAfter w:val="1"/>
          <w:wAfter w:w="10" w:type="dxa"/>
          <w:trHeight w:val="302"/>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color w:val="000000"/>
                <w:sz w:val="22"/>
                <w:szCs w:val="22"/>
                <w:lang w:eastAsia="en-US"/>
              </w:rPr>
              <w:t>Informacje na temat zakresu, czasu trwania i podsumowanie wyników konsultacji.</w:t>
            </w:r>
          </w:p>
        </w:tc>
      </w:tr>
      <w:tr w:rsidR="00FA7205" w:rsidRPr="00FA7205" w:rsidTr="00504B63">
        <w:trPr>
          <w:gridAfter w:val="1"/>
          <w:wAfter w:w="10" w:type="dxa"/>
          <w:trHeight w:val="342"/>
        </w:trPr>
        <w:tc>
          <w:tcPr>
            <w:tcW w:w="10937" w:type="dxa"/>
            <w:gridSpan w:val="29"/>
            <w:shd w:val="clear" w:color="auto" w:fill="FFFFFF"/>
          </w:tcPr>
          <w:p w:rsidR="00FA7205" w:rsidRPr="00FA7205" w:rsidRDefault="00FA7205" w:rsidP="00FA7205">
            <w:pPr>
              <w:widowControl/>
              <w:autoSpaceDE/>
              <w:autoSpaceDN/>
              <w:adjustRightInd/>
              <w:spacing w:line="240" w:lineRule="auto"/>
              <w:rPr>
                <w:rFonts w:eastAsia="Calibri" w:cs="Times New Roman"/>
                <w:sz w:val="22"/>
                <w:szCs w:val="22"/>
                <w:lang w:eastAsia="en-US"/>
              </w:rPr>
            </w:pPr>
            <w:r w:rsidRPr="00FA7205">
              <w:rPr>
                <w:rFonts w:eastAsia="Calibri" w:cs="Times New Roman"/>
                <w:sz w:val="22"/>
                <w:szCs w:val="22"/>
                <w:lang w:eastAsia="en-US"/>
              </w:rPr>
              <w:t xml:space="preserve">Projekt </w:t>
            </w:r>
            <w:r w:rsidRPr="00FA7205">
              <w:rPr>
                <w:rFonts w:eastAsia="Calibri" w:cs="Times New Roman"/>
                <w:i/>
                <w:sz w:val="22"/>
                <w:szCs w:val="22"/>
                <w:lang w:eastAsia="en-US"/>
              </w:rPr>
              <w:t xml:space="preserve">ustawy </w:t>
            </w:r>
            <w:r w:rsidRPr="00FA7205">
              <w:rPr>
                <w:rFonts w:eastAsia="Calibri" w:cs="Times New Roman"/>
                <w:bCs/>
                <w:i/>
                <w:sz w:val="22"/>
                <w:szCs w:val="22"/>
                <w:lang w:eastAsia="en-US"/>
              </w:rPr>
              <w:t>o zmianie ustawy o kombatantach oraz niektórych osobach będących ofiarami represji wojennych i okresu powojennego oraz ustawy – Prawo o ruchu drogowym</w:t>
            </w:r>
            <w:r w:rsidRPr="00FA7205">
              <w:rPr>
                <w:rFonts w:eastAsia="Calibri" w:cs="Times New Roman"/>
                <w:b/>
                <w:bCs/>
                <w:sz w:val="22"/>
                <w:szCs w:val="22"/>
                <w:lang w:eastAsia="en-US"/>
              </w:rPr>
              <w:t xml:space="preserve"> </w:t>
            </w:r>
            <w:r w:rsidRPr="00FA7205">
              <w:rPr>
                <w:rFonts w:eastAsia="Calibri" w:cs="Times New Roman"/>
                <w:sz w:val="22"/>
                <w:szCs w:val="22"/>
                <w:lang w:eastAsia="en-US"/>
              </w:rPr>
              <w:t>został przesłany do konsultacji: Ministrowi Rodziny, Pracy i Polityki Społecznej, Ministrowi Infrastruktury, Ministrowi Spraw Wewnętrznych i Administracji, Ministrowi –Szefowi Urzędu do Spraw Kombatantów i Osób Represjonowanych, Pełnomocnikowi Rządu do Spraw Osób Niepełnosprawnych, Komendantowi Głównemu Policji, a tak</w:t>
            </w:r>
            <w:r w:rsidRPr="00FA7205">
              <w:rPr>
                <w:rFonts w:eastAsia="Calibri" w:cs="Times New Roman"/>
                <w:spacing w:val="-2"/>
                <w:sz w:val="22"/>
                <w:szCs w:val="22"/>
                <w:lang w:eastAsia="en-US"/>
              </w:rPr>
              <w:t>że</w:t>
            </w:r>
            <w:r w:rsidRPr="00FA7205">
              <w:rPr>
                <w:rFonts w:eastAsia="Calibri" w:cs="Times New Roman"/>
                <w:sz w:val="22"/>
                <w:szCs w:val="22"/>
                <w:lang w:eastAsia="en-US"/>
              </w:rPr>
              <w:t xml:space="preserve"> do Zakładu Ubezpieczeń Społecznych, Związku Kombatantów Rzeczypospolitej Polskiej i Byłych Więźniów Politycznych, Związku Inwalidów Wojennych Rzeczypospolitej Polskiej, Zarządu Głównego Światowego Związku Żołnierzy Armii Krajowej, Komisji Krajowej NSZZ „Solidarność”, Krajowej Rady Radców Prawnych, Naczelnej Rady Adwokackiej. </w:t>
            </w:r>
            <w:r w:rsidRPr="00FA7205">
              <w:rPr>
                <w:rFonts w:eastAsia="Calibri" w:cs="Times New Roman"/>
                <w:bCs/>
                <w:sz w:val="22"/>
                <w:szCs w:val="22"/>
                <w:lang w:eastAsia="en-US"/>
              </w:rPr>
              <w:t>Konsultacje trwały od 29 stycznia 2018 r. do 28 lutego 2018 r.</w:t>
            </w:r>
          </w:p>
          <w:p w:rsidR="00FA7205" w:rsidRPr="00FA7205" w:rsidRDefault="00FA7205" w:rsidP="00FA7205">
            <w:pPr>
              <w:widowControl/>
              <w:autoSpaceDE/>
              <w:autoSpaceDN/>
              <w:adjustRightInd/>
              <w:spacing w:line="240" w:lineRule="auto"/>
              <w:rPr>
                <w:rFonts w:eastAsia="Calibri" w:cs="Times New Roman"/>
                <w:spacing w:val="-2"/>
                <w:sz w:val="22"/>
                <w:szCs w:val="22"/>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u w:val="single"/>
                <w:lang w:eastAsia="en-US"/>
              </w:rPr>
            </w:pPr>
            <w:r w:rsidRPr="00FA7205">
              <w:rPr>
                <w:rFonts w:eastAsia="Calibri" w:cs="Times New Roman"/>
                <w:spacing w:val="-2"/>
                <w:sz w:val="22"/>
                <w:szCs w:val="22"/>
                <w:u w:val="single"/>
                <w:lang w:eastAsia="en-US"/>
              </w:rPr>
              <w:t>Urząd do Spraw Kombatantów i Osób Represjonowanych</w:t>
            </w:r>
            <w:r w:rsidRPr="00FA7205">
              <w:rPr>
                <w:rFonts w:eastAsia="Calibri" w:cs="Times New Roman"/>
                <w:spacing w:val="-2"/>
                <w:sz w:val="22"/>
                <w:szCs w:val="22"/>
                <w:lang w:eastAsia="en-US"/>
              </w:rPr>
              <w:t xml:space="preserve"> pozytywnie ocenił rozwiązania zaproponowane przez Senat RP. Wskazał, że liczba osób zainteresowanych otrzymaniem karty kombatanta nie powinna przekroczyć 4 tys. osób. Ponadto wyrażono pogląd, że dyskusyjna jest propozycja, aby organem dokonującym wyboru producenta blankietów kart kombatanta był minister właściwy do spraw zabezpieczenia społecznego i przedstawione zostały argumenty za wydłużeniem </w:t>
            </w:r>
            <w:r w:rsidRPr="00FA7205">
              <w:rPr>
                <w:rFonts w:eastAsia="Calibri" w:cs="Times New Roman"/>
                <w:i/>
                <w:spacing w:val="-2"/>
                <w:sz w:val="22"/>
                <w:szCs w:val="22"/>
                <w:lang w:eastAsia="en-US"/>
              </w:rPr>
              <w:t>vacatio legis. Uwagi zostały uwzględnione</w:t>
            </w:r>
            <w:r w:rsidRPr="00FA7205">
              <w:rPr>
                <w:rFonts w:eastAsia="Calibri" w:cs="Times New Roman"/>
                <w:spacing w:val="-2"/>
                <w:sz w:val="22"/>
                <w:szCs w:val="22"/>
                <w:lang w:eastAsia="en-US"/>
              </w:rPr>
              <w:t xml:space="preserve">.    </w:t>
            </w:r>
          </w:p>
          <w:p w:rsidR="00FA7205" w:rsidRPr="00FA7205" w:rsidRDefault="00FA7205" w:rsidP="00FA7205">
            <w:pPr>
              <w:widowControl/>
              <w:autoSpaceDE/>
              <w:autoSpaceDN/>
              <w:adjustRightInd/>
              <w:spacing w:line="240" w:lineRule="auto"/>
              <w:ind w:left="360"/>
              <w:contextualSpacing/>
              <w:rPr>
                <w:rFonts w:eastAsia="Calibri" w:cs="Times New Roman"/>
                <w:spacing w:val="-2"/>
                <w:sz w:val="22"/>
                <w:szCs w:val="22"/>
                <w:u w:val="single"/>
                <w:lang w:eastAsia="en-US"/>
              </w:rPr>
            </w:pPr>
            <w:r w:rsidRPr="00FA7205">
              <w:rPr>
                <w:rFonts w:eastAsia="Calibri" w:cs="Times New Roman"/>
                <w:spacing w:val="-2"/>
                <w:sz w:val="22"/>
                <w:szCs w:val="22"/>
                <w:lang w:eastAsia="en-US"/>
              </w:rPr>
              <w:t>Ponadto zgłoszono uwagi</w:t>
            </w:r>
            <w:r w:rsidRPr="00FA7205">
              <w:rPr>
                <w:rFonts w:eastAsia="Calibri" w:cs="Times New Roman"/>
                <w:i/>
                <w:spacing w:val="-2"/>
                <w:sz w:val="22"/>
                <w:szCs w:val="22"/>
                <w:lang w:eastAsia="en-US"/>
              </w:rPr>
              <w:t xml:space="preserve"> </w:t>
            </w:r>
            <w:r w:rsidRPr="00FA7205">
              <w:rPr>
                <w:rFonts w:eastAsia="Calibri" w:cs="Times New Roman"/>
                <w:spacing w:val="-2"/>
                <w:sz w:val="22"/>
                <w:szCs w:val="22"/>
                <w:lang w:eastAsia="en-US"/>
              </w:rPr>
              <w:t xml:space="preserve">dotyczące wyeliminowania ryzyka nadużywania posługiwania się kartą kombatanta przez osoby trzecie.    </w:t>
            </w:r>
            <w:r w:rsidRPr="00FA7205">
              <w:rPr>
                <w:rFonts w:eastAsia="Calibri" w:cs="Times New Roman"/>
                <w:spacing w:val="-2"/>
                <w:sz w:val="22"/>
                <w:szCs w:val="22"/>
                <w:u w:val="single"/>
                <w:lang w:eastAsia="en-US"/>
              </w:rPr>
              <w:t xml:space="preserve">     </w:t>
            </w:r>
          </w:p>
          <w:p w:rsidR="00FA7205" w:rsidRPr="00FA7205" w:rsidRDefault="00FA7205" w:rsidP="00FA7205">
            <w:pPr>
              <w:widowControl/>
              <w:autoSpaceDE/>
              <w:autoSpaceDN/>
              <w:adjustRightInd/>
              <w:spacing w:line="240" w:lineRule="auto"/>
              <w:rPr>
                <w:rFonts w:eastAsia="Calibri" w:cs="Times New Roman"/>
                <w:spacing w:val="-2"/>
                <w:sz w:val="22"/>
                <w:szCs w:val="22"/>
                <w:u w:val="single"/>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lang w:eastAsia="en-US"/>
              </w:rPr>
            </w:pPr>
            <w:r w:rsidRPr="00FA7205">
              <w:rPr>
                <w:rFonts w:eastAsia="Calibri" w:cs="Times New Roman"/>
                <w:spacing w:val="-2"/>
                <w:sz w:val="22"/>
                <w:szCs w:val="22"/>
                <w:u w:val="single"/>
                <w:lang w:eastAsia="en-US"/>
              </w:rPr>
              <w:t>Minister Rodziny, Pracy i Polityki Społecznej</w:t>
            </w:r>
            <w:r w:rsidRPr="00FA7205">
              <w:rPr>
                <w:rFonts w:eastAsia="Calibri" w:cs="Times New Roman"/>
                <w:spacing w:val="-2"/>
                <w:sz w:val="22"/>
                <w:szCs w:val="22"/>
                <w:lang w:eastAsia="en-US"/>
              </w:rPr>
              <w:t xml:space="preserve"> wyraził stanowisko, że senacki projekt ustawy należy ocenić pozytywnie. Natomiast negatywnie została oceniona regulacja dotycząca wskazania ministra właściwego do spraw zabezpieczenia społecznego, jako właściwego do wyboru producenta blankietów kart kombatanta. Ponadto wyrażono także opinię, że przewidywany w projekcie miesięczny termin </w:t>
            </w:r>
            <w:r w:rsidRPr="00FA7205">
              <w:rPr>
                <w:rFonts w:eastAsia="Calibri" w:cs="Times New Roman"/>
                <w:i/>
                <w:spacing w:val="-2"/>
                <w:sz w:val="22"/>
                <w:szCs w:val="22"/>
                <w:lang w:eastAsia="en-US"/>
              </w:rPr>
              <w:t>vacatio legis</w:t>
            </w:r>
            <w:r w:rsidRPr="00FA7205">
              <w:rPr>
                <w:rFonts w:eastAsia="Calibri" w:cs="Times New Roman"/>
                <w:spacing w:val="-2"/>
                <w:sz w:val="22"/>
                <w:szCs w:val="22"/>
                <w:lang w:eastAsia="en-US"/>
              </w:rPr>
              <w:t xml:space="preserve"> jest zbyt krótki i przedstawiono uwagi natury legislacyjnej.  </w:t>
            </w:r>
            <w:r w:rsidRPr="00FA7205">
              <w:rPr>
                <w:rFonts w:eastAsia="Calibri" w:cs="Times New Roman"/>
                <w:i/>
                <w:spacing w:val="-2"/>
                <w:sz w:val="22"/>
                <w:szCs w:val="22"/>
                <w:lang w:eastAsia="en-US"/>
              </w:rPr>
              <w:t>Uwagi zostały uwzględnione</w:t>
            </w:r>
            <w:r w:rsidRPr="00FA7205">
              <w:rPr>
                <w:rFonts w:eastAsia="Calibri" w:cs="Times New Roman"/>
                <w:spacing w:val="-2"/>
                <w:sz w:val="22"/>
                <w:szCs w:val="22"/>
                <w:lang w:eastAsia="en-US"/>
              </w:rPr>
              <w:t xml:space="preserve">.    </w:t>
            </w:r>
          </w:p>
          <w:p w:rsidR="00FA7205" w:rsidRPr="00FA7205" w:rsidRDefault="00FA7205" w:rsidP="00FA7205">
            <w:pPr>
              <w:widowControl/>
              <w:autoSpaceDE/>
              <w:autoSpaceDN/>
              <w:adjustRightInd/>
              <w:spacing w:line="240" w:lineRule="auto"/>
              <w:ind w:left="360"/>
              <w:rPr>
                <w:rFonts w:eastAsia="Calibri" w:cs="Times New Roman"/>
                <w:spacing w:val="-2"/>
                <w:sz w:val="22"/>
                <w:szCs w:val="22"/>
                <w:lang w:eastAsia="en-US"/>
              </w:rPr>
            </w:pPr>
            <w:r w:rsidRPr="00FA7205">
              <w:rPr>
                <w:rFonts w:eastAsia="Calibri" w:cs="Times New Roman"/>
                <w:spacing w:val="-2"/>
                <w:sz w:val="22"/>
                <w:szCs w:val="22"/>
                <w:lang w:eastAsia="en-US"/>
              </w:rPr>
              <w:t>W opinii zwrócono także uwagę na wątpliwości podniesione przez Szefa Urzędu do Spraw Kombatantów i Osób Represjonowanych dotyczące wyeliminowania ryzyka nadużywania przez osoby trzecie posługiwania się kartą kombatanta.</w:t>
            </w:r>
          </w:p>
          <w:p w:rsidR="00FA7205" w:rsidRPr="00FA7205" w:rsidRDefault="00FA7205" w:rsidP="00FA7205">
            <w:pPr>
              <w:widowControl/>
              <w:autoSpaceDE/>
              <w:autoSpaceDN/>
              <w:adjustRightInd/>
              <w:spacing w:line="240" w:lineRule="auto"/>
              <w:ind w:left="360"/>
              <w:rPr>
                <w:rFonts w:eastAsia="Calibri" w:cs="Times New Roman"/>
                <w:spacing w:val="-2"/>
                <w:sz w:val="22"/>
                <w:szCs w:val="22"/>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lang w:eastAsia="en-US"/>
              </w:rPr>
            </w:pPr>
            <w:r w:rsidRPr="00FA7205">
              <w:rPr>
                <w:rFonts w:eastAsia="Calibri" w:cs="Times New Roman"/>
                <w:spacing w:val="-2"/>
                <w:sz w:val="22"/>
                <w:szCs w:val="22"/>
                <w:u w:val="single"/>
                <w:lang w:eastAsia="en-US"/>
              </w:rPr>
              <w:t>Minister Infrastruktury</w:t>
            </w:r>
            <w:r w:rsidRPr="00FA7205">
              <w:rPr>
                <w:rFonts w:eastAsia="Calibri" w:cs="Times New Roman"/>
                <w:spacing w:val="-2"/>
                <w:sz w:val="22"/>
                <w:szCs w:val="22"/>
                <w:lang w:eastAsia="en-US"/>
              </w:rPr>
              <w:t xml:space="preserve">  nie negując intencji przyświecającej projektodawcy zauważył, że rozszerzenie przywilejów w ruchu drogowym dla osób posiadających kartę kombatanta bez powiązania tych przywilejów z posiadaniem określonego stopnia niepełnosprawności, może okazać się rozwiązaniem niekorzystnym z punktu widzenia osób niepełnosprawnych o znacznym lub umiarkowanym stopniu niepełnosprawności.  Zdaniem Ministra opinię do projektu ustawy powinien wyrazić minister właściwy do spraw zabezpieczenia społecznego oraz minister właściwy do spraw wewnętrznych. Ponadto przedstawione zostały uwagi natury legislacyjnej. </w:t>
            </w:r>
          </w:p>
          <w:p w:rsidR="00FA7205" w:rsidRPr="00FA7205" w:rsidRDefault="00FA7205" w:rsidP="00FA7205">
            <w:pPr>
              <w:widowControl/>
              <w:autoSpaceDE/>
              <w:autoSpaceDN/>
              <w:adjustRightInd/>
              <w:spacing w:line="240" w:lineRule="auto"/>
              <w:rPr>
                <w:rFonts w:eastAsia="Calibri" w:cs="Times New Roman"/>
                <w:spacing w:val="-2"/>
                <w:sz w:val="22"/>
                <w:szCs w:val="22"/>
                <w:u w:val="single"/>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lang w:eastAsia="en-US"/>
              </w:rPr>
            </w:pPr>
            <w:r w:rsidRPr="00FA7205">
              <w:rPr>
                <w:rFonts w:eastAsia="Calibri" w:cs="Times New Roman"/>
                <w:spacing w:val="-2"/>
                <w:sz w:val="22"/>
                <w:szCs w:val="22"/>
                <w:u w:val="single"/>
                <w:lang w:eastAsia="en-US"/>
              </w:rPr>
              <w:t>Minister Spraw Wewnętrznych i Administracji</w:t>
            </w:r>
            <w:r w:rsidRPr="00FA7205">
              <w:rPr>
                <w:rFonts w:eastAsia="Calibri" w:cs="Times New Roman"/>
                <w:spacing w:val="-2"/>
                <w:sz w:val="22"/>
                <w:szCs w:val="22"/>
                <w:lang w:eastAsia="en-US"/>
              </w:rPr>
              <w:t xml:space="preserve"> przedstawił uwagi natury legislacyjnej i do Oceny Skutków Regulacji (</w:t>
            </w:r>
            <w:r w:rsidRPr="00FA7205">
              <w:rPr>
                <w:rFonts w:eastAsia="Calibri" w:cs="Times New Roman"/>
                <w:i/>
                <w:spacing w:val="-2"/>
                <w:sz w:val="22"/>
                <w:szCs w:val="22"/>
                <w:lang w:eastAsia="en-US"/>
              </w:rPr>
              <w:t xml:space="preserve">Uwaga została uwzględniona, uzupełniono opis). </w:t>
            </w:r>
            <w:r w:rsidRPr="00FA7205">
              <w:rPr>
                <w:rFonts w:eastAsia="Calibri" w:cs="Times New Roman"/>
                <w:spacing w:val="-2"/>
                <w:sz w:val="22"/>
                <w:szCs w:val="22"/>
                <w:lang w:eastAsia="en-US"/>
              </w:rPr>
              <w:t xml:space="preserve">  </w:t>
            </w:r>
          </w:p>
          <w:p w:rsidR="00FA7205" w:rsidRPr="00FA7205" w:rsidRDefault="00FA7205" w:rsidP="00FA7205">
            <w:pPr>
              <w:widowControl/>
              <w:autoSpaceDE/>
              <w:autoSpaceDN/>
              <w:adjustRightInd/>
              <w:spacing w:line="240" w:lineRule="auto"/>
              <w:rPr>
                <w:rFonts w:eastAsia="Calibri" w:cs="Times New Roman"/>
                <w:spacing w:val="-2"/>
                <w:sz w:val="22"/>
                <w:szCs w:val="22"/>
                <w:u w:val="single"/>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lang w:eastAsia="en-US"/>
              </w:rPr>
            </w:pPr>
            <w:r w:rsidRPr="00FA7205">
              <w:rPr>
                <w:rFonts w:eastAsia="Calibri" w:cs="Times New Roman"/>
                <w:spacing w:val="-2"/>
                <w:sz w:val="22"/>
                <w:szCs w:val="22"/>
                <w:u w:val="single"/>
                <w:lang w:eastAsia="en-US"/>
              </w:rPr>
              <w:t>Komendant Główny Policji</w:t>
            </w:r>
            <w:r w:rsidRPr="00FA7205">
              <w:rPr>
                <w:rFonts w:eastAsia="Calibri" w:cs="Times New Roman"/>
                <w:spacing w:val="-2"/>
                <w:sz w:val="22"/>
                <w:szCs w:val="22"/>
                <w:lang w:eastAsia="en-US"/>
              </w:rPr>
              <w:t xml:space="preserve"> poinformował, że nie zgłasza merytorycznych zastrzeżeń do rozwiązań zaproponowanych w projekcie </w:t>
            </w:r>
            <w:r w:rsidRPr="00FA7205">
              <w:rPr>
                <w:rFonts w:eastAsia="Calibri" w:cs="Times New Roman"/>
                <w:i/>
                <w:spacing w:val="-2"/>
                <w:sz w:val="22"/>
                <w:szCs w:val="22"/>
                <w:lang w:eastAsia="en-US"/>
              </w:rPr>
              <w:t>ustawy o kombatantach oraz niektórych osobach będących ofiarami represji wojennych i okresu powojennego oraz ustawy – Prawo o ruchu drogowym</w:t>
            </w:r>
            <w:r w:rsidRPr="00FA7205">
              <w:rPr>
                <w:rFonts w:eastAsia="Calibri" w:cs="Times New Roman"/>
                <w:spacing w:val="-2"/>
                <w:sz w:val="22"/>
                <w:szCs w:val="22"/>
                <w:lang w:eastAsia="en-US"/>
              </w:rPr>
              <w:t xml:space="preserve">, jednocześnie przedstawił uwagi natury legislacyjnej. </w:t>
            </w:r>
          </w:p>
          <w:p w:rsidR="00FA7205" w:rsidRPr="00FA7205" w:rsidRDefault="00FA7205" w:rsidP="00FA7205">
            <w:pPr>
              <w:widowControl/>
              <w:autoSpaceDE/>
              <w:autoSpaceDN/>
              <w:adjustRightInd/>
              <w:spacing w:line="276" w:lineRule="auto"/>
              <w:ind w:left="720"/>
              <w:contextualSpacing/>
              <w:jc w:val="left"/>
              <w:rPr>
                <w:rFonts w:eastAsia="Calibri" w:cs="Times New Roman"/>
                <w:spacing w:val="-2"/>
                <w:sz w:val="22"/>
                <w:szCs w:val="22"/>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u w:val="single"/>
                <w:lang w:eastAsia="en-US"/>
              </w:rPr>
            </w:pPr>
            <w:r w:rsidRPr="00FA7205">
              <w:rPr>
                <w:rFonts w:eastAsia="Calibri" w:cs="Times New Roman"/>
                <w:spacing w:val="-2"/>
                <w:sz w:val="22"/>
                <w:szCs w:val="22"/>
                <w:u w:val="single"/>
                <w:lang w:eastAsia="en-US"/>
              </w:rPr>
              <w:t>Światowy Związek Żołnierzy Armii Krajowej</w:t>
            </w:r>
            <w:r w:rsidRPr="00FA7205">
              <w:rPr>
                <w:rFonts w:eastAsia="Calibri" w:cs="Times New Roman"/>
                <w:spacing w:val="-2"/>
                <w:sz w:val="22"/>
                <w:szCs w:val="22"/>
                <w:lang w:eastAsia="en-US"/>
              </w:rPr>
              <w:t xml:space="preserve"> wyraził uznanie odnośnie do inicjatywy i wskazał sposoby uproszczenia niektórych rozwiązań zaproponowanych w projekcie ustawy.</w:t>
            </w:r>
            <w:r w:rsidRPr="00FA7205">
              <w:rPr>
                <w:rFonts w:eastAsia="Calibri" w:cs="Times New Roman"/>
                <w:spacing w:val="-2"/>
                <w:sz w:val="22"/>
                <w:szCs w:val="22"/>
                <w:u w:val="single"/>
                <w:lang w:eastAsia="en-US"/>
              </w:rPr>
              <w:t xml:space="preserve"> </w:t>
            </w:r>
          </w:p>
          <w:p w:rsidR="00FA7205" w:rsidRPr="00FA7205" w:rsidRDefault="00FA7205" w:rsidP="00FA7205">
            <w:pPr>
              <w:widowControl/>
              <w:autoSpaceDE/>
              <w:autoSpaceDN/>
              <w:adjustRightInd/>
              <w:spacing w:line="240" w:lineRule="auto"/>
              <w:rPr>
                <w:rFonts w:eastAsia="Calibri" w:cs="Times New Roman"/>
                <w:spacing w:val="-2"/>
                <w:sz w:val="22"/>
                <w:szCs w:val="22"/>
                <w:u w:val="single"/>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lang w:eastAsia="en-US"/>
              </w:rPr>
            </w:pPr>
            <w:r w:rsidRPr="00FA7205">
              <w:rPr>
                <w:rFonts w:eastAsia="Calibri" w:cs="Times New Roman"/>
                <w:spacing w:val="-2"/>
                <w:sz w:val="22"/>
                <w:szCs w:val="22"/>
                <w:u w:val="single"/>
                <w:lang w:eastAsia="en-US"/>
              </w:rPr>
              <w:t>Związek Inwalidów Wojennych RP</w:t>
            </w:r>
            <w:r w:rsidRPr="00FA7205">
              <w:rPr>
                <w:rFonts w:eastAsia="Calibri" w:cs="Times New Roman"/>
                <w:spacing w:val="-2"/>
                <w:sz w:val="22"/>
                <w:szCs w:val="22"/>
                <w:lang w:eastAsia="en-US"/>
              </w:rPr>
              <w:t xml:space="preserve"> nie wnosi uwag do projektu ustawy.</w:t>
            </w:r>
          </w:p>
          <w:p w:rsidR="00FA7205" w:rsidRPr="00FA7205" w:rsidRDefault="00FA7205" w:rsidP="00FA7205">
            <w:pPr>
              <w:widowControl/>
              <w:autoSpaceDE/>
              <w:autoSpaceDN/>
              <w:adjustRightInd/>
              <w:spacing w:line="240" w:lineRule="auto"/>
              <w:rPr>
                <w:rFonts w:eastAsia="Calibri" w:cs="Times New Roman"/>
                <w:spacing w:val="-2"/>
                <w:sz w:val="22"/>
                <w:szCs w:val="22"/>
                <w:lang w:eastAsia="en-US"/>
              </w:rPr>
            </w:pPr>
          </w:p>
          <w:p w:rsidR="00FA7205" w:rsidRPr="00FA7205" w:rsidRDefault="00FA7205" w:rsidP="00D5110C">
            <w:pPr>
              <w:widowControl/>
              <w:numPr>
                <w:ilvl w:val="0"/>
                <w:numId w:val="5"/>
              </w:numPr>
              <w:autoSpaceDE/>
              <w:autoSpaceDN/>
              <w:adjustRightInd/>
              <w:spacing w:line="240" w:lineRule="auto"/>
              <w:contextualSpacing/>
              <w:rPr>
                <w:rFonts w:eastAsia="Calibri" w:cs="Times New Roman"/>
                <w:spacing w:val="-2"/>
                <w:sz w:val="22"/>
                <w:szCs w:val="22"/>
                <w:lang w:eastAsia="en-US"/>
              </w:rPr>
            </w:pPr>
            <w:r w:rsidRPr="00FA7205">
              <w:rPr>
                <w:rFonts w:eastAsia="Calibri" w:cs="Times New Roman"/>
                <w:spacing w:val="-2"/>
                <w:sz w:val="22"/>
                <w:szCs w:val="22"/>
                <w:u w:val="single"/>
                <w:lang w:eastAsia="en-US"/>
              </w:rPr>
              <w:t>ZUS</w:t>
            </w:r>
            <w:r w:rsidRPr="00FA7205">
              <w:rPr>
                <w:rFonts w:eastAsia="Calibri" w:cs="Times New Roman"/>
                <w:spacing w:val="-2"/>
                <w:sz w:val="22"/>
                <w:szCs w:val="22"/>
                <w:lang w:eastAsia="en-US"/>
              </w:rPr>
              <w:t xml:space="preserve"> nie zgłosił uwag. </w:t>
            </w:r>
          </w:p>
          <w:p w:rsidR="00FA7205" w:rsidRPr="00FA7205" w:rsidRDefault="00FA7205" w:rsidP="00FA7205">
            <w:pPr>
              <w:widowControl/>
              <w:autoSpaceDE/>
              <w:autoSpaceDN/>
              <w:adjustRightInd/>
              <w:spacing w:line="276" w:lineRule="auto"/>
              <w:ind w:left="720"/>
              <w:contextualSpacing/>
              <w:jc w:val="left"/>
              <w:rPr>
                <w:rFonts w:eastAsia="Calibri" w:cs="Times New Roman"/>
                <w:spacing w:val="-2"/>
                <w:sz w:val="22"/>
                <w:szCs w:val="22"/>
                <w:lang w:eastAsia="en-US"/>
              </w:rPr>
            </w:pPr>
          </w:p>
          <w:p w:rsidR="00FA7205" w:rsidRPr="00FA7205" w:rsidRDefault="00FA7205" w:rsidP="00FA7205">
            <w:pPr>
              <w:widowControl/>
              <w:autoSpaceDE/>
              <w:autoSpaceDN/>
              <w:adjustRightInd/>
              <w:spacing w:line="240" w:lineRule="auto"/>
              <w:ind w:left="360"/>
              <w:contextualSpacing/>
              <w:rPr>
                <w:rFonts w:eastAsia="Calibri" w:cs="Times New Roman"/>
                <w:spacing w:val="-2"/>
                <w:sz w:val="22"/>
                <w:szCs w:val="22"/>
                <w:lang w:eastAsia="en-US"/>
              </w:rPr>
            </w:pPr>
          </w:p>
        </w:tc>
      </w:tr>
      <w:tr w:rsidR="00FA7205" w:rsidRPr="00FA7205" w:rsidTr="00504B63">
        <w:trPr>
          <w:gridAfter w:val="1"/>
          <w:wAfter w:w="10" w:type="dxa"/>
          <w:trHeight w:val="363"/>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color w:val="000000"/>
                <w:sz w:val="22"/>
                <w:szCs w:val="22"/>
                <w:lang w:eastAsia="en-US"/>
              </w:rPr>
              <w:t xml:space="preserve"> Wpływ na sektor finansów publicznych.</w:t>
            </w:r>
          </w:p>
        </w:tc>
      </w:tr>
      <w:tr w:rsidR="00FA7205" w:rsidRPr="00FA7205" w:rsidTr="00504B63">
        <w:trPr>
          <w:gridAfter w:val="1"/>
          <w:wAfter w:w="10" w:type="dxa"/>
          <w:trHeight w:val="142"/>
        </w:trPr>
        <w:tc>
          <w:tcPr>
            <w:tcW w:w="3133" w:type="dxa"/>
            <w:gridSpan w:val="4"/>
            <w:vMerge w:val="restart"/>
            <w:shd w:val="clear" w:color="auto" w:fill="FFFFFF"/>
          </w:tcPr>
          <w:p w:rsidR="00FA7205" w:rsidRPr="00FA7205" w:rsidRDefault="00FA7205" w:rsidP="00FA7205">
            <w:pPr>
              <w:widowControl/>
              <w:autoSpaceDE/>
              <w:autoSpaceDN/>
              <w:adjustRightInd/>
              <w:spacing w:before="40" w:after="40" w:line="276" w:lineRule="auto"/>
              <w:jc w:val="left"/>
              <w:rPr>
                <w:rFonts w:eastAsia="Calibri" w:cs="Times New Roman"/>
                <w:i/>
                <w:color w:val="000000"/>
                <w:sz w:val="21"/>
                <w:szCs w:val="21"/>
                <w:lang w:eastAsia="en-US"/>
              </w:rPr>
            </w:pPr>
            <w:r w:rsidRPr="00FA7205">
              <w:rPr>
                <w:rFonts w:eastAsia="Calibri" w:cs="Times New Roman"/>
                <w:color w:val="000000"/>
                <w:sz w:val="21"/>
                <w:szCs w:val="21"/>
                <w:lang w:eastAsia="en-US"/>
              </w:rPr>
              <w:t>(ceny stałe z 2018 r.)</w:t>
            </w:r>
          </w:p>
        </w:tc>
        <w:tc>
          <w:tcPr>
            <w:tcW w:w="7804" w:type="dxa"/>
            <w:gridSpan w:val="25"/>
            <w:shd w:val="clear" w:color="auto" w:fill="FFFFFF"/>
          </w:tcPr>
          <w:p w:rsidR="00FA7205" w:rsidRPr="00FA7205" w:rsidRDefault="00FA7205" w:rsidP="00FA720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FA7205">
              <w:rPr>
                <w:rFonts w:eastAsia="Calibri" w:cs="Times New Roman"/>
                <w:color w:val="000000"/>
                <w:sz w:val="21"/>
                <w:szCs w:val="21"/>
                <w:lang w:eastAsia="en-US"/>
              </w:rPr>
              <w:t>Skutki w okresie 10 lat od wejścia w życie zmian [tys. zł]</w:t>
            </w:r>
          </w:p>
        </w:tc>
      </w:tr>
      <w:tr w:rsidR="00FA7205" w:rsidRPr="00FA7205" w:rsidTr="00504B63">
        <w:trPr>
          <w:gridAfter w:val="1"/>
          <w:wAfter w:w="10" w:type="dxa"/>
          <w:trHeight w:val="142"/>
        </w:trPr>
        <w:tc>
          <w:tcPr>
            <w:tcW w:w="3133" w:type="dxa"/>
            <w:gridSpan w:val="4"/>
            <w:vMerge/>
            <w:shd w:val="clear" w:color="auto" w:fill="FFFFFF"/>
          </w:tcPr>
          <w:p w:rsidR="00FA7205" w:rsidRPr="00FA7205" w:rsidRDefault="00FA7205" w:rsidP="00FA7205">
            <w:pPr>
              <w:widowControl/>
              <w:autoSpaceDE/>
              <w:autoSpaceDN/>
              <w:adjustRightInd/>
              <w:spacing w:before="40" w:after="40" w:line="240" w:lineRule="auto"/>
              <w:jc w:val="left"/>
              <w:rPr>
                <w:rFonts w:eastAsia="Calibri" w:cs="Times New Roman"/>
                <w:i/>
                <w:color w:val="000000"/>
                <w:sz w:val="21"/>
                <w:szCs w:val="21"/>
                <w:lang w:eastAsia="en-US"/>
              </w:rPr>
            </w:pP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1</w:t>
            </w: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2</w:t>
            </w: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3</w:t>
            </w: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4</w:t>
            </w: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5</w:t>
            </w: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6</w:t>
            </w: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7</w:t>
            </w: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8</w:t>
            </w: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9</w:t>
            </w: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10</w:t>
            </w:r>
          </w:p>
        </w:tc>
        <w:tc>
          <w:tcPr>
            <w:tcW w:w="1537" w:type="dxa"/>
            <w:gridSpan w:val="2"/>
            <w:shd w:val="clear" w:color="auto" w:fill="FFFFFF"/>
          </w:tcPr>
          <w:p w:rsidR="00FA7205" w:rsidRPr="00FA7205" w:rsidRDefault="00FA7205" w:rsidP="00FA720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FA7205">
              <w:rPr>
                <w:rFonts w:eastAsia="Calibri" w:cs="Times New Roman"/>
                <w:i/>
                <w:color w:val="000000"/>
                <w:spacing w:val="-2"/>
                <w:sz w:val="21"/>
                <w:szCs w:val="21"/>
                <w:lang w:eastAsia="en-US"/>
              </w:rPr>
              <w:t>Łącznie (0-10)</w:t>
            </w:r>
          </w:p>
        </w:tc>
      </w:tr>
      <w:tr w:rsidR="00FA7205" w:rsidRPr="00FA7205" w:rsidTr="00504B63">
        <w:trPr>
          <w:trHeight w:val="321"/>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b/>
                <w:color w:val="000000"/>
                <w:sz w:val="21"/>
                <w:szCs w:val="21"/>
                <w:lang w:eastAsia="en-US"/>
              </w:rPr>
              <w:t>Dochody ogółem</w:t>
            </w:r>
          </w:p>
        </w:tc>
        <w:tc>
          <w:tcPr>
            <w:tcW w:w="695"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16"/>
                <w:szCs w:val="16"/>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pacing w:val="-2"/>
                <w:sz w:val="16"/>
                <w:szCs w:val="16"/>
                <w:lang w:eastAsia="en-US"/>
              </w:rPr>
            </w:pPr>
          </w:p>
        </w:tc>
      </w:tr>
      <w:tr w:rsidR="00FA7205" w:rsidRPr="00FA7205" w:rsidTr="00504B63">
        <w:trPr>
          <w:trHeight w:val="321"/>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budżet państwa</w:t>
            </w:r>
          </w:p>
        </w:tc>
        <w:tc>
          <w:tcPr>
            <w:tcW w:w="695"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16"/>
                <w:szCs w:val="16"/>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pacing w:val="-2"/>
                <w:sz w:val="16"/>
                <w:szCs w:val="16"/>
                <w:lang w:eastAsia="en-US"/>
              </w:rPr>
            </w:pPr>
          </w:p>
        </w:tc>
      </w:tr>
      <w:tr w:rsidR="00FA7205" w:rsidRPr="00FA7205" w:rsidTr="00504B63">
        <w:trPr>
          <w:trHeight w:val="344"/>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JST</w:t>
            </w:r>
          </w:p>
        </w:tc>
        <w:tc>
          <w:tcPr>
            <w:tcW w:w="695"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16"/>
                <w:szCs w:val="16"/>
                <w:lang w:eastAsia="en-US"/>
              </w:rPr>
            </w:pPr>
          </w:p>
        </w:tc>
      </w:tr>
      <w:tr w:rsidR="00FA7205" w:rsidRPr="00FA7205" w:rsidTr="00504B63">
        <w:trPr>
          <w:trHeight w:val="344"/>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pozostałe jednostki (oddzielnie)</w:t>
            </w:r>
          </w:p>
        </w:tc>
        <w:tc>
          <w:tcPr>
            <w:tcW w:w="695"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16"/>
                <w:szCs w:val="16"/>
                <w:lang w:eastAsia="en-US"/>
              </w:rPr>
            </w:pPr>
          </w:p>
        </w:tc>
      </w:tr>
      <w:tr w:rsidR="00FA7205" w:rsidRPr="00FA7205" w:rsidTr="00504B63">
        <w:trPr>
          <w:trHeight w:val="330"/>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b/>
                <w:color w:val="000000"/>
                <w:sz w:val="21"/>
                <w:szCs w:val="21"/>
                <w:lang w:eastAsia="en-US"/>
              </w:rPr>
              <w:t>Wydatki ogółem</w:t>
            </w: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r>
      <w:tr w:rsidR="00FA7205" w:rsidRPr="00FA7205" w:rsidTr="00504B63">
        <w:trPr>
          <w:trHeight w:val="330"/>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budżet państwa</w:t>
            </w: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r>
      <w:tr w:rsidR="00FA7205" w:rsidRPr="00FA7205" w:rsidTr="00504B63">
        <w:trPr>
          <w:trHeight w:val="351"/>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JST</w:t>
            </w: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r>
      <w:tr w:rsidR="00FA7205" w:rsidRPr="00FA7205" w:rsidTr="00504B63">
        <w:trPr>
          <w:trHeight w:val="351"/>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pozostałe jednostki (oddzielnie)</w:t>
            </w: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r>
      <w:tr w:rsidR="00FA7205" w:rsidRPr="00FA7205" w:rsidTr="00504B63">
        <w:trPr>
          <w:trHeight w:val="360"/>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b/>
                <w:color w:val="000000"/>
                <w:sz w:val="21"/>
                <w:szCs w:val="21"/>
                <w:lang w:eastAsia="en-US"/>
              </w:rPr>
              <w:t>Saldo ogółem</w:t>
            </w: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r>
      <w:tr w:rsidR="00FA7205" w:rsidRPr="00FA7205" w:rsidTr="00504B63">
        <w:trPr>
          <w:trHeight w:val="360"/>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budżet państwa</w:t>
            </w:r>
          </w:p>
        </w:tc>
        <w:tc>
          <w:tcPr>
            <w:tcW w:w="695"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c>
          <w:tcPr>
            <w:tcW w:w="56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0"/>
                <w:lang w:eastAsia="en-US"/>
              </w:rPr>
            </w:pPr>
            <w:r w:rsidRPr="00FA7205">
              <w:rPr>
                <w:rFonts w:eastAsia="Calibri" w:cs="Times New Roman"/>
                <w:color w:val="000000"/>
                <w:sz w:val="20"/>
                <w:lang w:eastAsia="en-US"/>
              </w:rPr>
              <w:t>-84</w:t>
            </w:r>
          </w:p>
        </w:tc>
      </w:tr>
      <w:tr w:rsidR="00FA7205" w:rsidRPr="00FA7205" w:rsidTr="00504B63">
        <w:trPr>
          <w:trHeight w:val="357"/>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JST</w:t>
            </w:r>
          </w:p>
        </w:tc>
        <w:tc>
          <w:tcPr>
            <w:tcW w:w="695"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16"/>
                <w:szCs w:val="16"/>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16"/>
                <w:szCs w:val="16"/>
                <w:lang w:eastAsia="en-US"/>
              </w:rPr>
            </w:pPr>
          </w:p>
        </w:tc>
      </w:tr>
      <w:tr w:rsidR="00FA7205" w:rsidRPr="00FA7205" w:rsidTr="00504B63">
        <w:trPr>
          <w:trHeight w:val="357"/>
        </w:trPr>
        <w:tc>
          <w:tcPr>
            <w:tcW w:w="3133" w:type="dxa"/>
            <w:gridSpan w:val="4"/>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pozostałe jednostki (oddzielnie)</w:t>
            </w:r>
          </w:p>
        </w:tc>
        <w:tc>
          <w:tcPr>
            <w:tcW w:w="695"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7"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455"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4"/>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1547" w:type="dxa"/>
            <w:gridSpan w:val="3"/>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r>
      <w:tr w:rsidR="00FA7205" w:rsidRPr="00FA7205" w:rsidTr="00504B63">
        <w:trPr>
          <w:gridAfter w:val="1"/>
          <w:wAfter w:w="10" w:type="dxa"/>
          <w:trHeight w:val="348"/>
        </w:trPr>
        <w:tc>
          <w:tcPr>
            <w:tcW w:w="2243" w:type="dxa"/>
            <w:gridSpan w:val="2"/>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 xml:space="preserve">Źródła finansowania </w:t>
            </w:r>
          </w:p>
        </w:tc>
        <w:tc>
          <w:tcPr>
            <w:tcW w:w="8694" w:type="dxa"/>
            <w:gridSpan w:val="27"/>
            <w:shd w:val="clear" w:color="auto" w:fill="FFFFFF"/>
            <w:vAlign w:val="center"/>
          </w:tcPr>
          <w:p w:rsidR="00FA7205" w:rsidRPr="00FA7205" w:rsidRDefault="00FA7205" w:rsidP="00FA7205">
            <w:pPr>
              <w:widowControl/>
              <w:autoSpaceDE/>
              <w:autoSpaceDN/>
              <w:adjustRightInd/>
              <w:spacing w:line="240" w:lineRule="auto"/>
              <w:rPr>
                <w:rFonts w:eastAsia="Calibri" w:cs="Times New Roman"/>
                <w:color w:val="000000"/>
                <w:sz w:val="21"/>
                <w:szCs w:val="21"/>
                <w:lang w:eastAsia="en-US"/>
              </w:rPr>
            </w:pPr>
            <w:r w:rsidRPr="00FA7205">
              <w:rPr>
                <w:rFonts w:eastAsia="Calibri" w:cs="Times New Roman"/>
                <w:color w:val="000000"/>
                <w:sz w:val="21"/>
                <w:szCs w:val="21"/>
                <w:lang w:eastAsia="en-US"/>
              </w:rPr>
              <w:t xml:space="preserve">Część 54 budżetu państwa. </w:t>
            </w:r>
          </w:p>
        </w:tc>
      </w:tr>
      <w:tr w:rsidR="00FA7205" w:rsidRPr="00FA7205" w:rsidTr="00504B63">
        <w:tblPrEx>
          <w:tblCellMar>
            <w:left w:w="70" w:type="dxa"/>
            <w:right w:w="70" w:type="dxa"/>
          </w:tblCellMar>
        </w:tblPrEx>
        <w:trPr>
          <w:gridAfter w:val="1"/>
          <w:wAfter w:w="10" w:type="dxa"/>
          <w:trHeight w:val="1258"/>
        </w:trPr>
        <w:tc>
          <w:tcPr>
            <w:tcW w:w="2243" w:type="dxa"/>
            <w:gridSpan w:val="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Dodatkowe informacje, w tym wskazanie źródeł danych i przyjętych do obliczeń założeń</w:t>
            </w:r>
          </w:p>
        </w:tc>
        <w:tc>
          <w:tcPr>
            <w:tcW w:w="8694" w:type="dxa"/>
            <w:gridSpan w:val="27"/>
            <w:shd w:val="clear" w:color="auto" w:fill="FFFFFF"/>
          </w:tcPr>
          <w:p w:rsidR="00FA7205" w:rsidRPr="00FA7205" w:rsidRDefault="00FA7205" w:rsidP="00FA7205">
            <w:pPr>
              <w:widowControl/>
              <w:autoSpaceDE/>
              <w:autoSpaceDN/>
              <w:adjustRightInd/>
              <w:spacing w:line="240" w:lineRule="auto"/>
              <w:rPr>
                <w:rFonts w:eastAsia="Calibri" w:cs="Times New Roman"/>
                <w:color w:val="000000"/>
                <w:sz w:val="22"/>
                <w:szCs w:val="22"/>
                <w:lang w:eastAsia="en-US"/>
              </w:rPr>
            </w:pPr>
          </w:p>
          <w:p w:rsidR="00FA7205" w:rsidRPr="00FA7205" w:rsidRDefault="00FA7205" w:rsidP="00FA7205">
            <w:pPr>
              <w:widowControl/>
              <w:autoSpaceDE/>
              <w:autoSpaceDN/>
              <w:adjustRightInd/>
              <w:spacing w:line="240" w:lineRule="auto"/>
              <w:rPr>
                <w:rFonts w:eastAsia="Calibri" w:cs="Times New Roman"/>
                <w:color w:val="000000"/>
                <w:sz w:val="22"/>
                <w:szCs w:val="22"/>
                <w:lang w:eastAsia="en-US"/>
              </w:rPr>
            </w:pPr>
            <w:r w:rsidRPr="00FA7205">
              <w:rPr>
                <w:rFonts w:eastAsia="Calibri" w:cs="Times New Roman"/>
                <w:color w:val="000000"/>
                <w:sz w:val="22"/>
                <w:szCs w:val="22"/>
                <w:lang w:eastAsia="en-US"/>
              </w:rPr>
              <w:t xml:space="preserve">Przedmiotowa ustawa będzie wpływać na wydatki sektora finansów publicznych, ponieważ wystąpi konieczność sfinansowania zadania polegającego na wydrukowaniu odpowiedniej ilości blankietów karty kombatanta, wydatki z tego powodu szacuje się na kwotę </w:t>
            </w:r>
            <w:r w:rsidRPr="00FA7205">
              <w:rPr>
                <w:rFonts w:eastAsia="Calibri" w:cs="Times New Roman"/>
                <w:b/>
                <w:color w:val="000000"/>
                <w:sz w:val="22"/>
                <w:szCs w:val="22"/>
                <w:lang w:eastAsia="en-US"/>
              </w:rPr>
              <w:t>ok. 84 tys. zł</w:t>
            </w:r>
            <w:r w:rsidRPr="00FA7205">
              <w:rPr>
                <w:rFonts w:eastAsia="Calibri" w:cs="Times New Roman"/>
                <w:color w:val="000000"/>
                <w:sz w:val="22"/>
                <w:szCs w:val="22"/>
                <w:lang w:eastAsia="en-US"/>
              </w:rPr>
              <w:t xml:space="preserve">. </w:t>
            </w:r>
          </w:p>
          <w:p w:rsidR="00FA7205" w:rsidRPr="00FA7205" w:rsidRDefault="00FA7205" w:rsidP="00FA7205">
            <w:pPr>
              <w:widowControl/>
              <w:autoSpaceDE/>
              <w:autoSpaceDN/>
              <w:adjustRightInd/>
              <w:spacing w:line="240" w:lineRule="auto"/>
              <w:rPr>
                <w:rFonts w:eastAsia="Calibri" w:cs="Times New Roman"/>
                <w:color w:val="000000"/>
                <w:sz w:val="22"/>
                <w:szCs w:val="22"/>
                <w:lang w:eastAsia="en-US"/>
              </w:rPr>
            </w:pPr>
          </w:p>
          <w:p w:rsidR="00FA7205" w:rsidRPr="00FA7205" w:rsidRDefault="00FA7205" w:rsidP="00FA7205">
            <w:pPr>
              <w:widowControl/>
              <w:autoSpaceDE/>
              <w:autoSpaceDN/>
              <w:adjustRightInd/>
              <w:spacing w:line="240" w:lineRule="auto"/>
              <w:rPr>
                <w:rFonts w:eastAsia="Calibri" w:cs="Times New Roman"/>
                <w:sz w:val="22"/>
                <w:szCs w:val="22"/>
                <w:lang w:eastAsia="en-US"/>
              </w:rPr>
            </w:pPr>
            <w:r w:rsidRPr="00FA7205">
              <w:rPr>
                <w:rFonts w:eastAsia="Calibri" w:cs="Times New Roman"/>
                <w:sz w:val="22"/>
                <w:szCs w:val="22"/>
                <w:lang w:eastAsia="en-US"/>
              </w:rPr>
              <w:t>Szacunek sporządzono przyjmując następujące założenia:</w:t>
            </w:r>
          </w:p>
          <w:p w:rsidR="00FA7205" w:rsidRPr="00FA7205" w:rsidRDefault="00FA7205" w:rsidP="00FA7205">
            <w:pPr>
              <w:widowControl/>
              <w:autoSpaceDE/>
              <w:autoSpaceDN/>
              <w:adjustRightInd/>
              <w:spacing w:line="240" w:lineRule="auto"/>
              <w:rPr>
                <w:rFonts w:eastAsia="Calibri" w:cs="Times New Roman"/>
                <w:sz w:val="22"/>
                <w:szCs w:val="22"/>
                <w:lang w:eastAsia="en-US"/>
              </w:rPr>
            </w:pPr>
          </w:p>
          <w:p w:rsidR="00FA7205" w:rsidRPr="00FA7205" w:rsidRDefault="00FA7205" w:rsidP="00D5110C">
            <w:pPr>
              <w:widowControl/>
              <w:numPr>
                <w:ilvl w:val="0"/>
                <w:numId w:val="7"/>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sz w:val="22"/>
                <w:szCs w:val="22"/>
                <w:lang w:eastAsia="en-US"/>
              </w:rPr>
              <w:t xml:space="preserve">liczbę wniosków w wydanie karty przyjmuje się na poziomie 4.000 (wielkość wskazana przez </w:t>
            </w:r>
            <w:r w:rsidRPr="00FA7205">
              <w:rPr>
                <w:rFonts w:eastAsia="Calibri" w:cs="Times New Roman"/>
                <w:color w:val="000000"/>
                <w:spacing w:val="-2"/>
                <w:sz w:val="22"/>
                <w:szCs w:val="22"/>
                <w:lang w:eastAsia="en-US"/>
              </w:rPr>
              <w:t>Urząd do Spraw Kombatantów i Osób Represjonowanych)</w:t>
            </w:r>
            <w:r w:rsidRPr="00FA7205">
              <w:rPr>
                <w:rFonts w:eastAsia="Calibri" w:cs="Times New Roman"/>
                <w:sz w:val="22"/>
                <w:szCs w:val="22"/>
                <w:lang w:eastAsia="en-US"/>
              </w:rPr>
              <w:t>,</w:t>
            </w:r>
          </w:p>
          <w:p w:rsidR="00FA7205" w:rsidRPr="00FA7205" w:rsidRDefault="00FA7205" w:rsidP="00FA7205">
            <w:pPr>
              <w:widowControl/>
              <w:autoSpaceDE/>
              <w:autoSpaceDN/>
              <w:adjustRightInd/>
              <w:spacing w:line="240" w:lineRule="auto"/>
              <w:ind w:left="360"/>
              <w:contextualSpacing/>
              <w:rPr>
                <w:rFonts w:eastAsia="Calibri" w:cs="Times New Roman"/>
                <w:color w:val="000000"/>
                <w:spacing w:val="-2"/>
                <w:sz w:val="22"/>
                <w:szCs w:val="22"/>
                <w:lang w:eastAsia="en-US"/>
              </w:rPr>
            </w:pPr>
          </w:p>
          <w:p w:rsidR="00FA7205" w:rsidRPr="00FA7205" w:rsidRDefault="00FA7205" w:rsidP="00D5110C">
            <w:pPr>
              <w:widowControl/>
              <w:numPr>
                <w:ilvl w:val="0"/>
                <w:numId w:val="7"/>
              </w:numPr>
              <w:autoSpaceDE/>
              <w:autoSpaceDN/>
              <w:adjustRightInd/>
              <w:spacing w:line="240" w:lineRule="auto"/>
              <w:contextualSpacing/>
              <w:rPr>
                <w:rFonts w:eastAsia="Calibri" w:cs="Times New Roman"/>
                <w:color w:val="000000"/>
                <w:spacing w:val="-2"/>
                <w:sz w:val="22"/>
                <w:szCs w:val="22"/>
                <w:lang w:eastAsia="en-US"/>
              </w:rPr>
            </w:pPr>
            <w:r w:rsidRPr="00FA7205">
              <w:rPr>
                <w:rFonts w:eastAsia="Calibri" w:cs="Times New Roman"/>
                <w:sz w:val="22"/>
                <w:szCs w:val="22"/>
                <w:lang w:eastAsia="en-US"/>
              </w:rPr>
              <w:t>koszt wydrukowania pojedynczej karty przyjmuje się na poziomie</w:t>
            </w:r>
            <w:r w:rsidRPr="00FA7205">
              <w:rPr>
                <w:rFonts w:eastAsia="Calibri" w:cs="Times New Roman"/>
                <w:color w:val="FF0000"/>
                <w:spacing w:val="-2"/>
                <w:sz w:val="22"/>
                <w:szCs w:val="22"/>
                <w:lang w:eastAsia="en-US"/>
              </w:rPr>
              <w:t xml:space="preserve"> </w:t>
            </w:r>
            <w:r w:rsidRPr="00FA7205">
              <w:rPr>
                <w:rFonts w:eastAsia="Calibri" w:cs="Times New Roman"/>
                <w:spacing w:val="-2"/>
                <w:sz w:val="22"/>
                <w:szCs w:val="22"/>
                <w:lang w:eastAsia="en-US"/>
              </w:rPr>
              <w:t>opłaty za wydanie karty parkingowej</w:t>
            </w:r>
            <w:r w:rsidRPr="00FA7205">
              <w:rPr>
                <w:rFonts w:eastAsia="Calibri" w:cs="Times New Roman"/>
                <w:sz w:val="22"/>
                <w:szCs w:val="22"/>
                <w:lang w:eastAsia="en-US"/>
              </w:rPr>
              <w:t xml:space="preserve"> (21 zł).</w:t>
            </w:r>
          </w:p>
          <w:p w:rsidR="00FA7205" w:rsidRPr="00FA7205" w:rsidRDefault="00FA7205" w:rsidP="00FA7205">
            <w:pPr>
              <w:widowControl/>
              <w:autoSpaceDE/>
              <w:autoSpaceDN/>
              <w:adjustRightInd/>
              <w:spacing w:line="276" w:lineRule="auto"/>
              <w:ind w:left="720"/>
              <w:contextualSpacing/>
              <w:jc w:val="left"/>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p>
        </w:tc>
      </w:tr>
      <w:tr w:rsidR="00FA7205" w:rsidRPr="00FA7205" w:rsidTr="00504B63">
        <w:trPr>
          <w:gridAfter w:val="1"/>
          <w:wAfter w:w="10" w:type="dxa"/>
          <w:trHeight w:val="345"/>
        </w:trPr>
        <w:tc>
          <w:tcPr>
            <w:tcW w:w="10937" w:type="dxa"/>
            <w:gridSpan w:val="29"/>
            <w:shd w:val="clear" w:color="auto" w:fill="99CCFF"/>
          </w:tcPr>
          <w:p w:rsidR="00FA7205" w:rsidRPr="00FA7205" w:rsidRDefault="00FA7205" w:rsidP="00FA7205">
            <w:pPr>
              <w:widowControl/>
              <w:numPr>
                <w:ilvl w:val="0"/>
                <w:numId w:val="2"/>
              </w:numPr>
              <w:autoSpaceDE/>
              <w:autoSpaceDN/>
              <w:adjustRightInd/>
              <w:spacing w:before="120" w:after="120" w:line="240" w:lineRule="auto"/>
              <w:jc w:val="left"/>
              <w:rPr>
                <w:rFonts w:eastAsia="Calibri" w:cs="Times New Roman"/>
                <w:b/>
                <w:color w:val="000000"/>
                <w:spacing w:val="-2"/>
                <w:sz w:val="22"/>
                <w:szCs w:val="22"/>
                <w:lang w:eastAsia="en-US"/>
              </w:rPr>
            </w:pPr>
            <w:r w:rsidRPr="00FA7205">
              <w:rPr>
                <w:rFonts w:eastAsia="Calibri" w:cs="Times New Roman"/>
                <w:b/>
                <w:color w:val="000000"/>
                <w:spacing w:val="-2"/>
                <w:sz w:val="22"/>
                <w:szCs w:val="22"/>
                <w:lang w:eastAsia="en-US"/>
              </w:rPr>
              <w:t xml:space="preserve">Wpływ na </w:t>
            </w:r>
            <w:r w:rsidRPr="00FA7205">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FA7205" w:rsidRPr="00FA7205" w:rsidTr="00504B63">
        <w:trPr>
          <w:gridAfter w:val="1"/>
          <w:wAfter w:w="10" w:type="dxa"/>
          <w:trHeight w:val="142"/>
        </w:trPr>
        <w:tc>
          <w:tcPr>
            <w:tcW w:w="10937" w:type="dxa"/>
            <w:gridSpan w:val="29"/>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pacing w:val="-2"/>
                <w:sz w:val="21"/>
                <w:szCs w:val="21"/>
                <w:lang w:eastAsia="en-US"/>
              </w:rPr>
            </w:pPr>
            <w:r w:rsidRPr="00FA7205">
              <w:rPr>
                <w:rFonts w:eastAsia="Calibri" w:cs="Times New Roman"/>
                <w:color w:val="000000"/>
                <w:spacing w:val="-2"/>
                <w:sz w:val="21"/>
                <w:szCs w:val="21"/>
                <w:lang w:eastAsia="en-US"/>
              </w:rPr>
              <w:t>Skutki</w:t>
            </w:r>
          </w:p>
        </w:tc>
      </w:tr>
      <w:tr w:rsidR="00FA7205" w:rsidRPr="00FA7205" w:rsidTr="00504B63">
        <w:trPr>
          <w:gridAfter w:val="1"/>
          <w:wAfter w:w="10" w:type="dxa"/>
          <w:trHeight w:val="142"/>
        </w:trPr>
        <w:tc>
          <w:tcPr>
            <w:tcW w:w="3889" w:type="dxa"/>
            <w:gridSpan w:val="7"/>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Czas w latach od wejścia w życie zmian</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1</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2</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3</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5</w:t>
            </w:r>
          </w:p>
        </w:tc>
        <w:tc>
          <w:tcPr>
            <w:tcW w:w="938"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10</w:t>
            </w:r>
          </w:p>
        </w:tc>
        <w:tc>
          <w:tcPr>
            <w:tcW w:w="1422"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i/>
                <w:color w:val="000000"/>
                <w:spacing w:val="-2"/>
                <w:sz w:val="21"/>
                <w:szCs w:val="21"/>
                <w:lang w:eastAsia="en-US"/>
              </w:rPr>
            </w:pPr>
            <w:r w:rsidRPr="00FA7205">
              <w:rPr>
                <w:rFonts w:eastAsia="Calibri" w:cs="Times New Roman"/>
                <w:i/>
                <w:color w:val="000000"/>
                <w:spacing w:val="-2"/>
                <w:sz w:val="21"/>
                <w:szCs w:val="21"/>
                <w:lang w:eastAsia="en-US"/>
              </w:rPr>
              <w:t>Łącznie</w:t>
            </w:r>
            <w:r w:rsidRPr="00FA7205" w:rsidDel="0073273A">
              <w:rPr>
                <w:rFonts w:eastAsia="Calibri" w:cs="Times New Roman"/>
                <w:i/>
                <w:color w:val="000000"/>
                <w:spacing w:val="-2"/>
                <w:sz w:val="21"/>
                <w:szCs w:val="21"/>
                <w:lang w:eastAsia="en-US"/>
              </w:rPr>
              <w:t xml:space="preserve"> </w:t>
            </w:r>
            <w:r w:rsidRPr="00FA7205">
              <w:rPr>
                <w:rFonts w:eastAsia="Calibri" w:cs="Times New Roman"/>
                <w:i/>
                <w:color w:val="000000"/>
                <w:spacing w:val="-2"/>
                <w:sz w:val="21"/>
                <w:szCs w:val="21"/>
                <w:lang w:eastAsia="en-US"/>
              </w:rPr>
              <w:t>(0-10)</w:t>
            </w:r>
          </w:p>
        </w:tc>
      </w:tr>
      <w:tr w:rsidR="00FA7205" w:rsidRPr="00FA7205" w:rsidTr="00504B63">
        <w:trPr>
          <w:gridAfter w:val="1"/>
          <w:wAfter w:w="10" w:type="dxa"/>
          <w:trHeight w:val="142"/>
        </w:trPr>
        <w:tc>
          <w:tcPr>
            <w:tcW w:w="1596" w:type="dxa"/>
            <w:vMerge w:val="restart"/>
            <w:shd w:val="clear" w:color="auto" w:fill="FFFFFF"/>
          </w:tcPr>
          <w:p w:rsidR="00FA7205" w:rsidRPr="00FA7205" w:rsidRDefault="00FA7205" w:rsidP="00FA7205">
            <w:pPr>
              <w:widowControl/>
              <w:autoSpaceDE/>
              <w:autoSpaceDN/>
              <w:adjustRightInd/>
              <w:spacing w:line="276"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W ujęciu pieniężnym</w:t>
            </w:r>
          </w:p>
          <w:p w:rsidR="00FA7205" w:rsidRPr="00FA7205" w:rsidRDefault="00FA7205" w:rsidP="00FA7205">
            <w:pPr>
              <w:widowControl/>
              <w:autoSpaceDE/>
              <w:autoSpaceDN/>
              <w:adjustRightInd/>
              <w:spacing w:line="276" w:lineRule="auto"/>
              <w:jc w:val="left"/>
              <w:rPr>
                <w:rFonts w:eastAsia="Calibri" w:cs="Times New Roman"/>
                <w:spacing w:val="-2"/>
                <w:sz w:val="21"/>
                <w:szCs w:val="21"/>
                <w:lang w:eastAsia="en-US"/>
              </w:rPr>
            </w:pPr>
            <w:r w:rsidRPr="00FA7205">
              <w:rPr>
                <w:rFonts w:eastAsia="Calibri" w:cs="Times New Roman"/>
                <w:spacing w:val="-2"/>
                <w:sz w:val="21"/>
                <w:szCs w:val="21"/>
                <w:lang w:eastAsia="en-US"/>
              </w:rPr>
              <w:t xml:space="preserve">(w mln zł, </w:t>
            </w:r>
          </w:p>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spacing w:val="-2"/>
                <w:sz w:val="21"/>
                <w:szCs w:val="21"/>
                <w:lang w:eastAsia="en-US"/>
              </w:rPr>
              <w:t>ceny stałe z 2018  r.)</w:t>
            </w:r>
          </w:p>
        </w:tc>
        <w:tc>
          <w:tcPr>
            <w:tcW w:w="2293" w:type="dxa"/>
            <w:gridSpan w:val="6"/>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duże przedsiębiorstwa</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1422"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pacing w:val="-2"/>
                <w:sz w:val="21"/>
                <w:szCs w:val="21"/>
                <w:lang w:eastAsia="en-US"/>
              </w:rPr>
            </w:pPr>
            <w:r w:rsidRPr="00FA7205">
              <w:rPr>
                <w:rFonts w:eastAsia="Calibri" w:cs="Times New Roman"/>
                <w:color w:val="000000"/>
                <w:spacing w:val="-2"/>
                <w:sz w:val="21"/>
                <w:szCs w:val="21"/>
                <w:lang w:eastAsia="en-US"/>
              </w:rPr>
              <w:t>0</w:t>
            </w:r>
          </w:p>
        </w:tc>
      </w:tr>
      <w:tr w:rsidR="00FA7205" w:rsidRPr="00FA7205" w:rsidTr="00504B63">
        <w:trPr>
          <w:gridAfter w:val="1"/>
          <w:wAfter w:w="10" w:type="dxa"/>
          <w:trHeight w:val="142"/>
        </w:trPr>
        <w:tc>
          <w:tcPr>
            <w:tcW w:w="1596" w:type="dxa"/>
            <w:vMerge/>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sektor mikro-, małych i średnich przedsiębiorstw</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1422"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pacing w:val="-2"/>
                <w:sz w:val="21"/>
                <w:szCs w:val="21"/>
                <w:lang w:eastAsia="en-US"/>
              </w:rPr>
            </w:pPr>
            <w:r w:rsidRPr="00FA7205">
              <w:rPr>
                <w:rFonts w:eastAsia="Calibri" w:cs="Times New Roman"/>
                <w:color w:val="000000"/>
                <w:spacing w:val="-2"/>
                <w:sz w:val="21"/>
                <w:szCs w:val="21"/>
                <w:lang w:eastAsia="en-US"/>
              </w:rPr>
              <w:t>0</w:t>
            </w:r>
          </w:p>
        </w:tc>
      </w:tr>
      <w:tr w:rsidR="00FA7205" w:rsidRPr="00FA7205" w:rsidTr="00504B63">
        <w:trPr>
          <w:gridAfter w:val="1"/>
          <w:wAfter w:w="10" w:type="dxa"/>
          <w:trHeight w:val="142"/>
        </w:trPr>
        <w:tc>
          <w:tcPr>
            <w:tcW w:w="1596" w:type="dxa"/>
            <w:vMerge/>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sz w:val="21"/>
                <w:szCs w:val="21"/>
                <w:lang w:eastAsia="en-US"/>
              </w:rPr>
              <w:t>rodzina, obywatele oraz gospodarstwa domowe</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7"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4"/>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938" w:type="dxa"/>
            <w:gridSpan w:val="3"/>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z w:val="21"/>
                <w:szCs w:val="21"/>
                <w:lang w:eastAsia="en-US"/>
              </w:rPr>
            </w:pPr>
            <w:r w:rsidRPr="00FA7205">
              <w:rPr>
                <w:rFonts w:eastAsia="Calibri" w:cs="Times New Roman"/>
                <w:color w:val="000000"/>
                <w:sz w:val="21"/>
                <w:szCs w:val="21"/>
                <w:lang w:eastAsia="en-US"/>
              </w:rPr>
              <w:t>0</w:t>
            </w:r>
          </w:p>
        </w:tc>
        <w:tc>
          <w:tcPr>
            <w:tcW w:w="1422" w:type="dxa"/>
            <w:shd w:val="clear" w:color="auto" w:fill="FFFFFF"/>
          </w:tcPr>
          <w:p w:rsidR="00FA7205" w:rsidRPr="00FA7205" w:rsidRDefault="00FA7205" w:rsidP="00FA7205">
            <w:pPr>
              <w:widowControl/>
              <w:autoSpaceDE/>
              <w:autoSpaceDN/>
              <w:adjustRightInd/>
              <w:spacing w:line="240" w:lineRule="auto"/>
              <w:jc w:val="center"/>
              <w:rPr>
                <w:rFonts w:eastAsia="Calibri" w:cs="Times New Roman"/>
                <w:color w:val="000000"/>
                <w:spacing w:val="-2"/>
                <w:sz w:val="21"/>
                <w:szCs w:val="21"/>
                <w:lang w:eastAsia="en-US"/>
              </w:rPr>
            </w:pPr>
            <w:r w:rsidRPr="00FA7205">
              <w:rPr>
                <w:rFonts w:eastAsia="Calibri" w:cs="Times New Roman"/>
                <w:color w:val="000000"/>
                <w:spacing w:val="-2"/>
                <w:sz w:val="21"/>
                <w:szCs w:val="21"/>
                <w:lang w:eastAsia="en-US"/>
              </w:rPr>
              <w:t>0</w:t>
            </w:r>
          </w:p>
        </w:tc>
      </w:tr>
      <w:tr w:rsidR="00FA7205" w:rsidRPr="00FA7205" w:rsidTr="00504B63">
        <w:trPr>
          <w:gridAfter w:val="1"/>
          <w:wAfter w:w="10" w:type="dxa"/>
          <w:trHeight w:val="142"/>
        </w:trPr>
        <w:tc>
          <w:tcPr>
            <w:tcW w:w="1596" w:type="dxa"/>
            <w:vMerge w:val="restart"/>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W ujęciu niepieniężnym</w:t>
            </w:r>
          </w:p>
        </w:tc>
        <w:tc>
          <w:tcPr>
            <w:tcW w:w="2293" w:type="dxa"/>
            <w:gridSpan w:val="6"/>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duże przedsiębiorstwa</w:t>
            </w:r>
          </w:p>
        </w:tc>
        <w:tc>
          <w:tcPr>
            <w:tcW w:w="7048" w:type="dxa"/>
            <w:gridSpan w:val="2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Brak wpływu</w:t>
            </w:r>
          </w:p>
        </w:tc>
      </w:tr>
      <w:tr w:rsidR="00FA7205" w:rsidRPr="00FA7205" w:rsidTr="00504B63">
        <w:trPr>
          <w:gridAfter w:val="1"/>
          <w:wAfter w:w="10" w:type="dxa"/>
          <w:trHeight w:val="142"/>
        </w:trPr>
        <w:tc>
          <w:tcPr>
            <w:tcW w:w="1596" w:type="dxa"/>
            <w:vMerge/>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r w:rsidRPr="00FA7205">
              <w:rPr>
                <w:rFonts w:eastAsia="Calibri" w:cs="Times New Roman"/>
                <w:color w:val="000000"/>
                <w:sz w:val="21"/>
                <w:szCs w:val="21"/>
                <w:lang w:eastAsia="en-US"/>
              </w:rPr>
              <w:t>sektor mikro-, małych i średnich przedsiębiorstw</w:t>
            </w:r>
          </w:p>
        </w:tc>
        <w:tc>
          <w:tcPr>
            <w:tcW w:w="7048" w:type="dxa"/>
            <w:gridSpan w:val="2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Brak wpływu</w:t>
            </w:r>
          </w:p>
        </w:tc>
      </w:tr>
      <w:tr w:rsidR="00FA7205" w:rsidRPr="00FA7205" w:rsidTr="00504B63">
        <w:trPr>
          <w:gridAfter w:val="1"/>
          <w:wAfter w:w="10" w:type="dxa"/>
          <w:trHeight w:val="596"/>
        </w:trPr>
        <w:tc>
          <w:tcPr>
            <w:tcW w:w="1596" w:type="dxa"/>
            <w:vMerge/>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A7205" w:rsidRPr="00FA7205" w:rsidRDefault="00FA7205" w:rsidP="00FA7205">
            <w:pPr>
              <w:widowControl/>
              <w:tabs>
                <w:tab w:val="right" w:pos="1936"/>
              </w:tabs>
              <w:autoSpaceDE/>
              <w:autoSpaceDN/>
              <w:adjustRightInd/>
              <w:spacing w:line="240" w:lineRule="auto"/>
              <w:jc w:val="left"/>
              <w:rPr>
                <w:rFonts w:eastAsia="Calibri" w:cs="Times New Roman"/>
                <w:sz w:val="21"/>
                <w:szCs w:val="21"/>
                <w:lang w:eastAsia="en-US"/>
              </w:rPr>
            </w:pPr>
          </w:p>
          <w:p w:rsidR="00FA7205" w:rsidRPr="00FA7205" w:rsidRDefault="00FA7205" w:rsidP="00FA7205">
            <w:pPr>
              <w:widowControl/>
              <w:tabs>
                <w:tab w:val="right" w:pos="1936"/>
              </w:tabs>
              <w:autoSpaceDE/>
              <w:autoSpaceDN/>
              <w:adjustRightInd/>
              <w:spacing w:line="240" w:lineRule="auto"/>
              <w:jc w:val="left"/>
              <w:rPr>
                <w:rFonts w:eastAsia="Calibri" w:cs="Times New Roman"/>
                <w:color w:val="000000"/>
                <w:sz w:val="21"/>
                <w:szCs w:val="21"/>
                <w:lang w:eastAsia="en-US"/>
              </w:rPr>
            </w:pPr>
            <w:r w:rsidRPr="00FA7205">
              <w:rPr>
                <w:rFonts w:eastAsia="Calibri" w:cs="Times New Roman"/>
                <w:sz w:val="21"/>
                <w:szCs w:val="21"/>
                <w:lang w:eastAsia="en-US"/>
              </w:rPr>
              <w:t>rodzina, obywatele oraz gospodarstwa domowe</w:t>
            </w:r>
            <w:r w:rsidRPr="00FA7205">
              <w:rPr>
                <w:rFonts w:eastAsia="Calibri" w:cs="Times New Roman"/>
                <w:color w:val="000000"/>
                <w:sz w:val="21"/>
                <w:szCs w:val="21"/>
                <w:lang w:eastAsia="en-US"/>
              </w:rPr>
              <w:t xml:space="preserve"> </w:t>
            </w:r>
          </w:p>
        </w:tc>
        <w:tc>
          <w:tcPr>
            <w:tcW w:w="7048" w:type="dxa"/>
            <w:gridSpan w:val="22"/>
            <w:shd w:val="clear" w:color="auto" w:fill="FFFFFF"/>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Przedmiotowa regulacja umożliwi Członkom Korpusu Weteranów Walk o Niepodległość Rzeczypospolitej Polskiej legitymującym się kartą kombatanta uzyskanie identycznych uprawnień do tych jakie zostały przyznane posiadaczom karty parkingowej. </w:t>
            </w:r>
          </w:p>
        </w:tc>
      </w:tr>
      <w:tr w:rsidR="00FA7205" w:rsidRPr="00FA7205" w:rsidTr="00504B63">
        <w:trPr>
          <w:gridAfter w:val="1"/>
          <w:wAfter w:w="10" w:type="dxa"/>
          <w:trHeight w:val="342"/>
        </w:trPr>
        <w:tc>
          <w:tcPr>
            <w:tcW w:w="10937" w:type="dxa"/>
            <w:gridSpan w:val="29"/>
            <w:shd w:val="clear" w:color="auto" w:fill="99CCFF"/>
            <w:vAlign w:val="center"/>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color w:val="000000"/>
                <w:sz w:val="22"/>
                <w:szCs w:val="22"/>
                <w:lang w:eastAsia="en-US"/>
              </w:rPr>
              <w:t xml:space="preserve"> Zmiana obciążeń regulacyjnych (w tym obowiązków informacyjnych) wynikających z projektu.</w:t>
            </w:r>
          </w:p>
        </w:tc>
      </w:tr>
      <w:tr w:rsidR="00FA7205" w:rsidRPr="00FA7205" w:rsidTr="00504B63">
        <w:trPr>
          <w:gridAfter w:val="1"/>
          <w:wAfter w:w="10" w:type="dxa"/>
          <w:trHeight w:val="151"/>
        </w:trPr>
        <w:tc>
          <w:tcPr>
            <w:tcW w:w="10937" w:type="dxa"/>
            <w:gridSpan w:val="29"/>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
                  <w:enabled/>
                  <w:calcOnExit w:val="0"/>
                  <w:statusText w:type="autoText" w:val="- STRONA -"/>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2"/>
                <w:szCs w:val="22"/>
                <w:lang w:eastAsia="en-US"/>
              </w:rPr>
              <w:t xml:space="preserve"> </w:t>
            </w:r>
            <w:r w:rsidRPr="00FA7205">
              <w:rPr>
                <w:rFonts w:eastAsia="Calibri" w:cs="Times New Roman"/>
                <w:color w:val="000000"/>
                <w:spacing w:val="-2"/>
                <w:sz w:val="22"/>
                <w:szCs w:val="22"/>
                <w:lang w:eastAsia="en-US"/>
              </w:rPr>
              <w:t>nie dotyczy</w:t>
            </w:r>
          </w:p>
        </w:tc>
      </w:tr>
      <w:tr w:rsidR="00FA7205" w:rsidRPr="00FA7205" w:rsidTr="00504B63">
        <w:trPr>
          <w:gridAfter w:val="1"/>
          <w:wAfter w:w="10" w:type="dxa"/>
          <w:trHeight w:val="946"/>
        </w:trPr>
        <w:tc>
          <w:tcPr>
            <w:tcW w:w="5111" w:type="dxa"/>
            <w:gridSpan w:val="12"/>
            <w:shd w:val="clear" w:color="auto" w:fill="FFFFFF"/>
          </w:tcPr>
          <w:p w:rsidR="00FA7205" w:rsidRPr="00FA7205" w:rsidRDefault="00FA7205" w:rsidP="00FA7205">
            <w:pPr>
              <w:widowControl/>
              <w:autoSpaceDE/>
              <w:autoSpaceDN/>
              <w:adjustRightInd/>
              <w:spacing w:line="276" w:lineRule="auto"/>
              <w:jc w:val="left"/>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Wprowadzane są obciążenia poza bezwzględnie wymaganymi przez UE </w:t>
            </w:r>
            <w:r w:rsidRPr="00FA7205">
              <w:rPr>
                <w:rFonts w:eastAsia="Calibri" w:cs="Times New Roman"/>
                <w:color w:val="000000"/>
                <w:sz w:val="22"/>
                <w:szCs w:val="22"/>
                <w:lang w:eastAsia="en-US"/>
              </w:rPr>
              <w:t>(szczegóły w odwróconej tabeli zgodności).</w:t>
            </w:r>
          </w:p>
        </w:tc>
        <w:tc>
          <w:tcPr>
            <w:tcW w:w="5826" w:type="dxa"/>
            <w:gridSpan w:val="17"/>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2"/>
                <w:szCs w:val="22"/>
                <w:lang w:eastAsia="en-US"/>
              </w:rPr>
              <w:t xml:space="preserve"> tak</w:t>
            </w: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2"/>
                <w:szCs w:val="22"/>
                <w:lang w:eastAsia="en-US"/>
              </w:rPr>
              <w:t xml:space="preserve"> nie</w:t>
            </w:r>
          </w:p>
          <w:p w:rsidR="00FA7205" w:rsidRPr="00FA7205" w:rsidRDefault="00FA7205" w:rsidP="00FA7205">
            <w:pPr>
              <w:widowControl/>
              <w:autoSpaceDE/>
              <w:autoSpaceDN/>
              <w:adjustRightInd/>
              <w:spacing w:line="276"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
                  <w:enabled/>
                  <w:calcOnExit w:val="0"/>
                  <w:checkBox>
                    <w:sizeAuto/>
                    <w:default w:val="1"/>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2"/>
                <w:szCs w:val="22"/>
                <w:lang w:eastAsia="en-US"/>
              </w:rPr>
              <w:t xml:space="preserve"> nie dotyczy</w:t>
            </w:r>
          </w:p>
        </w:tc>
      </w:tr>
      <w:tr w:rsidR="00FA7205" w:rsidRPr="00FA7205" w:rsidTr="00504B63">
        <w:trPr>
          <w:gridAfter w:val="1"/>
          <w:wAfter w:w="10" w:type="dxa"/>
          <w:trHeight w:val="1245"/>
        </w:trPr>
        <w:tc>
          <w:tcPr>
            <w:tcW w:w="5111" w:type="dxa"/>
            <w:gridSpan w:val="12"/>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 xml:space="preserve">zmniejszenie liczby dokumentów </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zmniejszenie liczby procedur</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skrócenie czasu na załatwienie sprawy</w:t>
            </w:r>
          </w:p>
          <w:p w:rsidR="00FA7205" w:rsidRPr="00FA7205" w:rsidRDefault="00FA7205" w:rsidP="00FA7205">
            <w:pPr>
              <w:widowControl/>
              <w:autoSpaceDE/>
              <w:autoSpaceDN/>
              <w:adjustRightInd/>
              <w:spacing w:line="276" w:lineRule="auto"/>
              <w:jc w:val="left"/>
              <w:rPr>
                <w:rFonts w:eastAsia="Calibri" w:cs="Times New Roman"/>
                <w:b/>
                <w:color w:val="000000"/>
                <w:spacing w:val="-2"/>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inne:</w:t>
            </w:r>
            <w:r w:rsidRPr="00FA7205">
              <w:rPr>
                <w:rFonts w:eastAsia="Calibri" w:cs="Times New Roman"/>
                <w:color w:val="000000"/>
                <w:sz w:val="22"/>
                <w:szCs w:val="22"/>
                <w:lang w:eastAsia="en-US"/>
              </w:rPr>
              <w:t xml:space="preserve"> </w:t>
            </w:r>
          </w:p>
        </w:tc>
        <w:tc>
          <w:tcPr>
            <w:tcW w:w="5826" w:type="dxa"/>
            <w:gridSpan w:val="17"/>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
                  <w:enabled/>
                  <w:calcOnExit w:val="0"/>
                  <w:checkBox>
                    <w:sizeAuto/>
                    <w:default w:val="1"/>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zwiększenie liczby dokumentów</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
                  <w:enabled/>
                  <w:calcOnExit w:val="0"/>
                  <w:checkBox>
                    <w:sizeAuto/>
                    <w:default w:val="1"/>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zwiększenie liczby procedur</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wydłużenie czasu na załatwienie sprawy</w:t>
            </w: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inne:</w:t>
            </w:r>
            <w:r w:rsidRPr="00FA7205">
              <w:rPr>
                <w:rFonts w:eastAsia="Calibri" w:cs="Times New Roman"/>
                <w:color w:val="000000"/>
                <w:sz w:val="22"/>
                <w:szCs w:val="22"/>
                <w:lang w:eastAsia="en-US"/>
              </w:rPr>
              <w:t xml:space="preserve"> </w:t>
            </w: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p>
        </w:tc>
      </w:tr>
      <w:tr w:rsidR="00FA7205" w:rsidRPr="00FA7205" w:rsidTr="00504B63">
        <w:trPr>
          <w:gridAfter w:val="1"/>
          <w:wAfter w:w="10" w:type="dxa"/>
          <w:trHeight w:val="630"/>
        </w:trPr>
        <w:tc>
          <w:tcPr>
            <w:tcW w:w="10937" w:type="dxa"/>
            <w:gridSpan w:val="29"/>
            <w:shd w:val="clear" w:color="auto" w:fill="FFFFFF"/>
          </w:tcPr>
          <w:p w:rsidR="00FA7205" w:rsidRPr="00FA7205" w:rsidRDefault="00FA7205" w:rsidP="00FA7205">
            <w:pPr>
              <w:widowControl/>
              <w:autoSpaceDE/>
              <w:autoSpaceDN/>
              <w:adjustRightInd/>
              <w:spacing w:line="240" w:lineRule="auto"/>
              <w:rPr>
                <w:rFonts w:eastAsia="Calibri" w:cs="Times New Roman"/>
                <w:color w:val="000000"/>
                <w:sz w:val="22"/>
                <w:szCs w:val="22"/>
                <w:lang w:eastAsia="en-US"/>
              </w:rPr>
            </w:pPr>
            <w:r w:rsidRPr="00FA7205">
              <w:rPr>
                <w:rFonts w:eastAsia="Calibri" w:cs="Times New Roman"/>
                <w:color w:val="000000"/>
                <w:sz w:val="22"/>
                <w:szCs w:val="22"/>
                <w:lang w:eastAsia="en-US"/>
              </w:rPr>
              <w:t xml:space="preserve">Przedmiotowa regulacja spowoduje niski wzrost obciążeń regulacyjnych, który będzie związany ze złożeniem wniosku o wydanie karty kombatanta.  </w:t>
            </w:r>
          </w:p>
        </w:tc>
      </w:tr>
      <w:tr w:rsidR="00FA7205" w:rsidRPr="00FA7205" w:rsidTr="00504B63">
        <w:trPr>
          <w:gridAfter w:val="1"/>
          <w:wAfter w:w="10" w:type="dxa"/>
          <w:trHeight w:val="142"/>
        </w:trPr>
        <w:tc>
          <w:tcPr>
            <w:tcW w:w="10937" w:type="dxa"/>
            <w:gridSpan w:val="29"/>
            <w:shd w:val="clear" w:color="auto" w:fill="99CCFF"/>
          </w:tcPr>
          <w:p w:rsidR="00FA7205" w:rsidRPr="00FA7205" w:rsidRDefault="00FA7205" w:rsidP="00FA7205">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FA7205">
              <w:rPr>
                <w:rFonts w:eastAsia="Calibri" w:cs="Times New Roman"/>
                <w:b/>
                <w:color w:val="000000"/>
                <w:sz w:val="22"/>
                <w:szCs w:val="22"/>
                <w:lang w:eastAsia="en-US"/>
              </w:rPr>
              <w:t xml:space="preserve">Wpływ na rynek pracy. </w:t>
            </w:r>
          </w:p>
        </w:tc>
      </w:tr>
      <w:tr w:rsidR="00FA7205" w:rsidRPr="00FA7205" w:rsidTr="00504B63">
        <w:trPr>
          <w:gridAfter w:val="1"/>
          <w:wAfter w:w="10" w:type="dxa"/>
          <w:trHeight w:val="142"/>
        </w:trPr>
        <w:tc>
          <w:tcPr>
            <w:tcW w:w="10937" w:type="dxa"/>
            <w:gridSpan w:val="29"/>
            <w:shd w:val="clear" w:color="auto" w:fill="auto"/>
          </w:tcPr>
          <w:p w:rsidR="00FA7205" w:rsidRPr="00FA7205" w:rsidRDefault="00FA7205" w:rsidP="00FA7205">
            <w:pPr>
              <w:widowControl/>
              <w:autoSpaceDE/>
              <w:autoSpaceDN/>
              <w:adjustRightInd/>
              <w:spacing w:line="240" w:lineRule="auto"/>
              <w:rPr>
                <w:rFonts w:eastAsia="Calibri" w:cs="Times New Roman"/>
                <w:color w:val="000000"/>
                <w:sz w:val="22"/>
                <w:szCs w:val="22"/>
                <w:lang w:eastAsia="en-US"/>
              </w:rPr>
            </w:pPr>
            <w:r w:rsidRPr="00FA7205">
              <w:rPr>
                <w:rFonts w:eastAsia="Calibri" w:cs="Times New Roman"/>
                <w:color w:val="000000"/>
                <w:sz w:val="22"/>
                <w:szCs w:val="22"/>
                <w:lang w:eastAsia="en-US"/>
              </w:rPr>
              <w:t>Brak wpływu.</w:t>
            </w:r>
          </w:p>
        </w:tc>
      </w:tr>
      <w:tr w:rsidR="00FA7205" w:rsidRPr="00FA7205" w:rsidTr="00504B63">
        <w:trPr>
          <w:gridAfter w:val="1"/>
          <w:wAfter w:w="10" w:type="dxa"/>
          <w:trHeight w:val="142"/>
        </w:trPr>
        <w:tc>
          <w:tcPr>
            <w:tcW w:w="10937" w:type="dxa"/>
            <w:gridSpan w:val="29"/>
            <w:shd w:val="clear" w:color="auto" w:fill="99CCFF"/>
          </w:tcPr>
          <w:p w:rsidR="00FA7205" w:rsidRPr="00FA7205" w:rsidRDefault="00FA7205" w:rsidP="00FA7205">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FA7205">
              <w:rPr>
                <w:rFonts w:eastAsia="Calibri" w:cs="Times New Roman"/>
                <w:b/>
                <w:color w:val="000000"/>
                <w:sz w:val="22"/>
                <w:szCs w:val="22"/>
                <w:lang w:eastAsia="en-US"/>
              </w:rPr>
              <w:t>Wpływ na pozostałe obszary.</w:t>
            </w:r>
          </w:p>
        </w:tc>
      </w:tr>
      <w:tr w:rsidR="00FA7205" w:rsidRPr="00FA7205" w:rsidTr="00504B63">
        <w:trPr>
          <w:gridAfter w:val="1"/>
          <w:wAfter w:w="10" w:type="dxa"/>
          <w:trHeight w:val="1031"/>
        </w:trPr>
        <w:tc>
          <w:tcPr>
            <w:tcW w:w="3547" w:type="dxa"/>
            <w:gridSpan w:val="5"/>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środowisko naturalne</w:t>
            </w: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z w:val="22"/>
                <w:szCs w:val="22"/>
                <w:lang w:eastAsia="en-US"/>
              </w:rPr>
              <w:t>sytuacja i rozwój regionalny</w:t>
            </w: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
                  <w:enabled w:val="0"/>
                  <w:calcOnExit w:val="0"/>
                  <w:checkBox>
                    <w:sizeAuto/>
                    <w:default w:val="1"/>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inne: infrastruktura, miejsca parkingowe dla osób niepełnosprawnych</w:t>
            </w:r>
          </w:p>
        </w:tc>
        <w:tc>
          <w:tcPr>
            <w:tcW w:w="3687" w:type="dxa"/>
            <w:gridSpan w:val="15"/>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demografia</w:t>
            </w: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z w:val="22"/>
                <w:szCs w:val="22"/>
                <w:lang w:eastAsia="en-US"/>
              </w:rPr>
              <w:t>mienie państwowe</w:t>
            </w:r>
          </w:p>
        </w:tc>
        <w:tc>
          <w:tcPr>
            <w:tcW w:w="3703" w:type="dxa"/>
            <w:gridSpan w:val="9"/>
            <w:shd w:val="clear" w:color="auto" w:fill="FFFFFF"/>
          </w:tcPr>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p>
          <w:p w:rsidR="00FA7205" w:rsidRPr="00FA7205" w:rsidRDefault="00FA7205" w:rsidP="00FA7205">
            <w:pPr>
              <w:widowControl/>
              <w:autoSpaceDE/>
              <w:autoSpaceDN/>
              <w:adjustRightInd/>
              <w:spacing w:line="240" w:lineRule="auto"/>
              <w:jc w:val="left"/>
              <w:rPr>
                <w:rFonts w:eastAsia="Calibri" w:cs="Times New Roman"/>
                <w:color w:val="000000"/>
                <w:spacing w:val="-2"/>
                <w:sz w:val="22"/>
                <w:szCs w:val="22"/>
                <w:lang w:eastAsia="en-US"/>
              </w:rPr>
            </w:pPr>
            <w:r w:rsidRPr="00FA7205">
              <w:rPr>
                <w:rFonts w:eastAsia="Calibri" w:cs="Times New Roman"/>
                <w:color w:val="000000"/>
                <w:sz w:val="22"/>
                <w:szCs w:val="22"/>
                <w:lang w:eastAsia="en-US"/>
              </w:rPr>
              <w:fldChar w:fldCharType="begin">
                <w:ffData>
                  <w:name w:val=""/>
                  <w:enabled w:val="0"/>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informatyzacja</w:t>
            </w:r>
          </w:p>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fldChar w:fldCharType="begin">
                <w:ffData>
                  <w:name w:val="Wybór1"/>
                  <w:enabled/>
                  <w:calcOnExit w:val="0"/>
                  <w:checkBox>
                    <w:sizeAuto/>
                    <w:default w:val="0"/>
                  </w:checkBox>
                </w:ffData>
              </w:fldChar>
            </w:r>
            <w:r w:rsidRPr="00FA7205">
              <w:rPr>
                <w:rFonts w:eastAsia="Calibri" w:cs="Times New Roman"/>
                <w:color w:val="000000"/>
                <w:sz w:val="22"/>
                <w:szCs w:val="22"/>
                <w:lang w:eastAsia="en-US"/>
              </w:rPr>
              <w:instrText xml:space="preserve"> FORMCHECKBOX </w:instrText>
            </w:r>
            <w:r w:rsidR="009F27ED">
              <w:rPr>
                <w:rFonts w:eastAsia="Calibri" w:cs="Times New Roman"/>
                <w:color w:val="000000"/>
                <w:sz w:val="22"/>
                <w:szCs w:val="22"/>
                <w:lang w:eastAsia="en-US"/>
              </w:rPr>
            </w:r>
            <w:r w:rsidR="009F27ED">
              <w:rPr>
                <w:rFonts w:eastAsia="Calibri" w:cs="Times New Roman"/>
                <w:color w:val="000000"/>
                <w:sz w:val="22"/>
                <w:szCs w:val="22"/>
                <w:lang w:eastAsia="en-US"/>
              </w:rPr>
              <w:fldChar w:fldCharType="separate"/>
            </w:r>
            <w:r w:rsidRPr="00FA7205">
              <w:rPr>
                <w:rFonts w:eastAsia="Calibri" w:cs="Times New Roman"/>
                <w:color w:val="000000"/>
                <w:sz w:val="22"/>
                <w:szCs w:val="22"/>
                <w:lang w:eastAsia="en-US"/>
              </w:rPr>
              <w:fldChar w:fldCharType="end"/>
            </w:r>
            <w:r w:rsidRPr="00FA7205">
              <w:rPr>
                <w:rFonts w:eastAsia="Calibri" w:cs="Times New Roman"/>
                <w:color w:val="000000"/>
                <w:sz w:val="20"/>
                <w:lang w:eastAsia="en-US"/>
              </w:rPr>
              <w:t xml:space="preserve"> </w:t>
            </w:r>
            <w:r w:rsidRPr="00FA7205">
              <w:rPr>
                <w:rFonts w:eastAsia="Calibri" w:cs="Times New Roman"/>
                <w:color w:val="000000"/>
                <w:spacing w:val="-2"/>
                <w:sz w:val="22"/>
                <w:szCs w:val="22"/>
                <w:lang w:eastAsia="en-US"/>
              </w:rPr>
              <w:t>zdrowie</w:t>
            </w:r>
          </w:p>
        </w:tc>
      </w:tr>
      <w:tr w:rsidR="00FA7205" w:rsidRPr="00FA7205" w:rsidTr="00504B63">
        <w:trPr>
          <w:gridAfter w:val="1"/>
          <w:wAfter w:w="10" w:type="dxa"/>
          <w:trHeight w:val="712"/>
        </w:trPr>
        <w:tc>
          <w:tcPr>
            <w:tcW w:w="2243" w:type="dxa"/>
            <w:gridSpan w:val="2"/>
            <w:shd w:val="clear" w:color="auto" w:fill="FFFFFF"/>
            <w:vAlign w:val="center"/>
          </w:tcPr>
          <w:p w:rsidR="00FA7205" w:rsidRPr="00FA7205" w:rsidRDefault="00FA7205" w:rsidP="00FA7205">
            <w:pPr>
              <w:widowControl/>
              <w:autoSpaceDE/>
              <w:autoSpaceDN/>
              <w:adjustRightInd/>
              <w:spacing w:line="240" w:lineRule="auto"/>
              <w:jc w:val="left"/>
              <w:rPr>
                <w:rFonts w:eastAsia="Calibri" w:cs="Times New Roman"/>
                <w:color w:val="000000"/>
                <w:sz w:val="22"/>
                <w:szCs w:val="22"/>
                <w:lang w:eastAsia="en-US"/>
              </w:rPr>
            </w:pPr>
            <w:r w:rsidRPr="00FA7205">
              <w:rPr>
                <w:rFonts w:eastAsia="Calibri" w:cs="Times New Roman"/>
                <w:color w:val="000000"/>
                <w:sz w:val="22"/>
                <w:szCs w:val="22"/>
                <w:lang w:eastAsia="en-US"/>
              </w:rPr>
              <w:t>Omówienie wpływu</w:t>
            </w:r>
          </w:p>
        </w:tc>
        <w:tc>
          <w:tcPr>
            <w:tcW w:w="8694" w:type="dxa"/>
            <w:gridSpan w:val="27"/>
            <w:shd w:val="clear" w:color="auto" w:fill="FFFFFF"/>
            <w:vAlign w:val="center"/>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Przedmiotowa regulacja spowoduje nadanie grupie kombatantów zaliczonych do Członków Korpusu Weteranów Walk o Niepodległość Rzeczypospolitej Polskiej,  szacowanej na ok. 25 tys. osób, identycznych uprawnień do tych jakie posiadają osoby niepełnosprawne, którym wydano kartę parkingową. </w:t>
            </w:r>
            <w:r w:rsidRPr="00FA7205">
              <w:rPr>
                <w:rFonts w:eastAsia="Calibri" w:cs="Times New Roman"/>
                <w:sz w:val="22"/>
                <w:szCs w:val="22"/>
                <w:lang w:eastAsia="en-US"/>
              </w:rPr>
              <w:t xml:space="preserve">Liczbę wniosków w wydanie karty przyjmuje się na poziomie 4.000. </w:t>
            </w:r>
            <w:r w:rsidRPr="00FA7205">
              <w:rPr>
                <w:rFonts w:eastAsia="Calibri" w:cs="Times New Roman"/>
                <w:color w:val="000000"/>
                <w:spacing w:val="-2"/>
                <w:sz w:val="22"/>
                <w:szCs w:val="22"/>
                <w:lang w:eastAsia="en-US"/>
              </w:rPr>
              <w:t xml:space="preserve">Z danych Ministerstwa Rodziny, Pracy i Polityki Społecznej wynika, że na dzień 14 lipca 2017 r. w obrocie prawnym pozostawało 420.311 kart parkingowych. Uwzględniając powyższe dane szacuje się, że wejście w życie przedmiotowej regulacji może spowodować </w:t>
            </w:r>
            <w:r w:rsidRPr="00FA7205">
              <w:rPr>
                <w:rFonts w:eastAsia="Calibri" w:cs="Times New Roman"/>
                <w:b/>
                <w:color w:val="000000"/>
                <w:spacing w:val="-2"/>
                <w:sz w:val="22"/>
                <w:szCs w:val="22"/>
                <w:lang w:eastAsia="en-US"/>
              </w:rPr>
              <w:t>1%</w:t>
            </w:r>
            <w:r w:rsidRPr="00FA7205">
              <w:rPr>
                <w:rFonts w:eastAsia="Calibri" w:cs="Times New Roman"/>
                <w:color w:val="000000"/>
                <w:spacing w:val="-2"/>
                <w:sz w:val="22"/>
                <w:szCs w:val="22"/>
                <w:lang w:eastAsia="en-US"/>
              </w:rPr>
              <w:t xml:space="preserve"> przyrost liczby uprawnionych do korzystania z miejsc parkingowych przeznaczonych dla osób niepełnosprawnych. </w:t>
            </w: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p>
          <w:p w:rsidR="00FA7205" w:rsidRPr="00FA7205" w:rsidRDefault="00FA7205" w:rsidP="00FA7205">
            <w:pPr>
              <w:widowControl/>
              <w:autoSpaceDE/>
              <w:autoSpaceDN/>
              <w:adjustRightInd/>
              <w:spacing w:line="240" w:lineRule="auto"/>
              <w:rPr>
                <w:rFonts w:eastAsia="Calibri" w:cs="Times New Roman"/>
                <w:sz w:val="22"/>
                <w:szCs w:val="22"/>
                <w:lang w:eastAsia="en-US"/>
              </w:rPr>
            </w:pPr>
            <w:r w:rsidRPr="00FA7205">
              <w:rPr>
                <w:rFonts w:eastAsia="Calibri" w:cs="Times New Roman"/>
                <w:color w:val="000000"/>
                <w:spacing w:val="-2"/>
                <w:sz w:val="22"/>
                <w:szCs w:val="22"/>
                <w:lang w:eastAsia="en-US"/>
              </w:rPr>
              <w:t xml:space="preserve">Jednakże zagadnienie obciążenia miejsc parkingowych należy rozpatrywać lokalnie, jak wynika z opracowania: </w:t>
            </w:r>
            <w:r w:rsidRPr="00FA7205">
              <w:rPr>
                <w:rFonts w:eastAsia="Calibri" w:cs="Times New Roman"/>
                <w:sz w:val="22"/>
                <w:szCs w:val="22"/>
                <w:lang w:eastAsia="en-US"/>
              </w:rPr>
              <w:t xml:space="preserve">Zeszyty Naukowo – Techniczne Stowarzyszenia Inżynierów i Techników Komunikacji Rzeczpospolitej Polskiej Oddział w Krakowie (seria: materiały konferencyjne nr 1 (100)/2013). Dlatego </w:t>
            </w:r>
            <w:r w:rsidRPr="00FA7205">
              <w:rPr>
                <w:rFonts w:eastAsia="Calibri" w:cs="Times New Roman"/>
                <w:color w:val="000000"/>
                <w:spacing w:val="-2"/>
                <w:sz w:val="22"/>
                <w:szCs w:val="22"/>
                <w:lang w:eastAsia="en-US"/>
              </w:rPr>
              <w:t>w załączniku do OSR (</w:t>
            </w:r>
            <w:r w:rsidRPr="00FA7205">
              <w:rPr>
                <w:rFonts w:eastAsia="Calibri" w:cs="Times New Roman"/>
                <w:i/>
                <w:color w:val="000000"/>
                <w:spacing w:val="-2"/>
                <w:sz w:val="22"/>
                <w:szCs w:val="22"/>
                <w:lang w:eastAsia="en-US"/>
              </w:rPr>
              <w:t>Informacja nt. obciążeń miejsc parkingowych</w:t>
            </w:r>
            <w:r w:rsidRPr="00FA7205">
              <w:rPr>
                <w:rFonts w:eastAsia="Calibri" w:cs="Times New Roman"/>
                <w:color w:val="000000"/>
                <w:spacing w:val="-2"/>
                <w:sz w:val="22"/>
                <w:szCs w:val="22"/>
                <w:lang w:eastAsia="en-US"/>
              </w:rPr>
              <w:t xml:space="preserve">) przedstawiono, na podstawie </w:t>
            </w:r>
            <w:r w:rsidRPr="00FA7205">
              <w:rPr>
                <w:rFonts w:eastAsia="Calibri" w:cs="Times New Roman"/>
                <w:sz w:val="22"/>
                <w:szCs w:val="22"/>
                <w:lang w:eastAsia="en-US"/>
              </w:rPr>
              <w:t xml:space="preserve">artykułów zamieszczonych w powyższym opracowaniu, przykłady jak na poziom obciążenia miejsc parkingowych wpływa położenie parkingu, pora dnia, dzień tygodnia, czy otoczenie przy którym został zlokalizowany parking. </w:t>
            </w:r>
          </w:p>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sz w:val="22"/>
                <w:szCs w:val="22"/>
                <w:lang w:eastAsia="en-US"/>
              </w:rPr>
              <w:t xml:space="preserve">Ponadto z opracowania wynika, że problem </w:t>
            </w:r>
            <w:r w:rsidRPr="00FA7205">
              <w:rPr>
                <w:rFonts w:eastAsia="Calibri" w:cs="Times New Roman"/>
                <w:color w:val="000000"/>
                <w:sz w:val="22"/>
                <w:szCs w:val="22"/>
                <w:lang w:eastAsia="en-US"/>
              </w:rPr>
              <w:t>parkowania staje się coraz ważniejszym zagadnieniem dotyczącym zwłaszcza dużych miast i aglomeracji</w:t>
            </w:r>
            <w:r w:rsidRPr="00FA7205">
              <w:rPr>
                <w:rFonts w:eastAsia="Calibri" w:cs="Times New Roman"/>
                <w:sz w:val="22"/>
                <w:szCs w:val="22"/>
                <w:lang w:eastAsia="en-US"/>
              </w:rPr>
              <w:t xml:space="preserve"> z uwagi na związany z rozwojem gospodarczym wzrost aktywności użytkowników systemu transportowego</w:t>
            </w:r>
            <w:r w:rsidRPr="00FA7205">
              <w:rPr>
                <w:rFonts w:eastAsia="Calibri" w:cs="Times New Roman"/>
                <w:color w:val="000000"/>
                <w:sz w:val="22"/>
                <w:szCs w:val="22"/>
                <w:lang w:eastAsia="en-US"/>
              </w:rPr>
              <w:t>.</w:t>
            </w:r>
            <w:r w:rsidRPr="00FA7205">
              <w:rPr>
                <w:rFonts w:eastAsia="Calibri" w:cs="Times New Roman"/>
                <w:color w:val="000000"/>
                <w:szCs w:val="24"/>
                <w:lang w:eastAsia="en-US"/>
              </w:rPr>
              <w:t xml:space="preserve"> </w:t>
            </w:r>
          </w:p>
        </w:tc>
      </w:tr>
      <w:tr w:rsidR="00FA7205" w:rsidRPr="00FA7205" w:rsidTr="00504B63">
        <w:trPr>
          <w:gridAfter w:val="1"/>
          <w:wAfter w:w="10" w:type="dxa"/>
          <w:trHeight w:val="142"/>
        </w:trPr>
        <w:tc>
          <w:tcPr>
            <w:tcW w:w="10937" w:type="dxa"/>
            <w:gridSpan w:val="29"/>
            <w:shd w:val="clear" w:color="auto" w:fill="99CCFF"/>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sz w:val="22"/>
                <w:szCs w:val="22"/>
                <w:lang w:eastAsia="en-US"/>
              </w:rPr>
            </w:pPr>
            <w:r w:rsidRPr="00FA7205">
              <w:rPr>
                <w:rFonts w:eastAsia="Calibri" w:cs="Times New Roman"/>
                <w:b/>
                <w:spacing w:val="-2"/>
                <w:sz w:val="22"/>
                <w:szCs w:val="22"/>
                <w:lang w:eastAsia="en-US"/>
              </w:rPr>
              <w:t>Planowane wykonanie przepisów aktu prawnego</w:t>
            </w:r>
            <w:r w:rsidRPr="00FA7205">
              <w:rPr>
                <w:rFonts w:eastAsia="Calibri" w:cs="Times New Roman"/>
                <w:b/>
                <w:spacing w:val="-2"/>
                <w:sz w:val="21"/>
                <w:szCs w:val="21"/>
                <w:lang w:eastAsia="en-US"/>
              </w:rPr>
              <w:t>.</w:t>
            </w:r>
          </w:p>
        </w:tc>
      </w:tr>
      <w:tr w:rsidR="00FA7205" w:rsidRPr="00FA7205" w:rsidTr="00504B63">
        <w:trPr>
          <w:gridAfter w:val="1"/>
          <w:wAfter w:w="10" w:type="dxa"/>
          <w:trHeight w:val="142"/>
        </w:trPr>
        <w:tc>
          <w:tcPr>
            <w:tcW w:w="10937" w:type="dxa"/>
            <w:gridSpan w:val="29"/>
            <w:shd w:val="clear" w:color="auto" w:fill="FFFFFF"/>
          </w:tcPr>
          <w:p w:rsidR="00FA7205" w:rsidRPr="00FA7205" w:rsidRDefault="00FA7205" w:rsidP="00FA7205">
            <w:pPr>
              <w:widowControl/>
              <w:autoSpaceDE/>
              <w:autoSpaceDN/>
              <w:adjustRightInd/>
              <w:spacing w:line="240" w:lineRule="auto"/>
              <w:rPr>
                <w:rFonts w:eastAsia="Calibri" w:cs="Times New Roman"/>
                <w:spacing w:val="-2"/>
                <w:sz w:val="22"/>
                <w:szCs w:val="22"/>
                <w:lang w:eastAsia="en-US"/>
              </w:rPr>
            </w:pPr>
            <w:r w:rsidRPr="00FA7205">
              <w:rPr>
                <w:rFonts w:eastAsia="Calibri" w:cs="Times New Roman"/>
                <w:spacing w:val="-2"/>
                <w:sz w:val="22"/>
                <w:szCs w:val="22"/>
                <w:lang w:eastAsia="en-US"/>
              </w:rPr>
              <w:t xml:space="preserve">Przepisy projektu będą miały zastosowanie od dnia jego wejścia w życie.  </w:t>
            </w:r>
          </w:p>
        </w:tc>
      </w:tr>
      <w:tr w:rsidR="00FA7205" w:rsidRPr="00FA7205" w:rsidTr="00504B63">
        <w:trPr>
          <w:gridAfter w:val="1"/>
          <w:wAfter w:w="10" w:type="dxa"/>
          <w:trHeight w:val="142"/>
        </w:trPr>
        <w:tc>
          <w:tcPr>
            <w:tcW w:w="10937" w:type="dxa"/>
            <w:gridSpan w:val="29"/>
            <w:shd w:val="clear" w:color="auto" w:fill="99CCFF"/>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FA7205">
              <w:rPr>
                <w:rFonts w:eastAsia="Calibri" w:cs="Times New Roman"/>
                <w:b/>
                <w:color w:val="000000"/>
                <w:sz w:val="22"/>
                <w:szCs w:val="22"/>
                <w:lang w:eastAsia="en-US"/>
              </w:rPr>
              <w:t xml:space="preserve"> </w:t>
            </w:r>
            <w:r w:rsidRPr="00FA7205">
              <w:rPr>
                <w:rFonts w:eastAsia="Calibri" w:cs="Times New Roman"/>
                <w:b/>
                <w:spacing w:val="-2"/>
                <w:sz w:val="22"/>
                <w:szCs w:val="22"/>
                <w:lang w:eastAsia="en-US"/>
              </w:rPr>
              <w:t>W jaki sposób i kiedy nastąpi ewaluacja efektów projektu oraz jakie mierniki zostaną zastosowane</w:t>
            </w:r>
            <w:r w:rsidRPr="00FA7205">
              <w:rPr>
                <w:rFonts w:eastAsia="Calibri" w:cs="Times New Roman"/>
                <w:b/>
                <w:spacing w:val="-2"/>
                <w:sz w:val="21"/>
                <w:szCs w:val="21"/>
                <w:lang w:eastAsia="en-US"/>
              </w:rPr>
              <w:t>?</w:t>
            </w:r>
          </w:p>
        </w:tc>
      </w:tr>
      <w:tr w:rsidR="00FA7205" w:rsidRPr="00FA7205" w:rsidTr="00504B63">
        <w:trPr>
          <w:gridAfter w:val="1"/>
          <w:wAfter w:w="10" w:type="dxa"/>
          <w:trHeight w:val="142"/>
        </w:trPr>
        <w:tc>
          <w:tcPr>
            <w:tcW w:w="10937" w:type="dxa"/>
            <w:gridSpan w:val="29"/>
            <w:shd w:val="clear" w:color="auto" w:fill="FFFFFF"/>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Z uwagi na cel ustawy dokonanie ewaluacji skutków regulacji nie jest konieczne. </w:t>
            </w:r>
          </w:p>
        </w:tc>
      </w:tr>
      <w:tr w:rsidR="00FA7205" w:rsidRPr="00FA7205" w:rsidTr="00504B63">
        <w:trPr>
          <w:gridAfter w:val="1"/>
          <w:wAfter w:w="10" w:type="dxa"/>
          <w:trHeight w:val="142"/>
        </w:trPr>
        <w:tc>
          <w:tcPr>
            <w:tcW w:w="10937" w:type="dxa"/>
            <w:gridSpan w:val="29"/>
            <w:shd w:val="clear" w:color="auto" w:fill="99CCFF"/>
          </w:tcPr>
          <w:p w:rsidR="00FA7205" w:rsidRPr="00FA7205" w:rsidRDefault="00FA7205" w:rsidP="00FA7205">
            <w:pPr>
              <w:widowControl/>
              <w:numPr>
                <w:ilvl w:val="0"/>
                <w:numId w:val="2"/>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FA7205">
              <w:rPr>
                <w:rFonts w:eastAsia="Calibri" w:cs="Times New Roman"/>
                <w:b/>
                <w:color w:val="000000"/>
                <w:spacing w:val="-2"/>
                <w:sz w:val="22"/>
                <w:szCs w:val="22"/>
                <w:lang w:eastAsia="en-US"/>
              </w:rPr>
              <w:t xml:space="preserve">Załączniki </w:t>
            </w:r>
            <w:r w:rsidRPr="00FA7205">
              <w:rPr>
                <w:rFonts w:eastAsia="Calibri" w:cs="Times New Roman"/>
                <w:b/>
                <w:spacing w:val="-2"/>
                <w:sz w:val="21"/>
                <w:szCs w:val="21"/>
                <w:lang w:eastAsia="en-US"/>
              </w:rPr>
              <w:t>(istotne dokumenty źródłowe, badania, analizy itp.</w:t>
            </w:r>
            <w:r w:rsidRPr="00FA7205">
              <w:rPr>
                <w:rFonts w:eastAsia="Calibri" w:cs="Times New Roman"/>
                <w:b/>
                <w:color w:val="000000"/>
                <w:spacing w:val="-2"/>
                <w:sz w:val="22"/>
                <w:szCs w:val="22"/>
                <w:lang w:eastAsia="en-US"/>
              </w:rPr>
              <w:t xml:space="preserve">). </w:t>
            </w:r>
          </w:p>
        </w:tc>
      </w:tr>
      <w:tr w:rsidR="00FA7205" w:rsidRPr="00FA7205" w:rsidTr="00504B63">
        <w:trPr>
          <w:gridAfter w:val="1"/>
          <w:wAfter w:w="10" w:type="dxa"/>
          <w:trHeight w:val="142"/>
        </w:trPr>
        <w:tc>
          <w:tcPr>
            <w:tcW w:w="10937" w:type="dxa"/>
            <w:gridSpan w:val="29"/>
            <w:shd w:val="clear" w:color="auto" w:fill="FFFFFF"/>
          </w:tcPr>
          <w:p w:rsidR="00FA7205" w:rsidRPr="00FA7205" w:rsidRDefault="00FA7205" w:rsidP="00FA7205">
            <w:pPr>
              <w:widowControl/>
              <w:autoSpaceDE/>
              <w:autoSpaceDN/>
              <w:adjustRightInd/>
              <w:spacing w:line="240" w:lineRule="auto"/>
              <w:rPr>
                <w:rFonts w:eastAsia="Calibri" w:cs="Times New Roman"/>
                <w:color w:val="000000"/>
                <w:spacing w:val="-2"/>
                <w:sz w:val="22"/>
                <w:szCs w:val="22"/>
                <w:lang w:eastAsia="en-US"/>
              </w:rPr>
            </w:pPr>
            <w:r w:rsidRPr="00FA7205">
              <w:rPr>
                <w:rFonts w:eastAsia="Calibri" w:cs="Times New Roman"/>
                <w:color w:val="000000"/>
                <w:spacing w:val="-2"/>
                <w:sz w:val="22"/>
                <w:szCs w:val="22"/>
                <w:lang w:eastAsia="en-US"/>
              </w:rPr>
              <w:t xml:space="preserve">Informacja nt. obciążeń miejsc parkingowych. </w:t>
            </w:r>
          </w:p>
        </w:tc>
      </w:tr>
    </w:tbl>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FA7205" w:rsidRPr="00FA7205" w:rsidRDefault="00FA7205" w:rsidP="00FA7205">
      <w:pPr>
        <w:widowControl/>
        <w:autoSpaceDE/>
        <w:autoSpaceDN/>
        <w:adjustRightInd/>
        <w:spacing w:line="276" w:lineRule="auto"/>
        <w:jc w:val="left"/>
        <w:rPr>
          <w:rFonts w:ascii="Calibri" w:eastAsia="Calibri" w:hAnsi="Calibri" w:cs="Times New Roman"/>
          <w:sz w:val="22"/>
          <w:szCs w:val="22"/>
        </w:rPr>
      </w:pPr>
    </w:p>
    <w:p w:rsidR="00640823" w:rsidRDefault="00640823" w:rsidP="00FA7205">
      <w:pPr>
        <w:widowControl/>
        <w:autoSpaceDE/>
        <w:autoSpaceDN/>
        <w:adjustRightInd/>
        <w:spacing w:line="276" w:lineRule="auto"/>
        <w:jc w:val="left"/>
        <w:rPr>
          <w:rFonts w:ascii="Calibri" w:eastAsia="Calibri" w:hAnsi="Calibri" w:cs="Times New Roman"/>
          <w:sz w:val="22"/>
          <w:szCs w:val="22"/>
        </w:rPr>
        <w:sectPr w:rsidR="00640823" w:rsidSect="00220C92">
          <w:headerReference w:type="default" r:id="rId12"/>
          <w:footerReference w:type="default" r:id="rId13"/>
          <w:pgSz w:w="11906" w:h="16838"/>
          <w:pgMar w:top="568" w:right="707" w:bottom="568" w:left="720" w:header="142" w:footer="0" w:gutter="0"/>
          <w:cols w:space="708"/>
          <w:docGrid w:linePitch="360"/>
        </w:sectPr>
      </w:pPr>
    </w:p>
    <w:p w:rsidR="00640823" w:rsidRPr="00640823" w:rsidRDefault="00640823" w:rsidP="00640823">
      <w:pPr>
        <w:widowControl/>
        <w:autoSpaceDE/>
        <w:autoSpaceDN/>
        <w:adjustRightInd/>
        <w:spacing w:line="240" w:lineRule="auto"/>
        <w:jc w:val="right"/>
        <w:rPr>
          <w:rFonts w:eastAsia="Calibri" w:cs="Times New Roman"/>
          <w:szCs w:val="24"/>
          <w:u w:val="single"/>
          <w:lang w:eastAsia="en-US"/>
        </w:rPr>
      </w:pPr>
      <w:r w:rsidRPr="00640823">
        <w:rPr>
          <w:rFonts w:eastAsia="Calibri" w:cs="Times New Roman"/>
          <w:szCs w:val="24"/>
          <w:u w:val="single"/>
          <w:lang w:eastAsia="en-US"/>
        </w:rPr>
        <w:t xml:space="preserve">Załącznik do OSR </w:t>
      </w:r>
    </w:p>
    <w:p w:rsidR="00640823" w:rsidRPr="00640823" w:rsidRDefault="00640823" w:rsidP="00640823">
      <w:pPr>
        <w:widowControl/>
        <w:autoSpaceDE/>
        <w:autoSpaceDN/>
        <w:adjustRightInd/>
        <w:spacing w:line="240" w:lineRule="auto"/>
        <w:jc w:val="center"/>
        <w:rPr>
          <w:rFonts w:eastAsia="Calibri" w:cs="Times New Roman"/>
          <w:b/>
          <w:szCs w:val="24"/>
          <w:u w:val="single"/>
          <w:lang w:eastAsia="en-US"/>
        </w:rPr>
      </w:pPr>
    </w:p>
    <w:p w:rsidR="00640823" w:rsidRPr="00640823" w:rsidRDefault="00640823" w:rsidP="00640823">
      <w:pPr>
        <w:widowControl/>
        <w:autoSpaceDE/>
        <w:autoSpaceDN/>
        <w:adjustRightInd/>
        <w:spacing w:line="240" w:lineRule="auto"/>
        <w:jc w:val="center"/>
        <w:rPr>
          <w:rFonts w:eastAsia="Calibri" w:cs="Times New Roman"/>
          <w:b/>
          <w:szCs w:val="24"/>
          <w:u w:val="single"/>
          <w:lang w:eastAsia="en-US"/>
        </w:rPr>
      </w:pPr>
      <w:r w:rsidRPr="00640823">
        <w:rPr>
          <w:rFonts w:eastAsia="Calibri" w:cs="Times New Roman"/>
          <w:b/>
          <w:szCs w:val="24"/>
          <w:u w:val="single"/>
          <w:lang w:eastAsia="en-US"/>
        </w:rPr>
        <w:t xml:space="preserve">Informacja </w:t>
      </w:r>
    </w:p>
    <w:p w:rsidR="00640823" w:rsidRPr="00640823" w:rsidRDefault="00640823" w:rsidP="00640823">
      <w:pPr>
        <w:widowControl/>
        <w:autoSpaceDE/>
        <w:autoSpaceDN/>
        <w:adjustRightInd/>
        <w:spacing w:line="240" w:lineRule="auto"/>
        <w:jc w:val="center"/>
        <w:rPr>
          <w:rFonts w:eastAsia="Calibri" w:cs="Times New Roman"/>
          <w:b/>
          <w:szCs w:val="24"/>
          <w:u w:val="single"/>
          <w:lang w:eastAsia="en-US"/>
        </w:rPr>
      </w:pPr>
      <w:r w:rsidRPr="00640823">
        <w:rPr>
          <w:rFonts w:eastAsia="Calibri" w:cs="Times New Roman"/>
          <w:b/>
          <w:szCs w:val="24"/>
          <w:u w:val="single"/>
          <w:lang w:eastAsia="en-US"/>
        </w:rPr>
        <w:t>nt. obciążeń miejsc parkingowych</w:t>
      </w:r>
    </w:p>
    <w:p w:rsidR="00640823" w:rsidRPr="00640823" w:rsidRDefault="00640823" w:rsidP="00640823">
      <w:pPr>
        <w:widowControl/>
        <w:autoSpaceDE/>
        <w:autoSpaceDN/>
        <w:adjustRightInd/>
        <w:spacing w:line="240" w:lineRule="auto"/>
        <w:jc w:val="left"/>
        <w:rPr>
          <w:rFonts w:eastAsia="Calibri" w:cs="Times New Roman"/>
          <w:b/>
          <w:szCs w:val="24"/>
          <w:u w:val="single"/>
          <w:lang w:eastAsia="en-US"/>
        </w:rPr>
      </w:pPr>
    </w:p>
    <w:p w:rsidR="00640823" w:rsidRPr="00640823" w:rsidRDefault="00640823" w:rsidP="00640823">
      <w:pPr>
        <w:widowControl/>
        <w:autoSpaceDE/>
        <w:autoSpaceDN/>
        <w:adjustRightInd/>
        <w:spacing w:line="240" w:lineRule="auto"/>
        <w:rPr>
          <w:rFonts w:eastAsia="Calibri" w:cs="Times New Roman"/>
          <w:szCs w:val="24"/>
          <w:lang w:eastAsia="en-US"/>
        </w:rPr>
      </w:pPr>
    </w:p>
    <w:p w:rsidR="00640823" w:rsidRPr="00640823" w:rsidRDefault="00640823" w:rsidP="00640823">
      <w:pPr>
        <w:widowControl/>
        <w:autoSpaceDE/>
        <w:autoSpaceDN/>
        <w:adjustRightInd/>
        <w:spacing w:line="240" w:lineRule="auto"/>
        <w:rPr>
          <w:rFonts w:eastAsia="Calibri" w:cs="Times New Roman"/>
          <w:szCs w:val="24"/>
          <w:lang w:eastAsia="en-US"/>
        </w:rPr>
      </w:pPr>
    </w:p>
    <w:p w:rsidR="00640823" w:rsidRPr="00640823" w:rsidRDefault="00640823" w:rsidP="00640823">
      <w:pPr>
        <w:widowControl/>
        <w:autoSpaceDE/>
        <w:autoSpaceDN/>
        <w:adjustRightInd/>
        <w:spacing w:line="240" w:lineRule="auto"/>
        <w:rPr>
          <w:rFonts w:eastAsia="Calibri" w:cs="Times New Roman"/>
          <w:szCs w:val="24"/>
          <w:lang w:eastAsia="en-US"/>
        </w:rPr>
      </w:pPr>
    </w:p>
    <w:p w:rsidR="00640823" w:rsidRPr="00640823" w:rsidRDefault="00640823" w:rsidP="00640823">
      <w:pPr>
        <w:widowControl/>
        <w:autoSpaceDE/>
        <w:autoSpaceDN/>
        <w:adjustRightInd/>
        <w:spacing w:line="240" w:lineRule="auto"/>
        <w:rPr>
          <w:rFonts w:eastAsia="Calibri" w:cs="Times New Roman"/>
          <w:color w:val="000000"/>
          <w:szCs w:val="24"/>
          <w:lang w:eastAsia="en-US"/>
        </w:rPr>
      </w:pPr>
      <w:r w:rsidRPr="00640823">
        <w:rPr>
          <w:rFonts w:eastAsia="Calibri" w:cs="Times New Roman"/>
          <w:szCs w:val="24"/>
          <w:lang w:eastAsia="en-US"/>
        </w:rPr>
        <w:t xml:space="preserve">Rozwój gospodarczy i związany z tym wzrost aktywności użytkowników systemu transportowego powoduje, że problem </w:t>
      </w:r>
      <w:r w:rsidRPr="00640823">
        <w:rPr>
          <w:rFonts w:eastAsia="Calibri" w:cs="Times New Roman"/>
          <w:color w:val="000000"/>
          <w:szCs w:val="24"/>
          <w:lang w:eastAsia="en-US"/>
        </w:rPr>
        <w:t>parkowania staje się coraz ważniejszym zagadnieniem, dotyczącym zwłaszcza dużych miast i aglomeracji. W związku z tym coraz większą akceptację społeczną zyskują środki regulujące popyt na miejsca parkingowe, w tym przede wszystkim wprowadzanie stref płatnego parkowania. W polskich warunkach, w miastach powyżej 50 tys. mieszkańców wyznacza się strefy płatnego parkowania. Są one organizowane zazwyczaj w centrach miast, a ich głównym celem jest zarządzanie dostępnością tych obszarów. Co do wielkości są one zróżnicowane, największe strefy płatnego parkowania znajdują się</w:t>
      </w:r>
      <w:r w:rsidRPr="00640823">
        <w:rPr>
          <w:rFonts w:eastAsia="Calibri" w:cs="Times New Roman"/>
          <w:color w:val="000000"/>
          <w:szCs w:val="24"/>
          <w:vertAlign w:val="superscript"/>
          <w:lang w:eastAsia="en-US"/>
        </w:rPr>
        <w:footnoteReference w:id="3"/>
      </w:r>
      <w:r w:rsidRPr="00640823">
        <w:rPr>
          <w:rFonts w:eastAsia="Calibri" w:cs="Times New Roman"/>
          <w:color w:val="000000"/>
          <w:szCs w:val="24"/>
          <w:lang w:eastAsia="en-US"/>
        </w:rPr>
        <w:t>:</w:t>
      </w:r>
    </w:p>
    <w:p w:rsidR="00640823" w:rsidRPr="00640823" w:rsidRDefault="00640823" w:rsidP="00640823">
      <w:pPr>
        <w:widowControl/>
        <w:autoSpaceDE/>
        <w:autoSpaceDN/>
        <w:adjustRightInd/>
        <w:spacing w:line="240" w:lineRule="auto"/>
        <w:rPr>
          <w:rFonts w:eastAsia="Calibri" w:cs="Times New Roman"/>
          <w:color w:val="000000"/>
          <w:szCs w:val="24"/>
          <w:lang w:eastAsia="en-US"/>
        </w:rPr>
      </w:pPr>
    </w:p>
    <w:p w:rsidR="00640823" w:rsidRPr="00640823" w:rsidRDefault="00640823" w:rsidP="00640823">
      <w:pPr>
        <w:widowControl/>
        <w:autoSpaceDE/>
        <w:autoSpaceDN/>
        <w:adjustRightInd/>
        <w:spacing w:line="240" w:lineRule="auto"/>
        <w:rPr>
          <w:rFonts w:eastAsia="Calibri" w:cs="Times New Roman"/>
          <w:color w:val="000000"/>
          <w:szCs w:val="24"/>
          <w:lang w:eastAsia="en-US"/>
        </w:rPr>
      </w:pPr>
    </w:p>
    <w:p w:rsidR="00640823" w:rsidRPr="00640823" w:rsidRDefault="00640823" w:rsidP="00640823">
      <w:pPr>
        <w:widowControl/>
        <w:numPr>
          <w:ilvl w:val="0"/>
          <w:numId w:val="3"/>
        </w:numPr>
        <w:autoSpaceDE/>
        <w:autoSpaceDN/>
        <w:adjustRightInd/>
        <w:spacing w:line="240" w:lineRule="auto"/>
        <w:contextualSpacing/>
        <w:jc w:val="left"/>
        <w:rPr>
          <w:rFonts w:eastAsia="Calibri" w:cs="Times New Roman"/>
          <w:color w:val="000000"/>
          <w:szCs w:val="24"/>
          <w:lang w:eastAsia="en-US"/>
        </w:rPr>
      </w:pPr>
      <w:r w:rsidRPr="00640823">
        <w:rPr>
          <w:rFonts w:eastAsia="Calibri" w:cs="Times New Roman"/>
          <w:color w:val="000000"/>
          <w:szCs w:val="24"/>
          <w:lang w:eastAsia="en-US"/>
        </w:rPr>
        <w:t xml:space="preserve">w Warszawie (ok. 22 tys. miejsc parkingowych), </w:t>
      </w:r>
    </w:p>
    <w:p w:rsidR="00640823" w:rsidRPr="00640823" w:rsidRDefault="00640823" w:rsidP="00640823">
      <w:pPr>
        <w:widowControl/>
        <w:numPr>
          <w:ilvl w:val="0"/>
          <w:numId w:val="3"/>
        </w:numPr>
        <w:autoSpaceDE/>
        <w:autoSpaceDN/>
        <w:adjustRightInd/>
        <w:spacing w:line="240" w:lineRule="auto"/>
        <w:contextualSpacing/>
        <w:jc w:val="left"/>
        <w:rPr>
          <w:rFonts w:eastAsia="Calibri" w:cs="Times New Roman"/>
          <w:color w:val="000000"/>
          <w:szCs w:val="24"/>
          <w:lang w:eastAsia="en-US"/>
        </w:rPr>
      </w:pPr>
      <w:r w:rsidRPr="00640823">
        <w:rPr>
          <w:rFonts w:eastAsia="Calibri" w:cs="Times New Roman"/>
          <w:color w:val="000000"/>
          <w:szCs w:val="24"/>
          <w:lang w:eastAsia="en-US"/>
        </w:rPr>
        <w:t xml:space="preserve">w Krakowie (ok. 11 tys. miejsc parkingowych), </w:t>
      </w:r>
    </w:p>
    <w:p w:rsidR="00640823" w:rsidRPr="00640823" w:rsidRDefault="00640823" w:rsidP="00640823">
      <w:pPr>
        <w:widowControl/>
        <w:numPr>
          <w:ilvl w:val="0"/>
          <w:numId w:val="3"/>
        </w:numPr>
        <w:autoSpaceDE/>
        <w:autoSpaceDN/>
        <w:adjustRightInd/>
        <w:spacing w:line="240" w:lineRule="auto"/>
        <w:contextualSpacing/>
        <w:jc w:val="left"/>
        <w:rPr>
          <w:rFonts w:eastAsia="Calibri" w:cs="Times New Roman"/>
          <w:color w:val="000000"/>
          <w:szCs w:val="24"/>
          <w:lang w:eastAsia="en-US"/>
        </w:rPr>
      </w:pPr>
      <w:r w:rsidRPr="00640823">
        <w:rPr>
          <w:rFonts w:eastAsia="Calibri" w:cs="Times New Roman"/>
          <w:color w:val="000000"/>
          <w:szCs w:val="24"/>
          <w:lang w:eastAsia="en-US"/>
        </w:rPr>
        <w:t xml:space="preserve">w Szczecinie (ok. 8,5 tys. miejsc parkingowych), </w:t>
      </w:r>
    </w:p>
    <w:p w:rsidR="00640823" w:rsidRPr="00640823" w:rsidRDefault="00640823" w:rsidP="00640823">
      <w:pPr>
        <w:widowControl/>
        <w:numPr>
          <w:ilvl w:val="0"/>
          <w:numId w:val="3"/>
        </w:numPr>
        <w:autoSpaceDE/>
        <w:autoSpaceDN/>
        <w:adjustRightInd/>
        <w:spacing w:line="240" w:lineRule="auto"/>
        <w:contextualSpacing/>
        <w:jc w:val="left"/>
        <w:rPr>
          <w:rFonts w:eastAsia="Calibri" w:cs="Times New Roman"/>
          <w:color w:val="000000"/>
          <w:szCs w:val="24"/>
          <w:lang w:eastAsia="en-US"/>
        </w:rPr>
      </w:pPr>
      <w:r w:rsidRPr="00640823">
        <w:rPr>
          <w:rFonts w:eastAsia="Calibri" w:cs="Times New Roman"/>
          <w:color w:val="000000"/>
          <w:szCs w:val="24"/>
          <w:lang w:eastAsia="en-US"/>
        </w:rPr>
        <w:t xml:space="preserve">w Poznaniu (ok. 6 tys. miejsc parkingowych), </w:t>
      </w:r>
    </w:p>
    <w:p w:rsidR="00640823" w:rsidRPr="00640823" w:rsidRDefault="00640823" w:rsidP="00640823">
      <w:pPr>
        <w:widowControl/>
        <w:numPr>
          <w:ilvl w:val="0"/>
          <w:numId w:val="3"/>
        </w:numPr>
        <w:autoSpaceDE/>
        <w:autoSpaceDN/>
        <w:adjustRightInd/>
        <w:spacing w:line="240" w:lineRule="auto"/>
        <w:contextualSpacing/>
        <w:jc w:val="left"/>
        <w:rPr>
          <w:rFonts w:eastAsia="Calibri" w:cs="Times New Roman"/>
          <w:color w:val="000000"/>
          <w:szCs w:val="24"/>
          <w:lang w:eastAsia="en-US"/>
        </w:rPr>
      </w:pPr>
      <w:r w:rsidRPr="00640823">
        <w:rPr>
          <w:rFonts w:eastAsia="Calibri" w:cs="Times New Roman"/>
          <w:color w:val="000000"/>
          <w:szCs w:val="24"/>
          <w:lang w:eastAsia="en-US"/>
        </w:rPr>
        <w:t xml:space="preserve">we Wrocławiu (ok. 2,8 tys. miejsc parkingowych), </w:t>
      </w:r>
    </w:p>
    <w:p w:rsidR="00640823" w:rsidRPr="00640823" w:rsidRDefault="00640823" w:rsidP="00640823">
      <w:pPr>
        <w:widowControl/>
        <w:numPr>
          <w:ilvl w:val="0"/>
          <w:numId w:val="3"/>
        </w:numPr>
        <w:autoSpaceDE/>
        <w:autoSpaceDN/>
        <w:adjustRightInd/>
        <w:spacing w:line="240" w:lineRule="auto"/>
        <w:contextualSpacing/>
        <w:jc w:val="left"/>
        <w:rPr>
          <w:rFonts w:eastAsia="Calibri" w:cs="Times New Roman"/>
          <w:color w:val="000000"/>
          <w:szCs w:val="24"/>
          <w:lang w:eastAsia="en-US"/>
        </w:rPr>
      </w:pPr>
      <w:r w:rsidRPr="00640823">
        <w:rPr>
          <w:rFonts w:eastAsia="Calibri" w:cs="Times New Roman"/>
          <w:color w:val="000000"/>
          <w:szCs w:val="24"/>
          <w:lang w:eastAsia="en-US"/>
        </w:rPr>
        <w:t xml:space="preserve">w Łodzi (ok. 1,8 tys. miejsc parkingowych). </w:t>
      </w:r>
    </w:p>
    <w:p w:rsidR="00640823" w:rsidRPr="00640823" w:rsidRDefault="00640823" w:rsidP="00640823">
      <w:pPr>
        <w:widowControl/>
        <w:autoSpaceDE/>
        <w:autoSpaceDN/>
        <w:adjustRightInd/>
        <w:spacing w:line="240" w:lineRule="auto"/>
        <w:rPr>
          <w:rFonts w:eastAsia="Calibri" w:cs="Times New Roman"/>
          <w:szCs w:val="24"/>
          <w:lang w:eastAsia="en-US"/>
        </w:rPr>
      </w:pPr>
    </w:p>
    <w:p w:rsidR="00640823" w:rsidRPr="00640823" w:rsidRDefault="00640823" w:rsidP="00640823">
      <w:pPr>
        <w:widowControl/>
        <w:autoSpaceDE/>
        <w:autoSpaceDN/>
        <w:adjustRightInd/>
        <w:spacing w:line="240" w:lineRule="auto"/>
        <w:rPr>
          <w:rFonts w:eastAsia="Calibri" w:cs="Times New Roman"/>
          <w:szCs w:val="24"/>
          <w:lang w:eastAsia="en-US"/>
        </w:rPr>
      </w:pPr>
    </w:p>
    <w:p w:rsidR="00640823" w:rsidRPr="00640823" w:rsidRDefault="00640823" w:rsidP="00640823">
      <w:pPr>
        <w:widowControl/>
        <w:autoSpaceDE/>
        <w:autoSpaceDN/>
        <w:adjustRightInd/>
        <w:spacing w:line="240" w:lineRule="auto"/>
        <w:rPr>
          <w:rFonts w:eastAsia="Calibri" w:cs="Times New Roman"/>
          <w:szCs w:val="24"/>
          <w:lang w:eastAsia="en-US"/>
        </w:rPr>
      </w:pPr>
      <w:r w:rsidRPr="00640823">
        <w:rPr>
          <w:rFonts w:eastAsia="Calibri" w:cs="Times New Roman"/>
          <w:szCs w:val="24"/>
          <w:lang w:eastAsia="en-US"/>
        </w:rPr>
        <w:t xml:space="preserve">Informacje nt. obciążenia miejsc parkingowych przedstawiono na podstawie przykładów udokumentowanych w Zeszytach Naukowo – Technicznych Stowarzyszenia Inżynierów i Techników Komunikacji Rzeczpospolitej Polskiej Oddział w Krakowie (seria: materiały konferencyjne nr 1 (100)/2013). Z artykułów zamieszczonych w tym opracowaniu wynika, że analizując obciążenie miejsc parkingowych należy uwzględniać m. in. miejsce położenia parkingu, porę dnia, dzień tygodnia, czy otoczenie przy którym został zlokalizowany parking. Dlatego informację nt. obciążeń miejsc parkingowych zobrazowano podając poniżej syntezę opisu kilku udokumentowanych statystycznie przypadków: </w:t>
      </w:r>
    </w:p>
    <w:p w:rsidR="00640823" w:rsidRPr="00640823" w:rsidRDefault="00640823" w:rsidP="00640823">
      <w:pPr>
        <w:widowControl/>
        <w:autoSpaceDE/>
        <w:autoSpaceDN/>
        <w:adjustRightInd/>
        <w:spacing w:line="240" w:lineRule="auto"/>
        <w:rPr>
          <w:rFonts w:eastAsia="Calibri" w:cs="Times New Roman"/>
          <w:b/>
          <w:szCs w:val="24"/>
          <w:lang w:eastAsia="en-US"/>
        </w:rPr>
      </w:pPr>
    </w:p>
    <w:p w:rsidR="00640823" w:rsidRPr="00640823" w:rsidRDefault="00640823" w:rsidP="00640823">
      <w:pPr>
        <w:widowControl/>
        <w:autoSpaceDE/>
        <w:autoSpaceDN/>
        <w:adjustRightInd/>
        <w:spacing w:line="240" w:lineRule="auto"/>
        <w:rPr>
          <w:rFonts w:eastAsia="Calibri" w:cs="Times New Roman"/>
          <w:b/>
          <w:szCs w:val="24"/>
          <w:lang w:eastAsia="en-US"/>
        </w:rPr>
      </w:pPr>
    </w:p>
    <w:p w:rsidR="00640823" w:rsidRPr="00640823" w:rsidRDefault="00640823" w:rsidP="00640823">
      <w:pPr>
        <w:widowControl/>
        <w:numPr>
          <w:ilvl w:val="0"/>
          <w:numId w:val="4"/>
        </w:numPr>
        <w:autoSpaceDE/>
        <w:autoSpaceDN/>
        <w:adjustRightInd/>
        <w:spacing w:line="240" w:lineRule="auto"/>
        <w:contextualSpacing/>
        <w:rPr>
          <w:rFonts w:eastAsia="Calibri" w:cs="Times New Roman"/>
          <w:b/>
          <w:color w:val="000000"/>
          <w:szCs w:val="24"/>
          <w:lang w:eastAsia="en-US"/>
        </w:rPr>
      </w:pPr>
      <w:r w:rsidRPr="00640823">
        <w:rPr>
          <w:rFonts w:eastAsia="Calibri" w:cs="Times New Roman"/>
          <w:b/>
          <w:color w:val="000000"/>
          <w:szCs w:val="24"/>
          <w:lang w:eastAsia="en-US"/>
        </w:rPr>
        <w:t>obciążenie miejsc parkingowych na przykładzie miasta Bielska – Białej.</w:t>
      </w:r>
      <w:r w:rsidRPr="00640823">
        <w:rPr>
          <w:rFonts w:eastAsia="Calibri" w:cs="Times New Roman"/>
          <w:color w:val="000000"/>
          <w:szCs w:val="24"/>
          <w:vertAlign w:val="superscript"/>
          <w:lang w:eastAsia="en-US"/>
        </w:rPr>
        <w:footnoteReference w:id="4"/>
      </w:r>
      <w:r w:rsidRPr="00640823">
        <w:rPr>
          <w:rFonts w:eastAsia="Calibri" w:cs="Times New Roman"/>
          <w:color w:val="000000"/>
          <w:szCs w:val="24"/>
          <w:lang w:eastAsia="en-US"/>
        </w:rPr>
        <w:t xml:space="preserve"> </w:t>
      </w:r>
      <w:r w:rsidRPr="00640823">
        <w:rPr>
          <w:rFonts w:eastAsia="Calibri" w:cs="Times New Roman"/>
          <w:b/>
          <w:color w:val="000000"/>
          <w:szCs w:val="24"/>
          <w:lang w:eastAsia="en-US"/>
        </w:rPr>
        <w:t xml:space="preserve"> </w:t>
      </w:r>
      <w:r w:rsidRPr="00640823">
        <w:rPr>
          <w:rFonts w:eastAsia="Calibri" w:cs="Times New Roman"/>
          <w:color w:val="000000"/>
          <w:szCs w:val="24"/>
          <w:lang w:eastAsia="en-US"/>
        </w:rPr>
        <w:t xml:space="preserve">Z opracowania wynika, że całkowity popyt na usługi parkingowe oferowane przez wyznaczone i oznakowane parkingi zgłaszany w obszarze miasta Bielsko -  Biała, w godz. 9.00-18.00, jest w 49,28% zaspokajany poprzez ofertę parkingów płatnych i bezpłatnych będących w dyspozycji miasta. Struktura sprzedaży usług parkingowych oferowanych przez parkingi zlokalizowane w analizowanym obszarze i będące w dyspozycji miasta kształtuje się następująco: 60,61% świadczonych przez miasto usług parkingowych jest realizowanych przez płatne parkingi, a pozostałe 39,39% jest świadczona przez parkingi bezpłatne,   </w:t>
      </w:r>
    </w:p>
    <w:p w:rsidR="00640823" w:rsidRPr="00640823" w:rsidRDefault="00640823" w:rsidP="00640823">
      <w:pPr>
        <w:widowControl/>
        <w:autoSpaceDE/>
        <w:autoSpaceDN/>
        <w:adjustRightInd/>
        <w:spacing w:line="240" w:lineRule="auto"/>
        <w:rPr>
          <w:rFonts w:eastAsia="Calibri" w:cs="Times New Roman"/>
          <w:b/>
          <w:szCs w:val="24"/>
          <w:lang w:eastAsia="en-US"/>
        </w:rPr>
      </w:pPr>
    </w:p>
    <w:p w:rsidR="00640823" w:rsidRPr="00640823" w:rsidRDefault="00640823" w:rsidP="00640823">
      <w:pPr>
        <w:widowControl/>
        <w:numPr>
          <w:ilvl w:val="0"/>
          <w:numId w:val="4"/>
        </w:numPr>
        <w:autoSpaceDE/>
        <w:autoSpaceDN/>
        <w:adjustRightInd/>
        <w:spacing w:line="240" w:lineRule="auto"/>
        <w:contextualSpacing/>
        <w:rPr>
          <w:rFonts w:eastAsia="Calibri" w:cs="Times New Roman"/>
          <w:b/>
          <w:szCs w:val="24"/>
          <w:u w:val="single"/>
          <w:lang w:eastAsia="en-US"/>
        </w:rPr>
      </w:pPr>
      <w:r w:rsidRPr="00640823">
        <w:rPr>
          <w:rFonts w:eastAsia="Calibri" w:cs="Times New Roman"/>
          <w:b/>
          <w:szCs w:val="24"/>
          <w:lang w:eastAsia="en-US"/>
        </w:rPr>
        <w:t>obciążenie miejsc parkingowych w Krakowie.</w:t>
      </w:r>
      <w:r w:rsidRPr="00640823">
        <w:rPr>
          <w:rFonts w:eastAsia="Calibri" w:cs="Times New Roman"/>
          <w:szCs w:val="24"/>
          <w:vertAlign w:val="superscript"/>
          <w:lang w:eastAsia="en-US"/>
        </w:rPr>
        <w:footnoteReference w:id="5"/>
      </w:r>
      <w:r w:rsidRPr="00640823">
        <w:rPr>
          <w:rFonts w:eastAsia="Calibri" w:cs="Times New Roman"/>
          <w:b/>
          <w:szCs w:val="24"/>
          <w:lang w:eastAsia="en-US"/>
        </w:rPr>
        <w:t xml:space="preserve"> </w:t>
      </w:r>
      <w:r w:rsidRPr="00640823">
        <w:rPr>
          <w:rFonts w:eastAsia="Calibri" w:cs="Times New Roman"/>
          <w:bCs/>
          <w:szCs w:val="24"/>
          <w:lang w:eastAsia="en-US"/>
        </w:rPr>
        <w:t xml:space="preserve">Badanie zostało przeprowadzone w czerwcu 2014 r. na zlecenie </w:t>
      </w:r>
      <w:proofErr w:type="spellStart"/>
      <w:r w:rsidRPr="00640823">
        <w:rPr>
          <w:rFonts w:eastAsia="Calibri" w:cs="Times New Roman"/>
          <w:bCs/>
          <w:szCs w:val="24"/>
          <w:lang w:eastAsia="en-US"/>
        </w:rPr>
        <w:t>ZIKiT</w:t>
      </w:r>
      <w:proofErr w:type="spellEnd"/>
      <w:r w:rsidRPr="00640823">
        <w:rPr>
          <w:rFonts w:eastAsia="Calibri" w:cs="Times New Roman"/>
          <w:bCs/>
          <w:szCs w:val="24"/>
          <w:lang w:eastAsia="en-US"/>
        </w:rPr>
        <w:t xml:space="preserve"> przez: EPS Polska Sp. z 0.0. EPS Global Co. oraz  One Planet Engineering Ltd. </w:t>
      </w:r>
      <w:r w:rsidRPr="00640823">
        <w:rPr>
          <w:rFonts w:eastAsia="Calibri" w:cs="Times New Roman"/>
          <w:szCs w:val="24"/>
          <w:lang w:eastAsia="en-US"/>
        </w:rPr>
        <w:t xml:space="preserve">Badania miały posłużyć jako źródło analizy funkcjonowania strefy płatnego parkowania. Wyniki pochodzą z 10 badanych sektorów: 5 wewnątrz strefy płatnego parkowania i 5 poza strefą płatnego parkowania. Badania przeprowadzane były w dni robocze i w weekendy, </w:t>
      </w:r>
    </w:p>
    <w:p w:rsidR="00640823" w:rsidRPr="00640823" w:rsidRDefault="00640823" w:rsidP="00640823">
      <w:pPr>
        <w:widowControl/>
        <w:spacing w:line="240" w:lineRule="auto"/>
        <w:ind w:left="720"/>
        <w:jc w:val="left"/>
        <w:rPr>
          <w:rFonts w:eastAsia="Calibri" w:cs="Times New Roman"/>
          <w:bCs/>
          <w:color w:val="000000"/>
          <w:szCs w:val="24"/>
          <w:lang w:eastAsia="en-US"/>
        </w:rPr>
      </w:pPr>
    </w:p>
    <w:p w:rsidR="00640823" w:rsidRPr="00640823" w:rsidRDefault="00640823" w:rsidP="00640823">
      <w:pPr>
        <w:widowControl/>
        <w:spacing w:line="240" w:lineRule="auto"/>
        <w:ind w:left="708" w:firstLine="708"/>
        <w:jc w:val="left"/>
        <w:rPr>
          <w:rFonts w:eastAsia="Calibri" w:cs="Times New Roman"/>
          <w:color w:val="000000"/>
          <w:szCs w:val="24"/>
          <w:lang w:eastAsia="en-US"/>
        </w:rPr>
      </w:pPr>
      <w:r w:rsidRPr="00640823">
        <w:rPr>
          <w:rFonts w:eastAsia="Calibri" w:cs="Times New Roman"/>
          <w:bCs/>
          <w:color w:val="000000"/>
          <w:szCs w:val="24"/>
          <w:lang w:eastAsia="en-US"/>
        </w:rPr>
        <w:t xml:space="preserve">Tabela nr 1: Podsumowanie obserwacji. </w:t>
      </w:r>
    </w:p>
    <w:p w:rsidR="00640823" w:rsidRPr="00640823" w:rsidRDefault="00640823" w:rsidP="00640823">
      <w:pPr>
        <w:widowControl/>
        <w:spacing w:line="240" w:lineRule="auto"/>
        <w:ind w:left="360"/>
        <w:jc w:val="center"/>
        <w:rPr>
          <w:rFonts w:eastAsia="Calibri" w:cs="Times New Roman"/>
          <w:b/>
          <w:bCs/>
          <w:color w:val="000000"/>
          <w:szCs w:val="24"/>
          <w:lang w:eastAsia="en-US"/>
        </w:rPr>
      </w:pPr>
      <w:r w:rsidRPr="00640823">
        <w:rPr>
          <w:rFonts w:eastAsia="Calibri" w:cs="Times New Roman"/>
          <w:b/>
          <w:bCs/>
          <w:color w:val="000000"/>
          <w:sz w:val="22"/>
          <w:szCs w:val="22"/>
          <w:lang w:eastAsia="en-US"/>
        </w:rPr>
        <w:object w:dxaOrig="11686" w:dyaOrig="7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25pt;height:273.75pt" o:ole="">
            <v:imagedata r:id="rId14" o:title=""/>
          </v:shape>
          <o:OLEObject Type="Embed" ProgID="Excel.Sheet.12" ShapeID="_x0000_i1025" DrawAspect="Content" ObjectID="_1587301413" r:id="rId15"/>
        </w:object>
      </w:r>
    </w:p>
    <w:p w:rsidR="00640823" w:rsidRPr="00640823" w:rsidRDefault="00640823" w:rsidP="00640823">
      <w:pPr>
        <w:widowControl/>
        <w:autoSpaceDE/>
        <w:autoSpaceDN/>
        <w:adjustRightInd/>
        <w:spacing w:line="240" w:lineRule="auto"/>
        <w:ind w:left="1416"/>
        <w:jc w:val="left"/>
        <w:rPr>
          <w:rFonts w:eastAsia="Calibri" w:cs="Times New Roman"/>
          <w:bCs/>
          <w:sz w:val="16"/>
          <w:szCs w:val="16"/>
          <w:lang w:eastAsia="en-US"/>
        </w:rPr>
      </w:pPr>
      <w:r w:rsidRPr="00640823">
        <w:rPr>
          <w:rFonts w:eastAsia="Calibri" w:cs="Times New Roman"/>
          <w:color w:val="000000"/>
          <w:sz w:val="16"/>
          <w:szCs w:val="16"/>
          <w:u w:val="single"/>
          <w:lang w:eastAsia="en-US"/>
        </w:rPr>
        <w:t>Źródło</w:t>
      </w:r>
      <w:r w:rsidRPr="00640823">
        <w:rPr>
          <w:rFonts w:eastAsia="Calibri" w:cs="Times New Roman"/>
          <w:color w:val="000000"/>
          <w:sz w:val="16"/>
          <w:szCs w:val="16"/>
          <w:lang w:eastAsia="en-US"/>
        </w:rPr>
        <w:t xml:space="preserve">: </w:t>
      </w:r>
      <w:r w:rsidRPr="00640823">
        <w:rPr>
          <w:rFonts w:eastAsia="Calibri" w:cs="Times New Roman"/>
          <w:sz w:val="16"/>
          <w:szCs w:val="16"/>
          <w:lang w:eastAsia="en-US"/>
        </w:rPr>
        <w:t xml:space="preserve">Streszczenie Raportu z badania </w:t>
      </w:r>
      <w:proofErr w:type="spellStart"/>
      <w:r w:rsidRPr="00640823">
        <w:rPr>
          <w:rFonts w:eastAsia="Calibri" w:cs="Times New Roman"/>
          <w:sz w:val="16"/>
          <w:szCs w:val="16"/>
          <w:lang w:eastAsia="en-US"/>
        </w:rPr>
        <w:t>zachowań</w:t>
      </w:r>
      <w:proofErr w:type="spellEnd"/>
      <w:r w:rsidRPr="00640823">
        <w:rPr>
          <w:rFonts w:eastAsia="Calibri" w:cs="Times New Roman"/>
          <w:sz w:val="16"/>
          <w:szCs w:val="16"/>
          <w:lang w:eastAsia="en-US"/>
        </w:rPr>
        <w:t xml:space="preserve"> parkingowych w Krakowie</w:t>
      </w:r>
      <w:r w:rsidRPr="00640823">
        <w:rPr>
          <w:rFonts w:eastAsia="Calibri" w:cs="Times New Roman"/>
          <w:bCs/>
          <w:sz w:val="16"/>
          <w:szCs w:val="16"/>
          <w:lang w:eastAsia="en-US"/>
        </w:rPr>
        <w:t xml:space="preserve"> EPS Polska Sp. z o.o. EPS Global Co. oraz  </w:t>
      </w:r>
    </w:p>
    <w:p w:rsidR="00640823" w:rsidRPr="00640823" w:rsidRDefault="00640823" w:rsidP="00640823">
      <w:pPr>
        <w:widowControl/>
        <w:autoSpaceDE/>
        <w:autoSpaceDN/>
        <w:adjustRightInd/>
        <w:spacing w:line="240" w:lineRule="auto"/>
        <w:ind w:left="1416"/>
        <w:jc w:val="left"/>
        <w:rPr>
          <w:rFonts w:eastAsia="Calibri" w:cs="Times New Roman"/>
          <w:sz w:val="16"/>
          <w:szCs w:val="16"/>
          <w:lang w:eastAsia="en-US"/>
        </w:rPr>
      </w:pPr>
      <w:r w:rsidRPr="00640823">
        <w:rPr>
          <w:rFonts w:eastAsia="Calibri" w:cs="Times New Roman"/>
          <w:bCs/>
          <w:sz w:val="16"/>
          <w:szCs w:val="16"/>
          <w:lang w:eastAsia="en-US"/>
        </w:rPr>
        <w:t>One Planet Engineering Ltd.</w:t>
      </w:r>
    </w:p>
    <w:p w:rsidR="00640823" w:rsidRPr="00640823" w:rsidRDefault="00640823" w:rsidP="00640823">
      <w:pPr>
        <w:widowControl/>
        <w:spacing w:line="240" w:lineRule="auto"/>
        <w:rPr>
          <w:rFonts w:eastAsia="Calibri" w:cs="Times New Roman"/>
          <w:b/>
          <w:color w:val="000000"/>
          <w:szCs w:val="24"/>
          <w:lang w:eastAsia="en-US"/>
        </w:rPr>
      </w:pPr>
    </w:p>
    <w:p w:rsidR="00640823" w:rsidRPr="00640823" w:rsidRDefault="00640823" w:rsidP="00640823">
      <w:pPr>
        <w:widowControl/>
        <w:spacing w:line="240" w:lineRule="auto"/>
        <w:rPr>
          <w:rFonts w:eastAsia="Calibri" w:cs="Times New Roman"/>
          <w:b/>
          <w:color w:val="000000"/>
          <w:szCs w:val="24"/>
          <w:lang w:eastAsia="en-US"/>
        </w:rPr>
      </w:pPr>
    </w:p>
    <w:p w:rsidR="00640823" w:rsidRPr="00640823" w:rsidRDefault="00640823" w:rsidP="00640823">
      <w:pPr>
        <w:widowControl/>
        <w:numPr>
          <w:ilvl w:val="0"/>
          <w:numId w:val="4"/>
        </w:numPr>
        <w:autoSpaceDE/>
        <w:autoSpaceDN/>
        <w:adjustRightInd/>
        <w:spacing w:line="240" w:lineRule="auto"/>
        <w:contextualSpacing/>
        <w:rPr>
          <w:rFonts w:eastAsia="Calibri" w:cs="Times New Roman"/>
          <w:szCs w:val="24"/>
          <w:lang w:eastAsia="en-US"/>
        </w:rPr>
      </w:pPr>
      <w:r w:rsidRPr="00640823">
        <w:rPr>
          <w:rFonts w:eastAsia="Calibri" w:cs="Times New Roman"/>
          <w:b/>
          <w:color w:val="000000"/>
          <w:szCs w:val="24"/>
          <w:lang w:eastAsia="en-US"/>
        </w:rPr>
        <w:t xml:space="preserve">obciążenie miejsc parkingowych w </w:t>
      </w:r>
      <w:r w:rsidRPr="00640823">
        <w:rPr>
          <w:rFonts w:eastAsia="Calibri" w:cs="Times New Roman"/>
          <w:b/>
          <w:szCs w:val="24"/>
          <w:lang w:eastAsia="en-US"/>
        </w:rPr>
        <w:t>centrach handlowych</w:t>
      </w:r>
      <w:r w:rsidRPr="00640823">
        <w:rPr>
          <w:rFonts w:eastAsia="Calibri" w:cs="Times New Roman"/>
          <w:szCs w:val="24"/>
          <w:lang w:eastAsia="en-US"/>
        </w:rPr>
        <w:t>.</w:t>
      </w:r>
      <w:r w:rsidRPr="00640823">
        <w:rPr>
          <w:rFonts w:eastAsia="Calibri" w:cs="Times New Roman"/>
          <w:szCs w:val="24"/>
          <w:vertAlign w:val="superscript"/>
          <w:lang w:eastAsia="en-US"/>
        </w:rPr>
        <w:footnoteReference w:id="6"/>
      </w:r>
      <w:r w:rsidRPr="00640823">
        <w:rPr>
          <w:rFonts w:eastAsia="Calibri" w:cs="Times New Roman"/>
          <w:szCs w:val="24"/>
          <w:lang w:eastAsia="en-US"/>
        </w:rPr>
        <w:t xml:space="preserve"> Na podstawie przeprowadzonych analiz można stwierdzić istotne różnice pomiędzy dniami roboczymi a sobotą, ale w obydwóch dniach pomiarowych największe napełnienie obserwowano w godzinach wieczornych, które wynosiło odpowiednio: dzień roboczy – 52,8%,  sobota – 65,8%. Pomiary były wykonywane poza okresem intensywnych zakupów, </w:t>
      </w:r>
    </w:p>
    <w:p w:rsidR="00640823" w:rsidRPr="00640823" w:rsidRDefault="00640823" w:rsidP="00640823">
      <w:pPr>
        <w:widowControl/>
        <w:tabs>
          <w:tab w:val="left" w:pos="1547"/>
        </w:tabs>
        <w:spacing w:line="240" w:lineRule="auto"/>
        <w:rPr>
          <w:rFonts w:eastAsia="Calibri" w:cs="Times New Roman"/>
          <w:color w:val="000000"/>
          <w:szCs w:val="24"/>
          <w:lang w:eastAsia="en-US"/>
        </w:rPr>
      </w:pPr>
    </w:p>
    <w:p w:rsidR="00640823" w:rsidRPr="00640823" w:rsidRDefault="00640823" w:rsidP="00640823">
      <w:pPr>
        <w:widowControl/>
        <w:tabs>
          <w:tab w:val="left" w:pos="1547"/>
        </w:tabs>
        <w:spacing w:line="240" w:lineRule="auto"/>
        <w:rPr>
          <w:rFonts w:eastAsia="Calibri" w:cs="Times New Roman"/>
          <w:color w:val="000000"/>
          <w:szCs w:val="24"/>
          <w:lang w:eastAsia="en-US"/>
        </w:rPr>
      </w:pPr>
      <w:r w:rsidRPr="00640823">
        <w:rPr>
          <w:rFonts w:eastAsia="Calibri" w:cs="Times New Roman"/>
          <w:color w:val="000000"/>
          <w:szCs w:val="24"/>
          <w:lang w:eastAsia="en-US"/>
        </w:rPr>
        <w:tab/>
      </w:r>
    </w:p>
    <w:p w:rsidR="00640823" w:rsidRPr="00640823" w:rsidRDefault="00640823" w:rsidP="00640823">
      <w:pPr>
        <w:widowControl/>
        <w:numPr>
          <w:ilvl w:val="0"/>
          <w:numId w:val="4"/>
        </w:numPr>
        <w:autoSpaceDE/>
        <w:autoSpaceDN/>
        <w:adjustRightInd/>
        <w:spacing w:line="240" w:lineRule="auto"/>
        <w:contextualSpacing/>
        <w:rPr>
          <w:rFonts w:eastAsia="Calibri" w:cs="Times New Roman"/>
          <w:b/>
          <w:color w:val="000000"/>
          <w:szCs w:val="24"/>
          <w:lang w:eastAsia="en-US"/>
        </w:rPr>
      </w:pPr>
      <w:r w:rsidRPr="00640823">
        <w:rPr>
          <w:rFonts w:eastAsia="Calibri" w:cs="Times New Roman"/>
          <w:b/>
          <w:color w:val="000000"/>
          <w:szCs w:val="24"/>
          <w:lang w:eastAsia="en-US"/>
        </w:rPr>
        <w:t>obciążenie miejsc parkingowych na parkingach położone przy stacjach kolejowych (P+R).</w:t>
      </w:r>
      <w:r w:rsidRPr="00640823">
        <w:rPr>
          <w:rFonts w:eastAsia="Calibri" w:cs="Times New Roman"/>
          <w:color w:val="000000"/>
          <w:szCs w:val="24"/>
          <w:vertAlign w:val="superscript"/>
          <w:lang w:eastAsia="en-US"/>
        </w:rPr>
        <w:footnoteReference w:id="7"/>
      </w:r>
      <w:r w:rsidRPr="00640823">
        <w:rPr>
          <w:rFonts w:eastAsia="Calibri" w:cs="Times New Roman"/>
          <w:b/>
          <w:color w:val="000000"/>
          <w:szCs w:val="24"/>
          <w:lang w:eastAsia="en-US"/>
        </w:rPr>
        <w:t xml:space="preserve"> </w:t>
      </w:r>
      <w:r w:rsidRPr="00640823">
        <w:rPr>
          <w:rFonts w:eastAsia="Calibri" w:cs="Times New Roman"/>
          <w:color w:val="000000"/>
          <w:szCs w:val="24"/>
          <w:lang w:eastAsia="en-US"/>
        </w:rPr>
        <w:t xml:space="preserve">W artykule przedstawiono wyniki badań dotyczące systemu P+R w Warszawie i aglomeracji warszawskiej ze szczególnym uwzględnieniem parkingów P+R położonych przy stacjach kolejowych. Z badań wynika, że parkingi funkcjonujące przy przystankach kolejowych w Warszawie są dość dobrze wykorzystane, chociaż nie tak intensywnie jak przy stacjach metra, w pobliżu których średnie wykorzystanie jest na poziomie 99% i gdzie wjazd (np. na parking P+R Metro Młociny) jest zamykany ok. 8:30 – 8:45 z uwagi na osiągnięcie 100% napełnienia,   </w:t>
      </w:r>
    </w:p>
    <w:p w:rsidR="00640823" w:rsidRPr="00640823" w:rsidRDefault="00640823" w:rsidP="00640823">
      <w:pPr>
        <w:widowControl/>
        <w:spacing w:line="240" w:lineRule="auto"/>
        <w:rPr>
          <w:rFonts w:eastAsia="Calibri" w:cs="Times New Roman"/>
          <w:color w:val="000000"/>
          <w:szCs w:val="24"/>
          <w:lang w:eastAsia="en-US"/>
        </w:rPr>
      </w:pPr>
    </w:p>
    <w:p w:rsidR="00640823" w:rsidRPr="00640823" w:rsidRDefault="00640823" w:rsidP="00640823">
      <w:pPr>
        <w:widowControl/>
        <w:spacing w:line="240" w:lineRule="auto"/>
        <w:rPr>
          <w:rFonts w:eastAsia="Calibri" w:cs="Times New Roman"/>
          <w:color w:val="000000"/>
          <w:szCs w:val="24"/>
          <w:lang w:eastAsia="en-US"/>
        </w:rPr>
      </w:pPr>
    </w:p>
    <w:p w:rsidR="00640823" w:rsidRPr="00640823" w:rsidRDefault="00640823" w:rsidP="00640823">
      <w:pPr>
        <w:widowControl/>
        <w:spacing w:line="240" w:lineRule="auto"/>
        <w:rPr>
          <w:rFonts w:eastAsia="Calibri" w:cs="Times New Roman"/>
          <w:color w:val="000000"/>
          <w:szCs w:val="24"/>
          <w:lang w:eastAsia="en-US"/>
        </w:rPr>
      </w:pPr>
      <w:r w:rsidRPr="00640823">
        <w:rPr>
          <w:rFonts w:eastAsia="Calibri" w:cs="Times New Roman"/>
          <w:color w:val="000000"/>
          <w:szCs w:val="24"/>
          <w:lang w:eastAsia="en-US"/>
        </w:rPr>
        <w:tab/>
        <w:t xml:space="preserve">   </w:t>
      </w:r>
      <w:r w:rsidRPr="00640823">
        <w:rPr>
          <w:rFonts w:eastAsia="Calibri" w:cs="Times New Roman"/>
          <w:color w:val="000000"/>
          <w:szCs w:val="24"/>
          <w:lang w:eastAsia="en-US"/>
        </w:rPr>
        <w:tab/>
        <w:t xml:space="preserve">Tabela nr 2: Wykorzystanie parkingów P+R przy liniach kolejowych w Warszawie </w:t>
      </w:r>
    </w:p>
    <w:p w:rsidR="00640823" w:rsidRPr="00640823" w:rsidRDefault="00640823" w:rsidP="00640823">
      <w:pPr>
        <w:widowControl/>
        <w:spacing w:line="240" w:lineRule="auto"/>
        <w:rPr>
          <w:rFonts w:eastAsia="Calibri" w:cs="Times New Roman"/>
          <w:color w:val="000000"/>
          <w:szCs w:val="24"/>
          <w:lang w:eastAsia="en-US"/>
        </w:rPr>
      </w:pPr>
      <w:r w:rsidRPr="00640823">
        <w:rPr>
          <w:rFonts w:eastAsia="Calibri" w:cs="Times New Roman"/>
          <w:color w:val="000000"/>
          <w:szCs w:val="24"/>
          <w:lang w:eastAsia="en-US"/>
        </w:rPr>
        <w:t xml:space="preserve">                                             w 2012 r.  </w:t>
      </w:r>
    </w:p>
    <w:tbl>
      <w:tblPr>
        <w:tblStyle w:val="Tabela-Siatka1"/>
        <w:tblW w:w="0" w:type="auto"/>
        <w:jc w:val="center"/>
        <w:tblLook w:val="04A0" w:firstRow="1" w:lastRow="0" w:firstColumn="1" w:lastColumn="0" w:noHBand="0" w:noVBand="1"/>
      </w:tblPr>
      <w:tblGrid>
        <w:gridCol w:w="2111"/>
        <w:gridCol w:w="3070"/>
        <w:gridCol w:w="2473"/>
      </w:tblGrid>
      <w:tr w:rsidR="00640823" w:rsidRPr="00640823" w:rsidTr="00504B63">
        <w:trPr>
          <w:jc w:val="center"/>
        </w:trPr>
        <w:tc>
          <w:tcPr>
            <w:tcW w:w="2111"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P+R</w:t>
            </w:r>
          </w:p>
        </w:tc>
        <w:tc>
          <w:tcPr>
            <w:tcW w:w="307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średnie wykorzystanie                   (12 m-</w:t>
            </w:r>
            <w:proofErr w:type="spellStart"/>
            <w:r w:rsidRPr="00640823">
              <w:rPr>
                <w:rFonts w:eastAsia="Calibri" w:cs="Times New Roman"/>
                <w:color w:val="000000"/>
                <w:lang w:eastAsia="en-US"/>
              </w:rPr>
              <w:t>cy</w:t>
            </w:r>
            <w:proofErr w:type="spellEnd"/>
            <w:r w:rsidRPr="00640823">
              <w:rPr>
                <w:rFonts w:eastAsia="Calibri" w:cs="Times New Roman"/>
                <w:color w:val="000000"/>
                <w:lang w:eastAsia="en-US"/>
              </w:rPr>
              <w:t>)</w:t>
            </w:r>
          </w:p>
        </w:tc>
        <w:tc>
          <w:tcPr>
            <w:tcW w:w="2473"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max wykorzystanie (październik)</w:t>
            </w:r>
          </w:p>
        </w:tc>
      </w:tr>
      <w:tr w:rsidR="00640823" w:rsidRPr="00640823" w:rsidTr="00504B63">
        <w:trPr>
          <w:jc w:val="center"/>
        </w:trPr>
        <w:tc>
          <w:tcPr>
            <w:tcW w:w="2111" w:type="dxa"/>
          </w:tcPr>
          <w:p w:rsidR="00640823" w:rsidRPr="00640823" w:rsidRDefault="00640823" w:rsidP="00640823">
            <w:pPr>
              <w:widowControl/>
              <w:jc w:val="left"/>
              <w:rPr>
                <w:rFonts w:eastAsia="Calibri" w:cs="Times New Roman"/>
                <w:color w:val="000000"/>
                <w:lang w:eastAsia="en-US"/>
              </w:rPr>
            </w:pPr>
            <w:r w:rsidRPr="00640823">
              <w:rPr>
                <w:rFonts w:eastAsia="Calibri" w:cs="Times New Roman"/>
                <w:color w:val="000000"/>
                <w:lang w:eastAsia="en-US"/>
              </w:rPr>
              <w:t>Anin SKM</w:t>
            </w:r>
          </w:p>
        </w:tc>
        <w:tc>
          <w:tcPr>
            <w:tcW w:w="307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66%</w:t>
            </w:r>
          </w:p>
        </w:tc>
        <w:tc>
          <w:tcPr>
            <w:tcW w:w="2473"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80%</w:t>
            </w:r>
          </w:p>
        </w:tc>
      </w:tr>
      <w:tr w:rsidR="00640823" w:rsidRPr="00640823" w:rsidTr="00504B63">
        <w:trPr>
          <w:jc w:val="center"/>
        </w:trPr>
        <w:tc>
          <w:tcPr>
            <w:tcW w:w="2111" w:type="dxa"/>
          </w:tcPr>
          <w:p w:rsidR="00640823" w:rsidRPr="00640823" w:rsidRDefault="00640823" w:rsidP="00640823">
            <w:pPr>
              <w:widowControl/>
              <w:jc w:val="left"/>
              <w:rPr>
                <w:rFonts w:eastAsia="Calibri" w:cs="Times New Roman"/>
                <w:color w:val="000000"/>
                <w:lang w:eastAsia="en-US"/>
              </w:rPr>
            </w:pPr>
            <w:r w:rsidRPr="00640823">
              <w:rPr>
                <w:rFonts w:eastAsia="Calibri" w:cs="Times New Roman"/>
                <w:color w:val="000000"/>
                <w:lang w:eastAsia="en-US"/>
              </w:rPr>
              <w:t>Wawer SKM (2012)</w:t>
            </w:r>
          </w:p>
        </w:tc>
        <w:tc>
          <w:tcPr>
            <w:tcW w:w="307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47%</w:t>
            </w:r>
          </w:p>
        </w:tc>
        <w:tc>
          <w:tcPr>
            <w:tcW w:w="2473"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65%</w:t>
            </w:r>
          </w:p>
        </w:tc>
      </w:tr>
      <w:tr w:rsidR="00640823" w:rsidRPr="00640823" w:rsidTr="00504B63">
        <w:trPr>
          <w:jc w:val="center"/>
        </w:trPr>
        <w:tc>
          <w:tcPr>
            <w:tcW w:w="2111" w:type="dxa"/>
          </w:tcPr>
          <w:p w:rsidR="00640823" w:rsidRPr="00640823" w:rsidRDefault="00640823" w:rsidP="00640823">
            <w:pPr>
              <w:widowControl/>
              <w:jc w:val="left"/>
              <w:rPr>
                <w:rFonts w:eastAsia="Calibri" w:cs="Times New Roman"/>
                <w:color w:val="000000"/>
                <w:lang w:eastAsia="en-US"/>
              </w:rPr>
            </w:pPr>
            <w:r w:rsidRPr="00640823">
              <w:rPr>
                <w:rFonts w:eastAsia="Calibri" w:cs="Times New Roman"/>
                <w:color w:val="000000"/>
                <w:lang w:eastAsia="en-US"/>
              </w:rPr>
              <w:t>CH Wileńska</w:t>
            </w:r>
          </w:p>
        </w:tc>
        <w:tc>
          <w:tcPr>
            <w:tcW w:w="307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88%</w:t>
            </w:r>
          </w:p>
        </w:tc>
        <w:tc>
          <w:tcPr>
            <w:tcW w:w="2473"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99%</w:t>
            </w:r>
          </w:p>
        </w:tc>
      </w:tr>
    </w:tbl>
    <w:p w:rsidR="00640823" w:rsidRPr="00640823" w:rsidRDefault="00640823" w:rsidP="00640823">
      <w:pPr>
        <w:widowControl/>
        <w:spacing w:line="240" w:lineRule="auto"/>
        <w:ind w:left="1416"/>
        <w:rPr>
          <w:rFonts w:eastAsia="Calibri" w:cs="Times New Roman"/>
          <w:color w:val="000000"/>
          <w:sz w:val="16"/>
          <w:szCs w:val="16"/>
          <w:lang w:eastAsia="en-US"/>
        </w:rPr>
      </w:pPr>
      <w:r w:rsidRPr="00640823">
        <w:rPr>
          <w:rFonts w:eastAsia="Calibri" w:cs="Times New Roman"/>
          <w:color w:val="000000"/>
          <w:sz w:val="16"/>
          <w:szCs w:val="16"/>
          <w:u w:val="single"/>
          <w:lang w:eastAsia="en-US"/>
        </w:rPr>
        <w:t>Źródło:</w:t>
      </w:r>
      <w:r w:rsidRPr="00640823">
        <w:rPr>
          <w:rFonts w:eastAsia="Calibri" w:cs="Times New Roman"/>
          <w:color w:val="000000"/>
          <w:sz w:val="16"/>
          <w:szCs w:val="16"/>
          <w:lang w:eastAsia="en-US"/>
        </w:rPr>
        <w:t xml:space="preserve"> „</w:t>
      </w:r>
      <w:r w:rsidRPr="00640823">
        <w:rPr>
          <w:rFonts w:eastAsia="Calibri" w:cs="Times New Roman"/>
          <w:i/>
          <w:color w:val="000000"/>
          <w:sz w:val="16"/>
          <w:szCs w:val="16"/>
          <w:lang w:eastAsia="en-US"/>
        </w:rPr>
        <w:t>Znaczenie systemu P+R na liniach kolejowych w aglomeracji warszawskiej</w:t>
      </w:r>
      <w:r w:rsidRPr="00640823">
        <w:rPr>
          <w:rFonts w:eastAsia="Calibri" w:cs="Times New Roman"/>
          <w:color w:val="000000"/>
          <w:sz w:val="16"/>
          <w:szCs w:val="16"/>
          <w:lang w:eastAsia="en-US"/>
        </w:rPr>
        <w:t xml:space="preserve">”; Wydział Inżynierii Lądowej       </w:t>
      </w:r>
    </w:p>
    <w:p w:rsidR="00640823" w:rsidRPr="00640823" w:rsidRDefault="00640823" w:rsidP="00640823">
      <w:pPr>
        <w:widowControl/>
        <w:spacing w:line="240" w:lineRule="auto"/>
        <w:ind w:left="1416"/>
        <w:rPr>
          <w:rFonts w:eastAsia="Calibri" w:cs="Times New Roman"/>
          <w:color w:val="000000"/>
          <w:sz w:val="16"/>
          <w:szCs w:val="16"/>
          <w:lang w:eastAsia="en-US"/>
        </w:rPr>
      </w:pPr>
      <w:r w:rsidRPr="00640823">
        <w:rPr>
          <w:rFonts w:eastAsia="Calibri" w:cs="Times New Roman"/>
          <w:color w:val="000000"/>
          <w:sz w:val="16"/>
          <w:szCs w:val="16"/>
          <w:lang w:eastAsia="en-US"/>
        </w:rPr>
        <w:t xml:space="preserve">Politechniki Warszawskiej, dr inż. Andrzej Brzeziński, dr inż. Tomasz </w:t>
      </w:r>
      <w:proofErr w:type="spellStart"/>
      <w:r w:rsidRPr="00640823">
        <w:rPr>
          <w:rFonts w:eastAsia="Calibri" w:cs="Times New Roman"/>
          <w:color w:val="000000"/>
          <w:sz w:val="16"/>
          <w:szCs w:val="16"/>
          <w:lang w:eastAsia="en-US"/>
        </w:rPr>
        <w:t>Dybicz</w:t>
      </w:r>
      <w:proofErr w:type="spellEnd"/>
      <w:r w:rsidRPr="00640823">
        <w:rPr>
          <w:rFonts w:eastAsia="Calibri" w:cs="Times New Roman"/>
          <w:color w:val="000000"/>
          <w:sz w:val="16"/>
          <w:szCs w:val="16"/>
          <w:lang w:eastAsia="en-US"/>
        </w:rPr>
        <w:t xml:space="preserve">, mgr inż. Karolina </w:t>
      </w:r>
      <w:proofErr w:type="spellStart"/>
      <w:r w:rsidRPr="00640823">
        <w:rPr>
          <w:rFonts w:eastAsia="Calibri" w:cs="Times New Roman"/>
          <w:color w:val="000000"/>
          <w:sz w:val="16"/>
          <w:szCs w:val="16"/>
          <w:lang w:eastAsia="en-US"/>
        </w:rPr>
        <w:t>Jesionkiewicz</w:t>
      </w:r>
      <w:proofErr w:type="spellEnd"/>
      <w:r w:rsidRPr="00640823">
        <w:rPr>
          <w:rFonts w:eastAsia="Calibri" w:cs="Times New Roman"/>
          <w:color w:val="000000"/>
          <w:sz w:val="16"/>
          <w:szCs w:val="16"/>
          <w:lang w:eastAsia="en-US"/>
        </w:rPr>
        <w:t xml:space="preserve"> – </w:t>
      </w:r>
      <w:proofErr w:type="spellStart"/>
      <w:r w:rsidRPr="00640823">
        <w:rPr>
          <w:rFonts w:eastAsia="Calibri" w:cs="Times New Roman"/>
          <w:color w:val="000000"/>
          <w:sz w:val="16"/>
          <w:szCs w:val="16"/>
          <w:lang w:eastAsia="en-US"/>
        </w:rPr>
        <w:t>Niedzińska</w:t>
      </w:r>
      <w:proofErr w:type="spellEnd"/>
    </w:p>
    <w:p w:rsidR="00640823" w:rsidRPr="00640823" w:rsidRDefault="00640823" w:rsidP="00640823">
      <w:pPr>
        <w:widowControl/>
        <w:spacing w:line="240" w:lineRule="auto"/>
        <w:ind w:left="885"/>
        <w:rPr>
          <w:rFonts w:eastAsia="Calibri" w:cs="Times New Roman"/>
          <w:color w:val="000000"/>
          <w:sz w:val="16"/>
          <w:szCs w:val="16"/>
          <w:lang w:eastAsia="en-US"/>
        </w:rPr>
      </w:pPr>
    </w:p>
    <w:p w:rsidR="00640823" w:rsidRPr="00640823" w:rsidRDefault="00640823" w:rsidP="00640823">
      <w:pPr>
        <w:widowControl/>
        <w:spacing w:line="240" w:lineRule="auto"/>
        <w:ind w:left="885"/>
        <w:rPr>
          <w:rFonts w:eastAsia="Calibri" w:cs="Times New Roman"/>
          <w:color w:val="000000"/>
          <w:sz w:val="16"/>
          <w:szCs w:val="16"/>
          <w:lang w:eastAsia="en-US"/>
        </w:rPr>
      </w:pPr>
    </w:p>
    <w:p w:rsidR="00640823" w:rsidRPr="00640823" w:rsidRDefault="00640823" w:rsidP="00640823">
      <w:pPr>
        <w:widowControl/>
        <w:spacing w:line="240" w:lineRule="auto"/>
        <w:ind w:left="885"/>
        <w:rPr>
          <w:rFonts w:eastAsia="Calibri" w:cs="Times New Roman"/>
          <w:color w:val="000000"/>
          <w:sz w:val="16"/>
          <w:szCs w:val="16"/>
          <w:lang w:eastAsia="en-US"/>
        </w:rPr>
      </w:pPr>
    </w:p>
    <w:p w:rsidR="00640823" w:rsidRPr="00640823" w:rsidRDefault="00640823" w:rsidP="00640823">
      <w:pPr>
        <w:widowControl/>
        <w:spacing w:line="240" w:lineRule="auto"/>
        <w:ind w:left="885" w:firstLine="531"/>
        <w:rPr>
          <w:rFonts w:eastAsia="Calibri" w:cs="Times New Roman"/>
          <w:color w:val="000000"/>
          <w:szCs w:val="24"/>
          <w:lang w:eastAsia="en-US"/>
        </w:rPr>
      </w:pPr>
      <w:r w:rsidRPr="00640823">
        <w:rPr>
          <w:rFonts w:eastAsia="Calibri" w:cs="Times New Roman"/>
          <w:color w:val="000000"/>
          <w:szCs w:val="24"/>
          <w:lang w:eastAsia="en-US"/>
        </w:rPr>
        <w:t xml:space="preserve">Tabela nr 3: Wykorzystanie parkingów P+R poza granicami Warszawy </w:t>
      </w:r>
    </w:p>
    <w:p w:rsidR="00640823" w:rsidRPr="00640823" w:rsidRDefault="00640823" w:rsidP="00640823">
      <w:pPr>
        <w:widowControl/>
        <w:spacing w:line="240" w:lineRule="auto"/>
        <w:ind w:left="885"/>
        <w:rPr>
          <w:rFonts w:eastAsia="Calibri" w:cs="Times New Roman"/>
          <w:color w:val="000000"/>
          <w:szCs w:val="24"/>
          <w:lang w:eastAsia="en-US"/>
        </w:rPr>
      </w:pPr>
      <w:r w:rsidRPr="00640823">
        <w:rPr>
          <w:rFonts w:eastAsia="Calibri" w:cs="Times New Roman"/>
          <w:color w:val="000000"/>
          <w:szCs w:val="24"/>
          <w:lang w:eastAsia="en-US"/>
        </w:rPr>
        <w:t xml:space="preserve">                              (marzec 2013 r.).</w:t>
      </w:r>
    </w:p>
    <w:tbl>
      <w:tblPr>
        <w:tblStyle w:val="Tabela-Siatka1"/>
        <w:tblW w:w="0" w:type="auto"/>
        <w:jc w:val="center"/>
        <w:tblLook w:val="04A0" w:firstRow="1" w:lastRow="0" w:firstColumn="1" w:lastColumn="0" w:noHBand="0" w:noVBand="1"/>
      </w:tblPr>
      <w:tblGrid>
        <w:gridCol w:w="3544"/>
        <w:gridCol w:w="4110"/>
      </w:tblGrid>
      <w:tr w:rsidR="00640823" w:rsidRPr="00640823" w:rsidTr="00504B63">
        <w:trPr>
          <w:jc w:val="center"/>
        </w:trPr>
        <w:tc>
          <w:tcPr>
            <w:tcW w:w="3544"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Lokalizacja P+R</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Stopnień wykorzystania parkingu</w:t>
            </w:r>
          </w:p>
        </w:tc>
      </w:tr>
      <w:tr w:rsidR="00640823" w:rsidRPr="00640823" w:rsidTr="00504B63">
        <w:trPr>
          <w:jc w:val="center"/>
        </w:trPr>
        <w:tc>
          <w:tcPr>
            <w:tcW w:w="3544"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Brwinów</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49%</w:t>
            </w:r>
          </w:p>
        </w:tc>
      </w:tr>
      <w:tr w:rsidR="00640823" w:rsidRPr="00640823" w:rsidTr="00504B63">
        <w:trPr>
          <w:jc w:val="center"/>
        </w:trPr>
        <w:tc>
          <w:tcPr>
            <w:tcW w:w="3544"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Ożarów Mazowiecki</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66%</w:t>
            </w:r>
          </w:p>
        </w:tc>
      </w:tr>
      <w:tr w:rsidR="00640823" w:rsidRPr="00640823" w:rsidTr="00504B63">
        <w:trPr>
          <w:jc w:val="center"/>
        </w:trPr>
        <w:tc>
          <w:tcPr>
            <w:tcW w:w="3544"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Błonie</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47%</w:t>
            </w:r>
          </w:p>
        </w:tc>
      </w:tr>
      <w:tr w:rsidR="00640823" w:rsidRPr="00640823" w:rsidTr="00504B63">
        <w:trPr>
          <w:jc w:val="center"/>
        </w:trPr>
        <w:tc>
          <w:tcPr>
            <w:tcW w:w="3544"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Teresin</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39%</w:t>
            </w:r>
          </w:p>
        </w:tc>
      </w:tr>
      <w:tr w:rsidR="00640823" w:rsidRPr="00640823" w:rsidTr="00504B63">
        <w:trPr>
          <w:jc w:val="center"/>
        </w:trPr>
        <w:tc>
          <w:tcPr>
            <w:tcW w:w="3544"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Celestynów</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36%</w:t>
            </w:r>
          </w:p>
        </w:tc>
      </w:tr>
      <w:tr w:rsidR="00640823" w:rsidRPr="00640823" w:rsidTr="00504B63">
        <w:trPr>
          <w:jc w:val="center"/>
        </w:trPr>
        <w:tc>
          <w:tcPr>
            <w:tcW w:w="3544" w:type="dxa"/>
          </w:tcPr>
          <w:p w:rsidR="00640823" w:rsidRPr="00640823" w:rsidRDefault="00640823" w:rsidP="00640823">
            <w:pPr>
              <w:widowControl/>
              <w:rPr>
                <w:rFonts w:eastAsia="Calibri" w:cs="Times New Roman"/>
                <w:color w:val="000000"/>
                <w:lang w:eastAsia="en-US"/>
              </w:rPr>
            </w:pPr>
            <w:r w:rsidRPr="00640823">
              <w:rPr>
                <w:rFonts w:eastAsia="Calibri" w:cs="Times New Roman"/>
                <w:color w:val="000000"/>
                <w:lang w:eastAsia="en-US"/>
              </w:rPr>
              <w:t>Mińsk Mazowiecki</w:t>
            </w:r>
          </w:p>
        </w:tc>
        <w:tc>
          <w:tcPr>
            <w:tcW w:w="4110" w:type="dxa"/>
          </w:tcPr>
          <w:p w:rsidR="00640823" w:rsidRPr="00640823" w:rsidRDefault="00640823" w:rsidP="00640823">
            <w:pPr>
              <w:widowControl/>
              <w:jc w:val="center"/>
              <w:rPr>
                <w:rFonts w:eastAsia="Calibri" w:cs="Times New Roman"/>
                <w:color w:val="000000"/>
                <w:lang w:eastAsia="en-US"/>
              </w:rPr>
            </w:pPr>
            <w:r w:rsidRPr="00640823">
              <w:rPr>
                <w:rFonts w:eastAsia="Calibri" w:cs="Times New Roman"/>
                <w:color w:val="000000"/>
                <w:lang w:eastAsia="en-US"/>
              </w:rPr>
              <w:t>58%</w:t>
            </w:r>
          </w:p>
        </w:tc>
      </w:tr>
      <w:tr w:rsidR="00640823" w:rsidRPr="00640823" w:rsidTr="00504B63">
        <w:trPr>
          <w:jc w:val="center"/>
        </w:trPr>
        <w:tc>
          <w:tcPr>
            <w:tcW w:w="3544" w:type="dxa"/>
          </w:tcPr>
          <w:p w:rsidR="00640823" w:rsidRPr="00640823" w:rsidRDefault="00640823" w:rsidP="00640823">
            <w:pPr>
              <w:widowControl/>
              <w:jc w:val="center"/>
              <w:rPr>
                <w:rFonts w:eastAsia="Calibri" w:cs="Times New Roman"/>
                <w:b/>
                <w:color w:val="000000"/>
                <w:lang w:eastAsia="en-US"/>
              </w:rPr>
            </w:pPr>
            <w:r w:rsidRPr="00640823">
              <w:rPr>
                <w:rFonts w:eastAsia="Calibri" w:cs="Times New Roman"/>
                <w:b/>
                <w:color w:val="000000"/>
                <w:lang w:eastAsia="en-US"/>
              </w:rPr>
              <w:t>Średnie wykorzystanie</w:t>
            </w:r>
          </w:p>
        </w:tc>
        <w:tc>
          <w:tcPr>
            <w:tcW w:w="4110" w:type="dxa"/>
          </w:tcPr>
          <w:p w:rsidR="00640823" w:rsidRPr="00640823" w:rsidRDefault="00640823" w:rsidP="00640823">
            <w:pPr>
              <w:widowControl/>
              <w:jc w:val="center"/>
              <w:rPr>
                <w:rFonts w:eastAsia="Calibri" w:cs="Times New Roman"/>
                <w:b/>
                <w:color w:val="000000"/>
                <w:lang w:eastAsia="en-US"/>
              </w:rPr>
            </w:pPr>
            <w:r w:rsidRPr="00640823">
              <w:rPr>
                <w:rFonts w:eastAsia="Calibri" w:cs="Times New Roman"/>
                <w:b/>
                <w:color w:val="000000"/>
                <w:lang w:eastAsia="en-US"/>
              </w:rPr>
              <w:t>49%</w:t>
            </w:r>
          </w:p>
        </w:tc>
      </w:tr>
    </w:tbl>
    <w:p w:rsidR="00640823" w:rsidRPr="00640823" w:rsidRDefault="00640823" w:rsidP="00640823">
      <w:pPr>
        <w:widowControl/>
        <w:spacing w:line="240" w:lineRule="auto"/>
        <w:ind w:left="1416"/>
        <w:rPr>
          <w:rFonts w:eastAsia="Calibri" w:cs="Times New Roman"/>
          <w:color w:val="000000"/>
          <w:sz w:val="16"/>
          <w:szCs w:val="16"/>
          <w:lang w:eastAsia="en-US"/>
        </w:rPr>
      </w:pPr>
      <w:r w:rsidRPr="00640823">
        <w:rPr>
          <w:rFonts w:eastAsia="Calibri" w:cs="Times New Roman"/>
          <w:color w:val="000000"/>
          <w:sz w:val="16"/>
          <w:szCs w:val="16"/>
          <w:u w:val="single"/>
          <w:lang w:eastAsia="en-US"/>
        </w:rPr>
        <w:t>Źródło</w:t>
      </w:r>
      <w:r w:rsidRPr="00640823">
        <w:rPr>
          <w:rFonts w:eastAsia="Calibri" w:cs="Times New Roman"/>
          <w:color w:val="000000"/>
          <w:sz w:val="16"/>
          <w:szCs w:val="16"/>
          <w:lang w:eastAsia="en-US"/>
        </w:rPr>
        <w:t>: „</w:t>
      </w:r>
      <w:r w:rsidRPr="00640823">
        <w:rPr>
          <w:rFonts w:eastAsia="Calibri" w:cs="Times New Roman"/>
          <w:i/>
          <w:color w:val="000000"/>
          <w:sz w:val="16"/>
          <w:szCs w:val="16"/>
          <w:lang w:eastAsia="en-US"/>
        </w:rPr>
        <w:t>Znaczenie systemu P+R na liniach kolejowych w aglomeracji warszawskiej</w:t>
      </w:r>
      <w:r w:rsidRPr="00640823">
        <w:rPr>
          <w:rFonts w:eastAsia="Calibri" w:cs="Times New Roman"/>
          <w:color w:val="000000"/>
          <w:sz w:val="16"/>
          <w:szCs w:val="16"/>
          <w:lang w:eastAsia="en-US"/>
        </w:rPr>
        <w:t xml:space="preserve">”; Wydział Inżynierii </w:t>
      </w:r>
    </w:p>
    <w:p w:rsidR="00640823" w:rsidRPr="00640823" w:rsidRDefault="00640823" w:rsidP="00640823">
      <w:pPr>
        <w:widowControl/>
        <w:spacing w:line="240" w:lineRule="auto"/>
        <w:ind w:left="1416"/>
        <w:rPr>
          <w:rFonts w:eastAsia="Calibri" w:cs="Times New Roman"/>
          <w:color w:val="000000"/>
          <w:sz w:val="16"/>
          <w:szCs w:val="16"/>
          <w:lang w:eastAsia="en-US"/>
        </w:rPr>
      </w:pPr>
      <w:r w:rsidRPr="00640823">
        <w:rPr>
          <w:rFonts w:eastAsia="Calibri" w:cs="Times New Roman"/>
          <w:color w:val="000000"/>
          <w:sz w:val="16"/>
          <w:szCs w:val="16"/>
          <w:lang w:eastAsia="en-US"/>
        </w:rPr>
        <w:t xml:space="preserve">Lądowej Politechniki Warszawskiej, dr inż. Andrzej Brzeziński, dr inż. Tomasz </w:t>
      </w:r>
      <w:proofErr w:type="spellStart"/>
      <w:r w:rsidRPr="00640823">
        <w:rPr>
          <w:rFonts w:eastAsia="Calibri" w:cs="Times New Roman"/>
          <w:color w:val="000000"/>
          <w:sz w:val="16"/>
          <w:szCs w:val="16"/>
          <w:lang w:eastAsia="en-US"/>
        </w:rPr>
        <w:t>Dybicz</w:t>
      </w:r>
      <w:proofErr w:type="spellEnd"/>
      <w:r w:rsidRPr="00640823">
        <w:rPr>
          <w:rFonts w:eastAsia="Calibri" w:cs="Times New Roman"/>
          <w:color w:val="000000"/>
          <w:sz w:val="16"/>
          <w:szCs w:val="16"/>
          <w:lang w:eastAsia="en-US"/>
        </w:rPr>
        <w:t xml:space="preserve">, mgr inż. Karolina </w:t>
      </w:r>
      <w:proofErr w:type="spellStart"/>
      <w:r w:rsidRPr="00640823">
        <w:rPr>
          <w:rFonts w:eastAsia="Calibri" w:cs="Times New Roman"/>
          <w:color w:val="000000"/>
          <w:sz w:val="16"/>
          <w:szCs w:val="16"/>
          <w:lang w:eastAsia="en-US"/>
        </w:rPr>
        <w:t>Jesionkiewicz</w:t>
      </w:r>
      <w:proofErr w:type="spellEnd"/>
      <w:r w:rsidRPr="00640823">
        <w:rPr>
          <w:rFonts w:eastAsia="Calibri" w:cs="Times New Roman"/>
          <w:color w:val="000000"/>
          <w:sz w:val="16"/>
          <w:szCs w:val="16"/>
          <w:lang w:eastAsia="en-US"/>
        </w:rPr>
        <w:t xml:space="preserve"> – </w:t>
      </w:r>
      <w:proofErr w:type="spellStart"/>
      <w:r w:rsidRPr="00640823">
        <w:rPr>
          <w:rFonts w:eastAsia="Calibri" w:cs="Times New Roman"/>
          <w:color w:val="000000"/>
          <w:sz w:val="16"/>
          <w:szCs w:val="16"/>
          <w:lang w:eastAsia="en-US"/>
        </w:rPr>
        <w:t>Niedzińska</w:t>
      </w:r>
      <w:proofErr w:type="spellEnd"/>
    </w:p>
    <w:p w:rsidR="00640823" w:rsidRPr="00640823" w:rsidRDefault="00640823" w:rsidP="00640823">
      <w:pPr>
        <w:widowControl/>
        <w:spacing w:line="240" w:lineRule="auto"/>
        <w:rPr>
          <w:rFonts w:eastAsia="Calibri" w:cs="Times New Roman"/>
          <w:b/>
          <w:color w:val="000000"/>
          <w:szCs w:val="24"/>
          <w:lang w:eastAsia="en-US"/>
        </w:rPr>
      </w:pPr>
    </w:p>
    <w:p w:rsidR="00640823" w:rsidRPr="00640823" w:rsidRDefault="00640823" w:rsidP="00640823">
      <w:pPr>
        <w:widowControl/>
        <w:spacing w:line="240" w:lineRule="auto"/>
        <w:rPr>
          <w:rFonts w:eastAsia="Calibri" w:cs="Times New Roman"/>
          <w:b/>
          <w:color w:val="000000"/>
          <w:szCs w:val="24"/>
          <w:lang w:eastAsia="en-US"/>
        </w:rPr>
      </w:pPr>
    </w:p>
    <w:p w:rsidR="00640823" w:rsidRPr="00640823" w:rsidRDefault="00640823" w:rsidP="00640823">
      <w:pPr>
        <w:widowControl/>
        <w:numPr>
          <w:ilvl w:val="0"/>
          <w:numId w:val="4"/>
        </w:numPr>
        <w:autoSpaceDE/>
        <w:autoSpaceDN/>
        <w:adjustRightInd/>
        <w:spacing w:line="240" w:lineRule="auto"/>
        <w:contextualSpacing/>
        <w:rPr>
          <w:rFonts w:eastAsia="Calibri" w:cs="Times New Roman"/>
          <w:b/>
          <w:color w:val="000000"/>
          <w:szCs w:val="24"/>
          <w:u w:val="single"/>
          <w:lang w:eastAsia="en-US"/>
        </w:rPr>
      </w:pPr>
      <w:r w:rsidRPr="00640823">
        <w:rPr>
          <w:rFonts w:eastAsia="Calibri" w:cs="Times New Roman"/>
          <w:b/>
          <w:color w:val="000000"/>
          <w:szCs w:val="24"/>
          <w:lang w:eastAsia="en-US"/>
        </w:rPr>
        <w:t>obciążenie miejsc parkingowych w obszarach rekreacyjnych.</w:t>
      </w:r>
      <w:r w:rsidRPr="00640823">
        <w:rPr>
          <w:rFonts w:eastAsia="Calibri" w:cs="Times New Roman"/>
          <w:color w:val="000000"/>
          <w:szCs w:val="24"/>
          <w:vertAlign w:val="superscript"/>
          <w:lang w:eastAsia="en-US"/>
        </w:rPr>
        <w:footnoteReference w:id="8"/>
      </w:r>
      <w:r w:rsidRPr="00640823">
        <w:rPr>
          <w:rFonts w:eastAsia="Calibri" w:cs="Times New Roman"/>
          <w:b/>
          <w:color w:val="000000"/>
          <w:szCs w:val="24"/>
          <w:lang w:eastAsia="en-US"/>
        </w:rPr>
        <w:t xml:space="preserve"> </w:t>
      </w:r>
      <w:r w:rsidRPr="00640823">
        <w:rPr>
          <w:rFonts w:eastAsia="Calibri" w:cs="Times New Roman"/>
          <w:color w:val="000000"/>
          <w:szCs w:val="24"/>
          <w:lang w:eastAsia="en-US"/>
        </w:rPr>
        <w:t xml:space="preserve">Wraz ze wzrostem roli turystycznej wydłuża się czas przebywania w obszarze (również czas parkowania). Średni czas parkowania związanego z rekreacją wynosi ok. 3 godz., a aż 70-90% odwiedzających przebywa w obszarze do 4 godz. Wskaźnik rotacji na różnych parkingach wahają się w przedziale 2,5-3,0 pojazdy/stanowisko. Wykorzystanie parkingów położonych w centrum obszaru rekreacyjnego jest bardzo intensywne, zapełniają się  do godz. 10 – tej, najpóźniej do 12 – tej. Od 17 – tej wszędzie wyraźnie spada zainteresowanie rekreacją.    </w:t>
      </w:r>
    </w:p>
    <w:p w:rsidR="00640823" w:rsidRPr="00640823" w:rsidRDefault="00640823" w:rsidP="00640823">
      <w:pPr>
        <w:widowControl/>
        <w:spacing w:line="240" w:lineRule="auto"/>
        <w:rPr>
          <w:rFonts w:eastAsia="Calibri" w:cs="Times New Roman"/>
          <w:szCs w:val="24"/>
          <w:lang w:eastAsia="en-US"/>
        </w:rPr>
      </w:pPr>
    </w:p>
    <w:p w:rsidR="00640823" w:rsidRPr="00640823" w:rsidRDefault="00640823" w:rsidP="00640823">
      <w:pPr>
        <w:widowControl/>
        <w:spacing w:line="240" w:lineRule="auto"/>
        <w:rPr>
          <w:rFonts w:eastAsia="Calibri" w:cs="Times New Roman"/>
          <w:szCs w:val="24"/>
          <w:lang w:eastAsia="en-US"/>
        </w:rPr>
      </w:pPr>
    </w:p>
    <w:p w:rsidR="00640823" w:rsidRPr="00640823" w:rsidRDefault="00640823" w:rsidP="00640823">
      <w:pPr>
        <w:widowControl/>
        <w:spacing w:line="240" w:lineRule="auto"/>
        <w:rPr>
          <w:rFonts w:eastAsia="Calibri" w:cs="Times New Roman"/>
          <w:szCs w:val="24"/>
          <w:u w:val="single"/>
          <w:lang w:eastAsia="en-US"/>
        </w:rPr>
      </w:pPr>
      <w:r w:rsidRPr="00640823">
        <w:rPr>
          <w:rFonts w:eastAsia="Calibri" w:cs="Times New Roman"/>
          <w:b/>
          <w:szCs w:val="24"/>
          <w:u w:val="single"/>
          <w:lang w:eastAsia="en-US"/>
        </w:rPr>
        <w:t>Sporządził</w:t>
      </w:r>
      <w:r w:rsidRPr="00640823">
        <w:rPr>
          <w:rFonts w:eastAsia="Calibri" w:cs="Times New Roman"/>
          <w:szCs w:val="24"/>
          <w:u w:val="single"/>
          <w:lang w:eastAsia="en-US"/>
        </w:rPr>
        <w:t xml:space="preserve">: </w:t>
      </w:r>
    </w:p>
    <w:p w:rsidR="00640823" w:rsidRPr="00640823" w:rsidRDefault="00640823" w:rsidP="00640823">
      <w:pPr>
        <w:widowControl/>
        <w:spacing w:line="240" w:lineRule="auto"/>
        <w:rPr>
          <w:rFonts w:eastAsia="Calibri" w:cs="Times New Roman"/>
          <w:sz w:val="22"/>
          <w:szCs w:val="22"/>
          <w:lang w:eastAsia="en-US"/>
        </w:rPr>
      </w:pPr>
      <w:r w:rsidRPr="00640823">
        <w:rPr>
          <w:rFonts w:eastAsia="Calibri" w:cs="Times New Roman"/>
          <w:sz w:val="22"/>
          <w:szCs w:val="22"/>
          <w:lang w:eastAsia="en-US"/>
        </w:rPr>
        <w:t xml:space="preserve">Marian </w:t>
      </w:r>
      <w:proofErr w:type="spellStart"/>
      <w:r w:rsidRPr="00640823">
        <w:rPr>
          <w:rFonts w:eastAsia="Calibri" w:cs="Times New Roman"/>
          <w:sz w:val="22"/>
          <w:szCs w:val="22"/>
          <w:lang w:eastAsia="en-US"/>
        </w:rPr>
        <w:t>Fałek</w:t>
      </w:r>
      <w:proofErr w:type="spellEnd"/>
      <w:r w:rsidRPr="00640823">
        <w:rPr>
          <w:rFonts w:eastAsia="Calibri" w:cs="Times New Roman"/>
          <w:sz w:val="22"/>
          <w:szCs w:val="22"/>
          <w:lang w:eastAsia="en-US"/>
        </w:rPr>
        <w:t xml:space="preserve"> ekspert ds. OSR</w:t>
      </w:r>
    </w:p>
    <w:p w:rsidR="007C5A8A" w:rsidRPr="001B342E" w:rsidRDefault="007C5A8A" w:rsidP="00640823">
      <w:pPr>
        <w:widowControl/>
        <w:autoSpaceDE/>
        <w:autoSpaceDN/>
        <w:adjustRightInd/>
        <w:spacing w:line="276" w:lineRule="auto"/>
        <w:jc w:val="left"/>
      </w:pPr>
    </w:p>
    <w:sectPr w:rsidR="007C5A8A" w:rsidRPr="001B342E" w:rsidSect="00725DE7">
      <w:footnotePr>
        <w:numRestart w:val="eachSect"/>
      </w:footnotePr>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991" w:rsidRDefault="00C62991">
      <w:r>
        <w:separator/>
      </w:r>
    </w:p>
  </w:endnote>
  <w:endnote w:type="continuationSeparator" w:id="0">
    <w:p w:rsidR="00C62991" w:rsidRDefault="00C62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MyriadPro-Regular">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205" w:rsidRDefault="00FA72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991" w:rsidRDefault="00C62991">
      <w:r>
        <w:separator/>
      </w:r>
    </w:p>
  </w:footnote>
  <w:footnote w:type="continuationSeparator" w:id="0">
    <w:p w:rsidR="00C62991" w:rsidRDefault="00C62991">
      <w:r>
        <w:continuationSeparator/>
      </w:r>
    </w:p>
  </w:footnote>
  <w:footnote w:id="1">
    <w:p w:rsidR="00ED4EA5" w:rsidRDefault="00ED4EA5" w:rsidP="00F95DD2">
      <w:pPr>
        <w:pStyle w:val="ODNONIKtreodnonika"/>
      </w:pPr>
      <w:r>
        <w:rPr>
          <w:rStyle w:val="Odwoanieprzypisudolnego"/>
        </w:rPr>
        <w:footnoteRef/>
      </w:r>
      <w:r>
        <w:rPr>
          <w:rStyle w:val="IGindeksgrny"/>
        </w:rPr>
        <w:t>)</w:t>
      </w:r>
      <w:r>
        <w:tab/>
      </w:r>
      <w:r w:rsidRPr="0093768B">
        <w:t xml:space="preserve">Zmiany tekstu jednolitego wymienionej ustawy zostały ogłoszone w </w:t>
      </w:r>
      <w:r>
        <w:t>Dz. U. z 2017 r. poz. 1926 oraz z 2018 r. poz. 79, 106, 138, 317 i 650.</w:t>
      </w:r>
    </w:p>
  </w:footnote>
  <w:footnote w:id="2">
    <w:p w:rsidR="00ED4EA5" w:rsidRDefault="00ED4EA5" w:rsidP="009A6D31">
      <w:pPr>
        <w:pStyle w:val="ODNONIKtreodnonika"/>
      </w:pPr>
      <w:r>
        <w:rPr>
          <w:rStyle w:val="Odwoanieprzypisudolnego"/>
        </w:rPr>
        <w:footnoteRef/>
      </w:r>
      <w:r>
        <w:rPr>
          <w:rStyle w:val="IGindeksgrny"/>
        </w:rPr>
        <w:t>)</w:t>
      </w:r>
      <w:r>
        <w:tab/>
      </w:r>
      <w:r w:rsidRPr="0093768B">
        <w:t xml:space="preserve">Zmiany tekstu jednolitego wymienionej ustawy zostały ogłoszone w </w:t>
      </w:r>
      <w:r>
        <w:t>Dz. U. z 2017 r. poz. 1926 oraz z 2018 r. poz. 79, 106, 138, 317 i 650.</w:t>
      </w:r>
    </w:p>
  </w:footnote>
  <w:footnote w:id="3">
    <w:p w:rsidR="00640823" w:rsidRPr="00A504BA" w:rsidRDefault="00640823" w:rsidP="00640823">
      <w:pPr>
        <w:spacing w:line="240" w:lineRule="auto"/>
        <w:rPr>
          <w:b/>
          <w:color w:val="000000"/>
          <w:sz w:val="16"/>
          <w:szCs w:val="16"/>
          <w:u w:val="single"/>
        </w:rPr>
      </w:pPr>
      <w:r w:rsidRPr="00A504BA">
        <w:rPr>
          <w:rStyle w:val="Odwoanieprzypisudolnego"/>
          <w:sz w:val="16"/>
          <w:szCs w:val="16"/>
        </w:rPr>
        <w:footnoteRef/>
      </w:r>
      <w:r w:rsidRPr="00A504BA">
        <w:rPr>
          <w:sz w:val="16"/>
          <w:szCs w:val="16"/>
        </w:rPr>
        <w:t xml:space="preserve"> </w:t>
      </w:r>
      <w:r w:rsidRPr="00A504BA">
        <w:rPr>
          <w:color w:val="000000"/>
          <w:sz w:val="16"/>
          <w:szCs w:val="16"/>
        </w:rPr>
        <w:t>„</w:t>
      </w:r>
      <w:r w:rsidRPr="00A4144C">
        <w:rPr>
          <w:i/>
          <w:color w:val="000000"/>
          <w:sz w:val="16"/>
          <w:szCs w:val="16"/>
        </w:rPr>
        <w:t>Analiza projektu rozszerzenia strefy płatnego parkowania w Krakowie</w:t>
      </w:r>
      <w:r w:rsidRPr="00A504BA">
        <w:rPr>
          <w:color w:val="000000"/>
          <w:sz w:val="16"/>
          <w:szCs w:val="16"/>
        </w:rPr>
        <w:t xml:space="preserve">”, Autorzy artykułu: mgr inż. Piotr </w:t>
      </w:r>
      <w:proofErr w:type="spellStart"/>
      <w:r w:rsidRPr="00A504BA">
        <w:rPr>
          <w:color w:val="000000"/>
          <w:sz w:val="16"/>
          <w:szCs w:val="16"/>
        </w:rPr>
        <w:t>Brzyszcz</w:t>
      </w:r>
      <w:proofErr w:type="spellEnd"/>
      <w:r w:rsidRPr="00A504BA">
        <w:rPr>
          <w:color w:val="000000"/>
          <w:sz w:val="16"/>
          <w:szCs w:val="16"/>
        </w:rPr>
        <w:t xml:space="preserve">, mgr inż. Wojciech Garczewski, dr inż. Andrzej </w:t>
      </w:r>
      <w:proofErr w:type="spellStart"/>
      <w:r w:rsidRPr="00A504BA">
        <w:rPr>
          <w:color w:val="000000"/>
          <w:sz w:val="16"/>
          <w:szCs w:val="16"/>
        </w:rPr>
        <w:t>Szarata</w:t>
      </w:r>
      <w:proofErr w:type="spellEnd"/>
      <w:r w:rsidRPr="00A504BA">
        <w:rPr>
          <w:color w:val="000000"/>
          <w:sz w:val="16"/>
          <w:szCs w:val="16"/>
        </w:rPr>
        <w:t>; Instytut Inżynierii Drogowej i Kolejowej Politechniki Krakowskiej</w:t>
      </w:r>
    </w:p>
  </w:footnote>
  <w:footnote w:id="4">
    <w:p w:rsidR="00640823" w:rsidRPr="008A17F9" w:rsidRDefault="00640823" w:rsidP="00640823">
      <w:pPr>
        <w:spacing w:line="240" w:lineRule="auto"/>
        <w:rPr>
          <w:color w:val="000000"/>
          <w:sz w:val="16"/>
          <w:szCs w:val="16"/>
        </w:rPr>
      </w:pPr>
      <w:r w:rsidRPr="008A17F9">
        <w:rPr>
          <w:rStyle w:val="Odwoanieprzypisudolnego"/>
          <w:sz w:val="16"/>
          <w:szCs w:val="16"/>
        </w:rPr>
        <w:footnoteRef/>
      </w:r>
      <w:r w:rsidRPr="008A17F9">
        <w:rPr>
          <w:sz w:val="16"/>
          <w:szCs w:val="16"/>
        </w:rPr>
        <w:t xml:space="preserve"> </w:t>
      </w:r>
      <w:r w:rsidRPr="008A17F9">
        <w:rPr>
          <w:color w:val="000000"/>
          <w:sz w:val="16"/>
          <w:szCs w:val="16"/>
        </w:rPr>
        <w:t>„</w:t>
      </w:r>
      <w:r w:rsidRPr="00A4144C">
        <w:rPr>
          <w:i/>
          <w:color w:val="000000"/>
          <w:sz w:val="16"/>
          <w:szCs w:val="16"/>
        </w:rPr>
        <w:t xml:space="preserve">Uwarunkowania realizacyjne opracowań studialnych, dotyczących płatnego parkowania (obejmującego parkingi powierzchniowe i kubaturowe) realizowanych w systemie partnerstwa </w:t>
      </w:r>
      <w:proofErr w:type="spellStart"/>
      <w:r w:rsidRPr="00A4144C">
        <w:rPr>
          <w:i/>
          <w:color w:val="000000"/>
          <w:sz w:val="16"/>
          <w:szCs w:val="16"/>
        </w:rPr>
        <w:t>publiczno</w:t>
      </w:r>
      <w:proofErr w:type="spellEnd"/>
      <w:r w:rsidRPr="00A4144C">
        <w:rPr>
          <w:i/>
          <w:color w:val="000000"/>
          <w:sz w:val="16"/>
          <w:szCs w:val="16"/>
        </w:rPr>
        <w:t xml:space="preserve"> – prywatnego na przykładzie Bielska – Białej</w:t>
      </w:r>
      <w:r>
        <w:rPr>
          <w:color w:val="000000"/>
          <w:sz w:val="16"/>
          <w:szCs w:val="16"/>
        </w:rPr>
        <w:t>” m</w:t>
      </w:r>
      <w:r w:rsidRPr="008A17F9">
        <w:rPr>
          <w:color w:val="000000"/>
          <w:sz w:val="16"/>
          <w:szCs w:val="16"/>
        </w:rPr>
        <w:t xml:space="preserve">gr inż. Jan </w:t>
      </w:r>
      <w:proofErr w:type="spellStart"/>
      <w:r w:rsidRPr="008A17F9">
        <w:rPr>
          <w:color w:val="000000"/>
          <w:sz w:val="16"/>
          <w:szCs w:val="16"/>
        </w:rPr>
        <w:t>Gregorowicz</w:t>
      </w:r>
      <w:proofErr w:type="spellEnd"/>
      <w:r w:rsidRPr="008A17F9">
        <w:rPr>
          <w:color w:val="000000"/>
          <w:sz w:val="16"/>
          <w:szCs w:val="16"/>
        </w:rPr>
        <w:t>, mgr inż. Piotr Trybuś; “INKOM” S.C. Katowice</w:t>
      </w:r>
    </w:p>
  </w:footnote>
  <w:footnote w:id="5">
    <w:p w:rsidR="00640823" w:rsidRPr="008A17F9" w:rsidRDefault="00640823" w:rsidP="00640823">
      <w:pPr>
        <w:spacing w:line="240" w:lineRule="auto"/>
        <w:rPr>
          <w:b/>
          <w:sz w:val="16"/>
          <w:szCs w:val="16"/>
          <w:u w:val="single"/>
        </w:rPr>
      </w:pPr>
      <w:r w:rsidRPr="008A17F9">
        <w:rPr>
          <w:rStyle w:val="Odwoanieprzypisudolnego"/>
          <w:sz w:val="16"/>
          <w:szCs w:val="16"/>
        </w:rPr>
        <w:footnoteRef/>
      </w:r>
      <w:r w:rsidRPr="008A17F9">
        <w:rPr>
          <w:sz w:val="16"/>
          <w:szCs w:val="16"/>
        </w:rPr>
        <w:t xml:space="preserve"> „</w:t>
      </w:r>
      <w:r w:rsidRPr="00A4144C">
        <w:rPr>
          <w:i/>
          <w:sz w:val="16"/>
          <w:szCs w:val="16"/>
        </w:rPr>
        <w:t xml:space="preserve">Streszczenie Raportu z badania </w:t>
      </w:r>
      <w:proofErr w:type="spellStart"/>
      <w:r w:rsidRPr="00A4144C">
        <w:rPr>
          <w:i/>
          <w:sz w:val="16"/>
          <w:szCs w:val="16"/>
        </w:rPr>
        <w:t>zachowań</w:t>
      </w:r>
      <w:proofErr w:type="spellEnd"/>
      <w:r w:rsidRPr="00A4144C">
        <w:rPr>
          <w:i/>
          <w:sz w:val="16"/>
          <w:szCs w:val="16"/>
        </w:rPr>
        <w:t xml:space="preserve"> parkingowych w Krakowie</w:t>
      </w:r>
      <w:r w:rsidRPr="008A17F9">
        <w:rPr>
          <w:sz w:val="16"/>
          <w:szCs w:val="16"/>
        </w:rPr>
        <w:t xml:space="preserve">”, </w:t>
      </w:r>
      <w:r>
        <w:rPr>
          <w:bCs/>
          <w:sz w:val="16"/>
          <w:szCs w:val="16"/>
        </w:rPr>
        <w:t>EPS Polska Sp. z o.o</w:t>
      </w:r>
      <w:r w:rsidRPr="008A17F9">
        <w:rPr>
          <w:bCs/>
          <w:sz w:val="16"/>
          <w:szCs w:val="16"/>
        </w:rPr>
        <w:t xml:space="preserve">. EPS Global Co. oraz  One Planet Engineering Ltd. </w:t>
      </w:r>
    </w:p>
  </w:footnote>
  <w:footnote w:id="6">
    <w:p w:rsidR="00640823" w:rsidRPr="00A504BA" w:rsidRDefault="00640823" w:rsidP="00640823">
      <w:pPr>
        <w:pStyle w:val="Tekstprzypisudolnego"/>
        <w:widowControl/>
        <w:autoSpaceDE/>
        <w:autoSpaceDN/>
        <w:adjustRightInd/>
        <w:spacing w:line="276" w:lineRule="auto"/>
        <w:rPr>
          <w:rFonts w:ascii="Times New Roman" w:hAnsi="Times New Roman"/>
          <w:sz w:val="16"/>
          <w:szCs w:val="16"/>
        </w:rPr>
      </w:pPr>
      <w:r w:rsidRPr="008A17F9">
        <w:rPr>
          <w:rStyle w:val="Odwoanieprzypisudolnego"/>
          <w:rFonts w:ascii="Times New Roman" w:eastAsiaTheme="minorEastAsia" w:hAnsi="Times New Roman"/>
          <w:sz w:val="16"/>
          <w:szCs w:val="16"/>
        </w:rPr>
        <w:footnoteRef/>
      </w:r>
      <w:r w:rsidRPr="008A17F9">
        <w:rPr>
          <w:rFonts w:ascii="Times New Roman" w:hAnsi="Times New Roman"/>
          <w:sz w:val="16"/>
          <w:szCs w:val="16"/>
        </w:rPr>
        <w:t xml:space="preserve"> „</w:t>
      </w:r>
      <w:r w:rsidRPr="00A4144C">
        <w:rPr>
          <w:rFonts w:ascii="Times New Roman" w:hAnsi="Times New Roman"/>
          <w:i/>
          <w:sz w:val="16"/>
          <w:szCs w:val="16"/>
        </w:rPr>
        <w:t>Analiza wykorzystania parkingów przy galerii handlowej na przykładzie Krakowa</w:t>
      </w:r>
      <w:r w:rsidRPr="008A17F9">
        <w:rPr>
          <w:rFonts w:ascii="Times New Roman" w:hAnsi="Times New Roman"/>
          <w:sz w:val="16"/>
          <w:szCs w:val="16"/>
        </w:rPr>
        <w:t xml:space="preserve">”, Mariusz Dudek dr </w:t>
      </w:r>
      <w:r>
        <w:rPr>
          <w:rFonts w:ascii="Times New Roman" w:hAnsi="Times New Roman"/>
          <w:sz w:val="16"/>
          <w:szCs w:val="16"/>
        </w:rPr>
        <w:t>inż.</w:t>
      </w:r>
      <w:r w:rsidRPr="008A17F9">
        <w:rPr>
          <w:rFonts w:ascii="Times New Roman" w:hAnsi="Times New Roman"/>
          <w:sz w:val="16"/>
          <w:szCs w:val="16"/>
        </w:rPr>
        <w:t>, adiunkt, Politechnika Krakowska, Instytut Inżynierii Drogowej i Kolejowej</w:t>
      </w:r>
      <w:r w:rsidRPr="00A504BA">
        <w:rPr>
          <w:rFonts w:ascii="Times New Roman" w:hAnsi="Times New Roman"/>
          <w:sz w:val="16"/>
          <w:szCs w:val="16"/>
        </w:rPr>
        <w:t xml:space="preserve">  </w:t>
      </w:r>
    </w:p>
  </w:footnote>
  <w:footnote w:id="7">
    <w:p w:rsidR="00640823" w:rsidRPr="005647D6" w:rsidRDefault="00640823" w:rsidP="00640823">
      <w:pPr>
        <w:pStyle w:val="Tekstprzypisudolnego"/>
        <w:widowControl/>
        <w:autoSpaceDE/>
        <w:autoSpaceDN/>
        <w:adjustRightInd/>
        <w:spacing w:line="276" w:lineRule="auto"/>
        <w:rPr>
          <w:rFonts w:ascii="Times New Roman" w:hAnsi="Times New Roman"/>
          <w:sz w:val="16"/>
          <w:szCs w:val="16"/>
        </w:rPr>
      </w:pPr>
      <w:r w:rsidRPr="00CD05C7">
        <w:rPr>
          <w:rStyle w:val="Odwoanieprzypisudolnego"/>
          <w:rFonts w:eastAsiaTheme="minorEastAsia"/>
          <w:sz w:val="16"/>
          <w:szCs w:val="16"/>
        </w:rPr>
        <w:footnoteRef/>
      </w:r>
      <w:r w:rsidRPr="00CD05C7">
        <w:rPr>
          <w:sz w:val="16"/>
          <w:szCs w:val="16"/>
        </w:rPr>
        <w:t xml:space="preserve"> </w:t>
      </w:r>
      <w:r w:rsidRPr="00CD05C7">
        <w:rPr>
          <w:color w:val="000000"/>
          <w:sz w:val="16"/>
          <w:szCs w:val="16"/>
        </w:rPr>
        <w:t>„</w:t>
      </w:r>
      <w:r w:rsidRPr="00A4144C">
        <w:rPr>
          <w:rFonts w:ascii="Times New Roman" w:hAnsi="Times New Roman"/>
          <w:i/>
          <w:color w:val="000000"/>
          <w:sz w:val="16"/>
          <w:szCs w:val="16"/>
        </w:rPr>
        <w:t xml:space="preserve">Znaczenie systemu P+R na liniach </w:t>
      </w:r>
      <w:r w:rsidRPr="00640823">
        <w:rPr>
          <w:rFonts w:ascii="Times New Roman" w:eastAsia="Calibri" w:hAnsi="Times New Roman"/>
          <w:i/>
          <w:color w:val="000000"/>
          <w:sz w:val="16"/>
          <w:szCs w:val="16"/>
          <w:lang w:eastAsia="en-US"/>
        </w:rPr>
        <w:t>kolejowych</w:t>
      </w:r>
      <w:r w:rsidRPr="00A4144C">
        <w:rPr>
          <w:rFonts w:ascii="Times New Roman" w:hAnsi="Times New Roman"/>
          <w:i/>
          <w:color w:val="000000"/>
          <w:sz w:val="16"/>
          <w:szCs w:val="16"/>
        </w:rPr>
        <w:t xml:space="preserve"> w aglomeracji warszawskiej</w:t>
      </w:r>
      <w:r w:rsidRPr="005647D6">
        <w:rPr>
          <w:rFonts w:ascii="Times New Roman" w:hAnsi="Times New Roman"/>
          <w:color w:val="000000"/>
          <w:sz w:val="16"/>
          <w:szCs w:val="16"/>
        </w:rPr>
        <w:t xml:space="preserve">”,  Andrzej Brzeziński dr inż., Tomasz </w:t>
      </w:r>
      <w:proofErr w:type="spellStart"/>
      <w:r w:rsidRPr="005647D6">
        <w:rPr>
          <w:rFonts w:ascii="Times New Roman" w:hAnsi="Times New Roman"/>
          <w:color w:val="000000"/>
          <w:sz w:val="16"/>
          <w:szCs w:val="16"/>
        </w:rPr>
        <w:t>Dybicz</w:t>
      </w:r>
      <w:proofErr w:type="spellEnd"/>
      <w:r w:rsidRPr="005647D6">
        <w:rPr>
          <w:rFonts w:ascii="Times New Roman" w:hAnsi="Times New Roman"/>
          <w:color w:val="000000"/>
          <w:sz w:val="16"/>
          <w:szCs w:val="16"/>
        </w:rPr>
        <w:t xml:space="preserve"> dr inż. i Karolina </w:t>
      </w:r>
      <w:proofErr w:type="spellStart"/>
      <w:r w:rsidRPr="005647D6">
        <w:rPr>
          <w:rFonts w:ascii="Times New Roman" w:hAnsi="Times New Roman"/>
          <w:color w:val="000000"/>
          <w:sz w:val="16"/>
          <w:szCs w:val="16"/>
        </w:rPr>
        <w:t>Jesionkiewicz</w:t>
      </w:r>
      <w:proofErr w:type="spellEnd"/>
      <w:r w:rsidRPr="005647D6">
        <w:rPr>
          <w:rFonts w:ascii="Times New Roman" w:hAnsi="Times New Roman"/>
          <w:color w:val="000000"/>
          <w:sz w:val="16"/>
          <w:szCs w:val="16"/>
        </w:rPr>
        <w:t xml:space="preserve"> – </w:t>
      </w:r>
      <w:proofErr w:type="spellStart"/>
      <w:r w:rsidRPr="005647D6">
        <w:rPr>
          <w:rFonts w:ascii="Times New Roman" w:hAnsi="Times New Roman"/>
          <w:color w:val="000000"/>
          <w:sz w:val="16"/>
          <w:szCs w:val="16"/>
        </w:rPr>
        <w:t>Niedzińska</w:t>
      </w:r>
      <w:proofErr w:type="spellEnd"/>
      <w:r w:rsidRPr="005647D6">
        <w:rPr>
          <w:rFonts w:ascii="Times New Roman" w:hAnsi="Times New Roman"/>
          <w:color w:val="000000"/>
          <w:sz w:val="16"/>
          <w:szCs w:val="16"/>
        </w:rPr>
        <w:t xml:space="preserve"> mgr inż., pracownicy naukowi Wydziału Inżynierii Lądowej Politechniki Warszawskiej</w:t>
      </w:r>
    </w:p>
  </w:footnote>
  <w:footnote w:id="8">
    <w:p w:rsidR="00640823" w:rsidRPr="005647D6" w:rsidRDefault="00640823" w:rsidP="00640823">
      <w:pPr>
        <w:widowControl/>
        <w:spacing w:line="240" w:lineRule="auto"/>
        <w:rPr>
          <w:color w:val="000000"/>
          <w:sz w:val="16"/>
          <w:szCs w:val="16"/>
        </w:rPr>
      </w:pPr>
      <w:r w:rsidRPr="005647D6">
        <w:rPr>
          <w:rStyle w:val="Odwoanieprzypisudolnego"/>
          <w:sz w:val="16"/>
          <w:szCs w:val="16"/>
        </w:rPr>
        <w:footnoteRef/>
      </w:r>
      <w:r w:rsidRPr="005647D6">
        <w:rPr>
          <w:sz w:val="16"/>
          <w:szCs w:val="16"/>
        </w:rPr>
        <w:t xml:space="preserve"> </w:t>
      </w:r>
      <w:r w:rsidRPr="005647D6">
        <w:rPr>
          <w:color w:val="000000"/>
          <w:sz w:val="16"/>
          <w:szCs w:val="16"/>
        </w:rPr>
        <w:t xml:space="preserve"> „</w:t>
      </w:r>
      <w:r w:rsidRPr="00A4144C">
        <w:rPr>
          <w:i/>
          <w:color w:val="000000"/>
          <w:sz w:val="16"/>
          <w:szCs w:val="16"/>
        </w:rPr>
        <w:t xml:space="preserve">Identyfikacja problemów parkowania w </w:t>
      </w:r>
      <w:r w:rsidRPr="00640823">
        <w:rPr>
          <w:rFonts w:eastAsia="Calibri" w:cs="Times New Roman"/>
          <w:i/>
          <w:color w:val="000000"/>
          <w:sz w:val="16"/>
          <w:szCs w:val="16"/>
          <w:lang w:eastAsia="en-US"/>
        </w:rPr>
        <w:t>obszarach</w:t>
      </w:r>
      <w:r w:rsidRPr="00A4144C">
        <w:rPr>
          <w:i/>
          <w:color w:val="000000"/>
          <w:sz w:val="16"/>
          <w:szCs w:val="16"/>
        </w:rPr>
        <w:t xml:space="preserve"> rekreacyjnych</w:t>
      </w:r>
      <w:r w:rsidRPr="005647D6">
        <w:rPr>
          <w:color w:val="000000"/>
          <w:sz w:val="16"/>
          <w:szCs w:val="16"/>
        </w:rPr>
        <w:t xml:space="preserve">”, Wiesław </w:t>
      </w:r>
      <w:proofErr w:type="spellStart"/>
      <w:r w:rsidRPr="005647D6">
        <w:rPr>
          <w:color w:val="000000"/>
          <w:sz w:val="16"/>
          <w:szCs w:val="16"/>
        </w:rPr>
        <w:t>Dźwigoń</w:t>
      </w:r>
      <w:proofErr w:type="spellEnd"/>
      <w:r w:rsidRPr="005647D6">
        <w:rPr>
          <w:color w:val="000000"/>
          <w:sz w:val="16"/>
          <w:szCs w:val="16"/>
        </w:rPr>
        <w:t xml:space="preserve"> dr inż., adiunkt, Politechnika Krakowska, Instytut Inżynierii Drogowej i Kolejowej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ED4EA5" w:rsidP="00B371CC">
    <w:pPr>
      <w:pStyle w:val="Nagwek"/>
      <w:jc w:val="center"/>
    </w:pPr>
    <w:r>
      <w:t xml:space="preserve">– </w:t>
    </w:r>
    <w:r>
      <w:fldChar w:fldCharType="begin"/>
    </w:r>
    <w:r>
      <w:instrText xml:space="preserve"> PAGE  \* MERGEFORMAT </w:instrText>
    </w:r>
    <w:r>
      <w:fldChar w:fldCharType="separate"/>
    </w:r>
    <w:r w:rsidR="009F27ED">
      <w:rPr>
        <w:noProof/>
      </w:rPr>
      <w:t>2</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E59" w:rsidRPr="00B371CC" w:rsidRDefault="00ED4EA5" w:rsidP="00B371CC">
    <w:pPr>
      <w:pStyle w:val="Nagwek"/>
      <w:jc w:val="center"/>
    </w:pPr>
    <w:r>
      <w:t xml:space="preserve">– </w:t>
    </w:r>
    <w:r>
      <w:fldChar w:fldCharType="begin"/>
    </w:r>
    <w:r>
      <w:instrText xml:space="preserve"> PAGE  \* MERGEFORMAT </w:instrText>
    </w:r>
    <w:r>
      <w:fldChar w:fldCharType="separate"/>
    </w:r>
    <w:r w:rsidR="009F27ED">
      <w:rPr>
        <w:noProof/>
      </w:rPr>
      <w:t>4</w:t>
    </w:r>
    <w:r>
      <w:rPr>
        <w:noProof/>
      </w:rPr>
      <w:fldChar w:fldCharType="end"/>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205" w:rsidRPr="00FA7205" w:rsidRDefault="00FA7205" w:rsidP="00FA720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C7777"/>
    <w:multiLevelType w:val="hybridMultilevel"/>
    <w:tmpl w:val="E166C50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B2B071F"/>
    <w:multiLevelType w:val="hybridMultilevel"/>
    <w:tmpl w:val="9E2A2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A23D91"/>
    <w:multiLevelType w:val="hybridMultilevel"/>
    <w:tmpl w:val="29A04C7E"/>
    <w:lvl w:ilvl="0" w:tplc="A31018B0">
      <w:start w:val="1"/>
      <w:numFmt w:val="decimal"/>
      <w:lvlText w:val="%1."/>
      <w:lvlJc w:val="left"/>
      <w:pPr>
        <w:tabs>
          <w:tab w:val="num" w:pos="4610"/>
        </w:tabs>
      </w:pPr>
      <w:rPr>
        <w:rFonts w:cs="Times New Roman" w:hint="default"/>
      </w:rPr>
    </w:lvl>
    <w:lvl w:ilvl="1" w:tplc="4D263FF8">
      <w:start w:val="1"/>
      <w:numFmt w:val="bullet"/>
      <w:lvlText w:val=""/>
      <w:lvlJc w:val="left"/>
      <w:pPr>
        <w:tabs>
          <w:tab w:val="num" w:pos="5693"/>
        </w:tabs>
        <w:ind w:left="5693" w:hanging="360"/>
      </w:pPr>
      <w:rPr>
        <w:rFonts w:ascii="Wingdings" w:hAnsi="Wingdings" w:hint="default"/>
      </w:rPr>
    </w:lvl>
    <w:lvl w:ilvl="2" w:tplc="0415001B" w:tentative="1">
      <w:start w:val="1"/>
      <w:numFmt w:val="lowerRoman"/>
      <w:lvlText w:val="%3."/>
      <w:lvlJc w:val="right"/>
      <w:pPr>
        <w:tabs>
          <w:tab w:val="num" w:pos="6413"/>
        </w:tabs>
        <w:ind w:left="6413" w:hanging="180"/>
      </w:pPr>
      <w:rPr>
        <w:rFonts w:cs="Times New Roman"/>
      </w:rPr>
    </w:lvl>
    <w:lvl w:ilvl="3" w:tplc="0415000F" w:tentative="1">
      <w:start w:val="1"/>
      <w:numFmt w:val="decimal"/>
      <w:lvlText w:val="%4."/>
      <w:lvlJc w:val="left"/>
      <w:pPr>
        <w:tabs>
          <w:tab w:val="num" w:pos="7133"/>
        </w:tabs>
        <w:ind w:left="7133" w:hanging="360"/>
      </w:pPr>
      <w:rPr>
        <w:rFonts w:cs="Times New Roman"/>
      </w:rPr>
    </w:lvl>
    <w:lvl w:ilvl="4" w:tplc="04150019" w:tentative="1">
      <w:start w:val="1"/>
      <w:numFmt w:val="lowerLetter"/>
      <w:lvlText w:val="%5."/>
      <w:lvlJc w:val="left"/>
      <w:pPr>
        <w:tabs>
          <w:tab w:val="num" w:pos="7853"/>
        </w:tabs>
        <w:ind w:left="7853" w:hanging="360"/>
      </w:pPr>
      <w:rPr>
        <w:rFonts w:cs="Times New Roman"/>
      </w:rPr>
    </w:lvl>
    <w:lvl w:ilvl="5" w:tplc="0415001B" w:tentative="1">
      <w:start w:val="1"/>
      <w:numFmt w:val="lowerRoman"/>
      <w:lvlText w:val="%6."/>
      <w:lvlJc w:val="right"/>
      <w:pPr>
        <w:tabs>
          <w:tab w:val="num" w:pos="8573"/>
        </w:tabs>
        <w:ind w:left="8573" w:hanging="180"/>
      </w:pPr>
      <w:rPr>
        <w:rFonts w:cs="Times New Roman"/>
      </w:rPr>
    </w:lvl>
    <w:lvl w:ilvl="6" w:tplc="0415000F" w:tentative="1">
      <w:start w:val="1"/>
      <w:numFmt w:val="decimal"/>
      <w:lvlText w:val="%7."/>
      <w:lvlJc w:val="left"/>
      <w:pPr>
        <w:tabs>
          <w:tab w:val="num" w:pos="9293"/>
        </w:tabs>
        <w:ind w:left="9293" w:hanging="360"/>
      </w:pPr>
      <w:rPr>
        <w:rFonts w:cs="Times New Roman"/>
      </w:rPr>
    </w:lvl>
    <w:lvl w:ilvl="7" w:tplc="04150019" w:tentative="1">
      <w:start w:val="1"/>
      <w:numFmt w:val="lowerLetter"/>
      <w:lvlText w:val="%8."/>
      <w:lvlJc w:val="left"/>
      <w:pPr>
        <w:tabs>
          <w:tab w:val="num" w:pos="10013"/>
        </w:tabs>
        <w:ind w:left="10013" w:hanging="360"/>
      </w:pPr>
      <w:rPr>
        <w:rFonts w:cs="Times New Roman"/>
      </w:rPr>
    </w:lvl>
    <w:lvl w:ilvl="8" w:tplc="0415001B" w:tentative="1">
      <w:start w:val="1"/>
      <w:numFmt w:val="lowerRoman"/>
      <w:lvlText w:val="%9."/>
      <w:lvlJc w:val="right"/>
      <w:pPr>
        <w:tabs>
          <w:tab w:val="num" w:pos="10733"/>
        </w:tabs>
        <w:ind w:left="10733" w:hanging="180"/>
      </w:pPr>
      <w:rPr>
        <w:rFonts w:cs="Times New Roman"/>
      </w:rPr>
    </w:lvl>
  </w:abstractNum>
  <w:abstractNum w:abstractNumId="3" w15:restartNumberingAfterBreak="0">
    <w:nsid w:val="286E4204"/>
    <w:multiLevelType w:val="hybridMultilevel"/>
    <w:tmpl w:val="9D4011B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59426F8A"/>
    <w:multiLevelType w:val="hybridMultilevel"/>
    <w:tmpl w:val="7FEADD1A"/>
    <w:lvl w:ilvl="0" w:tplc="BDFC199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A483384"/>
    <w:multiLevelType w:val="hybridMultilevel"/>
    <w:tmpl w:val="AFD61B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777E635C"/>
    <w:multiLevelType w:val="hybridMultilevel"/>
    <w:tmpl w:val="0220CB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1"/>
  </w:num>
  <w:num w:numId="4">
    <w:abstractNumId w:val="6"/>
  </w:num>
  <w:num w:numId="5">
    <w:abstractNumId w:val="7"/>
  </w:num>
  <w:num w:numId="6">
    <w:abstractNumId w:val="8"/>
  </w:num>
  <w:num w:numId="7">
    <w:abstractNumId w:val="3"/>
  </w:num>
  <w:num w:numId="8">
    <w:abstractNumId w:val="0"/>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991"/>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0C92"/>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2DC0"/>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0823"/>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A8A"/>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27ED"/>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53DE"/>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62991"/>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5110C"/>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4EA5"/>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A7205"/>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F82A784A-97B7-4AEE-8392-02DAC9A9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59"/>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5A8A"/>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IGindeksgrny">
    <w:name w:val="_IG_ – indeks górny"/>
    <w:basedOn w:val="Domylnaczcionkaakapitu"/>
    <w:uiPriority w:val="2"/>
    <w:qFormat/>
    <w:rsid w:val="00ED4EA5"/>
    <w:rPr>
      <w:b w:val="0"/>
      <w:i w:val="0"/>
      <w:vanish w:val="0"/>
      <w:spacing w:val="0"/>
      <w:vertAlign w:val="superscript"/>
    </w:rPr>
  </w:style>
  <w:style w:type="character" w:customStyle="1" w:styleId="Ppogrubienie">
    <w:name w:val="_P_ – pogrubienie"/>
    <w:basedOn w:val="Domylnaczcionkaakapitu"/>
    <w:uiPriority w:val="1"/>
    <w:qFormat/>
    <w:rsid w:val="00ED4EA5"/>
    <w:rPr>
      <w:b/>
    </w:rPr>
  </w:style>
  <w:style w:type="table" w:styleId="Tabela-Siatka">
    <w:name w:val="Table Grid"/>
    <w:basedOn w:val="Standardowy"/>
    <w:uiPriority w:val="59"/>
    <w:locked/>
    <w:rsid w:val="00FA7205"/>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640823"/>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government/organisations/department-for-transport" TargetMode="External"/><Relationship Id="rId5" Type="http://schemas.openxmlformats.org/officeDocument/2006/relationships/webSettings" Target="webSettings.xml"/><Relationship Id="rId15" Type="http://schemas.openxmlformats.org/officeDocument/2006/relationships/package" Target="embeddings/Arkusz_programu_Microsoft_Excel.xlsx"/><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DE912-DEED-4ED0-8C0B-E70492834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wniesienie.dotm</Template>
  <TotalTime>0</TotalTime>
  <Pages>15</Pages>
  <Words>4908</Words>
  <Characters>29448</Characters>
  <Application>Microsoft Office Word</Application>
  <DocSecurity>0</DocSecurity>
  <Lines>245</Lines>
  <Paragraphs>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2012-07-23T08:40:00Z</cp:lastPrinted>
  <dcterms:created xsi:type="dcterms:W3CDTF">2018-05-08T14:17:00Z</dcterms:created>
  <dcterms:modified xsi:type="dcterms:W3CDTF">2018-05-08T14:17:00Z</dcterms:modified>
</cp:coreProperties>
</file>