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5DE" w:rsidRDefault="00C735DE" w:rsidP="00C735DE">
      <w:pPr>
        <w:pStyle w:val="TYTDZOZNoznaczenietytuulubdziau"/>
      </w:pPr>
      <w:bookmarkStart w:id="0" w:name="_GoBack"/>
      <w:bookmarkEnd w:id="0"/>
      <w:r>
        <w:t>Uzasadnienie</w:t>
      </w:r>
    </w:p>
    <w:p w:rsidR="00C735DE" w:rsidRDefault="00C735DE" w:rsidP="00C735DE">
      <w:pPr>
        <w:ind w:firstLine="567"/>
      </w:pPr>
      <w:r>
        <w:t>Projekt ustawy ma na celu zniesienie obowiązującego w przepisach podziału kompetencji pomiędzy Krajowym Ośrodkiem Wsparcia Rolnictwa (KOWR) i Agencją Restrukturyzacji i Modernizacji Rolnictwa (ARiMR) w zakresie przekazywanych przez podmioty skupujące mleko miesięcznych informacji o ilości skupionego mleka. W związku z tym w projekcie zmienia się organ upoważniony do wymierzania kar pieniężnych z tytułu nieprzekazania przez podmioty skupujące mleko do dyrektorów oddziałów terenowych KOWR miesięcznych informacji dotyczących ilości skupionego mleka – z dyrektora oddziału regionalnego ARiMR na dyrektora oddziału terenowego KOWR (art. 1 pkt 4 i 5 projektu).</w:t>
      </w:r>
    </w:p>
    <w:p w:rsidR="00C735DE" w:rsidRDefault="00C735DE" w:rsidP="00C735DE">
      <w:pPr>
        <w:ind w:firstLine="567"/>
      </w:pPr>
      <w:r>
        <w:t>Na podstawie art. 2a ust. 1 ustawy z dnia 20 kwietnia 2004 r. o organizacji rynku mleka i przetworów mlecznych (Dz. U. z 2018 r. poz. 724) podmioty skupujące mleko są obowiązane do przekazywania do właściwego dyrektora oddziału terenowego KOWR miesięcznych informacji dotyczących ilości skupionego mleka, którą im dostarczono każdego miesiąca, a stosownie do art. 49 ust. 2a tej ustawy dyrektor oddziału terenowego KOWR przeprowadza kontrole pierwszych podmiotów skupujących mleko obowiązanych do przekazywania tych informacji. Ponadto, na podstawie art. 2a ust. 2 ustawy z dnia 20 kwietnia 2004 r. o organizacji rynku mleka i przetworów mlecznych, w zakresie określonym przepisami Unii Europejskiej Dyrektor Generalny KOWR przekazuje niniejsze informacje Komisji Europejskiej. Natomiast na podstawie art. 54o ustawy z dnia 20 kwietnia 2004 r. o organizacji rynku mleka i przetworów mlecznych decyzję w sprawie wymierzenia kary pieniężnej z tytułu nieprzekazania wyżej wymienionej informacji wydaje dyrektor oddziału regionalnego ARiMR. Jednocześnie, mając na uwadze, że na podstawie art. 2a ust. 7 nowelizowanej ustawy podmioty skupujące mleko są obowiązane do poinformowania Dyrektora Generalnego KOWR o zaprzestaniu wykonywania działalności w zakresie skupu mleka, w terminie 3 dni od dnia zaprzestania wykonywania tej działalności, kary pieniężne przewidziane w art. 54ne nowelizowanej ustawy w odniesieniu do podmiotów skupujących mleko za nieprzekazanie informacji określonych w art. 2a, obecnie wymierzane przez właściwe organy ARiMR, będą wymierzane przez właściwe organy KOWR.</w:t>
      </w:r>
    </w:p>
    <w:p w:rsidR="00C735DE" w:rsidRDefault="00C735DE" w:rsidP="00C735DE">
      <w:pPr>
        <w:ind w:firstLine="567"/>
      </w:pPr>
      <w:r>
        <w:t xml:space="preserve">Do dnia 1 września 2017 r., tj. daty wejścia w życie wiążących w sprawie przepisów ustawy z dnia 10 lutego 2017 r. – Przepisy wprowadzające ustawę o Krajowym Ośrodku Wsparcia Rolnictwa (Dz. U. poz. 624, z późn. zm.) oraz ustawy z dnia 7 lipca 2017 r. o zmianie ustawy o Agencji Rynku Rolnego i organizacji niektórych rynków rolnych oraz o zmianie niektórych innych ustaw (Dz. U. poz. 1503), ww. zadania związane z przekazywaniem informacji na podstawie art. 2a ustawy z dnia 20 kwietnia 2004 r. o organizacji rynku mleka i </w:t>
      </w:r>
      <w:r>
        <w:lastRenderedPageBreak/>
        <w:t xml:space="preserve">przetworów mlecznych oraz wymierzaniem kar pieniężnych z tytułu nieprzekazania tych informacji były wykonywane przez Agencję Rynku Rolnego (ARR). Na podstawie art. 46 ust. 2 ustawy z dnia 10 lutego 2017 r. </w:t>
      </w:r>
      <w:r w:rsidR="006D79EC">
        <w:t xml:space="preserve">– Przepisy wprowadzające ustawę o Krajowym Ośrodku Wsparcia Rolnictwa </w:t>
      </w:r>
      <w:r>
        <w:t>KOWR z dniem 1 września 2017 r. z mocy prawa wstąpił w ogół praw i obowiązków znoszonej ARR, z wyjątkiem praw i obowiązków, w które wst</w:t>
      </w:r>
      <w:r w:rsidR="008626BD">
        <w:t>ąpiła</w:t>
      </w:r>
      <w:r>
        <w:t xml:space="preserve"> ARiMR.</w:t>
      </w:r>
    </w:p>
    <w:p w:rsidR="00C735DE" w:rsidRDefault="00C735DE" w:rsidP="00C735DE">
      <w:pPr>
        <w:ind w:firstLine="567"/>
      </w:pPr>
      <w:r>
        <w:t xml:space="preserve">W art. 3 projektu w przepisach przejściowych uregulowano kwestie wynikające ze wskazania nowego organu w sprawach dotyczących wymierzania ww. kar pieniężnych. Wskazano, że wszczęte przed dniem wejścia w życie projektowanej ustawy i niezakończone decyzją ostateczną postępowania w sprawie wymierzenia kar pieniężnych za nieprzekazanie informacji określonych w art. 2a ustawy </w:t>
      </w:r>
      <w:r w:rsidR="006D79EC" w:rsidRPr="006D79EC">
        <w:t>z dnia 20 kwietnia 2004 r. o organizacji rynku mleka i przetworów mlecznych</w:t>
      </w:r>
      <w:r>
        <w:t xml:space="preserve">, prowadzone przez Prezesa ARiMR i dyrektora oddziału regionalnego ARiMR, prowadzą, z dniem wejścia w życie </w:t>
      </w:r>
      <w:r w:rsidR="006D79EC">
        <w:t>projektowanej</w:t>
      </w:r>
      <w:r>
        <w:t xml:space="preserve"> ustawy, stosownie do swojej właściwości, Dyrektor Generalny KOWR i dyrektor oddziału terenowego KOWR. Jednocześnie zobowiązano Prezesa ARiMR i właściwego dyrektora oddziału regionalnego ARiMR do przekazania odpowiednio Dyrektorowi Generalnemu KOWR i właściwemu dyrektorowi oddziału terenowego KOWR – w terminie 7 dni od dnia wejścia w życie projektowanych przepisów – akt spraw dotyczących wymierzenia ww. kar pieniężnych (zakończonych decyzją ostateczną, jak i wszczętych i niezakończonych decyzją ostateczną przed dniem wejścia w życie projektowanej ustawy). W art. 3 projektu wskazano również, że Dyrektor Generalny KOWR i dyrektor oddziału terenowego KOWR, stosownie do swojej właściwości, są upoważnieni do uchylenia, zmiany, stwierdzenia nieważności decyzji, stwierdzenia wygaśnięcia decyzji albo wznowienia postępowania w sprawach ww. kar pieniężnych, zakończonych decyzją ostateczną przed dniem wejścia w życie </w:t>
      </w:r>
      <w:r w:rsidR="006D79EC">
        <w:t xml:space="preserve">projektowanej </w:t>
      </w:r>
      <w:r>
        <w:t>ustawy.</w:t>
      </w:r>
    </w:p>
    <w:p w:rsidR="00C735DE" w:rsidRDefault="00C735DE" w:rsidP="00C735DE">
      <w:pPr>
        <w:ind w:firstLine="567"/>
      </w:pPr>
      <w:r>
        <w:t>Ponadto w projekcie doprecyzowano, w celu uniknięcia ewentualnych wątpliwości interpretacyjnych, właściwość miejscową dyrektora oddziału regionalnego ARiMR uprawnionego do przeprowadzania kontroli uznanych organizacji producentów i uznanych zrzeszeń organizacji producentów oraz uznanych organizacji międzybranżowych</w:t>
      </w:r>
      <w:r w:rsidR="008626BD">
        <w:t>, a także</w:t>
      </w:r>
      <w:r>
        <w:t xml:space="preserve"> doprecyzowano właściwość miejscową dyrektora oddziału terenowego KOWR uprawnionego do przeprowadzania kontroli pierwszych podmiotów skupujących mleko (art. 1 pkt 3 projektu).</w:t>
      </w:r>
    </w:p>
    <w:p w:rsidR="00C735DE" w:rsidRDefault="00C735DE" w:rsidP="00C735DE">
      <w:pPr>
        <w:ind w:firstLine="567"/>
      </w:pPr>
      <w:r>
        <w:t xml:space="preserve">W projekcie nowelizacji wskazuje się również, że wnioski o wydanie świadectw autoryzacji zakładów produkcyjnych, chłodni i magazynów, wydawanych przez Dyrektora Generalnego KOWR w ramach realizacji zadań w zakresie interwencji publicznej określonych </w:t>
      </w:r>
      <w:r>
        <w:lastRenderedPageBreak/>
        <w:t>w przepisach UE, są składane w formie papierowej na formularzach opracowanych przez ARiMR i udostępniane na stronach internetowych ARiMR i KOWR (art. 1 pkt 1 lit. a projektu). Obowiązujące przepisy przewidują, że ww. formularze są opracowywane przez KOWR i udostępniane na stronie internetowej KOWR. Mając jednak na uwadze, że na podstawie art. 6 ust. 2 pkt 4 ustawy z dnia 9 maja 2008 r. o Agencji Restrukturyzacji i Modernizacji Rolnictwa (Dz. U. z 2017 r. poz. 2137) KOWR realizuje zadania z zakresu interwencji publicznej jako zadania delegowane przez ARiMR, która opracowuje całość dokumentacji w tym zakresie, w projekcie wprowadzono powyższą zmianę.</w:t>
      </w:r>
    </w:p>
    <w:p w:rsidR="00C735DE" w:rsidRDefault="00C735DE" w:rsidP="00C735DE">
      <w:pPr>
        <w:ind w:firstLine="567"/>
      </w:pPr>
      <w:r>
        <w:t xml:space="preserve">Jednocześnie, mając na uwadze, że na podstawie art. 57 ust. 2 i 3 ustawy z dnia 10 lutego 2017 r. – Przepisy wprowadzające ustawę o Krajowym Ośrodku Wsparcia Rolnictwa, nadany przedsiębiorcy numer w centralnym rejestrze przedsiębiorców, prowadzonym przez zniesioną z dniem 1 września 2017 r. ARR, zachowuje ważność do czasu uzyskania przez tego przedsiębiorcę wpisu w ewidencji producentów, o której mowa w ustawie z dnia 18 grudnia 2003 r. o krajowym systemie ewidencji producentów, ewidencji gospodarstw rolnych oraz ewidencji wniosków o przyznanie płatności (Dz. U. z 2017 r. poz. 1853), nie dłużej jednak niż przez okres 12 miesięcy od dnia wejścia w życie </w:t>
      </w:r>
      <w:r w:rsidR="008626BD">
        <w:t xml:space="preserve">ww. </w:t>
      </w:r>
      <w:r>
        <w:t xml:space="preserve">ustawy, a przedsiębiorcę w okresie ważności numeru rejestracyjnego uważa się za podmiot wpisany do odpowiedniej ewidencji w ww. krajowym systemie ewidencji, który w kontaktach z ARiMR jest obowiązany posługiwać się ww. numerem rejestracyjnym, w projekcie ustawy </w:t>
      </w:r>
      <w:r w:rsidR="006D79EC">
        <w:t xml:space="preserve">wskazano, że </w:t>
      </w:r>
      <w:r>
        <w:t>we wniosku o wydanie świadectwa autoryzacji zakładów produkcyjnych, chłodni oraz magazynów, numer w centralnym rejestrze przedsiębiorców zastępuje się numerem z ww. ewidencji producentów (art. 1 pkt 1 lit. b projektu).</w:t>
      </w:r>
    </w:p>
    <w:p w:rsidR="00C735DE" w:rsidRDefault="00C735DE" w:rsidP="00C735DE">
      <w:pPr>
        <w:ind w:firstLine="567"/>
      </w:pPr>
      <w:r>
        <w:t>Zakres informacji zawartych we wniosku jest określony w art. 43 ust. 3 nowelizowanej ustawy. Wnioski złożone na nowych formularzach – pod względem zakresu informacji (z</w:t>
      </w:r>
      <w:r w:rsidR="006D79EC">
        <w:t> </w:t>
      </w:r>
      <w:r>
        <w:t>wyjątkiem odesłania do ww. numeru przedsiębiorcy) – nie ulegn</w:t>
      </w:r>
      <w:r w:rsidR="006D79EC">
        <w:t>ą</w:t>
      </w:r>
      <w:r>
        <w:t xml:space="preserve"> zmianie. Obecnie formularz wniosku ma w nagłówku logo KOWR. Nowy formularz, który zostanie opracowany przez ARiMR, nie będzie zawierał żadnego logo (przedsiębiorca nie będzie wprowadzony w błąd – logo ARiMR mogłoby sugerować, że wniosek należy złożyć do ARiMR, tymczasem wniosek ten jest składany do KOWR).</w:t>
      </w:r>
    </w:p>
    <w:p w:rsidR="00C735DE" w:rsidRPr="00C735DE" w:rsidRDefault="00C735DE" w:rsidP="00C735DE">
      <w:pPr>
        <w:ind w:firstLine="567"/>
        <w:rPr>
          <w:rStyle w:val="Ppogrubienie"/>
          <w:b w:val="0"/>
        </w:rPr>
      </w:pPr>
      <w:r w:rsidRPr="00C735DE">
        <w:rPr>
          <w:rStyle w:val="Ppogrubienie"/>
          <w:b w:val="0"/>
          <w:bCs/>
        </w:rPr>
        <w:lastRenderedPageBreak/>
        <w:t>W celu zapewnienia, że wnioski złożone przed wejściem w</w:t>
      </w:r>
      <w:r w:rsidRPr="00C735DE">
        <w:rPr>
          <w:rStyle w:val="Ppogrubienie"/>
          <w:b w:val="0"/>
        </w:rPr>
        <w:t xml:space="preserve"> </w:t>
      </w:r>
      <w:r w:rsidRPr="00C735DE">
        <w:rPr>
          <w:rStyle w:val="Ppogrubienie"/>
          <w:b w:val="0"/>
          <w:bCs/>
        </w:rPr>
        <w:t>życie nowelizacji zachowują ważność, w</w:t>
      </w:r>
      <w:r w:rsidRPr="00C735DE">
        <w:rPr>
          <w:rStyle w:val="Ppogrubienie"/>
          <w:b w:val="0"/>
        </w:rPr>
        <w:t xml:space="preserve"> </w:t>
      </w:r>
      <w:r w:rsidRPr="00C735DE">
        <w:rPr>
          <w:rStyle w:val="Ppogrubienie"/>
          <w:b w:val="0"/>
          <w:bCs/>
        </w:rPr>
        <w:t>art.</w:t>
      </w:r>
      <w:r w:rsidRPr="00C735DE">
        <w:rPr>
          <w:rStyle w:val="Ppogrubienie"/>
          <w:b w:val="0"/>
        </w:rPr>
        <w:t xml:space="preserve"> </w:t>
      </w:r>
      <w:r w:rsidRPr="00C735DE">
        <w:rPr>
          <w:rStyle w:val="Ppogrubienie"/>
          <w:b w:val="0"/>
          <w:bCs/>
        </w:rPr>
        <w:t>2</w:t>
      </w:r>
      <w:r w:rsidRPr="00C735DE">
        <w:rPr>
          <w:rStyle w:val="Ppogrubienie"/>
          <w:b w:val="0"/>
        </w:rPr>
        <w:t xml:space="preserve"> </w:t>
      </w:r>
      <w:r w:rsidRPr="00C735DE">
        <w:rPr>
          <w:rStyle w:val="Ppogrubienie"/>
          <w:b w:val="0"/>
          <w:bCs/>
        </w:rPr>
        <w:t>projektu wskazano, że do wniosków o</w:t>
      </w:r>
      <w:r w:rsidRPr="00C735DE">
        <w:rPr>
          <w:rStyle w:val="Ppogrubienie"/>
          <w:b w:val="0"/>
        </w:rPr>
        <w:t xml:space="preserve"> </w:t>
      </w:r>
      <w:r w:rsidRPr="00C735DE">
        <w:rPr>
          <w:rStyle w:val="Ppogrubienie"/>
          <w:b w:val="0"/>
          <w:bCs/>
        </w:rPr>
        <w:t>wydanie świadectw autoryzacji, o</w:t>
      </w:r>
      <w:r w:rsidR="004E7F7C">
        <w:rPr>
          <w:rStyle w:val="Ppogrubienie"/>
          <w:b w:val="0"/>
          <w:bCs/>
        </w:rPr>
        <w:t xml:space="preserve"> </w:t>
      </w:r>
      <w:r w:rsidRPr="00C735DE">
        <w:rPr>
          <w:rStyle w:val="Ppogrubienie"/>
          <w:b w:val="0"/>
          <w:bCs/>
        </w:rPr>
        <w:t>których mowa w</w:t>
      </w:r>
      <w:r w:rsidRPr="00C735DE">
        <w:rPr>
          <w:rStyle w:val="Ppogrubienie"/>
          <w:b w:val="0"/>
        </w:rPr>
        <w:t xml:space="preserve"> </w:t>
      </w:r>
      <w:r w:rsidRPr="00C735DE">
        <w:rPr>
          <w:rStyle w:val="Ppogrubienie"/>
          <w:b w:val="0"/>
          <w:bCs/>
        </w:rPr>
        <w:t>art.</w:t>
      </w:r>
      <w:r w:rsidRPr="00C735DE">
        <w:rPr>
          <w:rStyle w:val="Ppogrubienie"/>
          <w:b w:val="0"/>
        </w:rPr>
        <w:t xml:space="preserve"> </w:t>
      </w:r>
      <w:r w:rsidRPr="00C735DE">
        <w:rPr>
          <w:rStyle w:val="Ppogrubienie"/>
          <w:b w:val="0"/>
          <w:bCs/>
        </w:rPr>
        <w:t>43</w:t>
      </w:r>
      <w:r w:rsidRPr="00C735DE">
        <w:rPr>
          <w:rStyle w:val="Ppogrubienie"/>
          <w:b w:val="0"/>
        </w:rPr>
        <w:t xml:space="preserve"> </w:t>
      </w:r>
      <w:r w:rsidRPr="00C735DE">
        <w:rPr>
          <w:rStyle w:val="Ppogrubienie"/>
          <w:b w:val="0"/>
          <w:bCs/>
        </w:rPr>
        <w:t xml:space="preserve">ustawy </w:t>
      </w:r>
      <w:r w:rsidR="006D79EC" w:rsidRPr="006D79EC">
        <w:rPr>
          <w:rStyle w:val="Ppogrubienie"/>
          <w:b w:val="0"/>
          <w:bCs/>
        </w:rPr>
        <w:t>z dnia 20 kwietnia 2004 r. o organizacji rynku mleka i przetworów mlecznych</w:t>
      </w:r>
      <w:r w:rsidRPr="00C735DE">
        <w:rPr>
          <w:rStyle w:val="Ppogrubienie"/>
          <w:b w:val="0"/>
          <w:bCs/>
        </w:rPr>
        <w:t xml:space="preserve">, złożonych na podstawie </w:t>
      </w:r>
      <w:r w:rsidR="006D79EC">
        <w:rPr>
          <w:rStyle w:val="Ppogrubienie"/>
          <w:b w:val="0"/>
          <w:bCs/>
        </w:rPr>
        <w:t xml:space="preserve">tej </w:t>
      </w:r>
      <w:r w:rsidRPr="00C735DE">
        <w:rPr>
          <w:rStyle w:val="Ppogrubienie"/>
          <w:b w:val="0"/>
          <w:bCs/>
        </w:rPr>
        <w:t>ustawy przed dniem wejścia w</w:t>
      </w:r>
      <w:r w:rsidR="006D79EC">
        <w:rPr>
          <w:rStyle w:val="Ppogrubienie"/>
          <w:b w:val="0"/>
        </w:rPr>
        <w:t> </w:t>
      </w:r>
      <w:r w:rsidRPr="00C735DE">
        <w:rPr>
          <w:rStyle w:val="Ppogrubienie"/>
          <w:b w:val="0"/>
          <w:bCs/>
        </w:rPr>
        <w:t xml:space="preserve">życie </w:t>
      </w:r>
      <w:r w:rsidR="006D79EC">
        <w:rPr>
          <w:rStyle w:val="Ppogrubienie"/>
          <w:b w:val="0"/>
          <w:bCs/>
        </w:rPr>
        <w:t>projektowanej</w:t>
      </w:r>
      <w:r w:rsidR="006D79EC" w:rsidRPr="00C735DE">
        <w:rPr>
          <w:rStyle w:val="Ppogrubienie"/>
          <w:b w:val="0"/>
          <w:bCs/>
        </w:rPr>
        <w:t xml:space="preserve"> </w:t>
      </w:r>
      <w:r w:rsidRPr="00C735DE">
        <w:rPr>
          <w:rStyle w:val="Ppogrubienie"/>
          <w:b w:val="0"/>
          <w:bCs/>
        </w:rPr>
        <w:t>ustawy,</w:t>
      </w:r>
      <w:r w:rsidRPr="00C735DE">
        <w:rPr>
          <w:rStyle w:val="Ppogrubienie"/>
          <w:b w:val="0"/>
        </w:rPr>
        <w:t xml:space="preserve"> </w:t>
      </w:r>
      <w:r w:rsidRPr="00C735DE">
        <w:rPr>
          <w:rStyle w:val="Ppogrubienie"/>
          <w:b w:val="0"/>
          <w:bCs/>
        </w:rPr>
        <w:t>stosuje się przepisy dotychczasowe.</w:t>
      </w:r>
    </w:p>
    <w:p w:rsidR="00C735DE" w:rsidRDefault="00C735DE" w:rsidP="00C735DE">
      <w:pPr>
        <w:ind w:firstLine="567"/>
      </w:pPr>
      <w:r>
        <w:t>W związku z wejściem w życie rozporządzenia wykonawczego Komisji (UE) 2017/1185 z dnia 20 kwietnia 2017 r. ustanawiającego zasady stosowania rozporządzeń Parlamentu Europejskiego i Rady (UE) nr 1307/2013 i (UE) nr 1308/2013 w odniesieniu do przekazywanych Komisji powiadomień o informacjach i dokumentach oraz zmieniającego i uchylającego niektóre rozporządzenia Komisji (Dz. Urz. UE L 171 z 04.07.2017, str. 113), które reguluje kwestie związane z przekazywaniem informacji doty</w:t>
      </w:r>
      <w:r w:rsidR="008626BD">
        <w:t>czących ilości skupionego mleka</w:t>
      </w:r>
      <w:r>
        <w:t xml:space="preserve"> określone dotychczas w rozporządzeniu Komisji (UE) nr 479/2010 z dnia 1 czerwca 2010 r. ustanawiającym zasady wdrażania rozporządzenia Rady (WE) nr 1234/2007 w odniesieniu do przekazywanych Komisji informacji dotyczących sektora mleka i przetworów mlecznych (Dz. Urz. UE L 135 z 02.06.2010, str. 26, z późn. zm.), w projektowanej ustawie wprowadza się zmianę brzmienia pkt 14 załącznika do nowelizowanej ustawy (art. 1 pkt 6 projektu).</w:t>
      </w:r>
    </w:p>
    <w:p w:rsidR="00C735DE" w:rsidRDefault="00C735DE" w:rsidP="00C735DE">
      <w:pPr>
        <w:ind w:firstLine="567"/>
      </w:pPr>
      <w:r>
        <w:t>Zmiana w art. 1 pkt 2 projektu ma charakter techniczny i wynika z wprowadzenia skrótu nazwy ARiMR (Agencja) we wcześniejszym przepisie (art. 1 pkt 1 lit. a projektu).</w:t>
      </w:r>
    </w:p>
    <w:p w:rsidR="00C735DE" w:rsidRDefault="00C735DE" w:rsidP="00C735DE">
      <w:pPr>
        <w:ind w:firstLine="567"/>
      </w:pPr>
      <w:r>
        <w:t>Projektowana ustawa jest zgodna z prawem Unii Europejskiej.</w:t>
      </w:r>
    </w:p>
    <w:p w:rsidR="00C735DE" w:rsidRDefault="00C735DE" w:rsidP="00C735DE">
      <w:pPr>
        <w:ind w:firstLine="567"/>
      </w:pPr>
      <w:r>
        <w:t>Projektowana ustawa nie zawiera przepisów technicznych i dlatego nie podlega procedurze notyfikacji w rozumieniu przepisów rozporządzenia Rady Ministrów z dnia 23 grudnia 2002 r. w sprawie sposobu funkcjonowania krajowego systemu notyfikacji norm i aktów prawnych (Dz. U. poz. 2039, z późn. zm.).</w:t>
      </w:r>
    </w:p>
    <w:p w:rsidR="00E543F9" w:rsidRPr="00E543F9" w:rsidRDefault="00E543F9" w:rsidP="00E543F9">
      <w:pPr>
        <w:keepNext/>
        <w:suppressAutoHyphens/>
        <w:spacing w:before="120"/>
        <w:jc w:val="center"/>
        <w:rPr>
          <w:rFonts w:ascii="Times" w:eastAsia="Times New Roman" w:hAnsi="Times" w:cs="Arial"/>
          <w:b/>
          <w:bCs/>
          <w:szCs w:val="24"/>
          <w:lang w:eastAsia="pl-PL"/>
        </w:rPr>
      </w:pPr>
      <w:r w:rsidRPr="00E543F9">
        <w:rPr>
          <w:rFonts w:ascii="Times" w:eastAsia="Times New Roman" w:hAnsi="Times" w:cs="Arial"/>
          <w:b/>
          <w:bCs/>
          <w:szCs w:val="24"/>
          <w:lang w:eastAsia="pl-PL"/>
        </w:rPr>
        <w:t>Raport z konsultacji i opiniowania projektu ustawy</w:t>
      </w:r>
    </w:p>
    <w:p w:rsidR="00E543F9" w:rsidRPr="00E543F9" w:rsidRDefault="00E543F9" w:rsidP="00E543F9">
      <w:pPr>
        <w:suppressAutoHyphens/>
        <w:autoSpaceDE w:val="0"/>
        <w:autoSpaceDN w:val="0"/>
        <w:adjustRightInd w:val="0"/>
        <w:spacing w:before="120" w:after="0"/>
        <w:ind w:firstLine="510"/>
        <w:rPr>
          <w:rFonts w:ascii="Times" w:eastAsia="Times New Roman" w:hAnsi="Times" w:cs="Arial"/>
          <w:b/>
          <w:bCs/>
          <w:szCs w:val="20"/>
          <w:lang w:eastAsia="pl-PL"/>
        </w:rPr>
      </w:pPr>
      <w:r w:rsidRPr="00E543F9">
        <w:rPr>
          <w:rFonts w:ascii="Times" w:eastAsia="Times New Roman" w:hAnsi="Times" w:cs="Arial"/>
          <w:b/>
          <w:bCs/>
          <w:szCs w:val="20"/>
          <w:lang w:eastAsia="pl-PL"/>
        </w:rPr>
        <w:t>1. Omówienie wyników przeprowadzonych konsultacji publicznych i opiniowania projektu</w:t>
      </w:r>
    </w:p>
    <w:p w:rsidR="00E543F9" w:rsidRPr="00E543F9" w:rsidRDefault="00E543F9" w:rsidP="00E543F9">
      <w:pPr>
        <w:suppressAutoHyphens/>
        <w:autoSpaceDE w:val="0"/>
        <w:autoSpaceDN w:val="0"/>
        <w:adjustRightInd w:val="0"/>
        <w:spacing w:before="120" w:after="0"/>
        <w:ind w:firstLine="510"/>
        <w:rPr>
          <w:rFonts w:ascii="Times" w:eastAsia="Times New Roman" w:hAnsi="Times" w:cs="Arial"/>
          <w:szCs w:val="20"/>
          <w:lang w:eastAsia="pl-PL"/>
        </w:rPr>
      </w:pPr>
      <w:r w:rsidRPr="00E543F9">
        <w:rPr>
          <w:rFonts w:ascii="Times" w:eastAsia="Times New Roman" w:hAnsi="Times" w:cs="Arial"/>
          <w:szCs w:val="20"/>
          <w:lang w:eastAsia="pl-PL"/>
        </w:rPr>
        <w:t>W ramach konsultacji publicznych do projektu ustawy nie zostały zgłoszone żadne uwagi.</w:t>
      </w:r>
    </w:p>
    <w:p w:rsidR="00E543F9" w:rsidRPr="00E543F9" w:rsidRDefault="00E543F9" w:rsidP="00E543F9">
      <w:pPr>
        <w:suppressAutoHyphens/>
        <w:autoSpaceDE w:val="0"/>
        <w:autoSpaceDN w:val="0"/>
        <w:adjustRightInd w:val="0"/>
        <w:spacing w:before="120" w:after="0"/>
        <w:ind w:firstLine="510"/>
        <w:rPr>
          <w:rFonts w:ascii="Times" w:eastAsia="Times New Roman" w:hAnsi="Times" w:cs="Arial"/>
          <w:b/>
          <w:bCs/>
          <w:szCs w:val="20"/>
          <w:lang w:eastAsia="pl-PL"/>
        </w:rPr>
      </w:pPr>
      <w:r w:rsidRPr="00E543F9">
        <w:rPr>
          <w:rFonts w:ascii="Times" w:eastAsia="Times New Roman" w:hAnsi="Times" w:cs="Arial"/>
          <w:b/>
          <w:bCs/>
          <w:szCs w:val="20"/>
          <w:lang w:eastAsia="pl-PL"/>
        </w:rPr>
        <w:lastRenderedPageBreak/>
        <w:t>2. Przedstawienie wyników zasięgnięcia opinii, dokonania konsultacji albo uzgodnienia projektu z właściwymi organami i instytucjami Unii Europejskiej, w tym Europejskim Bankiem Centralnym</w:t>
      </w:r>
    </w:p>
    <w:p w:rsidR="00E543F9" w:rsidRPr="00E543F9" w:rsidRDefault="00E543F9" w:rsidP="00E543F9">
      <w:pPr>
        <w:suppressAutoHyphens/>
        <w:autoSpaceDE w:val="0"/>
        <w:autoSpaceDN w:val="0"/>
        <w:adjustRightInd w:val="0"/>
        <w:spacing w:before="120" w:after="0"/>
        <w:ind w:firstLine="510"/>
        <w:rPr>
          <w:rFonts w:ascii="Times" w:eastAsia="Times New Roman" w:hAnsi="Times" w:cs="Arial"/>
          <w:bCs/>
          <w:szCs w:val="20"/>
          <w:lang w:eastAsia="pl-PL"/>
        </w:rPr>
      </w:pPr>
      <w:r w:rsidRPr="00E543F9">
        <w:rPr>
          <w:rFonts w:ascii="Times" w:eastAsia="Times New Roman" w:hAnsi="Times" w:cs="Arial"/>
          <w:bCs/>
          <w:szCs w:val="20"/>
          <w:lang w:eastAsia="pl-PL"/>
        </w:rPr>
        <w:t>Projekt ustawy nie podlegał zasięgnięciu opinii, dokonaniu konsultacji oraz uzgodnieniu z organami i instytucjami Unii Europejskiej, w tym Europejskim Bankiem Centralnym.</w:t>
      </w:r>
    </w:p>
    <w:p w:rsidR="00E543F9" w:rsidRPr="00E543F9" w:rsidRDefault="00E543F9" w:rsidP="00E543F9">
      <w:pPr>
        <w:suppressAutoHyphens/>
        <w:autoSpaceDE w:val="0"/>
        <w:autoSpaceDN w:val="0"/>
        <w:adjustRightInd w:val="0"/>
        <w:spacing w:before="120" w:after="0"/>
        <w:ind w:firstLine="510"/>
        <w:rPr>
          <w:rFonts w:ascii="Times" w:eastAsia="Times New Roman" w:hAnsi="Times" w:cs="Arial"/>
          <w:b/>
          <w:bCs/>
          <w:szCs w:val="20"/>
          <w:lang w:eastAsia="pl-PL"/>
        </w:rPr>
      </w:pPr>
      <w:r w:rsidRPr="00E543F9">
        <w:rPr>
          <w:rFonts w:ascii="Times" w:eastAsia="Times New Roman" w:hAnsi="Times" w:cs="Arial"/>
          <w:b/>
          <w:bCs/>
          <w:szCs w:val="20"/>
          <w:lang w:eastAsia="pl-PL"/>
        </w:rPr>
        <w:t>3. Wskazanie podmiotów, które zgłosiły zainteresowanie pracami nad projektem w trybie przepisów o działalności lobbingowej w procesie stanowienia prawa, wraz ze wskazaniem kolejności dokonania zgłoszeń albo informacj</w:t>
      </w:r>
      <w:r>
        <w:rPr>
          <w:rFonts w:ascii="Times" w:eastAsia="Times New Roman" w:hAnsi="Times" w:cs="Arial"/>
          <w:b/>
          <w:bCs/>
          <w:szCs w:val="20"/>
          <w:lang w:eastAsia="pl-PL"/>
        </w:rPr>
        <w:t>a</w:t>
      </w:r>
      <w:r w:rsidRPr="00E543F9">
        <w:rPr>
          <w:rFonts w:ascii="Times" w:eastAsia="Times New Roman" w:hAnsi="Times" w:cs="Arial"/>
          <w:b/>
          <w:bCs/>
          <w:szCs w:val="20"/>
          <w:lang w:eastAsia="pl-PL"/>
        </w:rPr>
        <w:t xml:space="preserve"> o ich braku</w:t>
      </w:r>
    </w:p>
    <w:p w:rsidR="00E543F9" w:rsidRPr="00E543F9" w:rsidRDefault="00E543F9" w:rsidP="00E543F9">
      <w:pPr>
        <w:suppressAutoHyphens/>
        <w:autoSpaceDE w:val="0"/>
        <w:autoSpaceDN w:val="0"/>
        <w:adjustRightInd w:val="0"/>
        <w:spacing w:before="120" w:after="0"/>
        <w:ind w:firstLine="510"/>
        <w:rPr>
          <w:rFonts w:ascii="Times" w:eastAsia="Times New Roman" w:hAnsi="Times" w:cs="Arial"/>
          <w:bCs/>
          <w:szCs w:val="20"/>
          <w:lang w:eastAsia="pl-PL"/>
        </w:rPr>
      </w:pPr>
      <w:r w:rsidRPr="00E543F9">
        <w:rPr>
          <w:rFonts w:ascii="Times" w:eastAsia="Times New Roman" w:hAnsi="Times" w:cs="Arial"/>
          <w:bCs/>
          <w:szCs w:val="20"/>
          <w:lang w:eastAsia="pl-PL"/>
        </w:rPr>
        <w:t>Stosownie do art. 5 ustawy z dnia 7 lipca 2005 r. o działalności lobbingowej w procesie stanowienia prawa (Dz. U. z 2017 r. poz. 248), projekt ustawy został zamieszczony w Biuletynie Informacji Publicznej Ministerstwa Rolnictwa i Rozwoju Wsi oraz w Biuletynie Informacji Publicznej Rządowego Centrum Legislacji. Żaden podmiot nie zgłosił zainteresowania pracami nad projektem ustawy w trybie ww. ustawy.</w:t>
      </w:r>
    </w:p>
    <w:p w:rsidR="00E543F9" w:rsidRPr="00E543F9" w:rsidRDefault="00E543F9" w:rsidP="00E543F9">
      <w:pPr>
        <w:suppressAutoHyphens/>
        <w:autoSpaceDE w:val="0"/>
        <w:autoSpaceDN w:val="0"/>
        <w:adjustRightInd w:val="0"/>
        <w:spacing w:before="120" w:after="0"/>
        <w:ind w:firstLine="510"/>
        <w:rPr>
          <w:rFonts w:ascii="Times" w:eastAsia="Times New Roman" w:hAnsi="Times" w:cs="Arial"/>
          <w:bCs/>
          <w:szCs w:val="20"/>
          <w:lang w:eastAsia="pl-PL"/>
        </w:rPr>
      </w:pPr>
      <w:r w:rsidRPr="00E543F9">
        <w:rPr>
          <w:rFonts w:ascii="Times" w:eastAsia="Times New Roman" w:hAnsi="Times" w:cs="Arial"/>
          <w:bCs/>
          <w:szCs w:val="20"/>
          <w:lang w:eastAsia="pl-PL"/>
        </w:rPr>
        <w:t>Projekt ustawy został zamieszczony w Wykazie prac legislacyjnych i programowych Rady Ministrów na 2018 r.</w:t>
      </w:r>
    </w:p>
    <w:p w:rsidR="00E543F9" w:rsidRPr="00E543F9" w:rsidRDefault="00E543F9" w:rsidP="00E543F9">
      <w:pPr>
        <w:suppressAutoHyphens/>
        <w:autoSpaceDE w:val="0"/>
        <w:autoSpaceDN w:val="0"/>
        <w:adjustRightInd w:val="0"/>
        <w:spacing w:before="120" w:after="0"/>
        <w:ind w:firstLine="510"/>
        <w:rPr>
          <w:rFonts w:ascii="Times" w:eastAsia="Times New Roman" w:hAnsi="Times" w:cs="Arial"/>
          <w:bCs/>
          <w:szCs w:val="20"/>
          <w:lang w:eastAsia="pl-PL"/>
        </w:rPr>
      </w:pPr>
      <w:r w:rsidRPr="00E543F9">
        <w:rPr>
          <w:rFonts w:ascii="Times" w:eastAsia="Times New Roman" w:hAnsi="Times" w:cs="Arial"/>
          <w:bCs/>
          <w:szCs w:val="20"/>
          <w:lang w:eastAsia="pl-PL"/>
        </w:rPr>
        <w:t>Projekt ustawy nie będzie miał wpływu na działalność mikroprzedsiębiorców, małych i średnich przedsiębiorców.</w:t>
      </w:r>
    </w:p>
    <w:sectPr w:rsidR="00E543F9" w:rsidRPr="00E543F9" w:rsidSect="00C735DE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5DE" w:rsidRDefault="00C735DE" w:rsidP="00C735DE">
      <w:pPr>
        <w:spacing w:after="0" w:line="240" w:lineRule="auto"/>
      </w:pPr>
      <w:r>
        <w:separator/>
      </w:r>
    </w:p>
  </w:endnote>
  <w:endnote w:type="continuationSeparator" w:id="0">
    <w:p w:rsidR="00C735DE" w:rsidRDefault="00C735DE" w:rsidP="00C73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1423504"/>
      <w:docPartObj>
        <w:docPartGallery w:val="Page Numbers (Bottom of Page)"/>
        <w:docPartUnique/>
      </w:docPartObj>
    </w:sdtPr>
    <w:sdtEndPr/>
    <w:sdtContent>
      <w:p w:rsidR="00C735DE" w:rsidRDefault="00C735DE" w:rsidP="00C735D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F8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5DE" w:rsidRDefault="00C735DE" w:rsidP="00C735DE">
      <w:pPr>
        <w:spacing w:after="0" w:line="240" w:lineRule="auto"/>
      </w:pPr>
      <w:r>
        <w:separator/>
      </w:r>
    </w:p>
  </w:footnote>
  <w:footnote w:type="continuationSeparator" w:id="0">
    <w:p w:rsidR="00C735DE" w:rsidRDefault="00C735DE" w:rsidP="00C735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5DE"/>
    <w:rsid w:val="001F2593"/>
    <w:rsid w:val="00495522"/>
    <w:rsid w:val="004E339B"/>
    <w:rsid w:val="004E7F7C"/>
    <w:rsid w:val="006B2F87"/>
    <w:rsid w:val="006D79EC"/>
    <w:rsid w:val="008626BD"/>
    <w:rsid w:val="00B57915"/>
    <w:rsid w:val="00C735DE"/>
    <w:rsid w:val="00E5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090F51-7649-4407-A854-4DD3D3CA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2593"/>
    <w:pPr>
      <w:spacing w:after="120" w:line="36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C735D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C735DE"/>
    <w:rPr>
      <w:bCs/>
    </w:rPr>
  </w:style>
  <w:style w:type="paragraph" w:customStyle="1" w:styleId="TYTDZOZNoznaczenietytuulubdziau">
    <w:name w:val="TYT(DZ)_OZN – oznaczenie tytułu lub działu"/>
    <w:next w:val="Normalny"/>
    <w:uiPriority w:val="9"/>
    <w:qFormat/>
    <w:rsid w:val="00C735DE"/>
    <w:pPr>
      <w:keepNext/>
      <w:spacing w:before="120" w:after="0" w:line="360" w:lineRule="auto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C735DE"/>
    <w:rPr>
      <w:b/>
      <w:bCs w:val="0"/>
    </w:rPr>
  </w:style>
  <w:style w:type="paragraph" w:styleId="Nagwek">
    <w:name w:val="header"/>
    <w:basedOn w:val="Normalny"/>
    <w:link w:val="NagwekZnak"/>
    <w:uiPriority w:val="99"/>
    <w:unhideWhenUsed/>
    <w:rsid w:val="00C73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5DE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73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5DE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79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9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1589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Grażyna D. Grabowska</cp:lastModifiedBy>
  <cp:revision>2</cp:revision>
  <dcterms:created xsi:type="dcterms:W3CDTF">2018-05-18T11:13:00Z</dcterms:created>
  <dcterms:modified xsi:type="dcterms:W3CDTF">2018-05-18T11:13:00Z</dcterms:modified>
</cp:coreProperties>
</file>