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E2F4C" w14:textId="77777777" w:rsidR="00EA606C" w:rsidRPr="00EA606C" w:rsidRDefault="00EA606C" w:rsidP="00EA606C">
      <w:pPr>
        <w:pStyle w:val="OZNRODZAKTUtznustawalubrozporzdzenieiorganwydajcy"/>
        <w:rPr>
          <w:b w:val="0"/>
          <w:spacing w:val="0"/>
        </w:rPr>
      </w:pPr>
      <w:bookmarkStart w:id="0" w:name="_GoBack"/>
      <w:bookmarkEnd w:id="0"/>
      <w:r w:rsidRPr="00EA606C">
        <w:rPr>
          <w:b w:val="0"/>
          <w:spacing w:val="0"/>
        </w:rPr>
        <w:t>UZASADNIENIE</w:t>
      </w:r>
    </w:p>
    <w:p w14:paraId="1BC942AA" w14:textId="77777777" w:rsidR="00EA606C" w:rsidRDefault="00EA606C" w:rsidP="00EA606C">
      <w:pPr>
        <w:pStyle w:val="USTustnpkodeksu"/>
        <w:spacing w:before="240"/>
        <w:ind w:firstLine="0"/>
      </w:pPr>
      <w:r>
        <w:t>Celem proponowanego projektu ustawy o produktach kosmetycznych jest określenie obowiązków podmiotów i właściwości organów w zakresie wykonywania obowiązków i zadań administracyjnych wynikających z rozporządzenia Parlamentu Europejskiego i Rady (WE) nr 1223/2009 z dnia 30 listopada 2009 r. dotyczącego produktów kosmetycznych (wersja przekształcona) (Dz. Urz. UE L 342 z 22.12.2009, str. 59, z</w:t>
      </w:r>
      <w:r w:rsidR="009F7831">
        <w:t> </w:t>
      </w:r>
      <w:r>
        <w:t xml:space="preserve">późn. zm.), zwanego dalej „rozporządzeniem nr 1223/2009”, co wiąże się z zapewnieniem właściwego poziomu bezpieczeństwa produktów kosmetycznych mających wpływ na zdrowie konsumentów. Zakres regulacji obejmuje powiązanie i wprowadzenie do prawa polskiego przepisów rozporządzenia nr 1223/2009 przez wprowadzenie szeregu definicji odwołujących się do tego rozporządzenia. </w:t>
      </w:r>
    </w:p>
    <w:p w14:paraId="130F3540" w14:textId="77777777" w:rsidR="00EA606C" w:rsidRDefault="00EA606C" w:rsidP="00EA606C">
      <w:pPr>
        <w:pStyle w:val="USTustnpkodeksu"/>
        <w:ind w:firstLine="0"/>
      </w:pPr>
      <w:r>
        <w:t>Biorąc pod uwagę przepisy rozporządzenia nr 1223/2009</w:t>
      </w:r>
      <w:r w:rsidR="00BB29D7">
        <w:t>,</w:t>
      </w:r>
      <w:r>
        <w:t xml:space="preserve"> doprecyzowano, że dokumentację produktu, o której mowa w art. 11 ust. 2 rozporządzenia nr 1223/2009</w:t>
      </w:r>
      <w:r w:rsidR="00BB29D7">
        <w:t>,</w:t>
      </w:r>
      <w:r>
        <w:t xml:space="preserve"> udostępnianą zgodnie z art. 11 ust. 3 rozporządzenia nr 1223/2009 sporządza się w języku polskim lub w języku angielskim, natomiast część B raportu bezpieczeństwa produktu kosmetycznego, o której mowa w art. 10 ust. 1 rozporządzenia nr 1223/2009 – sporządza się w języku polskim (art. 3 projektu ustawy).</w:t>
      </w:r>
    </w:p>
    <w:p w14:paraId="497A8249" w14:textId="77777777" w:rsidR="00EA606C" w:rsidRDefault="00EA606C" w:rsidP="00EA606C">
      <w:pPr>
        <w:pStyle w:val="USTustnpkodeksu"/>
        <w:ind w:firstLine="0"/>
      </w:pPr>
      <w:r>
        <w:t xml:space="preserve">W projekcie ustawy doprecyzowano, że produkty kosmetyczne udostępniane na terytorium Rzeczypospolitej Polskiej znakuje się w języku polskim zgodnie z wymaganiami, o których mowa w art. 19 rozporządzenia nr 1223/2009 (art. 4 ust. 1 projektu ustawy). </w:t>
      </w:r>
    </w:p>
    <w:p w14:paraId="7BE50089" w14:textId="2DC37386" w:rsidR="00EA606C" w:rsidRDefault="00EA606C" w:rsidP="00EA606C">
      <w:pPr>
        <w:pStyle w:val="USTustnpkodeksu"/>
        <w:ind w:firstLine="0"/>
      </w:pPr>
      <w:r>
        <w:t>Ponadto</w:t>
      </w:r>
      <w:r w:rsidR="00BB29D7">
        <w:t>,</w:t>
      </w:r>
      <w:r>
        <w:t xml:space="preserve"> mając na uwadze przepis art. 19 ust. 4 rozporządzenia nr 1223/2009, który stanowi, że „w przypadku produktów kosmetycznych niepakowanych lub pakowanych na miejscu sprzedaży na prośbę kupującego lub wstępnie pakowanych w celu natychmiastowej sprzedaży państwa członkowskie przyjmą szczegółowe zasady zamieszczania informacji, o których mowa w ust. 1”</w:t>
      </w:r>
      <w:r w:rsidR="00003E67">
        <w:t>,</w:t>
      </w:r>
      <w:r>
        <w:t xml:space="preserve"> zaproponowano zachowanie dotychczasowego podejścia, zgodnie z art. 6 ust. 8 ustawy z dnia 30 marca 2001 r. o kosmetykach (Dz. U. z 2013 r. poz. 475 oraz z 2018 r. poz. 650), polegającego na tym, że jeżeli produkt kosmetyczny jest nieopakowany lub pakowany na miejscu sprzedaży na prośbę kupującego lub wstępnie pakowany w celu natychmiastowej sprzedaży, informacje wymienione w art. 19 ust. 1 rozporządzenia nr 1223/2009 umieszcza się na pojemniku lub opakowaniu, w którym produkt kosmetyczny jest wystawiony do sprzedaży (art. 4 ust. 2 projektu ustawy). </w:t>
      </w:r>
    </w:p>
    <w:p w14:paraId="1B5275B1" w14:textId="77777777" w:rsidR="00EA606C" w:rsidRDefault="00EA606C" w:rsidP="00EA606C">
      <w:pPr>
        <w:pStyle w:val="USTustnpkodeksu"/>
        <w:ind w:firstLine="0"/>
      </w:pPr>
      <w:r>
        <w:lastRenderedPageBreak/>
        <w:t>W przypadku gdy wytwórca nie jest osobą odpowiedzialną, jest obowiązany do wskazania organom nadzoru osoby odpowiedzialnej, na rzecz której wytwarza produkt kosmetyczny (art. 5 projektu ustawy). Zgodnie z rozporządzeniem nr 1223/2009 zapewnienie, aby produkty kosmetyczne były wytwarzane zgodnie z zasadami dobrej praktyki produkcji</w:t>
      </w:r>
      <w:r w:rsidR="00BB29D7">
        <w:t>,</w:t>
      </w:r>
      <w:r>
        <w:t xml:space="preserve"> ma zagwarantować osoba odpowiedzialna. Powyższa propozycja ma na celu dostęp organom nadzoru do informacji o osobie odpowiedzialnej w przypadku, gdy nie jest nią wytwórca. W celu zapewnienia realizacji przepisów art. 22 rozporządzenia </w:t>
      </w:r>
      <w:r w:rsidR="00BB29D7">
        <w:t xml:space="preserve">nr </w:t>
      </w:r>
      <w:r>
        <w:t>1223/2009 nakładającego na państwa członkowskie obowiązek monitorowania przestrzegania zasad dobrej praktyki produkcji produktów kosmetycznych w projekcie zaproponowano wprowadzenie wykazu zakładów, w</w:t>
      </w:r>
      <w:r w:rsidR="00D37CC2">
        <w:t> </w:t>
      </w:r>
      <w:r>
        <w:t>których są wytwarzane produkty kosmetyczne. W tym celu proponuje się nałożenie na wytwórcę produktu kosmetycznego obowiązku złożenia do właściwego państwowego powiatowego inspektora sanitarnego wniosku o wpis do wykazu zakładów, w terminie 30 dni od dnia rozpoczęcia prowadzenia działalności, w postaci papierowej albo elektronicznej. Wniosek taki powinien zawierać imię, nazwisko albo nazwę (firmę) i adres wytwórcy, nazwę i adres zakładu wytwarzającego produkty kosmetyczne oraz określenie rodzaju i zakresu działalności, która ma być prowadzona w tym zakładzie (art. 6 ust. 1–5 projektu ustawy). Wytwórca będzie otrzymywał zaświadczenie o wpisie do wykazu zakładów (art. 6 ust. 6 projektu</w:t>
      </w:r>
      <w:r w:rsidR="00BB29D7">
        <w:t xml:space="preserve"> ustawy)</w:t>
      </w:r>
      <w:r>
        <w:t xml:space="preserve">. </w:t>
      </w:r>
    </w:p>
    <w:p w14:paraId="4579CCC2" w14:textId="77777777" w:rsidR="00EA606C" w:rsidRDefault="00EA606C" w:rsidP="00EA606C">
      <w:pPr>
        <w:pStyle w:val="USTustnpkodeksu"/>
        <w:ind w:firstLine="0"/>
      </w:pPr>
      <w:r>
        <w:t>Ponadto należy dodać, że w przypadku zmiany powyższych danych wytwórca będzie składał w postaci pisemnej albo elektronicznej wniosek o dokonanie zmian w wykazie zakładów, w terminie 30 dni od dnia zaistnienia zmiany (art. 6 ust. 7 projektu</w:t>
      </w:r>
      <w:r w:rsidR="00BB29D7">
        <w:t xml:space="preserve"> ustawy</w:t>
      </w:r>
      <w:r>
        <w:t>).</w:t>
      </w:r>
    </w:p>
    <w:p w14:paraId="6CB116ED" w14:textId="77777777" w:rsidR="00EA606C" w:rsidRDefault="00EA606C" w:rsidP="00EA606C">
      <w:pPr>
        <w:pStyle w:val="USTustnpkodeksu"/>
        <w:ind w:firstLine="0"/>
      </w:pPr>
      <w:r>
        <w:t>Należy zapewnić, aby dane zawarte w wykazie zakładów były aktualne, zatem wykaz będzie podlegał aktualizacji przez zapewnienie wytwórcy możliwości wykreślenia z</w:t>
      </w:r>
      <w:r w:rsidR="00D37CC2">
        <w:t> </w:t>
      </w:r>
      <w:r>
        <w:t>wykazu zakładów na podstawie jego wniosku. Ponadto właściwy państwowy powiatowy inspektor sanitarny będzie mógł wydać decyzję wykreślającą zakład wytwarzający produkty kosmetyczne, jeżeli wytwórca zaprzestał prowadzenia działalności objętej wpisem i wytwórca nie złożył wniosku o wykreślenie z wykazu zakładów (art. 6 ust. 8 projektu ustawy). Na podstawie otrzymanych wniosków będzie prowadzony przez właściwego państwowego powiatowego inspektora sanitarnego wykaz zakładów.</w:t>
      </w:r>
    </w:p>
    <w:p w14:paraId="60C963E1" w14:textId="77777777" w:rsidR="00EA606C" w:rsidRDefault="00EA606C" w:rsidP="00EA606C">
      <w:pPr>
        <w:pStyle w:val="USTustnpkodeksu"/>
        <w:ind w:firstLine="0"/>
      </w:pPr>
      <w:r>
        <w:t>W związku z powyższym proponuje się, aby wykaz zakładów zawierał dane przekazane przez wytwórcę we wniosku o wpis do rejestru zakładów oraz:</w:t>
      </w:r>
    </w:p>
    <w:p w14:paraId="29098A3A" w14:textId="77777777" w:rsidR="00EA606C" w:rsidRDefault="00EA606C" w:rsidP="00EA606C">
      <w:pPr>
        <w:pStyle w:val="PKTpunkt"/>
      </w:pPr>
      <w:r>
        <w:lastRenderedPageBreak/>
        <w:t>1)</w:t>
      </w:r>
      <w:r>
        <w:tab/>
        <w:t>datę wpisu do wykazu;</w:t>
      </w:r>
    </w:p>
    <w:p w14:paraId="6E08A497" w14:textId="77777777" w:rsidR="00EA606C" w:rsidRDefault="00EA606C" w:rsidP="00EA606C">
      <w:pPr>
        <w:pStyle w:val="PKTpunkt"/>
      </w:pPr>
      <w:r>
        <w:t>2)</w:t>
      </w:r>
      <w:r>
        <w:tab/>
        <w:t>informacje o przeprowadzonych przez właściwego państwowego powiatowego inspektora sanitarnego urzędowych kontrolach zakładu wytwarzającego produkty kosmetyczne;</w:t>
      </w:r>
    </w:p>
    <w:p w14:paraId="5C9F26AC" w14:textId="77777777" w:rsidR="00EA606C" w:rsidRDefault="00EA606C" w:rsidP="00EA606C">
      <w:pPr>
        <w:pStyle w:val="PKTpunkt"/>
      </w:pPr>
      <w:r>
        <w:t>3)</w:t>
      </w:r>
      <w:r>
        <w:tab/>
        <w:t>informacje o zmianie danych lub wykreśleniu zakładu wytwarzającego produkty kosmetyczne z wykazu zakładów (art. 7 ust. 1 projektu ustawy).</w:t>
      </w:r>
    </w:p>
    <w:p w14:paraId="609B6B06" w14:textId="268A5860" w:rsidR="00EA606C" w:rsidRDefault="00EA606C" w:rsidP="00EA606C">
      <w:pPr>
        <w:pStyle w:val="USTustnpkodeksu"/>
        <w:ind w:firstLine="0"/>
      </w:pPr>
      <w:r>
        <w:t>Uwzględniając konieczność zachowania transparentności oraz ułatwienia prowadzenia działalności w zakresie wytwarzania produktów kosmetycznych</w:t>
      </w:r>
      <w:r w:rsidR="00BB29D7">
        <w:t>,</w:t>
      </w:r>
      <w:r>
        <w:t xml:space="preserve"> przewidziano, że minister właściwy do spraw zdrowia określi, w drodze rozporządzenia, wzory: wniosku o wpis do wykazu zakładów, wniosku o dokonanie zmian w wykazie zakładów, wniosku o wykreślenie z wykazu zakładów oraz zaświadczenia o wpisie do wykazu zakładów (art. 7 ust. 2 projektu ustawy). Posiadanie przez organy Państwowej Inspekcji Sanitarnej aktualnych informacji dotyczących lokalizacji zakładów wytwarzających produkty kosmetyczne pozwoli na sprawny nadzór nad warunkami ich wytwarzania, co przekłada się na bezpieczeństwo zdrowia konsumentów. Projektowane przepisy wynikają również z faktu, że siedziba osoby odpowiedzialnej nie zawsze jest miejscem wytwarzania produktu kosmetycznego. Projektowane przepisy umożliwiają również nadzór nad zakładami wytwarzającymi produkty kosmetyczne w przypadku wytwarzania produktu kosmetycznego na zlecenie, w szczególności mając na uwadze zawartą w art. 2 lit. d rozporządzenia nr 1223/2009 definicję producenta, którym jest również osoba fizyczna lub prawna, która zleca wytworzenie produktu. Należy zauważyć, że wytwarzanie produktów kosmetycznych na zlecenie jest występującą praktyką rynkową. Co więcej w art. 11 rozporządzenia nr 1223/2009 w ust. 2 lit. c wskazano jedynie, że w dokumentacji produktu znajduje się opis metod produkcji i</w:t>
      </w:r>
      <w:r w:rsidR="00D37CC2">
        <w:t> </w:t>
      </w:r>
      <w:r>
        <w:t>oświadczenie o zgodności z dobrą praktyką produkcji. Rozporządzenie nr 1223/2009 nie odnosi się w tym i żadnym innym przepisie do konieczności informowania o</w:t>
      </w:r>
      <w:r w:rsidR="00D37CC2">
        <w:t> </w:t>
      </w:r>
      <w:r>
        <w:t>miejscu wytwarzania produktu kosmetycznego. Jednocześnie informacje dotyczące zakładów wytwarzających produkty kosmetyczne będą wykorzystywane jedynie w</w:t>
      </w:r>
      <w:r w:rsidR="00D37CC2">
        <w:t> </w:t>
      </w:r>
      <w:r>
        <w:t>ramach nadzoru, nie przewiduje się</w:t>
      </w:r>
      <w:r w:rsidR="00BB29D7">
        <w:t>,</w:t>
      </w:r>
      <w:r>
        <w:t xml:space="preserve"> aby były dostępne publicznie (art. 6 ust. 3 projektu ustawy).</w:t>
      </w:r>
    </w:p>
    <w:p w14:paraId="4565BD84" w14:textId="246D2A9A" w:rsidR="00EA606C" w:rsidRDefault="00EA606C" w:rsidP="00EA606C">
      <w:pPr>
        <w:pStyle w:val="USTustnpkodeksu"/>
        <w:ind w:firstLine="0"/>
      </w:pPr>
      <w:r>
        <w:t xml:space="preserve">Rozporządzenie nr 1223/2009 w art. 23 nakłada obowiązki związane z informowaniem o ciężkim działaniu niepożądanym. W celu monitorowania i realizacji obowiązków informowania Komisji Europejskiej oraz innych państw członkowskich Unii Europejskiej lub państw członkowskich Europejskiego Porozumienia o Wolnym Handlu (EFTA) </w:t>
      </w:r>
      <w:r>
        <w:sym w:font="Symbol" w:char="F02D"/>
      </w:r>
      <w:r>
        <w:t xml:space="preserve"> stron umowy o Europejskim Obszarze Gospodarczym o wystąpieniu ww. działania proponuje się utworzenie rozwiązania systemowego przez powołanie Systemu Informowania o Ciężkich Działaniach Niepożądanych Spowodowanych Stosowaniem Produktów Kosmetycznych. W systemie gromadzone byłyby dane o</w:t>
      </w:r>
      <w:r w:rsidR="00D37CC2">
        <w:t> </w:t>
      </w:r>
      <w:r>
        <w:t>ciężkich działaniach niepożądanych spowodowanych stosowaniem produktów kosmetycznych, zgłoszone zgodnie z przepisami art. 23 rozporządzenia nr 1223/2009. Do organów nadzoru wpływają informacje dotyczące różnorodnych działań niepożądanych spowodowanych stosowaniem produktów kosmetycznych (np.</w:t>
      </w:r>
      <w:r w:rsidR="00D37CC2">
        <w:t> </w:t>
      </w:r>
      <w:r>
        <w:t>wystąpienie uczulenia, wysypki lub podrażnienia). Jednakże nie każdy zgłoszony przypadek jest ciężkim działaniem niepożądanym w myśl przepisów rozporządzenia nr</w:t>
      </w:r>
      <w:r w:rsidR="00D37CC2">
        <w:t> </w:t>
      </w:r>
      <w:r>
        <w:t xml:space="preserve">1223/2009. Przed poinformowaniem Komisji Europejskiej oraz innych państw członkowskich Unii Europejskiej lub państw członkowskich Europejskiego Porozumienia o Wolnym Handlu (EFTA) </w:t>
      </w:r>
      <w:r>
        <w:sym w:font="Symbol" w:char="F02D"/>
      </w:r>
      <w:r>
        <w:t xml:space="preserve"> stron umowy o Europejskim Obszarze Gospodarczym </w:t>
      </w:r>
      <w:r w:rsidR="00BB29D7">
        <w:t xml:space="preserve">jest </w:t>
      </w:r>
      <w:r>
        <w:t>konieczna zatem ocena, czy dany przypadek odpowiada definicji ciężkiego działania niepożądanego. Ponadto przyjęcie podejścia systemowego, które pozwalałoby na gromadzenie informacji w jednym ośrodku, może być wykorzystane do obserwowania ewentualnych zależności epidemiologicznych</w:t>
      </w:r>
      <w:r w:rsidR="00003E67">
        <w:t>,</w:t>
      </w:r>
      <w:r>
        <w:t xml:space="preserve"> np. stwierdzenia, czy wśród zgłaszanych produktów kosmetycznych nie pojawiają się częściej pewne ich grupy lub produkty kosmetyczne zawierające jakiś określony składnik. </w:t>
      </w:r>
    </w:p>
    <w:p w14:paraId="6B243FDA" w14:textId="0B08139D" w:rsidR="00EA606C" w:rsidRDefault="00EA606C" w:rsidP="00EA606C">
      <w:pPr>
        <w:pStyle w:val="USTustnpkodeksu"/>
        <w:ind w:firstLine="0"/>
      </w:pPr>
      <w:r>
        <w:t>Przewiduje się, że administratorem systemu będzie Główny Inspektor Sanitarny, a</w:t>
      </w:r>
      <w:r w:rsidR="00D37CC2">
        <w:t> </w:t>
      </w:r>
      <w:r>
        <w:t>min</w:t>
      </w:r>
      <w:r w:rsidR="00BB29D7">
        <w:t>ister właściwy do spraw zdrowia</w:t>
      </w:r>
      <w:r>
        <w:t xml:space="preserve"> określi, w drodze rozporządzenia, ośrodek administrujący. Przewidziano, że ośrodkiem administrującym może być podmiot, który posiada co najmniej pięcioletnie doświadczenie w zakresie zagadnień objętych przeprowadzaniem ocen i kwalifikacji ciężkich działań niepożądanych, posiada doświadczenie w zakresie dotyczącym toksycznego działania substancji i mieszanin chemicznych, doświadczenie w zakresie dotyczącym narażenia na działanie produktu kosmetycznego oraz substancji i mieszanin chemicznych oraz zatrudnia osoby posiadające kwalifikacje dla przeprowadzania ocen i kwalifikacji ciężkich działań niepożądanych (art. 8 projektu ustawy).</w:t>
      </w:r>
    </w:p>
    <w:p w14:paraId="68B2724C" w14:textId="77777777" w:rsidR="00EA606C" w:rsidRDefault="00EA606C" w:rsidP="00EA606C">
      <w:pPr>
        <w:pStyle w:val="USTustnpkodeksu"/>
        <w:ind w:firstLine="0"/>
      </w:pPr>
      <w:r>
        <w:t xml:space="preserve">Zgodnie z art. 9 ust. 1–3 projektu ustawy dane dotyczące ciężkich działań niepożądanych będą zgłaszane do ośrodka administrującego. </w:t>
      </w:r>
    </w:p>
    <w:p w14:paraId="20D7C13A" w14:textId="4FE53451" w:rsidR="00EA606C" w:rsidRDefault="00EA606C" w:rsidP="00EA606C">
      <w:pPr>
        <w:pStyle w:val="USTustnpkodeksu"/>
        <w:ind w:firstLine="0"/>
      </w:pPr>
      <w:r>
        <w:t>W przypadku gdy – zgodnie z art. 23 ust</w:t>
      </w:r>
      <w:r w:rsidR="00BB29D7">
        <w:t>. 4 rozporządzenia nr 1223/2009 –</w:t>
      </w:r>
      <w:r>
        <w:t xml:space="preserve"> zgłoszenie wpłynie od użytkownika końcowego</w:t>
      </w:r>
      <w:r w:rsidR="00BB29D7">
        <w:t>,</w:t>
      </w:r>
      <w:r>
        <w:t xml:space="preserve"> przewidziano zakres przekazywanych danych. Ponadto ośrodek administrujący będzie dokonywał weryfikacji otrzymanych informacji w celu stwierdzenia, czy zgłoszenie spełnia kryteria definicji ciężkiego działania niepożądanego. </w:t>
      </w:r>
    </w:p>
    <w:p w14:paraId="101C8BF7" w14:textId="2714EFCE" w:rsidR="00EA606C" w:rsidRDefault="00EA606C" w:rsidP="00EA606C">
      <w:pPr>
        <w:pStyle w:val="USTustnpkodeksu"/>
        <w:ind w:firstLine="0"/>
      </w:pPr>
      <w:r>
        <w:t>W art. 9 ust. 4 projektu ustawy określono zakres danych, które mogą przekazywać do ośrodka podmioty wykonujące dzi</w:t>
      </w:r>
      <w:r w:rsidR="00BB29D7">
        <w:t>ała</w:t>
      </w:r>
      <w:r>
        <w:t>lność leczniczą lub osoby wykonujące zawód medyczny w tym podmiocie – zgodnie z art. 23 ust 4 rozporządzenia nr 12</w:t>
      </w:r>
      <w:r w:rsidR="00003E67">
        <w:t>2</w:t>
      </w:r>
      <w:r>
        <w:t>3/2009.</w:t>
      </w:r>
    </w:p>
    <w:p w14:paraId="3232378E" w14:textId="77777777" w:rsidR="00EA606C" w:rsidRDefault="00EA606C" w:rsidP="00EA606C">
      <w:pPr>
        <w:pStyle w:val="USTustnpkodeksu"/>
        <w:ind w:firstLine="0"/>
      </w:pPr>
      <w:r>
        <w:t>W art. 10 projektu ustawy uregulowano również kwestie związane z postępowaniem z</w:t>
      </w:r>
      <w:r w:rsidR="00D37CC2">
        <w:t> </w:t>
      </w:r>
      <w:r>
        <w:t>danymi osobowymi. Ponadto w art. 11 projektu ustawy określono zasady przetwarzania danych osobowych przekazanych, w związku ze zgłoszeniem działania niepożądanego</w:t>
      </w:r>
      <w:r w:rsidR="00045BE5">
        <w:t>,</w:t>
      </w:r>
      <w:r>
        <w:t xml:space="preserve"> przez użytkowników końcowych do osoby odpowiedzialnej lub dystrybutora. </w:t>
      </w:r>
    </w:p>
    <w:p w14:paraId="4B8A1E99" w14:textId="1F65C8CD" w:rsidR="00EA606C" w:rsidRDefault="00EA606C" w:rsidP="00EA606C">
      <w:pPr>
        <w:pStyle w:val="USTustnpkodeksu"/>
        <w:ind w:firstLine="0"/>
      </w:pPr>
      <w:r>
        <w:t xml:space="preserve">Informacje o zaistnieniu działania niepożądanego może otrzymać ośrodek administrujący, osoba odpowiedzialna lub dystrybutor. Wskazano zakres ewentualnie posiadanych i przetwarzanych danych, określono, kto jest administratorem danych osobowych, nałożono obowiązek przechowywania danych osobowych w warunkach uniemożliwiających dostęp do nich osób innych niż upoważnione. Wskazano również, że dane osobowe </w:t>
      </w:r>
      <w:r w:rsidR="00045BE5">
        <w:t xml:space="preserve">są </w:t>
      </w:r>
      <w:r>
        <w:t xml:space="preserve">przetwarzane przez osobę odpowiedzialną lub dystrybutora wyłącznie w zakresie przewidzianym w rozporządzeniu nr 1223/2009 oraz w ustawie. Ponadto przyjęto, że dane osobowe </w:t>
      </w:r>
      <w:r w:rsidR="00045BE5">
        <w:t xml:space="preserve">są </w:t>
      </w:r>
      <w:r>
        <w:t>przechowywane nie dłużej niż rok od czasu zakończenia weryfikacji zgłoszenia działania niepożądanego, tj. do momentu, gdy nie jest spodziewane uzyskanie dodatkowych informacji, które mogłyby wpłynąć na wynik weryfikacji działania niepożądanego</w:t>
      </w:r>
      <w:r w:rsidR="00045BE5">
        <w:t>,</w:t>
      </w:r>
      <w:r>
        <w:t xml:space="preserve"> lub w przypadku braku dodatkowych informacji. Do ochrony danych osobowych bezpośrednie stosowanie będzie miało </w:t>
      </w:r>
      <w:r w:rsidR="00003E67">
        <w:t>r</w:t>
      </w:r>
      <w:r>
        <w:t>ozporządzenie</w:t>
      </w:r>
      <w:r w:rsidR="00045BE5">
        <w:t xml:space="preserve"> </w:t>
      </w:r>
      <w:r>
        <w:t>Parlamentu Europejskiego i Rady (UE)</w:t>
      </w:r>
      <w:r w:rsidR="00332D2A">
        <w:t xml:space="preserve"> </w:t>
      </w:r>
      <w:r>
        <w:t xml:space="preserve">2016/679 z dnia 27 kwietnia 2016 r. w sprawie ochrony osób fizycznych w związku z przetwarzaniem danych osobowych i w sprawie swobodnego przepływu takich danych oraz uchylenia dyrektywy 95/46/WE (ogólne rozporządzenia o ochronie danych) (Dz. Urz. UE L 119 z </w:t>
      </w:r>
      <w:r w:rsidR="00003E67">
        <w:t>0</w:t>
      </w:r>
      <w:r>
        <w:t>4.</w:t>
      </w:r>
      <w:r w:rsidR="00003E67">
        <w:t>0</w:t>
      </w:r>
      <w:r>
        <w:t>5.2016, str. 1), zwane dalej „RODO”. Dystrybutorzy i osoby odpowiedzialne będą musiały zadbać, aby powierzanie przetwarzania danych osobowych odbywało się zgodnie z przepisami wynikającymi z</w:t>
      </w:r>
      <w:r w:rsidR="00045BE5">
        <w:t xml:space="preserve"> </w:t>
      </w:r>
      <w:r>
        <w:t>RODO. Zgodnie z art. 28 ust. 1 RODO, jeżeli przetwarzanie ma być dokonywane w</w:t>
      </w:r>
      <w:r w:rsidR="00D37CC2">
        <w:t> </w:t>
      </w:r>
      <w:r>
        <w:t>imieniu administratora, korzysta on wyłącznie z usług takich po</w:t>
      </w:r>
      <w:r w:rsidR="00003E67">
        <w:t>d</w:t>
      </w:r>
      <w:r>
        <w:t>miotów przetwarzających, które zapewniają wystarczające gwarancje wdrożenia odpowiednich środków technicznych i organizacyjnych, by przetwarzanie spełniało wymogi niniejszego rozporządzenia i chroniło prawa osób, których dane dotyczą. Zaznaczyć także należy, że w momencie rozpoczęcia bezpośredniego stosowania RODO (tj. od dnia 25 maja 2018 r.) każdy administrator danych będzie miał swobodę w</w:t>
      </w:r>
      <w:r w:rsidR="00003E67">
        <w:t> </w:t>
      </w:r>
      <w:r>
        <w:t xml:space="preserve">doborze środków i wdrożeniu środków technicznych i organizacyjnych dla zapewnienia prawidłowej ochrony przetwarzanych przez nich danych osobowych. </w:t>
      </w:r>
    </w:p>
    <w:p w14:paraId="0CC4AF86" w14:textId="77777777" w:rsidR="00EA606C" w:rsidRDefault="00EA606C" w:rsidP="00EA606C">
      <w:pPr>
        <w:pStyle w:val="USTustnpkodeksu"/>
        <w:ind w:firstLine="0"/>
      </w:pPr>
      <w:r>
        <w:t>Ośrodek administrujący będzie informował Głównego Inspektora Sanitarnego o</w:t>
      </w:r>
      <w:r w:rsidR="00D37CC2">
        <w:t> </w:t>
      </w:r>
      <w:r>
        <w:t>zaistnieniu ciężkiego działania niepożądanego, który zgodnie z rozporządzeniem nr</w:t>
      </w:r>
      <w:r w:rsidR="00D37CC2">
        <w:t> </w:t>
      </w:r>
      <w:r>
        <w:t xml:space="preserve">1223/2009, będzie informował właściwe organy państw członkowskich Unii Europejskiej lub państw członkowskich Europejskiego Porozumienia o Wolnym Handlu (EFTA) </w:t>
      </w:r>
      <w:r>
        <w:sym w:font="Symbol" w:char="F02D"/>
      </w:r>
      <w:r>
        <w:t xml:space="preserve"> stron umowy o Europejskim Obszarze Gospodarczym oraz osobę odpowiedzialną. Proponowane przepisy mają na celu doprecyzowanie zasad zarządzania informacjami o ciężkich działaniach niepożądanych, określenie danych, które mogą być przekazywane oraz przetwarzane z uwzględnieniem również ochrony danych osobowych (art. 12 ust. 1 projektu ustawy). </w:t>
      </w:r>
    </w:p>
    <w:p w14:paraId="708E5648" w14:textId="71F1E5D9" w:rsidR="00EA606C" w:rsidRDefault="00EA606C" w:rsidP="00EA606C">
      <w:pPr>
        <w:pStyle w:val="USTustnpkodeksu"/>
        <w:ind w:firstLine="0"/>
      </w:pPr>
      <w:r>
        <w:t>Aby zapewnić możliwość praktycznego egzekwowania przepisów rozporządzenia nr 1223/2009 oraz projektowanej ustawy</w:t>
      </w:r>
      <w:r w:rsidR="0039296C">
        <w:t xml:space="preserve">, jest </w:t>
      </w:r>
      <w:r>
        <w:t>konieczne</w:t>
      </w:r>
      <w:r w:rsidR="0039296C">
        <w:t xml:space="preserve"> </w:t>
      </w:r>
      <w:r>
        <w:t>wyznaczenie organów nadzoru oraz wyznaczenie urzędu właściwego w odniesieniu do wskazanych w rozporządzeniu obowiązków i uprawnień państw członkowskich Unii Europejskiej. Organem właściwym w sprawach, o których mowa w art. 23 ust. 2–4 rozporządzenia nr</w:t>
      </w:r>
      <w:r w:rsidR="00D37CC2">
        <w:t> </w:t>
      </w:r>
      <w:r>
        <w:t>1223/2009, będzie Główny Inspektor Sanitarny (art. 12 ust. 2 projektu ustawy).</w:t>
      </w:r>
    </w:p>
    <w:p w14:paraId="1F91079D" w14:textId="680BAF10" w:rsidR="00EA606C" w:rsidRDefault="00EA606C" w:rsidP="00EA606C">
      <w:pPr>
        <w:pStyle w:val="USTustnpkodeksu"/>
        <w:ind w:firstLine="0"/>
      </w:pPr>
      <w:r>
        <w:t>Proponuje się, aby nadzór nad przestrzeganiem przepisów projektowanej ustawy o</w:t>
      </w:r>
      <w:r w:rsidR="00D37CC2">
        <w:t> </w:t>
      </w:r>
      <w:r>
        <w:t>produktach kosmetycznych oraz przepisów rozporządzenia nr 1223/2099 sprawowały – w zakresie swoich kompetencji</w:t>
      </w:r>
      <w:r w:rsidR="0039296C">
        <w:t xml:space="preserve"> –</w:t>
      </w:r>
      <w:r>
        <w:t xml:space="preserve"> Państwowa Inspekcja Sanitarna oraz Inspekcja Handlowa (art. 14 projektu ustawy). Propozycja ta stanowi zachowanie dotychczasowego podejścia zgodnego z aktualnie obowiązującą ustawą z dnia 30 marca 2001 r. o kosmetykach. </w:t>
      </w:r>
    </w:p>
    <w:p w14:paraId="19DDC477" w14:textId="2347F4F9" w:rsidR="00EA606C" w:rsidRDefault="00EA606C" w:rsidP="00EA606C">
      <w:pPr>
        <w:pStyle w:val="USTustnpkodeksu"/>
        <w:ind w:firstLine="0"/>
      </w:pPr>
      <w:r>
        <w:t>Określono także, że organami właściwymi w zakresie art. 5–7 rozporządzenia nr</w:t>
      </w:r>
      <w:r w:rsidR="00D37CC2">
        <w:t> </w:t>
      </w:r>
      <w:r>
        <w:t>1223/2009 są organy Państwowej Inspekcji Sanitarnej, a organami właściwymi w</w:t>
      </w:r>
      <w:r w:rsidR="00D37CC2">
        <w:t> </w:t>
      </w:r>
      <w:r>
        <w:t>zakresie art. 6 i art. 7 rozporządzenia nr 1223/2009 są organy Inspekcji Handlowej w</w:t>
      </w:r>
      <w:r w:rsidR="00D37CC2">
        <w:t> </w:t>
      </w:r>
      <w:r>
        <w:t xml:space="preserve">zakresie swoich kompetencji (art. 15 projektu ustawy). </w:t>
      </w:r>
    </w:p>
    <w:p w14:paraId="6BC6C612" w14:textId="77D95187" w:rsidR="00EA606C" w:rsidRDefault="00332D2A" w:rsidP="00EA606C">
      <w:pPr>
        <w:pStyle w:val="USTustnpkodeksu"/>
        <w:ind w:firstLine="0"/>
      </w:pPr>
      <w:r>
        <w:t>W art. 49</w:t>
      </w:r>
      <w:r w:rsidR="00EA606C">
        <w:t xml:space="preserve"> projektu ustawy (ustawa z dnia 14 marca 1985 r. o Państwowej Inspekcji Sanitarnej (Dz. U. z 2017 r. poz. 1261, z późn. zm.)</w:t>
      </w:r>
      <w:r w:rsidR="0039296C">
        <w:t>)</w:t>
      </w:r>
      <w:r>
        <w:t xml:space="preserve"> oraz art. 54</w:t>
      </w:r>
      <w:r w:rsidR="00EA606C">
        <w:t xml:space="preserve"> projektu ustawy (ustawa z dnia 15 grudnia 2000 r. o Inspekcji Handlowej (Dz. U. z 2017 r. poz. 1063, z</w:t>
      </w:r>
      <w:r w:rsidR="00D37CC2">
        <w:t> </w:t>
      </w:r>
      <w:r w:rsidR="00EA606C">
        <w:t>późn. zm.)</w:t>
      </w:r>
      <w:r>
        <w:t>)</w:t>
      </w:r>
      <w:r w:rsidR="00EA606C">
        <w:t xml:space="preserve"> doprecyzowano również, iż nadzór nad przepisami dot</w:t>
      </w:r>
      <w:r w:rsidR="0039296C">
        <w:t>yczącymi</w:t>
      </w:r>
      <w:r w:rsidR="00EA606C">
        <w:t xml:space="preserve"> znakowania produktów kosmetycznych sprawują Państwowa Inspekcja Sanitarna oraz Inspekcja Handlowa. Powyższa propozycja wynika z faktu kwestionowania uprawnień Państwowej Inspekcji Sanitarnej do kontrolowania znakowania produktów kosmetycznych. Prawidłowość znakowania produktu kosmetycznego oraz informacje przekazywane konsumentowi są również jednym z elementów jego bezpieczeństwa, nad którym nadzór sprawuje Państwowa Inspekcja Sanitarna. Jednocześnie należy podkreślić, że powierzenie powyższych obszarów nadzoru obydwu wskazanym powyżej Inspekcjom nie będzie prowadziło do kolizji kompetencji, stanowi ono jedynie dookreślenie stanu aktualnego. W dotychczasowej praktyce nie stwierdzono zaistnienia sytuacji konfliktowych w powyższym obszarze. W celu dodatkowego zapewnienia harmonijnej współpracy Inspekcji</w:t>
      </w:r>
      <w:r w:rsidR="0039296C">
        <w:t xml:space="preserve"> jest</w:t>
      </w:r>
      <w:r w:rsidR="00EA606C">
        <w:t xml:space="preserve"> planowane zawarcie stosownego porozumienia między Głównym Inspektorem Sanitarnym a Prezesem Urzędu Ochrony Konkurencji i</w:t>
      </w:r>
      <w:r w:rsidR="00D37CC2">
        <w:t> </w:t>
      </w:r>
      <w:r w:rsidR="00EA606C">
        <w:t>Konsumentów.</w:t>
      </w:r>
    </w:p>
    <w:p w14:paraId="43A98D43" w14:textId="45BBF45A" w:rsidR="00EA606C" w:rsidRDefault="00EA606C" w:rsidP="00EA606C">
      <w:pPr>
        <w:pStyle w:val="USTustnpkodeksu"/>
        <w:ind w:firstLine="0"/>
      </w:pPr>
      <w:r>
        <w:t xml:space="preserve">W projekcie wskazano, że </w:t>
      </w:r>
      <w:r w:rsidR="00332D2A">
        <w:t>o</w:t>
      </w:r>
      <w:r>
        <w:t>rganami właściwymi w zakresie dostępu do informacji i</w:t>
      </w:r>
      <w:r w:rsidR="00D37CC2">
        <w:t> </w:t>
      </w:r>
      <w:r>
        <w:t>danych określonych w art. 11 ust. 2 rozporządzenia nr 1223/2009 są organy Państwowej Inspekcji Sanitarnej, a w zakresie dostępu do informacji i danych określonych w art. 11 ust. 2 lit. d rozporządzenia nr 1223/2009 są organy Inspekcji Handlowej w zakresie swoich kompetencji (art. 16 projektu ustawy).</w:t>
      </w:r>
    </w:p>
    <w:p w14:paraId="5A9D0C65" w14:textId="701A7D55" w:rsidR="00EA606C" w:rsidRDefault="00EA606C" w:rsidP="00EA606C">
      <w:pPr>
        <w:pStyle w:val="USTustnpkodeksu"/>
        <w:ind w:firstLine="0"/>
      </w:pPr>
      <w:r>
        <w:t xml:space="preserve">Przepis art. 13 rozporządzenia </w:t>
      </w:r>
      <w:r w:rsidR="0039296C">
        <w:t xml:space="preserve">nr </w:t>
      </w:r>
      <w:r>
        <w:t xml:space="preserve">1223/2009 daje państwom członkowskim Unii Europejskiej lub państwom członkowskich Europejskiego Porozumienia o Wolnym Handlu (EFTA) </w:t>
      </w:r>
      <w:r>
        <w:sym w:font="Symbol" w:char="F02D"/>
      </w:r>
      <w:r>
        <w:t xml:space="preserve"> stronom umowy o Europejskim Obszarze Gospodarczym dostęp do bazy notyfikacji produktów kosmetycznych (tzw. baza CPNP), prowadzonej przez Komisję Europejską. Przyjęto, że organami właściwymi w zakresie art. 13 ust. 5 rozporządzenia nr 1223/2009 będą: Główny Inspektor Sanitarny, Prezes Urzędu Ochrony Konkurencji i Konsumentów, państwowy wojewódzki inspektor sanitarny oraz państwowy graniczny inspektor sanitarny (art. 17 projektu ustawy). </w:t>
      </w:r>
    </w:p>
    <w:p w14:paraId="55F15C5A" w14:textId="653C0C15" w:rsidR="00EA606C" w:rsidRDefault="00EA606C" w:rsidP="00EA606C">
      <w:pPr>
        <w:pStyle w:val="USTustnpkodeksu"/>
        <w:ind w:firstLine="0"/>
      </w:pPr>
      <w:r>
        <w:t>Rozporządzenie nr 1223/2009 daje również dostęp do receptur ramowych produktów kosmetycznych. Dostęp ten jest jednakże ograniczony do ośrodków zatruć lub podobnych jednostek wyznaczonych przez państwa członkowskie Unii Europejskiej. W</w:t>
      </w:r>
      <w:r w:rsidR="00D37CC2">
        <w:t> </w:t>
      </w:r>
      <w:r>
        <w:t>związku z powyższym zaproponowano</w:t>
      </w:r>
      <w:r w:rsidR="0039296C">
        <w:t>,</w:t>
      </w:r>
      <w:r>
        <w:t xml:space="preserve"> aby minister właściwy do spraw zdrowia określił, w drodze rozporządzenia, ośrodek uprawniony do dostępu do informacji określonych w art. 13 ust. 1–3 rozporządzenia nr 1223/2009, mając na względzie konieczność zapewnien</w:t>
      </w:r>
      <w:r w:rsidR="00332D2A">
        <w:t>ia właściwego leczenia, o którym</w:t>
      </w:r>
      <w:r>
        <w:t xml:space="preserve"> mowa w art. 13 ust. 6 rozporządzenia nr 1223/2009. Zadaniem ośrodka będzie zapewnienie lekarzom i</w:t>
      </w:r>
      <w:r w:rsidR="00D37CC2">
        <w:t> </w:t>
      </w:r>
      <w:r>
        <w:t>lekarzom dentystom dostępu do informacji o produkcie kosmetycznym udostępnianych przez Komisję Europejską zgodnie z art. 13 ust. 6 rozporządzenia nr</w:t>
      </w:r>
      <w:r w:rsidR="00D37CC2">
        <w:t> </w:t>
      </w:r>
      <w:r>
        <w:t>1223/2009, niezbędnych w razie konieczności podjęcia właściwego leczenia. Zaproponowano, aby ośrodek spełniał następujące wymagania: udzielał konsultacji toksykologicznych osobom wykonującym zawód medyczny, analizował przyczyny zatruć, posiadał dostęp do baz naukowych dotyczących właściwości toksykologicznych substancji oraz posiadał telefoniczne i elektroniczne środki komunikacji alarmowej (art.</w:t>
      </w:r>
      <w:r w:rsidR="00D37CC2">
        <w:t> </w:t>
      </w:r>
      <w:r>
        <w:t xml:space="preserve">18 projektu ustawy). Przyjęte rozwiązanie ma na celu równoczesne zapewnienie dostępu do informacji o składzie produktu, z jednoczesnym zachowaniem poufności danych przekazanych przez osoby odpowiedzialne. </w:t>
      </w:r>
    </w:p>
    <w:p w14:paraId="2770C47C" w14:textId="77777777" w:rsidR="00EA606C" w:rsidRDefault="00EA606C" w:rsidP="00EA606C">
      <w:pPr>
        <w:pStyle w:val="USTustnpkodeksu"/>
        <w:ind w:firstLine="0"/>
      </w:pPr>
      <w:r>
        <w:t xml:space="preserve">Rozporządzenie nr 1223/2009 przewiduje możliwość wystąpienia do Komisji Europejskiej z wnioskiem o udzielenie odstępstwa w zakresie zakazu testów na zwierzętach, w związku z powyższym w projekcie zaproponowano, że z ww. wnioskiem będzie występował Główny Inspektor Sanitarny (art. 19 projektu ustawy). </w:t>
      </w:r>
    </w:p>
    <w:p w14:paraId="2C2E9015" w14:textId="380BC523" w:rsidR="00EA606C" w:rsidRDefault="00EA606C" w:rsidP="00EA606C">
      <w:pPr>
        <w:pStyle w:val="ARTartustawynprozporzdzenia"/>
        <w:ind w:firstLine="0"/>
      </w:pPr>
      <w:r>
        <w:t xml:space="preserve">Zgodnie z art. 22 rozporządzenia nr 1223/2009 państwa członkowskie Unii Europejskiej lub państwa członkowskie Europejskiego Porozumienia o Wolnym Handlu (EFTA) </w:t>
      </w:r>
      <w:r>
        <w:sym w:font="Symbol" w:char="F02D"/>
      </w:r>
      <w:r>
        <w:t xml:space="preserve"> strony umowy o Europejskim Obszarze Gospodarczym są zobowiązane do okresowego dokonywania przeglądów i ocen przebiegu swoich działań nadzorczych – co najmniej raz na cztery lata. O wynikach przeprowadzonych przeglądów i ocen państwa członkowskie Unii Europejskiej lub państwa członkowskie Europejskiego Porozumienia o Wolnym Handlu (EFTA) </w:t>
      </w:r>
      <w:r>
        <w:sym w:font="Symbol" w:char="F02D"/>
      </w:r>
      <w:r>
        <w:t xml:space="preserve"> strony umowy o Europejskim Obszarze Gospodarczym informują Komisję Europejską oraz pozostałe państwa. W związku z</w:t>
      </w:r>
      <w:r w:rsidR="00D37CC2">
        <w:t> </w:t>
      </w:r>
      <w:r>
        <w:t>powyższym zaproponowano w projekcie, aby Główny Inspektor Sanitarny we współpracy z Prezesem Urzędu Ochrony Konkurencji i Konsumentów przygotowywał i</w:t>
      </w:r>
      <w:r w:rsidR="00D37CC2">
        <w:t> </w:t>
      </w:r>
      <w:r>
        <w:t xml:space="preserve">przekazywał Komisji Europejskiej oraz państwom członkowskim Unii Europejskiej lub państwom członkowskim Europejskiego Porozumienia o Wolnym Handlu (EFTA) </w:t>
      </w:r>
      <w:r>
        <w:sym w:font="Symbol" w:char="F02D"/>
      </w:r>
      <w:r>
        <w:t xml:space="preserve"> stronom umowy o Europejskim Obszarze Gospodarczym raport obejmujący wyniki okresowych przeglądów i ocen działań nadzorczych. Pierwszy taki raport zostanie sporządzony i przekazany w terminie </w:t>
      </w:r>
      <w:r w:rsidR="00332D2A">
        <w:t>dwóch lat od dnia wejścia w życie ustawy</w:t>
      </w:r>
      <w:r>
        <w:t>. Ponadto</w:t>
      </w:r>
      <w:r w:rsidR="0039296C">
        <w:t>,</w:t>
      </w:r>
      <w:r>
        <w:t xml:space="preserve"> mając na uwadze art. 22 rozporządzenia nr 1223/2009</w:t>
      </w:r>
      <w:r w:rsidR="0039296C">
        <w:t>,</w:t>
      </w:r>
      <w:r>
        <w:t xml:space="preserve"> raport zostanie udostępniony na stronie Głównego Inspektoratu Sanitarnego (art. 20 i art. 62 projektu ustawy). Ponadto sposób przygotowania ww. raportu, np. zakres informacji</w:t>
      </w:r>
      <w:r w:rsidR="0039296C">
        <w:t>,</w:t>
      </w:r>
      <w:r>
        <w:t xml:space="preserve"> może zostać objęty porozumieniem między Głównym Inspektorem Sanitarnym a Prezesem Urzędu Ochrony Konkurencji i</w:t>
      </w:r>
      <w:r w:rsidR="00D37CC2">
        <w:t> </w:t>
      </w:r>
      <w:r>
        <w:t>Konsumentów. W kontekście informowania o wynikach nadzoru można również zauważyć, że corocznie na stronie internetowej Głównego Inspektoratu Sanitarnego jest publikowany dokument pn. „Stan sanitarny kraju”, w którym można również znaleźć informacje dot</w:t>
      </w:r>
      <w:r w:rsidR="0039296C">
        <w:t>yczące</w:t>
      </w:r>
      <w:r>
        <w:t xml:space="preserve"> produktów kosmetycznych. </w:t>
      </w:r>
    </w:p>
    <w:p w14:paraId="115A309A" w14:textId="3908D331" w:rsidR="00EA606C" w:rsidRDefault="00EA606C" w:rsidP="00EA606C">
      <w:pPr>
        <w:pStyle w:val="USTustnpkodeksu"/>
        <w:ind w:firstLine="0"/>
      </w:pPr>
      <w:r>
        <w:t>Przepisy rozporządzenia nr 1223/2009 przewidują również szereg obowiązków i</w:t>
      </w:r>
      <w:r w:rsidR="00D37CC2">
        <w:t> </w:t>
      </w:r>
      <w:r>
        <w:t>uprawnień dla państw członkowskich Unii Europejskiej związanych ze współpracą lub udzielaniem informacji na szczeblu międzypaństwowym. W związku z powyższym projektowana ustawa wskazuje Głównego Inspektora Sanitarnego jako organ właściwy do realizacji szeregu zadań określonych w rozporządzeniu nr 1223/2009: art. 24 (zwrócenie się do osoby odpowiedzialnej, mającej siedzibę na terenie innego państwa członkowskiego Unii Europejskiej, z wnioskiem o informacje odnośnie do substancji), art. 27 (klauzula ochronna) i art. 30 (współpraca z innymi państwami członkowskim</w:t>
      </w:r>
      <w:r w:rsidR="00003E67">
        <w:t>i</w:t>
      </w:r>
      <w:r>
        <w:t xml:space="preserve"> Unii Europejskiej w zakresie weryfikacji dokumentacji) (art. 21 projektu ustawy). </w:t>
      </w:r>
    </w:p>
    <w:p w14:paraId="4C07358C" w14:textId="77777777" w:rsidR="00EA606C" w:rsidRDefault="00EA606C" w:rsidP="00EA606C">
      <w:pPr>
        <w:pStyle w:val="USTustnpkodeksu"/>
        <w:ind w:firstLine="0"/>
      </w:pPr>
      <w:r>
        <w:t xml:space="preserve">W celu zrealizowania obowiązków nałożonych na państwa członkowskie Unii Europejskiej w art. 25 ust. 2 i 4–6 rozporządzenia nr 1223/2009 państwowy powiatowy inspektor sanitarny będzie informował o podjętych środkach Głównego Inspektora Sanitarnego, który będzie powiadamiał Komisję Europejską oraz państwa członkowskie Unii Europejskiej lub państwa członkowskie Europejskiego Porozumienia o Wolnym Handlu (EFTA) </w:t>
      </w:r>
      <w:r>
        <w:sym w:font="Symbol" w:char="F02D"/>
      </w:r>
      <w:r>
        <w:t xml:space="preserve"> strony umowy o Europejskim Obszarze Gospodarczym (art. 22 projektu ustawy). </w:t>
      </w:r>
    </w:p>
    <w:p w14:paraId="4B9E1F24" w14:textId="2E5FAA05" w:rsidR="00EA606C" w:rsidRDefault="00EA606C" w:rsidP="00EA606C">
      <w:pPr>
        <w:pStyle w:val="USTustnpkodeksu"/>
        <w:ind w:firstLine="0"/>
      </w:pPr>
      <w:r>
        <w:t xml:space="preserve">Art. 36 rozporządzenia </w:t>
      </w:r>
      <w:r w:rsidR="00003E67">
        <w:t xml:space="preserve">nr </w:t>
      </w:r>
      <w:r>
        <w:t xml:space="preserve">1223/2009 daje państwom członkowskim Unii Europejskiej lub państwom członkowskim Europejskiego Porozumienia o Wolnym Handlu (EFTA) </w:t>
      </w:r>
      <w:r>
        <w:sym w:font="Symbol" w:char="F02D"/>
      </w:r>
      <w:r>
        <w:t xml:space="preserve"> stronom umowy o Europejskim Obszarze Gospodarczym możliwość wyrażenia sprzeciwu wobec normy zharmonizowan</w:t>
      </w:r>
      <w:r w:rsidR="008B0532">
        <w:t>ej.</w:t>
      </w:r>
      <w:r>
        <w:t xml:space="preserve"> </w:t>
      </w:r>
      <w:r w:rsidR="008B0532">
        <w:t>W</w:t>
      </w:r>
      <w:r>
        <w:t xml:space="preserve"> projekcie</w:t>
      </w:r>
      <w:r w:rsidR="008B0532">
        <w:t xml:space="preserve"> ustawy</w:t>
      </w:r>
      <w:r>
        <w:t xml:space="preserve"> zaproponowano, aby organem formalnie wnoszącym taki sprzeciw był Główny Inspektor Sanitarny (art. 23 projektu ustawy).</w:t>
      </w:r>
    </w:p>
    <w:p w14:paraId="0C1D7568" w14:textId="4E7766BC" w:rsidR="00EA606C" w:rsidRDefault="00EA606C" w:rsidP="00EA606C">
      <w:pPr>
        <w:pStyle w:val="USTustnpkodeksu"/>
        <w:ind w:firstLine="0"/>
      </w:pPr>
      <w:r>
        <w:t xml:space="preserve">Organy Państwowej Inspekcji Sanitarnej będą właściwe do realizacji zadań, o których mowa w art. 25 </w:t>
      </w:r>
      <w:r w:rsidR="008B0532">
        <w:t xml:space="preserve">i </w:t>
      </w:r>
      <w:r>
        <w:t xml:space="preserve">art. 26 rozporządzenia nr 1223/2009, a organy Inspekcji Handlowej są właściwe w zakresie swoich kompetencji do realizacji zadań, o których mowa w art. 26 rozporządzenia </w:t>
      </w:r>
      <w:r w:rsidR="00003E67">
        <w:t xml:space="preserve">nr </w:t>
      </w:r>
      <w:r>
        <w:t>1223/2009 (art. 24 projektu ustawy).</w:t>
      </w:r>
    </w:p>
    <w:p w14:paraId="612DDBA3" w14:textId="77777777" w:rsidR="00EA606C" w:rsidRDefault="00EA606C" w:rsidP="00EA606C">
      <w:pPr>
        <w:pStyle w:val="USTustnpkodeksu"/>
        <w:ind w:firstLine="0"/>
      </w:pPr>
      <w:r>
        <w:t>Nadzór nad produktami kosmetycznymi będzie obejmował wykonywanie czynności i</w:t>
      </w:r>
      <w:r w:rsidR="00D37CC2">
        <w:t> </w:t>
      </w:r>
      <w:r>
        <w:t>stosowanie środków określonych w przepisach ustawy oraz rozporządzenia nr</w:t>
      </w:r>
      <w:r w:rsidR="00D37CC2">
        <w:t> </w:t>
      </w:r>
      <w:r>
        <w:t>1223/2009, w szczególności kontrolę, pobieranie próbek oraz przeprowadzanie badań laboratoryjnych. Proponuje się, aby minister właściwy do spraw zdrowia określił, w</w:t>
      </w:r>
      <w:r w:rsidR="00D37CC2">
        <w:t> </w:t>
      </w:r>
      <w:r>
        <w:t xml:space="preserve">drodze rozporządzenia, metody oznaczeń niezbędnych do kontroli bezpieczeństwa produktów kosmetycznych. Wydanie takiego rozporządzenia jest konieczne z uwagi na fakt, że rozporządzenie nr 1223/2009 nie uchyliło dyrektyw dotyczących metod analizy składu produktów kosmetycznych, które są wdrożone obecnie do prawa polskiego rozporządzeniem Ministra Zdrowia z dnia 23 grudnia 2002 r. w sprawie określenia procedur pobierania próbek kosmetyków oraz procedur przeprowadzania badań laboratoryjnych (Dz. U. z 2003 r. poz. 107 oraz z 2004 r. poz. 2106) (art. 25 projektu ustawy). </w:t>
      </w:r>
      <w:bookmarkStart w:id="1" w:name="PP_18735_1_48"/>
      <w:bookmarkEnd w:id="1"/>
    </w:p>
    <w:p w14:paraId="374FF9A5" w14:textId="35322F10" w:rsidR="00EA606C" w:rsidRDefault="00EA606C" w:rsidP="00EA606C">
      <w:pPr>
        <w:pStyle w:val="USTustnpkodeksu"/>
        <w:ind w:firstLine="0"/>
      </w:pPr>
      <w:r>
        <w:t xml:space="preserve">Do kontroli działalności gospodarczej przedsiębiorcy będą miały zastosowanie przepisy rozdziału 5 </w:t>
      </w:r>
      <w:bookmarkStart w:id="2" w:name="_Hlk510733813"/>
      <w:r w:rsidR="00003E67">
        <w:t xml:space="preserve">ustawy </w:t>
      </w:r>
      <w:r>
        <w:t xml:space="preserve">z dnia 6 marca 2018 r. – Prawo przedsiębiorców (Dz. U. </w:t>
      </w:r>
      <w:bookmarkStart w:id="3" w:name="PP_18735_1_49"/>
      <w:bookmarkEnd w:id="3"/>
      <w:r>
        <w:t xml:space="preserve">poz. 646) </w:t>
      </w:r>
      <w:bookmarkEnd w:id="2"/>
      <w:r>
        <w:t>(art. 26 projektu ustawy).</w:t>
      </w:r>
    </w:p>
    <w:p w14:paraId="12290B55" w14:textId="55AD21FF" w:rsidR="00EA606C" w:rsidRDefault="00EA606C" w:rsidP="00EA606C">
      <w:pPr>
        <w:pStyle w:val="USTustnpkodeksu"/>
        <w:ind w:firstLine="0"/>
      </w:pPr>
      <w:r>
        <w:t xml:space="preserve">Zgodnie z art. 37 rozporządzenia nr 1223/2009 państwa członkowskie Unii Europejskiej lub państwa członkowskie Europejskiego Porozumienia o Wolnym Handlu (EFTA) </w:t>
      </w:r>
      <w:r>
        <w:sym w:font="Symbol" w:char="F02D"/>
      </w:r>
      <w:r>
        <w:t xml:space="preserve"> strony umowy o Europejskim Obszarze Gospodarczym ustanowią przepisy dotyczące sankcji, które będą miały zastosowanie w przypadku naruszenia przepisów tego rozporządzenia. Przewidywane sankcje powinny być skuteczne, proporcjonalne i</w:t>
      </w:r>
      <w:r w:rsidR="00D37CC2">
        <w:t> </w:t>
      </w:r>
      <w:r>
        <w:t>odstraszające, a zarazem nieodbiegające wysokością od innych podobnych obecnie stosowanych, proponuje się zatem</w:t>
      </w:r>
      <w:r w:rsidR="008B0532">
        <w:t>,</w:t>
      </w:r>
      <w:r>
        <w:t xml:space="preserve"> aby:</w:t>
      </w:r>
    </w:p>
    <w:p w14:paraId="4BA46DEE" w14:textId="20392567" w:rsidR="00EA606C" w:rsidRDefault="00EA606C" w:rsidP="00EA606C">
      <w:pPr>
        <w:pStyle w:val="PKTpunkt"/>
      </w:pPr>
      <w:r>
        <w:t>1)</w:t>
      </w:r>
      <w:r>
        <w:tab/>
        <w:t>wytwarzanie produktu kosmetycznego bez zachowania zasad dobrej praktyki produkcji, podlegało karze pieniężnej w wysokości do 50 000 zł (art. 27 projektu ustawy). Tej samej karze podlegałoby nie wskazanie przez wytwórcę osoby odpowiedzialnej, na rzecz której wytwarza produkt kosmetyczny</w:t>
      </w:r>
      <w:r w:rsidR="008B0532">
        <w:t xml:space="preserve"> </w:t>
      </w:r>
      <w:r>
        <w:t>(art. 28 projektu ustawy);</w:t>
      </w:r>
    </w:p>
    <w:p w14:paraId="7E1A2A2F" w14:textId="77777777" w:rsidR="00EA606C" w:rsidRDefault="00EA606C" w:rsidP="00EA606C">
      <w:pPr>
        <w:pStyle w:val="PKTpunkt"/>
      </w:pPr>
      <w:r>
        <w:t>2)</w:t>
      </w:r>
      <w:r>
        <w:tab/>
        <w:t>wprowadzanie do obrotu produktu kosmetycznego bez spełnienia wymogów dotyczących oceny bezpieczeństwa, o której mowa w art. 10 rozporządzenia nr</w:t>
      </w:r>
      <w:r w:rsidR="00D37CC2">
        <w:t> </w:t>
      </w:r>
      <w:r>
        <w:t>1223/2009, podlegało karze pieniężnej w wysokości do 100 000 zł (art. 29 projektu ustawy);</w:t>
      </w:r>
    </w:p>
    <w:p w14:paraId="4CD14E66" w14:textId="6DFE1C75" w:rsidR="00EA606C" w:rsidRDefault="00EA606C" w:rsidP="00EA606C">
      <w:pPr>
        <w:pStyle w:val="PKTpunkt"/>
      </w:pPr>
      <w:r>
        <w:t>3)</w:t>
      </w:r>
      <w:r>
        <w:tab/>
        <w:t>niewykonywanie obowiązków określonych w art. 5 ust 2 i 3 oraz art. 6 ust. 3–5 rozporządzenia nr 1223/2009 podlegało karze pieniężnej w</w:t>
      </w:r>
      <w:r w:rsidR="00D37CC2">
        <w:t> </w:t>
      </w:r>
      <w:r>
        <w:t>wysokości do 50</w:t>
      </w:r>
      <w:r w:rsidR="00376337">
        <w:t> </w:t>
      </w:r>
      <w:r>
        <w:t>000</w:t>
      </w:r>
      <w:r w:rsidR="00376337">
        <w:t> </w:t>
      </w:r>
      <w:r>
        <w:t>zł (art. 30 projektu ustawy);</w:t>
      </w:r>
    </w:p>
    <w:p w14:paraId="14B98CAE" w14:textId="77777777" w:rsidR="00EA606C" w:rsidRDefault="00EA606C" w:rsidP="00EA606C">
      <w:pPr>
        <w:pStyle w:val="PKTpunkt"/>
      </w:pPr>
      <w:r>
        <w:t>4)</w:t>
      </w:r>
      <w:r>
        <w:tab/>
        <w:t>niespełnienie wymogów dotyczących okresu przechowywania dokumentacji produktu, o którym mowa w art. 11 ust. 1 rozporządzenia nr 1223/2009, podlegało karze pieniężnej w wysokości do 30 000 zł (art. 31 projektu ustawy);</w:t>
      </w:r>
    </w:p>
    <w:p w14:paraId="2D5698B9" w14:textId="77777777" w:rsidR="00EA606C" w:rsidRDefault="00EA606C" w:rsidP="00EA606C">
      <w:pPr>
        <w:pStyle w:val="PKTpunkt"/>
      </w:pPr>
      <w:r>
        <w:t>5)</w:t>
      </w:r>
      <w:r>
        <w:tab/>
        <w:t>wprowadzanie do obrotu produktu kosmetycznego bez spełnienia wymogów dotyczących dokumentacji produktu, o których mowa w art. 11 ust. 2–4 rozporządzenia nr 1223/2009, podlegało karze pieniężnej w wysokości do 100</w:t>
      </w:r>
      <w:r w:rsidR="00D37CC2">
        <w:t> </w:t>
      </w:r>
      <w:r>
        <w:t>000</w:t>
      </w:r>
      <w:r w:rsidR="00D37CC2">
        <w:t> </w:t>
      </w:r>
      <w:r>
        <w:t>zł (art. 32 projektu ustawy);</w:t>
      </w:r>
    </w:p>
    <w:p w14:paraId="6E2DBCCF" w14:textId="4896B920" w:rsidR="00EA606C" w:rsidRDefault="00003E67" w:rsidP="00EA606C">
      <w:pPr>
        <w:pStyle w:val="PKTpunkt"/>
      </w:pPr>
      <w:r>
        <w:t>6</w:t>
      </w:r>
      <w:r w:rsidR="00EA606C">
        <w:t>)</w:t>
      </w:r>
      <w:r w:rsidR="00EA606C">
        <w:tab/>
        <w:t>wytwarzanie produktu kosmetycznego bez pobierania próbek i wykonywania analiz w rzetelny i odtwarzalny sposób, o których mowa w art. 12 rozporządzenia nr 1223/2009, podlegało karze pieniężnej w wysokości do 10 000 zł (art. 33 projektu ustawy);</w:t>
      </w:r>
    </w:p>
    <w:p w14:paraId="6BB1359A" w14:textId="5948EDCB" w:rsidR="00EA606C" w:rsidRDefault="00003E67" w:rsidP="00EA606C">
      <w:pPr>
        <w:pStyle w:val="PKTpunkt"/>
      </w:pPr>
      <w:r>
        <w:t>7</w:t>
      </w:r>
      <w:r w:rsidR="00EA606C">
        <w:t>)</w:t>
      </w:r>
      <w:r w:rsidR="00EA606C">
        <w:tab/>
        <w:t>wprowadzanie do obrotu produktu kosmetycznego bez spełnienia wymogów w</w:t>
      </w:r>
      <w:r w:rsidR="00D37CC2">
        <w:t> </w:t>
      </w:r>
      <w:r w:rsidR="00EA606C">
        <w:t>zakresie zgłoszeń, o których mowa w art. 13 i art. 16 ust. 3 rozporządzenia nr</w:t>
      </w:r>
      <w:r w:rsidR="00D37CC2">
        <w:t> </w:t>
      </w:r>
      <w:r w:rsidR="00EA606C">
        <w:t xml:space="preserve">1223/2009, podlegało karze pieniężnej w wysokości do 35 000 zł. Tej samej karze podlegać będzie dystrybutor, który udostępnia produkt kosmetyczny bez spełnienia wymogów w zakresie zgłoszeń, o których mowa w art. 13 ust. 3 i 4 rozporządzenia nr 1223/2009 (art. 34 projektu ustawy); </w:t>
      </w:r>
    </w:p>
    <w:p w14:paraId="08623E13" w14:textId="5DD77789" w:rsidR="00EA606C" w:rsidRDefault="00003E67" w:rsidP="00EA606C">
      <w:pPr>
        <w:pStyle w:val="PKTpunkt"/>
      </w:pPr>
      <w:r>
        <w:t>8</w:t>
      </w:r>
      <w:r w:rsidR="00EA606C">
        <w:t>)</w:t>
      </w:r>
      <w:r w:rsidR="00EA606C">
        <w:tab/>
        <w:t>wprowadzanie do obrotu produktu kosmetycznego z naruszeniem ograniczeń dotyczących substancji, o których mowa w art. 14, art. 15 i art. 17 rozporządzenia nr 1223/2009, podlegało karze pieniężnej w wysokości do 100 000 zł (art. 35 projektu ustawy);</w:t>
      </w:r>
    </w:p>
    <w:p w14:paraId="3BF40C62" w14:textId="76444C3C" w:rsidR="00EA606C" w:rsidRDefault="00003E67" w:rsidP="00EA606C">
      <w:pPr>
        <w:pStyle w:val="PKTpunkt"/>
      </w:pPr>
      <w:r>
        <w:t>9</w:t>
      </w:r>
      <w:r w:rsidR="00EA606C">
        <w:t>)</w:t>
      </w:r>
      <w:r w:rsidR="00EA606C">
        <w:tab/>
        <w:t>wprowadzanie do obrotu produktu kosmetycznego z naruszeniem zakazów w</w:t>
      </w:r>
      <w:r>
        <w:t> </w:t>
      </w:r>
      <w:r w:rsidR="00EA606C">
        <w:t>zakresie testów na zwierzętach, o których mowa w art. 18 rozporządzenia nr 1223/2009, podlegało karze pieniężnej w wysokości do 30</w:t>
      </w:r>
      <w:r w:rsidR="00D37CC2">
        <w:t> </w:t>
      </w:r>
      <w:r w:rsidR="00EA606C">
        <w:t>000</w:t>
      </w:r>
      <w:r w:rsidR="00D37CC2">
        <w:t> </w:t>
      </w:r>
      <w:r w:rsidR="00EA606C">
        <w:t xml:space="preserve">zł oraz przeprowadzanie testów na zwierzętach podlegało karze pieniężnej w wysokości do 100 000 zł (art. 36 i art. 37 projektu ustawy); </w:t>
      </w:r>
    </w:p>
    <w:p w14:paraId="1C8BEF42" w14:textId="352D980D" w:rsidR="00EA606C" w:rsidRDefault="00003E67" w:rsidP="00EA606C">
      <w:pPr>
        <w:pStyle w:val="PKTpunkt"/>
      </w:pPr>
      <w:r>
        <w:t>10</w:t>
      </w:r>
      <w:r w:rsidR="00EA606C">
        <w:t>)</w:t>
      </w:r>
      <w:r w:rsidR="00EA606C">
        <w:tab/>
        <w:t xml:space="preserve">wprowadzanie do obrotu lub udostępnianie na rynku produktu kosmetycznego bez spełnienia wymogów w zakresie oznakowania, o których mowa w art. 19 rozporządzenia nr 1223/2009 lub określonych w art. 4 </w:t>
      </w:r>
      <w:r w:rsidR="008B0532">
        <w:t xml:space="preserve">projektu </w:t>
      </w:r>
      <w:r w:rsidR="00EA606C">
        <w:t>ustawy</w:t>
      </w:r>
      <w:r w:rsidR="008B0532">
        <w:t>,</w:t>
      </w:r>
      <w:r w:rsidR="00EA606C">
        <w:t xml:space="preserve"> podlegało karze pieniężnej w wysokości do 70 000 zł (art. 38 projektu ustawy);</w:t>
      </w:r>
    </w:p>
    <w:p w14:paraId="3F6680C8" w14:textId="312F071C" w:rsidR="00EA606C" w:rsidRDefault="00EA606C" w:rsidP="00EA606C">
      <w:pPr>
        <w:pStyle w:val="PKTpunkt"/>
      </w:pPr>
      <w:r>
        <w:t>1</w:t>
      </w:r>
      <w:r w:rsidR="00003E67">
        <w:t>1</w:t>
      </w:r>
      <w:r>
        <w:t>)</w:t>
      </w:r>
      <w:r>
        <w:tab/>
        <w:t>udostępnianie produktu kosmetycznego bez spełnienia wymogów związanych z</w:t>
      </w:r>
      <w:r w:rsidR="00D37CC2">
        <w:t> </w:t>
      </w:r>
      <w:r>
        <w:t>oświadczeniami o produkcie, o których mowa w art. 20 rozporządzenia nr</w:t>
      </w:r>
      <w:r w:rsidR="00D37CC2">
        <w:t> </w:t>
      </w:r>
      <w:r>
        <w:t xml:space="preserve">1223/2009, podlegało karze pieniężnej w wysokości do 20 000 zł (art. 39 projektu ustawy). </w:t>
      </w:r>
    </w:p>
    <w:p w14:paraId="5A674F46" w14:textId="77777777" w:rsidR="00EA606C" w:rsidRDefault="00EA606C" w:rsidP="00EA606C">
      <w:pPr>
        <w:pStyle w:val="USTustnpkodeksu"/>
        <w:ind w:firstLine="0"/>
      </w:pPr>
      <w:r>
        <w:t xml:space="preserve">Ponadto przewidziano, że osoba odpowiedzialna, która nie zapewnia publicznego dostępu do informacji, o którym mowa w art. 21 rozporządzenia nr 1223/2009, będzie podlegała karze pieniężnej w wysokości do 10 000 zł (art. 40 projektu ustawy). </w:t>
      </w:r>
    </w:p>
    <w:p w14:paraId="4859095F" w14:textId="00A4DBA4" w:rsidR="00EA606C" w:rsidRDefault="00EA606C" w:rsidP="00EA606C">
      <w:pPr>
        <w:pStyle w:val="USTustnpkodeksu"/>
        <w:ind w:firstLine="0"/>
      </w:pPr>
      <w:r>
        <w:t>Osoba odpowiedzialna oraz dystrybutor, którzy nie dopełnią obowiązku informowania o ciężkim działaniu niepożądanym, o którym mowa w art. 23 rozporządzenia nr</w:t>
      </w:r>
      <w:r w:rsidR="00D37CC2">
        <w:t> </w:t>
      </w:r>
      <w:r>
        <w:t>1223/2009, będą po</w:t>
      </w:r>
      <w:r w:rsidR="008B0532">
        <w:t>d</w:t>
      </w:r>
      <w:r>
        <w:t xml:space="preserve">legali karze pieniężnej w wysokości 100 000 zł (art. 41 projektu ustawy). </w:t>
      </w:r>
    </w:p>
    <w:p w14:paraId="1AC94C4B" w14:textId="74309596" w:rsidR="00EA606C" w:rsidRDefault="00EA606C" w:rsidP="00EA606C">
      <w:pPr>
        <w:pStyle w:val="USTustnpkodeksu"/>
        <w:ind w:firstLine="0"/>
      </w:pPr>
      <w:r>
        <w:t>Osoba odpowiedzialna, która nie przedstawi informacji żądanych na podstawie art. 24 rozporządzenia nr 1223/2009, będzie podlegała karze pieniężnej w wysokości do 20</w:t>
      </w:r>
      <w:r w:rsidR="00376337">
        <w:t> </w:t>
      </w:r>
      <w:r>
        <w:t xml:space="preserve">000 zł (art. 42 projektu ustawy). </w:t>
      </w:r>
    </w:p>
    <w:p w14:paraId="3780975D" w14:textId="77777777" w:rsidR="00EA606C" w:rsidRDefault="00EA606C" w:rsidP="00EA606C">
      <w:pPr>
        <w:pStyle w:val="USTustnpkodeksu"/>
        <w:ind w:firstLine="0"/>
      </w:pPr>
      <w:r>
        <w:t xml:space="preserve">Sankcją w postaci kary pieniężnej w wysokości do 50 000 zł zostanie również objęta czynność wprowadzania do obrotu lub udostępniania na rynku produktu kosmetycznego po upływie daty minimalnej trwałości (art. 43 projektu ustawy). </w:t>
      </w:r>
    </w:p>
    <w:p w14:paraId="5B3B9483" w14:textId="77777777" w:rsidR="00EA606C" w:rsidRDefault="00EA606C" w:rsidP="00EA606C">
      <w:pPr>
        <w:pStyle w:val="USTustnpkodeksu"/>
        <w:ind w:firstLine="0"/>
      </w:pPr>
      <w:r>
        <w:t>Osoba odpowiedzialna, która nie dopełni obowiązków, o których mowa w art. 25 ust. 3 rozporządzenia nr 1223/2009, podlega karze pieniężnej w wysokości do 20 000 zł (art.</w:t>
      </w:r>
      <w:r w:rsidR="00D37CC2">
        <w:t> </w:t>
      </w:r>
      <w:r>
        <w:t xml:space="preserve">44 projektu ustawy). </w:t>
      </w:r>
    </w:p>
    <w:p w14:paraId="17BD5B9B" w14:textId="77777777" w:rsidR="00EA606C" w:rsidRDefault="00EA606C" w:rsidP="00EA606C">
      <w:pPr>
        <w:pStyle w:val="USTustnpkodeksu"/>
        <w:ind w:firstLine="0"/>
      </w:pPr>
      <w:r>
        <w:t xml:space="preserve">Ponadto proponuje się, aby niedopełnienie obowiązków wynikających z obowiązku rejestracji zakładów podlegało karze pieniężnej w wysokości do 50 000 zł (art. 45 projektu ustawy). </w:t>
      </w:r>
    </w:p>
    <w:p w14:paraId="56700001" w14:textId="06E78239" w:rsidR="00EA606C" w:rsidRDefault="00EA606C" w:rsidP="00EA606C">
      <w:pPr>
        <w:pStyle w:val="USTustnpkodeksu"/>
        <w:ind w:firstLine="0"/>
      </w:pPr>
      <w:r>
        <w:t>Proponuje się również, aby niedopełnienie obowiązku wynikającego z konieczności zapewnienia identyfikacji w łańcuchu dostaw (art. 7 rozporządzenia nr 1223/2009) podlegało karze pieniężnej w wysokości do 10 000 zł (art. 46 projektu ustawy).</w:t>
      </w:r>
    </w:p>
    <w:p w14:paraId="21BD1722" w14:textId="77777777" w:rsidR="00EA606C" w:rsidRDefault="00EA606C" w:rsidP="00EA606C">
      <w:pPr>
        <w:pStyle w:val="USTustnpkodeksu"/>
        <w:ind w:firstLine="0"/>
      </w:pPr>
      <w:r>
        <w:t>Osoba odpowiedzialna, która nie dopełni obowiązku określonego w art. 3 projektu ustawy, podlega karze pieniężnej w wysokości do 10 000 zł (art. 47 projektu ustawy).</w:t>
      </w:r>
    </w:p>
    <w:p w14:paraId="6E2D34FC" w14:textId="114F67BB" w:rsidR="00EA606C" w:rsidRDefault="00EA606C" w:rsidP="00EA606C">
      <w:pPr>
        <w:pStyle w:val="USTustnpkodeksu"/>
        <w:ind w:firstLine="0"/>
      </w:pPr>
      <w:r>
        <w:t>Kary pieniężne, o których mowa w art. 27–47</w:t>
      </w:r>
      <w:r w:rsidR="008B0532">
        <w:t>,</w:t>
      </w:r>
      <w:r>
        <w:t xml:space="preserve"> będą nakładane w drodze decyzji, przez właściwego państwowego powiatowego inspektora sanitarnego, dodatkowo kary pieniężne, o których mowa w art. 30, art. 38, art. 39, art. 43 i art. 46, będą nakładane przez wojewódzkiego inspektora Inspekcji Handlowej. Wpływy z kar pieniężnych stanowią dochód budżetu państwa.</w:t>
      </w:r>
    </w:p>
    <w:p w14:paraId="5756AC3E" w14:textId="22F83B07" w:rsidR="00EA606C" w:rsidRDefault="00EA606C" w:rsidP="00EA606C">
      <w:pPr>
        <w:pStyle w:val="USTustnpkodeksu"/>
        <w:ind w:firstLine="0"/>
      </w:pPr>
      <w:r>
        <w:t>Ustalając wysokość kary pieniężnej, właściwy państwowy powiatowy inspektor sanitarny oraz wojewódzki inspektor Inspekcji Handlowej uwzględnia przepisy art.</w:t>
      </w:r>
      <w:r w:rsidR="00D37CC2">
        <w:t> </w:t>
      </w:r>
      <w:r>
        <w:t>189d ustawy z dnia 14 czerwca 1960 r. – Kodeks postępowania administracyjnego (Dz. U. z 2017 r. poz. 1257</w:t>
      </w:r>
      <w:r w:rsidR="00C01228">
        <w:t>, z późn. zm.</w:t>
      </w:r>
      <w:r>
        <w:t>). Zgodnie z tym przepisem</w:t>
      </w:r>
      <w:r w:rsidR="008B0532">
        <w:t>,</w:t>
      </w:r>
      <w:r>
        <w:t xml:space="preserve"> wymierzając administracyjną karę pieniężną, organ administracji publicznej bierze pod uwagę:</w:t>
      </w:r>
    </w:p>
    <w:p w14:paraId="331ABABD" w14:textId="77777777" w:rsidR="00EA606C" w:rsidRDefault="00EA606C" w:rsidP="00EA606C">
      <w:pPr>
        <w:pStyle w:val="PKTpunkt"/>
      </w:pPr>
      <w:r>
        <w:t>1)</w:t>
      </w:r>
      <w:r>
        <w:tab/>
        <w:t>wagę i okoliczności naruszenia prawa, w szczególności potrzebę ochrony życia lub zdrowia, ochrony mienia w znacznych rozmiarach lub ochrony ważnego interesu publicznego lub wyjątkowo ważnego interesu strony oraz czas trwania tego naruszenia;</w:t>
      </w:r>
    </w:p>
    <w:p w14:paraId="237AB3F0" w14:textId="77777777" w:rsidR="00EA606C" w:rsidRDefault="00EA606C" w:rsidP="00EA606C">
      <w:pPr>
        <w:pStyle w:val="PKTpunkt"/>
      </w:pPr>
      <w:r>
        <w:t>2)</w:t>
      </w:r>
      <w:r>
        <w:tab/>
        <w:t>częstotliwość niedopełniania w przeszłości obowiązku albo naruszania zakazu tego samego rodzaju co niedopełnienie obowiązku albo naruszenie zakazu, w</w:t>
      </w:r>
      <w:r w:rsidR="00D37CC2">
        <w:t> </w:t>
      </w:r>
      <w:r>
        <w:t>następstwie którego ma być nałożona kara;</w:t>
      </w:r>
    </w:p>
    <w:p w14:paraId="3555B868" w14:textId="77777777" w:rsidR="00EA606C" w:rsidRDefault="00EA606C" w:rsidP="00EA606C">
      <w:pPr>
        <w:pStyle w:val="PKTpunkt"/>
      </w:pPr>
      <w:r>
        <w:t>3)</w:t>
      </w:r>
      <w:r>
        <w:tab/>
        <w:t>uprzednie ukaranie za to samo zachowanie za przestępstwo, przestępstwo skarbowe, wykroczenie lub wykroczenie skarbowe;</w:t>
      </w:r>
    </w:p>
    <w:p w14:paraId="34904CCB" w14:textId="77777777" w:rsidR="00EA606C" w:rsidRDefault="00EA606C" w:rsidP="00EA606C">
      <w:pPr>
        <w:pStyle w:val="PKTpunkt"/>
      </w:pPr>
      <w:r>
        <w:t>4)</w:t>
      </w:r>
      <w:r>
        <w:tab/>
        <w:t>stopień przyczynienia się strony, na którą jest nakładana administracyjna kara pieniężna, do powstania naruszenia prawa;</w:t>
      </w:r>
    </w:p>
    <w:p w14:paraId="1EDEC783" w14:textId="77777777" w:rsidR="00EA606C" w:rsidRDefault="00EA606C" w:rsidP="00EA606C">
      <w:pPr>
        <w:pStyle w:val="PKTpunkt"/>
      </w:pPr>
      <w:r>
        <w:t>5)</w:t>
      </w:r>
      <w:r>
        <w:tab/>
        <w:t>działania podjęte przez stronę dobrowolnie w celu uniknięcia skutków naruszenia prawa;</w:t>
      </w:r>
    </w:p>
    <w:p w14:paraId="6398B62B" w14:textId="77777777" w:rsidR="00EA606C" w:rsidRDefault="00EA606C" w:rsidP="00EA606C">
      <w:pPr>
        <w:pStyle w:val="PKTpunkt"/>
      </w:pPr>
      <w:r>
        <w:t>6)</w:t>
      </w:r>
      <w:r>
        <w:tab/>
        <w:t>wysokość korzyści, którą strona osiągnęła, lub straty, której uniknęła;</w:t>
      </w:r>
    </w:p>
    <w:p w14:paraId="749177B2" w14:textId="77777777" w:rsidR="00EA606C" w:rsidRDefault="00EA606C" w:rsidP="00EA606C">
      <w:pPr>
        <w:pStyle w:val="PKTpunkt"/>
      </w:pPr>
      <w:r>
        <w:t>7)</w:t>
      </w:r>
      <w:r>
        <w:tab/>
        <w:t>w przypadku osoby fizycznej – warunki osobiste strony, na którą administracyjna kara pieniężna jest nakładana.</w:t>
      </w:r>
    </w:p>
    <w:p w14:paraId="0BA9CCF8" w14:textId="018954EA" w:rsidR="00EA606C" w:rsidRDefault="00EA606C" w:rsidP="00EA606C">
      <w:pPr>
        <w:pStyle w:val="USTustnpkodeksu"/>
        <w:ind w:firstLine="0"/>
      </w:pPr>
      <w:r>
        <w:t xml:space="preserve">Obecnie </w:t>
      </w:r>
      <w:r w:rsidR="00C01228">
        <w:t>obowiązujące w ustawie z dnia 30</w:t>
      </w:r>
      <w:r>
        <w:t xml:space="preserve"> marca 2001 r. o kosmetykach przepisy karne nie funkcjonują w praktyce tak skutecznie i efektywnie</w:t>
      </w:r>
      <w:r w:rsidR="008B0532">
        <w:t>,</w:t>
      </w:r>
      <w:r>
        <w:t xml:space="preserve"> jak można by tego oczekiwać, dlatego też kary, podlegające reżimowi prawa karnego albo prawa o</w:t>
      </w:r>
      <w:r w:rsidR="00D37CC2">
        <w:t> </w:t>
      </w:r>
      <w:r>
        <w:t xml:space="preserve">wykroczeniach proponuje zastąpić się karami pieniężnymi nakładanymi w drodze decyzji administracyjnej. </w:t>
      </w:r>
    </w:p>
    <w:p w14:paraId="0C290FC0" w14:textId="77777777" w:rsidR="00EA606C" w:rsidRDefault="00EA606C" w:rsidP="00EA606C">
      <w:pPr>
        <w:pStyle w:val="USTustnpkodeksu"/>
        <w:ind w:firstLine="0"/>
      </w:pPr>
      <w:r>
        <w:t>Powyższe działanie jest podyktowane przede wszystkim koniecznością realizacji w</w:t>
      </w:r>
      <w:r w:rsidR="00D37CC2">
        <w:t> </w:t>
      </w:r>
      <w:r>
        <w:t>praktyce zasady ochrony zdrowia i życia konsumentów. Zasada ta znajduje swoje oparcie w przepisach art. 68 ust. 1, art. 76 czy art. 31 ust. 3 Konstytucji RP, a także jest dopuszczalna przez prawodawstwo Unii Europejskiej. Zgodnie z rozporządzeniem nr</w:t>
      </w:r>
      <w:r w:rsidR="00D37CC2">
        <w:t> </w:t>
      </w:r>
      <w:r>
        <w:t xml:space="preserve">1223/2009 sankcje zapewniające realizację jego przepisów powinny być skuteczne, proporcjonalne i odstraszające. Taką gwarancję w obecnym polskim systemie prawa zapewniają jedynie kary administracyjne. </w:t>
      </w:r>
    </w:p>
    <w:p w14:paraId="1E4E016F" w14:textId="77777777" w:rsidR="00EA606C" w:rsidRDefault="00EA606C" w:rsidP="00EA606C">
      <w:pPr>
        <w:pStyle w:val="USTustnpkodeksu"/>
        <w:ind w:firstLine="0"/>
      </w:pPr>
      <w:r>
        <w:t xml:space="preserve">Ponadto należy podnieść, iż w obecnie obowiązujących przepisach dotyczących kar mamy do czynienia z brakiem proporcjonalności i konsekwencji w zakresie wysokości kar oraz problemy z dokonaniem wyboru sposobu określenia wysokości kary. Propozycje zawarte w projekcie ustawy usuwają te wady. </w:t>
      </w:r>
    </w:p>
    <w:p w14:paraId="3199BA25" w14:textId="77777777" w:rsidR="00EA606C" w:rsidRDefault="00EA606C" w:rsidP="00EA606C">
      <w:pPr>
        <w:pStyle w:val="USTustnpkodeksu"/>
        <w:ind w:firstLine="0"/>
      </w:pPr>
      <w:r>
        <w:t xml:space="preserve">Projektowane przepisy wychodzą także naprzeciw ujawnianej przez organy wymierzające kary pieniężne konieczności podwyższenia kar w przypadku, gdy naruszenie dotyczy środków o znacznej wartości. </w:t>
      </w:r>
    </w:p>
    <w:p w14:paraId="7186E778" w14:textId="0C8B4783" w:rsidR="00EA606C" w:rsidRDefault="00EA606C" w:rsidP="00EA606C">
      <w:pPr>
        <w:pStyle w:val="USTustnpkodeksu"/>
        <w:ind w:firstLine="0"/>
      </w:pPr>
      <w:r>
        <w:t>Jednocześnie projekt ustawy wprowadza pojęcie „produktu kosmetycznego” jako tożsamego ze stosowanym obecnie pojęciem „kosmetyku”. W związku z tym należy zmienić obowiązujące przepisy, w których stosowano pojęcie „kosmetyku” (art. 49–60 projektu ustawy), przez odpowiednie zastąpienie wyrazu „kosmetyk” wyrazem „produkt kosmetyczny”. Zatem proponuje się wprowadzenie zmian w:</w:t>
      </w:r>
    </w:p>
    <w:p w14:paraId="5F6AD21D" w14:textId="48050616" w:rsidR="00EA606C" w:rsidRDefault="00EA606C" w:rsidP="00EA606C">
      <w:pPr>
        <w:pStyle w:val="PKTpunkt"/>
      </w:pPr>
      <w:r>
        <w:t>1)</w:t>
      </w:r>
      <w:r>
        <w:tab/>
        <w:t xml:space="preserve">ustawie z dnia 14 marca 1985 r. o Państwowej Inspekcji Sanitarnej w art. 4 ust. 1 pkt 4 i 4a, w art. 27 ust. 2, w art. 29 oraz w art. 36 ust. 3. Jednocześnie proponuje </w:t>
      </w:r>
      <w:r w:rsidR="008B0532">
        <w:t xml:space="preserve">się </w:t>
      </w:r>
      <w:r>
        <w:t xml:space="preserve">wprowadzenie dodatkowej zmiany w </w:t>
      </w:r>
      <w:r w:rsidR="008B0532">
        <w:t xml:space="preserve">ww. </w:t>
      </w:r>
      <w:r>
        <w:t>ustawie z dnia przez usuni</w:t>
      </w:r>
      <w:r w:rsidR="008B0532">
        <w:t>ę</w:t>
      </w:r>
      <w:r>
        <w:t>cie pojęcia „przedmioty użytku”. Pojęcie „przedmioty użytku” stosowne było w</w:t>
      </w:r>
      <w:r w:rsidR="00376337">
        <w:t> </w:t>
      </w:r>
      <w:r>
        <w:t xml:space="preserve">przepisach ustanowionych w 1928 r., nie jest używane w obecnie powstających przepisach prawnych i wprowadza niejasności w odniesieniu do kompetencji Państwowej Inspekcji Sanitarnej. Jednocześnie proponuje się dokonanie korekty ww. przepisu pod względem gramatycznym; </w:t>
      </w:r>
    </w:p>
    <w:p w14:paraId="200B958D" w14:textId="77777777" w:rsidR="00EA606C" w:rsidRDefault="00EA606C" w:rsidP="00EA606C">
      <w:pPr>
        <w:pStyle w:val="PKTpunkt"/>
      </w:pPr>
      <w:r>
        <w:t>2)</w:t>
      </w:r>
      <w:r>
        <w:tab/>
        <w:t>ustawie z dnia 9 listopada 1995 r. o ochronie zdrowia przed następstwami używania tytoniu i wyrobów tytoniowych (Dz. U. z 2017 r. poz. 957, z późn. zm.);</w:t>
      </w:r>
    </w:p>
    <w:p w14:paraId="77751517" w14:textId="3FC2C63A" w:rsidR="00EA606C" w:rsidRDefault="00EA606C" w:rsidP="00EA606C">
      <w:pPr>
        <w:pStyle w:val="PKTpunkt"/>
      </w:pPr>
      <w:r>
        <w:t>3)</w:t>
      </w:r>
      <w:r>
        <w:tab/>
        <w:t>ustawie z dnia 4 września 1997 r. o działach administracji rządowej (Dz. U. z</w:t>
      </w:r>
      <w:r w:rsidR="00D37CC2">
        <w:t> </w:t>
      </w:r>
      <w:r>
        <w:t>201</w:t>
      </w:r>
      <w:r w:rsidR="00003E67">
        <w:t>8</w:t>
      </w:r>
      <w:r w:rsidR="00D37CC2">
        <w:t> </w:t>
      </w:r>
      <w:r>
        <w:t xml:space="preserve">r. poz. </w:t>
      </w:r>
      <w:r w:rsidR="008B0532">
        <w:t>762</w:t>
      </w:r>
      <w:r w:rsidR="005018C4">
        <w:t xml:space="preserve"> i 810</w:t>
      </w:r>
      <w:r>
        <w:t>);</w:t>
      </w:r>
    </w:p>
    <w:p w14:paraId="61B70F83" w14:textId="465D601C" w:rsidR="00EA606C" w:rsidRDefault="00EA606C" w:rsidP="00EA606C">
      <w:pPr>
        <w:pStyle w:val="PKTpunkt"/>
      </w:pPr>
      <w:r>
        <w:t>4)</w:t>
      </w:r>
      <w:r>
        <w:tab/>
        <w:t>ustawie z dnia 10 września 1999 r. – Kodeks karny skarbowy (Dz. U. z 2017 r. poz. 2226</w:t>
      </w:r>
      <w:r w:rsidR="00C01228">
        <w:t>, z późn. zm.</w:t>
      </w:r>
      <w:r>
        <w:t>);</w:t>
      </w:r>
    </w:p>
    <w:p w14:paraId="46DAEDAE" w14:textId="6CBA530B" w:rsidR="00EA606C" w:rsidRDefault="00EA606C" w:rsidP="00EA606C">
      <w:pPr>
        <w:pStyle w:val="PKTpunkt"/>
      </w:pPr>
      <w:r>
        <w:t>5)</w:t>
      </w:r>
      <w:r>
        <w:tab/>
        <w:t>ustawie z dnia 29 listopada 2000 r. – Prawo atomowe (Dz. U. z 201</w:t>
      </w:r>
      <w:r w:rsidR="00C01228">
        <w:t>8</w:t>
      </w:r>
      <w:r>
        <w:t xml:space="preserve"> r. poz. </w:t>
      </w:r>
      <w:r w:rsidR="00C01228">
        <w:t>792</w:t>
      </w:r>
      <w:r>
        <w:t>);</w:t>
      </w:r>
    </w:p>
    <w:p w14:paraId="57DD04ED" w14:textId="77777777" w:rsidR="00EA606C" w:rsidRDefault="00EA606C" w:rsidP="00EA606C">
      <w:pPr>
        <w:pStyle w:val="PKTpunkt"/>
      </w:pPr>
      <w:r>
        <w:t>6)</w:t>
      </w:r>
      <w:r>
        <w:tab/>
        <w:t>ustawie z dnia 15 grudnia 2000 r. o Inspekcji Handlowej;</w:t>
      </w:r>
    </w:p>
    <w:p w14:paraId="5512D455" w14:textId="10C8FA92" w:rsidR="00EA606C" w:rsidRDefault="00EA606C" w:rsidP="00EA606C">
      <w:pPr>
        <w:pStyle w:val="PKTpunkt"/>
      </w:pPr>
      <w:r>
        <w:t>7)</w:t>
      </w:r>
      <w:r>
        <w:tab/>
        <w:t>ustawie z dnia 22 czerwca 2001 r. o mikroorganizmach i organizmach genetycznie zmodyfikowanych (Dz. U. z 2017 r. poz. 2134</w:t>
      </w:r>
      <w:r w:rsidR="005018C4">
        <w:t xml:space="preserve"> oraz z 2018 r. poz. 810</w:t>
      </w:r>
      <w:r>
        <w:t>);</w:t>
      </w:r>
    </w:p>
    <w:p w14:paraId="4E68B1B8" w14:textId="77777777" w:rsidR="00EA606C" w:rsidRDefault="00EA606C" w:rsidP="00EA606C">
      <w:pPr>
        <w:pStyle w:val="PKTpunkt"/>
      </w:pPr>
      <w:r>
        <w:t>8)</w:t>
      </w:r>
      <w:r>
        <w:tab/>
        <w:t>ustawie z dnia 6 września 2001 r. – Prawo farmaceutyczne (Dz. U. z 2017 r. poz.</w:t>
      </w:r>
      <w:r w:rsidR="00D37CC2">
        <w:t> </w:t>
      </w:r>
      <w:r>
        <w:t>2211, z późn. zm.);</w:t>
      </w:r>
    </w:p>
    <w:p w14:paraId="2176CED1" w14:textId="77777777" w:rsidR="00EA606C" w:rsidRDefault="00EA606C" w:rsidP="00EA606C">
      <w:pPr>
        <w:pStyle w:val="PKTpunkt"/>
      </w:pPr>
      <w:r>
        <w:t>9)</w:t>
      </w:r>
      <w:r>
        <w:tab/>
        <w:t>ustawie z dnia 19 marca 2004 r. – Prawo celne (Dz. U. z 2018 r. poz. 167);</w:t>
      </w:r>
    </w:p>
    <w:p w14:paraId="65E8DBC6" w14:textId="77777777" w:rsidR="00EA606C" w:rsidRDefault="00EA606C" w:rsidP="00EA606C">
      <w:pPr>
        <w:pStyle w:val="PKTpunkt"/>
      </w:pPr>
      <w:r>
        <w:t>10)</w:t>
      </w:r>
      <w:r>
        <w:tab/>
        <w:t>ustawie z dnia 25 sierpnia 2006 r. o bezpieczeństwie żywności i żywienia (Dz. U. z 2017 r. poz. 149 i 60);</w:t>
      </w:r>
    </w:p>
    <w:p w14:paraId="31442F72" w14:textId="77777777" w:rsidR="00EA606C" w:rsidRDefault="00EA606C" w:rsidP="00EA606C">
      <w:pPr>
        <w:pStyle w:val="PKTpunkt"/>
      </w:pPr>
      <w:r>
        <w:t>11)</w:t>
      </w:r>
      <w:r>
        <w:tab/>
        <w:t>ustawie z dnia 6 grudnia 2008 r. o podatku akcyzowym (Dz. U. z 2017 r. poz. 43, z</w:t>
      </w:r>
      <w:r w:rsidR="00D37CC2">
        <w:t> </w:t>
      </w:r>
      <w:r>
        <w:t>późn. zm.);</w:t>
      </w:r>
    </w:p>
    <w:p w14:paraId="1FDCED33" w14:textId="77777777" w:rsidR="00EA606C" w:rsidRDefault="00EA606C" w:rsidP="00EA606C">
      <w:pPr>
        <w:pStyle w:val="PKTpunkt"/>
      </w:pPr>
      <w:r>
        <w:t>12)</w:t>
      </w:r>
      <w:r>
        <w:tab/>
        <w:t>ustawie z dnia 25 lutego 2011 r. o substancjach chemicznych i ich mieszaninach (Dz. U. z 2018 r. poz. 143).</w:t>
      </w:r>
    </w:p>
    <w:p w14:paraId="79848D9F" w14:textId="77777777" w:rsidR="00EA606C" w:rsidRDefault="00EA606C" w:rsidP="00EA606C">
      <w:pPr>
        <w:pStyle w:val="USTustnpkodeksu"/>
        <w:ind w:firstLine="0"/>
      </w:pPr>
      <w:r>
        <w:t>W zakresie dostosowania dokumentacji produktu kosmetycznego do wymogu udostępniania jej w celu kontroli w języku polskim lub w języku angielskim, z</w:t>
      </w:r>
      <w:r w:rsidR="00D37CC2">
        <w:t> </w:t>
      </w:r>
      <w:r>
        <w:t>zastrzeżeniem konieczności przedstawiania części B raportu bezpieczeństwa w języku polskim, wprowadzono dodatkowy 9-miesięczny termin przejściowy w celu umożliwienia osobom odpowiedzialnym dostosowania się do tych wymagań (art. 61 projektu ustawy). Proponowany termin jest zgodny z propozycją Ministra Rozwoju zgłoszoną w ramach rozpatrzenia projektu na posiedzeniu Stałego Komitetu ds.</w:t>
      </w:r>
      <w:r w:rsidR="00D37CC2">
        <w:t> </w:t>
      </w:r>
      <w:r>
        <w:t xml:space="preserve">Europejskich i wyraża stanowisko przedsiębiorców. </w:t>
      </w:r>
    </w:p>
    <w:p w14:paraId="6D3A13A1" w14:textId="77777777" w:rsidR="00EA606C" w:rsidRDefault="00EA606C" w:rsidP="00EA606C">
      <w:pPr>
        <w:pStyle w:val="USTustnpkodeksu"/>
        <w:ind w:firstLine="0"/>
      </w:pPr>
      <w:r>
        <w:t xml:space="preserve">W projekcie nie wprowadzono dodatkowych przepisów przejściowych regulujących kwestie związane z realizacją przepisów art. 7 ust. 4 oraz art. 8 ustawy z dnia 30 marca 2001 r. o kosmetykach. Postępowania w tym zakresie nie były prowadzone w ciągu ostatnich 10 lat. W chwili obecnej nie znajdują się w obiegu prawnym żadne aktualne decyzje wydane w zakresie wyrażenia zgody na nieujawnianie na opakowaniu kosmetyku nazwy składnika, jak również nie są złożone w tym zakresie wnioski i nie jest prowadzone jakiekolwiek postępowanie. </w:t>
      </w:r>
    </w:p>
    <w:p w14:paraId="681005E4" w14:textId="4310CA6D" w:rsidR="00EA606C" w:rsidRDefault="00EA606C" w:rsidP="00EA606C">
      <w:pPr>
        <w:pStyle w:val="USTustnpkodeksu"/>
        <w:ind w:firstLine="0"/>
      </w:pPr>
      <w:r>
        <w:t>Krajowy System Informowania o Kosmetykach zaprzestał rejestracji kosmetyków od chwili obowiązywania przepisów rozporządzenia nr 1223/2009. Zgodnie z art. 38 rozporządzenia nr 1223/2009 państwa członkowskie Unii Europejskiej lub państw</w:t>
      </w:r>
      <w:r w:rsidR="008B0532">
        <w:t>a</w:t>
      </w:r>
      <w:r>
        <w:t xml:space="preserve"> członkowski</w:t>
      </w:r>
      <w:r w:rsidR="008B0532">
        <w:t>e</w:t>
      </w:r>
      <w:r>
        <w:t xml:space="preserve"> Europejskiego Porozumienia o Wolnym Handlu (EFTA) </w:t>
      </w:r>
      <w:r>
        <w:sym w:font="Symbol" w:char="F02D"/>
      </w:r>
      <w:r>
        <w:t xml:space="preserve"> strony umowy o Europejskim Obszarze Gospodarczym są zobowiązane do utrzymania informacji, zgromadzonych w dotychczasowych systemach krajowych do dnia 11 lipca 2020 r.</w:t>
      </w:r>
    </w:p>
    <w:p w14:paraId="49BEE627" w14:textId="5AB59047" w:rsidR="00EA606C" w:rsidRDefault="00EA606C" w:rsidP="00EA606C">
      <w:pPr>
        <w:pStyle w:val="ARTartustawynprozporzdzenia"/>
        <w:ind w:firstLine="0"/>
      </w:pPr>
      <w:r>
        <w:t>Główny Inspektor Sanitarny we współpracy z Prezesem Urzędu Ochrony Konkurencji i</w:t>
      </w:r>
      <w:r w:rsidR="00D37CC2">
        <w:t> </w:t>
      </w:r>
      <w:r>
        <w:t xml:space="preserve">Konsumentów, w celu realizacji art. 22 rozporządzenia nr 1223/2009, przygotowuje pierwszy raport obejmujący wyniki okresowych przeglądów i ocen działań nadzorczych, o którym mowa w art. 20 projektu ustawy, i przekaże </w:t>
      </w:r>
      <w:r w:rsidR="008B0532">
        <w:t xml:space="preserve">go </w:t>
      </w:r>
      <w:r>
        <w:t xml:space="preserve">Komisji Europejskiej oraz państwom członkowskim Unii Europejskiej lub państwom członkowskim Europejskiego Porozumienia o Wolnym Handlu (EFTA) </w:t>
      </w:r>
      <w:r>
        <w:sym w:font="Symbol" w:char="F02D"/>
      </w:r>
      <w:r>
        <w:t xml:space="preserve"> stronom umowy o Europejskim Obszarze Gospodarczym w terminie dwóch lat od dnia wejścia w życie ustawy (art. 62 projektu ustawy). Zgodnie z art. 22 rozporządzenia nr</w:t>
      </w:r>
      <w:r w:rsidR="00D37CC2">
        <w:t> </w:t>
      </w:r>
      <w:r>
        <w:t>1223/2009 „</w:t>
      </w:r>
      <w:r>
        <w:rPr>
          <w:rFonts w:eastAsia="Calibri"/>
        </w:rPr>
        <w:t>Państwa członkowskie dokonują okresowych przeglądów i ocen przebiegu swych działań nadzorczych. Takie przeglądy i oceny przeprowadzane są co najmniej raz na cztery lata (…)</w:t>
      </w:r>
      <w:r>
        <w:t>”</w:t>
      </w:r>
      <w:r>
        <w:rPr>
          <w:rFonts w:eastAsia="Calibri"/>
        </w:rPr>
        <w:t xml:space="preserve">. </w:t>
      </w:r>
      <w:r>
        <w:t>Proponowany termin pozwoli również na ocenę funkcjonowania nadzoru nad produktami kosmetycznym</w:t>
      </w:r>
      <w:r w:rsidR="008B0981">
        <w:t>i</w:t>
      </w:r>
      <w:r>
        <w:t xml:space="preserve"> po wejściu w życie przepisów projektowanej ustawy. W szczególności uwzględnić należy fakt, że projekt ustawy przewiduje dodatkowe 9-miesięczne terminy przejściowe na ewentualne przetłumaczenie określonej części dokumentacji produktu na język polski oraz rejestrację zakładów wytwarzających produkty kosmetyczne. </w:t>
      </w:r>
    </w:p>
    <w:p w14:paraId="3B903658" w14:textId="77777777" w:rsidR="00EA606C" w:rsidRDefault="00EA606C" w:rsidP="00EA606C">
      <w:pPr>
        <w:pStyle w:val="USTustnpkodeksu"/>
        <w:ind w:firstLine="0"/>
      </w:pPr>
      <w:r>
        <w:t>W projekcie przewidziano 9-miesięczny okres przejściowy na dostosowanie się do obowiązków w zakresie rejestracji zakładów wytwarzających produkty kosmetyczne (art. 63 projektu ustawy). Dotychczasowe przepisy regulujące obszar produktów kosmetycznych nie przewidywały konieczności rejestracji zakładów wytwórczych. Przewiduje się, że proponowanym terminie wytwórcy pozyskają wiedzę o nowych przepisach i zrealizują nałożony na nich obowiązek. Informacje o zmianie przepisów zostaną umieszczone na stronie Głównego Inspektoratu Sanitarnego. Jednocześnie 9</w:t>
      </w:r>
      <w:r w:rsidR="00D37CC2">
        <w:noBreakHyphen/>
      </w:r>
      <w:r>
        <w:t xml:space="preserve">miesięczny termin przejściowy pozwoli również organom Państwowej Inspekcji Sanitarnej na sprawniejszy proces rejestracji zakładów. </w:t>
      </w:r>
    </w:p>
    <w:p w14:paraId="26818F15" w14:textId="763293FB" w:rsidR="00EA606C" w:rsidRDefault="00EA606C" w:rsidP="00EA606C">
      <w:pPr>
        <w:pStyle w:val="USTustnpkodeksu"/>
        <w:ind w:firstLine="0"/>
      </w:pPr>
      <w:r>
        <w:t>Z dniem wejścia w życie ustawy krajowy system informowania o kosmetykach wprowadzonych do obrotu, prowadzony na podstawie przepisów dotychczasowych, stanie się System</w:t>
      </w:r>
      <w:r w:rsidR="008B0532">
        <w:t xml:space="preserve">em </w:t>
      </w:r>
      <w:r>
        <w:t>Informowania o Ciężkich Działaniach Niepożądanych Spowodowanych Stosowaniem Produktów Kosmetycznych, o którym mowa w art. 8 ust. 1 projektu ustawy (art. 64 projektu ustawy).</w:t>
      </w:r>
    </w:p>
    <w:p w14:paraId="535AEC8C" w14:textId="363C39AF" w:rsidR="00EA606C" w:rsidRDefault="00EA606C" w:rsidP="00EA606C">
      <w:pPr>
        <w:pStyle w:val="USTustnpkodeksu"/>
        <w:ind w:firstLine="0"/>
      </w:pPr>
      <w:r>
        <w:t>Dotychczasowe przepisy wykonawcze wydane na podstawie art. 13 ust. 3 ustawy z dnia 30 marca 2001 r. o kosmetykach zachowują moc do dnia wejścia w życie przepisów wykonawczych wydanych na podstawie art. 25 ust. 3 projektowanej ustawy, jednak nie dłużej niż przez 12 miesięcy od dnia wejścia w życie projektowanej ustawy. Konieczność utrzymania w mocy dotychczasowych przepisów w</w:t>
      </w:r>
      <w:r w:rsidR="00D37CC2">
        <w:t> </w:t>
      </w:r>
      <w:r>
        <w:t>powyższym zakresie wynika z faktu, iż rozporządzenie nr 1223/2009 nie uchyliło dyrektyw dotyczących metod analizy składu produktów kosmetycznych, które są wdrożone obecnie do prawa polskiego rozporządzeniem Ministra Zdrowia z dnia 23</w:t>
      </w:r>
      <w:r w:rsidR="00D37CC2">
        <w:t> </w:t>
      </w:r>
      <w:r>
        <w:t>grudnia 2002 r. w sprawie określenia procedur pobierania próbek kosmetyków oraz procedur przeprowadzania badań laboratoryjnych. Jednocześnie nie zaistnieje niezgodność utrzymywanego w</w:t>
      </w:r>
      <w:r w:rsidR="00376337">
        <w:t> </w:t>
      </w:r>
      <w:r>
        <w:t>mocy rozporządzenia z projektowan</w:t>
      </w:r>
      <w:r w:rsidR="00401C6C">
        <w:t>ą</w:t>
      </w:r>
      <w:r>
        <w:t xml:space="preserve"> ustawą. Utrzymywane w mocy rozporządzenie odnosi się do metod dotyczących analiz chemicznych produktów kosmetycznych. Wdraża ono szereg tzw. d</w:t>
      </w:r>
      <w:r w:rsidR="00401C6C">
        <w:t>yre</w:t>
      </w:r>
      <w:r>
        <w:t>ktyw analitycznych, z których ostatnia ukazała się w 1996 r. Obecnie Komisja Europejska nie pracuje nad projektem żadnej dyrektywy z tego zakresu, zgodnie z rozporządzeniem nr 1223/2009 wdrażane będzie w tym zakresie podejście opierające się na normach zharmonizowanych (art. 65 projektu ustawy).</w:t>
      </w:r>
    </w:p>
    <w:p w14:paraId="6231A17B" w14:textId="77777777" w:rsidR="00EA606C" w:rsidRDefault="00EA606C" w:rsidP="00EA606C">
      <w:pPr>
        <w:pStyle w:val="USTustnpkodeksu"/>
        <w:ind w:firstLine="0"/>
      </w:pPr>
      <w:r>
        <w:t>W wyniku wejścia w życie projektowanej ustawy utraci moc ustawa z dnia 30 marca 2001 r. o kosmetykach (art. 66 projektu ustawy).</w:t>
      </w:r>
    </w:p>
    <w:p w14:paraId="250CD7BB" w14:textId="77777777" w:rsidR="00EA606C" w:rsidRDefault="00EA606C" w:rsidP="00EA606C">
      <w:pPr>
        <w:pStyle w:val="USTustnpkodeksu"/>
        <w:ind w:firstLine="0"/>
      </w:pPr>
      <w:r>
        <w:t xml:space="preserve">Proponuje się, aby przepisy projektowanej ustawy weszły w życie z dniem 1 czerwca 2018 r. (art. 67 projektu ustawy). </w:t>
      </w:r>
    </w:p>
    <w:p w14:paraId="78BCF7EC" w14:textId="3F7DB5AE" w:rsidR="00EA606C" w:rsidRDefault="00EA606C" w:rsidP="00EA606C">
      <w:pPr>
        <w:pStyle w:val="USTustnpkodeksu"/>
        <w:ind w:firstLine="0"/>
      </w:pPr>
      <w:r>
        <w:t xml:space="preserve">W związku z projektowaną ustawą </w:t>
      </w:r>
      <w:r w:rsidR="00401C6C">
        <w:t xml:space="preserve">będzie </w:t>
      </w:r>
      <w:r>
        <w:t>niezbędne wydanie przez ministra właściwego do spraw zdrowia następujących aktów wykonawczych:</w:t>
      </w:r>
    </w:p>
    <w:p w14:paraId="04801485" w14:textId="54AFBC83" w:rsidR="00EA606C" w:rsidRDefault="00EA606C" w:rsidP="00EA606C">
      <w:pPr>
        <w:pStyle w:val="PKTpunkt"/>
      </w:pPr>
      <w:r>
        <w:t>1)</w:t>
      </w:r>
      <w:r>
        <w:tab/>
        <w:t>rozporządzenia w sprawie wzorów: wniosku o wpis zakładu do wykazu zakładów, wniosku o dokonanie zmian w wykazie zakładów, wniosku o wykreślenie z</w:t>
      </w:r>
      <w:r w:rsidR="00D37CC2">
        <w:t> </w:t>
      </w:r>
      <w:r>
        <w:t>wykazu zakładów oraz zaświadczenia o wpisie do wykazu zakładów (art.</w:t>
      </w:r>
      <w:r w:rsidR="00D37CC2">
        <w:t> </w:t>
      </w:r>
      <w:r>
        <w:t>7 ust. 2 projektu ustawy);</w:t>
      </w:r>
    </w:p>
    <w:p w14:paraId="409FE87D" w14:textId="77777777" w:rsidR="00EA606C" w:rsidRDefault="00EA606C" w:rsidP="00EA606C">
      <w:pPr>
        <w:pStyle w:val="PKTpunkt"/>
      </w:pPr>
      <w:r>
        <w:t>2)</w:t>
      </w:r>
      <w:r>
        <w:tab/>
        <w:t>rozporządzenia w sprawie ośrodka administrującego Systemem Informowania o</w:t>
      </w:r>
      <w:r w:rsidR="00D37CC2">
        <w:t> </w:t>
      </w:r>
      <w:r>
        <w:t>Ciężkich Działaniach Niepożądanych Spowodowanych Stosowaniem Produktów Kosmetycznych (art. 13 projektu ustawy);</w:t>
      </w:r>
    </w:p>
    <w:p w14:paraId="51A6E9C3" w14:textId="77777777" w:rsidR="00EA606C" w:rsidRDefault="00EA606C" w:rsidP="00EA606C">
      <w:pPr>
        <w:pStyle w:val="PKTpunkt"/>
      </w:pPr>
      <w:r>
        <w:t>3)</w:t>
      </w:r>
      <w:r>
        <w:tab/>
        <w:t>rozporządzenia w sprawie ośrodka uprawnionego do dostępu do informacji określonych w art. 13 ust. 1–3 rozporządzenia nr 1223/2009 (art. 18 ust. 4 projektu ustawy);</w:t>
      </w:r>
    </w:p>
    <w:p w14:paraId="0B62BC54" w14:textId="77777777" w:rsidR="00EA606C" w:rsidRDefault="00EA606C" w:rsidP="00EA606C">
      <w:pPr>
        <w:pStyle w:val="PKTpunkt"/>
      </w:pPr>
      <w:r>
        <w:t>4)</w:t>
      </w:r>
      <w:r>
        <w:tab/>
        <w:t>rozporządzenia w sprawie metod oznaczeń niezbędnych do kontroli bezpieczeństwa produktów kosmetycznych (art. 25 ust. 3 projektu ustawy).</w:t>
      </w:r>
    </w:p>
    <w:p w14:paraId="65DF97DD" w14:textId="77777777" w:rsidR="00EA606C" w:rsidRDefault="00EA606C" w:rsidP="00EA606C">
      <w:pPr>
        <w:pStyle w:val="USTustnpkodeksu"/>
        <w:ind w:firstLine="0"/>
      </w:pPr>
      <w:r>
        <w:t>Nie ma możliwości podjęcia alternatywnych w stosunku do projektowanej ustawy środków umożliwiających osiągnięcie zamierzonego celu.</w:t>
      </w:r>
    </w:p>
    <w:p w14:paraId="4DD1DFB6" w14:textId="77777777" w:rsidR="00EA606C" w:rsidRDefault="00EA606C" w:rsidP="00EA606C">
      <w:pPr>
        <w:pStyle w:val="USTustnpkodeksu"/>
        <w:ind w:firstLine="0"/>
      </w:pPr>
      <w:r>
        <w:t>Przewiduje się, że wejście w życie projektowanej ustawy spowoduje ograniczenie obciążeń administracyjnych, ułatwi przedsiębiorcom prowadzenie działalności gospodarczej i skróci czas prowadzenia czynności administracyjnych związanych z</w:t>
      </w:r>
      <w:r w:rsidR="00D37CC2">
        <w:t> </w:t>
      </w:r>
      <w:r>
        <w:t xml:space="preserve">działalnością w zakresie produktów kosmetycznych przez określenie klarownych obowiązków przedsiębiorcy wobec organów nadzoru. Nie oczekuje się, aby przyjęcie przedmiotowych przepisów miało wpływ na działalność mikroprzedsiębiorstw oraz małych i średnich przedsiębiorstw. Projekt nie wprowadza dodatkowych wymagań wobec produktów kosmetycznych niż określone w rozporządzeniu nr 1223/2009. </w:t>
      </w:r>
    </w:p>
    <w:p w14:paraId="07802E93" w14:textId="470CA2FB" w:rsidR="00EA606C" w:rsidRDefault="00EA606C" w:rsidP="00EA606C">
      <w:pPr>
        <w:pStyle w:val="USTustnpkodeksu"/>
        <w:ind w:firstLine="0"/>
      </w:pPr>
      <w:r>
        <w:t>Projekt zawiera przepisy techniczne w rozumieniu rozporządzenia Rady Ministrów z</w:t>
      </w:r>
      <w:r w:rsidR="00D37CC2">
        <w:t> </w:t>
      </w:r>
      <w:r>
        <w:t>dnia 23 grudnia 2002 r. w sprawie sposobu funkcjonowania krajowego systemu notyfikacji norm i aktów prawnych (Dz. U. poz. 2039 oraz z 2004 r. poz. 597), w</w:t>
      </w:r>
      <w:r w:rsidR="00D37CC2">
        <w:t> </w:t>
      </w:r>
      <w:r>
        <w:t>związku z czym będzie podlegał notyfikacji w zakresie art. 3 projektu ustawy. Zgodnie z tym przepisem dokumentację produktu, o której mowa w art. 11 ust. 2 rozporządzenia nr 1223/2009, udostępnianą zgodnie z art. 11 ust. 3</w:t>
      </w:r>
      <w:r w:rsidR="00401C6C">
        <w:t xml:space="preserve"> tego</w:t>
      </w:r>
      <w:r>
        <w:t xml:space="preserve"> rozporządzenia, sporządza się w języku polskim lub języku angielskim. Ponadto część B raportu bezpieczeństwa produktu, o którym mowa w art. 10 ust. 1 rozporządzenia nr</w:t>
      </w:r>
      <w:r w:rsidR="00D37CC2">
        <w:t> </w:t>
      </w:r>
      <w:r>
        <w:t xml:space="preserve">1223/2009, udostępnianą zgodnie z art. 11 ust. 3 </w:t>
      </w:r>
      <w:r w:rsidR="00401C6C">
        <w:t xml:space="preserve">tego </w:t>
      </w:r>
      <w:r>
        <w:t>rozporządzenia, sporządza się w języku polskim.</w:t>
      </w:r>
    </w:p>
    <w:p w14:paraId="5B876EA1" w14:textId="77777777" w:rsidR="00EA606C" w:rsidRDefault="00EA606C" w:rsidP="00EA606C">
      <w:pPr>
        <w:pStyle w:val="USTustnpkodeksu"/>
        <w:ind w:firstLine="0"/>
      </w:pPr>
      <w:r>
        <w:t xml:space="preserve">Poza ww. obowiązkiem notyfikacji, projekt nie wymaga przedstawienia właściwym instytucjom i organom Unii Europejskiej, w tym Europejskiemu Bankowi Centralnemu, w celu uzyskania opinii, dokonania powiadomienia, konsultacji albo uzgodnienia. </w:t>
      </w:r>
    </w:p>
    <w:p w14:paraId="5531416B" w14:textId="76C013FB" w:rsidR="008B0981" w:rsidRDefault="00EA606C" w:rsidP="00EA606C">
      <w:pPr>
        <w:pStyle w:val="USTustnpkodeksu"/>
        <w:ind w:firstLine="0"/>
      </w:pPr>
      <w:r>
        <w:t>Projekt ustawy jest zgodny z prawem Unii Europejskiej, zgodnie z pismem Ministra Spraw Zagranicznych z dnia 2 stycznia 2018 r</w:t>
      </w:r>
      <w:r w:rsidR="008B0981">
        <w:t>. znak DPUE.920.263.2017/bc/11.</w:t>
      </w:r>
    </w:p>
    <w:sectPr w:rsidR="008B0981" w:rsidSect="00EA606C">
      <w:headerReference w:type="default" r:id="rId6"/>
      <w:footerReference w:type="default" r:id="rId7"/>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80024" w14:textId="77777777" w:rsidR="003E4E6A" w:rsidRDefault="003E4E6A" w:rsidP="00EA606C">
      <w:pPr>
        <w:spacing w:line="240" w:lineRule="auto"/>
      </w:pPr>
      <w:r>
        <w:separator/>
      </w:r>
    </w:p>
  </w:endnote>
  <w:endnote w:type="continuationSeparator" w:id="0">
    <w:p w14:paraId="72A833F5" w14:textId="77777777" w:rsidR="003E4E6A" w:rsidRDefault="003E4E6A" w:rsidP="00EA606C">
      <w:pPr>
        <w:spacing w:line="240" w:lineRule="auto"/>
      </w:pPr>
      <w:r>
        <w:continuationSeparator/>
      </w:r>
    </w:p>
  </w:endnote>
  <w:endnote w:type="continuationNotice" w:id="1">
    <w:p w14:paraId="095E8B04" w14:textId="77777777" w:rsidR="003E4E6A" w:rsidRDefault="003E4E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133792"/>
      <w:docPartObj>
        <w:docPartGallery w:val="Page Numbers (Bottom of Page)"/>
        <w:docPartUnique/>
      </w:docPartObj>
    </w:sdtPr>
    <w:sdtEndPr/>
    <w:sdtContent>
      <w:p w14:paraId="7D248BDA" w14:textId="64CD7B69" w:rsidR="00EA606C" w:rsidRDefault="00EA606C">
        <w:pPr>
          <w:pStyle w:val="Stopka"/>
          <w:jc w:val="center"/>
        </w:pPr>
        <w:r>
          <w:fldChar w:fldCharType="begin"/>
        </w:r>
        <w:r>
          <w:instrText>PAGE   \* MERGEFORMAT</w:instrText>
        </w:r>
        <w:r>
          <w:fldChar w:fldCharType="separate"/>
        </w:r>
        <w:r w:rsidR="00B86EE6">
          <w:rPr>
            <w:noProof/>
          </w:rPr>
          <w:t>2</w:t>
        </w:r>
        <w:r>
          <w:fldChar w:fldCharType="end"/>
        </w:r>
      </w:p>
    </w:sdtContent>
  </w:sdt>
  <w:p w14:paraId="7E161D5B" w14:textId="77777777" w:rsidR="00EA606C" w:rsidRDefault="00EA606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D576F" w14:textId="77777777" w:rsidR="003E4E6A" w:rsidRDefault="003E4E6A" w:rsidP="00EA606C">
      <w:pPr>
        <w:spacing w:line="240" w:lineRule="auto"/>
      </w:pPr>
      <w:r>
        <w:separator/>
      </w:r>
    </w:p>
  </w:footnote>
  <w:footnote w:type="continuationSeparator" w:id="0">
    <w:p w14:paraId="536CDCB8" w14:textId="77777777" w:rsidR="003E4E6A" w:rsidRDefault="003E4E6A" w:rsidP="00EA606C">
      <w:pPr>
        <w:spacing w:line="240" w:lineRule="auto"/>
      </w:pPr>
      <w:r>
        <w:continuationSeparator/>
      </w:r>
    </w:p>
  </w:footnote>
  <w:footnote w:type="continuationNotice" w:id="1">
    <w:p w14:paraId="0DD63F23" w14:textId="77777777" w:rsidR="003E4E6A" w:rsidRDefault="003E4E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4E2E" w14:textId="77777777" w:rsidR="003E4E6A" w:rsidRDefault="003E4E6A">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6C"/>
    <w:rsid w:val="00003E67"/>
    <w:rsid w:val="00045BE5"/>
    <w:rsid w:val="00243906"/>
    <w:rsid w:val="002F4103"/>
    <w:rsid w:val="00332D2A"/>
    <w:rsid w:val="00376337"/>
    <w:rsid w:val="0039296C"/>
    <w:rsid w:val="00393AD4"/>
    <w:rsid w:val="003D6A49"/>
    <w:rsid w:val="003E4E6A"/>
    <w:rsid w:val="00401C6C"/>
    <w:rsid w:val="005018C4"/>
    <w:rsid w:val="005950AF"/>
    <w:rsid w:val="008B0532"/>
    <w:rsid w:val="008B0981"/>
    <w:rsid w:val="00982AC4"/>
    <w:rsid w:val="009F7831"/>
    <w:rsid w:val="00A01EC5"/>
    <w:rsid w:val="00B86EE6"/>
    <w:rsid w:val="00BB29D7"/>
    <w:rsid w:val="00C01228"/>
    <w:rsid w:val="00C31F1E"/>
    <w:rsid w:val="00D37CC2"/>
    <w:rsid w:val="00D97EBF"/>
    <w:rsid w:val="00EA60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85FF7-E6F9-430F-9583-27D97273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606C"/>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EA606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OZNRODZAKTUtznustawalubrozporzdzenieiorganwydajcy">
    <w:name w:val="OZN_RODZ_AKTU – tzn. ustawa lub rozporządzenie i organ wydający"/>
    <w:next w:val="Normalny"/>
    <w:uiPriority w:val="5"/>
    <w:qFormat/>
    <w:rsid w:val="00EA606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EA606C"/>
    <w:pPr>
      <w:spacing w:before="0"/>
    </w:pPr>
    <w:rPr>
      <w:bCs/>
    </w:rPr>
  </w:style>
  <w:style w:type="paragraph" w:customStyle="1" w:styleId="PKTpunkt">
    <w:name w:val="PKT – punkt"/>
    <w:uiPriority w:val="13"/>
    <w:qFormat/>
    <w:rsid w:val="00EA606C"/>
    <w:pPr>
      <w:spacing w:after="0" w:line="360" w:lineRule="auto"/>
      <w:ind w:left="510" w:hanging="510"/>
      <w:jc w:val="both"/>
    </w:pPr>
    <w:rPr>
      <w:rFonts w:ascii="Times" w:eastAsia="Times New Roman" w:hAnsi="Times" w:cs="Arial"/>
      <w:bCs/>
      <w:sz w:val="24"/>
      <w:szCs w:val="20"/>
      <w:lang w:eastAsia="pl-PL"/>
    </w:rPr>
  </w:style>
  <w:style w:type="paragraph" w:styleId="Nagwek">
    <w:name w:val="header"/>
    <w:basedOn w:val="Normalny"/>
    <w:link w:val="NagwekZnak"/>
    <w:uiPriority w:val="99"/>
    <w:unhideWhenUsed/>
    <w:rsid w:val="00EA606C"/>
    <w:pPr>
      <w:tabs>
        <w:tab w:val="center" w:pos="4536"/>
        <w:tab w:val="right" w:pos="9072"/>
      </w:tabs>
      <w:spacing w:line="240" w:lineRule="auto"/>
    </w:pPr>
  </w:style>
  <w:style w:type="character" w:customStyle="1" w:styleId="NagwekZnak">
    <w:name w:val="Nagłówek Znak"/>
    <w:basedOn w:val="Domylnaczcionkaakapitu"/>
    <w:link w:val="Nagwek"/>
    <w:uiPriority w:val="99"/>
    <w:rsid w:val="00EA606C"/>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EA606C"/>
    <w:pPr>
      <w:tabs>
        <w:tab w:val="center" w:pos="4536"/>
        <w:tab w:val="right" w:pos="9072"/>
      </w:tabs>
      <w:spacing w:line="240" w:lineRule="auto"/>
    </w:pPr>
  </w:style>
  <w:style w:type="character" w:customStyle="1" w:styleId="StopkaZnak">
    <w:name w:val="Stopka Znak"/>
    <w:basedOn w:val="Domylnaczcionkaakapitu"/>
    <w:link w:val="Stopka"/>
    <w:uiPriority w:val="99"/>
    <w:rsid w:val="00EA606C"/>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EA606C"/>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A606C"/>
    <w:rPr>
      <w:rFonts w:ascii="Tahoma" w:eastAsia="Times New Roman" w:hAnsi="Tahoma" w:cs="Tahoma"/>
      <w:sz w:val="16"/>
      <w:szCs w:val="16"/>
      <w:lang w:eastAsia="pl-PL"/>
    </w:rPr>
  </w:style>
  <w:style w:type="paragraph" w:styleId="Poprawka">
    <w:name w:val="Revision"/>
    <w:hidden/>
    <w:uiPriority w:val="99"/>
    <w:semiHidden/>
    <w:rsid w:val="003E4E6A"/>
    <w:pPr>
      <w:spacing w:after="0" w:line="240" w:lineRule="auto"/>
    </w:pPr>
    <w:rPr>
      <w:rFonts w:ascii="Times New Roman" w:eastAsia="Times New Roman" w:hAnsi="Times New Roman" w:cs="Arial"/>
      <w:sz w:val="24"/>
      <w:szCs w:val="20"/>
      <w:lang w:eastAsia="pl-PL"/>
    </w:rPr>
  </w:style>
  <w:style w:type="character" w:styleId="Odwoaniedokomentarza">
    <w:name w:val="annotation reference"/>
    <w:basedOn w:val="Domylnaczcionkaakapitu"/>
    <w:uiPriority w:val="99"/>
    <w:semiHidden/>
    <w:unhideWhenUsed/>
    <w:rsid w:val="008B0981"/>
    <w:rPr>
      <w:sz w:val="16"/>
      <w:szCs w:val="16"/>
    </w:rPr>
  </w:style>
  <w:style w:type="paragraph" w:styleId="Tekstkomentarza">
    <w:name w:val="annotation text"/>
    <w:basedOn w:val="Normalny"/>
    <w:link w:val="TekstkomentarzaZnak"/>
    <w:uiPriority w:val="99"/>
    <w:semiHidden/>
    <w:unhideWhenUsed/>
    <w:rsid w:val="008B0981"/>
    <w:pPr>
      <w:spacing w:line="240" w:lineRule="auto"/>
    </w:pPr>
    <w:rPr>
      <w:sz w:val="20"/>
    </w:rPr>
  </w:style>
  <w:style w:type="character" w:customStyle="1" w:styleId="TekstkomentarzaZnak">
    <w:name w:val="Tekst komentarza Znak"/>
    <w:basedOn w:val="Domylnaczcionkaakapitu"/>
    <w:link w:val="Tekstkomentarza"/>
    <w:uiPriority w:val="99"/>
    <w:semiHidden/>
    <w:rsid w:val="008B0981"/>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8B0981"/>
    <w:rPr>
      <w:b/>
      <w:bCs/>
    </w:rPr>
  </w:style>
  <w:style w:type="character" w:customStyle="1" w:styleId="TematkomentarzaZnak">
    <w:name w:val="Temat komentarza Znak"/>
    <w:basedOn w:val="TekstkomentarzaZnak"/>
    <w:link w:val="Tematkomentarza"/>
    <w:uiPriority w:val="99"/>
    <w:semiHidden/>
    <w:rsid w:val="008B0981"/>
    <w:rPr>
      <w:rFonts w:ascii="Times New Roman" w:eastAsia="Times New Roman"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63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5981</Words>
  <Characters>35887</Characters>
  <Application>Microsoft Office Word</Application>
  <DocSecurity>0</DocSecurity>
  <Lines>299</Lines>
  <Paragraphs>83</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41785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Zesławska Barbara</dc:creator>
  <cp:lastModifiedBy>Grażyna D. Grabowska</cp:lastModifiedBy>
  <cp:revision>2</cp:revision>
  <dcterms:created xsi:type="dcterms:W3CDTF">2018-05-22T12:56:00Z</dcterms:created>
  <dcterms:modified xsi:type="dcterms:W3CDTF">2018-05-22T12:56:00Z</dcterms:modified>
</cp:coreProperties>
</file>