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72" w:rsidRPr="00FE19C5" w:rsidRDefault="00084E72" w:rsidP="00FB5180">
      <w:pPr>
        <w:pStyle w:val="tekst"/>
        <w:spacing w:after="0" w:line="36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E19C5">
        <w:rPr>
          <w:rFonts w:ascii="Arial" w:hAnsi="Arial" w:cs="Arial"/>
          <w:szCs w:val="24"/>
        </w:rPr>
        <w:t>PROJEKT</w:t>
      </w: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  <w:r w:rsidRPr="00FE19C5">
        <w:rPr>
          <w:rFonts w:ascii="Arial" w:hAnsi="Arial" w:cs="Arial"/>
          <w:b w:val="0"/>
          <w:bCs/>
          <w:szCs w:val="24"/>
        </w:rPr>
        <w:t>USTAWA</w:t>
      </w: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  <w:r w:rsidRPr="00FE19C5">
        <w:rPr>
          <w:rFonts w:ascii="Arial" w:hAnsi="Arial" w:cs="Arial"/>
          <w:b w:val="0"/>
          <w:bCs/>
          <w:szCs w:val="24"/>
        </w:rPr>
        <w:t>z dnia                         201</w:t>
      </w:r>
      <w:r w:rsidR="001F6926">
        <w:rPr>
          <w:rFonts w:ascii="Arial" w:hAnsi="Arial" w:cs="Arial"/>
          <w:b w:val="0"/>
          <w:bCs/>
          <w:szCs w:val="24"/>
        </w:rPr>
        <w:t>8</w:t>
      </w:r>
      <w:r w:rsidRPr="00FE19C5">
        <w:rPr>
          <w:rFonts w:ascii="Arial" w:hAnsi="Arial" w:cs="Arial"/>
          <w:b w:val="0"/>
          <w:bCs/>
          <w:szCs w:val="24"/>
        </w:rPr>
        <w:t xml:space="preserve"> r.</w:t>
      </w:r>
    </w:p>
    <w:p w:rsidR="00084E72" w:rsidRPr="00BC331B" w:rsidRDefault="00084E72" w:rsidP="00FB5180">
      <w:pPr>
        <w:pStyle w:val="Default"/>
        <w:spacing w:line="360" w:lineRule="auto"/>
        <w:jc w:val="center"/>
        <w:rPr>
          <w:rFonts w:ascii="Arial" w:hAnsi="Arial" w:cs="Arial"/>
          <w:color w:val="auto"/>
          <w:lang w:val="pl-PL"/>
        </w:rPr>
      </w:pPr>
      <w:r w:rsidRPr="00BC331B">
        <w:rPr>
          <w:rFonts w:ascii="Arial" w:hAnsi="Arial" w:cs="Arial"/>
          <w:color w:val="auto"/>
          <w:lang w:val="pl-PL"/>
        </w:rPr>
        <w:t xml:space="preserve">o zmianie ustawy </w:t>
      </w:r>
      <w:r w:rsidR="00E40099">
        <w:rPr>
          <w:rFonts w:ascii="Arial" w:hAnsi="Arial" w:cs="Arial"/>
          <w:color w:val="auto"/>
          <w:lang w:val="pl-PL"/>
        </w:rPr>
        <w:t>o kosztach sądowych w sprawach cywilnych</w:t>
      </w:r>
    </w:p>
    <w:p w:rsidR="00084E72" w:rsidRPr="00FE19C5" w:rsidRDefault="00084E72" w:rsidP="00FB5180">
      <w:pPr>
        <w:spacing w:line="360" w:lineRule="auto"/>
        <w:rPr>
          <w:sz w:val="24"/>
          <w:szCs w:val="24"/>
        </w:rPr>
      </w:pPr>
    </w:p>
    <w:p w:rsidR="00084E72" w:rsidRPr="00FE19C5" w:rsidRDefault="00084E72" w:rsidP="00CA2184">
      <w:pPr>
        <w:spacing w:line="360" w:lineRule="auto"/>
        <w:rPr>
          <w:sz w:val="24"/>
          <w:szCs w:val="24"/>
        </w:rPr>
      </w:pPr>
    </w:p>
    <w:p w:rsidR="00C43853" w:rsidRPr="00E40099" w:rsidRDefault="00084E72" w:rsidP="00E40099">
      <w:pPr>
        <w:pStyle w:val="tyt"/>
        <w:spacing w:before="0" w:after="200" w:line="360" w:lineRule="auto"/>
        <w:jc w:val="both"/>
        <w:rPr>
          <w:rFonts w:ascii="Arial" w:hAnsi="Arial" w:cs="Arial"/>
          <w:b w:val="0"/>
          <w:szCs w:val="24"/>
        </w:rPr>
      </w:pPr>
      <w:r w:rsidRPr="00FE19C5">
        <w:rPr>
          <w:rFonts w:ascii="Arial" w:hAnsi="Arial" w:cs="Arial"/>
          <w:szCs w:val="24"/>
        </w:rPr>
        <w:t>Art. 1.</w:t>
      </w:r>
      <w:r w:rsidR="00E40099">
        <w:rPr>
          <w:rFonts w:ascii="Arial" w:hAnsi="Arial" w:cs="Arial"/>
          <w:szCs w:val="24"/>
        </w:rPr>
        <w:t xml:space="preserve"> </w:t>
      </w:r>
      <w:r w:rsidRPr="00E40099">
        <w:rPr>
          <w:rFonts w:ascii="Arial" w:hAnsi="Arial" w:cs="Arial"/>
          <w:b w:val="0"/>
          <w:szCs w:val="24"/>
        </w:rPr>
        <w:t xml:space="preserve">W ustawie z dnia </w:t>
      </w:r>
      <w:r w:rsidR="00E40099" w:rsidRPr="00E40099">
        <w:rPr>
          <w:rFonts w:ascii="Arial" w:hAnsi="Arial" w:cs="Arial"/>
          <w:b w:val="0"/>
          <w:szCs w:val="24"/>
        </w:rPr>
        <w:t>28 lipca 2005 r.</w:t>
      </w:r>
      <w:r w:rsidRPr="00E40099">
        <w:rPr>
          <w:rFonts w:ascii="Arial" w:hAnsi="Arial" w:cs="Arial"/>
          <w:b w:val="0"/>
          <w:szCs w:val="24"/>
        </w:rPr>
        <w:t xml:space="preserve"> </w:t>
      </w:r>
      <w:r w:rsidR="00E40099" w:rsidRPr="00E40099">
        <w:rPr>
          <w:rFonts w:ascii="Arial" w:hAnsi="Arial" w:cs="Arial"/>
          <w:b w:val="0"/>
          <w:szCs w:val="24"/>
        </w:rPr>
        <w:t xml:space="preserve">o </w:t>
      </w:r>
      <w:r w:rsidR="00E40099" w:rsidRPr="00E40099">
        <w:rPr>
          <w:rFonts w:ascii="Arial" w:hAnsi="Arial" w:cs="Arial"/>
          <w:b w:val="0"/>
        </w:rPr>
        <w:t>kosztach sądowych w sprawach cywilnych</w:t>
      </w:r>
      <w:r w:rsidR="00E40099" w:rsidRPr="00E40099">
        <w:rPr>
          <w:rFonts w:ascii="Arial" w:hAnsi="Arial" w:cs="Arial"/>
          <w:b w:val="0"/>
          <w:szCs w:val="24"/>
        </w:rPr>
        <w:t xml:space="preserve"> </w:t>
      </w:r>
      <w:r w:rsidRPr="00E40099">
        <w:rPr>
          <w:rFonts w:ascii="Arial" w:hAnsi="Arial" w:cs="Arial"/>
          <w:b w:val="0"/>
          <w:szCs w:val="24"/>
        </w:rPr>
        <w:t xml:space="preserve">(Dz. U. z </w:t>
      </w:r>
      <w:r w:rsidR="00270C3B" w:rsidRPr="00E40099">
        <w:rPr>
          <w:rFonts w:ascii="Arial" w:hAnsi="Arial" w:cs="Arial"/>
          <w:b w:val="0"/>
          <w:szCs w:val="24"/>
        </w:rPr>
        <w:t>201</w:t>
      </w:r>
      <w:r w:rsidR="00E40099" w:rsidRPr="00E40099">
        <w:rPr>
          <w:rFonts w:ascii="Arial" w:hAnsi="Arial" w:cs="Arial"/>
          <w:b w:val="0"/>
          <w:szCs w:val="24"/>
        </w:rPr>
        <w:t xml:space="preserve">6 </w:t>
      </w:r>
      <w:r w:rsidRPr="00E40099">
        <w:rPr>
          <w:rFonts w:ascii="Arial" w:hAnsi="Arial" w:cs="Arial"/>
          <w:b w:val="0"/>
          <w:szCs w:val="24"/>
        </w:rPr>
        <w:t xml:space="preserve">r. poz. </w:t>
      </w:r>
      <w:r w:rsidR="00E40099" w:rsidRPr="00E40099">
        <w:rPr>
          <w:rFonts w:ascii="Arial" w:hAnsi="Arial" w:cs="Arial"/>
          <w:b w:val="0"/>
          <w:szCs w:val="24"/>
        </w:rPr>
        <w:t>623 z późn. zm.</w:t>
      </w:r>
      <w:r w:rsidR="00E40099" w:rsidRPr="00E40099">
        <w:rPr>
          <w:rStyle w:val="Odwoanieprzypisudolnego"/>
          <w:rFonts w:ascii="Arial" w:hAnsi="Arial" w:cs="Arial"/>
          <w:b w:val="0"/>
          <w:szCs w:val="24"/>
        </w:rPr>
        <w:footnoteReference w:id="1"/>
      </w:r>
      <w:r w:rsidR="00270C3B" w:rsidRPr="00E40099">
        <w:rPr>
          <w:rFonts w:ascii="Arial" w:hAnsi="Arial" w:cs="Arial"/>
          <w:b w:val="0"/>
          <w:szCs w:val="24"/>
        </w:rPr>
        <w:t xml:space="preserve">) </w:t>
      </w:r>
      <w:r w:rsidR="00E40099" w:rsidRPr="00E40099">
        <w:rPr>
          <w:rFonts w:ascii="Arial" w:hAnsi="Arial" w:cs="Arial"/>
          <w:b w:val="0"/>
          <w:szCs w:val="24"/>
        </w:rPr>
        <w:t xml:space="preserve">w </w:t>
      </w:r>
      <w:r w:rsidR="009A05D2" w:rsidRPr="00E40099">
        <w:rPr>
          <w:rFonts w:ascii="Arial" w:hAnsi="Arial" w:cs="Arial"/>
          <w:b w:val="0"/>
          <w:szCs w:val="24"/>
        </w:rPr>
        <w:t xml:space="preserve">art. </w:t>
      </w:r>
      <w:r w:rsidR="00E40099" w:rsidRPr="00E40099">
        <w:rPr>
          <w:rFonts w:ascii="Arial" w:hAnsi="Arial" w:cs="Arial"/>
          <w:b w:val="0"/>
          <w:szCs w:val="24"/>
        </w:rPr>
        <w:t xml:space="preserve">35 ust. 1 </w:t>
      </w:r>
      <w:r w:rsidR="00C43853" w:rsidRPr="00E40099">
        <w:rPr>
          <w:rFonts w:ascii="Arial" w:hAnsi="Arial" w:cs="Arial"/>
          <w:b w:val="0"/>
          <w:szCs w:val="24"/>
        </w:rPr>
        <w:t>otrzymuje brzmienie:</w:t>
      </w:r>
    </w:p>
    <w:p w:rsidR="000C6C0B" w:rsidRPr="00E40099" w:rsidRDefault="00C43853" w:rsidP="00E40099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0099">
        <w:rPr>
          <w:rFonts w:ascii="Arial" w:hAnsi="Arial" w:cs="Arial"/>
          <w:sz w:val="24"/>
          <w:szCs w:val="24"/>
        </w:rPr>
        <w:t>„</w:t>
      </w:r>
      <w:r w:rsidR="00E40099" w:rsidRPr="00E40099">
        <w:rPr>
          <w:rFonts w:ascii="Arial" w:hAnsi="Arial" w:cs="Arial"/>
          <w:sz w:val="24"/>
          <w:szCs w:val="24"/>
        </w:rPr>
        <w:t>1</w:t>
      </w:r>
      <w:r w:rsidR="000C6C0B">
        <w:rPr>
          <w:rFonts w:ascii="Arial" w:hAnsi="Arial" w:cs="Arial"/>
          <w:sz w:val="24"/>
          <w:szCs w:val="24"/>
        </w:rPr>
        <w:t>.</w:t>
      </w:r>
      <w:r w:rsidR="00E40099" w:rsidRPr="00E40099">
        <w:rPr>
          <w:rFonts w:ascii="Arial" w:hAnsi="Arial" w:cs="Arial"/>
          <w:sz w:val="24"/>
          <w:szCs w:val="24"/>
        </w:rPr>
        <w:t xml:space="preserve"> W sprawach z zakresu prawa pracy pobiera się opłatę podstawową w kwocie 30 złotych wyłącznie od apelacji, zażalenia, skargi kasacyjnej i skargi o stwierdzenie niezgodności z prawem prawomocnego orzeczenia. Jednakże w sprawach, w których wartość przedmiotu sporu przewyższa kwotę 50 000 złotych, pobiera się od wszystkich podlegających opłacie pism procesowych opłatę stosunkową</w:t>
      </w:r>
      <w:r w:rsidR="00E40099">
        <w:rPr>
          <w:rFonts w:ascii="Arial" w:hAnsi="Arial" w:cs="Arial"/>
          <w:sz w:val="24"/>
          <w:szCs w:val="24"/>
        </w:rPr>
        <w:t>, która jest obliczana od kwoty</w:t>
      </w:r>
      <w:r w:rsidR="003301E1">
        <w:rPr>
          <w:rFonts w:ascii="Arial" w:hAnsi="Arial" w:cs="Arial"/>
          <w:sz w:val="24"/>
          <w:szCs w:val="24"/>
        </w:rPr>
        <w:t xml:space="preserve"> stanowiącej różnicę </w:t>
      </w:r>
      <w:r w:rsidR="000C6C0B">
        <w:rPr>
          <w:rFonts w:ascii="Arial" w:hAnsi="Arial" w:cs="Arial"/>
          <w:sz w:val="24"/>
          <w:szCs w:val="24"/>
        </w:rPr>
        <w:t>między wartością przedmiotu sporu a kwotą 50 000 złotych</w:t>
      </w:r>
      <w:r w:rsidR="003301E1">
        <w:rPr>
          <w:rFonts w:ascii="Arial" w:hAnsi="Arial" w:cs="Arial"/>
          <w:sz w:val="24"/>
          <w:szCs w:val="24"/>
        </w:rPr>
        <w:t>.</w:t>
      </w:r>
      <w:r w:rsidR="00EC4F74" w:rsidRPr="00E40099">
        <w:rPr>
          <w:rFonts w:ascii="Arial" w:hAnsi="Arial" w:cs="Arial"/>
          <w:sz w:val="24"/>
          <w:szCs w:val="24"/>
        </w:rPr>
        <w:t>”.</w:t>
      </w:r>
    </w:p>
    <w:p w:rsidR="00804120" w:rsidRPr="00E40099" w:rsidRDefault="00084E72" w:rsidP="00E40099">
      <w:pPr>
        <w:pStyle w:val="Default"/>
        <w:spacing w:after="200" w:line="360" w:lineRule="auto"/>
        <w:jc w:val="both"/>
        <w:rPr>
          <w:rFonts w:ascii="Arial" w:hAnsi="Arial" w:cs="Arial"/>
          <w:color w:val="auto"/>
          <w:lang w:val="pl-PL"/>
        </w:rPr>
      </w:pPr>
      <w:r w:rsidRPr="00E40099">
        <w:rPr>
          <w:rFonts w:ascii="Arial" w:hAnsi="Arial" w:cs="Arial"/>
          <w:b/>
          <w:color w:val="auto"/>
          <w:lang w:val="pl-PL"/>
        </w:rPr>
        <w:t>Art. 2</w:t>
      </w:r>
      <w:r w:rsidR="00E40099" w:rsidRPr="00E40099">
        <w:rPr>
          <w:rFonts w:ascii="Arial" w:hAnsi="Arial" w:cs="Arial"/>
          <w:b/>
          <w:color w:val="auto"/>
          <w:lang w:val="pl-PL"/>
        </w:rPr>
        <w:t xml:space="preserve">. </w:t>
      </w:r>
      <w:r w:rsidR="001F6926" w:rsidRPr="00E40099">
        <w:rPr>
          <w:rFonts w:ascii="Arial" w:hAnsi="Arial" w:cs="Arial"/>
          <w:lang w:val="pl-PL"/>
        </w:rPr>
        <w:t>Ustawa wchodzi w życie po upływie 14 dni od dnia ogłoszenia</w:t>
      </w:r>
      <w:r w:rsidR="00FC4CCD">
        <w:rPr>
          <w:rFonts w:ascii="Arial" w:hAnsi="Arial" w:cs="Arial"/>
          <w:color w:val="auto"/>
          <w:lang w:val="pl-PL"/>
        </w:rPr>
        <w:t>.</w:t>
      </w:r>
    </w:p>
    <w:p w:rsidR="00270C3B" w:rsidRDefault="00270C3B">
      <w:pPr>
        <w:spacing w:after="0" w:line="240" w:lineRule="auto"/>
        <w:rPr>
          <w:rFonts w:ascii="Arial" w:eastAsia="PMingLiU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AC4D9F" w:rsidRPr="00AC4D9F" w:rsidRDefault="00AC4D9F" w:rsidP="007F54DC">
      <w:pPr>
        <w:pStyle w:val="OZNRODZAKTUtznustawalubrozporzdzenieiorganwydajcy"/>
        <w:spacing w:after="240"/>
        <w:rPr>
          <w:rFonts w:ascii="Arial" w:hAnsi="Arial" w:cs="Arial"/>
        </w:rPr>
      </w:pPr>
      <w:r w:rsidRPr="00AC4D9F">
        <w:rPr>
          <w:rFonts w:ascii="Arial" w:hAnsi="Arial" w:cs="Arial"/>
        </w:rPr>
        <w:lastRenderedPageBreak/>
        <w:t>Uzasadnienie</w:t>
      </w:r>
    </w:p>
    <w:p w:rsidR="00AC4D9F" w:rsidRPr="00AC4D9F" w:rsidRDefault="00AC4D9F" w:rsidP="007F54DC">
      <w:pPr>
        <w:pStyle w:val="NIEARTTEKSTtekstnieartykuowanynppodstprawnarozplubpreambua"/>
        <w:spacing w:before="0" w:after="240"/>
        <w:rPr>
          <w:rFonts w:ascii="Arial" w:hAnsi="Arial"/>
          <w:szCs w:val="24"/>
        </w:rPr>
      </w:pPr>
    </w:p>
    <w:p w:rsidR="00AC4D9F" w:rsidRPr="00AC4D9F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AC4D9F">
        <w:rPr>
          <w:rStyle w:val="Ppogrubienie"/>
          <w:rFonts w:ascii="Arial" w:hAnsi="Arial"/>
          <w:szCs w:val="24"/>
        </w:rPr>
        <w:t>1.</w:t>
      </w:r>
      <w:r w:rsidRPr="00AC4D9F">
        <w:rPr>
          <w:rStyle w:val="Ppogrubienie"/>
          <w:rFonts w:ascii="Arial" w:hAnsi="Arial"/>
          <w:szCs w:val="24"/>
        </w:rPr>
        <w:tab/>
        <w:t>Potrzeba i cel uchwalenia ustawy</w:t>
      </w:r>
    </w:p>
    <w:p w:rsidR="000345E4" w:rsidRDefault="00993AAA" w:rsidP="007F54DC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Cs w:val="24"/>
        </w:rPr>
        <w:t>Projektowana ustawa jest reakcją Komisji do Spraw Petycji</w:t>
      </w:r>
      <w:r w:rsidR="00471182">
        <w:rPr>
          <w:rFonts w:ascii="Arial" w:hAnsi="Arial"/>
          <w:szCs w:val="24"/>
        </w:rPr>
        <w:t xml:space="preserve"> Sejmu RP</w:t>
      </w:r>
      <w:r>
        <w:rPr>
          <w:rFonts w:ascii="Arial" w:hAnsi="Arial"/>
          <w:szCs w:val="24"/>
        </w:rPr>
        <w:t xml:space="preserve"> na petycję  skierowaną do Sejmu RP</w:t>
      </w:r>
      <w:r w:rsidR="00EC4F74">
        <w:rPr>
          <w:rFonts w:ascii="Arial" w:hAnsi="Arial"/>
          <w:szCs w:val="24"/>
        </w:rPr>
        <w:t xml:space="preserve"> przez</w:t>
      </w:r>
      <w:r w:rsidR="00270C3B">
        <w:rPr>
          <w:rFonts w:ascii="Arial" w:hAnsi="Arial"/>
          <w:szCs w:val="24"/>
        </w:rPr>
        <w:t xml:space="preserve"> </w:t>
      </w:r>
      <w:r w:rsidR="00E40099">
        <w:rPr>
          <w:rFonts w:ascii="Arial" w:hAnsi="Arial"/>
          <w:szCs w:val="24"/>
        </w:rPr>
        <w:t>osobę fizyczną – autor nie wyraził zgody na podanie jego danych osobowych</w:t>
      </w:r>
      <w:r w:rsidR="00270C3B">
        <w:rPr>
          <w:rFonts w:ascii="Arial" w:hAnsi="Arial"/>
          <w:szCs w:val="24"/>
        </w:rPr>
        <w:t>, którą Komisja uznała za zasadną</w:t>
      </w:r>
      <w:r w:rsidRPr="00476B19">
        <w:rPr>
          <w:rFonts w:ascii="Arial" w:hAnsi="Arial" w:cs="Arial"/>
          <w:sz w:val="24"/>
          <w:szCs w:val="24"/>
        </w:rPr>
        <w:t>.</w:t>
      </w:r>
    </w:p>
    <w:p w:rsidR="00D201D6" w:rsidRDefault="00270C3B" w:rsidP="007F54DC">
      <w:pPr>
        <w:pStyle w:val="ARTartustawynprozporzdzenia"/>
        <w:spacing w:before="0" w:after="240"/>
        <w:ind w:firstLine="708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Celem projektowanej ustawy jest wprowadzenie zasady, że </w:t>
      </w:r>
      <w:r w:rsidR="00E40099">
        <w:rPr>
          <w:rFonts w:ascii="Arial" w:hAnsi="Arial"/>
          <w:szCs w:val="24"/>
        </w:rPr>
        <w:t>w</w:t>
      </w:r>
      <w:r w:rsidR="00E40099" w:rsidRPr="00E40099">
        <w:rPr>
          <w:rFonts w:ascii="Arial" w:hAnsi="Arial"/>
          <w:szCs w:val="24"/>
        </w:rPr>
        <w:t xml:space="preserve"> sprawach z zakresu prawa pracy</w:t>
      </w:r>
      <w:r w:rsidR="00E40099">
        <w:rPr>
          <w:rFonts w:ascii="Arial" w:hAnsi="Arial"/>
          <w:szCs w:val="24"/>
        </w:rPr>
        <w:t>, gdy wartość przedmiotu sporu będzie przekraczała kwotę 50</w:t>
      </w:r>
      <w:r w:rsidR="00475BD0">
        <w:rPr>
          <w:rFonts w:ascii="Arial" w:hAnsi="Arial"/>
          <w:szCs w:val="24"/>
        </w:rPr>
        <w:t xml:space="preserve"> </w:t>
      </w:r>
      <w:r w:rsidR="00E40099">
        <w:rPr>
          <w:rFonts w:ascii="Arial" w:hAnsi="Arial"/>
          <w:szCs w:val="24"/>
        </w:rPr>
        <w:t xml:space="preserve">000 </w:t>
      </w:r>
      <w:r w:rsidR="00475BD0">
        <w:rPr>
          <w:rFonts w:ascii="Arial" w:hAnsi="Arial"/>
          <w:szCs w:val="24"/>
        </w:rPr>
        <w:t xml:space="preserve">zł </w:t>
      </w:r>
      <w:r w:rsidR="00E40099">
        <w:rPr>
          <w:rFonts w:ascii="Arial" w:hAnsi="Arial"/>
          <w:szCs w:val="24"/>
        </w:rPr>
        <w:t xml:space="preserve">będzie </w:t>
      </w:r>
      <w:r w:rsidR="00D201D6">
        <w:rPr>
          <w:rFonts w:ascii="Arial" w:hAnsi="Arial"/>
          <w:szCs w:val="24"/>
        </w:rPr>
        <w:t xml:space="preserve">jak dotychczas </w:t>
      </w:r>
      <w:r w:rsidR="00E40099">
        <w:rPr>
          <w:rFonts w:ascii="Arial" w:hAnsi="Arial"/>
          <w:szCs w:val="24"/>
        </w:rPr>
        <w:t xml:space="preserve">pobierana </w:t>
      </w:r>
      <w:r w:rsidR="00D201D6" w:rsidRPr="00E40099">
        <w:rPr>
          <w:rFonts w:ascii="Arial" w:hAnsi="Arial"/>
          <w:szCs w:val="24"/>
        </w:rPr>
        <w:t>od wszystkich podlegających opłacie pism procesowych opłat</w:t>
      </w:r>
      <w:r w:rsidR="00D201D6">
        <w:rPr>
          <w:rFonts w:ascii="Arial" w:hAnsi="Arial"/>
          <w:szCs w:val="24"/>
        </w:rPr>
        <w:t>a</w:t>
      </w:r>
      <w:r w:rsidR="00D201D6" w:rsidRPr="00E40099">
        <w:rPr>
          <w:rFonts w:ascii="Arial" w:hAnsi="Arial"/>
          <w:szCs w:val="24"/>
        </w:rPr>
        <w:t xml:space="preserve"> stosunkow</w:t>
      </w:r>
      <w:r w:rsidR="00D201D6">
        <w:rPr>
          <w:rFonts w:ascii="Arial" w:hAnsi="Arial"/>
          <w:szCs w:val="24"/>
        </w:rPr>
        <w:t xml:space="preserve">a, jednakże będzie ona naliczana od nadwyżki ponad 50000 </w:t>
      </w:r>
      <w:r w:rsidR="00475BD0">
        <w:rPr>
          <w:rFonts w:ascii="Arial" w:hAnsi="Arial"/>
          <w:szCs w:val="24"/>
        </w:rPr>
        <w:t xml:space="preserve">zł </w:t>
      </w:r>
      <w:r w:rsidR="00D201D6">
        <w:rPr>
          <w:rFonts w:ascii="Arial" w:hAnsi="Arial"/>
          <w:szCs w:val="24"/>
        </w:rPr>
        <w:t>a nie jak dotychczas od całej tej kwoty.</w:t>
      </w:r>
    </w:p>
    <w:p w:rsidR="00AC4D9F" w:rsidRPr="00D201D6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D201D6">
        <w:rPr>
          <w:rStyle w:val="Ppogrubienie"/>
          <w:rFonts w:ascii="Arial" w:hAnsi="Arial"/>
          <w:szCs w:val="24"/>
        </w:rPr>
        <w:t>2.</w:t>
      </w:r>
      <w:r w:rsidRPr="00D201D6">
        <w:rPr>
          <w:rStyle w:val="Ppogrubienie"/>
          <w:rFonts w:ascii="Arial" w:hAnsi="Arial"/>
          <w:szCs w:val="24"/>
        </w:rPr>
        <w:tab/>
        <w:t>Rzeczywisty stan w dziedzinie, która ma być unormowana</w:t>
      </w:r>
    </w:p>
    <w:p w:rsidR="00D201D6" w:rsidRPr="00025FA9" w:rsidRDefault="00D201D6" w:rsidP="001B6219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D201D6">
        <w:rPr>
          <w:rFonts w:ascii="Arial" w:hAnsi="Arial" w:cs="Arial"/>
          <w:sz w:val="24"/>
          <w:szCs w:val="24"/>
        </w:rPr>
        <w:t xml:space="preserve"> art. 35 ust. 1 zd</w:t>
      </w:r>
      <w:r>
        <w:rPr>
          <w:rFonts w:ascii="Arial" w:hAnsi="Arial" w:cs="Arial"/>
          <w:sz w:val="24"/>
          <w:szCs w:val="24"/>
        </w:rPr>
        <w:t>anie drugie</w:t>
      </w:r>
      <w:r w:rsidRPr="00D201D6">
        <w:rPr>
          <w:rFonts w:ascii="Arial" w:hAnsi="Arial" w:cs="Arial"/>
          <w:sz w:val="24"/>
          <w:szCs w:val="24"/>
        </w:rPr>
        <w:t xml:space="preserve"> w zw</w:t>
      </w:r>
      <w:r>
        <w:rPr>
          <w:rFonts w:ascii="Arial" w:hAnsi="Arial" w:cs="Arial"/>
          <w:sz w:val="24"/>
          <w:szCs w:val="24"/>
        </w:rPr>
        <w:t>iązku</w:t>
      </w:r>
      <w:r w:rsidRPr="00D201D6">
        <w:rPr>
          <w:rFonts w:ascii="Arial" w:hAnsi="Arial" w:cs="Arial"/>
          <w:sz w:val="24"/>
          <w:szCs w:val="24"/>
        </w:rPr>
        <w:t xml:space="preserve"> z art. 96 ust. 1 pkt 4 </w:t>
      </w:r>
      <w:r>
        <w:rPr>
          <w:rFonts w:ascii="Arial" w:hAnsi="Arial" w:cs="Arial"/>
          <w:sz w:val="24"/>
          <w:szCs w:val="24"/>
        </w:rPr>
        <w:t>proponowanej do zmiany ustawy</w:t>
      </w:r>
      <w:r w:rsidRPr="00D201D6">
        <w:rPr>
          <w:rFonts w:ascii="Arial" w:hAnsi="Arial" w:cs="Arial"/>
          <w:sz w:val="24"/>
          <w:szCs w:val="24"/>
        </w:rPr>
        <w:t xml:space="preserve"> wynika, że w sprawach z zakresu prawa pracy z powództwa pracownika o roszczenia majątkowe, gdy wartość przedmiotu sporu przewyższa kwotę 50 000 zł, pobiera się opłaty na zasadach ogólnych od wszystkich pism podlegających opłacie, w tym również od pozwu. Pracownik ponosi zatem opłatę stosunkową w wysokości 5% liczonej od wartości przedmiotu sporu, jednak nie mniej niż 30 zł i nie więcej niż 100 tys. zł (art. 13 ust. 1</w:t>
      </w:r>
      <w:r>
        <w:rPr>
          <w:rFonts w:ascii="Arial" w:hAnsi="Arial" w:cs="Arial"/>
          <w:sz w:val="24"/>
          <w:szCs w:val="24"/>
        </w:rPr>
        <w:t xml:space="preserve"> tej ustawy</w:t>
      </w:r>
      <w:r w:rsidRPr="00D201D6">
        <w:rPr>
          <w:rFonts w:ascii="Arial" w:hAnsi="Arial" w:cs="Arial"/>
          <w:sz w:val="24"/>
          <w:szCs w:val="24"/>
        </w:rPr>
        <w:t xml:space="preserve">). Zwolnienie pracownika od uiszczania kosztów sądowych na podstawie art. 96 ust. 1 pkt 4 </w:t>
      </w:r>
      <w:r>
        <w:rPr>
          <w:rFonts w:ascii="Arial" w:hAnsi="Arial" w:cs="Arial"/>
          <w:sz w:val="24"/>
          <w:szCs w:val="24"/>
        </w:rPr>
        <w:t>ustawy</w:t>
      </w:r>
      <w:r w:rsidRPr="00D201D6">
        <w:rPr>
          <w:rFonts w:ascii="Arial" w:hAnsi="Arial" w:cs="Arial"/>
          <w:sz w:val="24"/>
          <w:szCs w:val="24"/>
        </w:rPr>
        <w:t xml:space="preserve"> jest w omawianych sprawach całkowicie wyłączone w stosunku do opłat sądowych. Sprawy </w:t>
      </w:r>
      <w:r w:rsidRPr="00025FA9">
        <w:rPr>
          <w:rFonts w:ascii="Arial" w:hAnsi="Arial" w:cs="Arial"/>
          <w:sz w:val="24"/>
          <w:szCs w:val="24"/>
        </w:rPr>
        <w:t>te w zakresie opłat sądowych są traktowane tak j</w:t>
      </w:r>
      <w:r w:rsidR="001B6219" w:rsidRPr="00025FA9">
        <w:rPr>
          <w:rFonts w:ascii="Arial" w:hAnsi="Arial" w:cs="Arial"/>
          <w:sz w:val="24"/>
          <w:szCs w:val="24"/>
        </w:rPr>
        <w:t>ak wszystkie inne spory cywilne.</w:t>
      </w:r>
    </w:p>
    <w:p w:rsidR="001B6219" w:rsidRDefault="00025FA9" w:rsidP="001B6219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Rozwiązanie takie nie może zostać uznane za </w:t>
      </w:r>
      <w:r w:rsidRPr="00025FA9">
        <w:rPr>
          <w:rFonts w:ascii="Arial" w:hAnsi="Arial" w:cs="Arial"/>
          <w:sz w:val="24"/>
          <w:szCs w:val="24"/>
        </w:rPr>
        <w:t>optymalne</w:t>
      </w:r>
      <w:r>
        <w:rPr>
          <w:rFonts w:ascii="Arial" w:hAnsi="Arial" w:cs="Arial"/>
          <w:sz w:val="24"/>
          <w:szCs w:val="24"/>
        </w:rPr>
        <w:t xml:space="preserve"> </w:t>
      </w:r>
      <w:r w:rsidRPr="00025FA9">
        <w:rPr>
          <w:rFonts w:ascii="Arial" w:hAnsi="Arial" w:cs="Arial"/>
          <w:sz w:val="24"/>
          <w:szCs w:val="24"/>
        </w:rPr>
        <w:t>– widoczne jest to np. w sprawach, w których pracownik uzyskujący wynagrodzenie w kwocie 5 000 zł miesięcznie odwołuje się od wypowiedzenia umowy o pracę zawartej na czas nieokreślony. Jeżeli w pozwie zażąda odszkodowania w wysokości trzymiesięcznego wynagrodzenia, wartość przedmiotu sporu wynosi 15 000 zł, a w razie żądania przywrócenia do pracy wartość ta wyniesie 60 000 zł (</w:t>
      </w:r>
      <w:r>
        <w:rPr>
          <w:rFonts w:ascii="Arial" w:hAnsi="Arial" w:cs="Arial"/>
          <w:sz w:val="24"/>
          <w:szCs w:val="24"/>
        </w:rPr>
        <w:t>na podstawie</w:t>
      </w:r>
      <w:r w:rsidRPr="00025FA9">
        <w:rPr>
          <w:rFonts w:ascii="Arial" w:hAnsi="Arial" w:cs="Arial"/>
          <w:sz w:val="24"/>
          <w:szCs w:val="24"/>
        </w:rPr>
        <w:t xml:space="preserve"> art. 23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Pr="00025FA9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 xml:space="preserve">odeksu </w:t>
      </w:r>
      <w:r w:rsidRPr="00025FA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ostępowania </w:t>
      </w:r>
      <w:r w:rsidRPr="00025FA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ywilnego)</w:t>
      </w:r>
      <w:r w:rsidRPr="00025FA9">
        <w:rPr>
          <w:rFonts w:ascii="Arial" w:hAnsi="Arial" w:cs="Arial"/>
          <w:sz w:val="24"/>
          <w:szCs w:val="24"/>
        </w:rPr>
        <w:t xml:space="preserve">. W tym przykładzie o stosowaniu szczególnego albo ogólnego systemu opłat nie decyduje zatem potencjalna sytuacja majątkowa </w:t>
      </w:r>
      <w:r w:rsidRPr="00025FA9">
        <w:rPr>
          <w:rFonts w:ascii="Arial" w:hAnsi="Arial" w:cs="Arial"/>
          <w:sz w:val="24"/>
          <w:szCs w:val="24"/>
        </w:rPr>
        <w:lastRenderedPageBreak/>
        <w:t xml:space="preserve">pracownika, ale wybór rodzaju żądania. </w:t>
      </w:r>
      <w:r>
        <w:rPr>
          <w:rFonts w:ascii="Arial" w:hAnsi="Arial" w:cs="Arial"/>
          <w:sz w:val="24"/>
          <w:szCs w:val="24"/>
        </w:rPr>
        <w:t>Oznacza to, że</w:t>
      </w:r>
      <w:r w:rsidRPr="00025FA9">
        <w:rPr>
          <w:rFonts w:ascii="Arial" w:hAnsi="Arial" w:cs="Arial"/>
          <w:sz w:val="24"/>
          <w:szCs w:val="24"/>
        </w:rPr>
        <w:t xml:space="preserve"> roszczenie o odszkodowanie jest premiowane zwolnieniem od opłaty sądowej, a żądanie przywrócenia do pracy (uznania wypowiedzenia umowy o pracę za bezskuteczne) podlega 5%-owej opłacie. Pracownik </w:t>
      </w:r>
      <w:r>
        <w:rPr>
          <w:rFonts w:ascii="Arial" w:hAnsi="Arial" w:cs="Arial"/>
          <w:sz w:val="24"/>
          <w:szCs w:val="24"/>
        </w:rPr>
        <w:t xml:space="preserve">kierujący sprawę do sądu </w:t>
      </w:r>
      <w:r w:rsidRPr="00025FA9">
        <w:rPr>
          <w:rFonts w:ascii="Arial" w:hAnsi="Arial" w:cs="Arial"/>
          <w:sz w:val="24"/>
          <w:szCs w:val="24"/>
        </w:rPr>
        <w:t xml:space="preserve">musi w takiej sytuacji dokonać kalkulacji, </w:t>
      </w:r>
      <w:r>
        <w:rPr>
          <w:rFonts w:ascii="Arial" w:hAnsi="Arial" w:cs="Arial"/>
          <w:sz w:val="24"/>
          <w:szCs w:val="24"/>
        </w:rPr>
        <w:t xml:space="preserve">uwzględniając </w:t>
      </w:r>
      <w:r w:rsidRPr="00025FA9">
        <w:rPr>
          <w:rFonts w:ascii="Arial" w:hAnsi="Arial" w:cs="Arial"/>
          <w:sz w:val="24"/>
          <w:szCs w:val="24"/>
        </w:rPr>
        <w:t>również wysokość kosztów sądowych.</w:t>
      </w:r>
    </w:p>
    <w:p w:rsidR="00025FA9" w:rsidRPr="007C2054" w:rsidRDefault="00025FA9" w:rsidP="001B6219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Konsekwencją omawianego przepisu jest także stale rosnąca liczba pracowników, którzy świadomie </w:t>
      </w:r>
      <w:r w:rsidRPr="007C2054">
        <w:rPr>
          <w:rFonts w:ascii="Arial" w:hAnsi="Arial" w:cs="Arial"/>
          <w:sz w:val="24"/>
          <w:szCs w:val="24"/>
        </w:rPr>
        <w:t xml:space="preserve">zaniżają wartość sporu aby uniknąć </w:t>
      </w:r>
      <w:r w:rsidR="007C2054" w:rsidRPr="007C2054">
        <w:rPr>
          <w:rFonts w:ascii="Arial" w:hAnsi="Arial" w:cs="Arial"/>
          <w:sz w:val="24"/>
          <w:szCs w:val="24"/>
        </w:rPr>
        <w:t xml:space="preserve">obowiązku uiszczenia znaczącej dla nich opłaty. </w:t>
      </w:r>
      <w:r w:rsidR="007C2054">
        <w:rPr>
          <w:rFonts w:ascii="Arial" w:hAnsi="Arial" w:cs="Arial"/>
          <w:sz w:val="24"/>
          <w:szCs w:val="24"/>
        </w:rPr>
        <w:t>W ten sposób ulega zaburzeniu funkcja</w:t>
      </w:r>
      <w:r w:rsidR="007C2054" w:rsidRPr="007C2054">
        <w:rPr>
          <w:rFonts w:ascii="Arial" w:hAnsi="Arial" w:cs="Arial"/>
          <w:sz w:val="24"/>
          <w:szCs w:val="24"/>
        </w:rPr>
        <w:t xml:space="preserve"> społeczn</w:t>
      </w:r>
      <w:r w:rsidR="007C2054">
        <w:rPr>
          <w:rFonts w:ascii="Arial" w:hAnsi="Arial" w:cs="Arial"/>
          <w:sz w:val="24"/>
          <w:szCs w:val="24"/>
        </w:rPr>
        <w:t>a</w:t>
      </w:r>
      <w:r w:rsidR="007C2054" w:rsidRPr="007C2054">
        <w:rPr>
          <w:rFonts w:ascii="Arial" w:hAnsi="Arial" w:cs="Arial"/>
          <w:sz w:val="24"/>
          <w:szCs w:val="24"/>
        </w:rPr>
        <w:t xml:space="preserve"> wymiaru sprawiedliwości, </w:t>
      </w:r>
      <w:r w:rsidR="007C2054">
        <w:rPr>
          <w:rFonts w:ascii="Arial" w:hAnsi="Arial" w:cs="Arial"/>
          <w:sz w:val="24"/>
          <w:szCs w:val="24"/>
        </w:rPr>
        <w:t>w zakresie</w:t>
      </w:r>
      <w:r w:rsidR="007C2054" w:rsidRPr="007C2054">
        <w:rPr>
          <w:rFonts w:ascii="Arial" w:hAnsi="Arial" w:cs="Arial"/>
          <w:sz w:val="24"/>
          <w:szCs w:val="24"/>
        </w:rPr>
        <w:t xml:space="preserve"> powszechnoś</w:t>
      </w:r>
      <w:r w:rsidR="007C2054">
        <w:rPr>
          <w:rFonts w:ascii="Arial" w:hAnsi="Arial" w:cs="Arial"/>
          <w:sz w:val="24"/>
          <w:szCs w:val="24"/>
        </w:rPr>
        <w:t>ci</w:t>
      </w:r>
      <w:r w:rsidR="007C2054" w:rsidRPr="007C2054">
        <w:rPr>
          <w:rFonts w:ascii="Arial" w:hAnsi="Arial" w:cs="Arial"/>
          <w:sz w:val="24"/>
          <w:szCs w:val="24"/>
        </w:rPr>
        <w:t xml:space="preserve"> dostępu pracownika do sądu </w:t>
      </w:r>
      <w:r w:rsidR="007C2054">
        <w:rPr>
          <w:rFonts w:ascii="Arial" w:hAnsi="Arial" w:cs="Arial"/>
          <w:sz w:val="24"/>
          <w:szCs w:val="24"/>
        </w:rPr>
        <w:t xml:space="preserve">- </w:t>
      </w:r>
      <w:r w:rsidR="007C2054" w:rsidRPr="007C2054">
        <w:rPr>
          <w:rFonts w:ascii="Arial" w:hAnsi="Arial" w:cs="Arial"/>
          <w:sz w:val="24"/>
          <w:szCs w:val="24"/>
        </w:rPr>
        <w:t xml:space="preserve">ustawodawca </w:t>
      </w:r>
      <w:r w:rsidR="007C2054">
        <w:rPr>
          <w:rFonts w:ascii="Arial" w:hAnsi="Arial" w:cs="Arial"/>
          <w:sz w:val="24"/>
          <w:szCs w:val="24"/>
        </w:rPr>
        <w:t xml:space="preserve">zamiast </w:t>
      </w:r>
      <w:r w:rsidR="007C2054" w:rsidRPr="007C2054">
        <w:rPr>
          <w:rFonts w:ascii="Arial" w:hAnsi="Arial" w:cs="Arial"/>
          <w:sz w:val="24"/>
          <w:szCs w:val="24"/>
        </w:rPr>
        <w:t>wpływa</w:t>
      </w:r>
      <w:r w:rsidR="007C2054">
        <w:rPr>
          <w:rFonts w:ascii="Arial" w:hAnsi="Arial" w:cs="Arial"/>
          <w:sz w:val="24"/>
          <w:szCs w:val="24"/>
        </w:rPr>
        <w:t>nia</w:t>
      </w:r>
      <w:r w:rsidR="007C2054" w:rsidRPr="007C2054">
        <w:rPr>
          <w:rFonts w:ascii="Arial" w:hAnsi="Arial" w:cs="Arial"/>
          <w:sz w:val="24"/>
          <w:szCs w:val="24"/>
        </w:rPr>
        <w:t xml:space="preserve"> na wyrównanie faktycznej nierówności ekonomicznej pracownika i pracodawcy</w:t>
      </w:r>
      <w:r w:rsidR="007C2054">
        <w:rPr>
          <w:rFonts w:ascii="Arial" w:hAnsi="Arial" w:cs="Arial"/>
          <w:sz w:val="24"/>
          <w:szCs w:val="24"/>
        </w:rPr>
        <w:t xml:space="preserve"> stawia w uprzywilejowanej sytuacji pracodawcę</w:t>
      </w:r>
      <w:r w:rsidR="007C2054" w:rsidRPr="007C2054">
        <w:rPr>
          <w:rFonts w:ascii="Arial" w:hAnsi="Arial" w:cs="Arial"/>
          <w:sz w:val="24"/>
          <w:szCs w:val="24"/>
        </w:rPr>
        <w:t>,</w:t>
      </w:r>
    </w:p>
    <w:p w:rsidR="00AC4D9F" w:rsidRPr="00D201D6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D201D6">
        <w:rPr>
          <w:rStyle w:val="Ppogrubienie"/>
          <w:rFonts w:ascii="Arial" w:hAnsi="Arial"/>
          <w:szCs w:val="24"/>
        </w:rPr>
        <w:t>3.</w:t>
      </w:r>
      <w:r w:rsidRPr="00D201D6">
        <w:rPr>
          <w:rStyle w:val="Ppogrubienie"/>
          <w:rFonts w:ascii="Arial" w:hAnsi="Arial"/>
          <w:szCs w:val="24"/>
        </w:rPr>
        <w:tab/>
        <w:t>Różnica pomiędzy dotychczasowym a projektowanym stanem prawnym</w:t>
      </w:r>
    </w:p>
    <w:p w:rsidR="009D7CFA" w:rsidRPr="00D201D6" w:rsidRDefault="00E17970" w:rsidP="007F54DC">
      <w:pPr>
        <w:pStyle w:val="PKTpunkt"/>
        <w:spacing w:after="240"/>
        <w:ind w:left="0" w:firstLine="708"/>
        <w:rPr>
          <w:rStyle w:val="Ppogrubienie"/>
          <w:rFonts w:ascii="Arial" w:hAnsi="Arial"/>
          <w:b w:val="0"/>
          <w:szCs w:val="24"/>
        </w:rPr>
      </w:pPr>
      <w:r w:rsidRPr="00D201D6">
        <w:rPr>
          <w:rFonts w:ascii="Arial" w:hAnsi="Arial"/>
          <w:szCs w:val="24"/>
        </w:rPr>
        <w:t>Istotą proponowanej regulacji jest</w:t>
      </w:r>
      <w:r w:rsidR="007C2054">
        <w:rPr>
          <w:rFonts w:ascii="Arial" w:hAnsi="Arial"/>
          <w:szCs w:val="24"/>
        </w:rPr>
        <w:t xml:space="preserve"> dopisanie na końcu obecnego przepisu (art. 35 ust. 1) wyrazów: „która jest obliczana od nadwyżki tej kwoty.”. W ten sposób w sprawach z zakresu prawa pracy, </w:t>
      </w:r>
      <w:r w:rsidR="00EB4D87">
        <w:rPr>
          <w:rFonts w:ascii="Arial" w:hAnsi="Arial"/>
          <w:szCs w:val="24"/>
        </w:rPr>
        <w:t xml:space="preserve">gdy </w:t>
      </w:r>
      <w:r w:rsidR="007C2054" w:rsidRPr="00E40099">
        <w:rPr>
          <w:rFonts w:ascii="Arial" w:hAnsi="Arial"/>
          <w:szCs w:val="24"/>
        </w:rPr>
        <w:t>wartość przedmiotu sporu przewyższa kwotę 50 000 złotych,</w:t>
      </w:r>
      <w:r w:rsidR="00EB4D87">
        <w:rPr>
          <w:rFonts w:ascii="Arial" w:hAnsi="Arial"/>
          <w:szCs w:val="24"/>
        </w:rPr>
        <w:t xml:space="preserve"> pobierana byłaby opłata stosunkowa jednakże naliczana jedynie od nadwyżki ponad 50000 zł.</w:t>
      </w:r>
    </w:p>
    <w:p w:rsidR="007F54DC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C85019">
        <w:rPr>
          <w:rStyle w:val="Ppogrubienie"/>
          <w:rFonts w:ascii="Arial" w:hAnsi="Arial"/>
          <w:szCs w:val="24"/>
        </w:rPr>
        <w:t>4.</w:t>
      </w:r>
      <w:r w:rsidRPr="00C85019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:rsidR="00EB4D87" w:rsidRDefault="00E17970" w:rsidP="00E17970">
      <w:pPr>
        <w:pStyle w:val="PKTpunkt"/>
        <w:ind w:left="0" w:firstLine="708"/>
        <w:rPr>
          <w:rStyle w:val="Ppogrubienie"/>
          <w:rFonts w:ascii="Arial" w:hAnsi="Arial"/>
          <w:b w:val="0"/>
          <w:szCs w:val="24"/>
        </w:rPr>
      </w:pPr>
      <w:r w:rsidRPr="00E17970">
        <w:rPr>
          <w:rStyle w:val="Ppogrubienie"/>
          <w:rFonts w:ascii="Arial" w:hAnsi="Arial"/>
          <w:b w:val="0"/>
          <w:szCs w:val="24"/>
        </w:rPr>
        <w:t xml:space="preserve">Skutki społeczne i prawne projektowanej ustawy są bardzo ważne – ustawa </w:t>
      </w:r>
      <w:r w:rsidR="00EB4D87">
        <w:rPr>
          <w:rStyle w:val="Ppogrubienie"/>
          <w:rFonts w:ascii="Arial" w:hAnsi="Arial"/>
          <w:b w:val="0"/>
          <w:szCs w:val="24"/>
        </w:rPr>
        <w:t>wzmacnia społeczną funkcję wymiaru sprawiedliwości w sprawach z zakresu prawa pracy. Czynnik kosztów sądowych nie będzie już odgrywał  istotnej roli przy dokonywaniu przez pracownika wyboru rodzaju żądania ani nie będzie wpływał na podejmowaniu decyzji o kwocie zgłaszanego żądania.</w:t>
      </w:r>
    </w:p>
    <w:p w:rsidR="00C075B0" w:rsidRDefault="00E17970" w:rsidP="00E17970">
      <w:pPr>
        <w:pStyle w:val="PKTpunkt"/>
        <w:spacing w:after="240"/>
        <w:ind w:left="0" w:firstLine="708"/>
        <w:rPr>
          <w:rStyle w:val="Ppogrubienie"/>
          <w:rFonts w:ascii="Arial" w:hAnsi="Arial"/>
          <w:b w:val="0"/>
          <w:szCs w:val="24"/>
        </w:rPr>
      </w:pPr>
      <w:r w:rsidRPr="00E17970">
        <w:rPr>
          <w:rStyle w:val="Ppogrubienie"/>
          <w:rFonts w:ascii="Arial" w:hAnsi="Arial"/>
          <w:b w:val="0"/>
          <w:szCs w:val="24"/>
        </w:rPr>
        <w:t>Projektowana ustawa nie ma wpływu na finanse podmiotów gospodarczych, budżety gospodarstw domowych ani na funkcjonowanie gospodarki.</w:t>
      </w:r>
    </w:p>
    <w:p w:rsidR="00EB4D87" w:rsidRPr="00E17970" w:rsidRDefault="00EB4D87" w:rsidP="00E17970">
      <w:pPr>
        <w:pStyle w:val="PKTpunkt"/>
        <w:spacing w:after="240"/>
        <w:ind w:left="0" w:firstLine="708"/>
        <w:rPr>
          <w:rStyle w:val="Ppogrubienie"/>
          <w:rFonts w:ascii="Arial" w:eastAsia="Calibri" w:hAnsi="Arial" w:cs="Times New Roman"/>
          <w:b w:val="0"/>
          <w:bCs w:val="0"/>
          <w:sz w:val="22"/>
          <w:szCs w:val="24"/>
          <w:lang w:eastAsia="en-US"/>
        </w:rPr>
      </w:pPr>
      <w:r>
        <w:rPr>
          <w:rStyle w:val="Ppogrubienie"/>
          <w:rFonts w:ascii="Arial" w:hAnsi="Arial"/>
          <w:b w:val="0"/>
          <w:szCs w:val="24"/>
        </w:rPr>
        <w:t>Wpływ projektowanej ustawy na finanse publiczne, w zakresie środków przeznaczonych na funkcjonowanie wymiaru sprawiedliwości, jest trudny do oszacowania ze względu na dużą liczbę zmiennych czynników, wpływających na zachowania</w:t>
      </w:r>
      <w:r w:rsidR="001843D6">
        <w:rPr>
          <w:rStyle w:val="Ppogrubienie"/>
          <w:rFonts w:ascii="Arial" w:hAnsi="Arial"/>
          <w:b w:val="0"/>
          <w:szCs w:val="24"/>
        </w:rPr>
        <w:t xml:space="preserve"> pracowników</w:t>
      </w:r>
      <w:r>
        <w:rPr>
          <w:rStyle w:val="Ppogrubienie"/>
          <w:rFonts w:ascii="Arial" w:hAnsi="Arial"/>
          <w:b w:val="0"/>
          <w:szCs w:val="24"/>
        </w:rPr>
        <w:t xml:space="preserve">. W przypadku spraw wygranych przez pracowników </w:t>
      </w:r>
      <w:r>
        <w:rPr>
          <w:rStyle w:val="Ppogrubienie"/>
          <w:rFonts w:ascii="Arial" w:hAnsi="Arial"/>
          <w:b w:val="0"/>
          <w:szCs w:val="24"/>
        </w:rPr>
        <w:lastRenderedPageBreak/>
        <w:t>proponowana regulacja nie ma wpływu na finanse publiczne, gdyż w praktyce sądowej koszt</w:t>
      </w:r>
      <w:r w:rsidR="00F71F3D">
        <w:rPr>
          <w:rStyle w:val="Ppogrubienie"/>
          <w:rFonts w:ascii="Arial" w:hAnsi="Arial"/>
          <w:b w:val="0"/>
          <w:szCs w:val="24"/>
        </w:rPr>
        <w:t xml:space="preserve">ami zwykle obciążany jest pracodawca. Z odmienną sytuacją mamy do czynienia gdy pracownik przegrywa sprawę, ponieważ sąd często nie decyduje się na swoiste „dodatkowe karanie” pracownika i nakładanie na niego obowiązku poniesienia kosztów sądowych – jeżeli wcześniej nie był zobowiązany do wniesienia opłaty stosunkowej. Projektowana regulacja z jednaj strony będzie oznaczała zmniejszenie kwoty opłaty o 2500 </w:t>
      </w:r>
      <w:r w:rsidR="00200798">
        <w:rPr>
          <w:rStyle w:val="Ppogrubienie"/>
          <w:rFonts w:ascii="Arial" w:hAnsi="Arial"/>
          <w:b w:val="0"/>
          <w:szCs w:val="24"/>
        </w:rPr>
        <w:t xml:space="preserve">zł </w:t>
      </w:r>
      <w:r w:rsidR="00F71F3D">
        <w:rPr>
          <w:rStyle w:val="Ppogrubienie"/>
          <w:rFonts w:ascii="Arial" w:hAnsi="Arial"/>
          <w:b w:val="0"/>
          <w:szCs w:val="24"/>
        </w:rPr>
        <w:t>od każdej sprawy, w której wartość przedmiotu sporu przekracza 50000 zł. Z drugiej jednak strony projektowana regulacja spowoduje, że pracownicy</w:t>
      </w:r>
      <w:r w:rsidR="00EC4F2F">
        <w:rPr>
          <w:rStyle w:val="Ppogrubienie"/>
          <w:rFonts w:ascii="Arial" w:hAnsi="Arial"/>
          <w:b w:val="0"/>
          <w:szCs w:val="24"/>
        </w:rPr>
        <w:t>,</w:t>
      </w:r>
      <w:r w:rsidR="00F71F3D">
        <w:rPr>
          <w:rStyle w:val="Ppogrubienie"/>
          <w:rFonts w:ascii="Arial" w:hAnsi="Arial"/>
          <w:b w:val="0"/>
          <w:szCs w:val="24"/>
        </w:rPr>
        <w:t xml:space="preserve"> którzy ograniczali swoje żądania do kwoty 50000 </w:t>
      </w:r>
      <w:r w:rsidR="00475BD0">
        <w:rPr>
          <w:rStyle w:val="Ppogrubienie"/>
          <w:rFonts w:ascii="Arial" w:hAnsi="Arial"/>
          <w:b w:val="0"/>
          <w:szCs w:val="24"/>
        </w:rPr>
        <w:t xml:space="preserve">zł </w:t>
      </w:r>
      <w:r w:rsidR="00F71F3D">
        <w:rPr>
          <w:rStyle w:val="Ppogrubienie"/>
          <w:rFonts w:ascii="Arial" w:hAnsi="Arial"/>
          <w:b w:val="0"/>
          <w:szCs w:val="24"/>
        </w:rPr>
        <w:t xml:space="preserve">zdecydują się na przedstawianie rzeczywistych żądań finansowych i opłacanie opłaty stosunkowej naliczanej jedynie od nadwyżki tej kwoty. Ponieważ na skalę sporów z zakresu prawa pracy ma wpływ </w:t>
      </w:r>
      <w:r w:rsidR="000F2CE5">
        <w:rPr>
          <w:rStyle w:val="Ppogrubienie"/>
          <w:rFonts w:ascii="Arial" w:hAnsi="Arial"/>
          <w:b w:val="0"/>
          <w:szCs w:val="24"/>
        </w:rPr>
        <w:t xml:space="preserve">wiele czynników - </w:t>
      </w:r>
      <w:r w:rsidR="00F71F3D">
        <w:rPr>
          <w:rStyle w:val="Ppogrubienie"/>
          <w:rFonts w:ascii="Arial" w:hAnsi="Arial"/>
          <w:b w:val="0"/>
          <w:szCs w:val="24"/>
        </w:rPr>
        <w:t xml:space="preserve">m.in. sytuacja na rynku pracy, skuteczność działań organów kontrolnych (przede wszystkim inspektorów pracy), </w:t>
      </w:r>
      <w:r w:rsidR="000F2CE5">
        <w:rPr>
          <w:rStyle w:val="Ppogrubienie"/>
          <w:rFonts w:ascii="Arial" w:hAnsi="Arial"/>
          <w:b w:val="0"/>
          <w:szCs w:val="24"/>
        </w:rPr>
        <w:t>precyzyjność przepisów, pozycja związków zawodowych, należy przyjąć że wpływ proponowanej regulacji na finanse publiczne będzie niewielki, nieistotny z punktu widzenia budżetu wymiaru sprawiedliwości.</w:t>
      </w:r>
    </w:p>
    <w:p w:rsidR="00AC4D9F" w:rsidRPr="00AC4D9F" w:rsidRDefault="00EB5121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>
        <w:rPr>
          <w:rStyle w:val="Ppogrubienie"/>
          <w:rFonts w:ascii="Arial" w:hAnsi="Arial"/>
          <w:szCs w:val="24"/>
        </w:rPr>
        <w:t>5</w:t>
      </w:r>
      <w:r w:rsidR="00AC4D9F" w:rsidRPr="00AC4D9F">
        <w:rPr>
          <w:rStyle w:val="Ppogrubienie"/>
          <w:rFonts w:ascii="Arial" w:hAnsi="Arial"/>
          <w:szCs w:val="24"/>
        </w:rPr>
        <w:t>.</w:t>
      </w:r>
      <w:r w:rsidR="00AC4D9F" w:rsidRPr="00AC4D9F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:rsidR="00880849" w:rsidRPr="00AC4D9F" w:rsidRDefault="00AC4D9F" w:rsidP="007F54DC">
      <w:pPr>
        <w:pStyle w:val="NIEARTTEKSTtekstnieartykuowanynppodstprawnarozplubpreambua"/>
        <w:spacing w:before="0" w:after="240"/>
        <w:ind w:firstLine="708"/>
        <w:rPr>
          <w:rFonts w:ascii="Arial" w:hAnsi="Arial"/>
          <w:szCs w:val="24"/>
        </w:rPr>
      </w:pPr>
      <w:r w:rsidRPr="00AC4D9F">
        <w:rPr>
          <w:rFonts w:ascii="Arial" w:hAnsi="Arial"/>
          <w:szCs w:val="24"/>
        </w:rPr>
        <w:t>Przedmiot projektowanej regulacji nie jest objęty prawem Unii Europejskiej.</w:t>
      </w:r>
    </w:p>
    <w:sectPr w:rsidR="00880849" w:rsidRPr="00AC4D9F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0315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6F" w:rsidRDefault="008F5F6F">
      <w:r>
        <w:separator/>
      </w:r>
    </w:p>
  </w:endnote>
  <w:endnote w:type="continuationSeparator" w:id="0">
    <w:p w:rsidR="008F5F6F" w:rsidRDefault="008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6F" w:rsidRDefault="008F5F6F">
      <w:r>
        <w:separator/>
      </w:r>
    </w:p>
  </w:footnote>
  <w:footnote w:type="continuationSeparator" w:id="0">
    <w:p w:rsidR="008F5F6F" w:rsidRDefault="008F5F6F">
      <w:r>
        <w:continuationSeparator/>
      </w:r>
    </w:p>
  </w:footnote>
  <w:footnote w:id="1">
    <w:p w:rsidR="00E40099" w:rsidRPr="00E40099" w:rsidRDefault="00E40099">
      <w:pPr>
        <w:pStyle w:val="Tekstprzypisudolnego"/>
        <w:rPr>
          <w:rFonts w:ascii="Arial" w:hAnsi="Arial" w:cs="Arial"/>
        </w:rPr>
      </w:pPr>
      <w:r w:rsidRPr="00E40099">
        <w:rPr>
          <w:rStyle w:val="Odwoanieprzypisudolnego"/>
          <w:rFonts w:ascii="Arial" w:hAnsi="Arial" w:cs="Arial"/>
        </w:rPr>
        <w:footnoteRef/>
      </w:r>
      <w:r w:rsidRPr="00E40099">
        <w:rPr>
          <w:rFonts w:ascii="Arial" w:hAnsi="Arial" w:cs="Arial"/>
        </w:rPr>
        <w:t xml:space="preserve"> </w:t>
      </w:r>
      <w:r w:rsidRPr="00E40099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Zmiany tekstu jednolitego wymienionej ustawy</w:t>
      </w:r>
      <w:r w:rsidRPr="00E40099">
        <w:rPr>
          <w:rFonts w:ascii="Arial" w:hAnsi="Arial" w:cs="Arial"/>
          <w:shd w:val="clear" w:color="auto" w:fill="FFFFFF"/>
        </w:rPr>
        <w:t> zostały ogłoszone w Dz. U. z 2017 r. poz. 85, 1557 i 2180.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elina A. Roguska">
    <w15:presenceInfo w15:providerId="None" w15:userId="Ewelina A. Rogu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8F"/>
    <w:rsid w:val="00007C8F"/>
    <w:rsid w:val="000154E2"/>
    <w:rsid w:val="00024B86"/>
    <w:rsid w:val="00025FA9"/>
    <w:rsid w:val="000345E4"/>
    <w:rsid w:val="000621D8"/>
    <w:rsid w:val="00071599"/>
    <w:rsid w:val="00084E72"/>
    <w:rsid w:val="000C6C0B"/>
    <w:rsid w:val="000F2CE5"/>
    <w:rsid w:val="00102575"/>
    <w:rsid w:val="00135443"/>
    <w:rsid w:val="001456ED"/>
    <w:rsid w:val="00162ADB"/>
    <w:rsid w:val="001827AB"/>
    <w:rsid w:val="001843D6"/>
    <w:rsid w:val="001902E8"/>
    <w:rsid w:val="0019518A"/>
    <w:rsid w:val="00195BF0"/>
    <w:rsid w:val="00197593"/>
    <w:rsid w:val="001B6219"/>
    <w:rsid w:val="001D0690"/>
    <w:rsid w:val="001D6D7F"/>
    <w:rsid w:val="001E2F40"/>
    <w:rsid w:val="001F6926"/>
    <w:rsid w:val="00200798"/>
    <w:rsid w:val="00204D15"/>
    <w:rsid w:val="00205DB6"/>
    <w:rsid w:val="00221AAA"/>
    <w:rsid w:val="00226DC4"/>
    <w:rsid w:val="0023193C"/>
    <w:rsid w:val="00241424"/>
    <w:rsid w:val="00262C1D"/>
    <w:rsid w:val="00270C3B"/>
    <w:rsid w:val="00284A52"/>
    <w:rsid w:val="002B6561"/>
    <w:rsid w:val="002D367F"/>
    <w:rsid w:val="002E488E"/>
    <w:rsid w:val="002F06C5"/>
    <w:rsid w:val="002F5C5F"/>
    <w:rsid w:val="003031C3"/>
    <w:rsid w:val="00304911"/>
    <w:rsid w:val="00312212"/>
    <w:rsid w:val="0031455B"/>
    <w:rsid w:val="00314D3C"/>
    <w:rsid w:val="003301E1"/>
    <w:rsid w:val="00360277"/>
    <w:rsid w:val="00372BDB"/>
    <w:rsid w:val="00387813"/>
    <w:rsid w:val="00391ADD"/>
    <w:rsid w:val="00392D86"/>
    <w:rsid w:val="0039424C"/>
    <w:rsid w:val="003946A5"/>
    <w:rsid w:val="0039704C"/>
    <w:rsid w:val="003B2B6C"/>
    <w:rsid w:val="003D19DD"/>
    <w:rsid w:val="003F1CF4"/>
    <w:rsid w:val="004178D0"/>
    <w:rsid w:val="00445511"/>
    <w:rsid w:val="004572A2"/>
    <w:rsid w:val="00467FA8"/>
    <w:rsid w:val="00471182"/>
    <w:rsid w:val="00475BD0"/>
    <w:rsid w:val="00476B19"/>
    <w:rsid w:val="00486C59"/>
    <w:rsid w:val="004A285E"/>
    <w:rsid w:val="00510D43"/>
    <w:rsid w:val="00521B93"/>
    <w:rsid w:val="005310B4"/>
    <w:rsid w:val="00532AAA"/>
    <w:rsid w:val="00535A03"/>
    <w:rsid w:val="005420EE"/>
    <w:rsid w:val="005539E7"/>
    <w:rsid w:val="00590C55"/>
    <w:rsid w:val="00596806"/>
    <w:rsid w:val="005A4819"/>
    <w:rsid w:val="005A725C"/>
    <w:rsid w:val="005C6209"/>
    <w:rsid w:val="005F13A1"/>
    <w:rsid w:val="006158D5"/>
    <w:rsid w:val="00620EA8"/>
    <w:rsid w:val="006248D8"/>
    <w:rsid w:val="0066364B"/>
    <w:rsid w:val="00694686"/>
    <w:rsid w:val="006B555C"/>
    <w:rsid w:val="006C19FE"/>
    <w:rsid w:val="006E2F2C"/>
    <w:rsid w:val="006F2E11"/>
    <w:rsid w:val="00712D96"/>
    <w:rsid w:val="007255F8"/>
    <w:rsid w:val="00733780"/>
    <w:rsid w:val="00753BA1"/>
    <w:rsid w:val="00755F4E"/>
    <w:rsid w:val="00797802"/>
    <w:rsid w:val="007C2054"/>
    <w:rsid w:val="007D694A"/>
    <w:rsid w:val="007E58E2"/>
    <w:rsid w:val="007F197F"/>
    <w:rsid w:val="007F28E7"/>
    <w:rsid w:val="007F54DC"/>
    <w:rsid w:val="00804120"/>
    <w:rsid w:val="008144C3"/>
    <w:rsid w:val="0084532E"/>
    <w:rsid w:val="00862400"/>
    <w:rsid w:val="00880849"/>
    <w:rsid w:val="008959C1"/>
    <w:rsid w:val="008A5969"/>
    <w:rsid w:val="008A5DAB"/>
    <w:rsid w:val="008A7E2F"/>
    <w:rsid w:val="008D72D1"/>
    <w:rsid w:val="008E32BC"/>
    <w:rsid w:val="008E78DB"/>
    <w:rsid w:val="008F5F6F"/>
    <w:rsid w:val="009075D3"/>
    <w:rsid w:val="00910A19"/>
    <w:rsid w:val="00931143"/>
    <w:rsid w:val="00943992"/>
    <w:rsid w:val="0096308B"/>
    <w:rsid w:val="009745F5"/>
    <w:rsid w:val="009837E3"/>
    <w:rsid w:val="00993AAA"/>
    <w:rsid w:val="009A05D2"/>
    <w:rsid w:val="009C680D"/>
    <w:rsid w:val="009D7CFA"/>
    <w:rsid w:val="009E40ED"/>
    <w:rsid w:val="009F4035"/>
    <w:rsid w:val="00A31423"/>
    <w:rsid w:val="00A54A53"/>
    <w:rsid w:val="00A64140"/>
    <w:rsid w:val="00A70833"/>
    <w:rsid w:val="00A9423E"/>
    <w:rsid w:val="00A948F3"/>
    <w:rsid w:val="00AC4D9F"/>
    <w:rsid w:val="00AC676D"/>
    <w:rsid w:val="00AD0A94"/>
    <w:rsid w:val="00AE07E2"/>
    <w:rsid w:val="00B30EB8"/>
    <w:rsid w:val="00B57EE0"/>
    <w:rsid w:val="00BA67E2"/>
    <w:rsid w:val="00BB11F6"/>
    <w:rsid w:val="00BB153E"/>
    <w:rsid w:val="00BC1E17"/>
    <w:rsid w:val="00BC331B"/>
    <w:rsid w:val="00BF68ED"/>
    <w:rsid w:val="00C075B0"/>
    <w:rsid w:val="00C159D6"/>
    <w:rsid w:val="00C31AA7"/>
    <w:rsid w:val="00C43853"/>
    <w:rsid w:val="00C8077E"/>
    <w:rsid w:val="00C85019"/>
    <w:rsid w:val="00CA2184"/>
    <w:rsid w:val="00CA28B2"/>
    <w:rsid w:val="00CC0606"/>
    <w:rsid w:val="00CC6403"/>
    <w:rsid w:val="00CD6DEE"/>
    <w:rsid w:val="00D201D6"/>
    <w:rsid w:val="00D2038A"/>
    <w:rsid w:val="00D869C9"/>
    <w:rsid w:val="00D87431"/>
    <w:rsid w:val="00D9730C"/>
    <w:rsid w:val="00DC0016"/>
    <w:rsid w:val="00DD72D1"/>
    <w:rsid w:val="00DE33AD"/>
    <w:rsid w:val="00DF5157"/>
    <w:rsid w:val="00DF7342"/>
    <w:rsid w:val="00E17970"/>
    <w:rsid w:val="00E40099"/>
    <w:rsid w:val="00E464D2"/>
    <w:rsid w:val="00E61F66"/>
    <w:rsid w:val="00E834D6"/>
    <w:rsid w:val="00E8733D"/>
    <w:rsid w:val="00EA2FEC"/>
    <w:rsid w:val="00EB4D87"/>
    <w:rsid w:val="00EB5121"/>
    <w:rsid w:val="00EC04EF"/>
    <w:rsid w:val="00EC28B2"/>
    <w:rsid w:val="00EC4F2F"/>
    <w:rsid w:val="00EC4F74"/>
    <w:rsid w:val="00EE112B"/>
    <w:rsid w:val="00F11E72"/>
    <w:rsid w:val="00F14542"/>
    <w:rsid w:val="00F402D6"/>
    <w:rsid w:val="00F41D2E"/>
    <w:rsid w:val="00F71F3D"/>
    <w:rsid w:val="00F95AFC"/>
    <w:rsid w:val="00FB5180"/>
    <w:rsid w:val="00FC183C"/>
    <w:rsid w:val="00FC41FB"/>
    <w:rsid w:val="00FC4CCD"/>
    <w:rsid w:val="00FD70F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F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1F3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1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F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1F3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1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32AA-1AB0-45BC-AF3D-859C058A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Ewa A. Genert</cp:lastModifiedBy>
  <cp:revision>2</cp:revision>
  <cp:lastPrinted>2012-10-02T17:08:00Z</cp:lastPrinted>
  <dcterms:created xsi:type="dcterms:W3CDTF">2018-06-05T09:55:00Z</dcterms:created>
  <dcterms:modified xsi:type="dcterms:W3CDTF">2018-06-05T09:55:00Z</dcterms:modified>
</cp:coreProperties>
</file>