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F1F" w:rsidRPr="00F27DDF" w:rsidRDefault="00D51BF9" w:rsidP="00F27DDF">
      <w:pPr>
        <w:spacing w:before="120" w:after="0" w:line="360" w:lineRule="auto"/>
        <w:jc w:val="center"/>
        <w:rPr>
          <w:rFonts w:ascii="Times New Roman" w:hAnsi="Times New Roman" w:cs="Times New Roman"/>
          <w:sz w:val="24"/>
          <w:szCs w:val="24"/>
        </w:rPr>
      </w:pPr>
      <w:bookmarkStart w:id="0" w:name="_GoBack"/>
      <w:bookmarkEnd w:id="0"/>
      <w:r w:rsidRPr="00F27DDF">
        <w:rPr>
          <w:rFonts w:ascii="Times New Roman" w:hAnsi="Times New Roman" w:cs="Times New Roman"/>
          <w:sz w:val="24"/>
          <w:szCs w:val="24"/>
        </w:rPr>
        <w:t>UZASADNIENIE</w:t>
      </w:r>
    </w:p>
    <w:p w:rsidR="00D70068" w:rsidRPr="00F27DDF" w:rsidRDefault="00F27DDF" w:rsidP="00F27DDF">
      <w:pPr>
        <w:spacing w:before="120" w:after="0" w:line="360" w:lineRule="auto"/>
        <w:ind w:left="280" w:hanging="280"/>
        <w:jc w:val="both"/>
        <w:rPr>
          <w:rFonts w:ascii="Times New Roman" w:hAnsi="Times New Roman" w:cs="Times New Roman"/>
          <w:b/>
          <w:sz w:val="24"/>
          <w:szCs w:val="24"/>
        </w:rPr>
      </w:pPr>
      <w:r>
        <w:rPr>
          <w:rFonts w:ascii="Times New Roman" w:hAnsi="Times New Roman" w:cs="Times New Roman"/>
          <w:b/>
          <w:sz w:val="24"/>
          <w:szCs w:val="24"/>
        </w:rPr>
        <w:t>I.</w:t>
      </w:r>
      <w:r>
        <w:rPr>
          <w:rFonts w:ascii="Times New Roman" w:hAnsi="Times New Roman" w:cs="Times New Roman"/>
          <w:b/>
          <w:sz w:val="24"/>
          <w:szCs w:val="24"/>
        </w:rPr>
        <w:tab/>
      </w:r>
      <w:r w:rsidR="00D70068" w:rsidRPr="00F27DDF">
        <w:rPr>
          <w:rFonts w:ascii="Times New Roman" w:hAnsi="Times New Roman" w:cs="Times New Roman"/>
          <w:b/>
          <w:sz w:val="24"/>
          <w:szCs w:val="24"/>
        </w:rPr>
        <w:t>Potrzeba i cel wydania ustawy</w:t>
      </w:r>
    </w:p>
    <w:p w:rsidR="00945657" w:rsidRPr="00F27DDF" w:rsidRDefault="006E648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Regulacje wprowadzone ustawą z dnia 24 listopada 2017 r. o zmianie niektórych ustaw w celu przeciwdziałania wykorzystywaniu sektora finansowego do wyłudzeń skarbowych</w:t>
      </w:r>
      <w:r w:rsidR="006702BC">
        <w:rPr>
          <w:rFonts w:ascii="Times New Roman" w:hAnsi="Times New Roman" w:cs="Times New Roman"/>
          <w:sz w:val="24"/>
          <w:szCs w:val="24"/>
        </w:rPr>
        <w:t>,</w:t>
      </w:r>
      <w:r w:rsidR="00917256" w:rsidRPr="00F27DDF">
        <w:rPr>
          <w:rFonts w:ascii="Times New Roman" w:hAnsi="Times New Roman" w:cs="Times New Roman"/>
          <w:sz w:val="24"/>
          <w:szCs w:val="24"/>
        </w:rPr>
        <w:t xml:space="preserve"> zwaną dalej „ustawą z</w:t>
      </w:r>
      <w:r w:rsidR="006702BC">
        <w:rPr>
          <w:rFonts w:ascii="Times New Roman" w:hAnsi="Times New Roman" w:cs="Times New Roman"/>
          <w:sz w:val="24"/>
          <w:szCs w:val="24"/>
        </w:rPr>
        <w:t xml:space="preserve"> </w:t>
      </w:r>
      <w:r w:rsidR="00917256" w:rsidRPr="00F27DDF">
        <w:rPr>
          <w:rFonts w:ascii="Times New Roman" w:hAnsi="Times New Roman" w:cs="Times New Roman"/>
          <w:sz w:val="24"/>
          <w:szCs w:val="24"/>
        </w:rPr>
        <w:t>dnia 24</w:t>
      </w:r>
      <w:r w:rsidR="006702BC">
        <w:rPr>
          <w:rFonts w:ascii="Times New Roman" w:hAnsi="Times New Roman" w:cs="Times New Roman"/>
          <w:sz w:val="24"/>
          <w:szCs w:val="24"/>
        </w:rPr>
        <w:t> </w:t>
      </w:r>
      <w:r w:rsidR="00917256" w:rsidRPr="00F27DDF">
        <w:rPr>
          <w:rFonts w:ascii="Times New Roman" w:hAnsi="Times New Roman" w:cs="Times New Roman"/>
          <w:sz w:val="24"/>
          <w:szCs w:val="24"/>
        </w:rPr>
        <w:t>listopada 2017 r.”</w:t>
      </w:r>
      <w:r w:rsidR="006702BC">
        <w:rPr>
          <w:rFonts w:ascii="Times New Roman" w:hAnsi="Times New Roman" w:cs="Times New Roman"/>
          <w:sz w:val="24"/>
          <w:szCs w:val="24"/>
        </w:rPr>
        <w:t>,</w:t>
      </w:r>
      <w:r w:rsidR="00917256" w:rsidRPr="00F27DDF">
        <w:rPr>
          <w:rFonts w:ascii="Times New Roman" w:hAnsi="Times New Roman" w:cs="Times New Roman"/>
          <w:sz w:val="24"/>
          <w:szCs w:val="24"/>
        </w:rPr>
        <w:t xml:space="preserve"> </w:t>
      </w:r>
      <w:r w:rsidRPr="00F27DDF">
        <w:rPr>
          <w:rFonts w:ascii="Times New Roman" w:hAnsi="Times New Roman" w:cs="Times New Roman"/>
          <w:sz w:val="24"/>
          <w:szCs w:val="24"/>
        </w:rPr>
        <w:t xml:space="preserve">do Ordynacji podatkowej (przede wszystkim nowy dział IIIB) oraz </w:t>
      </w:r>
      <w:r w:rsidR="0093595C">
        <w:rPr>
          <w:rFonts w:ascii="Times New Roman" w:hAnsi="Times New Roman" w:cs="Times New Roman"/>
          <w:sz w:val="24"/>
          <w:szCs w:val="24"/>
        </w:rPr>
        <w:t>innych ustaw (m.in. do ustawy z </w:t>
      </w:r>
      <w:r w:rsidRPr="00F27DDF">
        <w:rPr>
          <w:rFonts w:ascii="Times New Roman" w:hAnsi="Times New Roman" w:cs="Times New Roman"/>
          <w:sz w:val="24"/>
          <w:szCs w:val="24"/>
        </w:rPr>
        <w:t>dnia 16 listopada 2016</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r. o Krajowej Administracji Skarbowej</w:t>
      </w:r>
      <w:r w:rsidR="0093595C">
        <w:rPr>
          <w:rFonts w:ascii="Times New Roman" w:hAnsi="Times New Roman" w:cs="Times New Roman"/>
          <w:sz w:val="24"/>
          <w:szCs w:val="24"/>
        </w:rPr>
        <w:t xml:space="preserve"> oraz</w:t>
      </w:r>
      <w:r w:rsidRPr="00F27DDF">
        <w:rPr>
          <w:rFonts w:ascii="Times New Roman" w:hAnsi="Times New Roman" w:cs="Times New Roman"/>
          <w:sz w:val="24"/>
          <w:szCs w:val="24"/>
        </w:rPr>
        <w:t xml:space="preserve"> </w:t>
      </w:r>
      <w:r w:rsidR="00BA4099" w:rsidRPr="00F27DDF">
        <w:rPr>
          <w:rFonts w:ascii="Times New Roman" w:hAnsi="Times New Roman" w:cs="Times New Roman"/>
          <w:sz w:val="24"/>
          <w:szCs w:val="24"/>
        </w:rPr>
        <w:t>ustawy z dnia 11</w:t>
      </w:r>
      <w:r w:rsidR="0093595C">
        <w:rPr>
          <w:rFonts w:ascii="Times New Roman" w:hAnsi="Times New Roman" w:cs="Times New Roman"/>
          <w:sz w:val="24"/>
          <w:szCs w:val="24"/>
        </w:rPr>
        <w:t> </w:t>
      </w:r>
      <w:r w:rsidR="00BA4099" w:rsidRPr="00F27DDF">
        <w:rPr>
          <w:rFonts w:ascii="Times New Roman" w:hAnsi="Times New Roman" w:cs="Times New Roman"/>
          <w:sz w:val="24"/>
          <w:szCs w:val="24"/>
        </w:rPr>
        <w:t>marca 2004 r. o podatku od towarów i</w:t>
      </w:r>
      <w:r w:rsidR="00F27DDF">
        <w:rPr>
          <w:rFonts w:ascii="Times New Roman" w:hAnsi="Times New Roman" w:cs="Times New Roman"/>
          <w:sz w:val="24"/>
          <w:szCs w:val="24"/>
        </w:rPr>
        <w:t> </w:t>
      </w:r>
      <w:r w:rsidR="00BA4099" w:rsidRPr="00F27DDF">
        <w:rPr>
          <w:rFonts w:ascii="Times New Roman" w:hAnsi="Times New Roman" w:cs="Times New Roman"/>
          <w:sz w:val="24"/>
          <w:szCs w:val="24"/>
        </w:rPr>
        <w:t>usług) weszły w życie co do zasady z dniem 13 stycznia 2018 r. W zakresie przepisów dotyczących blokady rachunku podmiotu kwalifikowanego regulacje te weszły w życie z dniem 30 kwietnia 2018 r.</w:t>
      </w:r>
      <w:r w:rsidR="00917256" w:rsidRPr="00F27DDF">
        <w:rPr>
          <w:rFonts w:ascii="Times New Roman" w:hAnsi="Times New Roman" w:cs="Times New Roman"/>
          <w:sz w:val="24"/>
          <w:szCs w:val="24"/>
        </w:rPr>
        <w:t xml:space="preserve"> Stosowanie przepisów wprowadzonych ustawą z dnia 24</w:t>
      </w:r>
      <w:r w:rsidR="00F27DDF">
        <w:rPr>
          <w:rFonts w:ascii="Times New Roman" w:hAnsi="Times New Roman" w:cs="Times New Roman"/>
          <w:sz w:val="24"/>
          <w:szCs w:val="24"/>
        </w:rPr>
        <w:t> </w:t>
      </w:r>
      <w:r w:rsidR="00917256" w:rsidRPr="00F27DDF">
        <w:rPr>
          <w:rFonts w:ascii="Times New Roman" w:hAnsi="Times New Roman" w:cs="Times New Roman"/>
          <w:sz w:val="24"/>
          <w:szCs w:val="24"/>
        </w:rPr>
        <w:t xml:space="preserve">listopada 2017 r. oraz przygotowania do ich stosowania (np. w zakresie blokad – do dnia </w:t>
      </w:r>
      <w:r w:rsidR="00856BC5" w:rsidRPr="00F27DDF">
        <w:rPr>
          <w:rFonts w:ascii="Times New Roman" w:hAnsi="Times New Roman" w:cs="Times New Roman"/>
          <w:sz w:val="24"/>
          <w:szCs w:val="24"/>
        </w:rPr>
        <w:t>30</w:t>
      </w:r>
      <w:r w:rsidR="00917256" w:rsidRPr="00F27DDF">
        <w:rPr>
          <w:rFonts w:ascii="Times New Roman" w:hAnsi="Times New Roman" w:cs="Times New Roman"/>
          <w:sz w:val="24"/>
          <w:szCs w:val="24"/>
        </w:rPr>
        <w:t xml:space="preserve"> maja 2018 r. nie było żądania blokady)</w:t>
      </w:r>
      <w:r w:rsidR="00B97975" w:rsidRPr="00F27DDF">
        <w:rPr>
          <w:rFonts w:ascii="Times New Roman" w:hAnsi="Times New Roman" w:cs="Times New Roman"/>
          <w:sz w:val="24"/>
          <w:szCs w:val="24"/>
        </w:rPr>
        <w:t xml:space="preserve"> pokazały obszary, które wymagają interwencji legislacyjnej, w pełni były realizowane cele ustawy. </w:t>
      </w:r>
    </w:p>
    <w:p w:rsidR="00945657" w:rsidRPr="00F27DDF" w:rsidRDefault="00E7791C"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Niezbędne zmiany obejmują przepisy dotyczące blokad rachunku podmiotu kwalifikowanego. Do tej kategorii należą: zapewnienie spójności systemowej w</w:t>
      </w:r>
      <w:r w:rsidR="00F27DDF">
        <w:rPr>
          <w:rFonts w:ascii="Times New Roman" w:hAnsi="Times New Roman" w:cs="Times New Roman"/>
          <w:sz w:val="24"/>
          <w:szCs w:val="24"/>
        </w:rPr>
        <w:t> </w:t>
      </w:r>
      <w:r w:rsidRPr="00F27DDF">
        <w:rPr>
          <w:rFonts w:ascii="Times New Roman" w:hAnsi="Times New Roman" w:cs="Times New Roman"/>
          <w:sz w:val="24"/>
          <w:szCs w:val="24"/>
        </w:rPr>
        <w:t xml:space="preserve">zakresie blokad na krótki okres (do 72 godzin), wprowadzenie </w:t>
      </w:r>
      <w:r w:rsidR="00945657" w:rsidRPr="00F27DDF">
        <w:rPr>
          <w:rFonts w:ascii="Times New Roman" w:hAnsi="Times New Roman" w:cs="Times New Roman"/>
          <w:sz w:val="24"/>
          <w:szCs w:val="24"/>
        </w:rPr>
        <w:t>jednoznacznych i</w:t>
      </w:r>
      <w:r w:rsidR="00F27DDF">
        <w:rPr>
          <w:rFonts w:ascii="Times New Roman" w:hAnsi="Times New Roman" w:cs="Times New Roman"/>
          <w:sz w:val="24"/>
          <w:szCs w:val="24"/>
        </w:rPr>
        <w:t> </w:t>
      </w:r>
      <w:r w:rsidR="00945657" w:rsidRPr="00F27DDF">
        <w:rPr>
          <w:rFonts w:ascii="Times New Roman" w:hAnsi="Times New Roman" w:cs="Times New Roman"/>
          <w:sz w:val="24"/>
          <w:szCs w:val="24"/>
        </w:rPr>
        <w:t xml:space="preserve">szczegółowych </w:t>
      </w:r>
      <w:r w:rsidRPr="00F27DDF">
        <w:rPr>
          <w:rFonts w:ascii="Times New Roman" w:hAnsi="Times New Roman" w:cs="Times New Roman"/>
          <w:sz w:val="24"/>
          <w:szCs w:val="24"/>
        </w:rPr>
        <w:t xml:space="preserve">przepisów o informowaniu podmiotu kwalifikowanego o blokadzie przez bank w trybie wnioskowym oraz </w:t>
      </w:r>
      <w:r w:rsidR="007216A9" w:rsidRPr="00F27DDF">
        <w:rPr>
          <w:rFonts w:ascii="Times New Roman" w:hAnsi="Times New Roman" w:cs="Times New Roman"/>
          <w:sz w:val="24"/>
          <w:szCs w:val="24"/>
        </w:rPr>
        <w:t>z</w:t>
      </w:r>
      <w:r w:rsidRPr="00F27DDF">
        <w:rPr>
          <w:rFonts w:ascii="Times New Roman" w:hAnsi="Times New Roman" w:cs="Times New Roman"/>
          <w:sz w:val="24"/>
          <w:szCs w:val="24"/>
        </w:rPr>
        <w:t>miany doprecyzowujące przepisy o</w:t>
      </w:r>
      <w:r w:rsidR="00F27DDF">
        <w:rPr>
          <w:rFonts w:ascii="Times New Roman" w:hAnsi="Times New Roman" w:cs="Times New Roman"/>
          <w:sz w:val="24"/>
          <w:szCs w:val="24"/>
        </w:rPr>
        <w:t> </w:t>
      </w:r>
      <w:r w:rsidRPr="00F27DDF">
        <w:rPr>
          <w:rFonts w:ascii="Times New Roman" w:hAnsi="Times New Roman" w:cs="Times New Roman"/>
          <w:sz w:val="24"/>
          <w:szCs w:val="24"/>
        </w:rPr>
        <w:t>przedłużeniu blokady rachunku podmiotu kwalifikowanemu</w:t>
      </w:r>
      <w:r w:rsidR="007216A9" w:rsidRPr="00F27DDF">
        <w:rPr>
          <w:rFonts w:ascii="Times New Roman" w:hAnsi="Times New Roman" w:cs="Times New Roman"/>
          <w:sz w:val="24"/>
          <w:szCs w:val="24"/>
        </w:rPr>
        <w:t xml:space="preserve">. </w:t>
      </w:r>
    </w:p>
    <w:p w:rsidR="00945657" w:rsidRPr="00F27DDF" w:rsidRDefault="007216A9"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W związku </w:t>
      </w:r>
      <w:r w:rsidR="006702BC">
        <w:rPr>
          <w:rFonts w:ascii="Times New Roman" w:hAnsi="Times New Roman" w:cs="Times New Roman"/>
          <w:sz w:val="24"/>
          <w:szCs w:val="24"/>
        </w:rPr>
        <w:t xml:space="preserve">z </w:t>
      </w:r>
      <w:r w:rsidRPr="00F27DDF">
        <w:rPr>
          <w:rFonts w:ascii="Times New Roman" w:hAnsi="Times New Roman" w:cs="Times New Roman"/>
          <w:sz w:val="24"/>
          <w:szCs w:val="24"/>
        </w:rPr>
        <w:t xml:space="preserve">wejściem w życie od dnia 1 lipca 2018 r. ustawy </w:t>
      </w:r>
      <w:r w:rsidR="00856BC5" w:rsidRPr="00F27DDF">
        <w:rPr>
          <w:rFonts w:ascii="Times New Roman" w:hAnsi="Times New Roman" w:cs="Times New Roman"/>
          <w:sz w:val="24"/>
          <w:szCs w:val="24"/>
        </w:rPr>
        <w:t>z dnia 15 grudnia 2017 r. o</w:t>
      </w:r>
      <w:r w:rsidR="00F27DDF">
        <w:rPr>
          <w:rFonts w:ascii="Times New Roman" w:hAnsi="Times New Roman" w:cs="Times New Roman"/>
          <w:sz w:val="24"/>
          <w:szCs w:val="24"/>
        </w:rPr>
        <w:t> </w:t>
      </w:r>
      <w:r w:rsidR="00856BC5" w:rsidRPr="00F27DDF">
        <w:rPr>
          <w:rFonts w:ascii="Times New Roman" w:hAnsi="Times New Roman" w:cs="Times New Roman"/>
          <w:sz w:val="24"/>
          <w:szCs w:val="24"/>
        </w:rPr>
        <w:t xml:space="preserve">zmianie ustawy o podatku od towarów i usług oraz niektórych innych ustaw </w:t>
      </w:r>
      <w:r w:rsidRPr="00F27DDF">
        <w:rPr>
          <w:rFonts w:ascii="Times New Roman" w:hAnsi="Times New Roman" w:cs="Times New Roman"/>
          <w:sz w:val="24"/>
          <w:szCs w:val="24"/>
        </w:rPr>
        <w:t>wprowadzającej mechanizm podzielonej płatności (</w:t>
      </w:r>
      <w:proofErr w:type="spellStart"/>
      <w:r w:rsidRPr="0093595C">
        <w:rPr>
          <w:rFonts w:ascii="Times New Roman" w:hAnsi="Times New Roman" w:cs="Times New Roman"/>
          <w:i/>
          <w:sz w:val="24"/>
          <w:szCs w:val="24"/>
        </w:rPr>
        <w:t>split</w:t>
      </w:r>
      <w:proofErr w:type="spellEnd"/>
      <w:r w:rsidRPr="0093595C">
        <w:rPr>
          <w:rFonts w:ascii="Times New Roman" w:hAnsi="Times New Roman" w:cs="Times New Roman"/>
          <w:i/>
          <w:sz w:val="24"/>
          <w:szCs w:val="24"/>
        </w:rPr>
        <w:t xml:space="preserve"> </w:t>
      </w:r>
      <w:proofErr w:type="spellStart"/>
      <w:r w:rsidRPr="0093595C">
        <w:rPr>
          <w:rFonts w:ascii="Times New Roman" w:hAnsi="Times New Roman" w:cs="Times New Roman"/>
          <w:i/>
          <w:sz w:val="24"/>
          <w:szCs w:val="24"/>
        </w:rPr>
        <w:t>payment</w:t>
      </w:r>
      <w:proofErr w:type="spellEnd"/>
      <w:r w:rsidRPr="00F27DDF">
        <w:rPr>
          <w:rFonts w:ascii="Times New Roman" w:hAnsi="Times New Roman" w:cs="Times New Roman"/>
          <w:sz w:val="24"/>
          <w:szCs w:val="24"/>
        </w:rPr>
        <w:t xml:space="preserve">) definicją rachunku podmiotu kwalifikowanego </w:t>
      </w:r>
      <w:r w:rsidR="00695353" w:rsidRPr="00F27DDF">
        <w:rPr>
          <w:rFonts w:ascii="Times New Roman" w:hAnsi="Times New Roman" w:cs="Times New Roman"/>
          <w:sz w:val="24"/>
          <w:szCs w:val="24"/>
        </w:rPr>
        <w:t xml:space="preserve">objęto </w:t>
      </w:r>
      <w:r w:rsidRPr="00F27DDF">
        <w:rPr>
          <w:rFonts w:ascii="Times New Roman" w:hAnsi="Times New Roman" w:cs="Times New Roman"/>
          <w:sz w:val="24"/>
          <w:szCs w:val="24"/>
        </w:rPr>
        <w:t>także rachun</w:t>
      </w:r>
      <w:r w:rsidR="00695353" w:rsidRPr="00F27DDF">
        <w:rPr>
          <w:rFonts w:ascii="Times New Roman" w:hAnsi="Times New Roman" w:cs="Times New Roman"/>
          <w:sz w:val="24"/>
          <w:szCs w:val="24"/>
        </w:rPr>
        <w:t>e</w:t>
      </w:r>
      <w:r w:rsidRPr="00F27DDF">
        <w:rPr>
          <w:rFonts w:ascii="Times New Roman" w:hAnsi="Times New Roman" w:cs="Times New Roman"/>
          <w:sz w:val="24"/>
          <w:szCs w:val="24"/>
        </w:rPr>
        <w:t>k VAT funkcjonalnie związan</w:t>
      </w:r>
      <w:r w:rsidR="00695353" w:rsidRPr="00F27DDF">
        <w:rPr>
          <w:rFonts w:ascii="Times New Roman" w:hAnsi="Times New Roman" w:cs="Times New Roman"/>
          <w:sz w:val="24"/>
          <w:szCs w:val="24"/>
        </w:rPr>
        <w:t>y</w:t>
      </w:r>
      <w:r w:rsidRPr="00F27DDF">
        <w:rPr>
          <w:rFonts w:ascii="Times New Roman" w:hAnsi="Times New Roman" w:cs="Times New Roman"/>
          <w:sz w:val="24"/>
          <w:szCs w:val="24"/>
        </w:rPr>
        <w:t xml:space="preserve"> z</w:t>
      </w:r>
      <w:r w:rsidR="00F27DDF">
        <w:rPr>
          <w:rFonts w:ascii="Times New Roman" w:hAnsi="Times New Roman" w:cs="Times New Roman"/>
          <w:sz w:val="24"/>
          <w:szCs w:val="24"/>
        </w:rPr>
        <w:t> </w:t>
      </w:r>
      <w:r w:rsidRPr="00F27DDF">
        <w:rPr>
          <w:rFonts w:ascii="Times New Roman" w:hAnsi="Times New Roman" w:cs="Times New Roman"/>
          <w:sz w:val="24"/>
          <w:szCs w:val="24"/>
        </w:rPr>
        <w:t>raportowanymi bankowymi rachunkami rozliczeniowymi i rachunkami w</w:t>
      </w:r>
      <w:r w:rsidR="00F27DDF">
        <w:rPr>
          <w:rFonts w:ascii="Times New Roman" w:hAnsi="Times New Roman" w:cs="Times New Roman"/>
          <w:sz w:val="24"/>
          <w:szCs w:val="24"/>
        </w:rPr>
        <w:t> </w:t>
      </w:r>
      <w:r w:rsidRPr="00F27DDF">
        <w:rPr>
          <w:rFonts w:ascii="Times New Roman" w:hAnsi="Times New Roman" w:cs="Times New Roman"/>
          <w:sz w:val="24"/>
          <w:szCs w:val="24"/>
        </w:rPr>
        <w:t xml:space="preserve">spółdzielczych kasach oszczędnościowo-kredytowych. </w:t>
      </w:r>
      <w:r w:rsidR="00945657" w:rsidRPr="00F27DDF">
        <w:rPr>
          <w:rFonts w:ascii="Times New Roman" w:hAnsi="Times New Roman" w:cs="Times New Roman"/>
          <w:sz w:val="24"/>
          <w:szCs w:val="24"/>
        </w:rPr>
        <w:t>D</w:t>
      </w:r>
      <w:r w:rsidR="00542E36" w:rsidRPr="00F27DDF">
        <w:rPr>
          <w:rFonts w:ascii="Times New Roman" w:hAnsi="Times New Roman" w:cs="Times New Roman"/>
          <w:sz w:val="24"/>
          <w:szCs w:val="24"/>
        </w:rPr>
        <w:t xml:space="preserve">oprecyzowano niektóre </w:t>
      </w:r>
      <w:r w:rsidR="007754C4" w:rsidRPr="00F27DDF">
        <w:rPr>
          <w:rFonts w:ascii="Times New Roman" w:hAnsi="Times New Roman" w:cs="Times New Roman"/>
          <w:sz w:val="24"/>
          <w:szCs w:val="24"/>
        </w:rPr>
        <w:t xml:space="preserve">rozwiązania dotyczące </w:t>
      </w:r>
      <w:r w:rsidR="00542E36" w:rsidRPr="00F27DDF">
        <w:rPr>
          <w:rFonts w:ascii="Times New Roman" w:hAnsi="Times New Roman" w:cs="Times New Roman"/>
          <w:sz w:val="24"/>
          <w:szCs w:val="24"/>
        </w:rPr>
        <w:t>mechanizm</w:t>
      </w:r>
      <w:r w:rsidR="007754C4" w:rsidRPr="00F27DDF">
        <w:rPr>
          <w:rFonts w:ascii="Times New Roman" w:hAnsi="Times New Roman" w:cs="Times New Roman"/>
          <w:sz w:val="24"/>
          <w:szCs w:val="24"/>
        </w:rPr>
        <w:t>u</w:t>
      </w:r>
      <w:r w:rsidR="00542E36" w:rsidRPr="00F27DDF">
        <w:rPr>
          <w:rFonts w:ascii="Times New Roman" w:hAnsi="Times New Roman" w:cs="Times New Roman"/>
          <w:sz w:val="24"/>
          <w:szCs w:val="24"/>
        </w:rPr>
        <w:t xml:space="preserve"> podzielonej płatności (</w:t>
      </w:r>
      <w:r w:rsidR="007754C4" w:rsidRPr="00F27DDF">
        <w:rPr>
          <w:rFonts w:ascii="Times New Roman" w:hAnsi="Times New Roman" w:cs="Times New Roman"/>
          <w:sz w:val="24"/>
          <w:szCs w:val="24"/>
        </w:rPr>
        <w:t xml:space="preserve">wyłączenie obciążenia rachunku VAT, jeżeli rachunek odbiorcy jest prowadzony przez bank </w:t>
      </w:r>
      <w:r w:rsidR="0093595C" w:rsidRPr="00F27DDF">
        <w:rPr>
          <w:rFonts w:ascii="Times New Roman" w:hAnsi="Times New Roman" w:cs="Times New Roman"/>
          <w:sz w:val="24"/>
          <w:szCs w:val="24"/>
        </w:rPr>
        <w:t xml:space="preserve">zagraniczny </w:t>
      </w:r>
      <w:r w:rsidR="0093595C">
        <w:rPr>
          <w:rFonts w:ascii="Times New Roman" w:hAnsi="Times New Roman" w:cs="Times New Roman"/>
          <w:sz w:val="24"/>
          <w:szCs w:val="24"/>
        </w:rPr>
        <w:t>lub instytucję kredytową, które</w:t>
      </w:r>
      <w:r w:rsidR="007754C4" w:rsidRPr="00F27DDF">
        <w:rPr>
          <w:rFonts w:ascii="Times New Roman" w:hAnsi="Times New Roman" w:cs="Times New Roman"/>
          <w:sz w:val="24"/>
          <w:szCs w:val="24"/>
        </w:rPr>
        <w:t xml:space="preserve"> nie działa</w:t>
      </w:r>
      <w:r w:rsidR="0093595C">
        <w:rPr>
          <w:rFonts w:ascii="Times New Roman" w:hAnsi="Times New Roman" w:cs="Times New Roman"/>
          <w:sz w:val="24"/>
          <w:szCs w:val="24"/>
        </w:rPr>
        <w:t>ją</w:t>
      </w:r>
      <w:r w:rsidR="007754C4" w:rsidRPr="00F27DDF">
        <w:rPr>
          <w:rFonts w:ascii="Times New Roman" w:hAnsi="Times New Roman" w:cs="Times New Roman"/>
          <w:sz w:val="24"/>
          <w:szCs w:val="24"/>
        </w:rPr>
        <w:t xml:space="preserve"> w formie oddziału na terytorium Rzeczypospolitej Polskie</w:t>
      </w:r>
      <w:r w:rsidR="0093595C">
        <w:rPr>
          <w:rFonts w:ascii="Times New Roman" w:hAnsi="Times New Roman" w:cs="Times New Roman"/>
          <w:sz w:val="24"/>
          <w:szCs w:val="24"/>
        </w:rPr>
        <w:t>j</w:t>
      </w:r>
      <w:r w:rsidR="007754C4" w:rsidRPr="00F27DDF">
        <w:rPr>
          <w:rFonts w:ascii="Times New Roman" w:hAnsi="Times New Roman" w:cs="Times New Roman"/>
          <w:sz w:val="24"/>
          <w:szCs w:val="24"/>
        </w:rPr>
        <w:t>, a więc nie podlega</w:t>
      </w:r>
      <w:r w:rsidR="0093595C">
        <w:rPr>
          <w:rFonts w:ascii="Times New Roman" w:hAnsi="Times New Roman" w:cs="Times New Roman"/>
          <w:sz w:val="24"/>
          <w:szCs w:val="24"/>
        </w:rPr>
        <w:t>ją</w:t>
      </w:r>
      <w:r w:rsidR="007754C4" w:rsidRPr="00F27DDF">
        <w:rPr>
          <w:rFonts w:ascii="Times New Roman" w:hAnsi="Times New Roman" w:cs="Times New Roman"/>
          <w:sz w:val="24"/>
          <w:szCs w:val="24"/>
        </w:rPr>
        <w:t xml:space="preserve"> Prawu bankowemu; umożliwienie wyłączenia od odpowiedzialności solidarnej firm faktoringowych w określonej sytuacji</w:t>
      </w:r>
      <w:r w:rsidR="00542E36" w:rsidRPr="00F27DDF">
        <w:rPr>
          <w:rFonts w:ascii="Times New Roman" w:hAnsi="Times New Roman" w:cs="Times New Roman"/>
          <w:sz w:val="24"/>
          <w:szCs w:val="24"/>
        </w:rPr>
        <w:t xml:space="preserve">). </w:t>
      </w:r>
      <w:r w:rsidR="00945657" w:rsidRPr="00F27DDF">
        <w:rPr>
          <w:rFonts w:ascii="Times New Roman" w:hAnsi="Times New Roman" w:cs="Times New Roman"/>
          <w:sz w:val="24"/>
          <w:szCs w:val="24"/>
        </w:rPr>
        <w:t xml:space="preserve">W celu zwiększenia sprawności systemu </w:t>
      </w:r>
      <w:proofErr w:type="spellStart"/>
      <w:r w:rsidR="00945657" w:rsidRPr="0093595C">
        <w:rPr>
          <w:rFonts w:ascii="Times New Roman" w:hAnsi="Times New Roman" w:cs="Times New Roman"/>
          <w:i/>
          <w:sz w:val="24"/>
          <w:szCs w:val="24"/>
        </w:rPr>
        <w:t>split</w:t>
      </w:r>
      <w:proofErr w:type="spellEnd"/>
      <w:r w:rsidR="00945657" w:rsidRPr="0093595C">
        <w:rPr>
          <w:rFonts w:ascii="Times New Roman" w:hAnsi="Times New Roman" w:cs="Times New Roman"/>
          <w:i/>
          <w:sz w:val="24"/>
          <w:szCs w:val="24"/>
        </w:rPr>
        <w:t xml:space="preserve"> </w:t>
      </w:r>
      <w:proofErr w:type="spellStart"/>
      <w:r w:rsidR="00945657" w:rsidRPr="0093595C">
        <w:rPr>
          <w:rFonts w:ascii="Times New Roman" w:hAnsi="Times New Roman" w:cs="Times New Roman"/>
          <w:i/>
          <w:sz w:val="24"/>
          <w:szCs w:val="24"/>
        </w:rPr>
        <w:t>payment</w:t>
      </w:r>
      <w:proofErr w:type="spellEnd"/>
      <w:r w:rsidR="00945657" w:rsidRPr="00F27DDF">
        <w:rPr>
          <w:rFonts w:ascii="Times New Roman" w:hAnsi="Times New Roman" w:cs="Times New Roman"/>
          <w:sz w:val="24"/>
          <w:szCs w:val="24"/>
        </w:rPr>
        <w:t xml:space="preserve"> </w:t>
      </w:r>
      <w:r w:rsidR="007754C4" w:rsidRPr="00F27DDF">
        <w:rPr>
          <w:rFonts w:ascii="Times New Roman" w:hAnsi="Times New Roman" w:cs="Times New Roman"/>
          <w:sz w:val="24"/>
          <w:szCs w:val="24"/>
        </w:rPr>
        <w:t>umożliwi</w:t>
      </w:r>
      <w:r w:rsidR="00945657" w:rsidRPr="00F27DDF">
        <w:rPr>
          <w:rFonts w:ascii="Times New Roman" w:hAnsi="Times New Roman" w:cs="Times New Roman"/>
          <w:sz w:val="24"/>
          <w:szCs w:val="24"/>
        </w:rPr>
        <w:t>ono</w:t>
      </w:r>
      <w:r w:rsidR="007754C4" w:rsidRPr="00F27DDF">
        <w:rPr>
          <w:rFonts w:ascii="Times New Roman" w:hAnsi="Times New Roman" w:cs="Times New Roman"/>
          <w:sz w:val="24"/>
          <w:szCs w:val="24"/>
        </w:rPr>
        <w:t xml:space="preserve"> wykorzystani</w:t>
      </w:r>
      <w:r w:rsidR="00945657" w:rsidRPr="00F27DDF">
        <w:rPr>
          <w:rFonts w:ascii="Times New Roman" w:hAnsi="Times New Roman" w:cs="Times New Roman"/>
          <w:sz w:val="24"/>
          <w:szCs w:val="24"/>
        </w:rPr>
        <w:t>e</w:t>
      </w:r>
      <w:r w:rsidR="007754C4" w:rsidRPr="00F27DDF">
        <w:rPr>
          <w:rFonts w:ascii="Times New Roman" w:hAnsi="Times New Roman" w:cs="Times New Roman"/>
          <w:sz w:val="24"/>
          <w:szCs w:val="24"/>
        </w:rPr>
        <w:t xml:space="preserve"> </w:t>
      </w:r>
      <w:r w:rsidR="007754C4" w:rsidRPr="00F27DDF">
        <w:rPr>
          <w:rFonts w:ascii="Times New Roman" w:hAnsi="Times New Roman" w:cs="Times New Roman"/>
          <w:sz w:val="24"/>
          <w:szCs w:val="24"/>
        </w:rPr>
        <w:lastRenderedPageBreak/>
        <w:t>kanału STIR do przesyłania przez naczelnika urzędu skarbowego bankowi lub SKOK-owi informacji o</w:t>
      </w:r>
      <w:r w:rsidR="00F27DDF">
        <w:rPr>
          <w:rFonts w:ascii="Times New Roman" w:hAnsi="Times New Roman" w:cs="Times New Roman"/>
          <w:sz w:val="24"/>
          <w:szCs w:val="24"/>
        </w:rPr>
        <w:t xml:space="preserve"> </w:t>
      </w:r>
      <w:r w:rsidR="007754C4" w:rsidRPr="00F27DDF">
        <w:rPr>
          <w:rFonts w:ascii="Times New Roman" w:hAnsi="Times New Roman" w:cs="Times New Roman"/>
          <w:sz w:val="24"/>
          <w:szCs w:val="24"/>
        </w:rPr>
        <w:t>postanowieniu o uwolnieniu środków z rachunku VAT</w:t>
      </w:r>
      <w:r w:rsidR="00945657" w:rsidRPr="00F27DDF">
        <w:rPr>
          <w:rFonts w:ascii="Times New Roman" w:hAnsi="Times New Roman" w:cs="Times New Roman"/>
          <w:sz w:val="24"/>
          <w:szCs w:val="24"/>
        </w:rPr>
        <w:t xml:space="preserve">. </w:t>
      </w:r>
    </w:p>
    <w:p w:rsidR="00C36C71" w:rsidRPr="00F27DDF" w:rsidRDefault="00542E36"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W ustawie </w:t>
      </w:r>
      <w:r w:rsidR="002C3726" w:rsidRPr="00F27DDF">
        <w:rPr>
          <w:rFonts w:ascii="Times New Roman" w:hAnsi="Times New Roman" w:cs="Times New Roman"/>
          <w:sz w:val="24"/>
          <w:szCs w:val="24"/>
        </w:rPr>
        <w:t xml:space="preserve">z dnia 11 marca 2004 r. </w:t>
      </w:r>
      <w:r w:rsidRPr="00F27DDF">
        <w:rPr>
          <w:rFonts w:ascii="Times New Roman" w:hAnsi="Times New Roman" w:cs="Times New Roman"/>
          <w:sz w:val="24"/>
          <w:szCs w:val="24"/>
        </w:rPr>
        <w:t>o podatku od towarów i usług zaproponowano zmiany mające na celu zapewnienie większej kompletności i czytelności tzw. Black List</w:t>
      </w:r>
      <w:r w:rsidR="000D25F9" w:rsidRPr="00F27DDF">
        <w:rPr>
          <w:rFonts w:ascii="Times New Roman" w:hAnsi="Times New Roman" w:cs="Times New Roman"/>
          <w:sz w:val="24"/>
          <w:szCs w:val="24"/>
        </w:rPr>
        <w:t xml:space="preserve"> (m.in.: uwzględnianie odmów rejestracji w wyniku decyzji, wpisywanie wzmianki o</w:t>
      </w:r>
      <w:r w:rsidR="00F27DDF">
        <w:rPr>
          <w:rFonts w:ascii="Times New Roman" w:hAnsi="Times New Roman" w:cs="Times New Roman"/>
          <w:sz w:val="24"/>
          <w:szCs w:val="24"/>
        </w:rPr>
        <w:t> </w:t>
      </w:r>
      <w:r w:rsidR="000D25F9" w:rsidRPr="00F27DDF">
        <w:rPr>
          <w:rFonts w:ascii="Times New Roman" w:hAnsi="Times New Roman" w:cs="Times New Roman"/>
          <w:sz w:val="24"/>
          <w:szCs w:val="24"/>
        </w:rPr>
        <w:t>dacie wykreślenia z rejestru VAT z powodu zaprzestania działalności lub śmierci podatnika, uwzględnianie kompletnych podstaw przywrócenia)</w:t>
      </w:r>
      <w:r w:rsidRPr="00F27DDF">
        <w:rPr>
          <w:rFonts w:ascii="Times New Roman" w:hAnsi="Times New Roman" w:cs="Times New Roman"/>
          <w:sz w:val="24"/>
          <w:szCs w:val="24"/>
        </w:rPr>
        <w:t>.</w:t>
      </w:r>
      <w:r w:rsidR="000D25F9" w:rsidRPr="00F27DDF">
        <w:rPr>
          <w:rFonts w:ascii="Times New Roman" w:hAnsi="Times New Roman" w:cs="Times New Roman"/>
          <w:sz w:val="24"/>
          <w:szCs w:val="24"/>
        </w:rPr>
        <w:t xml:space="preserve"> Zmiany w tym zakresie będą stanowić wsparcie przedsiębiorców w prawidłowym wykonywaniu obowiązków podatkowych m.in. poprzez możliwość weryfikacji rzetelności działania swoich kontrahentów.</w:t>
      </w:r>
      <w:r w:rsidR="00F27DDF">
        <w:rPr>
          <w:rFonts w:ascii="Times New Roman" w:hAnsi="Times New Roman" w:cs="Times New Roman"/>
          <w:sz w:val="24"/>
          <w:szCs w:val="24"/>
        </w:rPr>
        <w:t xml:space="preserve"> </w:t>
      </w:r>
    </w:p>
    <w:p w:rsidR="0054444B" w:rsidRPr="00F27DDF" w:rsidRDefault="00542E36"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Z</w:t>
      </w:r>
      <w:r w:rsidR="0054444B" w:rsidRPr="00F27DDF">
        <w:rPr>
          <w:rFonts w:ascii="Times New Roman" w:hAnsi="Times New Roman" w:cs="Times New Roman"/>
          <w:sz w:val="24"/>
          <w:szCs w:val="24"/>
        </w:rPr>
        <w:t>większeniu</w:t>
      </w:r>
      <w:r w:rsidRPr="00F27DDF">
        <w:rPr>
          <w:rFonts w:ascii="Times New Roman" w:hAnsi="Times New Roman" w:cs="Times New Roman"/>
          <w:sz w:val="24"/>
          <w:szCs w:val="24"/>
        </w:rPr>
        <w:t xml:space="preserve"> skuteczności analizy ryzyka ma </w:t>
      </w:r>
      <w:r w:rsidR="0054444B" w:rsidRPr="00F27DDF">
        <w:rPr>
          <w:rFonts w:ascii="Times New Roman" w:hAnsi="Times New Roman" w:cs="Times New Roman"/>
          <w:sz w:val="24"/>
          <w:szCs w:val="24"/>
        </w:rPr>
        <w:t>służyć rozszerzenie zakresu danych przesyłanych codziennie przez banki (przesyłanie informacji m.in. o adresach IP, o</w:t>
      </w:r>
      <w:r w:rsidR="00F27DDF">
        <w:rPr>
          <w:rFonts w:ascii="Times New Roman" w:hAnsi="Times New Roman" w:cs="Times New Roman"/>
          <w:sz w:val="24"/>
          <w:szCs w:val="24"/>
        </w:rPr>
        <w:t> </w:t>
      </w:r>
      <w:r w:rsidR="0054444B" w:rsidRPr="00F27DDF">
        <w:rPr>
          <w:rFonts w:ascii="Times New Roman" w:hAnsi="Times New Roman" w:cs="Times New Roman"/>
          <w:sz w:val="24"/>
          <w:szCs w:val="24"/>
        </w:rPr>
        <w:t xml:space="preserve">innych blokadach oraz zajęciach wierzytelności, o pełnomocnikach (pojęcie to zostało zdefiniowane) </w:t>
      </w:r>
      <w:r w:rsidR="000275DF" w:rsidRPr="00F27DDF">
        <w:rPr>
          <w:rFonts w:ascii="Times New Roman" w:hAnsi="Times New Roman" w:cs="Times New Roman"/>
          <w:sz w:val="24"/>
          <w:szCs w:val="24"/>
        </w:rPr>
        <w:t>oraz obję</w:t>
      </w:r>
      <w:r w:rsidR="0054444B" w:rsidRPr="00F27DDF">
        <w:rPr>
          <w:rFonts w:ascii="Times New Roman" w:hAnsi="Times New Roman" w:cs="Times New Roman"/>
          <w:sz w:val="24"/>
          <w:szCs w:val="24"/>
        </w:rPr>
        <w:t xml:space="preserve">cie </w:t>
      </w:r>
      <w:r w:rsidR="00DC21D5" w:rsidRPr="00F27DDF">
        <w:rPr>
          <w:rFonts w:ascii="Times New Roman" w:hAnsi="Times New Roman" w:cs="Times New Roman"/>
          <w:sz w:val="24"/>
          <w:szCs w:val="24"/>
        </w:rPr>
        <w:t>d</w:t>
      </w:r>
      <w:r w:rsidR="0054444B" w:rsidRPr="00F27DDF">
        <w:rPr>
          <w:rFonts w:ascii="Times New Roman" w:hAnsi="Times New Roman" w:cs="Times New Roman"/>
          <w:sz w:val="24"/>
          <w:szCs w:val="24"/>
        </w:rPr>
        <w:t>efinicj</w:t>
      </w:r>
      <w:r w:rsidR="00DC21D5" w:rsidRPr="00F27DDF">
        <w:rPr>
          <w:rFonts w:ascii="Times New Roman" w:hAnsi="Times New Roman" w:cs="Times New Roman"/>
          <w:sz w:val="24"/>
          <w:szCs w:val="24"/>
        </w:rPr>
        <w:t>ą</w:t>
      </w:r>
      <w:r w:rsidR="0054444B" w:rsidRPr="00F27DDF">
        <w:rPr>
          <w:rFonts w:ascii="Times New Roman" w:hAnsi="Times New Roman" w:cs="Times New Roman"/>
          <w:sz w:val="24"/>
          <w:szCs w:val="24"/>
        </w:rPr>
        <w:t xml:space="preserve"> rachunku podmiotu kwalifikowanego </w:t>
      </w:r>
      <w:r w:rsidR="00DC21D5" w:rsidRPr="00F27DDF">
        <w:rPr>
          <w:rFonts w:ascii="Times New Roman" w:hAnsi="Times New Roman" w:cs="Times New Roman"/>
          <w:sz w:val="24"/>
          <w:szCs w:val="24"/>
        </w:rPr>
        <w:t xml:space="preserve">rachunku lokaty terminowej podmiotu kwalifikowanego. </w:t>
      </w:r>
      <w:r w:rsidR="000275DF" w:rsidRPr="00F27DDF">
        <w:rPr>
          <w:rFonts w:ascii="Times New Roman" w:hAnsi="Times New Roman" w:cs="Times New Roman"/>
          <w:sz w:val="24"/>
          <w:szCs w:val="24"/>
        </w:rPr>
        <w:t>To ostatnie rozwiązanie ma na celu właściwe ust</w:t>
      </w:r>
      <w:r w:rsidR="009F2213" w:rsidRPr="00F27DDF">
        <w:rPr>
          <w:rFonts w:ascii="Times New Roman" w:hAnsi="Times New Roman" w:cs="Times New Roman"/>
          <w:sz w:val="24"/>
          <w:szCs w:val="24"/>
        </w:rPr>
        <w:t>ale</w:t>
      </w:r>
      <w:r w:rsidR="000275DF" w:rsidRPr="00F27DDF">
        <w:rPr>
          <w:rFonts w:ascii="Times New Roman" w:hAnsi="Times New Roman" w:cs="Times New Roman"/>
          <w:sz w:val="24"/>
          <w:szCs w:val="24"/>
        </w:rPr>
        <w:t xml:space="preserve">nie sald oraz uniemożliwienie transferu środków poprzez rachunek lokaty terminowej. </w:t>
      </w:r>
    </w:p>
    <w:p w:rsidR="005C3F1F" w:rsidRPr="00F27DDF" w:rsidRDefault="000275DF" w:rsidP="00F27DDF">
      <w:pPr>
        <w:spacing w:before="240" w:after="0" w:line="360" w:lineRule="auto"/>
        <w:ind w:left="406" w:hanging="406"/>
        <w:jc w:val="both"/>
        <w:rPr>
          <w:rFonts w:ascii="Times New Roman" w:hAnsi="Times New Roman" w:cs="Times New Roman"/>
          <w:b/>
          <w:sz w:val="24"/>
          <w:szCs w:val="24"/>
        </w:rPr>
      </w:pPr>
      <w:r w:rsidRPr="00F27DDF">
        <w:rPr>
          <w:rFonts w:ascii="Times New Roman" w:hAnsi="Times New Roman" w:cs="Times New Roman"/>
          <w:b/>
          <w:sz w:val="24"/>
          <w:szCs w:val="24"/>
        </w:rPr>
        <w:t>I</w:t>
      </w:r>
      <w:r w:rsidR="00F27DDF">
        <w:rPr>
          <w:rFonts w:ascii="Times New Roman" w:hAnsi="Times New Roman" w:cs="Times New Roman"/>
          <w:b/>
          <w:sz w:val="24"/>
          <w:szCs w:val="24"/>
        </w:rPr>
        <w:t>I.</w:t>
      </w:r>
      <w:r w:rsidR="00F27DDF">
        <w:rPr>
          <w:rFonts w:ascii="Times New Roman" w:hAnsi="Times New Roman" w:cs="Times New Roman"/>
          <w:b/>
          <w:sz w:val="24"/>
          <w:szCs w:val="24"/>
        </w:rPr>
        <w:tab/>
      </w:r>
      <w:r w:rsidR="00AB11F1" w:rsidRPr="00F27DDF">
        <w:rPr>
          <w:rFonts w:ascii="Times New Roman" w:hAnsi="Times New Roman" w:cs="Times New Roman"/>
          <w:b/>
          <w:sz w:val="24"/>
          <w:szCs w:val="24"/>
        </w:rPr>
        <w:t>Ustawa z dnia 29 sierpnia 1997 r. – Ordynacja podatkowa (art. 1 projektu)</w:t>
      </w:r>
    </w:p>
    <w:p w:rsidR="005C3F1F" w:rsidRPr="00F27DDF" w:rsidRDefault="00F27DDF" w:rsidP="00F27DDF">
      <w:pPr>
        <w:spacing w:before="120" w:after="0" w:line="360" w:lineRule="auto"/>
        <w:ind w:left="322" w:hanging="322"/>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rPr>
        <w:tab/>
      </w:r>
      <w:r w:rsidR="00AB11F1" w:rsidRPr="00F27DDF">
        <w:rPr>
          <w:rFonts w:ascii="Times New Roman" w:hAnsi="Times New Roman" w:cs="Times New Roman"/>
          <w:b/>
          <w:sz w:val="24"/>
          <w:szCs w:val="24"/>
        </w:rPr>
        <w:t>Dodanie definicji pełnomocnika do rachunku podmiotu kwalifikowanego</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Przepisy działu IIIB Ordynacji podatkowej przewidują przesyłanie danych pełnomocnika do rachunku podmiotu kwalifikowanego, datę jego ustanowienia i zakres umocowania (art. 119zm § 1 pkt 4, art. 119zr § 1 pkt 5 oraz § 2 pkt 1 i 2 Ordynacji podatkowej). Intencją projektodawcy jest, aby pojęcie pełnomocnika do rachunku podmiotu kwalifikowanego było jednolicie rozumiane przez banki i spółdzielcze kasy oszczędnościowo-kredytowe</w:t>
      </w:r>
      <w:r w:rsidR="00A16F17" w:rsidRPr="00F27DDF">
        <w:rPr>
          <w:rFonts w:ascii="Times New Roman" w:hAnsi="Times New Roman" w:cs="Times New Roman"/>
          <w:sz w:val="24"/>
          <w:szCs w:val="24"/>
        </w:rPr>
        <w:t xml:space="preserve"> (SKOK)</w:t>
      </w:r>
      <w:r w:rsidRPr="00F27DDF">
        <w:rPr>
          <w:rFonts w:ascii="Times New Roman" w:hAnsi="Times New Roman" w:cs="Times New Roman"/>
          <w:sz w:val="24"/>
          <w:szCs w:val="24"/>
        </w:rPr>
        <w:t>. Proponuje się, aby pojęcie pełnomocnika do rachunku podmiotu kwalifikowanego obejmowało osobę umocowaną do składania dyspozycji dotyczących rachunku podmiotu kwalifikowanego, do dokonywania wpłat gotówkowych na rachunek podmiotu kwalifikowanego lub wypłat gotówkowych z tego rachunku, w imieniu jego posiadacza, w tym użytkownika karty płatniczej w</w:t>
      </w:r>
      <w:r w:rsidR="00F27DDF">
        <w:rPr>
          <w:rFonts w:ascii="Times New Roman" w:hAnsi="Times New Roman" w:cs="Times New Roman"/>
          <w:sz w:val="24"/>
          <w:szCs w:val="24"/>
        </w:rPr>
        <w:t> </w:t>
      </w:r>
      <w:r w:rsidRPr="00F27DDF">
        <w:rPr>
          <w:rFonts w:ascii="Times New Roman" w:hAnsi="Times New Roman" w:cs="Times New Roman"/>
          <w:sz w:val="24"/>
          <w:szCs w:val="24"/>
        </w:rPr>
        <w:t xml:space="preserve">rozumieniu </w:t>
      </w:r>
      <w:r w:rsidR="00D70068" w:rsidRPr="00F27DDF">
        <w:rPr>
          <w:rFonts w:ascii="Times New Roman" w:hAnsi="Times New Roman" w:cs="Times New Roman"/>
          <w:sz w:val="24"/>
          <w:szCs w:val="24"/>
        </w:rPr>
        <w:t xml:space="preserve">art. 2 pkt 15a </w:t>
      </w:r>
      <w:r w:rsidRPr="00F27DDF">
        <w:rPr>
          <w:rFonts w:ascii="Times New Roman" w:hAnsi="Times New Roman" w:cs="Times New Roman"/>
          <w:sz w:val="24"/>
          <w:szCs w:val="24"/>
        </w:rPr>
        <w:t>ustawy z dnia 19 sierpnia 2011</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r. o usługach płatniczych wydanej do rachunku podmiotu kwalifikowanego (</w:t>
      </w:r>
      <w:r w:rsidRPr="00F27DDF">
        <w:rPr>
          <w:rFonts w:ascii="Times New Roman" w:hAnsi="Times New Roman" w:cs="Times New Roman"/>
          <w:b/>
          <w:sz w:val="24"/>
          <w:szCs w:val="24"/>
        </w:rPr>
        <w:t>projektowany art. 119zg pkt 3a Ordynacji podatkowej</w:t>
      </w:r>
      <w:r w:rsidRPr="00F27DDF">
        <w:rPr>
          <w:rFonts w:ascii="Times New Roman" w:hAnsi="Times New Roman" w:cs="Times New Roman"/>
          <w:sz w:val="24"/>
          <w:szCs w:val="24"/>
        </w:rPr>
        <w:t xml:space="preserve">). Zmiana ta ma charakter doprecyzowujący i stanowi potwierdzenie </w:t>
      </w:r>
      <w:r w:rsidRPr="00F27DDF">
        <w:rPr>
          <w:rFonts w:ascii="Times New Roman" w:hAnsi="Times New Roman" w:cs="Times New Roman"/>
          <w:sz w:val="24"/>
          <w:szCs w:val="24"/>
        </w:rPr>
        <w:lastRenderedPageBreak/>
        <w:t>wykładni przedstawionej w objaśnieniach podatkowych z dnia 6</w:t>
      </w:r>
      <w:r w:rsidR="005C3F1F" w:rsidRPr="00F27DDF">
        <w:rPr>
          <w:rFonts w:ascii="Times New Roman" w:hAnsi="Times New Roman" w:cs="Times New Roman"/>
          <w:sz w:val="24"/>
          <w:szCs w:val="24"/>
        </w:rPr>
        <w:t xml:space="preserve"> kwietnia 2018 r. </w:t>
      </w:r>
      <w:r w:rsidRPr="00F27DDF">
        <w:rPr>
          <w:rFonts w:ascii="Times New Roman" w:hAnsi="Times New Roman" w:cs="Times New Roman"/>
          <w:sz w:val="24"/>
          <w:szCs w:val="24"/>
        </w:rPr>
        <w:t xml:space="preserve">dotyczących stosowania przepisów wprowadzonych ustawą z dnia 24 listopada 2017 r. </w:t>
      </w:r>
    </w:p>
    <w:p w:rsidR="005C3F1F" w:rsidRPr="00F27DDF" w:rsidRDefault="00F27DDF" w:rsidP="00F27DDF">
      <w:pPr>
        <w:spacing w:before="120" w:after="0" w:line="360" w:lineRule="auto"/>
        <w:ind w:left="322" w:hanging="322"/>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00AB11F1" w:rsidRPr="00F27DDF">
        <w:rPr>
          <w:rFonts w:ascii="Times New Roman" w:hAnsi="Times New Roman" w:cs="Times New Roman"/>
          <w:b/>
          <w:sz w:val="24"/>
          <w:szCs w:val="24"/>
        </w:rPr>
        <w:t>Zmiany w zakresie biegu terminów</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Zmiany dotyczą </w:t>
      </w:r>
      <w:r w:rsidRPr="00F27DDF">
        <w:rPr>
          <w:rFonts w:ascii="Times New Roman" w:hAnsi="Times New Roman" w:cs="Times New Roman"/>
          <w:b/>
          <w:sz w:val="24"/>
          <w:szCs w:val="24"/>
        </w:rPr>
        <w:t>art. 119zl § 1 Ordynacji podatkowej</w:t>
      </w:r>
      <w:r w:rsidRPr="00F27DDF">
        <w:rPr>
          <w:rFonts w:ascii="Times New Roman" w:hAnsi="Times New Roman" w:cs="Times New Roman"/>
          <w:sz w:val="24"/>
          <w:szCs w:val="24"/>
        </w:rPr>
        <w:t>. Przepis ten formułuje zasadę niewliczania do biegu terminów sobót ani dni ustawowo wolnych od pracy, wprowadzając jednocześnie wyjątki. Proponowane zmiany polegają na wyłączeniu z</w:t>
      </w:r>
      <w:r w:rsidR="00F27DDF">
        <w:rPr>
          <w:rFonts w:ascii="Times New Roman" w:hAnsi="Times New Roman" w:cs="Times New Roman"/>
          <w:sz w:val="24"/>
          <w:szCs w:val="24"/>
        </w:rPr>
        <w:t> </w:t>
      </w:r>
      <w:r w:rsidRPr="00F27DDF">
        <w:rPr>
          <w:rFonts w:ascii="Times New Roman" w:hAnsi="Times New Roman" w:cs="Times New Roman"/>
          <w:sz w:val="24"/>
          <w:szCs w:val="24"/>
        </w:rPr>
        <w:t xml:space="preserve">katalogu wyjątków przepisu art. 119zzb § 2 Ordynacji podatkowej (termin rozpatrzenia zażalenia przez Szefa Krajowej Administracji Skarbowej) i włączeniu do tego katalogu przepisu art. 119zw § 1 Ordynacji podatkowej (termin przedłużenia blokady rachunku podmiotu kwalifikowanego). W konsekwencji tych zmian do </w:t>
      </w:r>
      <w:r w:rsidR="00F27DDF">
        <w:rPr>
          <w:rFonts w:ascii="Times New Roman" w:hAnsi="Times New Roman" w:cs="Times New Roman"/>
          <w:sz w:val="24"/>
          <w:szCs w:val="24"/>
        </w:rPr>
        <w:t>7</w:t>
      </w:r>
      <w:r w:rsidR="00F27DDF">
        <w:rPr>
          <w:rFonts w:ascii="Times New Roman" w:hAnsi="Times New Roman" w:cs="Times New Roman"/>
          <w:sz w:val="24"/>
          <w:szCs w:val="24"/>
        </w:rPr>
        <w:noBreakHyphen/>
      </w:r>
      <w:r w:rsidRPr="00F27DDF">
        <w:rPr>
          <w:rFonts w:ascii="Times New Roman" w:hAnsi="Times New Roman" w:cs="Times New Roman"/>
          <w:sz w:val="24"/>
          <w:szCs w:val="24"/>
        </w:rPr>
        <w:t>dniowego terminu rozpatrzenia zażalenia przez Szefa Krajowej Administracji Skarbowej nie będą wliczane soboty ani dni ustawowo wolne od pracy, natomiast termin przedłużenia blokady rachunku podmiotu kwalifikowanego będzie liczony z</w:t>
      </w:r>
      <w:r w:rsidR="00F27DDF">
        <w:rPr>
          <w:rFonts w:ascii="Times New Roman" w:hAnsi="Times New Roman" w:cs="Times New Roman"/>
          <w:sz w:val="24"/>
          <w:szCs w:val="24"/>
        </w:rPr>
        <w:t> </w:t>
      </w:r>
      <w:r w:rsidRPr="00F27DDF">
        <w:rPr>
          <w:rFonts w:ascii="Times New Roman" w:hAnsi="Times New Roman" w:cs="Times New Roman"/>
          <w:sz w:val="24"/>
          <w:szCs w:val="24"/>
        </w:rPr>
        <w:t>uwzględnieniem sobót i dni ustawowo wolnych od pracy. W pierwszym przypadku zmiana ma na celu racjonalizację terminu rozpatrzenia zażalenia. Termin ten liczony według dotychczasowych zasad mógłby okazać się zbyt krótki. W drugim przypadku niewliczanie do terminu przedłużenia blokady sobót i dni ustawowo wolnych od pracy faktycznie oznaczałoby przedłużenie tej blokady poza ustawowy okres 3 miesięcy, co</w:t>
      </w:r>
      <w:r w:rsidR="00F27DDF">
        <w:rPr>
          <w:rFonts w:ascii="Times New Roman" w:hAnsi="Times New Roman" w:cs="Times New Roman"/>
          <w:sz w:val="24"/>
          <w:szCs w:val="24"/>
        </w:rPr>
        <w:t> </w:t>
      </w:r>
      <w:r w:rsidRPr="00F27DDF">
        <w:rPr>
          <w:rFonts w:ascii="Times New Roman" w:hAnsi="Times New Roman" w:cs="Times New Roman"/>
          <w:sz w:val="24"/>
          <w:szCs w:val="24"/>
        </w:rPr>
        <w:t>nie jest intencją projektodawcy.</w:t>
      </w:r>
    </w:p>
    <w:p w:rsidR="005C3F1F" w:rsidRPr="00F27DDF" w:rsidRDefault="00F27DDF" w:rsidP="00F27DDF">
      <w:pPr>
        <w:spacing w:before="120" w:after="0" w:line="360" w:lineRule="auto"/>
        <w:ind w:left="322" w:hanging="322"/>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AB11F1" w:rsidRPr="00F27DDF">
        <w:rPr>
          <w:rFonts w:ascii="Times New Roman" w:hAnsi="Times New Roman" w:cs="Times New Roman"/>
          <w:b/>
          <w:sz w:val="24"/>
          <w:szCs w:val="24"/>
        </w:rPr>
        <w:t xml:space="preserve">Zapewnienie spójności systemowej w zakresie blokad na krótki okres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W </w:t>
      </w:r>
      <w:r w:rsidRPr="00F27DDF">
        <w:rPr>
          <w:rFonts w:ascii="Times New Roman" w:hAnsi="Times New Roman" w:cs="Times New Roman"/>
          <w:b/>
          <w:sz w:val="24"/>
          <w:szCs w:val="24"/>
        </w:rPr>
        <w:t>art. 119zzb w § 1 i 5</w:t>
      </w:r>
      <w:r w:rsidRPr="00F27DDF">
        <w:rPr>
          <w:rFonts w:ascii="Times New Roman" w:hAnsi="Times New Roman" w:cs="Times New Roman"/>
          <w:sz w:val="24"/>
          <w:szCs w:val="24"/>
        </w:rPr>
        <w:t xml:space="preserve"> </w:t>
      </w:r>
      <w:r w:rsidRPr="00F27DDF">
        <w:rPr>
          <w:rFonts w:ascii="Times New Roman" w:hAnsi="Times New Roman" w:cs="Times New Roman"/>
          <w:b/>
          <w:sz w:val="24"/>
          <w:szCs w:val="24"/>
        </w:rPr>
        <w:t>Ordynacji podatkowej</w:t>
      </w:r>
      <w:r w:rsidRPr="00F27DDF">
        <w:rPr>
          <w:rFonts w:ascii="Times New Roman" w:hAnsi="Times New Roman" w:cs="Times New Roman"/>
          <w:sz w:val="24"/>
          <w:szCs w:val="24"/>
        </w:rPr>
        <w:t xml:space="preserve"> proponuje się skreślenie odesłań do art. 119zv § 1 i 7 tej ustawy, znosząc tym samym możliwość zaskarżenia blokad</w:t>
      </w:r>
      <w:r w:rsidR="00232DE4" w:rsidRPr="00F27DDF">
        <w:rPr>
          <w:rFonts w:ascii="Times New Roman" w:hAnsi="Times New Roman" w:cs="Times New Roman"/>
          <w:sz w:val="24"/>
          <w:szCs w:val="24"/>
        </w:rPr>
        <w:t>y</w:t>
      </w:r>
      <w:r w:rsidRPr="00F27DDF">
        <w:rPr>
          <w:rFonts w:ascii="Times New Roman" w:hAnsi="Times New Roman" w:cs="Times New Roman"/>
          <w:sz w:val="24"/>
          <w:szCs w:val="24"/>
        </w:rPr>
        <w:t xml:space="preserve"> rachunku podmiotu kwalifikowanego na okres do 72 godzin oraz </w:t>
      </w:r>
      <w:r w:rsidR="00232DE4" w:rsidRPr="00F27DDF">
        <w:rPr>
          <w:rFonts w:ascii="Times New Roman" w:hAnsi="Times New Roman" w:cs="Times New Roman"/>
          <w:sz w:val="24"/>
          <w:szCs w:val="24"/>
        </w:rPr>
        <w:t xml:space="preserve">zaskarżenia </w:t>
      </w:r>
      <w:r w:rsidRPr="00F27DDF">
        <w:rPr>
          <w:rFonts w:ascii="Times New Roman" w:hAnsi="Times New Roman" w:cs="Times New Roman"/>
          <w:sz w:val="24"/>
          <w:szCs w:val="24"/>
        </w:rPr>
        <w:t>ograniczeni</w:t>
      </w:r>
      <w:r w:rsidR="00232DE4" w:rsidRPr="00F27DDF">
        <w:rPr>
          <w:rFonts w:ascii="Times New Roman" w:hAnsi="Times New Roman" w:cs="Times New Roman"/>
          <w:sz w:val="24"/>
          <w:szCs w:val="24"/>
        </w:rPr>
        <w:t>a</w:t>
      </w:r>
      <w:r w:rsidRPr="00F27DDF">
        <w:rPr>
          <w:rFonts w:ascii="Times New Roman" w:hAnsi="Times New Roman" w:cs="Times New Roman"/>
          <w:sz w:val="24"/>
          <w:szCs w:val="24"/>
        </w:rPr>
        <w:t xml:space="preserve"> zakresu tej blokady. </w:t>
      </w:r>
      <w:r w:rsidR="00232DE4" w:rsidRPr="00F27DDF">
        <w:rPr>
          <w:rFonts w:ascii="Times New Roman" w:hAnsi="Times New Roman" w:cs="Times New Roman"/>
          <w:sz w:val="24"/>
          <w:szCs w:val="24"/>
        </w:rPr>
        <w:t>Projektowana zmiana jest zasadna, ponieważ na tym etapie sprawy kontrola sądowa dokonana w trybie administracyjnym, nawet skróconym</w:t>
      </w:r>
      <w:r w:rsidR="0093595C">
        <w:rPr>
          <w:rFonts w:ascii="Times New Roman" w:hAnsi="Times New Roman" w:cs="Times New Roman"/>
          <w:sz w:val="24"/>
          <w:szCs w:val="24"/>
        </w:rPr>
        <w:t>,</w:t>
      </w:r>
      <w:r w:rsidR="00232DE4" w:rsidRPr="00F27DDF">
        <w:rPr>
          <w:rFonts w:ascii="Times New Roman" w:hAnsi="Times New Roman" w:cs="Times New Roman"/>
          <w:sz w:val="24"/>
          <w:szCs w:val="24"/>
        </w:rPr>
        <w:t xml:space="preserve"> nie może być przeprowadzona przed upływem terminu 72 godzin, a </w:t>
      </w:r>
      <w:r w:rsidR="00ED2D61">
        <w:rPr>
          <w:rFonts w:ascii="Times New Roman" w:hAnsi="Times New Roman" w:cs="Times New Roman"/>
          <w:sz w:val="24"/>
          <w:szCs w:val="24"/>
        </w:rPr>
        <w:t xml:space="preserve">– </w:t>
      </w:r>
      <w:r w:rsidR="00232DE4" w:rsidRPr="00F27DDF">
        <w:rPr>
          <w:rFonts w:ascii="Times New Roman" w:hAnsi="Times New Roman" w:cs="Times New Roman"/>
          <w:sz w:val="24"/>
          <w:szCs w:val="24"/>
        </w:rPr>
        <w:t xml:space="preserve">co za tym idzie </w:t>
      </w:r>
      <w:r w:rsidR="00ED2D61">
        <w:rPr>
          <w:rFonts w:ascii="Times New Roman" w:hAnsi="Times New Roman" w:cs="Times New Roman"/>
          <w:sz w:val="24"/>
          <w:szCs w:val="24"/>
        </w:rPr>
        <w:t>–</w:t>
      </w:r>
      <w:r w:rsidR="00232DE4" w:rsidRPr="00F27DDF">
        <w:rPr>
          <w:rFonts w:ascii="Times New Roman" w:hAnsi="Times New Roman" w:cs="Times New Roman"/>
          <w:sz w:val="24"/>
          <w:szCs w:val="24"/>
        </w:rPr>
        <w:t xml:space="preserve">nie może spowodować niezwłocznego uchylenia tej blokady. </w:t>
      </w:r>
      <w:r w:rsidRPr="00F27DDF">
        <w:rPr>
          <w:rFonts w:ascii="Times New Roman" w:hAnsi="Times New Roman" w:cs="Times New Roman"/>
          <w:sz w:val="24"/>
          <w:szCs w:val="24"/>
        </w:rPr>
        <w:t xml:space="preserve">Zmianę proponuje się </w:t>
      </w:r>
      <w:r w:rsidR="00232DE4" w:rsidRPr="00F27DDF">
        <w:rPr>
          <w:rFonts w:ascii="Times New Roman" w:hAnsi="Times New Roman" w:cs="Times New Roman"/>
          <w:sz w:val="24"/>
          <w:szCs w:val="24"/>
        </w:rPr>
        <w:t xml:space="preserve">także </w:t>
      </w:r>
      <w:r w:rsidRPr="00F27DDF">
        <w:rPr>
          <w:rFonts w:ascii="Times New Roman" w:hAnsi="Times New Roman" w:cs="Times New Roman"/>
          <w:sz w:val="24"/>
          <w:szCs w:val="24"/>
        </w:rPr>
        <w:t>ze względu na prewencyjny charakter blokady</w:t>
      </w:r>
      <w:r w:rsidR="00232DE4" w:rsidRPr="00F27DDF">
        <w:rPr>
          <w:rFonts w:ascii="Times New Roman" w:hAnsi="Times New Roman" w:cs="Times New Roman"/>
          <w:sz w:val="24"/>
          <w:szCs w:val="24"/>
        </w:rPr>
        <w:t xml:space="preserve"> oraz</w:t>
      </w:r>
      <w:r w:rsidRPr="00F27DDF">
        <w:rPr>
          <w:rFonts w:ascii="Times New Roman" w:hAnsi="Times New Roman" w:cs="Times New Roman"/>
          <w:sz w:val="24"/>
          <w:szCs w:val="24"/>
        </w:rPr>
        <w:t xml:space="preserve"> konieczność zachowania poufności systemu działań operacyjnych namierzających przestępstwa oraz krótki czas trwania blokady. Termin 72 godzin byłby zbyt krótki na rzetelne rozpatrzenie takiego środka, zaś postanowienie o przedłużeniu terminu blokady na okres do 3 miesięcy będzie </w:t>
      </w:r>
      <w:r w:rsidRPr="00F27DDF">
        <w:rPr>
          <w:rFonts w:ascii="Times New Roman" w:hAnsi="Times New Roman" w:cs="Times New Roman"/>
          <w:sz w:val="24"/>
          <w:szCs w:val="24"/>
        </w:rPr>
        <w:lastRenderedPageBreak/>
        <w:t xml:space="preserve">zaskarżalne. Blokada jest nakładana w interesie publicznym, w celu zapobieżenia transferowi nieopodatkowanych środków.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Podkreślenia wymaga, że proponowane rozwiązanie zmierza do uzyskania spójności systemowej w zakresie blokad na krótki okres. Polski system prawny nie przewiduje bowiem (poza zmienianymi tą nowelizacją przepisami art. 119zzb § 1 Ordynacji podatkowej) zaskarżalności blokad na krótkie okresy (48 lub 72 godz.), jeśli blokada nie jest dokonywana na żądanie prokuratora. Takie rozwiązanie przyjęto we wszystkich ustawach regulujących instytucję blokady środków na rachunku. Można tu wymienić następujące ustawy:</w:t>
      </w:r>
    </w:p>
    <w:p w:rsidR="00A16F17" w:rsidRPr="00F27DDF" w:rsidRDefault="00A16F17" w:rsidP="00F27DDF">
      <w:pPr>
        <w:numPr>
          <w:ilvl w:val="0"/>
          <w:numId w:val="1"/>
        </w:numPr>
        <w:spacing w:after="0" w:line="360" w:lineRule="auto"/>
        <w:ind w:left="357" w:hanging="357"/>
        <w:jc w:val="both"/>
        <w:rPr>
          <w:rFonts w:ascii="Times New Roman" w:hAnsi="Times New Roman" w:cs="Times New Roman"/>
          <w:sz w:val="24"/>
          <w:szCs w:val="24"/>
        </w:rPr>
      </w:pPr>
      <w:r w:rsidRPr="00F27DDF">
        <w:rPr>
          <w:rFonts w:ascii="Times New Roman" w:hAnsi="Times New Roman" w:cs="Times New Roman"/>
          <w:sz w:val="24"/>
          <w:szCs w:val="24"/>
        </w:rPr>
        <w:t>ustaw</w:t>
      </w:r>
      <w:r w:rsidR="0093595C">
        <w:rPr>
          <w:rFonts w:ascii="Times New Roman" w:hAnsi="Times New Roman" w:cs="Times New Roman"/>
          <w:sz w:val="24"/>
          <w:szCs w:val="24"/>
        </w:rPr>
        <w:t>ę</w:t>
      </w:r>
      <w:r w:rsidRPr="00F27DDF">
        <w:rPr>
          <w:rFonts w:ascii="Times New Roman" w:hAnsi="Times New Roman" w:cs="Times New Roman"/>
          <w:sz w:val="24"/>
          <w:szCs w:val="24"/>
        </w:rPr>
        <w:t xml:space="preserve"> z dnia 16 listopada 2000 r. o przeciwdziałaniu praniu pieniędzy oraz finansowaniu terroryzmu </w:t>
      </w:r>
      <w:r w:rsidR="00F27DDF">
        <w:rPr>
          <w:rFonts w:ascii="Times New Roman" w:hAnsi="Times New Roman" w:cs="Times New Roman"/>
          <w:sz w:val="24"/>
          <w:szCs w:val="24"/>
        </w:rPr>
        <w:t>–</w:t>
      </w:r>
      <w:r w:rsidRPr="00F27DDF">
        <w:rPr>
          <w:rFonts w:ascii="Times New Roman" w:hAnsi="Times New Roman" w:cs="Times New Roman"/>
          <w:sz w:val="24"/>
          <w:szCs w:val="24"/>
        </w:rPr>
        <w:t xml:space="preserve"> blokada rachunku na żądanie Generalnego Inspektora Informacji Finansowej (GIIF),</w:t>
      </w:r>
    </w:p>
    <w:p w:rsidR="00A16F17" w:rsidRPr="00F27DDF" w:rsidRDefault="00BF13AF" w:rsidP="00F27DDF">
      <w:pPr>
        <w:numPr>
          <w:ilvl w:val="0"/>
          <w:numId w:val="1"/>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ustawę</w:t>
      </w:r>
      <w:r w:rsidR="00A16F17" w:rsidRPr="00F27DDF">
        <w:rPr>
          <w:rFonts w:ascii="Times New Roman" w:hAnsi="Times New Roman" w:cs="Times New Roman"/>
          <w:sz w:val="24"/>
          <w:szCs w:val="24"/>
        </w:rPr>
        <w:t xml:space="preserve"> z dnia 29 lipca 2005 r. o nadzorze nad rynkiem kapitałowym </w:t>
      </w:r>
      <w:r w:rsidR="00F27DDF">
        <w:rPr>
          <w:rFonts w:ascii="Times New Roman" w:hAnsi="Times New Roman" w:cs="Times New Roman"/>
          <w:sz w:val="24"/>
          <w:szCs w:val="24"/>
        </w:rPr>
        <w:t>–</w:t>
      </w:r>
      <w:r w:rsidR="00A16F17" w:rsidRPr="00F27DDF">
        <w:rPr>
          <w:rFonts w:ascii="Times New Roman" w:hAnsi="Times New Roman" w:cs="Times New Roman"/>
          <w:sz w:val="24"/>
          <w:szCs w:val="24"/>
        </w:rPr>
        <w:t xml:space="preserve"> blokada rachunku na żądanie Przewodniczącego Komisji Nadzoru Finansowego,</w:t>
      </w:r>
    </w:p>
    <w:p w:rsidR="00A16F17" w:rsidRPr="00F27DDF" w:rsidRDefault="00A16F17" w:rsidP="00F27DDF">
      <w:pPr>
        <w:numPr>
          <w:ilvl w:val="0"/>
          <w:numId w:val="1"/>
        </w:numPr>
        <w:spacing w:after="0" w:line="360" w:lineRule="auto"/>
        <w:ind w:left="357" w:hanging="357"/>
        <w:jc w:val="both"/>
        <w:rPr>
          <w:rFonts w:ascii="Times New Roman" w:hAnsi="Times New Roman" w:cs="Times New Roman"/>
          <w:sz w:val="24"/>
          <w:szCs w:val="24"/>
        </w:rPr>
      </w:pPr>
      <w:r w:rsidRPr="00F27DDF">
        <w:rPr>
          <w:rFonts w:ascii="Times New Roman" w:hAnsi="Times New Roman" w:cs="Times New Roman"/>
          <w:sz w:val="24"/>
          <w:szCs w:val="24"/>
        </w:rPr>
        <w:t>ustaw</w:t>
      </w:r>
      <w:r w:rsidR="00BF13AF">
        <w:rPr>
          <w:rFonts w:ascii="Times New Roman" w:hAnsi="Times New Roman" w:cs="Times New Roman"/>
          <w:sz w:val="24"/>
          <w:szCs w:val="24"/>
        </w:rPr>
        <w:t>ę</w:t>
      </w:r>
      <w:r w:rsidRPr="00F27DDF">
        <w:rPr>
          <w:rFonts w:ascii="Times New Roman" w:hAnsi="Times New Roman" w:cs="Times New Roman"/>
          <w:sz w:val="24"/>
          <w:szCs w:val="24"/>
        </w:rPr>
        <w:t xml:space="preserve"> z dnia 29 sierpnia 1997 r. </w:t>
      </w:r>
      <w:r w:rsidR="006702BC">
        <w:rPr>
          <w:rFonts w:ascii="Times New Roman" w:hAnsi="Times New Roman" w:cs="Times New Roman"/>
          <w:sz w:val="24"/>
          <w:szCs w:val="24"/>
        </w:rPr>
        <w:t xml:space="preserve">– </w:t>
      </w:r>
      <w:r w:rsidRPr="00F27DDF">
        <w:rPr>
          <w:rFonts w:ascii="Times New Roman" w:hAnsi="Times New Roman" w:cs="Times New Roman"/>
          <w:sz w:val="24"/>
          <w:szCs w:val="24"/>
        </w:rPr>
        <w:t>Prawo bankowe</w:t>
      </w:r>
      <w:r w:rsidR="00BF13AF">
        <w:rPr>
          <w:rFonts w:ascii="Times New Roman" w:hAnsi="Times New Roman" w:cs="Times New Roman"/>
          <w:sz w:val="24"/>
          <w:szCs w:val="24"/>
        </w:rPr>
        <w:t xml:space="preserve"> </w:t>
      </w:r>
      <w:r w:rsidR="00F27DDF">
        <w:rPr>
          <w:rFonts w:ascii="Times New Roman" w:hAnsi="Times New Roman" w:cs="Times New Roman"/>
          <w:sz w:val="24"/>
          <w:szCs w:val="24"/>
        </w:rPr>
        <w:t>–</w:t>
      </w:r>
      <w:r w:rsidRPr="00F27DDF">
        <w:rPr>
          <w:rFonts w:ascii="Times New Roman" w:hAnsi="Times New Roman" w:cs="Times New Roman"/>
          <w:sz w:val="24"/>
          <w:szCs w:val="24"/>
        </w:rPr>
        <w:t xml:space="preserve"> samodzielna blokada rachunku przez bank. </w:t>
      </w:r>
    </w:p>
    <w:p w:rsidR="00483F52"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Zaskarżalności blokady rachunku na krótki okres czasu (do 96 godz.) dokonywanej na żądanie Generalnego Inspektora Informacji Finansowej nie przewidują także nowa ustawa z dnia 1 marca 2018 r. o przeciwdziałaniu praniu pieniędzy oraz finansowaniu terroryzmu ani ustawa z dnia 9 października 2015 r. o wykonywaniu Umowy między Rządem Rzeczypospolitej Polskiej a Rządem Stanów Zjednoczonych Ameryki w</w:t>
      </w:r>
      <w:r w:rsidR="00BF13AF">
        <w:rPr>
          <w:rFonts w:ascii="Times New Roman" w:hAnsi="Times New Roman" w:cs="Times New Roman"/>
          <w:sz w:val="24"/>
          <w:szCs w:val="24"/>
        </w:rPr>
        <w:t> </w:t>
      </w:r>
      <w:r w:rsidRPr="00F27DDF">
        <w:rPr>
          <w:rFonts w:ascii="Times New Roman" w:hAnsi="Times New Roman" w:cs="Times New Roman"/>
          <w:sz w:val="24"/>
          <w:szCs w:val="24"/>
        </w:rPr>
        <w:t>sprawie poprawy wypełniania międzynarodowych obowiązków podatkowych oraz wdrożenia ustawodawstwa FATCA (samodzielna blokada rachunku przez raportującą polską instytucję finansową). Ustawa FATCA nie przewiduje środka zaskarżenia blokady</w:t>
      </w:r>
      <w:r w:rsidR="00BF13AF">
        <w:rPr>
          <w:rFonts w:ascii="Times New Roman" w:hAnsi="Times New Roman" w:cs="Times New Roman"/>
          <w:sz w:val="24"/>
          <w:szCs w:val="24"/>
        </w:rPr>
        <w:t>,</w:t>
      </w:r>
      <w:r w:rsidRPr="00F27DDF">
        <w:rPr>
          <w:rFonts w:ascii="Times New Roman" w:hAnsi="Times New Roman" w:cs="Times New Roman"/>
          <w:sz w:val="24"/>
          <w:szCs w:val="24"/>
        </w:rPr>
        <w:t xml:space="preserve"> niezależnie od czasu trwania blokady. </w:t>
      </w:r>
    </w:p>
    <w:p w:rsidR="00A16F17" w:rsidRPr="00F27DDF" w:rsidRDefault="00A16F17"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W przedstawionych regulacjach wskazane podmioty są uprawnione do dokonania lub przekazania żądania dokonania blokady (np. GIIF, bank, SKOK). Wynikający z</w:t>
      </w:r>
      <w:r w:rsidR="00F27DDF">
        <w:rPr>
          <w:rFonts w:ascii="Times New Roman" w:hAnsi="Times New Roman" w:cs="Times New Roman"/>
          <w:sz w:val="24"/>
          <w:szCs w:val="24"/>
        </w:rPr>
        <w:t> </w:t>
      </w:r>
      <w:r w:rsidRPr="00F27DDF">
        <w:rPr>
          <w:rFonts w:ascii="Times New Roman" w:hAnsi="Times New Roman" w:cs="Times New Roman"/>
          <w:sz w:val="24"/>
          <w:szCs w:val="24"/>
        </w:rPr>
        <w:t>przepisów następczy obowiązek zawiadamiania prokuratora o blokadzie nie oznacza jednak, że prokurator weryfikuje legalność działań podejmowanych przez te podmioty. Prokurator podejmuje bowiem własną „decyzję</w:t>
      </w:r>
      <w:r w:rsidR="006702BC">
        <w:rPr>
          <w:rFonts w:ascii="Times New Roman" w:hAnsi="Times New Roman" w:cs="Times New Roman"/>
          <w:sz w:val="24"/>
          <w:szCs w:val="24"/>
        </w:rPr>
        <w:t>”</w:t>
      </w:r>
      <w:r w:rsidRPr="00F27DDF">
        <w:rPr>
          <w:rFonts w:ascii="Times New Roman" w:hAnsi="Times New Roman" w:cs="Times New Roman"/>
          <w:sz w:val="24"/>
          <w:szCs w:val="24"/>
        </w:rPr>
        <w:t xml:space="preserve"> w przedmiocie dokonania kolejnej blokady na okres wynikający z ustawy (np. na 6 miesięcy). Stanowisko to zostało </w:t>
      </w:r>
      <w:r w:rsidRPr="00F27DDF">
        <w:rPr>
          <w:rFonts w:ascii="Times New Roman" w:hAnsi="Times New Roman" w:cs="Times New Roman"/>
          <w:sz w:val="24"/>
          <w:szCs w:val="24"/>
        </w:rPr>
        <w:lastRenderedPageBreak/>
        <w:t>wyrażone wprost w uzasadnieniu do ustawy z dnia 1 marca 2018 r. o przeciwdziałaniu praniu pieniędzy oraz finasowaniu terroryzmu. W uzasadnieniu tym wskazano, że:</w:t>
      </w:r>
    </w:p>
    <w:p w:rsidR="00483F52" w:rsidRPr="00F27DDF" w:rsidRDefault="00483F52" w:rsidP="0073615D">
      <w:pPr>
        <w:spacing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„Przepisy projektowanej, jak i obowiązującej obec</w:t>
      </w:r>
      <w:r w:rsidR="00BF13AF">
        <w:rPr>
          <w:rFonts w:ascii="Times New Roman" w:hAnsi="Times New Roman" w:cs="Times New Roman"/>
          <w:sz w:val="24"/>
          <w:szCs w:val="24"/>
        </w:rPr>
        <w:t>nie ustawy zakładają bowiem, że </w:t>
      </w:r>
      <w:r w:rsidRPr="00F27DDF">
        <w:rPr>
          <w:rFonts w:ascii="Times New Roman" w:hAnsi="Times New Roman" w:cs="Times New Roman"/>
          <w:sz w:val="24"/>
          <w:szCs w:val="24"/>
        </w:rPr>
        <w:t>prokurator nie podtrzymuje blokady rachunku lub wstrzymania transakcji zastosowanych przez Generalnego Inspektora, lecz podejmuje w tym zakresie całkowicie autonomiczną decyzję podlegającą kontroli sądowej na podstawie art. 86 ust. 11 projektu ustawy.</w:t>
      </w:r>
      <w:r w:rsidR="006702BC">
        <w:rPr>
          <w:rFonts w:ascii="Times New Roman" w:hAnsi="Times New Roman" w:cs="Times New Roman"/>
          <w:sz w:val="24"/>
          <w:szCs w:val="24"/>
        </w:rPr>
        <w:t>”</w:t>
      </w:r>
      <w:r w:rsidRPr="00F27DDF">
        <w:rPr>
          <w:rFonts w:ascii="Times New Roman" w:hAnsi="Times New Roman" w:cs="Times New Roman"/>
          <w:sz w:val="24"/>
          <w:szCs w:val="24"/>
        </w:rPr>
        <w:t>.</w:t>
      </w:r>
    </w:p>
    <w:p w:rsidR="00483F52" w:rsidRPr="00F27DDF" w:rsidRDefault="00483F52"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Powyższe oznacza, że pierwsze blokady dokonywane przez banki, SKOK</w:t>
      </w:r>
      <w:r w:rsidR="009E52B6" w:rsidRPr="00F27DDF">
        <w:rPr>
          <w:rFonts w:ascii="Times New Roman" w:hAnsi="Times New Roman" w:cs="Times New Roman"/>
          <w:sz w:val="24"/>
          <w:szCs w:val="24"/>
        </w:rPr>
        <w:t>-</w:t>
      </w:r>
      <w:r w:rsidRPr="00F27DDF">
        <w:rPr>
          <w:rFonts w:ascii="Times New Roman" w:hAnsi="Times New Roman" w:cs="Times New Roman"/>
          <w:sz w:val="24"/>
          <w:szCs w:val="24"/>
        </w:rPr>
        <w:t xml:space="preserve">i i GIIF na okres 96 godzin nie podlegają kontroli prokuratorskiej. Co więcej przepisy tej ustawy </w:t>
      </w:r>
      <w:r w:rsidR="009C5404" w:rsidRPr="00F27DDF">
        <w:rPr>
          <w:rFonts w:ascii="Times New Roman" w:hAnsi="Times New Roman" w:cs="Times New Roman"/>
          <w:sz w:val="24"/>
          <w:szCs w:val="24"/>
        </w:rPr>
        <w:t>z</w:t>
      </w:r>
      <w:r w:rsidR="0073615D">
        <w:rPr>
          <w:rFonts w:ascii="Times New Roman" w:hAnsi="Times New Roman" w:cs="Times New Roman"/>
          <w:sz w:val="24"/>
          <w:szCs w:val="24"/>
        </w:rPr>
        <w:t> </w:t>
      </w:r>
      <w:r w:rsidR="009C5404" w:rsidRPr="00F27DDF">
        <w:rPr>
          <w:rFonts w:ascii="Times New Roman" w:hAnsi="Times New Roman" w:cs="Times New Roman"/>
          <w:sz w:val="24"/>
          <w:szCs w:val="24"/>
        </w:rPr>
        <w:t xml:space="preserve">dnia 1 marca 2018 r. o przeciwdziałaniu praniu pieniędzy oraz finasowaniu terroryzmu </w:t>
      </w:r>
      <w:r w:rsidRPr="00F27DDF">
        <w:rPr>
          <w:rFonts w:ascii="Times New Roman" w:hAnsi="Times New Roman" w:cs="Times New Roman"/>
          <w:sz w:val="24"/>
          <w:szCs w:val="24"/>
        </w:rPr>
        <w:t xml:space="preserve">nie wskazują na możliwość zaskarżenia w administracyjnym toku instancji czynności (blokady na 96 godzin) dokonywanej przez GIIF. W związku z tym brak zaskarżenia blokady na 72 godziny w przypadku </w:t>
      </w:r>
      <w:r w:rsidR="006702BC">
        <w:rPr>
          <w:rFonts w:ascii="Times New Roman" w:hAnsi="Times New Roman" w:cs="Times New Roman"/>
          <w:sz w:val="24"/>
          <w:szCs w:val="24"/>
        </w:rPr>
        <w:t>Szefa Krajowej Administracji Skarbowej</w:t>
      </w:r>
      <w:r w:rsidR="004F1DA5">
        <w:rPr>
          <w:rFonts w:ascii="Times New Roman" w:hAnsi="Times New Roman" w:cs="Times New Roman"/>
          <w:sz w:val="24"/>
          <w:szCs w:val="24"/>
        </w:rPr>
        <w:t>,</w:t>
      </w:r>
      <w:r w:rsidR="006702BC">
        <w:rPr>
          <w:rFonts w:ascii="Times New Roman" w:hAnsi="Times New Roman" w:cs="Times New Roman"/>
          <w:sz w:val="24"/>
          <w:szCs w:val="24"/>
        </w:rPr>
        <w:t xml:space="preserve"> zwanego dalej </w:t>
      </w:r>
      <w:r w:rsidR="004F1DA5">
        <w:rPr>
          <w:rFonts w:ascii="Times New Roman" w:hAnsi="Times New Roman" w:cs="Times New Roman"/>
          <w:sz w:val="24"/>
          <w:szCs w:val="24"/>
        </w:rPr>
        <w:t>„Szefem KAS”,</w:t>
      </w:r>
      <w:r w:rsidRPr="00F27DDF">
        <w:rPr>
          <w:rFonts w:ascii="Times New Roman" w:hAnsi="Times New Roman" w:cs="Times New Roman"/>
          <w:sz w:val="24"/>
          <w:szCs w:val="24"/>
        </w:rPr>
        <w:t xml:space="preserve"> </w:t>
      </w:r>
      <w:r w:rsidR="009C5404" w:rsidRPr="00F27DDF">
        <w:rPr>
          <w:rFonts w:ascii="Times New Roman" w:hAnsi="Times New Roman" w:cs="Times New Roman"/>
          <w:sz w:val="24"/>
          <w:szCs w:val="24"/>
        </w:rPr>
        <w:t xml:space="preserve">nie </w:t>
      </w:r>
      <w:r w:rsidRPr="00F27DDF">
        <w:rPr>
          <w:rFonts w:ascii="Times New Roman" w:hAnsi="Times New Roman" w:cs="Times New Roman"/>
          <w:sz w:val="24"/>
          <w:szCs w:val="24"/>
        </w:rPr>
        <w:t>stanowi wyłom</w:t>
      </w:r>
      <w:r w:rsidR="009C5404" w:rsidRPr="00F27DDF">
        <w:rPr>
          <w:rFonts w:ascii="Times New Roman" w:hAnsi="Times New Roman" w:cs="Times New Roman"/>
          <w:sz w:val="24"/>
          <w:szCs w:val="24"/>
        </w:rPr>
        <w:t>u</w:t>
      </w:r>
      <w:r w:rsidRPr="00F27DDF">
        <w:rPr>
          <w:rFonts w:ascii="Times New Roman" w:hAnsi="Times New Roman" w:cs="Times New Roman"/>
          <w:sz w:val="24"/>
          <w:szCs w:val="24"/>
        </w:rPr>
        <w:t xml:space="preserve"> od ogólnej zasady </w:t>
      </w:r>
      <w:r w:rsidR="009C5404" w:rsidRPr="00F27DDF">
        <w:rPr>
          <w:rFonts w:ascii="Times New Roman" w:hAnsi="Times New Roman" w:cs="Times New Roman"/>
          <w:sz w:val="24"/>
          <w:szCs w:val="24"/>
        </w:rPr>
        <w:t>nie</w:t>
      </w:r>
      <w:r w:rsidRPr="00F27DDF">
        <w:rPr>
          <w:rFonts w:ascii="Times New Roman" w:hAnsi="Times New Roman" w:cs="Times New Roman"/>
          <w:sz w:val="24"/>
          <w:szCs w:val="24"/>
        </w:rPr>
        <w:t>weryfikowalności pierwszych blokad dokonywanych na podstawie odrębnych przepisów.</w:t>
      </w:r>
    </w:p>
    <w:p w:rsidR="0031470E" w:rsidRPr="00F27DDF" w:rsidRDefault="0031470E"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Funkcjonowanie szeregu </w:t>
      </w:r>
      <w:r w:rsidR="00483F52" w:rsidRPr="00F27DDF">
        <w:rPr>
          <w:rFonts w:ascii="Times New Roman" w:hAnsi="Times New Roman" w:cs="Times New Roman"/>
          <w:sz w:val="24"/>
          <w:szCs w:val="24"/>
        </w:rPr>
        <w:t xml:space="preserve">przedstawionych wyżej </w:t>
      </w:r>
      <w:r w:rsidRPr="00F27DDF">
        <w:rPr>
          <w:rFonts w:ascii="Times New Roman" w:hAnsi="Times New Roman" w:cs="Times New Roman"/>
          <w:sz w:val="24"/>
          <w:szCs w:val="24"/>
        </w:rPr>
        <w:t>utrwalonych regulacji w polskim systemie prawnym sugeruje, że nie są one sprzeczne z zasadami konstytucyjnymi.</w:t>
      </w:r>
      <w:r w:rsidR="00483F52" w:rsidRPr="00F27DDF">
        <w:rPr>
          <w:rFonts w:ascii="Times New Roman" w:hAnsi="Times New Roman" w:cs="Times New Roman"/>
          <w:sz w:val="24"/>
          <w:szCs w:val="24"/>
        </w:rPr>
        <w:t xml:space="preserve"> </w:t>
      </w:r>
      <w:r w:rsidRPr="00F27DDF">
        <w:rPr>
          <w:rFonts w:ascii="Times New Roman" w:hAnsi="Times New Roman" w:cs="Times New Roman"/>
          <w:sz w:val="24"/>
          <w:szCs w:val="24"/>
        </w:rPr>
        <w:t>W</w:t>
      </w:r>
      <w:r w:rsidR="0073615D">
        <w:rPr>
          <w:rFonts w:ascii="Times New Roman" w:hAnsi="Times New Roman" w:cs="Times New Roman"/>
          <w:sz w:val="24"/>
          <w:szCs w:val="24"/>
        </w:rPr>
        <w:t> </w:t>
      </w:r>
      <w:r w:rsidRPr="00F27DDF">
        <w:rPr>
          <w:rFonts w:ascii="Times New Roman" w:hAnsi="Times New Roman" w:cs="Times New Roman"/>
          <w:sz w:val="24"/>
          <w:szCs w:val="24"/>
        </w:rPr>
        <w:t>kontekście badania konstytucyjności proponowanego rozwiązania p</w:t>
      </w:r>
      <w:r w:rsidR="00483F52" w:rsidRPr="00F27DDF">
        <w:rPr>
          <w:rFonts w:ascii="Times New Roman" w:hAnsi="Times New Roman" w:cs="Times New Roman"/>
          <w:sz w:val="24"/>
          <w:szCs w:val="24"/>
        </w:rPr>
        <w:t>odkreślić</w:t>
      </w:r>
      <w:r w:rsidRPr="00F27DDF">
        <w:rPr>
          <w:rFonts w:ascii="Times New Roman" w:hAnsi="Times New Roman" w:cs="Times New Roman"/>
          <w:sz w:val="24"/>
          <w:szCs w:val="24"/>
        </w:rPr>
        <w:t xml:space="preserve"> należy, że blokady są elementem przeciwdziałania wyłudzeniom skarbowym w zakresie podatku od towarów i us</w:t>
      </w:r>
      <w:r w:rsidR="00BF13AF">
        <w:rPr>
          <w:rFonts w:ascii="Times New Roman" w:hAnsi="Times New Roman" w:cs="Times New Roman"/>
          <w:sz w:val="24"/>
          <w:szCs w:val="24"/>
        </w:rPr>
        <w:t>ług</w:t>
      </w:r>
      <w:r w:rsidRPr="00F27DDF">
        <w:rPr>
          <w:rFonts w:ascii="Times New Roman" w:hAnsi="Times New Roman" w:cs="Times New Roman"/>
          <w:sz w:val="24"/>
          <w:szCs w:val="24"/>
        </w:rPr>
        <w:t>. Nie budzi wątpliwości nadal duża (choć coraz mniejsza w</w:t>
      </w:r>
      <w:r w:rsidR="0073615D">
        <w:rPr>
          <w:rFonts w:ascii="Times New Roman" w:hAnsi="Times New Roman" w:cs="Times New Roman"/>
          <w:sz w:val="24"/>
          <w:szCs w:val="24"/>
        </w:rPr>
        <w:t> </w:t>
      </w:r>
      <w:r w:rsidRPr="00F27DDF">
        <w:rPr>
          <w:rFonts w:ascii="Times New Roman" w:hAnsi="Times New Roman" w:cs="Times New Roman"/>
          <w:sz w:val="24"/>
          <w:szCs w:val="24"/>
        </w:rPr>
        <w:t>wyniku działań podjętych w ostatnich latach) skala tych wyłudzeń (od kilkunastu do kilkudziesięciu miliardów złotych). Oznacza to, że skala wyłudzeń może sięgać nawet 10% dochodów budżetu państwa. Nie ma także wątpliwości, że w procederze wyłudzeń wykorzystywany jest system bankowy, w celu stworzenia pozorów prowadzenia działalności gospodarczej. Zapewnienie środków na funkcjonowanie państwa jest wartością konstytucyjną, która przeważa nad zapewnieniem iluzorycznych gwarancji procesowych w przypadku krótkich blokad. Zatem istnienie w przypadku blokady na żądanie Szefa KAS odstępstwa od systemowej zasady niezaskarżalności blokady na krótki okres czasu nie znajduje uzasadnienia.</w:t>
      </w:r>
    </w:p>
    <w:p w:rsidR="00506735" w:rsidRPr="00F27DDF" w:rsidRDefault="00506735"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Podnieść także należy, że pozostawienie instytucji zaskarżalności blokady skutkować będzie koniecznością uzasadnienia przesłanek blokady na okres do 72 godzin w toku postępowania administracyjnego i sądowego</w:t>
      </w:r>
      <w:r w:rsidR="006702BC">
        <w:rPr>
          <w:rFonts w:ascii="Times New Roman" w:hAnsi="Times New Roman" w:cs="Times New Roman"/>
          <w:sz w:val="24"/>
          <w:szCs w:val="24"/>
        </w:rPr>
        <w:t>,</w:t>
      </w:r>
      <w:r w:rsidRPr="00F27DDF">
        <w:rPr>
          <w:rFonts w:ascii="Times New Roman" w:hAnsi="Times New Roman" w:cs="Times New Roman"/>
          <w:sz w:val="24"/>
          <w:szCs w:val="24"/>
        </w:rPr>
        <w:t xml:space="preserve"> co rodzi ryzyko ujawnienia algorytmów, </w:t>
      </w:r>
      <w:r w:rsidRPr="00F27DDF">
        <w:rPr>
          <w:rFonts w:ascii="Times New Roman" w:hAnsi="Times New Roman" w:cs="Times New Roman"/>
          <w:sz w:val="24"/>
          <w:szCs w:val="24"/>
        </w:rPr>
        <w:lastRenderedPageBreak/>
        <w:t>stosowanych przez Szefa Krajowej Administracji Skarbowej w ramach systemu analizy ryzyka.</w:t>
      </w:r>
    </w:p>
    <w:p w:rsidR="00506735" w:rsidRPr="00F27DDF" w:rsidRDefault="00506735"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Blokada rachunku na 72 godziny jest szczególnego rodzaju środkiem mającym na celu uniemożliwienie dysponowania środkami zgromadzonymi na rachunku przez bardzo krótki okres czasu. Wprowadzenie tego rodzaju środka jest konieczne w celu umożliwienia organom skarbowym sprostania wyzwaniom współczesnego obrotu środkami finansowymi, który zapewnia uczestnikom tego obrotu błyskawiczny transfer dowolnej kwoty w wybrane miejsce na świecie. Zestawienie istniejących procedur administracyjnych z mechanizmami wykorzystywanymi przez zorganizowane grupy przestępcze specjalizujące się w wyłudzeniach skarbowych prowadzi do wniosku, że procedury te nie przystają do otaczającej organy skarbowe rzeczywistości w sytuacji, w</w:t>
      </w:r>
      <w:r w:rsidR="0073615D">
        <w:rPr>
          <w:rFonts w:ascii="Times New Roman" w:hAnsi="Times New Roman" w:cs="Times New Roman"/>
          <w:sz w:val="24"/>
          <w:szCs w:val="24"/>
        </w:rPr>
        <w:t> </w:t>
      </w:r>
      <w:r w:rsidRPr="00F27DDF">
        <w:rPr>
          <w:rFonts w:ascii="Times New Roman" w:hAnsi="Times New Roman" w:cs="Times New Roman"/>
          <w:sz w:val="24"/>
          <w:szCs w:val="24"/>
        </w:rPr>
        <w:t>której przestępcy mają możliwość realizacji zamierzonego przestępczego działania przy pomocy systemu finansowego w ułamku sekundy, a organy skarbowe w celu uchwycenia tych operacji są obowiązane podjąć czynności administracyjne, których czas trwania liczony jest w dniach i tygodniach. Dokonanie krótkiej blokady rachunku wyrównuje tę dysproporcję poprzez umożliwienie „zamrożenia stanu faktycznego”, którego okoliczności wskazują na ryzyko wykorzystywania systemu finansowego do wyłudzeń skarbowych. Okres 72 godzin, w którym podmiot kwalifikowany nie może korzystać z</w:t>
      </w:r>
      <w:r w:rsidR="00420B0C" w:rsidRPr="00F27DDF">
        <w:rPr>
          <w:rFonts w:ascii="Times New Roman" w:hAnsi="Times New Roman" w:cs="Times New Roman"/>
          <w:sz w:val="24"/>
          <w:szCs w:val="24"/>
        </w:rPr>
        <w:t>e</w:t>
      </w:r>
      <w:r w:rsidRPr="00F27DDF">
        <w:rPr>
          <w:rFonts w:ascii="Times New Roman" w:hAnsi="Times New Roman" w:cs="Times New Roman"/>
          <w:sz w:val="24"/>
          <w:szCs w:val="24"/>
        </w:rPr>
        <w:t xml:space="preserve"> środków finansowych</w:t>
      </w:r>
      <w:r w:rsidR="00CE367A">
        <w:rPr>
          <w:rFonts w:ascii="Times New Roman" w:hAnsi="Times New Roman" w:cs="Times New Roman"/>
          <w:sz w:val="24"/>
          <w:szCs w:val="24"/>
        </w:rPr>
        <w:t>,</w:t>
      </w:r>
      <w:r w:rsidRPr="00F27DDF">
        <w:rPr>
          <w:rFonts w:ascii="Times New Roman" w:hAnsi="Times New Roman" w:cs="Times New Roman"/>
          <w:sz w:val="24"/>
          <w:szCs w:val="24"/>
        </w:rPr>
        <w:t xml:space="preserve"> jest z jednej strony dostatecznie krótki</w:t>
      </w:r>
      <w:r w:rsidR="00CE367A">
        <w:rPr>
          <w:rFonts w:ascii="Times New Roman" w:hAnsi="Times New Roman" w:cs="Times New Roman"/>
          <w:sz w:val="24"/>
          <w:szCs w:val="24"/>
        </w:rPr>
        <w:t>,</w:t>
      </w:r>
      <w:r w:rsidRPr="00F27DDF">
        <w:rPr>
          <w:rFonts w:ascii="Times New Roman" w:hAnsi="Times New Roman" w:cs="Times New Roman"/>
          <w:sz w:val="24"/>
          <w:szCs w:val="24"/>
        </w:rPr>
        <w:t xml:space="preserve"> żeby przyjąć, że nie może wywołać istotnych niekorzystnych skutków finansowych po jego stronie, a</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przy tym jest on wystarczająco długi</w:t>
      </w:r>
      <w:r w:rsidR="00CE367A">
        <w:rPr>
          <w:rFonts w:ascii="Times New Roman" w:hAnsi="Times New Roman" w:cs="Times New Roman"/>
          <w:sz w:val="24"/>
          <w:szCs w:val="24"/>
        </w:rPr>
        <w:t>,</w:t>
      </w:r>
      <w:r w:rsidRPr="00F27DDF">
        <w:rPr>
          <w:rFonts w:ascii="Times New Roman" w:hAnsi="Times New Roman" w:cs="Times New Roman"/>
          <w:sz w:val="24"/>
          <w:szCs w:val="24"/>
        </w:rPr>
        <w:t xml:space="preserve"> żeby możliwe było podjęcie przez organy skarbowe szeregu czynności gwarantujących skuteczność wykrywania sprawców wyłudzeń skarbowych i minimalizujących ryzyko dokonania błędu przy dokonywaniu długiej blokady na okres do 3 miesięcy. Dotychczasowe doświadczenia przede wszystkim z zakresu przeciwdziałania praniu pieniędzy wskazują, że czas trwania krótkiej blokady jest niezbędny do dokonania szczegółowej analizy zaobserwowanych działań noszących znamiona wyłudzeń skarbowych, identyfikacj</w:t>
      </w:r>
      <w:r w:rsidR="00E95BFF" w:rsidRPr="00F27DDF">
        <w:rPr>
          <w:rFonts w:ascii="Times New Roman" w:hAnsi="Times New Roman" w:cs="Times New Roman"/>
          <w:sz w:val="24"/>
          <w:szCs w:val="24"/>
        </w:rPr>
        <w:t>i</w:t>
      </w:r>
      <w:r w:rsidRPr="00F27DDF">
        <w:rPr>
          <w:rFonts w:ascii="Times New Roman" w:hAnsi="Times New Roman" w:cs="Times New Roman"/>
          <w:sz w:val="24"/>
          <w:szCs w:val="24"/>
        </w:rPr>
        <w:t xml:space="preserve"> podmiotów i osób zaangażowanych w ten proceder, w tym </w:t>
      </w:r>
      <w:r w:rsidR="00E95BFF" w:rsidRPr="00F27DDF">
        <w:rPr>
          <w:rFonts w:ascii="Times New Roman" w:hAnsi="Times New Roman" w:cs="Times New Roman"/>
          <w:sz w:val="24"/>
          <w:szCs w:val="24"/>
        </w:rPr>
        <w:t xml:space="preserve">zebrania </w:t>
      </w:r>
      <w:r w:rsidRPr="00F27DDF">
        <w:rPr>
          <w:rFonts w:ascii="Times New Roman" w:hAnsi="Times New Roman" w:cs="Times New Roman"/>
          <w:sz w:val="24"/>
          <w:szCs w:val="24"/>
        </w:rPr>
        <w:t>dan</w:t>
      </w:r>
      <w:r w:rsidR="00E95BFF" w:rsidRPr="00F27DDF">
        <w:rPr>
          <w:rFonts w:ascii="Times New Roman" w:hAnsi="Times New Roman" w:cs="Times New Roman"/>
          <w:sz w:val="24"/>
          <w:szCs w:val="24"/>
        </w:rPr>
        <w:t>ych</w:t>
      </w:r>
      <w:r w:rsidRPr="00F27DDF">
        <w:rPr>
          <w:rFonts w:ascii="Times New Roman" w:hAnsi="Times New Roman" w:cs="Times New Roman"/>
          <w:sz w:val="24"/>
          <w:szCs w:val="24"/>
        </w:rPr>
        <w:t xml:space="preserve"> osobow</w:t>
      </w:r>
      <w:r w:rsidR="00E95BFF" w:rsidRPr="00F27DDF">
        <w:rPr>
          <w:rFonts w:ascii="Times New Roman" w:hAnsi="Times New Roman" w:cs="Times New Roman"/>
          <w:sz w:val="24"/>
          <w:szCs w:val="24"/>
        </w:rPr>
        <w:t>ych</w:t>
      </w:r>
      <w:r w:rsidRPr="00F27DDF">
        <w:rPr>
          <w:rFonts w:ascii="Times New Roman" w:hAnsi="Times New Roman" w:cs="Times New Roman"/>
          <w:sz w:val="24"/>
          <w:szCs w:val="24"/>
        </w:rPr>
        <w:t>, dan</w:t>
      </w:r>
      <w:r w:rsidR="00E95BFF" w:rsidRPr="00F27DDF">
        <w:rPr>
          <w:rFonts w:ascii="Times New Roman" w:hAnsi="Times New Roman" w:cs="Times New Roman"/>
          <w:sz w:val="24"/>
          <w:szCs w:val="24"/>
        </w:rPr>
        <w:t>ych</w:t>
      </w:r>
      <w:r w:rsidRPr="00F27DDF">
        <w:rPr>
          <w:rFonts w:ascii="Times New Roman" w:hAnsi="Times New Roman" w:cs="Times New Roman"/>
          <w:sz w:val="24"/>
          <w:szCs w:val="24"/>
        </w:rPr>
        <w:t xml:space="preserve"> rejestracyjn</w:t>
      </w:r>
      <w:r w:rsidR="00E95BFF" w:rsidRPr="00F27DDF">
        <w:rPr>
          <w:rFonts w:ascii="Times New Roman" w:hAnsi="Times New Roman" w:cs="Times New Roman"/>
          <w:sz w:val="24"/>
          <w:szCs w:val="24"/>
        </w:rPr>
        <w:t>ych</w:t>
      </w:r>
      <w:r w:rsidRPr="00F27DDF">
        <w:rPr>
          <w:rFonts w:ascii="Times New Roman" w:hAnsi="Times New Roman" w:cs="Times New Roman"/>
          <w:sz w:val="24"/>
          <w:szCs w:val="24"/>
        </w:rPr>
        <w:t xml:space="preserve"> przedsiębiorców, informacj</w:t>
      </w:r>
      <w:r w:rsidR="00E95BFF" w:rsidRPr="00F27DDF">
        <w:rPr>
          <w:rFonts w:ascii="Times New Roman" w:hAnsi="Times New Roman" w:cs="Times New Roman"/>
          <w:sz w:val="24"/>
          <w:szCs w:val="24"/>
        </w:rPr>
        <w:t>i</w:t>
      </w:r>
      <w:r w:rsidRPr="00F27DDF">
        <w:rPr>
          <w:rFonts w:ascii="Times New Roman" w:hAnsi="Times New Roman" w:cs="Times New Roman"/>
          <w:sz w:val="24"/>
          <w:szCs w:val="24"/>
        </w:rPr>
        <w:t xml:space="preserve"> o wywiązywaniu się z zobowiązań podatkowych i posiadanym majątku, </w:t>
      </w:r>
      <w:r w:rsidR="00E95BFF" w:rsidRPr="00F27DDF">
        <w:rPr>
          <w:rFonts w:ascii="Times New Roman" w:hAnsi="Times New Roman" w:cs="Times New Roman"/>
          <w:sz w:val="24"/>
          <w:szCs w:val="24"/>
        </w:rPr>
        <w:t xml:space="preserve">dokonania </w:t>
      </w:r>
      <w:r w:rsidRPr="00F27DDF">
        <w:rPr>
          <w:rFonts w:ascii="Times New Roman" w:hAnsi="Times New Roman" w:cs="Times New Roman"/>
          <w:sz w:val="24"/>
          <w:szCs w:val="24"/>
        </w:rPr>
        <w:t>szczegółow</w:t>
      </w:r>
      <w:r w:rsidR="00E95BFF" w:rsidRPr="00F27DDF">
        <w:rPr>
          <w:rFonts w:ascii="Times New Roman" w:hAnsi="Times New Roman" w:cs="Times New Roman"/>
          <w:sz w:val="24"/>
          <w:szCs w:val="24"/>
        </w:rPr>
        <w:t>ego</w:t>
      </w:r>
      <w:r w:rsidRPr="00F27DDF">
        <w:rPr>
          <w:rFonts w:ascii="Times New Roman" w:hAnsi="Times New Roman" w:cs="Times New Roman"/>
          <w:sz w:val="24"/>
          <w:szCs w:val="24"/>
        </w:rPr>
        <w:t xml:space="preserve"> opis</w:t>
      </w:r>
      <w:r w:rsidR="00E95BFF" w:rsidRPr="00F27DDF">
        <w:rPr>
          <w:rFonts w:ascii="Times New Roman" w:hAnsi="Times New Roman" w:cs="Times New Roman"/>
          <w:sz w:val="24"/>
          <w:szCs w:val="24"/>
        </w:rPr>
        <w:t>u</w:t>
      </w:r>
      <w:r w:rsidRPr="00F27DDF">
        <w:rPr>
          <w:rFonts w:ascii="Times New Roman" w:hAnsi="Times New Roman" w:cs="Times New Roman"/>
          <w:sz w:val="24"/>
          <w:szCs w:val="24"/>
        </w:rPr>
        <w:t xml:space="preserve"> przepływów finansowych między rachunkami bankowymi, z których korzystają przestępcy</w:t>
      </w:r>
      <w:r w:rsidR="00CE367A">
        <w:rPr>
          <w:rFonts w:ascii="Times New Roman" w:hAnsi="Times New Roman" w:cs="Times New Roman"/>
          <w:sz w:val="24"/>
          <w:szCs w:val="24"/>
        </w:rPr>
        <w:t>,</w:t>
      </w:r>
      <w:r w:rsidR="00E95BFF" w:rsidRPr="00F27DDF">
        <w:rPr>
          <w:rFonts w:ascii="Times New Roman" w:hAnsi="Times New Roman" w:cs="Times New Roman"/>
          <w:sz w:val="24"/>
          <w:szCs w:val="24"/>
        </w:rPr>
        <w:t xml:space="preserve"> czy analizy </w:t>
      </w:r>
      <w:r w:rsidRPr="00F27DDF">
        <w:rPr>
          <w:rFonts w:ascii="Times New Roman" w:hAnsi="Times New Roman" w:cs="Times New Roman"/>
          <w:sz w:val="24"/>
          <w:szCs w:val="24"/>
        </w:rPr>
        <w:t>typologi</w:t>
      </w:r>
      <w:r w:rsidR="00E95BFF" w:rsidRPr="00F27DDF">
        <w:rPr>
          <w:rFonts w:ascii="Times New Roman" w:hAnsi="Times New Roman" w:cs="Times New Roman"/>
          <w:sz w:val="24"/>
          <w:szCs w:val="24"/>
        </w:rPr>
        <w:t>i</w:t>
      </w:r>
      <w:r w:rsidRPr="00F27DDF">
        <w:rPr>
          <w:rFonts w:ascii="Times New Roman" w:hAnsi="Times New Roman" w:cs="Times New Roman"/>
          <w:sz w:val="24"/>
          <w:szCs w:val="24"/>
        </w:rPr>
        <w:t xml:space="preserve"> przestępstw w konkretnym przypadku. Czas ten jest również niezbędny do podjęcia działań proceduralnych polegający</w:t>
      </w:r>
      <w:r w:rsidR="00BF13AF">
        <w:rPr>
          <w:rFonts w:ascii="Times New Roman" w:hAnsi="Times New Roman" w:cs="Times New Roman"/>
          <w:sz w:val="24"/>
          <w:szCs w:val="24"/>
        </w:rPr>
        <w:t>ch</w:t>
      </w:r>
      <w:r w:rsidRPr="00F27DDF">
        <w:rPr>
          <w:rFonts w:ascii="Times New Roman" w:hAnsi="Times New Roman" w:cs="Times New Roman"/>
          <w:sz w:val="24"/>
          <w:szCs w:val="24"/>
        </w:rPr>
        <w:t xml:space="preserve"> na przygotowaniu postanowienia o przedłużeniu blokady </w:t>
      </w:r>
      <w:r w:rsidRPr="00F27DDF">
        <w:rPr>
          <w:rFonts w:ascii="Times New Roman" w:hAnsi="Times New Roman" w:cs="Times New Roman"/>
          <w:sz w:val="24"/>
          <w:szCs w:val="24"/>
        </w:rPr>
        <w:lastRenderedPageBreak/>
        <w:t>zawierającego uzasadnienie, które będzie zawierało dowody potwierdzające zasadność podjętych działań i będzie miało szanse zostać po</w:t>
      </w:r>
      <w:r w:rsidR="00CE367A">
        <w:rPr>
          <w:rFonts w:ascii="Times New Roman" w:hAnsi="Times New Roman" w:cs="Times New Roman"/>
          <w:sz w:val="24"/>
          <w:szCs w:val="24"/>
        </w:rPr>
        <w:t>d</w:t>
      </w:r>
      <w:r w:rsidRPr="00F27DDF">
        <w:rPr>
          <w:rFonts w:ascii="Times New Roman" w:hAnsi="Times New Roman" w:cs="Times New Roman"/>
          <w:sz w:val="24"/>
          <w:szCs w:val="24"/>
        </w:rPr>
        <w:t>trzymane przez sąd dokonując</w:t>
      </w:r>
      <w:r w:rsidR="00420B0C" w:rsidRPr="00F27DDF">
        <w:rPr>
          <w:rFonts w:ascii="Times New Roman" w:hAnsi="Times New Roman" w:cs="Times New Roman"/>
          <w:sz w:val="24"/>
          <w:szCs w:val="24"/>
        </w:rPr>
        <w:t>y</w:t>
      </w:r>
      <w:r w:rsidRPr="00F27DDF">
        <w:rPr>
          <w:rFonts w:ascii="Times New Roman" w:hAnsi="Times New Roman" w:cs="Times New Roman"/>
          <w:sz w:val="24"/>
          <w:szCs w:val="24"/>
        </w:rPr>
        <w:t xml:space="preserve"> kontroli tych działań. Należy mieć również na uwadze, że w tym czasie organy skarbowe będą miały możliwość skoordynowania działań z innymi służbami, w tym w szczególności z prokuratorem, które będą miały szansę przekazać zawiadomienie o uzasadnionym podejrzeniu popełnienia przestępstwa. Podjęcie wskazanych czynności wymaga znacznego nakładu wysoko kwalifikowanej pracy, która musi zostać wykonana w krótkim czasie. Przy czym jest to praca, która jeżeli ma być wykonana w sposób sprawny i profesjonalny, to powinna zostać wykonana przez wyspecjalizowanych pracowników i funkcjonariuszy podległych Szefowi KAS. Należy mieć bowiem na uwadze, że Szef KAS jest organem specjalizującym się w</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rozpoznawaniu, wykrywaniu i zwalczaniu przestępstw skarbowych i wykroczeń skarbowych, zapobieganiu tym przestępstwom i</w:t>
      </w:r>
      <w:r w:rsidR="00CE367A">
        <w:rPr>
          <w:rFonts w:ascii="Times New Roman" w:hAnsi="Times New Roman" w:cs="Times New Roman"/>
          <w:sz w:val="24"/>
          <w:szCs w:val="24"/>
        </w:rPr>
        <w:t> </w:t>
      </w:r>
      <w:r w:rsidRPr="00F27DDF">
        <w:rPr>
          <w:rFonts w:ascii="Times New Roman" w:hAnsi="Times New Roman" w:cs="Times New Roman"/>
          <w:sz w:val="24"/>
          <w:szCs w:val="24"/>
        </w:rPr>
        <w:t>wykroczeniom oraz ściganiu ich sprawców.</w:t>
      </w:r>
    </w:p>
    <w:p w:rsidR="00506735" w:rsidRPr="00F27DDF" w:rsidRDefault="00506735"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Pozostawienie w systemie prawnym instytucji zaskarżalności blokad na krótki okres pozostaje w sprzeczności z istotną tego środka i celem, dla którego środek ten został wprowadzony do systemu prawnego. Zaskarżalność ta powoduje bowiem, że Szef KAS przed skierowaniem żądania dokonania krótkiej blokady będzie obowiązany do dokonania złożonych czynności proceduralnych wymagających znacznego nakładu pracy i czasu, a dodatkowo</w:t>
      </w:r>
      <w:r w:rsidR="00BF13AF">
        <w:rPr>
          <w:rFonts w:ascii="Times New Roman" w:hAnsi="Times New Roman" w:cs="Times New Roman"/>
          <w:sz w:val="24"/>
          <w:szCs w:val="24"/>
        </w:rPr>
        <w:t xml:space="preserve"> –</w:t>
      </w:r>
      <w:r w:rsidRPr="00F27DDF">
        <w:rPr>
          <w:rFonts w:ascii="Times New Roman" w:hAnsi="Times New Roman" w:cs="Times New Roman"/>
          <w:sz w:val="24"/>
          <w:szCs w:val="24"/>
        </w:rPr>
        <w:t xml:space="preserve"> w celu udowodnienia, że podjęte działania miały uzasadnienie w zgromadzonych informacjach</w:t>
      </w:r>
      <w:r w:rsidR="00BF13AF">
        <w:rPr>
          <w:rFonts w:ascii="Times New Roman" w:hAnsi="Times New Roman" w:cs="Times New Roman"/>
          <w:sz w:val="24"/>
          <w:szCs w:val="24"/>
        </w:rPr>
        <w:t xml:space="preserve"> –</w:t>
      </w:r>
      <w:r w:rsidRPr="00F27DDF">
        <w:rPr>
          <w:rFonts w:ascii="Times New Roman" w:hAnsi="Times New Roman" w:cs="Times New Roman"/>
          <w:sz w:val="24"/>
          <w:szCs w:val="24"/>
        </w:rPr>
        <w:t xml:space="preserve"> byłby zmuszon</w:t>
      </w:r>
      <w:r w:rsidR="00D71D27" w:rsidRPr="00F27DDF">
        <w:rPr>
          <w:rFonts w:ascii="Times New Roman" w:hAnsi="Times New Roman" w:cs="Times New Roman"/>
          <w:sz w:val="24"/>
          <w:szCs w:val="24"/>
        </w:rPr>
        <w:t>y</w:t>
      </w:r>
      <w:r w:rsidRPr="00F27DDF">
        <w:rPr>
          <w:rFonts w:ascii="Times New Roman" w:hAnsi="Times New Roman" w:cs="Times New Roman"/>
          <w:sz w:val="24"/>
          <w:szCs w:val="24"/>
        </w:rPr>
        <w:t xml:space="preserve"> do ujawnienia istotnych informacji dotycząc</w:t>
      </w:r>
      <w:r w:rsidR="00420B0C" w:rsidRPr="00F27DDF">
        <w:rPr>
          <w:rFonts w:ascii="Times New Roman" w:hAnsi="Times New Roman" w:cs="Times New Roman"/>
          <w:sz w:val="24"/>
          <w:szCs w:val="24"/>
        </w:rPr>
        <w:t>ych</w:t>
      </w:r>
      <w:r w:rsidRPr="00F27DDF">
        <w:rPr>
          <w:rFonts w:ascii="Times New Roman" w:hAnsi="Times New Roman" w:cs="Times New Roman"/>
          <w:sz w:val="24"/>
          <w:szCs w:val="24"/>
        </w:rPr>
        <w:t xml:space="preserve"> analizy ryzyka i wskaźnika ryzyka stanowiących podstawę dokonywania krótkiej blokady. </w:t>
      </w:r>
    </w:p>
    <w:p w:rsidR="00506735" w:rsidRPr="00F27DDF" w:rsidRDefault="00506735"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Powyższe prowadzi do wniosku, że zaproponowane w projekcie rozwiązanie jest zgodn</w:t>
      </w:r>
      <w:r w:rsidR="00CE367A">
        <w:rPr>
          <w:rFonts w:ascii="Times New Roman" w:hAnsi="Times New Roman" w:cs="Times New Roman"/>
          <w:sz w:val="24"/>
          <w:szCs w:val="24"/>
        </w:rPr>
        <w:t>e</w:t>
      </w:r>
      <w:r w:rsidRPr="00F27DDF">
        <w:rPr>
          <w:rFonts w:ascii="Times New Roman" w:hAnsi="Times New Roman" w:cs="Times New Roman"/>
          <w:sz w:val="24"/>
          <w:szCs w:val="24"/>
        </w:rPr>
        <w:t xml:space="preserve"> z zasadą proporcjonalności, gdyż niewątpliwie służy realizacji zamierzonych w</w:t>
      </w:r>
      <w:r w:rsidR="0073615D">
        <w:rPr>
          <w:rFonts w:ascii="Times New Roman" w:hAnsi="Times New Roman" w:cs="Times New Roman"/>
          <w:sz w:val="24"/>
          <w:szCs w:val="24"/>
        </w:rPr>
        <w:t> </w:t>
      </w:r>
      <w:r w:rsidRPr="00F27DDF">
        <w:rPr>
          <w:rFonts w:ascii="Times New Roman" w:hAnsi="Times New Roman" w:cs="Times New Roman"/>
          <w:sz w:val="24"/>
          <w:szCs w:val="24"/>
        </w:rPr>
        <w:t>projekcie celów, jest niezbędne, w tym sensie, że chronić będą określone wartości w</w:t>
      </w:r>
      <w:r w:rsidR="0073615D">
        <w:rPr>
          <w:rFonts w:ascii="Times New Roman" w:hAnsi="Times New Roman" w:cs="Times New Roman"/>
          <w:sz w:val="24"/>
          <w:szCs w:val="24"/>
        </w:rPr>
        <w:t> </w:t>
      </w:r>
      <w:r w:rsidRPr="00F27DDF">
        <w:rPr>
          <w:rFonts w:ascii="Times New Roman" w:hAnsi="Times New Roman" w:cs="Times New Roman"/>
          <w:sz w:val="24"/>
          <w:szCs w:val="24"/>
        </w:rPr>
        <w:t xml:space="preserve">sposób bądź w stopniu, który nie mógłby być osiągnięty przy zastosowaniu innych środków, jak również zapewnia ingerencję w sferę statusu jednostki w odpowiedniej proporcji do celów, których ochrona uzasadnia dokonane ograniczenie. </w:t>
      </w:r>
    </w:p>
    <w:p w:rsidR="005C3F1F" w:rsidRPr="00F27DDF" w:rsidRDefault="006E1929"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Podmiot kwalifikowany zachowa możliwość zaskarżenia postanowienia o przedłużeniu blokady (na czas oznaczony nie dłuższy niż 3 miesiące), co wynika z </w:t>
      </w:r>
      <w:r w:rsidR="0031470E" w:rsidRPr="00F27DDF">
        <w:rPr>
          <w:rFonts w:ascii="Times New Roman" w:hAnsi="Times New Roman" w:cs="Times New Roman"/>
          <w:sz w:val="24"/>
          <w:szCs w:val="24"/>
        </w:rPr>
        <w:t>niezmienionego w</w:t>
      </w:r>
      <w:r w:rsidR="0073615D">
        <w:rPr>
          <w:rFonts w:ascii="Times New Roman" w:hAnsi="Times New Roman" w:cs="Times New Roman"/>
          <w:sz w:val="24"/>
          <w:szCs w:val="24"/>
        </w:rPr>
        <w:t> </w:t>
      </w:r>
      <w:r w:rsidR="0031470E" w:rsidRPr="00F27DDF">
        <w:rPr>
          <w:rFonts w:ascii="Times New Roman" w:hAnsi="Times New Roman" w:cs="Times New Roman"/>
          <w:sz w:val="24"/>
          <w:szCs w:val="24"/>
        </w:rPr>
        <w:t>tym zakresie art. 119zzb § 1 Ordynacji podatkowej</w:t>
      </w:r>
      <w:r w:rsidRP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Ponadto stronie, która poniosłaby </w:t>
      </w:r>
      <w:r w:rsidR="00AB11F1" w:rsidRPr="00F27DDF">
        <w:rPr>
          <w:rFonts w:ascii="Times New Roman" w:hAnsi="Times New Roman" w:cs="Times New Roman"/>
          <w:sz w:val="24"/>
          <w:szCs w:val="24"/>
        </w:rPr>
        <w:lastRenderedPageBreak/>
        <w:t>szkodę z powodu blokady na 72 godziny</w:t>
      </w:r>
      <w:r w:rsidR="00CE367A">
        <w:rPr>
          <w:rFonts w:ascii="Times New Roman" w:hAnsi="Times New Roman" w:cs="Times New Roman"/>
          <w:sz w:val="24"/>
          <w:szCs w:val="24"/>
        </w:rPr>
        <w:t>,</w:t>
      </w:r>
      <w:r w:rsidR="00AB11F1" w:rsidRPr="00F27DDF">
        <w:rPr>
          <w:rFonts w:ascii="Times New Roman" w:hAnsi="Times New Roman" w:cs="Times New Roman"/>
          <w:sz w:val="24"/>
          <w:szCs w:val="24"/>
        </w:rPr>
        <w:t xml:space="preserve"> przysługuje prawo do sądu w postaci wniesienia pozwu o odszkodowanie na podstawie art. 417 Kodeksu cywilnego.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Działania Szefa KAS w zakresie blokad rachunków dokonywanych na okres nie dłuższy niż 72 godziny będą poddane kontroli wykonywanej przez ministra </w:t>
      </w:r>
      <w:r w:rsidR="00CE367A">
        <w:rPr>
          <w:rFonts w:ascii="Times New Roman" w:hAnsi="Times New Roman" w:cs="Times New Roman"/>
          <w:sz w:val="24"/>
          <w:szCs w:val="24"/>
        </w:rPr>
        <w:t xml:space="preserve">właściwego </w:t>
      </w:r>
      <w:r w:rsidRPr="00F27DDF">
        <w:rPr>
          <w:rFonts w:ascii="Times New Roman" w:hAnsi="Times New Roman" w:cs="Times New Roman"/>
          <w:sz w:val="24"/>
          <w:szCs w:val="24"/>
        </w:rPr>
        <w:t xml:space="preserve">do spraw finansów publicznych, co pozwoli na sprawowanie nadzoru </w:t>
      </w:r>
      <w:r w:rsidR="00AF1B0D">
        <w:rPr>
          <w:rFonts w:ascii="Times New Roman" w:hAnsi="Times New Roman" w:cs="Times New Roman"/>
          <w:sz w:val="24"/>
          <w:szCs w:val="24"/>
        </w:rPr>
        <w:t xml:space="preserve">w </w:t>
      </w:r>
      <w:r w:rsidRPr="00F27DDF">
        <w:rPr>
          <w:rFonts w:ascii="Times New Roman" w:hAnsi="Times New Roman" w:cs="Times New Roman"/>
          <w:sz w:val="24"/>
          <w:szCs w:val="24"/>
        </w:rPr>
        <w:t xml:space="preserve">tym zakresie nad działaniami Szefa KAS. Kontrola będzie wykonywana nie rzadziej niż raz na kwartał (art. 119zv § 9 Ordynacji podatkowej). </w:t>
      </w:r>
    </w:p>
    <w:p w:rsidR="00882885" w:rsidRPr="00F27DDF" w:rsidRDefault="004B3397"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Przepisy art. 24 i </w:t>
      </w:r>
      <w:r w:rsidR="00CE367A">
        <w:rPr>
          <w:rFonts w:ascii="Times New Roman" w:hAnsi="Times New Roman" w:cs="Times New Roman"/>
          <w:sz w:val="24"/>
          <w:szCs w:val="24"/>
        </w:rPr>
        <w:t xml:space="preserve">art. </w:t>
      </w:r>
      <w:r w:rsidRPr="00F27DDF">
        <w:rPr>
          <w:rFonts w:ascii="Times New Roman" w:hAnsi="Times New Roman" w:cs="Times New Roman"/>
          <w:sz w:val="24"/>
          <w:szCs w:val="24"/>
        </w:rPr>
        <w:t xml:space="preserve">25 ustawy z dnia 24 listopada 2017 r. przewidują dodatkowe mechanizmy kontroli funkcjonowania systemu analizy ryzyka, w tym stosowania blokad, a więc także blokad na okres do 72 godzin. Przepisy art. 24 wymienionej ustawy nakładają na Szefa KAS obowiązek składania Prezesowi Rady Ministrów sprawozdania za lata 2018, 2019 </w:t>
      </w:r>
      <w:r w:rsidR="00AF1B0D">
        <w:rPr>
          <w:rFonts w:ascii="Times New Roman" w:hAnsi="Times New Roman" w:cs="Times New Roman"/>
          <w:sz w:val="24"/>
          <w:szCs w:val="24"/>
        </w:rPr>
        <w:t xml:space="preserve">i </w:t>
      </w:r>
      <w:r w:rsidRPr="00F27DDF">
        <w:rPr>
          <w:rFonts w:ascii="Times New Roman" w:hAnsi="Times New Roman" w:cs="Times New Roman"/>
          <w:sz w:val="24"/>
          <w:szCs w:val="24"/>
        </w:rPr>
        <w:t>2020 w powyższym zakresie. Sprawozdanie będzie publikowane na stronie podmiotowej Biuletynu Informacji Publicznej urzędu obsługującego ministra właściwego do spraw finansów publicznych (art. 24 ust. 3 ustawy z dnia 24 listopada 2017 r.).</w:t>
      </w:r>
      <w:r w:rsidR="0047658A" w:rsidRPr="00F27DDF">
        <w:rPr>
          <w:rFonts w:ascii="Times New Roman" w:hAnsi="Times New Roman" w:cs="Times New Roman"/>
          <w:sz w:val="24"/>
          <w:szCs w:val="24"/>
        </w:rPr>
        <w:t xml:space="preserve"> W terminie 6 miesięcy od dnia publikacji sprawozdania za rok 2020 Szef KAS wspólnie z</w:t>
      </w:r>
      <w:r w:rsidR="00C13C62">
        <w:rPr>
          <w:rFonts w:ascii="Times New Roman" w:hAnsi="Times New Roman" w:cs="Times New Roman"/>
          <w:sz w:val="24"/>
          <w:szCs w:val="24"/>
        </w:rPr>
        <w:t xml:space="preserve"> </w:t>
      </w:r>
      <w:r w:rsidR="0047658A" w:rsidRPr="00F27DDF">
        <w:rPr>
          <w:rFonts w:ascii="Times New Roman" w:hAnsi="Times New Roman" w:cs="Times New Roman"/>
          <w:sz w:val="24"/>
          <w:szCs w:val="24"/>
        </w:rPr>
        <w:t>ministrem właściwym do spraw finansów publicznych przygotuje raport oceniający w</w:t>
      </w:r>
      <w:r w:rsidR="00C13C62">
        <w:rPr>
          <w:rFonts w:ascii="Times New Roman" w:hAnsi="Times New Roman" w:cs="Times New Roman"/>
          <w:sz w:val="24"/>
          <w:szCs w:val="24"/>
        </w:rPr>
        <w:t xml:space="preserve"> </w:t>
      </w:r>
      <w:r w:rsidR="0047658A" w:rsidRPr="00F27DDF">
        <w:rPr>
          <w:rFonts w:ascii="Times New Roman" w:hAnsi="Times New Roman" w:cs="Times New Roman"/>
          <w:sz w:val="24"/>
          <w:szCs w:val="24"/>
        </w:rPr>
        <w:t>sprawie</w:t>
      </w:r>
      <w:r w:rsidR="007039B9" w:rsidRPr="00F27DDF">
        <w:rPr>
          <w:rFonts w:ascii="Times New Roman" w:hAnsi="Times New Roman" w:cs="Times New Roman"/>
          <w:sz w:val="24"/>
          <w:szCs w:val="24"/>
        </w:rPr>
        <w:t xml:space="preserve"> stosowania przepisów przeciwdziałania wykorzystywaniu działalności banków i spółdzielczych kas oszczędnościowo-kredytowych do celów mających związek z wyłudzeniami skarbowymi (art. 25 ust. 1). Raport będzie miał na celu ocenę funkcjonowania nowych instrumentów prawnych. W szczególności chodzi o ocenę skuteczności tych przepisów w walce z wyłudzeniami skarbowymi i identyfikację ewentualnych uchybień. Należy sądzić, że istotne miejsce w tym raporcie będą zajmować kwestie stosowania przepisów o blokadach rachunku podmiotu kwalifikowanego.</w:t>
      </w:r>
      <w:r w:rsidR="00F27DDF">
        <w:rPr>
          <w:rFonts w:ascii="Times New Roman" w:hAnsi="Times New Roman" w:cs="Times New Roman"/>
          <w:sz w:val="24"/>
          <w:szCs w:val="24"/>
        </w:rPr>
        <w:t xml:space="preserve"> </w:t>
      </w:r>
    </w:p>
    <w:p w:rsidR="00EC7043" w:rsidRPr="00F27DDF" w:rsidRDefault="00EC7043"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Wskazać również należy</w:t>
      </w:r>
      <w:r w:rsidR="00F95ECF" w:rsidRPr="00F27DDF">
        <w:rPr>
          <w:rFonts w:ascii="Times New Roman" w:hAnsi="Times New Roman" w:cs="Times New Roman"/>
          <w:sz w:val="24"/>
          <w:szCs w:val="24"/>
        </w:rPr>
        <w:t xml:space="preserve">, że zawiadomienie o blokadzie </w:t>
      </w:r>
      <w:r w:rsidRPr="00F27DDF">
        <w:rPr>
          <w:rFonts w:ascii="Times New Roman" w:hAnsi="Times New Roman" w:cs="Times New Roman"/>
          <w:sz w:val="24"/>
          <w:szCs w:val="24"/>
        </w:rPr>
        <w:t xml:space="preserve">jest </w:t>
      </w:r>
      <w:r w:rsidR="00F95ECF" w:rsidRPr="00F27DDF">
        <w:rPr>
          <w:rFonts w:ascii="Times New Roman" w:hAnsi="Times New Roman" w:cs="Times New Roman"/>
          <w:sz w:val="24"/>
          <w:szCs w:val="24"/>
        </w:rPr>
        <w:t xml:space="preserve">przekazywane prokuratorowi (art. 119zv § 3 pkt 2 Ordynacji podatkowej). </w:t>
      </w:r>
      <w:r w:rsidRPr="00F27DDF">
        <w:rPr>
          <w:rFonts w:ascii="Times New Roman" w:hAnsi="Times New Roman" w:cs="Times New Roman"/>
          <w:sz w:val="24"/>
          <w:szCs w:val="24"/>
        </w:rPr>
        <w:t>Szef KAS zawiad</w:t>
      </w:r>
      <w:r w:rsidR="00345E61" w:rsidRPr="00F27DDF">
        <w:rPr>
          <w:rFonts w:ascii="Times New Roman" w:hAnsi="Times New Roman" w:cs="Times New Roman"/>
          <w:sz w:val="24"/>
          <w:szCs w:val="24"/>
        </w:rPr>
        <w:t>amia</w:t>
      </w:r>
      <w:r w:rsidRPr="00F27DDF">
        <w:rPr>
          <w:rFonts w:ascii="Times New Roman" w:hAnsi="Times New Roman" w:cs="Times New Roman"/>
          <w:sz w:val="24"/>
          <w:szCs w:val="24"/>
        </w:rPr>
        <w:t xml:space="preserve"> prokuratora o uzasadnionym podejrzeniu popełnienia przestępstwa, </w:t>
      </w:r>
      <w:r w:rsidR="00345E61" w:rsidRPr="00F27DDF">
        <w:rPr>
          <w:rFonts w:ascii="Times New Roman" w:hAnsi="Times New Roman" w:cs="Times New Roman"/>
          <w:sz w:val="24"/>
          <w:szCs w:val="24"/>
        </w:rPr>
        <w:t>przekazując</w:t>
      </w:r>
      <w:r w:rsidR="00F27DDF">
        <w:rPr>
          <w:rFonts w:ascii="Times New Roman" w:hAnsi="Times New Roman" w:cs="Times New Roman"/>
          <w:sz w:val="24"/>
          <w:szCs w:val="24"/>
        </w:rPr>
        <w:t xml:space="preserve"> </w:t>
      </w:r>
      <w:r w:rsidR="002F185B" w:rsidRPr="00F27DDF">
        <w:rPr>
          <w:rFonts w:ascii="Times New Roman" w:hAnsi="Times New Roman" w:cs="Times New Roman"/>
          <w:sz w:val="24"/>
          <w:szCs w:val="24"/>
        </w:rPr>
        <w:t>szczegółowe informacje</w:t>
      </w:r>
      <w:r w:rsidRPr="00F27DDF">
        <w:rPr>
          <w:rFonts w:ascii="Times New Roman" w:hAnsi="Times New Roman" w:cs="Times New Roman"/>
          <w:sz w:val="24"/>
          <w:szCs w:val="24"/>
        </w:rPr>
        <w:t xml:space="preserve"> </w:t>
      </w:r>
      <w:r w:rsidR="002F185B" w:rsidRPr="00F27DDF">
        <w:rPr>
          <w:rFonts w:ascii="Times New Roman" w:hAnsi="Times New Roman" w:cs="Times New Roman"/>
          <w:sz w:val="24"/>
          <w:szCs w:val="24"/>
        </w:rPr>
        <w:t>wymienione w</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art.</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119zm Ordynacji podatkowej w obecnie obowiązującym brzmieniu.</w:t>
      </w:r>
      <w:r w:rsidR="00345E61" w:rsidRPr="00F27DDF">
        <w:rPr>
          <w:rFonts w:ascii="Times New Roman" w:hAnsi="Times New Roman" w:cs="Times New Roman"/>
          <w:sz w:val="24"/>
          <w:szCs w:val="24"/>
        </w:rPr>
        <w:t xml:space="preserve"> </w:t>
      </w:r>
      <w:r w:rsidR="002F185B" w:rsidRPr="00F27DDF">
        <w:rPr>
          <w:rFonts w:ascii="Times New Roman" w:hAnsi="Times New Roman" w:cs="Times New Roman"/>
          <w:sz w:val="24"/>
          <w:szCs w:val="24"/>
        </w:rPr>
        <w:t>Nie ma przeszkód, aby z</w:t>
      </w:r>
      <w:r w:rsidR="00345E61" w:rsidRPr="00F27DDF">
        <w:rPr>
          <w:rFonts w:ascii="Times New Roman" w:hAnsi="Times New Roman" w:cs="Times New Roman"/>
          <w:sz w:val="24"/>
          <w:szCs w:val="24"/>
        </w:rPr>
        <w:t xml:space="preserve">awiadomienie </w:t>
      </w:r>
      <w:r w:rsidR="00483F52" w:rsidRPr="00F27DDF">
        <w:rPr>
          <w:rFonts w:ascii="Times New Roman" w:hAnsi="Times New Roman" w:cs="Times New Roman"/>
          <w:sz w:val="24"/>
          <w:szCs w:val="24"/>
        </w:rPr>
        <w:t xml:space="preserve">o uzasadnionym podejrzeniu popełnienia przestępstwa </w:t>
      </w:r>
      <w:r w:rsidR="00345E61" w:rsidRPr="00F27DDF">
        <w:rPr>
          <w:rFonts w:ascii="Times New Roman" w:hAnsi="Times New Roman" w:cs="Times New Roman"/>
          <w:sz w:val="24"/>
          <w:szCs w:val="24"/>
        </w:rPr>
        <w:t>by</w:t>
      </w:r>
      <w:r w:rsidR="00483F52" w:rsidRPr="00F27DDF">
        <w:rPr>
          <w:rFonts w:ascii="Times New Roman" w:hAnsi="Times New Roman" w:cs="Times New Roman"/>
          <w:sz w:val="24"/>
          <w:szCs w:val="24"/>
        </w:rPr>
        <w:t>ło</w:t>
      </w:r>
      <w:r w:rsidR="00345E61" w:rsidRPr="00F27DDF">
        <w:rPr>
          <w:rFonts w:ascii="Times New Roman" w:hAnsi="Times New Roman" w:cs="Times New Roman"/>
          <w:sz w:val="24"/>
          <w:szCs w:val="24"/>
        </w:rPr>
        <w:t xml:space="preserve"> </w:t>
      </w:r>
      <w:r w:rsidR="00483F52" w:rsidRPr="00F27DDF">
        <w:rPr>
          <w:rFonts w:ascii="Times New Roman" w:hAnsi="Times New Roman" w:cs="Times New Roman"/>
          <w:sz w:val="24"/>
          <w:szCs w:val="24"/>
        </w:rPr>
        <w:t>przesłane</w:t>
      </w:r>
      <w:r w:rsidR="00345E61" w:rsidRPr="00F27DDF">
        <w:rPr>
          <w:rFonts w:ascii="Times New Roman" w:hAnsi="Times New Roman" w:cs="Times New Roman"/>
          <w:sz w:val="24"/>
          <w:szCs w:val="24"/>
        </w:rPr>
        <w:t xml:space="preserve"> wraz z zawiadomieniem o</w:t>
      </w:r>
      <w:r w:rsidR="00A72072">
        <w:rPr>
          <w:rFonts w:ascii="Times New Roman" w:hAnsi="Times New Roman" w:cs="Times New Roman"/>
          <w:sz w:val="24"/>
          <w:szCs w:val="24"/>
        </w:rPr>
        <w:t> </w:t>
      </w:r>
      <w:r w:rsidR="00345E61" w:rsidRPr="00F27DDF">
        <w:rPr>
          <w:rFonts w:ascii="Times New Roman" w:hAnsi="Times New Roman" w:cs="Times New Roman"/>
          <w:sz w:val="24"/>
          <w:szCs w:val="24"/>
        </w:rPr>
        <w:t>blokadzie, jeśli według Szefa KAS w mome</w:t>
      </w:r>
      <w:r w:rsidR="00A72072">
        <w:rPr>
          <w:rFonts w:ascii="Times New Roman" w:hAnsi="Times New Roman" w:cs="Times New Roman"/>
          <w:sz w:val="24"/>
          <w:szCs w:val="24"/>
        </w:rPr>
        <w:t>ncie przekazywania informacji o </w:t>
      </w:r>
      <w:r w:rsidR="00345E61" w:rsidRPr="00F27DDF">
        <w:rPr>
          <w:rFonts w:ascii="Times New Roman" w:hAnsi="Times New Roman" w:cs="Times New Roman"/>
          <w:sz w:val="24"/>
          <w:szCs w:val="24"/>
        </w:rPr>
        <w:t>blokadzie zachodzi</w:t>
      </w:r>
      <w:r w:rsidR="00F27DDF">
        <w:rPr>
          <w:rFonts w:ascii="Times New Roman" w:hAnsi="Times New Roman" w:cs="Times New Roman"/>
          <w:sz w:val="24"/>
          <w:szCs w:val="24"/>
        </w:rPr>
        <w:t xml:space="preserve"> </w:t>
      </w:r>
      <w:r w:rsidR="00345E61" w:rsidRPr="00F27DDF">
        <w:rPr>
          <w:rFonts w:ascii="Times New Roman" w:hAnsi="Times New Roman" w:cs="Times New Roman"/>
          <w:sz w:val="24"/>
          <w:szCs w:val="24"/>
        </w:rPr>
        <w:t xml:space="preserve">uzasadnione podejrzenie popełnienia przestępstwa. </w:t>
      </w:r>
    </w:p>
    <w:p w:rsidR="00EC7043" w:rsidRPr="00F27DDF" w:rsidRDefault="00EC7043"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lastRenderedPageBreak/>
        <w:t>Wyżej przywołane przepisy</w:t>
      </w:r>
      <w:r w:rsidR="00CE367A">
        <w:rPr>
          <w:rFonts w:ascii="Times New Roman" w:hAnsi="Times New Roman" w:cs="Times New Roman"/>
          <w:sz w:val="24"/>
          <w:szCs w:val="24"/>
        </w:rPr>
        <w:t>,</w:t>
      </w:r>
      <w:r w:rsidRPr="00F27DDF">
        <w:rPr>
          <w:rFonts w:ascii="Times New Roman" w:hAnsi="Times New Roman" w:cs="Times New Roman"/>
          <w:sz w:val="24"/>
          <w:szCs w:val="24"/>
        </w:rPr>
        <w:t xml:space="preserve"> jak również dotychczasowe doświadczenia związane ze stosowaniem tego rodzaju środka przez organy podległe lub nadzorowane przez Ministra Finansów wskazują na brak zasadności pozostawienia w systemie prawnym rozwiązania przewidującego zaskarżalność blokad dokonywanych przez Szefa KAS na 72 godziny.</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Proponowane zapewnienie spójności systemowej w zakresie blokad na krótki okres wymaga zmian dostosowawczych w Ordynacji podatkowej. Zniesienie zaskarżalności blokady na okres do 72 godzin powoduje, że niecelowe jest wydawanie przez Szefa KAS postanowienia o blokadzie rachunku podmio</w:t>
      </w:r>
      <w:r w:rsidR="00A72072">
        <w:rPr>
          <w:rFonts w:ascii="Times New Roman" w:hAnsi="Times New Roman" w:cs="Times New Roman"/>
          <w:sz w:val="24"/>
          <w:szCs w:val="24"/>
        </w:rPr>
        <w:t>tu kwalifikowanego. Tym samym w </w:t>
      </w:r>
      <w:r w:rsidRPr="00F27DDF">
        <w:rPr>
          <w:rFonts w:ascii="Times New Roman" w:hAnsi="Times New Roman" w:cs="Times New Roman"/>
          <w:sz w:val="24"/>
          <w:szCs w:val="24"/>
        </w:rPr>
        <w:t xml:space="preserve">przepisach </w:t>
      </w:r>
      <w:r w:rsidR="00F27DDF">
        <w:rPr>
          <w:rFonts w:ascii="Times New Roman" w:hAnsi="Times New Roman" w:cs="Times New Roman"/>
          <w:b/>
          <w:sz w:val="24"/>
          <w:szCs w:val="24"/>
        </w:rPr>
        <w:t>art. 119zv § 1–3 oraz § 6–</w:t>
      </w:r>
      <w:r w:rsidRPr="00F27DDF">
        <w:rPr>
          <w:rFonts w:ascii="Times New Roman" w:hAnsi="Times New Roman" w:cs="Times New Roman"/>
          <w:b/>
          <w:sz w:val="24"/>
          <w:szCs w:val="24"/>
        </w:rPr>
        <w:t>8 Ordynacji podatkowej</w:t>
      </w:r>
      <w:r w:rsidRPr="00F27DDF">
        <w:rPr>
          <w:rFonts w:ascii="Times New Roman" w:hAnsi="Times New Roman" w:cs="Times New Roman"/>
          <w:sz w:val="24"/>
          <w:szCs w:val="24"/>
        </w:rPr>
        <w:t xml:space="preserve"> nie może być już mowy o „postanowieniu”.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Szef KAS będzie przekazywał bankom i spół</w:t>
      </w:r>
      <w:r w:rsidR="00C13C62">
        <w:rPr>
          <w:rFonts w:ascii="Times New Roman" w:hAnsi="Times New Roman" w:cs="Times New Roman"/>
          <w:sz w:val="24"/>
          <w:szCs w:val="24"/>
        </w:rPr>
        <w:t>dzielczym kasom oszczędnościowo</w:t>
      </w:r>
      <w:r w:rsidR="00C13C62">
        <w:rPr>
          <w:rFonts w:ascii="Times New Roman" w:hAnsi="Times New Roman" w:cs="Times New Roman"/>
          <w:sz w:val="24"/>
          <w:szCs w:val="24"/>
        </w:rPr>
        <w:noBreakHyphen/>
      </w:r>
      <w:r w:rsidRPr="00F27DDF">
        <w:rPr>
          <w:rFonts w:ascii="Times New Roman" w:hAnsi="Times New Roman" w:cs="Times New Roman"/>
          <w:sz w:val="24"/>
          <w:szCs w:val="24"/>
        </w:rPr>
        <w:t>kredytowym żądanie blokady rachunku podmiotu kwalifikowanego (art. 119zv § 3 pkt 1 Ordynacji podatkowej). Żądanie będzie zawierać oznaczenie numeru rachunku podmiotu kwalifikowanego, którego dotyczy żądanie</w:t>
      </w:r>
      <w:r w:rsidR="00C13C62">
        <w:rPr>
          <w:rFonts w:ascii="Times New Roman" w:hAnsi="Times New Roman" w:cs="Times New Roman"/>
          <w:sz w:val="24"/>
          <w:szCs w:val="24"/>
        </w:rPr>
        <w:t>,</w:t>
      </w:r>
      <w:r w:rsidRPr="00F27DDF">
        <w:rPr>
          <w:rFonts w:ascii="Times New Roman" w:hAnsi="Times New Roman" w:cs="Times New Roman"/>
          <w:sz w:val="24"/>
          <w:szCs w:val="24"/>
        </w:rPr>
        <w:t xml:space="preserve"> i okres blokady tego rachunku (art. 119zv § 2 Ordynacji podatkowej). W</w:t>
      </w:r>
      <w:r w:rsidR="00C13C62">
        <w:rPr>
          <w:rFonts w:ascii="Times New Roman" w:hAnsi="Times New Roman" w:cs="Times New Roman"/>
          <w:sz w:val="24"/>
          <w:szCs w:val="24"/>
        </w:rPr>
        <w:t xml:space="preserve"> </w:t>
      </w:r>
      <w:r w:rsidRPr="00F27DDF">
        <w:rPr>
          <w:rFonts w:ascii="Times New Roman" w:hAnsi="Times New Roman" w:cs="Times New Roman"/>
          <w:b/>
          <w:sz w:val="24"/>
          <w:szCs w:val="24"/>
        </w:rPr>
        <w:t>art.</w:t>
      </w:r>
      <w:r w:rsidR="00C13C62">
        <w:rPr>
          <w:rFonts w:ascii="Times New Roman" w:hAnsi="Times New Roman" w:cs="Times New Roman"/>
          <w:b/>
          <w:sz w:val="24"/>
          <w:szCs w:val="24"/>
        </w:rPr>
        <w:t xml:space="preserve"> </w:t>
      </w:r>
      <w:r w:rsidRPr="00F27DDF">
        <w:rPr>
          <w:rFonts w:ascii="Times New Roman" w:hAnsi="Times New Roman" w:cs="Times New Roman"/>
          <w:b/>
          <w:sz w:val="24"/>
          <w:szCs w:val="24"/>
        </w:rPr>
        <w:t xml:space="preserve">119zv § 2 Ordynacji podatkowej </w:t>
      </w:r>
      <w:r w:rsidRPr="00F27DDF">
        <w:rPr>
          <w:rFonts w:ascii="Times New Roman" w:hAnsi="Times New Roman" w:cs="Times New Roman"/>
          <w:sz w:val="24"/>
          <w:szCs w:val="24"/>
        </w:rPr>
        <w:t>zrezygnowano z obligatoryjnego pouczenia o</w:t>
      </w:r>
      <w:r w:rsidR="00F27DDF">
        <w:rPr>
          <w:rFonts w:ascii="Times New Roman" w:hAnsi="Times New Roman" w:cs="Times New Roman"/>
          <w:sz w:val="24"/>
          <w:szCs w:val="24"/>
        </w:rPr>
        <w:t xml:space="preserve"> </w:t>
      </w:r>
      <w:r w:rsidR="00A72072">
        <w:rPr>
          <w:rFonts w:ascii="Times New Roman" w:hAnsi="Times New Roman" w:cs="Times New Roman"/>
          <w:sz w:val="24"/>
          <w:szCs w:val="24"/>
        </w:rPr>
        <w:t>treści art. 119zx, art. 119zy § </w:t>
      </w:r>
      <w:r w:rsidRPr="00F27DDF">
        <w:rPr>
          <w:rFonts w:ascii="Times New Roman" w:hAnsi="Times New Roman" w:cs="Times New Roman"/>
          <w:sz w:val="24"/>
          <w:szCs w:val="24"/>
        </w:rPr>
        <w:t xml:space="preserve">1, art. 119zz § 1 i art. 119zza § 1 Ordynacji podatkowej, ponieważ przepisy te, ze względu na krótki czas blokady (do 72 godz.), nie będą mieć praktycznego znaczenia.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Ponadto </w:t>
      </w:r>
      <w:r w:rsidRPr="00F27DDF">
        <w:rPr>
          <w:rFonts w:ascii="Times New Roman" w:hAnsi="Times New Roman" w:cs="Times New Roman"/>
          <w:b/>
          <w:sz w:val="24"/>
          <w:szCs w:val="24"/>
        </w:rPr>
        <w:t>w art. 119zv § 8 Ordynacji podatkowej</w:t>
      </w:r>
      <w:r w:rsidRPr="00F27DDF">
        <w:rPr>
          <w:rFonts w:ascii="Times New Roman" w:hAnsi="Times New Roman" w:cs="Times New Roman"/>
          <w:sz w:val="24"/>
          <w:szCs w:val="24"/>
        </w:rPr>
        <w:t xml:space="preserve"> doprecyzowano, że w przypadku ograniczenia zakresu blokady i upadku blokady mają odpowiednie zasto</w:t>
      </w:r>
      <w:r w:rsidR="00F27DDF">
        <w:rPr>
          <w:rFonts w:ascii="Times New Roman" w:hAnsi="Times New Roman" w:cs="Times New Roman"/>
          <w:sz w:val="24"/>
          <w:szCs w:val="24"/>
        </w:rPr>
        <w:t>sowanie przepisy art. 119zv § 2–</w:t>
      </w:r>
      <w:r w:rsidRPr="00F27DDF">
        <w:rPr>
          <w:rFonts w:ascii="Times New Roman" w:hAnsi="Times New Roman" w:cs="Times New Roman"/>
          <w:sz w:val="24"/>
          <w:szCs w:val="24"/>
        </w:rPr>
        <w:t>6</w:t>
      </w:r>
      <w:r w:rsidR="00C13C62">
        <w:rPr>
          <w:rFonts w:ascii="Times New Roman" w:hAnsi="Times New Roman" w:cs="Times New Roman"/>
          <w:sz w:val="24"/>
          <w:szCs w:val="24"/>
        </w:rPr>
        <w:t>,</w:t>
      </w:r>
      <w:r w:rsidRPr="00F27DDF">
        <w:rPr>
          <w:rFonts w:ascii="Times New Roman" w:hAnsi="Times New Roman" w:cs="Times New Roman"/>
          <w:sz w:val="24"/>
          <w:szCs w:val="24"/>
        </w:rPr>
        <w:t xml:space="preserve"> tj. § 2 – elementy żądania, § 3 – przekazanie żądania przez Szefa KAS (pkt 1) i przekazanie przez Szefa KAS informacji o blokadzie innym organom (pkt 2), § 4 –</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informowanie przez bank lub SKOK Szefa KAS o</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wykonaniu jego żądania w sprawie blokady rachunku, § 4a – nieujawnianie przez bank lub SKOK podmiotowi kwalifikowanemu informacji</w:t>
      </w:r>
      <w:r w:rsidR="006330DC" w:rsidRPr="00F27DDF">
        <w:rPr>
          <w:rFonts w:ascii="Times New Roman" w:hAnsi="Times New Roman" w:cs="Times New Roman"/>
          <w:sz w:val="24"/>
          <w:szCs w:val="24"/>
        </w:rPr>
        <w:t xml:space="preserve"> o</w:t>
      </w:r>
      <w:r w:rsidRPr="00F27DDF">
        <w:rPr>
          <w:rFonts w:ascii="Times New Roman" w:hAnsi="Times New Roman" w:cs="Times New Roman"/>
          <w:sz w:val="24"/>
          <w:szCs w:val="24"/>
        </w:rPr>
        <w:t xml:space="preserve"> przekazani</w:t>
      </w:r>
      <w:r w:rsidR="006330DC" w:rsidRPr="00F27DDF">
        <w:rPr>
          <w:rFonts w:ascii="Times New Roman" w:hAnsi="Times New Roman" w:cs="Times New Roman"/>
          <w:sz w:val="24"/>
          <w:szCs w:val="24"/>
        </w:rPr>
        <w:t>u</w:t>
      </w:r>
      <w:r w:rsidRPr="00F27DDF">
        <w:rPr>
          <w:rFonts w:ascii="Times New Roman" w:hAnsi="Times New Roman" w:cs="Times New Roman"/>
          <w:sz w:val="24"/>
          <w:szCs w:val="24"/>
        </w:rPr>
        <w:t xml:space="preserve"> żądania lub dokonani</w:t>
      </w:r>
      <w:r w:rsidR="006330DC" w:rsidRPr="00F27DDF">
        <w:rPr>
          <w:rFonts w:ascii="Times New Roman" w:hAnsi="Times New Roman" w:cs="Times New Roman"/>
          <w:sz w:val="24"/>
          <w:szCs w:val="24"/>
        </w:rPr>
        <w:t>u</w:t>
      </w:r>
      <w:r w:rsidRPr="00F27DDF">
        <w:rPr>
          <w:rFonts w:ascii="Times New Roman" w:hAnsi="Times New Roman" w:cs="Times New Roman"/>
          <w:sz w:val="24"/>
          <w:szCs w:val="24"/>
        </w:rPr>
        <w:t xml:space="preserve"> blokady rachunku podmiotu kwalifikowanego, § 4b – inf</w:t>
      </w:r>
      <w:r w:rsidR="00A72072">
        <w:rPr>
          <w:rFonts w:ascii="Times New Roman" w:hAnsi="Times New Roman" w:cs="Times New Roman"/>
          <w:sz w:val="24"/>
          <w:szCs w:val="24"/>
        </w:rPr>
        <w:t>ormowanie przez bank lub SKOK o </w:t>
      </w:r>
      <w:r w:rsidRPr="00F27DDF">
        <w:rPr>
          <w:rFonts w:ascii="Times New Roman" w:hAnsi="Times New Roman" w:cs="Times New Roman"/>
          <w:sz w:val="24"/>
          <w:szCs w:val="24"/>
        </w:rPr>
        <w:t>przekazaniu żądania lub dokonaniu blokady wyłącznie na wniosek podmiotu kwalifikowanego, po uprzednim potwierdzeniu przez Szefa KAS, że przekazane żądania blokady rachunków tego podmiotu kwalifikowanego zostały wykonane, § 4c – przekazywanie przez bank lub SKOK dodatkowych</w:t>
      </w:r>
      <w:r w:rsidR="00AE212B" w:rsidRPr="00F27DDF">
        <w:rPr>
          <w:rFonts w:ascii="Times New Roman" w:hAnsi="Times New Roman" w:cs="Times New Roman"/>
          <w:sz w:val="24"/>
          <w:szCs w:val="24"/>
        </w:rPr>
        <w:t xml:space="preserve"> posiadanych</w:t>
      </w:r>
      <w:r w:rsidRPr="00F27DDF">
        <w:rPr>
          <w:rFonts w:ascii="Times New Roman" w:hAnsi="Times New Roman" w:cs="Times New Roman"/>
          <w:sz w:val="24"/>
          <w:szCs w:val="24"/>
        </w:rPr>
        <w:t xml:space="preserve"> informacji Szefowi KAS w przypadku złożenia dyspozycji przeprowadzenia transakcji dotyczących rachunku podmiotu kwalifikowanego, § 4d – przekazywanie przez bank lub SKOK dodatkowych informacji </w:t>
      </w:r>
      <w:r w:rsidRPr="00F27DDF">
        <w:rPr>
          <w:rFonts w:ascii="Times New Roman" w:hAnsi="Times New Roman" w:cs="Times New Roman"/>
          <w:sz w:val="24"/>
          <w:szCs w:val="24"/>
        </w:rPr>
        <w:lastRenderedPageBreak/>
        <w:t>Szefowi KAS w</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 xml:space="preserve">przypadku </w:t>
      </w:r>
      <w:r w:rsidR="00AE212B" w:rsidRPr="00F27DDF">
        <w:rPr>
          <w:rFonts w:ascii="Times New Roman" w:hAnsi="Times New Roman" w:cs="Times New Roman"/>
          <w:sz w:val="24"/>
          <w:szCs w:val="24"/>
        </w:rPr>
        <w:t xml:space="preserve">złożenia </w:t>
      </w:r>
      <w:r w:rsidRPr="00F27DDF">
        <w:rPr>
          <w:rFonts w:ascii="Times New Roman" w:hAnsi="Times New Roman" w:cs="Times New Roman"/>
          <w:sz w:val="24"/>
          <w:szCs w:val="24"/>
        </w:rPr>
        <w:t>wniosku o udzielenie informacji przez podmiot kwalifikowany, §</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5 – blokada rachunku, którego podmiot kwalifikowany jest współposiadaczem, § 6 – doręczenie podmiotowi kwalifikowanemu zawiadomienia o blokadzie jego rachunku. W aktualny</w:t>
      </w:r>
      <w:r w:rsidR="00A72072">
        <w:rPr>
          <w:rFonts w:ascii="Times New Roman" w:hAnsi="Times New Roman" w:cs="Times New Roman"/>
          <w:sz w:val="24"/>
          <w:szCs w:val="24"/>
        </w:rPr>
        <w:t>m stanie prawnym w art. 119zv § </w:t>
      </w:r>
      <w:r w:rsidRPr="00F27DDF">
        <w:rPr>
          <w:rFonts w:ascii="Times New Roman" w:hAnsi="Times New Roman" w:cs="Times New Roman"/>
          <w:sz w:val="24"/>
          <w:szCs w:val="24"/>
        </w:rPr>
        <w:t xml:space="preserve">8 Ordynacji podatkowej jest powołany tylko </w:t>
      </w:r>
      <w:r w:rsidR="006330DC" w:rsidRPr="00F27DDF">
        <w:rPr>
          <w:rFonts w:ascii="Times New Roman" w:hAnsi="Times New Roman" w:cs="Times New Roman"/>
          <w:sz w:val="24"/>
          <w:szCs w:val="24"/>
        </w:rPr>
        <w:t>§</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 xml:space="preserve">3, co nie stanowi optymalnego rozwiązania. </w:t>
      </w:r>
    </w:p>
    <w:p w:rsidR="005C3F1F" w:rsidRPr="00F27DDF" w:rsidRDefault="0073615D" w:rsidP="0073615D">
      <w:pPr>
        <w:spacing w:before="120" w:after="0" w:line="360" w:lineRule="auto"/>
        <w:ind w:left="322" w:hanging="322"/>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AB11F1" w:rsidRPr="00F27DDF">
        <w:rPr>
          <w:rFonts w:ascii="Times New Roman" w:hAnsi="Times New Roman" w:cs="Times New Roman"/>
          <w:b/>
          <w:sz w:val="24"/>
          <w:szCs w:val="24"/>
        </w:rPr>
        <w:t>Rozszerzenie definicji rachunku podmiotu kwalifikowanego</w:t>
      </w:r>
      <w:r w:rsidR="00AB11F1" w:rsidRPr="00F27DDF">
        <w:rPr>
          <w:rFonts w:ascii="Times New Roman" w:hAnsi="Times New Roman" w:cs="Times New Roman"/>
          <w:sz w:val="24"/>
          <w:szCs w:val="24"/>
        </w:rPr>
        <w:t xml:space="preserve"> </w:t>
      </w:r>
    </w:p>
    <w:p w:rsidR="005C3F1F" w:rsidRPr="00F27DDF" w:rsidRDefault="0073615D" w:rsidP="0073615D">
      <w:pPr>
        <w:spacing w:before="120" w:after="0" w:line="360" w:lineRule="auto"/>
        <w:ind w:left="294" w:hanging="294"/>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AB11F1" w:rsidRPr="00F27DDF">
        <w:rPr>
          <w:rFonts w:ascii="Times New Roman" w:hAnsi="Times New Roman" w:cs="Times New Roman"/>
          <w:sz w:val="24"/>
          <w:szCs w:val="24"/>
        </w:rPr>
        <w:t>Objęcie definicją rachunku VAT</w:t>
      </w:r>
    </w:p>
    <w:p w:rsidR="005C3F1F" w:rsidRPr="00F27DDF" w:rsidRDefault="00AB11F1" w:rsidP="00F27DDF">
      <w:pPr>
        <w:spacing w:before="120" w:after="0" w:line="360" w:lineRule="auto"/>
        <w:jc w:val="both"/>
        <w:rPr>
          <w:rFonts w:ascii="Times New Roman" w:hAnsi="Times New Roman" w:cs="Times New Roman"/>
          <w:b/>
          <w:sz w:val="24"/>
          <w:szCs w:val="24"/>
        </w:rPr>
      </w:pPr>
      <w:r w:rsidRPr="00F27DDF">
        <w:rPr>
          <w:rFonts w:ascii="Times New Roman" w:hAnsi="Times New Roman" w:cs="Times New Roman"/>
          <w:sz w:val="24"/>
          <w:szCs w:val="24"/>
        </w:rPr>
        <w:t xml:space="preserve">Ustawa z dnia 15 grudnia 2017 r. o zmianie ustawy o podatku od towarów i usług oraz niektórych </w:t>
      </w:r>
      <w:r w:rsidR="00AF1B0D">
        <w:rPr>
          <w:rFonts w:ascii="Times New Roman" w:hAnsi="Times New Roman" w:cs="Times New Roman"/>
          <w:sz w:val="24"/>
          <w:szCs w:val="24"/>
        </w:rPr>
        <w:t>innych ustaw</w:t>
      </w:r>
      <w:r w:rsidRPr="00F27DDF">
        <w:rPr>
          <w:rFonts w:ascii="Times New Roman" w:hAnsi="Times New Roman" w:cs="Times New Roman"/>
          <w:sz w:val="24"/>
          <w:szCs w:val="24"/>
        </w:rPr>
        <w:t xml:space="preserve"> wprowadza z dniem 1 lipca 2018 r. do ustawy z dnia 29</w:t>
      </w:r>
      <w:r w:rsidR="00AF1B0D">
        <w:rPr>
          <w:rFonts w:ascii="Times New Roman" w:hAnsi="Times New Roman" w:cs="Times New Roman"/>
          <w:sz w:val="24"/>
          <w:szCs w:val="24"/>
        </w:rPr>
        <w:t> </w:t>
      </w:r>
      <w:r w:rsidRPr="00F27DDF">
        <w:rPr>
          <w:rFonts w:ascii="Times New Roman" w:hAnsi="Times New Roman" w:cs="Times New Roman"/>
          <w:sz w:val="24"/>
          <w:szCs w:val="24"/>
        </w:rPr>
        <w:t xml:space="preserve">sierpnia 1997 r. – Prawo bankowe nowy </w:t>
      </w:r>
      <w:r w:rsidR="00AF1B0D">
        <w:rPr>
          <w:rFonts w:ascii="Times New Roman" w:hAnsi="Times New Roman" w:cs="Times New Roman"/>
          <w:sz w:val="24"/>
          <w:szCs w:val="24"/>
        </w:rPr>
        <w:t>r</w:t>
      </w:r>
      <w:r w:rsidRPr="00F27DDF">
        <w:rPr>
          <w:rFonts w:ascii="Times New Roman" w:hAnsi="Times New Roman" w:cs="Times New Roman"/>
          <w:sz w:val="24"/>
          <w:szCs w:val="24"/>
        </w:rPr>
        <w:t>ozdział 3a określający nową kategorię rachunku bankowego, tj.</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rachunek VAT. Rachunek VAT nie jest rachunkiem rozliczeniowym, o którym mowa w art. 49 ust. 1 pkt 1 ustawy z dnia 29 sierpnia 1997 r. – Prawo bankowe, a zatem nie mieści się w definicji rachunku podmiotu kwalifikowanego, o którym mowa w</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art.</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119zg pkt 5 Ordynacji podatkowej. Rachunek VAT będzie prowadzony dla rachunku rozliczeniowego (art. 62a ust. 1 ustawy – Prawo</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bankowe</w:t>
      </w:r>
      <w:r w:rsidR="00AF1B0D">
        <w:rPr>
          <w:rFonts w:ascii="Times New Roman" w:hAnsi="Times New Roman" w:cs="Times New Roman"/>
          <w:sz w:val="24"/>
          <w:szCs w:val="24"/>
        </w:rPr>
        <w:t>,</w:t>
      </w:r>
      <w:r w:rsidRPr="00F27DDF">
        <w:rPr>
          <w:rFonts w:ascii="Times New Roman" w:hAnsi="Times New Roman" w:cs="Times New Roman"/>
          <w:sz w:val="24"/>
          <w:szCs w:val="24"/>
        </w:rPr>
        <w:t xml:space="preserve"> w brzmieniu nadanym przez ustawę z dnia</w:t>
      </w:r>
      <w:r w:rsidR="00AF1B0D">
        <w:rPr>
          <w:rFonts w:ascii="Times New Roman" w:hAnsi="Times New Roman" w:cs="Times New Roman"/>
          <w:sz w:val="24"/>
          <w:szCs w:val="24"/>
        </w:rPr>
        <w:t xml:space="preserve"> 15 grudnia 2017 r.). Uznanie i </w:t>
      </w:r>
      <w:r w:rsidRPr="00F27DDF">
        <w:rPr>
          <w:rFonts w:ascii="Times New Roman" w:hAnsi="Times New Roman" w:cs="Times New Roman"/>
          <w:sz w:val="24"/>
          <w:szCs w:val="24"/>
        </w:rPr>
        <w:t>obciążenie rachunku VAT będzie dokonywane odpowiednio przez obciążenie</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albo</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uznanie</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rachunku</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rozliczeniowego</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posiadacza</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rachunku</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VAT prowadzonego w tym samym banku (art.</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62b ust. 3 ustawy – Prawo</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bankowe). Mając na uwadze, że rachunki VAT prowadzone będą w celu rejestracji środków pieniężnych otrzymanych z tytułu zapłaty podatku VAT wskazanego na wystawionej przez podatnika fakturze, jak również z</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 xml:space="preserve">tytułu zwrotu podatku VAT przez </w:t>
      </w:r>
      <w:r w:rsidR="00AF1B0D">
        <w:rPr>
          <w:rFonts w:ascii="Times New Roman" w:hAnsi="Times New Roman" w:cs="Times New Roman"/>
          <w:sz w:val="24"/>
          <w:szCs w:val="24"/>
        </w:rPr>
        <w:t xml:space="preserve">naczelnika </w:t>
      </w:r>
      <w:r w:rsidRPr="00F27DDF">
        <w:rPr>
          <w:rFonts w:ascii="Times New Roman" w:hAnsi="Times New Roman" w:cs="Times New Roman"/>
          <w:sz w:val="24"/>
          <w:szCs w:val="24"/>
        </w:rPr>
        <w:t>urz</w:t>
      </w:r>
      <w:r w:rsidR="00AF1B0D">
        <w:rPr>
          <w:rFonts w:ascii="Times New Roman" w:hAnsi="Times New Roman" w:cs="Times New Roman"/>
          <w:sz w:val="24"/>
          <w:szCs w:val="24"/>
        </w:rPr>
        <w:t>ę</w:t>
      </w:r>
      <w:r w:rsidRPr="00F27DDF">
        <w:rPr>
          <w:rFonts w:ascii="Times New Roman" w:hAnsi="Times New Roman" w:cs="Times New Roman"/>
          <w:sz w:val="24"/>
          <w:szCs w:val="24"/>
        </w:rPr>
        <w:t>d</w:t>
      </w:r>
      <w:r w:rsidR="00AF1B0D">
        <w:rPr>
          <w:rFonts w:ascii="Times New Roman" w:hAnsi="Times New Roman" w:cs="Times New Roman"/>
          <w:sz w:val="24"/>
          <w:szCs w:val="24"/>
        </w:rPr>
        <w:t>u skarbowego</w:t>
      </w:r>
      <w:r w:rsidRPr="00F27DDF">
        <w:rPr>
          <w:rFonts w:ascii="Times New Roman" w:hAnsi="Times New Roman" w:cs="Times New Roman"/>
          <w:sz w:val="24"/>
          <w:szCs w:val="24"/>
        </w:rPr>
        <w:t>, rachunki te powinny również podlegać przepisom ustawy z dnia 24</w:t>
      </w:r>
      <w:r w:rsidR="00AF1B0D">
        <w:rPr>
          <w:rFonts w:ascii="Times New Roman" w:hAnsi="Times New Roman" w:cs="Times New Roman"/>
          <w:sz w:val="24"/>
          <w:szCs w:val="24"/>
        </w:rPr>
        <w:t xml:space="preserve"> listopada 2017 r. Nastąpi to w </w:t>
      </w:r>
      <w:r w:rsidRPr="00F27DDF">
        <w:rPr>
          <w:rFonts w:ascii="Times New Roman" w:hAnsi="Times New Roman" w:cs="Times New Roman"/>
          <w:sz w:val="24"/>
          <w:szCs w:val="24"/>
        </w:rPr>
        <w:t>wyniku objęcia definicją rachunku podmiotu kwalifikowanego także rachunku VAT w</w:t>
      </w:r>
      <w:r w:rsidR="00AF1B0D">
        <w:rPr>
          <w:rFonts w:ascii="Times New Roman" w:hAnsi="Times New Roman" w:cs="Times New Roman"/>
          <w:sz w:val="24"/>
          <w:szCs w:val="24"/>
        </w:rPr>
        <w:t> </w:t>
      </w:r>
      <w:r w:rsidRPr="00F27DDF">
        <w:rPr>
          <w:rFonts w:ascii="Times New Roman" w:hAnsi="Times New Roman" w:cs="Times New Roman"/>
          <w:sz w:val="24"/>
          <w:szCs w:val="24"/>
        </w:rPr>
        <w:t>rozumieniu art.</w:t>
      </w:r>
      <w:r w:rsidR="00C13C62">
        <w:rPr>
          <w:rFonts w:ascii="Times New Roman" w:hAnsi="Times New Roman" w:cs="Times New Roman"/>
          <w:sz w:val="24"/>
          <w:szCs w:val="24"/>
        </w:rPr>
        <w:t xml:space="preserve"> </w:t>
      </w:r>
      <w:r w:rsidRPr="00F27DDF">
        <w:rPr>
          <w:rFonts w:ascii="Times New Roman" w:hAnsi="Times New Roman" w:cs="Times New Roman"/>
          <w:sz w:val="24"/>
          <w:szCs w:val="24"/>
        </w:rPr>
        <w:t>2 pkt 37 ustawy z dnia 11 marca</w:t>
      </w:r>
      <w:r w:rsidR="00AF1B0D">
        <w:rPr>
          <w:rFonts w:ascii="Times New Roman" w:hAnsi="Times New Roman" w:cs="Times New Roman"/>
          <w:sz w:val="24"/>
          <w:szCs w:val="24"/>
        </w:rPr>
        <w:t xml:space="preserve"> 2004 r. o podatku od towarów i </w:t>
      </w:r>
      <w:r w:rsidRPr="00F27DDF">
        <w:rPr>
          <w:rFonts w:ascii="Times New Roman" w:hAnsi="Times New Roman" w:cs="Times New Roman"/>
          <w:sz w:val="24"/>
          <w:szCs w:val="24"/>
        </w:rPr>
        <w:t xml:space="preserve">usług. Nowelizacja uwzględnia, że rachunek VAT będzie prowadzony także przez spółdzielczą kasę oszczędnościowo-kredytową dla członka kasy, który posiada w kasie imienny rachunek otwarty w związku z prowadzoną przez niego działalnością gospodarczą </w:t>
      </w:r>
      <w:r w:rsidRPr="00F27DDF">
        <w:rPr>
          <w:rFonts w:ascii="Times New Roman" w:hAnsi="Times New Roman" w:cs="Times New Roman"/>
          <w:b/>
          <w:sz w:val="24"/>
          <w:szCs w:val="24"/>
        </w:rPr>
        <w:t>(art. 119zg pkt 5 lit. d Ordynacji podatkowej – pkt 5 podzielono na litery w celu zwiększenia jego czytelności).</w:t>
      </w:r>
    </w:p>
    <w:p w:rsidR="005C3F1F" w:rsidRPr="00F27DDF" w:rsidRDefault="0073615D" w:rsidP="0073615D">
      <w:pPr>
        <w:spacing w:before="120" w:after="0" w:line="360" w:lineRule="auto"/>
        <w:ind w:left="294" w:hanging="294"/>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AB11F1" w:rsidRPr="00F27DDF">
        <w:rPr>
          <w:rFonts w:ascii="Times New Roman" w:hAnsi="Times New Roman" w:cs="Times New Roman"/>
          <w:sz w:val="24"/>
          <w:szCs w:val="24"/>
        </w:rPr>
        <w:t>Objęcie definicją rachunku lokaty terminowej</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lastRenderedPageBreak/>
        <w:t xml:space="preserve">Zgodnie z art. 49 ust. 2 ustawy z dnia 29 sierpnia 1997 r. </w:t>
      </w:r>
      <w:r w:rsidR="00F27DDF">
        <w:rPr>
          <w:rFonts w:ascii="Times New Roman" w:hAnsi="Times New Roman" w:cs="Times New Roman"/>
          <w:sz w:val="24"/>
          <w:szCs w:val="24"/>
        </w:rPr>
        <w:t>–</w:t>
      </w:r>
      <w:r w:rsidRPr="00F27DDF">
        <w:rPr>
          <w:rFonts w:ascii="Times New Roman" w:hAnsi="Times New Roman" w:cs="Times New Roman"/>
          <w:sz w:val="24"/>
          <w:szCs w:val="24"/>
        </w:rPr>
        <w:t xml:space="preserve"> Prawo bankowe</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rachunki lokat terminowych mogą być prowadzone dla tych samych podmiotów co rachunki rozliczeniowe. Definicja rachunku podmiotu kwalifikowanego powinna być rozszerzona o rachunek lokaty terminowej, ponieważ nie jest wykluczone przelanie z</w:t>
      </w:r>
      <w:r w:rsidR="0073615D">
        <w:rPr>
          <w:rFonts w:ascii="Times New Roman" w:hAnsi="Times New Roman" w:cs="Times New Roman"/>
          <w:sz w:val="24"/>
          <w:szCs w:val="24"/>
        </w:rPr>
        <w:t> </w:t>
      </w:r>
      <w:r w:rsidRPr="00F27DDF">
        <w:rPr>
          <w:rFonts w:ascii="Times New Roman" w:hAnsi="Times New Roman" w:cs="Times New Roman"/>
          <w:sz w:val="24"/>
          <w:szCs w:val="24"/>
        </w:rPr>
        <w:t xml:space="preserve">takiego </w:t>
      </w:r>
      <w:r w:rsidR="006702BC">
        <w:rPr>
          <w:rFonts w:ascii="Times New Roman" w:hAnsi="Times New Roman" w:cs="Times New Roman"/>
          <w:sz w:val="24"/>
          <w:szCs w:val="24"/>
        </w:rPr>
        <w:t xml:space="preserve">rachunku </w:t>
      </w:r>
      <w:r w:rsidRPr="00F27DDF">
        <w:rPr>
          <w:rFonts w:ascii="Times New Roman" w:hAnsi="Times New Roman" w:cs="Times New Roman"/>
          <w:sz w:val="24"/>
          <w:szCs w:val="24"/>
        </w:rPr>
        <w:t>środków na inny rachunek niż rachunek rozliczeniowy, z którego zostały zasilone (art. 119zg pkt 5 lit. b Ordynacji podatkowej).</w:t>
      </w:r>
      <w:r w:rsidR="004E1D0B" w:rsidRPr="00F27DDF">
        <w:rPr>
          <w:rFonts w:ascii="Times New Roman" w:hAnsi="Times New Roman" w:cs="Times New Roman"/>
          <w:sz w:val="24"/>
          <w:szCs w:val="24"/>
        </w:rPr>
        <w:t xml:space="preserve"> Przelanie posiadanych środków z rachunku rozliczeniowego na lokatę terminową typu </w:t>
      </w:r>
      <w:proofErr w:type="spellStart"/>
      <w:r w:rsidR="004E1D0B" w:rsidRPr="00F27DDF">
        <w:rPr>
          <w:rFonts w:ascii="Times New Roman" w:hAnsi="Times New Roman" w:cs="Times New Roman"/>
          <w:sz w:val="24"/>
          <w:szCs w:val="24"/>
        </w:rPr>
        <w:t>overnight</w:t>
      </w:r>
      <w:proofErr w:type="spellEnd"/>
      <w:r w:rsidR="004E1D0B" w:rsidRPr="00F27DDF">
        <w:rPr>
          <w:rFonts w:ascii="Times New Roman" w:hAnsi="Times New Roman" w:cs="Times New Roman"/>
          <w:sz w:val="24"/>
          <w:szCs w:val="24"/>
        </w:rPr>
        <w:t xml:space="preserve"> powoduje, że na koniec dnia saldo na rachunku rozliczeniowym wynosi 0. Codzienne odnawianie takich lokat może sugerować, że na rachunku rozliczeniowym nie ma środków. Sytuacje takie znacznie ograniczają możliwości </w:t>
      </w:r>
      <w:r w:rsidR="0099299B" w:rsidRPr="00F27DDF">
        <w:rPr>
          <w:rFonts w:ascii="Times New Roman" w:hAnsi="Times New Roman" w:cs="Times New Roman"/>
          <w:sz w:val="24"/>
          <w:szCs w:val="24"/>
        </w:rPr>
        <w:t>dokonyw</w:t>
      </w:r>
      <w:r w:rsidR="00A72072">
        <w:rPr>
          <w:rFonts w:ascii="Times New Roman" w:hAnsi="Times New Roman" w:cs="Times New Roman"/>
          <w:sz w:val="24"/>
          <w:szCs w:val="24"/>
        </w:rPr>
        <w:t>ania analiz transakcji z </w:t>
      </w:r>
      <w:r w:rsidR="0099299B" w:rsidRPr="00F27DDF">
        <w:rPr>
          <w:rFonts w:ascii="Times New Roman" w:hAnsi="Times New Roman" w:cs="Times New Roman"/>
          <w:sz w:val="24"/>
          <w:szCs w:val="24"/>
        </w:rPr>
        <w:t>użyciem algorytmów. Objęcie rachunku lokaty terminowej definicj</w:t>
      </w:r>
      <w:r w:rsidR="00695353" w:rsidRPr="00F27DDF">
        <w:rPr>
          <w:rFonts w:ascii="Times New Roman" w:hAnsi="Times New Roman" w:cs="Times New Roman"/>
          <w:sz w:val="24"/>
          <w:szCs w:val="24"/>
        </w:rPr>
        <w:t>ą</w:t>
      </w:r>
      <w:r w:rsidR="0099299B" w:rsidRPr="00F27DDF">
        <w:rPr>
          <w:rFonts w:ascii="Times New Roman" w:hAnsi="Times New Roman" w:cs="Times New Roman"/>
          <w:sz w:val="24"/>
          <w:szCs w:val="24"/>
        </w:rPr>
        <w:t xml:space="preserve"> rachunku podmiotu kwalifikowanego ma zapobiec takim sytuacjom.</w:t>
      </w:r>
      <w:r w:rsidR="00F27DDF">
        <w:rPr>
          <w:rFonts w:ascii="Times New Roman" w:hAnsi="Times New Roman" w:cs="Times New Roman"/>
          <w:sz w:val="24"/>
          <w:szCs w:val="24"/>
        </w:rPr>
        <w:t xml:space="preserve"> </w:t>
      </w:r>
    </w:p>
    <w:p w:rsidR="005C3F1F" w:rsidRPr="00F27DDF" w:rsidRDefault="0073615D" w:rsidP="0073615D">
      <w:pPr>
        <w:spacing w:before="120" w:after="0" w:line="360" w:lineRule="auto"/>
        <w:ind w:left="322" w:hanging="322"/>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AB11F1" w:rsidRPr="00F27DDF">
        <w:rPr>
          <w:rFonts w:ascii="Times New Roman" w:hAnsi="Times New Roman" w:cs="Times New Roman"/>
          <w:b/>
          <w:sz w:val="24"/>
          <w:szCs w:val="24"/>
        </w:rPr>
        <w:t xml:space="preserve">Informowanie przez bank lub SKOK o żądaniu blokady na wniosek podmiotu kwalifikowanego </w:t>
      </w:r>
    </w:p>
    <w:p w:rsidR="00BC4B0B" w:rsidRPr="00F27DDF" w:rsidRDefault="0090018C" w:rsidP="00F27DDF">
      <w:pPr>
        <w:pStyle w:val="Tekstpodstawowy2"/>
        <w:shd w:val="clear" w:color="auto" w:fill="auto"/>
        <w:spacing w:before="120" w:line="360" w:lineRule="auto"/>
        <w:ind w:left="23" w:right="23"/>
        <w:jc w:val="both"/>
      </w:pPr>
      <w:r w:rsidRPr="00F27DDF">
        <w:t xml:space="preserve">W aktualnym stanie prawnym bank lub SKOK nie jest uprawniony do poinformowania klienta o </w:t>
      </w:r>
      <w:r w:rsidR="0099174C" w:rsidRPr="00F27DDF">
        <w:t>dokonaniu blokady jego rachunku</w:t>
      </w:r>
      <w:r w:rsidRPr="00F27DDF">
        <w:t xml:space="preserve"> na żądanie Szefa KAS (stanowiłoby to naruszenie zakazu ujawniania informacji objętych żądaniami Szefa KAS ustanowionego w art. 305r pkt 4 Ordynacji podatkowej). </w:t>
      </w:r>
      <w:r w:rsidR="00AB11F1" w:rsidRPr="00F27DDF">
        <w:t xml:space="preserve">Obecnie podmiot kwalifikowany jest informowany o żądaniu blokady przez Szefa Krajowej Administracji Skarbowej w momencie doręczenia postanowienia o blokadzie rachunku tego podmiotu. Przepisy niniejszej ustawy znoszą postanowienia w sprawach blokad na 72 godziny. </w:t>
      </w:r>
      <w:r w:rsidR="0099174C" w:rsidRPr="00F27DDF">
        <w:t>N</w:t>
      </w:r>
      <w:r w:rsidR="00AB11F1" w:rsidRPr="00F27DDF">
        <w:t xml:space="preserve">ależy przypuszczać, że podmiot kwalifikowany, po stwierdzeniu braku możliwości obciążenia jego rachunku lub wypłaty z tego rachunku, będzie zwracał się o wyjaśnienie tej sytuacji </w:t>
      </w:r>
      <w:r w:rsidR="0099174C" w:rsidRPr="00F27DDF">
        <w:t xml:space="preserve">i udzielenie informacji </w:t>
      </w:r>
      <w:r w:rsidR="0073615D">
        <w:t>przede wszystkim do banku (SKOK</w:t>
      </w:r>
      <w:r w:rsidR="0073615D">
        <w:noBreakHyphen/>
      </w:r>
      <w:r w:rsidR="00AB11F1" w:rsidRPr="00F27DDF">
        <w:t xml:space="preserve">u). </w:t>
      </w:r>
      <w:r w:rsidR="0099174C" w:rsidRPr="00F27DDF">
        <w:t xml:space="preserve">Nowelizacja ma na celu umożliwienie przekazywania takiej informacji przez instytucję finansową, a ograniczenia w tym zakresie podyktowane są ryzykiem wyprowadzenia przez podmiot kwalifikowany środków z rachunków w innych bankach, które nie zdążyły jeszcze ustanowić blokady jego pozostałych rachunków. </w:t>
      </w:r>
    </w:p>
    <w:p w:rsidR="00BC4B0B" w:rsidRPr="00F27DDF" w:rsidRDefault="00AB11F1" w:rsidP="00F27DDF">
      <w:pPr>
        <w:pStyle w:val="Tekstpodstawowy2"/>
        <w:shd w:val="clear" w:color="auto" w:fill="auto"/>
        <w:spacing w:before="120" w:line="360" w:lineRule="auto"/>
        <w:ind w:left="23" w:right="23"/>
        <w:jc w:val="both"/>
      </w:pPr>
      <w:r w:rsidRPr="00F27DDF">
        <w:t xml:space="preserve">Proponuje się, aby bank lub SKOK informował podmiot kwalifikowany o żądaniu lub dokonaniu blokady wyłącznie na jego wniosek, po uprzednim potwierdzeniu przez Szefa KAS, że przekazane żądania blokady rachunków tego podmiotu kwalifikowanego zostały wykonane </w:t>
      </w:r>
      <w:r w:rsidRPr="00F27DDF">
        <w:rPr>
          <w:b/>
        </w:rPr>
        <w:t>(projektowany art. 119zv § 4b Ordynacji podatkowej)</w:t>
      </w:r>
      <w:r w:rsidRPr="00F27DDF">
        <w:t xml:space="preserve">. Powyższe </w:t>
      </w:r>
      <w:r w:rsidRPr="00F27DDF">
        <w:lastRenderedPageBreak/>
        <w:t>rozwiązanie powoduje, że w przypadku żądań blokad rachunków podmiotu kwalifikowanego w w</w:t>
      </w:r>
      <w:r w:rsidR="0073615D">
        <w:t>ięcej niż jednym banku lub SKOK</w:t>
      </w:r>
      <w:r w:rsidR="00A72072">
        <w:t>-</w:t>
      </w:r>
      <w:r w:rsidRPr="00F27DDF">
        <w:t xml:space="preserve">u podmiot kwalifikowany otrzyma informację po wykonaniu wszystkich żądań (dokonaniu wszystkich blokad). Przedwczesne ujawnienie informacji mogłoby spowodować transfer środków z rachunku w innej instytucji, który nie zdążył jeszcze zostać zablokowany. </w:t>
      </w:r>
      <w:r w:rsidR="00BC4B0B" w:rsidRPr="00F27DDF">
        <w:t>Podkreślenia wymaga także, że zarówno w obecnym</w:t>
      </w:r>
      <w:r w:rsidR="00820DCF">
        <w:t>,</w:t>
      </w:r>
      <w:r w:rsidR="00BC4B0B" w:rsidRPr="00F27DDF">
        <w:t xml:space="preserve"> jak i</w:t>
      </w:r>
      <w:r w:rsidR="0073615D">
        <w:t> </w:t>
      </w:r>
      <w:r w:rsidR="00BC4B0B" w:rsidRPr="00F27DDF">
        <w:t>projektowanym stanie prawnym informacja o blokadzie rachunku przekazywana jest podmiotowi kwalifikowanemu przez Szefa KAS (art. 119zv § 6 Ordynacji podatkowej).</w:t>
      </w:r>
    </w:p>
    <w:p w:rsidR="00BC4B0B" w:rsidRPr="00F27DDF" w:rsidRDefault="00AB11F1" w:rsidP="00F27DDF">
      <w:pPr>
        <w:pStyle w:val="Tekstpodstawowy2"/>
        <w:shd w:val="clear" w:color="auto" w:fill="auto"/>
        <w:spacing w:before="120" w:line="360" w:lineRule="auto"/>
        <w:ind w:left="23" w:right="23"/>
        <w:jc w:val="both"/>
      </w:pPr>
      <w:r w:rsidRPr="00F27DDF">
        <w:t>W przypadku braku wniosku bank lub SKOK nie ujawnia podmiotowi kwalifikowanemu informacji</w:t>
      </w:r>
      <w:r w:rsidR="006330DC" w:rsidRPr="00F27DDF">
        <w:t xml:space="preserve"> o</w:t>
      </w:r>
      <w:r w:rsidRPr="00F27DDF">
        <w:t xml:space="preserve"> przekazani</w:t>
      </w:r>
      <w:r w:rsidR="006330DC" w:rsidRPr="00F27DDF">
        <w:t>u</w:t>
      </w:r>
      <w:r w:rsidRPr="00F27DDF">
        <w:t xml:space="preserve"> żądania lub dokonani</w:t>
      </w:r>
      <w:r w:rsidR="006330DC" w:rsidRPr="00F27DDF">
        <w:t>u</w:t>
      </w:r>
      <w:r w:rsidRPr="00F27DDF">
        <w:t xml:space="preserve"> blokady rachunku podmiotu kwalifikowanego </w:t>
      </w:r>
      <w:r w:rsidRPr="00F27DDF">
        <w:rPr>
          <w:b/>
        </w:rPr>
        <w:t>(projektowany art. 119zv § 4a Ordynacji podatkowej)</w:t>
      </w:r>
      <w:r w:rsidRPr="00F27DDF">
        <w:t xml:space="preserve">. </w:t>
      </w:r>
    </w:p>
    <w:p w:rsidR="00BC4B0B" w:rsidRPr="00F27DDF" w:rsidRDefault="00BC4B0B" w:rsidP="00F27DDF">
      <w:pPr>
        <w:pStyle w:val="Tekstpodstawowy2"/>
        <w:shd w:val="clear" w:color="auto" w:fill="auto"/>
        <w:spacing w:before="120" w:line="360" w:lineRule="auto"/>
        <w:ind w:left="23" w:right="23"/>
        <w:jc w:val="both"/>
        <w:rPr>
          <w:b/>
        </w:rPr>
      </w:pPr>
      <w:r w:rsidRPr="00F27DDF">
        <w:t>Po</w:t>
      </w:r>
      <w:r w:rsidR="00AB11F1" w:rsidRPr="00F27DDF">
        <w:t xml:space="preserve"> złożeni</w:t>
      </w:r>
      <w:r w:rsidRPr="00F27DDF">
        <w:t>u</w:t>
      </w:r>
      <w:r w:rsidR="00AB11F1" w:rsidRPr="00F27DDF">
        <w:t xml:space="preserve"> dyspozycji bank albo SKOK będzie </w:t>
      </w:r>
      <w:r w:rsidR="00007BE7" w:rsidRPr="00F27DDF">
        <w:t xml:space="preserve">niezwłocznie </w:t>
      </w:r>
      <w:r w:rsidR="00AB11F1" w:rsidRPr="00F27DDF">
        <w:t>informował Szefa KAS o</w:t>
      </w:r>
      <w:r w:rsidR="00820DCF">
        <w:t> </w:t>
      </w:r>
      <w:r w:rsidR="00AB11F1" w:rsidRPr="00F27DDF">
        <w:t>dacie i godzinie złożenia dyspozycji</w:t>
      </w:r>
      <w:r w:rsidR="006330DC" w:rsidRPr="00F27DDF">
        <w:t xml:space="preserve"> oraz</w:t>
      </w:r>
      <w:r w:rsidR="00AB11F1" w:rsidRPr="00F27DDF">
        <w:t xml:space="preserve"> treści transakcji będącej przedmiotem dyspozycji w zakresie art. 119zr § 3 Ordynacji podatkowej </w:t>
      </w:r>
      <w:r w:rsidR="00AB11F1" w:rsidRPr="00F27DDF">
        <w:rPr>
          <w:b/>
        </w:rPr>
        <w:t xml:space="preserve">(projektowany art. 119zv § 4c Ordynacji podatkowej). </w:t>
      </w:r>
    </w:p>
    <w:p w:rsidR="009F6D91" w:rsidRPr="00F27DDF" w:rsidRDefault="00AB11F1" w:rsidP="00F27DDF">
      <w:pPr>
        <w:pStyle w:val="Tekstpodstawowy2"/>
        <w:shd w:val="clear" w:color="auto" w:fill="auto"/>
        <w:spacing w:before="120" w:line="360" w:lineRule="auto"/>
        <w:ind w:left="23" w:right="23"/>
        <w:jc w:val="both"/>
      </w:pPr>
      <w:r w:rsidRPr="00F27DDF">
        <w:t>W przypadku otrzymania wniosku, bank lub SKOK niezwłocznie przeka</w:t>
      </w:r>
      <w:r w:rsidR="00007BE7" w:rsidRPr="00F27DDF">
        <w:t>że</w:t>
      </w:r>
      <w:r w:rsidRPr="00F27DDF">
        <w:t xml:space="preserve"> Szefowi KAS informacje o dacie i godzinie złożenia wniosku oraz adresie </w:t>
      </w:r>
      <w:r w:rsidR="003E02D6" w:rsidRPr="00F27DDF">
        <w:t>poczty elektronicznej</w:t>
      </w:r>
      <w:r w:rsidRPr="00F27DDF">
        <w:t xml:space="preserve"> nadawcy wniosku, jego adresie IP, numerze telefonu, adresie placówki banku</w:t>
      </w:r>
      <w:r w:rsidR="00EF45A3" w:rsidRPr="00F27DDF">
        <w:t>,</w:t>
      </w:r>
      <w:r w:rsidRPr="00F27DDF">
        <w:t xml:space="preserve"> spółdzielczej kasy oszczędnościowo-kredytowej </w:t>
      </w:r>
      <w:r w:rsidR="00EF45A3" w:rsidRPr="00F27DDF">
        <w:t xml:space="preserve">albo </w:t>
      </w:r>
      <w:r w:rsidRPr="00F27DDF">
        <w:t xml:space="preserve">ich oddziału, w których został złożony wniosek, adresie nadawcy wniosku, w zależności od sposobu wniesienia wniosku przez podmiot kwalifikowany </w:t>
      </w:r>
      <w:r w:rsidRPr="00F27DDF">
        <w:rPr>
          <w:b/>
        </w:rPr>
        <w:t>(projektowany art. 119zv § 4d Ordynacji podatkowej)</w:t>
      </w:r>
      <w:r w:rsidRPr="00AF1B0D">
        <w:t>.</w:t>
      </w:r>
      <w:r w:rsidRPr="00F27DDF">
        <w:t xml:space="preserve"> Informacje te mogą okazać się przydatne do ustalenia lokalizacji podmiotu i ewentualnego podjęcia</w:t>
      </w:r>
      <w:r w:rsidR="00F27DDF">
        <w:t xml:space="preserve"> </w:t>
      </w:r>
      <w:r w:rsidRPr="00F27DDF">
        <w:t xml:space="preserve">adekwatnych działań przez Szefa KAS lub inne właściwe organy. </w:t>
      </w:r>
    </w:p>
    <w:p w:rsidR="005C3F1F" w:rsidRPr="00F27DDF" w:rsidRDefault="009F6D91" w:rsidP="00F27DDF">
      <w:pPr>
        <w:pStyle w:val="Tekstpodstawowy2"/>
        <w:shd w:val="clear" w:color="auto" w:fill="auto"/>
        <w:spacing w:before="120" w:line="360" w:lineRule="auto"/>
        <w:ind w:left="23" w:right="23"/>
        <w:jc w:val="both"/>
      </w:pPr>
      <w:r w:rsidRPr="00F27DDF">
        <w:t xml:space="preserve">Należy mieć na uwadze, że informacje, o których mowa w </w:t>
      </w:r>
      <w:r w:rsidRPr="00F27DDF">
        <w:rPr>
          <w:b/>
        </w:rPr>
        <w:t>art.</w:t>
      </w:r>
      <w:r w:rsidRPr="00F27DDF">
        <w:t xml:space="preserve"> </w:t>
      </w:r>
      <w:r w:rsidRPr="00F27DDF">
        <w:rPr>
          <w:b/>
        </w:rPr>
        <w:t>119zv § 4d Ordynacji podatkowej</w:t>
      </w:r>
      <w:r w:rsidR="00820DCF">
        <w:t>,</w:t>
      </w:r>
      <w:r w:rsidRPr="00F27DDF">
        <w:rPr>
          <w:b/>
        </w:rPr>
        <w:t xml:space="preserve"> </w:t>
      </w:r>
      <w:r w:rsidR="00B41F7F" w:rsidRPr="00F27DDF">
        <w:t>w znacznym stopniu ułatwiają ustalenie tożsamości</w:t>
      </w:r>
      <w:r w:rsidR="00B41F7F" w:rsidRPr="00F27DDF">
        <w:rPr>
          <w:b/>
        </w:rPr>
        <w:t xml:space="preserve"> </w:t>
      </w:r>
      <w:r w:rsidR="00B41F7F" w:rsidRPr="00F27DDF">
        <w:t xml:space="preserve">i miejsca przebywania </w:t>
      </w:r>
      <w:r w:rsidR="009008C8" w:rsidRPr="00F27DDF">
        <w:t>os</w:t>
      </w:r>
      <w:r w:rsidR="00B41F7F" w:rsidRPr="00F27DDF">
        <w:t>ób</w:t>
      </w:r>
      <w:r w:rsidR="009008C8" w:rsidRPr="00F27DDF">
        <w:t xml:space="preserve"> </w:t>
      </w:r>
      <w:r w:rsidR="00B41F7F" w:rsidRPr="00F27DDF">
        <w:t>faktycznie</w:t>
      </w:r>
      <w:r w:rsidR="009008C8" w:rsidRPr="00F27DDF">
        <w:t xml:space="preserve"> korzysta</w:t>
      </w:r>
      <w:r w:rsidR="00B41F7F" w:rsidRPr="00F27DDF">
        <w:t>jących</w:t>
      </w:r>
      <w:r w:rsidR="009008C8" w:rsidRPr="00F27DDF">
        <w:t xml:space="preserve"> z rachunku</w:t>
      </w:r>
      <w:r w:rsidRPr="00F27DDF">
        <w:t xml:space="preserve"> objęt</w:t>
      </w:r>
      <w:r w:rsidR="009008C8" w:rsidRPr="00F27DDF">
        <w:t xml:space="preserve">ego </w:t>
      </w:r>
      <w:r w:rsidRPr="00F27DDF">
        <w:t xml:space="preserve">blokadą. </w:t>
      </w:r>
      <w:r w:rsidR="00B41F7F" w:rsidRPr="00F27DDF">
        <w:t>Ustalenie</w:t>
      </w:r>
      <w:r w:rsidR="00230A76" w:rsidRPr="00F27DDF">
        <w:t xml:space="preserve"> tych osób </w:t>
      </w:r>
      <w:r w:rsidR="00B41F7F" w:rsidRPr="00F27DDF">
        <w:t xml:space="preserve">ma kluczowe znaczenie dla potwierdzenia wyników przeprowadzonej analizy finansowej, która skutkowała już dokonaniem blokady rachunku podmiotu kwalifikowanego. </w:t>
      </w:r>
      <w:r w:rsidR="00230A76" w:rsidRPr="00F27DDF">
        <w:t xml:space="preserve">Dane </w:t>
      </w:r>
      <w:r w:rsidR="00A46DBE" w:rsidRPr="00F27DDF">
        <w:t xml:space="preserve">te </w:t>
      </w:r>
      <w:r w:rsidR="00230A76" w:rsidRPr="00F27DDF">
        <w:t xml:space="preserve">są niezbędne do ustalenia </w:t>
      </w:r>
      <w:r w:rsidR="00B41F7F" w:rsidRPr="00F27DDF">
        <w:t xml:space="preserve">siatek </w:t>
      </w:r>
      <w:r w:rsidR="00852CC2" w:rsidRPr="00F27DDF">
        <w:t xml:space="preserve">wzajemnych </w:t>
      </w:r>
      <w:r w:rsidR="00B41F7F" w:rsidRPr="00F27DDF">
        <w:t xml:space="preserve">powiązań </w:t>
      </w:r>
      <w:r w:rsidR="00A72072">
        <w:t>i </w:t>
      </w:r>
      <w:r w:rsidR="00852CC2" w:rsidRPr="00F27DDF">
        <w:t xml:space="preserve">relacji </w:t>
      </w:r>
      <w:r w:rsidR="00230A76" w:rsidRPr="00F27DDF">
        <w:t>osób faktycznie korzystających z rachunk</w:t>
      </w:r>
      <w:r w:rsidR="00C34C1A" w:rsidRPr="00F27DDF">
        <w:t>ów</w:t>
      </w:r>
      <w:r w:rsidR="00230A76" w:rsidRPr="00F27DDF">
        <w:t xml:space="preserve">, które są zwykle organizatorami lub uczestnikami wyłudzeń skarbowych. </w:t>
      </w:r>
      <w:r w:rsidR="00A46DBE" w:rsidRPr="00F27DDF">
        <w:t xml:space="preserve">W </w:t>
      </w:r>
      <w:r w:rsidR="00C34C1A" w:rsidRPr="00F27DDF">
        <w:t>procederze wyłu</w:t>
      </w:r>
      <w:r w:rsidR="00A46DBE" w:rsidRPr="00F27DDF">
        <w:t>dzeń</w:t>
      </w:r>
      <w:r w:rsidR="00230A76" w:rsidRPr="00F27DDF">
        <w:t xml:space="preserve"> VAT poszczególne czynności są dokonywane </w:t>
      </w:r>
      <w:r w:rsidR="00230A76" w:rsidRPr="00F27DDF">
        <w:lastRenderedPageBreak/>
        <w:t>często przez osoby trzecie, podstawione, niezwiązane bezpośrednio z</w:t>
      </w:r>
      <w:r w:rsidR="00C13C62">
        <w:t xml:space="preserve"> </w:t>
      </w:r>
      <w:r w:rsidR="00230A76" w:rsidRPr="00F27DDF">
        <w:t>procederem, a jedynie wykorzystywane do niego na jakimś etapie, świadomie z ich strony lub nieświadomie</w:t>
      </w:r>
      <w:r w:rsidR="00A72072">
        <w:t>,</w:t>
      </w:r>
      <w:r w:rsidR="00230A76" w:rsidRPr="00F27DDF">
        <w:t xml:space="preserve"> tzw. słupy. Słupy najczęściej są formalnie posiadaczami rachunków</w:t>
      </w:r>
      <w:r w:rsidR="00A72072">
        <w:t>,</w:t>
      </w:r>
      <w:r w:rsidR="00230A76" w:rsidRPr="00F27DDF">
        <w:t xml:space="preserve"> lecz dostęp do rachunków i organizacja procederu często należą do osób, które nie są formalnie związane z podmiotem kwalifikowanym i przez to są trudne do ustalenia. </w:t>
      </w:r>
      <w:r w:rsidRPr="00F27DDF">
        <w:t xml:space="preserve">Po uzyskaniu informacji o fakcie blokady </w:t>
      </w:r>
      <w:r w:rsidR="009008C8" w:rsidRPr="00F27DDF">
        <w:t xml:space="preserve">osoba </w:t>
      </w:r>
      <w:r w:rsidR="00C34C1A" w:rsidRPr="00F27DDF">
        <w:t>faktycznie</w:t>
      </w:r>
      <w:r w:rsidR="00A46DBE" w:rsidRPr="00F27DDF">
        <w:t xml:space="preserve"> korzysta</w:t>
      </w:r>
      <w:r w:rsidR="00C34C1A" w:rsidRPr="00F27DDF">
        <w:t>jąca</w:t>
      </w:r>
      <w:r w:rsidR="00A46DBE" w:rsidRPr="00F27DDF">
        <w:t xml:space="preserve"> z</w:t>
      </w:r>
      <w:r w:rsidR="00C13C62">
        <w:t xml:space="preserve"> </w:t>
      </w:r>
      <w:r w:rsidR="00A46DBE" w:rsidRPr="00F27DDF">
        <w:t xml:space="preserve">rachunku objętego już blokadą </w:t>
      </w:r>
      <w:r w:rsidR="009008C8" w:rsidRPr="00F27DDF">
        <w:t>b</w:t>
      </w:r>
      <w:r w:rsidRPr="00F27DDF">
        <w:t>ędzie dążył</w:t>
      </w:r>
      <w:r w:rsidR="009008C8" w:rsidRPr="00F27DDF">
        <w:t>a</w:t>
      </w:r>
      <w:r w:rsidR="00A72072">
        <w:t xml:space="preserve"> do transferu i </w:t>
      </w:r>
      <w:r w:rsidRPr="00F27DDF">
        <w:t>zabezpieczenia pozostałych środków zaangażowanych w proceder wyłudzeń</w:t>
      </w:r>
      <w:r w:rsidR="009008C8" w:rsidRPr="00F27DDF">
        <w:t xml:space="preserve"> oraz</w:t>
      </w:r>
      <w:r w:rsidRPr="00F27DDF">
        <w:t xml:space="preserve"> powiadomienia innych uczestników</w:t>
      </w:r>
      <w:r w:rsidR="009008C8" w:rsidRPr="00F27DDF">
        <w:t xml:space="preserve"> karuzeli. Uzyskuj</w:t>
      </w:r>
      <w:r w:rsidR="00606045">
        <w:t>ąc informacje, o których mowa w </w:t>
      </w:r>
      <w:r w:rsidR="009008C8" w:rsidRPr="00F27DDF">
        <w:rPr>
          <w:b/>
        </w:rPr>
        <w:t>art.</w:t>
      </w:r>
      <w:r w:rsidR="009008C8" w:rsidRPr="00F27DDF">
        <w:t xml:space="preserve"> </w:t>
      </w:r>
      <w:r w:rsidR="009008C8" w:rsidRPr="00F27DDF">
        <w:rPr>
          <w:b/>
        </w:rPr>
        <w:t>119zv §</w:t>
      </w:r>
      <w:r w:rsidR="00C13C62">
        <w:rPr>
          <w:b/>
        </w:rPr>
        <w:t xml:space="preserve"> </w:t>
      </w:r>
      <w:r w:rsidR="009008C8" w:rsidRPr="00F27DDF">
        <w:rPr>
          <w:b/>
        </w:rPr>
        <w:t>4d Ordynacji podatkowej</w:t>
      </w:r>
      <w:r w:rsidR="00820DCF">
        <w:t>,</w:t>
      </w:r>
      <w:r w:rsidR="009008C8" w:rsidRPr="00F27DDF">
        <w:rPr>
          <w:b/>
        </w:rPr>
        <w:t xml:space="preserve"> </w:t>
      </w:r>
      <w:r w:rsidR="009008C8" w:rsidRPr="00F27DDF">
        <w:t>o</w:t>
      </w:r>
      <w:r w:rsidRPr="00F27DDF">
        <w:t xml:space="preserve">rgany KAS mogą </w:t>
      </w:r>
      <w:r w:rsidR="009008C8" w:rsidRPr="00F27DDF">
        <w:t xml:space="preserve">skutecznie przeciwdziałać tym dążeniom, zapobiegając tym samym wyłudzeniom. </w:t>
      </w:r>
    </w:p>
    <w:p w:rsidR="005C3F1F" w:rsidRPr="00F27DDF" w:rsidRDefault="0073615D" w:rsidP="0073615D">
      <w:pPr>
        <w:spacing w:before="120" w:after="0" w:line="360" w:lineRule="auto"/>
        <w:ind w:left="322" w:hanging="322"/>
        <w:jc w:val="both"/>
        <w:rPr>
          <w:rFonts w:ascii="Times New Roman" w:hAnsi="Times New Roman" w:cs="Times New Roman"/>
          <w:b/>
          <w:sz w:val="24"/>
          <w:szCs w:val="24"/>
        </w:rPr>
      </w:pPr>
      <w:r>
        <w:rPr>
          <w:rFonts w:ascii="Times New Roman" w:hAnsi="Times New Roman" w:cs="Times New Roman"/>
          <w:b/>
          <w:sz w:val="24"/>
          <w:szCs w:val="24"/>
        </w:rPr>
        <w:t>6)</w:t>
      </w:r>
      <w:r>
        <w:rPr>
          <w:rFonts w:ascii="Times New Roman" w:hAnsi="Times New Roman" w:cs="Times New Roman"/>
          <w:b/>
          <w:sz w:val="24"/>
          <w:szCs w:val="24"/>
        </w:rPr>
        <w:tab/>
      </w:r>
      <w:r w:rsidR="00AB11F1" w:rsidRPr="00F27DDF">
        <w:rPr>
          <w:rFonts w:ascii="Times New Roman" w:hAnsi="Times New Roman" w:cs="Times New Roman"/>
          <w:b/>
          <w:sz w:val="24"/>
          <w:szCs w:val="24"/>
        </w:rPr>
        <w:t>Rozszerzenie zakresu danych przesyłanych codziennie przez banki i SKOK-i (np.</w:t>
      </w:r>
      <w:r w:rsidR="00F27DDF">
        <w:rPr>
          <w:rFonts w:ascii="Times New Roman" w:hAnsi="Times New Roman" w:cs="Times New Roman"/>
          <w:b/>
          <w:sz w:val="24"/>
          <w:szCs w:val="24"/>
        </w:rPr>
        <w:t xml:space="preserve"> </w:t>
      </w:r>
      <w:r w:rsidR="00AB11F1" w:rsidRPr="00F27DDF">
        <w:rPr>
          <w:rFonts w:ascii="Times New Roman" w:hAnsi="Times New Roman" w:cs="Times New Roman"/>
          <w:b/>
          <w:sz w:val="24"/>
          <w:szCs w:val="24"/>
        </w:rPr>
        <w:t>adresy IP, informacje o innych blokadach oraz zajęciach wierzytelności, numer rachunku wirtualnego, wskazanie numeru rachunku VAT prowadzonego dla rachunku rozliczeniowego lub rachunku w SKOK)</w:t>
      </w:r>
      <w:r w:rsidR="00F27DDF">
        <w:rPr>
          <w:rFonts w:ascii="Times New Roman" w:hAnsi="Times New Roman" w:cs="Times New Roman"/>
          <w:b/>
          <w:sz w:val="24"/>
          <w:szCs w:val="24"/>
        </w:rPr>
        <w:t xml:space="preserve">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W celu zwiększenia skuteczności prowadzonej analizy ryzyka proponuje się rozszerzenie zakresu informacji, o których mowa w art. 119zp § 1 p</w:t>
      </w:r>
      <w:r w:rsidR="0073615D">
        <w:rPr>
          <w:rFonts w:ascii="Times New Roman" w:hAnsi="Times New Roman" w:cs="Times New Roman"/>
          <w:sz w:val="24"/>
          <w:szCs w:val="24"/>
        </w:rPr>
        <w:t>kt 1 i art. 119zq pkt </w:t>
      </w:r>
      <w:r w:rsidRPr="00F27DDF">
        <w:rPr>
          <w:rFonts w:ascii="Times New Roman" w:hAnsi="Times New Roman" w:cs="Times New Roman"/>
          <w:sz w:val="24"/>
          <w:szCs w:val="24"/>
        </w:rPr>
        <w:t>1 Ordynacji podatkowej, przesyłanych codziennie przez banki i SKOK-i. Rozszerzenie dotyczy:</w:t>
      </w:r>
    </w:p>
    <w:p w:rsidR="005C3F1F" w:rsidRPr="00F27DDF" w:rsidRDefault="0073615D" w:rsidP="0073615D">
      <w:p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AB11F1" w:rsidRPr="00F27DDF">
        <w:rPr>
          <w:rFonts w:ascii="Times New Roman" w:hAnsi="Times New Roman" w:cs="Times New Roman"/>
          <w:sz w:val="24"/>
          <w:szCs w:val="24"/>
        </w:rPr>
        <w:t>dostępn</w:t>
      </w:r>
      <w:r w:rsidR="003444FF" w:rsidRPr="00F27DDF">
        <w:rPr>
          <w:rFonts w:ascii="Times New Roman" w:hAnsi="Times New Roman" w:cs="Times New Roman"/>
          <w:sz w:val="24"/>
          <w:szCs w:val="24"/>
        </w:rPr>
        <w:t>ych</w:t>
      </w:r>
      <w:r w:rsidR="00AB11F1" w:rsidRPr="00F27DDF">
        <w:rPr>
          <w:rFonts w:ascii="Times New Roman" w:hAnsi="Times New Roman" w:cs="Times New Roman"/>
          <w:sz w:val="24"/>
          <w:szCs w:val="24"/>
        </w:rPr>
        <w:t xml:space="preserve"> adres</w:t>
      </w:r>
      <w:r w:rsidR="003444FF" w:rsidRPr="00F27DDF">
        <w:rPr>
          <w:rFonts w:ascii="Times New Roman" w:hAnsi="Times New Roman" w:cs="Times New Roman"/>
          <w:sz w:val="24"/>
          <w:szCs w:val="24"/>
        </w:rPr>
        <w:t>ów</w:t>
      </w:r>
      <w:r w:rsidR="00AB11F1" w:rsidRPr="00F27DDF">
        <w:rPr>
          <w:rFonts w:ascii="Times New Roman" w:hAnsi="Times New Roman" w:cs="Times New Roman"/>
          <w:sz w:val="24"/>
          <w:szCs w:val="24"/>
        </w:rPr>
        <w:t xml:space="preserve"> IP, z któr</w:t>
      </w:r>
      <w:r w:rsidR="006A709F" w:rsidRPr="00F27DDF">
        <w:rPr>
          <w:rFonts w:ascii="Times New Roman" w:hAnsi="Times New Roman" w:cs="Times New Roman"/>
          <w:sz w:val="24"/>
          <w:szCs w:val="24"/>
        </w:rPr>
        <w:t>ych</w:t>
      </w:r>
      <w:r w:rsidR="00AB11F1" w:rsidRPr="00F27DDF">
        <w:rPr>
          <w:rFonts w:ascii="Times New Roman" w:hAnsi="Times New Roman" w:cs="Times New Roman"/>
          <w:sz w:val="24"/>
          <w:szCs w:val="24"/>
        </w:rPr>
        <w:t xml:space="preserve"> </w:t>
      </w:r>
      <w:r w:rsidR="006A709F" w:rsidRPr="00F27DDF">
        <w:rPr>
          <w:rFonts w:ascii="Times New Roman" w:hAnsi="Times New Roman" w:cs="Times New Roman"/>
          <w:sz w:val="24"/>
          <w:szCs w:val="24"/>
        </w:rPr>
        <w:t>następowały logowania do usług bankowości elektronicznej umożliwiających dostęp do rachunku podmiotu kwalifikowanego</w:t>
      </w:r>
      <w:r w:rsidR="00AF1B0D">
        <w:rPr>
          <w:rFonts w:ascii="Times New Roman" w:hAnsi="Times New Roman" w:cs="Times New Roman"/>
          <w:sz w:val="24"/>
          <w:szCs w:val="24"/>
        </w:rPr>
        <w:t>,</w:t>
      </w:r>
      <w:r w:rsidR="006A709F" w:rsidRPr="00F27DDF">
        <w:rPr>
          <w:rFonts w:ascii="Times New Roman" w:hAnsi="Times New Roman" w:cs="Times New Roman"/>
          <w:sz w:val="24"/>
          <w:szCs w:val="24"/>
        </w:rPr>
        <w:t xml:space="preserve"> wraz ze wskazaniem osoby, która dokonała logowania</w:t>
      </w:r>
      <w:r w:rsidR="00AF1B0D">
        <w:rPr>
          <w:rFonts w:ascii="Times New Roman" w:hAnsi="Times New Roman" w:cs="Times New Roman"/>
          <w:sz w:val="24"/>
          <w:szCs w:val="24"/>
        </w:rPr>
        <w:t>,</w:t>
      </w:r>
      <w:r w:rsidR="006A709F" w:rsidRPr="00F27DDF">
        <w:rPr>
          <w:rFonts w:ascii="Times New Roman" w:hAnsi="Times New Roman" w:cs="Times New Roman"/>
          <w:sz w:val="24"/>
          <w:szCs w:val="24"/>
        </w:rPr>
        <w:t xml:space="preserve"> oraz daty i godziny tych logowań</w:t>
      </w:r>
      <w:r w:rsidR="00AF1B0D">
        <w:rPr>
          <w:rFonts w:ascii="Times New Roman" w:hAnsi="Times New Roman" w:cs="Times New Roman"/>
          <w:sz w:val="24"/>
          <w:szCs w:val="24"/>
        </w:rPr>
        <w:t>,</w:t>
      </w:r>
      <w:r w:rsidR="006A709F" w:rsidRPr="00F27DDF">
        <w:rPr>
          <w:rFonts w:ascii="Times New Roman" w:hAnsi="Times New Roman" w:cs="Times New Roman"/>
          <w:sz w:val="24"/>
          <w:szCs w:val="24"/>
        </w:rPr>
        <w:t xml:space="preserve"> oraz z których zostały złożone dyspozycje przeprowadzenia transakcji dotyczących rachunku podmiotu kwalifikowanego</w:t>
      </w:r>
      <w:r w:rsidR="0020646F">
        <w:rPr>
          <w:rFonts w:ascii="Times New Roman" w:hAnsi="Times New Roman" w:cs="Times New Roman"/>
          <w:sz w:val="24"/>
          <w:szCs w:val="24"/>
        </w:rPr>
        <w:t>,</w:t>
      </w:r>
      <w:r w:rsidR="006A709F" w:rsidRPr="00F27DDF">
        <w:rPr>
          <w:rFonts w:ascii="Times New Roman" w:hAnsi="Times New Roman" w:cs="Times New Roman"/>
          <w:sz w:val="24"/>
          <w:szCs w:val="24"/>
        </w:rPr>
        <w:t xml:space="preserve"> wraz ze wskazaniem osoby, która złożyła dyspozycję</w:t>
      </w:r>
      <w:r w:rsidR="0020646F">
        <w:rPr>
          <w:rFonts w:ascii="Times New Roman" w:hAnsi="Times New Roman" w:cs="Times New Roman"/>
          <w:sz w:val="24"/>
          <w:szCs w:val="24"/>
        </w:rPr>
        <w:t>,</w:t>
      </w:r>
      <w:r w:rsidR="006A709F" w:rsidRPr="00F27DDF">
        <w:rPr>
          <w:rFonts w:ascii="Times New Roman" w:hAnsi="Times New Roman" w:cs="Times New Roman"/>
          <w:sz w:val="24"/>
          <w:szCs w:val="24"/>
        </w:rPr>
        <w:t xml:space="preserve"> oraz daty i godziny złożenia tych dyspozycji – w</w:t>
      </w:r>
      <w:r w:rsidR="0020646F">
        <w:rPr>
          <w:rFonts w:ascii="Times New Roman" w:hAnsi="Times New Roman" w:cs="Times New Roman"/>
          <w:sz w:val="24"/>
          <w:szCs w:val="24"/>
        </w:rPr>
        <w:t> </w:t>
      </w:r>
      <w:r w:rsidR="006A709F" w:rsidRPr="00F27DDF">
        <w:rPr>
          <w:rFonts w:ascii="Times New Roman" w:hAnsi="Times New Roman" w:cs="Times New Roman"/>
          <w:sz w:val="24"/>
          <w:szCs w:val="24"/>
        </w:rPr>
        <w:t>przypadku gdy dyspozycje nie zostały złożone z wykorzystaniem usług bankowości elektronicznej</w:t>
      </w:r>
      <w:r w:rsidR="00F27DDF">
        <w:rPr>
          <w:rFonts w:ascii="Times New Roman" w:hAnsi="Times New Roman" w:cs="Times New Roman"/>
          <w:bCs/>
          <w:color w:val="212121"/>
          <w:sz w:val="24"/>
          <w:szCs w:val="24"/>
        </w:rPr>
        <w:t xml:space="preserve"> </w:t>
      </w:r>
      <w:r w:rsidR="00AB11F1" w:rsidRPr="00F27DDF">
        <w:rPr>
          <w:rFonts w:ascii="Times New Roman" w:hAnsi="Times New Roman" w:cs="Times New Roman"/>
          <w:b/>
          <w:sz w:val="24"/>
          <w:szCs w:val="24"/>
        </w:rPr>
        <w:t>(projektowany art. 119zr § 2 pkt 3 Ordynacji podatkowej)</w:t>
      </w:r>
      <w:r w:rsidR="00AB11F1" w:rsidRPr="00F27DDF">
        <w:rPr>
          <w:rFonts w:ascii="Times New Roman" w:hAnsi="Times New Roman" w:cs="Times New Roman"/>
          <w:sz w:val="24"/>
          <w:szCs w:val="24"/>
        </w:rPr>
        <w:t xml:space="preserve">, </w:t>
      </w:r>
    </w:p>
    <w:p w:rsidR="005C3F1F" w:rsidRPr="00F27DDF" w:rsidRDefault="0073615D" w:rsidP="0073615D">
      <w:p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AB11F1" w:rsidRPr="00F27DDF">
        <w:rPr>
          <w:rFonts w:ascii="Times New Roman" w:hAnsi="Times New Roman" w:cs="Times New Roman"/>
          <w:sz w:val="24"/>
          <w:szCs w:val="24"/>
        </w:rPr>
        <w:t xml:space="preserve">informacji o blokadach środków na rachunku podmiotu kwalifikowanego </w:t>
      </w:r>
      <w:r w:rsidR="009115BE" w:rsidRPr="00F27DDF">
        <w:rPr>
          <w:rFonts w:ascii="Times New Roman" w:hAnsi="Times New Roman" w:cs="Times New Roman"/>
          <w:sz w:val="24"/>
          <w:szCs w:val="24"/>
        </w:rPr>
        <w:t>dokonanych na podstawie ustawy</w:t>
      </w:r>
      <w:r w:rsidR="00AE212B" w:rsidRPr="00F27DDF">
        <w:rPr>
          <w:rFonts w:ascii="Times New Roman" w:hAnsi="Times New Roman" w:cs="Times New Roman"/>
          <w:sz w:val="24"/>
          <w:szCs w:val="24"/>
        </w:rPr>
        <w:t xml:space="preserve"> (tj. na żądanie uprawnionego organu lub z</w:t>
      </w:r>
      <w:r>
        <w:rPr>
          <w:rFonts w:ascii="Times New Roman" w:hAnsi="Times New Roman" w:cs="Times New Roman"/>
          <w:sz w:val="24"/>
          <w:szCs w:val="24"/>
        </w:rPr>
        <w:t> </w:t>
      </w:r>
      <w:r w:rsidR="00AE212B" w:rsidRPr="00F27DDF">
        <w:rPr>
          <w:rFonts w:ascii="Times New Roman" w:hAnsi="Times New Roman" w:cs="Times New Roman"/>
          <w:sz w:val="24"/>
          <w:szCs w:val="24"/>
        </w:rPr>
        <w:t>inicjatywy banku lub SKOK-u</w:t>
      </w:r>
      <w:r w:rsidR="0020646F">
        <w:rPr>
          <w:rFonts w:ascii="Times New Roman" w:hAnsi="Times New Roman" w:cs="Times New Roman"/>
          <w:sz w:val="24"/>
          <w:szCs w:val="24"/>
        </w:rPr>
        <w:t>,</w:t>
      </w:r>
      <w:r w:rsidR="00AE212B" w:rsidRPr="00F27DDF">
        <w:rPr>
          <w:rFonts w:ascii="Times New Roman" w:hAnsi="Times New Roman" w:cs="Times New Roman"/>
          <w:sz w:val="24"/>
          <w:szCs w:val="24"/>
        </w:rPr>
        <w:t xml:space="preserve"> </w:t>
      </w:r>
      <w:r w:rsidR="00695E32" w:rsidRPr="00F27DDF">
        <w:rPr>
          <w:rFonts w:ascii="Times New Roman" w:hAnsi="Times New Roman" w:cs="Times New Roman"/>
          <w:sz w:val="24"/>
          <w:szCs w:val="24"/>
        </w:rPr>
        <w:t xml:space="preserve">bez zgody posiadacza rachunku </w:t>
      </w:r>
      <w:r w:rsidR="00AE212B" w:rsidRPr="00F27DDF">
        <w:rPr>
          <w:rFonts w:ascii="Times New Roman" w:hAnsi="Times New Roman" w:cs="Times New Roman"/>
          <w:sz w:val="24"/>
          <w:szCs w:val="24"/>
        </w:rPr>
        <w:t>w sytuacjach przewidzianych prawem)</w:t>
      </w:r>
      <w:r w:rsidR="009115BE" w:rsidRPr="00F27DDF">
        <w:rPr>
          <w:rFonts w:ascii="Times New Roman" w:hAnsi="Times New Roman" w:cs="Times New Roman"/>
          <w:sz w:val="24"/>
          <w:szCs w:val="24"/>
        </w:rPr>
        <w:t>, ze wskazaniem</w:t>
      </w:r>
      <w:r w:rsidR="0020646F">
        <w:rPr>
          <w:rFonts w:ascii="Times New Roman" w:hAnsi="Times New Roman" w:cs="Times New Roman"/>
          <w:sz w:val="24"/>
          <w:szCs w:val="24"/>
        </w:rPr>
        <w:t>,</w:t>
      </w:r>
      <w:r w:rsidR="009115BE" w:rsidRPr="00F27DDF">
        <w:rPr>
          <w:rFonts w:ascii="Times New Roman" w:hAnsi="Times New Roman" w:cs="Times New Roman"/>
          <w:sz w:val="24"/>
          <w:szCs w:val="24"/>
        </w:rPr>
        <w:t xml:space="preserve"> </w:t>
      </w:r>
      <w:r w:rsidR="00695E32" w:rsidRPr="00F27DDF">
        <w:rPr>
          <w:rFonts w:ascii="Times New Roman" w:hAnsi="Times New Roman" w:cs="Times New Roman"/>
          <w:sz w:val="24"/>
          <w:szCs w:val="24"/>
        </w:rPr>
        <w:t xml:space="preserve">czy </w:t>
      </w:r>
      <w:r w:rsidR="009115BE" w:rsidRPr="00F27DDF">
        <w:rPr>
          <w:rFonts w:ascii="Times New Roman" w:hAnsi="Times New Roman" w:cs="Times New Roman"/>
          <w:sz w:val="24"/>
          <w:szCs w:val="24"/>
        </w:rPr>
        <w:t>blokada dotyczy jednego rachunku</w:t>
      </w:r>
      <w:r w:rsidR="00AE212B" w:rsidRPr="00F27DDF">
        <w:rPr>
          <w:rFonts w:ascii="Times New Roman" w:hAnsi="Times New Roman" w:cs="Times New Roman"/>
          <w:sz w:val="24"/>
          <w:szCs w:val="24"/>
        </w:rPr>
        <w:t xml:space="preserve"> (w</w:t>
      </w:r>
      <w:r>
        <w:rPr>
          <w:rFonts w:ascii="Times New Roman" w:hAnsi="Times New Roman" w:cs="Times New Roman"/>
          <w:sz w:val="24"/>
          <w:szCs w:val="24"/>
        </w:rPr>
        <w:t> </w:t>
      </w:r>
      <w:r w:rsidR="00AE212B" w:rsidRPr="00F27DDF">
        <w:rPr>
          <w:rFonts w:ascii="Times New Roman" w:hAnsi="Times New Roman" w:cs="Times New Roman"/>
          <w:sz w:val="24"/>
          <w:szCs w:val="24"/>
        </w:rPr>
        <w:t>pozostałych przypadkach blokada dotyczy wszystkich rachunków podmiotu w</w:t>
      </w:r>
      <w:r>
        <w:rPr>
          <w:rFonts w:ascii="Times New Roman" w:hAnsi="Times New Roman" w:cs="Times New Roman"/>
          <w:sz w:val="24"/>
          <w:szCs w:val="24"/>
        </w:rPr>
        <w:t> </w:t>
      </w:r>
      <w:r w:rsidR="00AE212B" w:rsidRPr="00F27DDF">
        <w:rPr>
          <w:rFonts w:ascii="Times New Roman" w:hAnsi="Times New Roman" w:cs="Times New Roman"/>
          <w:sz w:val="24"/>
          <w:szCs w:val="24"/>
        </w:rPr>
        <w:t>danej instytucji)</w:t>
      </w:r>
      <w:r w:rsidR="009115BE" w:rsidRP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kwoty blokady, terminu, do którego obowiązuje blokada, </w:t>
      </w:r>
      <w:r w:rsidR="00AB11F1" w:rsidRPr="00F27DDF">
        <w:rPr>
          <w:rFonts w:ascii="Times New Roman" w:hAnsi="Times New Roman" w:cs="Times New Roman"/>
          <w:sz w:val="24"/>
          <w:szCs w:val="24"/>
        </w:rPr>
        <w:lastRenderedPageBreak/>
        <w:t>i</w:t>
      </w:r>
      <w:r>
        <w:rPr>
          <w:rFonts w:ascii="Times New Roman" w:hAnsi="Times New Roman" w:cs="Times New Roman"/>
          <w:sz w:val="24"/>
          <w:szCs w:val="24"/>
        </w:rPr>
        <w:t> </w:t>
      </w:r>
      <w:r w:rsidR="00AB11F1" w:rsidRPr="00F27DDF">
        <w:rPr>
          <w:rFonts w:ascii="Times New Roman" w:hAnsi="Times New Roman" w:cs="Times New Roman"/>
          <w:sz w:val="24"/>
          <w:szCs w:val="24"/>
        </w:rPr>
        <w:t xml:space="preserve">organie, na żądanie którego blokada została dokonana </w:t>
      </w:r>
      <w:r w:rsidR="009115BE" w:rsidRPr="00F27DDF">
        <w:rPr>
          <w:rFonts w:ascii="Times New Roman" w:hAnsi="Times New Roman" w:cs="Times New Roman"/>
          <w:sz w:val="24"/>
          <w:szCs w:val="24"/>
        </w:rPr>
        <w:t xml:space="preserve">– jeżeli są dostępne </w:t>
      </w:r>
      <w:r w:rsidR="00AB11F1" w:rsidRPr="0073615D">
        <w:rPr>
          <w:rFonts w:ascii="Times New Roman" w:hAnsi="Times New Roman" w:cs="Times New Roman"/>
          <w:sz w:val="24"/>
          <w:szCs w:val="24"/>
        </w:rPr>
        <w:t>(projektowany art. 119zr § 2 pkt 4 Ordynacji podatkowej)</w:t>
      </w:r>
      <w:r w:rsidR="00AB11F1" w:rsidRPr="00F27DDF">
        <w:rPr>
          <w:rFonts w:ascii="Times New Roman" w:hAnsi="Times New Roman" w:cs="Times New Roman"/>
          <w:sz w:val="24"/>
          <w:szCs w:val="24"/>
        </w:rPr>
        <w:t>,</w:t>
      </w:r>
    </w:p>
    <w:p w:rsidR="005C3F1F" w:rsidRPr="00F27DDF" w:rsidRDefault="0073615D" w:rsidP="0073615D">
      <w:p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AB11F1" w:rsidRPr="00F27DDF">
        <w:rPr>
          <w:rFonts w:ascii="Times New Roman" w:hAnsi="Times New Roman" w:cs="Times New Roman"/>
          <w:sz w:val="24"/>
          <w:szCs w:val="24"/>
        </w:rPr>
        <w:t xml:space="preserve">informacji o zajęciach wierzytelności z rachunku podmiotu kwalifikowanego </w:t>
      </w:r>
      <w:r w:rsidR="00AC41CF" w:rsidRPr="00F27DDF">
        <w:rPr>
          <w:rFonts w:ascii="Times New Roman" w:hAnsi="Times New Roman" w:cs="Times New Roman"/>
          <w:sz w:val="24"/>
          <w:szCs w:val="24"/>
        </w:rPr>
        <w:t>ze</w:t>
      </w:r>
      <w:r w:rsid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wskazaniem, </w:t>
      </w:r>
      <w:r w:rsidR="00695E32" w:rsidRPr="00F27DDF">
        <w:rPr>
          <w:rFonts w:ascii="Times New Roman" w:hAnsi="Times New Roman" w:cs="Times New Roman"/>
          <w:sz w:val="24"/>
          <w:szCs w:val="24"/>
        </w:rPr>
        <w:t xml:space="preserve">czy </w:t>
      </w:r>
      <w:r w:rsidR="009115BE" w:rsidRPr="00F27DDF">
        <w:rPr>
          <w:rFonts w:ascii="Times New Roman" w:hAnsi="Times New Roman" w:cs="Times New Roman"/>
          <w:sz w:val="24"/>
          <w:szCs w:val="24"/>
        </w:rPr>
        <w:t>zajęcie dotyczy jednego rachunku</w:t>
      </w:r>
      <w:r w:rsidR="00AE212B" w:rsidRPr="00F27DDF">
        <w:rPr>
          <w:rFonts w:ascii="Times New Roman" w:hAnsi="Times New Roman" w:cs="Times New Roman"/>
          <w:sz w:val="24"/>
          <w:szCs w:val="24"/>
        </w:rPr>
        <w:t xml:space="preserve"> (w pozostałych przypadkach blokada dotyczy wszystkich rachunków podmiotu w danej instytucji)</w:t>
      </w:r>
      <w:r w:rsidR="009115BE" w:rsidRP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czy zajęcie zostało dokonane w postępowaniu egzekucyjnym </w:t>
      </w:r>
      <w:r w:rsidR="00AC41CF" w:rsidRPr="00F27DDF">
        <w:rPr>
          <w:rFonts w:ascii="Times New Roman" w:hAnsi="Times New Roman" w:cs="Times New Roman"/>
          <w:sz w:val="24"/>
          <w:szCs w:val="24"/>
        </w:rPr>
        <w:t>czy w</w:t>
      </w:r>
      <w:r w:rsid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postępowaniu zabezpieczającym, wskazaniu organu egzekucyjnego, który dokonał zajęcia, oraz kwoty należności pieniężnej, na poczet której dokonano zajęcia </w:t>
      </w:r>
      <w:r w:rsidR="009115BE" w:rsidRPr="00F27DDF">
        <w:rPr>
          <w:rFonts w:ascii="Times New Roman" w:hAnsi="Times New Roman" w:cs="Times New Roman"/>
          <w:sz w:val="24"/>
          <w:szCs w:val="24"/>
        </w:rPr>
        <w:t xml:space="preserve">– jeżeli są dostępne </w:t>
      </w:r>
      <w:r w:rsidR="00AB11F1" w:rsidRPr="00F27DDF">
        <w:rPr>
          <w:rFonts w:ascii="Times New Roman" w:hAnsi="Times New Roman" w:cs="Times New Roman"/>
          <w:b/>
          <w:sz w:val="24"/>
          <w:szCs w:val="24"/>
        </w:rPr>
        <w:t>(projektowany art. 119zr § 2 pkt 5 Ordynacji podatkowej)</w:t>
      </w:r>
      <w:r w:rsidR="00AB11F1" w:rsidRPr="00F27DDF">
        <w:rPr>
          <w:rFonts w:ascii="Times New Roman" w:hAnsi="Times New Roman" w:cs="Times New Roman"/>
          <w:sz w:val="24"/>
          <w:szCs w:val="24"/>
        </w:rPr>
        <w:t>,</w:t>
      </w:r>
    </w:p>
    <w:p w:rsidR="000D7DE9" w:rsidRPr="00F27DDF" w:rsidRDefault="0073615D" w:rsidP="0073615D">
      <w:p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0D7DE9" w:rsidRPr="00F27DDF">
        <w:rPr>
          <w:rFonts w:ascii="Times New Roman" w:hAnsi="Times New Roman" w:cs="Times New Roman"/>
          <w:sz w:val="24"/>
          <w:szCs w:val="24"/>
        </w:rPr>
        <w:t>wskazani</w:t>
      </w:r>
      <w:r w:rsidR="002625D6" w:rsidRPr="00F27DDF">
        <w:rPr>
          <w:rFonts w:ascii="Times New Roman" w:hAnsi="Times New Roman" w:cs="Times New Roman"/>
          <w:sz w:val="24"/>
          <w:szCs w:val="24"/>
        </w:rPr>
        <w:t>a</w:t>
      </w:r>
      <w:r w:rsidR="000D7DE9" w:rsidRPr="00F27DDF">
        <w:rPr>
          <w:rFonts w:ascii="Times New Roman" w:hAnsi="Times New Roman" w:cs="Times New Roman"/>
          <w:sz w:val="24"/>
          <w:szCs w:val="24"/>
        </w:rPr>
        <w:t xml:space="preserve"> numeru rachunku VAT prowadzonego </w:t>
      </w:r>
      <w:r>
        <w:rPr>
          <w:rFonts w:ascii="Times New Roman" w:hAnsi="Times New Roman" w:cs="Times New Roman"/>
          <w:sz w:val="24"/>
          <w:szCs w:val="24"/>
        </w:rPr>
        <w:t>dla rachunku rozliczeniowego, o </w:t>
      </w:r>
      <w:r w:rsidR="000D7DE9" w:rsidRPr="00F27DDF">
        <w:rPr>
          <w:rFonts w:ascii="Times New Roman" w:hAnsi="Times New Roman" w:cs="Times New Roman"/>
          <w:sz w:val="24"/>
          <w:szCs w:val="24"/>
        </w:rPr>
        <w:t>którym mowa w art. 49 ust. 1 pkt 1 ustawy z dnia 29 sierpnia 1997 r. – Prawo bankowe, albo rachunku członka spółdzielczej kasy oszczędnościowo-kredytowej będącego podmiotem kwalifikowanym</w:t>
      </w:r>
      <w:r w:rsidR="002625D6" w:rsidRPr="00F27DDF">
        <w:rPr>
          <w:rFonts w:ascii="Times New Roman" w:hAnsi="Times New Roman" w:cs="Times New Roman"/>
          <w:sz w:val="24"/>
          <w:szCs w:val="24"/>
        </w:rPr>
        <w:t xml:space="preserve"> </w:t>
      </w:r>
      <w:r w:rsidR="002625D6" w:rsidRPr="0073615D">
        <w:rPr>
          <w:rFonts w:ascii="Times New Roman" w:hAnsi="Times New Roman" w:cs="Times New Roman"/>
          <w:sz w:val="24"/>
          <w:szCs w:val="24"/>
        </w:rPr>
        <w:t>(projektowany art. 119zr § 2 pkt 6 Ordynacji podatkowej),</w:t>
      </w:r>
    </w:p>
    <w:p w:rsidR="005C3F1F" w:rsidRPr="00F27DDF" w:rsidRDefault="0073615D" w:rsidP="0073615D">
      <w:pPr>
        <w:spacing w:after="0" w:line="360" w:lineRule="auto"/>
        <w:ind w:left="352" w:hanging="352"/>
        <w:jc w:val="both"/>
        <w:rPr>
          <w:rFonts w:ascii="Times New Roman" w:hAnsi="Times New Roman" w:cs="Times New Roman"/>
          <w:b/>
          <w:sz w:val="24"/>
          <w:szCs w:val="24"/>
        </w:rPr>
      </w:pPr>
      <w:r>
        <w:rPr>
          <w:rFonts w:ascii="Times New Roman" w:hAnsi="Times New Roman" w:cs="Times New Roman"/>
          <w:sz w:val="24"/>
          <w:szCs w:val="24"/>
        </w:rPr>
        <w:t>e)</w:t>
      </w:r>
      <w:r>
        <w:rPr>
          <w:rFonts w:ascii="Times New Roman" w:hAnsi="Times New Roman" w:cs="Times New Roman"/>
          <w:sz w:val="24"/>
          <w:szCs w:val="24"/>
        </w:rPr>
        <w:tab/>
      </w:r>
      <w:r w:rsidR="00AB11F1" w:rsidRPr="00F27DDF">
        <w:rPr>
          <w:rFonts w:ascii="Times New Roman" w:hAnsi="Times New Roman" w:cs="Times New Roman"/>
          <w:sz w:val="24"/>
          <w:szCs w:val="24"/>
        </w:rPr>
        <w:t>informacji o</w:t>
      </w:r>
      <w:r w:rsidR="00AE212B" w:rsidRPr="00F27DDF">
        <w:rPr>
          <w:rFonts w:ascii="Times New Roman" w:hAnsi="Times New Roman" w:cs="Times New Roman"/>
          <w:sz w:val="24"/>
          <w:szCs w:val="24"/>
        </w:rPr>
        <w:t xml:space="preserve"> dostępnych</w:t>
      </w:r>
      <w:r w:rsidR="00AB11F1" w:rsidRPr="00F27DDF">
        <w:rPr>
          <w:rFonts w:ascii="Times New Roman" w:hAnsi="Times New Roman" w:cs="Times New Roman"/>
          <w:sz w:val="24"/>
          <w:szCs w:val="24"/>
        </w:rPr>
        <w:t xml:space="preserve"> danych identyfikacyjnych pełnomocnika do rachunku podmiotu kwalifikowanego, reprezentanta podmiotu kwalifikowanego, a także jego beneficjenta rzeczywistego w rozumieniu ustawy o przeciwdziałaniu praniu pieniędzy oraz finansowaniu terroryzmu, w przypadku gdy ta osoba złożyła dyspozycję</w:t>
      </w:r>
      <w:r w:rsid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przeprowadzenia transakcji dotyczącej rachunku podmiotu kwalifikowanego</w:t>
      </w:r>
      <w:r w:rsidR="0023237A" w:rsidRPr="00F27DDF">
        <w:rPr>
          <w:rFonts w:ascii="Times New Roman" w:hAnsi="Times New Roman" w:cs="Times New Roman"/>
          <w:sz w:val="24"/>
          <w:szCs w:val="24"/>
        </w:rPr>
        <w:t>,</w:t>
      </w:r>
      <w:r w:rsidR="00AB11F1" w:rsidRPr="00F27DDF">
        <w:rPr>
          <w:rFonts w:ascii="Times New Roman" w:hAnsi="Times New Roman" w:cs="Times New Roman"/>
          <w:sz w:val="24"/>
          <w:szCs w:val="24"/>
        </w:rPr>
        <w:t xml:space="preserve"> dokonała wpłaty gotówkowej na rachunek podmiotu kwalifikowanego lub </w:t>
      </w:r>
      <w:r w:rsidR="00251C29" w:rsidRPr="00F27DDF">
        <w:rPr>
          <w:rFonts w:ascii="Times New Roman" w:hAnsi="Times New Roman" w:cs="Times New Roman"/>
          <w:sz w:val="24"/>
          <w:szCs w:val="24"/>
        </w:rPr>
        <w:t xml:space="preserve">dokonała </w:t>
      </w:r>
      <w:r w:rsidR="00AB11F1" w:rsidRPr="00F27DDF">
        <w:rPr>
          <w:rFonts w:ascii="Times New Roman" w:hAnsi="Times New Roman" w:cs="Times New Roman"/>
          <w:sz w:val="24"/>
          <w:szCs w:val="24"/>
        </w:rPr>
        <w:t xml:space="preserve">wypłaty gotówkowej z tego rachunku, w imieniu jego posiadacza, w tym przy użyciu karty płatniczej w rozumieniu </w:t>
      </w:r>
      <w:r w:rsidR="00D70068" w:rsidRPr="00F27DDF">
        <w:rPr>
          <w:rFonts w:ascii="Times New Roman" w:hAnsi="Times New Roman" w:cs="Times New Roman"/>
          <w:sz w:val="24"/>
          <w:szCs w:val="24"/>
        </w:rPr>
        <w:t xml:space="preserve">art. 2 pkt 15a </w:t>
      </w:r>
      <w:r w:rsidR="00AB11F1" w:rsidRPr="00F27DDF">
        <w:rPr>
          <w:rFonts w:ascii="Times New Roman" w:hAnsi="Times New Roman" w:cs="Times New Roman"/>
          <w:sz w:val="24"/>
          <w:szCs w:val="24"/>
        </w:rPr>
        <w:t>ustawy z dnia 19 sierpnia 2011 r. o usługach płatniczych</w:t>
      </w:r>
      <w:r w:rsid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wydanej do rachunku podmiotu kwalifikowanego </w:t>
      </w:r>
      <w:r w:rsidR="00AB11F1" w:rsidRPr="00F27DDF">
        <w:rPr>
          <w:rFonts w:ascii="Times New Roman" w:hAnsi="Times New Roman" w:cs="Times New Roman"/>
          <w:b/>
          <w:sz w:val="24"/>
          <w:szCs w:val="24"/>
        </w:rPr>
        <w:t>(projektowany art. 119zr § 3 pkt 5a Ordynacji podatkowej)</w:t>
      </w:r>
      <w:r w:rsidR="00AB11F1" w:rsidRPr="00AF1B0D">
        <w:rPr>
          <w:rFonts w:ascii="Times New Roman" w:hAnsi="Times New Roman" w:cs="Times New Roman"/>
          <w:sz w:val="24"/>
          <w:szCs w:val="24"/>
        </w:rPr>
        <w:t>,</w:t>
      </w:r>
    </w:p>
    <w:p w:rsidR="00DF17EB" w:rsidRPr="00F27DDF" w:rsidRDefault="0073615D" w:rsidP="0073615D">
      <w:p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DF17EB" w:rsidRPr="00F27DDF">
        <w:rPr>
          <w:rFonts w:ascii="Times New Roman" w:hAnsi="Times New Roman" w:cs="Times New Roman"/>
          <w:sz w:val="24"/>
          <w:szCs w:val="24"/>
        </w:rPr>
        <w:t>informacji o łącznej kwocie środków zablokowanych</w:t>
      </w:r>
      <w:r w:rsidR="00AE212B" w:rsidRPr="00F27DDF">
        <w:rPr>
          <w:rFonts w:ascii="Times New Roman" w:hAnsi="Times New Roman" w:cs="Times New Roman"/>
          <w:sz w:val="24"/>
          <w:szCs w:val="24"/>
        </w:rPr>
        <w:t xml:space="preserve"> (nie tylko na podstawie ustawy, ale również ze względu np. na blokady techniczne)</w:t>
      </w:r>
      <w:r w:rsidR="00DF17EB" w:rsidRPr="00F27DDF">
        <w:rPr>
          <w:rFonts w:ascii="Times New Roman" w:hAnsi="Times New Roman" w:cs="Times New Roman"/>
          <w:sz w:val="24"/>
          <w:szCs w:val="24"/>
        </w:rPr>
        <w:t xml:space="preserve"> lub zajętych przez organ egzekucyjny na rachunku podmiotu kwalifikowanego (</w:t>
      </w:r>
      <w:r w:rsidR="00DF17EB" w:rsidRPr="0073615D">
        <w:rPr>
          <w:rFonts w:ascii="Times New Roman" w:hAnsi="Times New Roman" w:cs="Times New Roman"/>
          <w:sz w:val="24"/>
          <w:szCs w:val="24"/>
        </w:rPr>
        <w:t>projektowany art. 119zr § 3 pkt 6a Ordynacji podatkowej</w:t>
      </w:r>
      <w:r w:rsidR="00DF17EB" w:rsidRPr="00F27DDF">
        <w:rPr>
          <w:rFonts w:ascii="Times New Roman" w:hAnsi="Times New Roman" w:cs="Times New Roman"/>
          <w:sz w:val="24"/>
          <w:szCs w:val="24"/>
        </w:rPr>
        <w:t>),</w:t>
      </w:r>
    </w:p>
    <w:p w:rsidR="005C3F1F" w:rsidRPr="00F27DDF" w:rsidRDefault="00DF17EB" w:rsidP="0073615D">
      <w:pPr>
        <w:spacing w:after="0" w:line="360" w:lineRule="auto"/>
        <w:ind w:left="352" w:hanging="352"/>
        <w:jc w:val="both"/>
        <w:rPr>
          <w:rFonts w:ascii="Times New Roman" w:hAnsi="Times New Roman" w:cs="Times New Roman"/>
          <w:sz w:val="24"/>
          <w:szCs w:val="24"/>
        </w:rPr>
      </w:pPr>
      <w:r w:rsidRPr="00F27DDF">
        <w:rPr>
          <w:rFonts w:ascii="Times New Roman" w:hAnsi="Times New Roman" w:cs="Times New Roman"/>
          <w:sz w:val="24"/>
          <w:szCs w:val="24"/>
        </w:rPr>
        <w:t>g</w:t>
      </w:r>
      <w:r w:rsidR="00BD74B3" w:rsidRPr="00F27DDF">
        <w:rPr>
          <w:rFonts w:ascii="Times New Roman" w:hAnsi="Times New Roman" w:cs="Times New Roman"/>
          <w:sz w:val="24"/>
          <w:szCs w:val="24"/>
        </w:rPr>
        <w:t>)</w:t>
      </w:r>
      <w:r w:rsidR="0073615D">
        <w:rPr>
          <w:rFonts w:ascii="Times New Roman" w:hAnsi="Times New Roman" w:cs="Times New Roman"/>
          <w:sz w:val="24"/>
          <w:szCs w:val="24"/>
        </w:rPr>
        <w:tab/>
      </w:r>
      <w:r w:rsidR="006436C4" w:rsidRPr="00F27DDF">
        <w:rPr>
          <w:rFonts w:ascii="Times New Roman" w:hAnsi="Times New Roman" w:cs="Times New Roman"/>
          <w:sz w:val="24"/>
          <w:szCs w:val="24"/>
        </w:rPr>
        <w:t>wskazywania</w:t>
      </w:r>
      <w:r w:rsidR="006436C4" w:rsidRPr="0073615D">
        <w:rPr>
          <w:rFonts w:ascii="Times New Roman" w:hAnsi="Times New Roman" w:cs="Times New Roman"/>
          <w:sz w:val="24"/>
          <w:szCs w:val="24"/>
        </w:rPr>
        <w:t xml:space="preserve"> </w:t>
      </w:r>
      <w:r w:rsidR="00AB11F1" w:rsidRPr="00F27DDF">
        <w:rPr>
          <w:rFonts w:ascii="Times New Roman" w:hAnsi="Times New Roman" w:cs="Times New Roman"/>
          <w:sz w:val="24"/>
          <w:szCs w:val="24"/>
        </w:rPr>
        <w:t>numer</w:t>
      </w:r>
      <w:r w:rsidR="006436C4" w:rsidRPr="00F27DDF">
        <w:rPr>
          <w:rFonts w:ascii="Times New Roman" w:hAnsi="Times New Roman" w:cs="Times New Roman"/>
          <w:sz w:val="24"/>
          <w:szCs w:val="24"/>
        </w:rPr>
        <w:t>u</w:t>
      </w:r>
      <w:r w:rsidR="00AB11F1" w:rsidRPr="00F27DDF">
        <w:rPr>
          <w:rFonts w:ascii="Times New Roman" w:hAnsi="Times New Roman" w:cs="Times New Roman"/>
          <w:sz w:val="24"/>
          <w:szCs w:val="24"/>
        </w:rPr>
        <w:t xml:space="preserve"> rachunku wirtualnego prowadzonego w celu automatycznej identyfikacji dyspozycji składanych z rachunku podmiotu kwalifikowanego, jeżeli dyspozycje dotyczą uznania takiego rachunku wirtualnego – w przypadku zestawień przekazywanych przez bank lub spółdzielczą kasę oszczędnościowo-kredytową </w:t>
      </w:r>
      <w:r w:rsidR="00AB11F1" w:rsidRPr="00F27DDF">
        <w:rPr>
          <w:rFonts w:ascii="Times New Roman" w:hAnsi="Times New Roman" w:cs="Times New Roman"/>
          <w:sz w:val="24"/>
          <w:szCs w:val="24"/>
        </w:rPr>
        <w:lastRenderedPageBreak/>
        <w:t xml:space="preserve">prowadzącą ten rachunek wirtualny </w:t>
      </w:r>
      <w:r w:rsidR="00AB11F1" w:rsidRPr="00F27DDF">
        <w:rPr>
          <w:rFonts w:ascii="Times New Roman" w:hAnsi="Times New Roman" w:cs="Times New Roman"/>
          <w:b/>
          <w:sz w:val="24"/>
          <w:szCs w:val="24"/>
        </w:rPr>
        <w:t>(projektowany art. 119zr § 3 pkt 7 Ordynacji podatkowej)</w:t>
      </w:r>
      <w:r w:rsidR="00AB11F1" w:rsidRPr="00F27DDF">
        <w:rPr>
          <w:rFonts w:ascii="Times New Roman" w:hAnsi="Times New Roman" w:cs="Times New Roman"/>
          <w:sz w:val="24"/>
          <w:szCs w:val="24"/>
        </w:rPr>
        <w:t>,</w:t>
      </w:r>
    </w:p>
    <w:p w:rsidR="006436C4" w:rsidRPr="00F27DDF" w:rsidRDefault="0073615D" w:rsidP="0073615D">
      <w:p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6436C4" w:rsidRPr="00F27DDF">
        <w:rPr>
          <w:rFonts w:ascii="Times New Roman" w:hAnsi="Times New Roman" w:cs="Times New Roman"/>
          <w:sz w:val="24"/>
          <w:szCs w:val="24"/>
        </w:rPr>
        <w:t>wskazywania w informacjach przesyłanych na podsta</w:t>
      </w:r>
      <w:r>
        <w:rPr>
          <w:rFonts w:ascii="Times New Roman" w:hAnsi="Times New Roman" w:cs="Times New Roman"/>
          <w:sz w:val="24"/>
          <w:szCs w:val="24"/>
        </w:rPr>
        <w:t>wie art. 119zp § 1 pkt 1 i art. </w:t>
      </w:r>
      <w:r w:rsidR="006436C4" w:rsidRPr="00F27DDF">
        <w:rPr>
          <w:rFonts w:ascii="Times New Roman" w:hAnsi="Times New Roman" w:cs="Times New Roman"/>
          <w:sz w:val="24"/>
          <w:szCs w:val="24"/>
        </w:rPr>
        <w:t>119zq pkt 1 Ordynacji podatkowej rodzaju rachunku podmiotu kwalifikowanego, innego numeru rachunku</w:t>
      </w:r>
      <w:r>
        <w:rPr>
          <w:rFonts w:ascii="Times New Roman" w:hAnsi="Times New Roman" w:cs="Times New Roman"/>
          <w:sz w:val="24"/>
          <w:szCs w:val="24"/>
        </w:rPr>
        <w:t xml:space="preserve"> podmiotu kwalifikowanego niż w </w:t>
      </w:r>
      <w:r w:rsidR="0020646F">
        <w:rPr>
          <w:rFonts w:ascii="Times New Roman" w:hAnsi="Times New Roman" w:cs="Times New Roman"/>
          <w:sz w:val="24"/>
          <w:szCs w:val="24"/>
        </w:rPr>
        <w:t xml:space="preserve">formacie </w:t>
      </w:r>
      <w:r w:rsidR="00A70E61">
        <w:rPr>
          <w:rFonts w:ascii="Times New Roman" w:hAnsi="Times New Roman" w:cs="Times New Roman"/>
          <w:sz w:val="24"/>
          <w:szCs w:val="24"/>
        </w:rPr>
        <w:t>Numeru R</w:t>
      </w:r>
      <w:r w:rsidR="00A70E61" w:rsidRPr="00F27DDF">
        <w:rPr>
          <w:rFonts w:ascii="Times New Roman" w:hAnsi="Times New Roman" w:cs="Times New Roman"/>
          <w:sz w:val="24"/>
          <w:szCs w:val="24"/>
        </w:rPr>
        <w:t xml:space="preserve">achunku </w:t>
      </w:r>
      <w:r w:rsidR="00A70E61">
        <w:rPr>
          <w:rFonts w:ascii="Times New Roman" w:hAnsi="Times New Roman" w:cs="Times New Roman"/>
          <w:sz w:val="24"/>
          <w:szCs w:val="24"/>
        </w:rPr>
        <w:t>B</w:t>
      </w:r>
      <w:r w:rsidR="00A70E61" w:rsidRPr="00F27DDF">
        <w:rPr>
          <w:rFonts w:ascii="Times New Roman" w:hAnsi="Times New Roman" w:cs="Times New Roman"/>
          <w:sz w:val="24"/>
          <w:szCs w:val="24"/>
        </w:rPr>
        <w:t xml:space="preserve">ankowego </w:t>
      </w:r>
      <w:r w:rsidR="00F27DDF">
        <w:rPr>
          <w:rFonts w:ascii="Times New Roman" w:hAnsi="Times New Roman" w:cs="Times New Roman"/>
          <w:sz w:val="24"/>
          <w:szCs w:val="24"/>
        </w:rPr>
        <w:t xml:space="preserve">– </w:t>
      </w:r>
      <w:r w:rsidR="006436C4" w:rsidRPr="00F27DDF">
        <w:rPr>
          <w:rFonts w:ascii="Times New Roman" w:hAnsi="Times New Roman" w:cs="Times New Roman"/>
          <w:sz w:val="24"/>
          <w:szCs w:val="24"/>
        </w:rPr>
        <w:t xml:space="preserve">w przypadku rachunku lokaty terminowej oraz daty zakończenia okresu, na jaki umowa lokaty terminowej została zawarta </w:t>
      </w:r>
      <w:r w:rsidR="00F27DDF">
        <w:rPr>
          <w:rFonts w:ascii="Times New Roman" w:hAnsi="Times New Roman" w:cs="Times New Roman"/>
          <w:sz w:val="24"/>
          <w:szCs w:val="24"/>
        </w:rPr>
        <w:t>–</w:t>
      </w:r>
      <w:r w:rsidR="006436C4" w:rsidRPr="00F27DDF">
        <w:rPr>
          <w:rFonts w:ascii="Times New Roman" w:hAnsi="Times New Roman" w:cs="Times New Roman"/>
          <w:sz w:val="24"/>
          <w:szCs w:val="24"/>
        </w:rPr>
        <w:t xml:space="preserve"> w przypadku rachunku lokaty terminowej (</w:t>
      </w:r>
      <w:r>
        <w:rPr>
          <w:rFonts w:ascii="Times New Roman" w:hAnsi="Times New Roman" w:cs="Times New Roman"/>
          <w:b/>
          <w:sz w:val="24"/>
          <w:szCs w:val="24"/>
        </w:rPr>
        <w:t>zmieniony art. 119zr § 1 pkt </w:t>
      </w:r>
      <w:r w:rsidR="006436C4" w:rsidRPr="00F27DDF">
        <w:rPr>
          <w:rFonts w:ascii="Times New Roman" w:hAnsi="Times New Roman" w:cs="Times New Roman"/>
          <w:b/>
          <w:sz w:val="24"/>
          <w:szCs w:val="24"/>
        </w:rPr>
        <w:t>3 Ordynacji podatkowej</w:t>
      </w:r>
      <w:r w:rsidR="006436C4" w:rsidRPr="00F27DDF">
        <w:rPr>
          <w:rFonts w:ascii="Times New Roman" w:hAnsi="Times New Roman" w:cs="Times New Roman"/>
          <w:sz w:val="24"/>
          <w:szCs w:val="24"/>
        </w:rPr>
        <w:t xml:space="preserve">). </w:t>
      </w:r>
    </w:p>
    <w:p w:rsidR="00BD74B3" w:rsidRPr="00F27DDF" w:rsidRDefault="00BD74B3" w:rsidP="00F27DDF">
      <w:pPr>
        <w:pStyle w:val="Tekstpodstawowy2"/>
        <w:shd w:val="clear" w:color="auto" w:fill="auto"/>
        <w:spacing w:before="120" w:line="360" w:lineRule="auto"/>
        <w:ind w:left="20" w:right="20"/>
        <w:jc w:val="both"/>
      </w:pPr>
      <w:r w:rsidRPr="00F27DDF">
        <w:t>Ad a)</w:t>
      </w:r>
      <w:r w:rsidR="00BF14FD" w:rsidRPr="00F27DDF">
        <w:t xml:space="preserve"> i e)</w:t>
      </w:r>
      <w:r w:rsidRPr="00F27DDF">
        <w:t xml:space="preserve"> </w:t>
      </w:r>
      <w:r w:rsidR="00AB11F1" w:rsidRPr="00F27DDF">
        <w:t xml:space="preserve">Przekazanie informacji o adresach IP pozwoli na bardziej precyzyjne ustalanie wskaźnika ryzyka oraz na bardziej kompleksową analizę ryzyka dokonywaną przez Szefa KAS. </w:t>
      </w:r>
      <w:r w:rsidRPr="00F27DDF">
        <w:t>Pozyskiwanie adres</w:t>
      </w:r>
      <w:r w:rsidR="006A709F" w:rsidRPr="00F27DDF">
        <w:t>ów</w:t>
      </w:r>
      <w:r w:rsidRPr="00F27DDF">
        <w:t xml:space="preserve"> IP jest istotne dla zapewnienia skuteczności analizy ryzyka oraz ustalenia osób faktycznie korzystających z zablokowanych środków. Osoby organizujące proceder wyłudzeń zazwyczaj nie są znane organom K</w:t>
      </w:r>
      <w:r w:rsidR="0046590D" w:rsidRPr="00F27DDF">
        <w:t xml:space="preserve">rajowej </w:t>
      </w:r>
      <w:r w:rsidRPr="00F27DDF">
        <w:t>A</w:t>
      </w:r>
      <w:r w:rsidR="0046590D" w:rsidRPr="00F27DDF">
        <w:t xml:space="preserve">dministracji </w:t>
      </w:r>
      <w:r w:rsidRPr="00F27DDF">
        <w:t>S</w:t>
      </w:r>
      <w:r w:rsidR="0046590D" w:rsidRPr="00F27DDF">
        <w:t>karbowej</w:t>
      </w:r>
      <w:r w:rsidRPr="00F27DDF">
        <w:t xml:space="preserve">, gdyż pozorowana działalność gospodarcza rejestrowana jest na inne osoby, tzw. słupy, które nie posiadają majątku </w:t>
      </w:r>
      <w:r w:rsidR="0046590D" w:rsidRPr="00F27DDF">
        <w:t>i</w:t>
      </w:r>
      <w:r w:rsidRPr="00F27DDF">
        <w:t xml:space="preserve"> często nie mają też wiedzy o rzeczywistym celu przedsięwzięcia, w którym uczestniczą. Rzeczywiści organizatorzy wyłud</w:t>
      </w:r>
      <w:r w:rsidR="0073615D">
        <w:t>zeń nie zawsze rejestrują się w</w:t>
      </w:r>
      <w:r w:rsidR="00C13C62">
        <w:t xml:space="preserve"> </w:t>
      </w:r>
      <w:r w:rsidRPr="00F27DDF">
        <w:t>instytucjach finansowych jako pełnomocnicy do rachunku. W takiej sytuacji</w:t>
      </w:r>
      <w:r w:rsidR="0020646F">
        <w:t>,</w:t>
      </w:r>
      <w:r w:rsidRPr="00F27DDF">
        <w:t xml:space="preserve"> w celu ustalenia powiązań pomiędzy podmiotami uczestniczącymi w procederze</w:t>
      </w:r>
      <w:r w:rsidR="0020646F">
        <w:t>,</w:t>
      </w:r>
      <w:r w:rsidRPr="00F27DDF">
        <w:t xml:space="preserve"> konieczne jest pozyskani</w:t>
      </w:r>
      <w:r w:rsidR="004704CE" w:rsidRPr="00F27DDF">
        <w:t>e</w:t>
      </w:r>
      <w:r w:rsidRPr="00F27DDF">
        <w:t xml:space="preserve"> dodatkowych danych, które pozwolą na zidentyfikowanie rzeczywistych kierujących i uczestników grupy przestępczej.</w:t>
      </w:r>
    </w:p>
    <w:p w:rsidR="004704CE" w:rsidRPr="00F27DDF" w:rsidRDefault="003C2A42" w:rsidP="00F27DDF">
      <w:pPr>
        <w:pStyle w:val="Tekstpodstawowy2"/>
        <w:spacing w:before="120" w:line="360" w:lineRule="auto"/>
        <w:ind w:left="20" w:right="20"/>
        <w:jc w:val="both"/>
      </w:pPr>
      <w:r w:rsidRPr="00F27DDF">
        <w:t>Ustalenie adresów IP, które były wykorzystywane do przeprowadzenia nietypowych transakcji oraz dat i godzin tych transakcji</w:t>
      </w:r>
      <w:r w:rsidR="00820DCF">
        <w:t>,</w:t>
      </w:r>
      <w:r w:rsidRPr="00F27DDF">
        <w:t xml:space="preserve"> pozwoli nie tylko na ustalenie tożsamości osób</w:t>
      </w:r>
      <w:r w:rsidR="009115BE" w:rsidRPr="00F27DDF">
        <w:t xml:space="preserve"> (jeśli nie zostaną wskazane przez bank lub SKOK)</w:t>
      </w:r>
      <w:r w:rsidRPr="00F27DDF">
        <w:t xml:space="preserve">, ale także </w:t>
      </w:r>
      <w:r w:rsidR="00FC18D5" w:rsidRPr="00F27DDF">
        <w:t>na sprawdzenie miejsc</w:t>
      </w:r>
      <w:r w:rsidR="00820DCF">
        <w:t>,</w:t>
      </w:r>
      <w:r w:rsidR="00FC18D5" w:rsidRPr="00F27DDF">
        <w:t xml:space="preserve"> z jakich były dokonywane dyspozycje wykonania tych transakcji, powiązania tych miejsc i osób korzystających z tych adresów IP. Te elementy są konieczne do przeprowadzenia rzetelnej analizy finansowej, w oparciu o którą można podjąć działania zapobiegające wyłudzeniom skarbowym i </w:t>
      </w:r>
      <w:r w:rsidR="00831E94" w:rsidRPr="00F27DDF">
        <w:t>zmierzające do wykrycia popełnionych przestępstw skarbowych. Zwrócić należy uwagę, że</w:t>
      </w:r>
      <w:r w:rsidR="00FA642A" w:rsidRPr="00F27DDF">
        <w:t xml:space="preserve"> coraz częściej analizy finansowe wykrywające wyłudzenia są wykonywane przy użyciu specjalistycznych narz</w:t>
      </w:r>
      <w:r w:rsidR="00820DCF">
        <w:t>ę</w:t>
      </w:r>
      <w:r w:rsidR="00FA642A" w:rsidRPr="00F27DDF">
        <w:t xml:space="preserve">dzi </w:t>
      </w:r>
      <w:r w:rsidR="00EF4974" w:rsidRPr="00F27DDF">
        <w:t>analityczn</w:t>
      </w:r>
      <w:r w:rsidR="00FA642A" w:rsidRPr="00F27DDF">
        <w:t xml:space="preserve">ych. </w:t>
      </w:r>
      <w:r w:rsidR="00EF4974" w:rsidRPr="00F27DDF">
        <w:t xml:space="preserve">Narzędzia te służą do analizy zgromadzonych danych, graficznej prezentacji informacji o obiektach i powiązaniach między nimi oraz do przedstawiania </w:t>
      </w:r>
      <w:r w:rsidR="00EF4974" w:rsidRPr="00F27DDF">
        <w:lastRenderedPageBreak/>
        <w:t>wyników analizy w formie raportów. Często t</w:t>
      </w:r>
      <w:r w:rsidR="00FA642A" w:rsidRPr="00F27DDF">
        <w:t xml:space="preserve">ylko skorzystanie z tych narzędzi umożliwia zbadanie setek transakcji pomiędzy różnymi podmiotami i wychwycenie </w:t>
      </w:r>
      <w:r w:rsidR="00EF4974" w:rsidRPr="00F27DDF">
        <w:t>schematów charakterystyczny</w:t>
      </w:r>
      <w:r w:rsidR="00FA642A" w:rsidRPr="00F27DDF">
        <w:t xml:space="preserve">ch </w:t>
      </w:r>
      <w:r w:rsidR="00EF4974" w:rsidRPr="00F27DDF">
        <w:t xml:space="preserve">dla </w:t>
      </w:r>
      <w:r w:rsidR="00D8660B" w:rsidRPr="00F27DDF">
        <w:t>danego rodzaju przestępstwa</w:t>
      </w:r>
      <w:r w:rsidR="00EF4974" w:rsidRPr="00F27DDF">
        <w:t xml:space="preserve">. </w:t>
      </w:r>
      <w:r w:rsidR="00FA642A" w:rsidRPr="00F27DDF">
        <w:t xml:space="preserve">Olbrzymie znaczenie dla efektywności w wykrywaniu podejrzanych transakcji ma dostępność do informacji, które mogą być wykorzystane do prowadzenia analiz. </w:t>
      </w:r>
      <w:r w:rsidR="00D8660B" w:rsidRPr="00F27DDF">
        <w:t>Przy czym o efektywności analizy nie decyduje oparcie analizy na pojedynczych danych</w:t>
      </w:r>
      <w:r w:rsidR="00A72072">
        <w:t>,</w:t>
      </w:r>
      <w:r w:rsidR="00D8660B" w:rsidRPr="00F27DDF">
        <w:t xml:space="preserve"> lecz korzystanie ze zbiorów danych i przeprowadz</w:t>
      </w:r>
      <w:r w:rsidR="0023237A" w:rsidRPr="00F27DDF">
        <w:t>a</w:t>
      </w:r>
      <w:r w:rsidR="00D8660B" w:rsidRPr="00F27DDF">
        <w:t xml:space="preserve">nie operacji analitycznych na tych </w:t>
      </w:r>
      <w:r w:rsidR="00B90EBF" w:rsidRPr="00F27DDF">
        <w:t>zbiorach. Możliwość gromadzenia adre</w:t>
      </w:r>
      <w:r w:rsidR="0073615D">
        <w:t>sów IP stanowi więc adekwatny i </w:t>
      </w:r>
      <w:r w:rsidR="00B90EBF" w:rsidRPr="00F27DDF">
        <w:t>proporcjonalny instrument służący poszerzeniu baz danych wykorzystywanych</w:t>
      </w:r>
      <w:r w:rsidR="00AB69F4" w:rsidRPr="00F27DDF">
        <w:t xml:space="preserve"> przez Szefa KAS przy prowadzeniu analizy ryzyka. </w:t>
      </w:r>
    </w:p>
    <w:p w:rsidR="00563130" w:rsidRPr="00F27DDF" w:rsidRDefault="00563130" w:rsidP="00F27DDF">
      <w:pPr>
        <w:pStyle w:val="Tekstpodstawowy2"/>
        <w:spacing w:before="120" w:line="360" w:lineRule="auto"/>
        <w:ind w:left="20" w:right="20"/>
        <w:jc w:val="both"/>
      </w:pPr>
      <w:r w:rsidRPr="00F27DDF">
        <w:t>Przepis wprowadzający obowiązek pozyskiwania i gromadzenia danych o adresach IP jest także zgodny z przepisami o ochronie danych osobowych</w:t>
      </w:r>
      <w:r w:rsidR="0073615D">
        <w:t>, w tym z </w:t>
      </w:r>
      <w:r w:rsidR="002132A9" w:rsidRPr="00F27DDF">
        <w:t>rozporządzeniem Parlamentu Europejskiego i Rady (UE) 2016/679 z dnia 27 kwietnia 2016</w:t>
      </w:r>
      <w:r w:rsidR="00F27DDF">
        <w:t xml:space="preserve"> </w:t>
      </w:r>
      <w:r w:rsidR="002132A9" w:rsidRPr="00F27DDF">
        <w:t>r.</w:t>
      </w:r>
      <w:r w:rsidR="00F27DDF">
        <w:t xml:space="preserve"> </w:t>
      </w:r>
      <w:r w:rsidR="002132A9" w:rsidRPr="00F27DDF">
        <w:t>w</w:t>
      </w:r>
      <w:r w:rsidR="00F27DDF">
        <w:t xml:space="preserve"> </w:t>
      </w:r>
      <w:r w:rsidR="002132A9" w:rsidRPr="00F27DDF">
        <w:t>sprawie</w:t>
      </w:r>
      <w:r w:rsidR="00F27DDF">
        <w:t xml:space="preserve"> </w:t>
      </w:r>
      <w:r w:rsidR="002132A9" w:rsidRPr="00F27DDF">
        <w:t>ochrony</w:t>
      </w:r>
      <w:r w:rsidR="00F27DDF">
        <w:t xml:space="preserve"> </w:t>
      </w:r>
      <w:r w:rsidR="002132A9" w:rsidRPr="00F27DDF">
        <w:t>osób</w:t>
      </w:r>
      <w:r w:rsidR="00F27DDF">
        <w:t xml:space="preserve"> </w:t>
      </w:r>
      <w:r w:rsidR="002132A9" w:rsidRPr="00F27DDF">
        <w:t>fizycznych</w:t>
      </w:r>
      <w:r w:rsidR="00F27DDF">
        <w:t xml:space="preserve"> </w:t>
      </w:r>
      <w:r w:rsidR="002132A9" w:rsidRPr="00F27DDF">
        <w:t>w</w:t>
      </w:r>
      <w:r w:rsidR="00F27DDF">
        <w:t xml:space="preserve"> </w:t>
      </w:r>
      <w:r w:rsidR="002132A9" w:rsidRPr="00F27DDF">
        <w:t>związku</w:t>
      </w:r>
      <w:r w:rsidR="00F27DDF">
        <w:t xml:space="preserve"> </w:t>
      </w:r>
      <w:r w:rsidR="002132A9" w:rsidRPr="00F27DDF">
        <w:t>z</w:t>
      </w:r>
      <w:r w:rsidR="00F27DDF">
        <w:t xml:space="preserve"> </w:t>
      </w:r>
      <w:r w:rsidR="002132A9" w:rsidRPr="00F27DDF">
        <w:t>przetwarzaniem</w:t>
      </w:r>
      <w:r w:rsidR="00F27DDF">
        <w:t xml:space="preserve"> </w:t>
      </w:r>
      <w:r w:rsidR="002132A9" w:rsidRPr="00F27DDF">
        <w:t>danych osobowych</w:t>
      </w:r>
      <w:r w:rsidR="00F27DDF">
        <w:t xml:space="preserve"> </w:t>
      </w:r>
      <w:r w:rsidR="002132A9" w:rsidRPr="00F27DDF">
        <w:t>i</w:t>
      </w:r>
      <w:r w:rsidR="00F27DDF">
        <w:t xml:space="preserve"> </w:t>
      </w:r>
      <w:r w:rsidR="002132A9" w:rsidRPr="00F27DDF">
        <w:t>w</w:t>
      </w:r>
      <w:r w:rsidR="00F27DDF">
        <w:t xml:space="preserve"> </w:t>
      </w:r>
      <w:r w:rsidR="002132A9" w:rsidRPr="00F27DDF">
        <w:t>sprawie</w:t>
      </w:r>
      <w:r w:rsidR="00F27DDF">
        <w:t xml:space="preserve"> </w:t>
      </w:r>
      <w:r w:rsidR="002132A9" w:rsidRPr="00F27DDF">
        <w:t>swobodnego</w:t>
      </w:r>
      <w:r w:rsidR="00F27DDF">
        <w:t xml:space="preserve"> </w:t>
      </w:r>
      <w:r w:rsidR="002132A9" w:rsidRPr="00F27DDF">
        <w:t>przepływu</w:t>
      </w:r>
      <w:r w:rsidR="00F27DDF">
        <w:t xml:space="preserve"> </w:t>
      </w:r>
      <w:r w:rsidR="002132A9" w:rsidRPr="00F27DDF">
        <w:t>takich</w:t>
      </w:r>
      <w:r w:rsidR="00F27DDF">
        <w:t xml:space="preserve"> </w:t>
      </w:r>
      <w:r w:rsidR="002132A9" w:rsidRPr="00F27DDF">
        <w:t>danych</w:t>
      </w:r>
      <w:r w:rsidR="00F27DDF">
        <w:t xml:space="preserve"> </w:t>
      </w:r>
      <w:r w:rsidR="002132A9" w:rsidRPr="00F27DDF">
        <w:t>oraz</w:t>
      </w:r>
      <w:r w:rsidR="00F27DDF">
        <w:t xml:space="preserve"> </w:t>
      </w:r>
      <w:r w:rsidR="002132A9" w:rsidRPr="00F27DDF">
        <w:t>uchy</w:t>
      </w:r>
      <w:r w:rsidR="0020646F">
        <w:t>lenia dyrektywy 95/46/WE (ogólnym</w:t>
      </w:r>
      <w:r w:rsidR="002132A9" w:rsidRPr="00F27DDF">
        <w:t xml:space="preserve"> rozporządzenie</w:t>
      </w:r>
      <w:r w:rsidR="0020646F">
        <w:t>m</w:t>
      </w:r>
      <w:r w:rsidR="002132A9" w:rsidRPr="00F27DDF">
        <w:t xml:space="preserve"> o ochronie danych) (Dz. Urz. </w:t>
      </w:r>
      <w:r w:rsidR="00606045">
        <w:t>UE L </w:t>
      </w:r>
      <w:r w:rsidR="0073615D">
        <w:t>119 z 0</w:t>
      </w:r>
      <w:r w:rsidR="002132A9" w:rsidRPr="00F27DDF">
        <w:t>4.05.2016,</w:t>
      </w:r>
      <w:r w:rsidR="00F27DDF">
        <w:t xml:space="preserve"> </w:t>
      </w:r>
      <w:r w:rsidR="002132A9" w:rsidRPr="00F27DDF">
        <w:t>str.</w:t>
      </w:r>
      <w:r w:rsidR="00F27DDF">
        <w:t xml:space="preserve"> </w:t>
      </w:r>
      <w:r w:rsidR="002132A9" w:rsidRPr="00F27DDF">
        <w:t>1),</w:t>
      </w:r>
      <w:r w:rsidR="00F27DDF">
        <w:t xml:space="preserve"> </w:t>
      </w:r>
      <w:r w:rsidR="00F43496" w:rsidRPr="00F27DDF">
        <w:t>zwanym dalej „</w:t>
      </w:r>
      <w:r w:rsidR="00C71245" w:rsidRPr="00F27DDF">
        <w:t>rozporządzeniem 2016/579</w:t>
      </w:r>
      <w:r w:rsidR="00F43496" w:rsidRPr="00F27DDF">
        <w:t>”</w:t>
      </w:r>
      <w:r w:rsidRPr="00F27DDF">
        <w:t>.</w:t>
      </w:r>
      <w:r w:rsidR="00F43496" w:rsidRPr="00F27DDF">
        <w:t xml:space="preserve"> Przepis art. 6 ust. 1 lit. e rozporządzenia 2016/579 uznaje za zgodne z prawem przetwarzanie danych, które jest niezbędne do wykonania zadania realizowanego w interesie publicznym l</w:t>
      </w:r>
      <w:r w:rsidR="0073615D">
        <w:t>ub w </w:t>
      </w:r>
      <w:r w:rsidR="00F43496" w:rsidRPr="00F27DDF">
        <w:t>ramach sprawowania władzy publicznej powierzonej administratorowi. Podstawa przetwarzania danych, o których mowa w art. 6 ust</w:t>
      </w:r>
      <w:r w:rsidR="0073615D">
        <w:t>. 1 lit. e</w:t>
      </w:r>
      <w:r w:rsidR="0020646F">
        <w:t>,</w:t>
      </w:r>
      <w:r w:rsidR="0073615D">
        <w:t xml:space="preserve"> musi być określona w </w:t>
      </w:r>
      <w:r w:rsidR="00F43496" w:rsidRPr="00F27DDF">
        <w:t>prawie Unii lub w prawie państwa członkowskiego, któremu podlega administrator. Cel przetwarzania musi być określony w tej podstawie prawnej lub musi być ono niezbędne do wykonania zadania realizowanego w interesie publicznym lub w ramach sprawowania władzy publicznej powierzonej administratorowi (art. 6 ust. 3 rozporządzenia 2016/579). Warunki te w przypadku zbierania danych na podstawie przepisów działu IIIB Ordynacji podatkowej są spełni</w:t>
      </w:r>
      <w:r w:rsidR="0073615D">
        <w:t>one, ponieważ podstawa prawna i </w:t>
      </w:r>
      <w:r w:rsidR="00F43496" w:rsidRPr="00F27DDF">
        <w:t>cel przetwarzania oraz zakres danych są określone w tej ustawie.</w:t>
      </w:r>
      <w:r w:rsidR="00F27DDF">
        <w:t xml:space="preserve"> </w:t>
      </w:r>
    </w:p>
    <w:p w:rsidR="005C3F1F" w:rsidRPr="00F27DDF" w:rsidRDefault="00BD74B3" w:rsidP="00F27DDF">
      <w:pPr>
        <w:pStyle w:val="Tekstpodstawowy2"/>
        <w:shd w:val="clear" w:color="auto" w:fill="auto"/>
        <w:spacing w:before="120" w:line="360" w:lineRule="auto"/>
        <w:ind w:left="23" w:right="23"/>
        <w:jc w:val="both"/>
      </w:pPr>
      <w:r w:rsidRPr="00F27DDF">
        <w:t xml:space="preserve">W tym kontekście istotna jest także okoliczność, że organy KAS już w chwili obecnej uprawnione są do uzyskiwania danych dotyczących adresu IP (art. 114 ust. 1 pkt 3 ustawy </w:t>
      </w:r>
      <w:r w:rsidR="0046590D" w:rsidRPr="00F27DDF">
        <w:t>z dnia 16 listopada 2016 r. o Krajowej Administracji Skarbowej</w:t>
      </w:r>
      <w:r w:rsidR="0046590D" w:rsidRPr="00F27DDF">
        <w:rPr>
          <w:b/>
        </w:rPr>
        <w:t xml:space="preserve"> </w:t>
      </w:r>
      <w:r w:rsidRPr="00F27DDF">
        <w:t xml:space="preserve">w zw. z art. 18 ust. 5 ustawy </w:t>
      </w:r>
      <w:r w:rsidR="0046590D" w:rsidRPr="00F27DDF">
        <w:t xml:space="preserve">z dnia </w:t>
      </w:r>
      <w:r w:rsidR="002132A9" w:rsidRPr="00F27DDF">
        <w:t>18 lipca 2012 r</w:t>
      </w:r>
      <w:r w:rsidR="00820DCF">
        <w:t>.</w:t>
      </w:r>
      <w:r w:rsidR="002132A9" w:rsidRPr="00F27DDF">
        <w:t xml:space="preserve"> o</w:t>
      </w:r>
      <w:r w:rsidRPr="00F27DDF">
        <w:t xml:space="preserve"> świadczeniu usług drogą elektroniczną). Projektowana zmiana nie dodaje zatem w istocie nowych danych, które Szef KAS może posiadać i </w:t>
      </w:r>
      <w:r w:rsidRPr="00F27DDF">
        <w:lastRenderedPageBreak/>
        <w:t xml:space="preserve">przetwarzać, a jedynie wskazuje dodatkowy tryb i formę ich uzyskiwania. W tym zakresie zastosowanie mają ponadto już obecnie istniejące ograniczenia, tj. dane automatycznie przekazywane Szefowi KAS nie będą dotyczyć rachunków osób fizycznych służących ich osobistym rozliczeniom, a jedynie rachunków związanych z prowadzoną przez nie działalnością gospodarczą lub zarobkową. Należy wskazać, że analogicznego ograniczenia zakresu nie przewiduje np. wchodząca w życie </w:t>
      </w:r>
      <w:r w:rsidR="0046590D" w:rsidRPr="00F27DDF">
        <w:t xml:space="preserve">z dniem 13 lipca 2018 r. </w:t>
      </w:r>
      <w:r w:rsidRPr="00F27DDF">
        <w:t xml:space="preserve">ustawa </w:t>
      </w:r>
      <w:r w:rsidR="0046590D" w:rsidRPr="00F27DDF">
        <w:t xml:space="preserve">z dnia 1 marca 2018 r. </w:t>
      </w:r>
      <w:r w:rsidR="0073615D">
        <w:t>o </w:t>
      </w:r>
      <w:r w:rsidRPr="00F27DDF">
        <w:t xml:space="preserve">przeciwdziałaniu praniu pieniędzy oraz finansowaniu terroryzmu, która w art. </w:t>
      </w:r>
      <w:r w:rsidR="0073615D">
        <w:t>76 ust. </w:t>
      </w:r>
      <w:r w:rsidRPr="00F27DDF">
        <w:t>1 pkt 5 wprowadza obowiązek przekazywania adresów IP na żądanie Generalnego Inspektora Informacji Finansowej.</w:t>
      </w:r>
    </w:p>
    <w:p w:rsidR="00BA2CF0" w:rsidRPr="00F27DDF" w:rsidRDefault="00AB69F4"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Mając powyższe na uwadze</w:t>
      </w:r>
      <w:r w:rsidR="0020646F">
        <w:rPr>
          <w:rFonts w:ascii="Times New Roman" w:hAnsi="Times New Roman" w:cs="Times New Roman"/>
          <w:sz w:val="24"/>
          <w:szCs w:val="24"/>
        </w:rPr>
        <w:t>,</w:t>
      </w:r>
      <w:r w:rsidR="00BA2CF0" w:rsidRPr="00F27DDF">
        <w:rPr>
          <w:rFonts w:ascii="Times New Roman" w:hAnsi="Times New Roman" w:cs="Times New Roman"/>
          <w:sz w:val="24"/>
          <w:szCs w:val="24"/>
        </w:rPr>
        <w:t xml:space="preserve"> </w:t>
      </w:r>
      <w:r w:rsidRPr="00F27DDF">
        <w:rPr>
          <w:rFonts w:ascii="Times New Roman" w:hAnsi="Times New Roman" w:cs="Times New Roman"/>
          <w:sz w:val="24"/>
          <w:szCs w:val="24"/>
        </w:rPr>
        <w:t>p</w:t>
      </w:r>
      <w:r w:rsidR="00BA2CF0" w:rsidRPr="00F27DDF">
        <w:rPr>
          <w:rFonts w:ascii="Times New Roman" w:hAnsi="Times New Roman" w:cs="Times New Roman"/>
          <w:sz w:val="24"/>
          <w:szCs w:val="24"/>
        </w:rPr>
        <w:t>ozyskiwanie i gromadze</w:t>
      </w:r>
      <w:r w:rsidR="0073615D">
        <w:rPr>
          <w:rFonts w:ascii="Times New Roman" w:hAnsi="Times New Roman" w:cs="Times New Roman"/>
          <w:sz w:val="24"/>
          <w:szCs w:val="24"/>
        </w:rPr>
        <w:t>nie informacji o adresach IP, o </w:t>
      </w:r>
      <w:r w:rsidR="00BA2CF0" w:rsidRPr="00F27DDF">
        <w:rPr>
          <w:rFonts w:ascii="Times New Roman" w:hAnsi="Times New Roman" w:cs="Times New Roman"/>
          <w:sz w:val="24"/>
          <w:szCs w:val="24"/>
        </w:rPr>
        <w:t>których mowa w art. 119zr § 2 pkt 3 Ordynacji podatkowej</w:t>
      </w:r>
      <w:r w:rsidR="00820DCF">
        <w:rPr>
          <w:rFonts w:ascii="Times New Roman" w:hAnsi="Times New Roman" w:cs="Times New Roman"/>
          <w:sz w:val="24"/>
          <w:szCs w:val="24"/>
        </w:rPr>
        <w:t>,</w:t>
      </w:r>
      <w:r w:rsidR="00BA2CF0" w:rsidRPr="00F27DDF">
        <w:rPr>
          <w:rFonts w:ascii="Times New Roman" w:hAnsi="Times New Roman" w:cs="Times New Roman"/>
          <w:sz w:val="24"/>
          <w:szCs w:val="24"/>
        </w:rPr>
        <w:t xml:space="preserve"> jest zgodne ze standardami konstytucyjnymi, w szczególności określonymi w art. 51 ust. 2 i </w:t>
      </w:r>
      <w:r w:rsidR="0023237A" w:rsidRPr="00F27DDF">
        <w:rPr>
          <w:rFonts w:ascii="Times New Roman" w:hAnsi="Times New Roman" w:cs="Times New Roman"/>
          <w:sz w:val="24"/>
          <w:szCs w:val="24"/>
        </w:rPr>
        <w:t xml:space="preserve">art. </w:t>
      </w:r>
      <w:r w:rsidR="0073615D">
        <w:rPr>
          <w:rFonts w:ascii="Times New Roman" w:hAnsi="Times New Roman" w:cs="Times New Roman"/>
          <w:sz w:val="24"/>
          <w:szCs w:val="24"/>
        </w:rPr>
        <w:t>31 ust. </w:t>
      </w:r>
      <w:r w:rsidR="00BA2CF0" w:rsidRPr="00F27DDF">
        <w:rPr>
          <w:rFonts w:ascii="Times New Roman" w:hAnsi="Times New Roman" w:cs="Times New Roman"/>
          <w:sz w:val="24"/>
          <w:szCs w:val="24"/>
        </w:rPr>
        <w:t>3 Konstytucji RP.</w:t>
      </w:r>
    </w:p>
    <w:p w:rsidR="00BD74B3" w:rsidRPr="00F27DDF" w:rsidRDefault="00BD74B3"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Ad b)</w:t>
      </w:r>
      <w:r w:rsidR="00DF17EB" w:rsidRPr="00F27DDF">
        <w:rPr>
          <w:rFonts w:ascii="Times New Roman" w:hAnsi="Times New Roman" w:cs="Times New Roman"/>
          <w:sz w:val="24"/>
          <w:szCs w:val="24"/>
        </w:rPr>
        <w:t>,</w:t>
      </w:r>
      <w:r w:rsidRPr="00F27DDF">
        <w:rPr>
          <w:rFonts w:ascii="Times New Roman" w:hAnsi="Times New Roman" w:cs="Times New Roman"/>
          <w:sz w:val="24"/>
          <w:szCs w:val="24"/>
        </w:rPr>
        <w:t xml:space="preserve"> c)</w:t>
      </w:r>
      <w:r w:rsidR="00DF17EB" w:rsidRPr="00F27DDF">
        <w:rPr>
          <w:rFonts w:ascii="Times New Roman" w:hAnsi="Times New Roman" w:cs="Times New Roman"/>
          <w:sz w:val="24"/>
          <w:szCs w:val="24"/>
        </w:rPr>
        <w:t xml:space="preserve"> i f)</w:t>
      </w:r>
      <w:r w:rsidRP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W obowiązującym stanie prawnym informacje o blokadach środków na rachunku podmiotu kwalifikowanego i zajęciach wierzytelności z rachunku podmiotu kwalifikowanego mogą być udzielane na żądanie Szefa KAS w</w:t>
      </w:r>
      <w:r w:rsid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celu weryfikacji lub uzupełnienia posiadanych przez Szefa Krajowej Administracji Skarbowej informacji (art. 119zs § 1 pkt 2 i 3 Ordynacji podatkowej). Uzyskiwanie powyżs</w:t>
      </w:r>
      <w:r w:rsidR="00606045">
        <w:rPr>
          <w:rFonts w:ascii="Times New Roman" w:hAnsi="Times New Roman" w:cs="Times New Roman"/>
          <w:sz w:val="24"/>
          <w:szCs w:val="24"/>
        </w:rPr>
        <w:t>zych informacji w </w:t>
      </w:r>
      <w:r w:rsidR="00AB11F1" w:rsidRPr="00F27DDF">
        <w:rPr>
          <w:rFonts w:ascii="Times New Roman" w:hAnsi="Times New Roman" w:cs="Times New Roman"/>
          <w:sz w:val="24"/>
          <w:szCs w:val="24"/>
        </w:rPr>
        <w:t>trybie dodatkowego żądania nie stanowi jednak optymalnego rozwiązania, ponieważ może przedwcześnie ujawniać zainteresowanie Szefa KAS podmiotem kwalifikowanym, którego dotyczy żądanie. Działania Szefa KAS powinny pozostawać niejawne tak długo jak jest to możliwe. Zwiększy to skuteczność tych działań. Uzyskanie informacji o blokadach środków na rach</w:t>
      </w:r>
      <w:r w:rsidR="00606045">
        <w:rPr>
          <w:rFonts w:ascii="Times New Roman" w:hAnsi="Times New Roman" w:cs="Times New Roman"/>
          <w:sz w:val="24"/>
          <w:szCs w:val="24"/>
        </w:rPr>
        <w:t>unku podmiotu kwalifikowanego i </w:t>
      </w:r>
      <w:r w:rsidR="00AB11F1" w:rsidRPr="00F27DDF">
        <w:rPr>
          <w:rFonts w:ascii="Times New Roman" w:hAnsi="Times New Roman" w:cs="Times New Roman"/>
          <w:sz w:val="24"/>
          <w:szCs w:val="24"/>
        </w:rPr>
        <w:t xml:space="preserve">zajęciach wierzytelności z rachunku podmiotu kwalifikowanego w ramach codziennie przekazywanych przez banki (SKOK-i) informacji pozwoli na bardziej efektywne wykorzystanie instytucji blokady rachunku podmiotu kwalifikowanego. </w:t>
      </w:r>
      <w:r w:rsidR="00606045">
        <w:rPr>
          <w:rFonts w:ascii="Times New Roman" w:hAnsi="Times New Roman" w:cs="Times New Roman"/>
          <w:sz w:val="24"/>
          <w:szCs w:val="24"/>
        </w:rPr>
        <w:t>W art. 119zr § </w:t>
      </w:r>
      <w:r w:rsidR="009115BE" w:rsidRPr="00F27DDF">
        <w:rPr>
          <w:rFonts w:ascii="Times New Roman" w:hAnsi="Times New Roman" w:cs="Times New Roman"/>
          <w:sz w:val="24"/>
          <w:szCs w:val="24"/>
        </w:rPr>
        <w:t xml:space="preserve">2 pkt 4 i 5 Ordynacji podatkowej doprecyzowano także zakres przekazywanych informacji oraz wskazano, że będą przekazywane, jeśli są dostępne. </w:t>
      </w:r>
      <w:r w:rsidR="00AB11F1" w:rsidRPr="00F27DDF">
        <w:rPr>
          <w:rFonts w:ascii="Times New Roman" w:hAnsi="Times New Roman" w:cs="Times New Roman"/>
          <w:sz w:val="24"/>
          <w:szCs w:val="24"/>
        </w:rPr>
        <w:t xml:space="preserve">Zmiana trybu przekazywania tych informacji powoduje, że </w:t>
      </w:r>
      <w:r w:rsidR="00AB11F1" w:rsidRPr="00F27DDF">
        <w:rPr>
          <w:rFonts w:ascii="Times New Roman" w:hAnsi="Times New Roman" w:cs="Times New Roman"/>
          <w:b/>
          <w:sz w:val="24"/>
          <w:szCs w:val="24"/>
        </w:rPr>
        <w:t xml:space="preserve">uchyleniu podlegają </w:t>
      </w:r>
      <w:r w:rsidR="00820DCF">
        <w:rPr>
          <w:rFonts w:ascii="Times New Roman" w:hAnsi="Times New Roman" w:cs="Times New Roman"/>
          <w:b/>
          <w:sz w:val="24"/>
          <w:szCs w:val="24"/>
        </w:rPr>
        <w:t xml:space="preserve">w </w:t>
      </w:r>
      <w:r w:rsidR="00AB11F1" w:rsidRPr="00F27DDF">
        <w:rPr>
          <w:rFonts w:ascii="Times New Roman" w:hAnsi="Times New Roman" w:cs="Times New Roman"/>
          <w:b/>
          <w:sz w:val="24"/>
          <w:szCs w:val="24"/>
        </w:rPr>
        <w:t>art. 119zs § 1 pkt</w:t>
      </w:r>
      <w:r w:rsidR="00820DCF">
        <w:rPr>
          <w:rFonts w:ascii="Times New Roman" w:hAnsi="Times New Roman" w:cs="Times New Roman"/>
          <w:b/>
          <w:sz w:val="24"/>
          <w:szCs w:val="24"/>
        </w:rPr>
        <w:t> </w:t>
      </w:r>
      <w:r w:rsidR="00AB11F1" w:rsidRPr="00F27DDF">
        <w:rPr>
          <w:rFonts w:ascii="Times New Roman" w:hAnsi="Times New Roman" w:cs="Times New Roman"/>
          <w:b/>
          <w:sz w:val="24"/>
          <w:szCs w:val="24"/>
        </w:rPr>
        <w:t>2 i 3 Ordynacji podatkowej</w:t>
      </w:r>
      <w:r w:rsidR="00AB11F1" w:rsidRPr="00F27DDF">
        <w:rPr>
          <w:rFonts w:ascii="Times New Roman" w:hAnsi="Times New Roman" w:cs="Times New Roman"/>
          <w:sz w:val="24"/>
          <w:szCs w:val="24"/>
        </w:rPr>
        <w:t>.</w:t>
      </w:r>
    </w:p>
    <w:p w:rsidR="005C3F1F" w:rsidRPr="00F27DDF" w:rsidRDefault="00BD74B3"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Ad d)</w:t>
      </w:r>
      <w:r w:rsidR="00360939" w:rsidRPr="00F27DDF">
        <w:rPr>
          <w:rFonts w:ascii="Times New Roman" w:hAnsi="Times New Roman" w:cs="Times New Roman"/>
          <w:sz w:val="24"/>
          <w:szCs w:val="24"/>
        </w:rPr>
        <w:t xml:space="preserve"> </w:t>
      </w:r>
      <w:r w:rsidR="00995C6F" w:rsidRPr="00F27DDF">
        <w:rPr>
          <w:rFonts w:ascii="Times New Roman" w:hAnsi="Times New Roman" w:cs="Times New Roman"/>
          <w:sz w:val="24"/>
          <w:szCs w:val="24"/>
        </w:rPr>
        <w:t xml:space="preserve">Rachunek VAT będzie prowadzony dla rachunku rozliczeniowego oraz dla członka spółdzielczej kasy oszczędnościowo-kredytowej, który posiada w kasie imienny rachunek otwarty w związku z prowadzoną przez niego działalnością gospodarczą. </w:t>
      </w:r>
      <w:r w:rsidR="00995C6F" w:rsidRPr="00F27DDF">
        <w:rPr>
          <w:rFonts w:ascii="Times New Roman" w:hAnsi="Times New Roman" w:cs="Times New Roman"/>
          <w:sz w:val="24"/>
          <w:szCs w:val="24"/>
        </w:rPr>
        <w:lastRenderedPageBreak/>
        <w:t>Uznanie i obciążenie rachunku VAT będzie dokonywane odpowiednio przez obciążenie</w:t>
      </w:r>
      <w:r w:rsidR="00F27DDF">
        <w:rPr>
          <w:rFonts w:ascii="Times New Roman" w:hAnsi="Times New Roman" w:cs="Times New Roman"/>
          <w:sz w:val="24"/>
          <w:szCs w:val="24"/>
        </w:rPr>
        <w:t xml:space="preserve"> </w:t>
      </w:r>
      <w:r w:rsidR="00995C6F" w:rsidRPr="00F27DDF">
        <w:rPr>
          <w:rFonts w:ascii="Times New Roman" w:hAnsi="Times New Roman" w:cs="Times New Roman"/>
          <w:sz w:val="24"/>
          <w:szCs w:val="24"/>
        </w:rPr>
        <w:t>albo</w:t>
      </w:r>
      <w:r w:rsidR="00F27DDF">
        <w:rPr>
          <w:rFonts w:ascii="Times New Roman" w:hAnsi="Times New Roman" w:cs="Times New Roman"/>
          <w:sz w:val="24"/>
          <w:szCs w:val="24"/>
        </w:rPr>
        <w:t xml:space="preserve"> </w:t>
      </w:r>
      <w:r w:rsidR="00995C6F" w:rsidRPr="00F27DDF">
        <w:rPr>
          <w:rFonts w:ascii="Times New Roman" w:hAnsi="Times New Roman" w:cs="Times New Roman"/>
          <w:sz w:val="24"/>
          <w:szCs w:val="24"/>
        </w:rPr>
        <w:t>uznanie</w:t>
      </w:r>
      <w:r w:rsidR="00F27DDF">
        <w:rPr>
          <w:rFonts w:ascii="Times New Roman" w:hAnsi="Times New Roman" w:cs="Times New Roman"/>
          <w:sz w:val="24"/>
          <w:szCs w:val="24"/>
        </w:rPr>
        <w:t xml:space="preserve"> </w:t>
      </w:r>
      <w:r w:rsidR="00995C6F" w:rsidRPr="00F27DDF">
        <w:rPr>
          <w:rFonts w:ascii="Times New Roman" w:hAnsi="Times New Roman" w:cs="Times New Roman"/>
          <w:sz w:val="24"/>
          <w:szCs w:val="24"/>
        </w:rPr>
        <w:t>rachunku</w:t>
      </w:r>
      <w:r w:rsidR="00F27DDF">
        <w:rPr>
          <w:rFonts w:ascii="Times New Roman" w:hAnsi="Times New Roman" w:cs="Times New Roman"/>
          <w:sz w:val="24"/>
          <w:szCs w:val="24"/>
        </w:rPr>
        <w:t xml:space="preserve"> </w:t>
      </w:r>
      <w:r w:rsidR="00995C6F" w:rsidRPr="00F27DDF">
        <w:rPr>
          <w:rFonts w:ascii="Times New Roman" w:hAnsi="Times New Roman" w:cs="Times New Roman"/>
          <w:sz w:val="24"/>
          <w:szCs w:val="24"/>
        </w:rPr>
        <w:t>rozliczeniowego</w:t>
      </w:r>
      <w:r w:rsidR="00F27DDF">
        <w:rPr>
          <w:rFonts w:ascii="Times New Roman" w:hAnsi="Times New Roman" w:cs="Times New Roman"/>
          <w:sz w:val="24"/>
          <w:szCs w:val="24"/>
        </w:rPr>
        <w:t xml:space="preserve"> </w:t>
      </w:r>
      <w:r w:rsidR="00995C6F" w:rsidRPr="00F27DDF">
        <w:rPr>
          <w:rFonts w:ascii="Times New Roman" w:hAnsi="Times New Roman" w:cs="Times New Roman"/>
          <w:sz w:val="24"/>
          <w:szCs w:val="24"/>
        </w:rPr>
        <w:t>posiadacza</w:t>
      </w:r>
      <w:r w:rsidR="00F27DDF">
        <w:rPr>
          <w:rFonts w:ascii="Times New Roman" w:hAnsi="Times New Roman" w:cs="Times New Roman"/>
          <w:sz w:val="24"/>
          <w:szCs w:val="24"/>
        </w:rPr>
        <w:t xml:space="preserve"> </w:t>
      </w:r>
      <w:r w:rsidR="00995C6F" w:rsidRPr="00F27DDF">
        <w:rPr>
          <w:rFonts w:ascii="Times New Roman" w:hAnsi="Times New Roman" w:cs="Times New Roman"/>
          <w:sz w:val="24"/>
          <w:szCs w:val="24"/>
        </w:rPr>
        <w:t>rachunku</w:t>
      </w:r>
      <w:r w:rsidR="00F27DDF">
        <w:rPr>
          <w:rFonts w:ascii="Times New Roman" w:hAnsi="Times New Roman" w:cs="Times New Roman"/>
          <w:sz w:val="24"/>
          <w:szCs w:val="24"/>
        </w:rPr>
        <w:t xml:space="preserve"> </w:t>
      </w:r>
      <w:r w:rsidR="00995C6F" w:rsidRPr="00F27DDF">
        <w:rPr>
          <w:rFonts w:ascii="Times New Roman" w:hAnsi="Times New Roman" w:cs="Times New Roman"/>
          <w:sz w:val="24"/>
          <w:szCs w:val="24"/>
        </w:rPr>
        <w:t xml:space="preserve">VAT prowadzonego w tym samym banku lub rachunku w SKOK-u. </w:t>
      </w:r>
      <w:r w:rsidR="00360939" w:rsidRPr="00F27DDF">
        <w:rPr>
          <w:rFonts w:ascii="Times New Roman" w:hAnsi="Times New Roman" w:cs="Times New Roman"/>
          <w:sz w:val="24"/>
          <w:szCs w:val="24"/>
        </w:rPr>
        <w:t>Przekazywanie przez banki (SKOK-i) informacji o powiązaniu rachu</w:t>
      </w:r>
      <w:r w:rsidR="0073615D">
        <w:rPr>
          <w:rFonts w:ascii="Times New Roman" w:hAnsi="Times New Roman" w:cs="Times New Roman"/>
          <w:sz w:val="24"/>
          <w:szCs w:val="24"/>
        </w:rPr>
        <w:t>nku rozliczeniowego (rachunku w </w:t>
      </w:r>
      <w:r w:rsidR="00360939" w:rsidRPr="00F27DDF">
        <w:rPr>
          <w:rFonts w:ascii="Times New Roman" w:hAnsi="Times New Roman" w:cs="Times New Roman"/>
          <w:sz w:val="24"/>
          <w:szCs w:val="24"/>
        </w:rPr>
        <w:t>SKOK-u) z rachunkiem VAT ma na celu umożliwienie prawidłowej i niezwłocznej identyfikacji tych rachunków, co jest niezbędnym elementem efektywności prowadzonych analiz finansowych.</w:t>
      </w:r>
    </w:p>
    <w:p w:rsidR="00230A76" w:rsidRPr="00F27DDF" w:rsidRDefault="00BD74B3"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Ad </w:t>
      </w:r>
      <w:r w:rsidR="00DF17EB" w:rsidRPr="00F27DDF">
        <w:rPr>
          <w:rFonts w:ascii="Times New Roman" w:hAnsi="Times New Roman" w:cs="Times New Roman"/>
          <w:sz w:val="24"/>
          <w:szCs w:val="24"/>
        </w:rPr>
        <w:t>g</w:t>
      </w:r>
      <w:r w:rsidRP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Rachunki wirtualne dedykowane są bene</w:t>
      </w:r>
      <w:r w:rsidR="0073615D">
        <w:rPr>
          <w:rFonts w:ascii="Times New Roman" w:hAnsi="Times New Roman" w:cs="Times New Roman"/>
          <w:sz w:val="24"/>
          <w:szCs w:val="24"/>
        </w:rPr>
        <w:t>ficjentom płatności masowych, w </w:t>
      </w:r>
      <w:r w:rsidR="00AB11F1" w:rsidRPr="00F27DDF">
        <w:rPr>
          <w:rFonts w:ascii="Times New Roman" w:hAnsi="Times New Roman" w:cs="Times New Roman"/>
          <w:sz w:val="24"/>
          <w:szCs w:val="24"/>
        </w:rPr>
        <w:t>szczególności w branżach, które ze względu na specyfikę swojej działalności otrzymują dużą ilość płatności</w:t>
      </w:r>
      <w:r w:rsidR="0020646F">
        <w:rPr>
          <w:rFonts w:ascii="Times New Roman" w:hAnsi="Times New Roman" w:cs="Times New Roman"/>
          <w:sz w:val="24"/>
          <w:szCs w:val="24"/>
        </w:rPr>
        <w:t>,</w:t>
      </w:r>
      <w:r w:rsidR="00AB11F1" w:rsidRPr="00F27DDF">
        <w:rPr>
          <w:rFonts w:ascii="Times New Roman" w:hAnsi="Times New Roman" w:cs="Times New Roman"/>
          <w:sz w:val="24"/>
          <w:szCs w:val="24"/>
        </w:rPr>
        <w:t xml:space="preserve"> np. bran</w:t>
      </w:r>
      <w:r w:rsidR="0073615D">
        <w:rPr>
          <w:rFonts w:ascii="Times New Roman" w:hAnsi="Times New Roman" w:cs="Times New Roman"/>
          <w:sz w:val="24"/>
          <w:szCs w:val="24"/>
        </w:rPr>
        <w:t>ży energetycznej, gazowniczej i </w:t>
      </w:r>
      <w:r w:rsidR="00AB11F1" w:rsidRPr="00F27DDF">
        <w:rPr>
          <w:rFonts w:ascii="Times New Roman" w:hAnsi="Times New Roman" w:cs="Times New Roman"/>
          <w:sz w:val="24"/>
          <w:szCs w:val="24"/>
        </w:rPr>
        <w:t>telekomunikacyjnej. Usługa ta umożliwia sprawne zarządzanie płatnościami dłużników wpływającymi na ra</w:t>
      </w:r>
      <w:r w:rsidR="0020646F">
        <w:rPr>
          <w:rFonts w:ascii="Times New Roman" w:hAnsi="Times New Roman" w:cs="Times New Roman"/>
          <w:sz w:val="24"/>
          <w:szCs w:val="24"/>
        </w:rPr>
        <w:t>chunek klienta banku lub SKOK-u</w:t>
      </w:r>
      <w:r w:rsidR="00AB11F1" w:rsidRPr="00F27DDF">
        <w:rPr>
          <w:rFonts w:ascii="Times New Roman" w:hAnsi="Times New Roman" w:cs="Times New Roman"/>
          <w:sz w:val="24"/>
          <w:szCs w:val="24"/>
        </w:rPr>
        <w:t xml:space="preserve"> poprzez ich automatyczną identyfikację oraz szybkie przetwarzanie. W praktyce usługa rachunku wirtualnego jest powszechnie dostępna i potencjalnie może być wykorzystywana przez podmioty dokonujące wyłudzeń skarbowych. Zmiana w zakresie dotyczącym numerów rachunków wirtualnych, polegająca na dodaniu </w:t>
      </w:r>
      <w:r w:rsidR="00AB11F1" w:rsidRPr="00F27DDF">
        <w:rPr>
          <w:rFonts w:ascii="Times New Roman" w:hAnsi="Times New Roman" w:cs="Times New Roman"/>
          <w:b/>
          <w:sz w:val="24"/>
          <w:szCs w:val="24"/>
        </w:rPr>
        <w:t>pkt 7 w art. 119zr § 3 Ordynacji podatkowej</w:t>
      </w:r>
      <w:r w:rsidR="00AB11F1" w:rsidRPr="00F27DDF">
        <w:rPr>
          <w:rFonts w:ascii="Times New Roman" w:hAnsi="Times New Roman" w:cs="Times New Roman"/>
          <w:sz w:val="24"/>
          <w:szCs w:val="24"/>
        </w:rPr>
        <w:t>, ma charakter doprecyzowujący – już na gruncie obowiązującej ustawy zasadna jest interpretacja, zgodnie z którą izba rozliczeniowa jest uprawniona do uzyskiwania danych o rachunkach wirtualnych w ramach zestawień transakcji. Doprecyzowanie ustawy jest jednakże celowe, tak aby kwestia ta nie budziła wątpliwości.</w:t>
      </w:r>
    </w:p>
    <w:p w:rsidR="006436C4" w:rsidRPr="00F27DDF" w:rsidRDefault="006436C4" w:rsidP="00F27DDF">
      <w:pPr>
        <w:spacing w:before="120" w:after="0" w:line="360" w:lineRule="auto"/>
        <w:jc w:val="both"/>
        <w:rPr>
          <w:rFonts w:ascii="Times New Roman" w:hAnsi="Times New Roman" w:cs="Times New Roman"/>
          <w:b/>
          <w:sz w:val="24"/>
          <w:szCs w:val="24"/>
        </w:rPr>
      </w:pPr>
      <w:r w:rsidRPr="00F27DDF">
        <w:rPr>
          <w:rFonts w:ascii="Times New Roman" w:hAnsi="Times New Roman" w:cs="Times New Roman"/>
          <w:sz w:val="24"/>
          <w:szCs w:val="24"/>
        </w:rPr>
        <w:t>Ad h) Zmiana w art. 119zr § 1 pkt 3 Ordynacji podatkowej związana jest z objęciem definicją rachunku podmiotu kwalifikowanego takż</w:t>
      </w:r>
      <w:r w:rsidR="0073615D">
        <w:rPr>
          <w:rFonts w:ascii="Times New Roman" w:hAnsi="Times New Roman" w:cs="Times New Roman"/>
          <w:sz w:val="24"/>
          <w:szCs w:val="24"/>
        </w:rPr>
        <w:t>e rachunku lokaty terminowej. W </w:t>
      </w:r>
      <w:r w:rsidRPr="00F27DDF">
        <w:rPr>
          <w:rFonts w:ascii="Times New Roman" w:hAnsi="Times New Roman" w:cs="Times New Roman"/>
          <w:sz w:val="24"/>
          <w:szCs w:val="24"/>
        </w:rPr>
        <w:t>takim przypadku konieczne było uwzględnienie w zakresie przesyłanych danych tych, które są charakterystyczne dla rachunku lokaty terminowej</w:t>
      </w:r>
      <w:r w:rsidR="002331A8" w:rsidRPr="00F27DDF">
        <w:rPr>
          <w:rFonts w:ascii="Times New Roman" w:hAnsi="Times New Roman" w:cs="Times New Roman"/>
          <w:sz w:val="24"/>
          <w:szCs w:val="24"/>
        </w:rPr>
        <w:t>. W szczególności nie wszystkie instytucje finansowe prowadzące lok</w:t>
      </w:r>
      <w:r w:rsidR="0073615D">
        <w:rPr>
          <w:rFonts w:ascii="Times New Roman" w:hAnsi="Times New Roman" w:cs="Times New Roman"/>
          <w:sz w:val="24"/>
          <w:szCs w:val="24"/>
        </w:rPr>
        <w:t>aty terminowe nadają im numer w </w:t>
      </w:r>
      <w:r w:rsidR="002331A8" w:rsidRPr="00F27DDF">
        <w:rPr>
          <w:rFonts w:ascii="Times New Roman" w:hAnsi="Times New Roman" w:cs="Times New Roman"/>
          <w:sz w:val="24"/>
          <w:szCs w:val="24"/>
        </w:rPr>
        <w:t xml:space="preserve">formacie </w:t>
      </w:r>
      <w:r w:rsidR="00DC684A">
        <w:rPr>
          <w:rFonts w:ascii="Times New Roman" w:hAnsi="Times New Roman" w:cs="Times New Roman"/>
          <w:sz w:val="24"/>
          <w:szCs w:val="24"/>
        </w:rPr>
        <w:t>Numeru Rachunku Bankowego</w:t>
      </w:r>
      <w:r w:rsidR="002331A8" w:rsidRPr="00F27DDF">
        <w:rPr>
          <w:rFonts w:ascii="Times New Roman" w:hAnsi="Times New Roman" w:cs="Times New Roman"/>
          <w:sz w:val="24"/>
          <w:szCs w:val="24"/>
        </w:rPr>
        <w:t>, a zatem niezbędne jest umożliwienie przekazania innego nadanego numeru. Istotną informacją dotyczącą rachunku lokaty terminowej jest data zakończenia okresu, na jaki umowa lokaty terminowej została zawarta, dlatego zakres danych został uzupełniony także o tę kwestię.</w:t>
      </w:r>
    </w:p>
    <w:p w:rsidR="005C3F1F" w:rsidRPr="00F27DDF" w:rsidRDefault="0073615D" w:rsidP="0073615D">
      <w:pPr>
        <w:spacing w:before="120" w:after="0" w:line="360" w:lineRule="auto"/>
        <w:ind w:left="322" w:hanging="322"/>
        <w:jc w:val="both"/>
        <w:rPr>
          <w:rFonts w:ascii="Times New Roman" w:hAnsi="Times New Roman" w:cs="Times New Roman"/>
          <w:b/>
          <w:sz w:val="24"/>
          <w:szCs w:val="24"/>
        </w:rPr>
      </w:pPr>
      <w:r>
        <w:rPr>
          <w:rFonts w:ascii="Times New Roman" w:hAnsi="Times New Roman" w:cs="Times New Roman"/>
          <w:b/>
          <w:sz w:val="24"/>
          <w:szCs w:val="24"/>
        </w:rPr>
        <w:t>7)</w:t>
      </w:r>
      <w:r>
        <w:rPr>
          <w:rFonts w:ascii="Times New Roman" w:hAnsi="Times New Roman" w:cs="Times New Roman"/>
          <w:b/>
          <w:sz w:val="24"/>
          <w:szCs w:val="24"/>
        </w:rPr>
        <w:tab/>
      </w:r>
      <w:r w:rsidR="00AB11F1" w:rsidRPr="00F27DDF">
        <w:rPr>
          <w:rFonts w:ascii="Times New Roman" w:hAnsi="Times New Roman" w:cs="Times New Roman"/>
          <w:b/>
          <w:sz w:val="24"/>
          <w:szCs w:val="24"/>
        </w:rPr>
        <w:t>Zmiany doprecyzowujące przepisy o przedłużeniu blokady rachunku podmiotu kwalifikowanemu</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lastRenderedPageBreak/>
        <w:t xml:space="preserve">Zmiany w art. 119zw Ordynacji podatkowej mają charakter uściślający ramy stosowania przepisów o przedłużeniu blokady rachunku podmiotu kwalifikowanego na czas oznaczony, nie dłuższy niż 3 miesiące.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W </w:t>
      </w:r>
      <w:r w:rsidRPr="00F27DDF">
        <w:rPr>
          <w:rFonts w:ascii="Times New Roman" w:hAnsi="Times New Roman" w:cs="Times New Roman"/>
          <w:b/>
          <w:sz w:val="24"/>
          <w:szCs w:val="24"/>
        </w:rPr>
        <w:t>art. 119zw § 4 Ordynacji podatkowej</w:t>
      </w:r>
      <w:r w:rsidRPr="00F27DDF">
        <w:rPr>
          <w:rFonts w:ascii="Times New Roman" w:hAnsi="Times New Roman" w:cs="Times New Roman"/>
          <w:sz w:val="24"/>
          <w:szCs w:val="24"/>
        </w:rPr>
        <w:t xml:space="preserve"> </w:t>
      </w:r>
      <w:r w:rsidRPr="00F27DDF">
        <w:rPr>
          <w:rFonts w:ascii="Times New Roman" w:hAnsi="Times New Roman" w:cs="Times New Roman"/>
          <w:b/>
          <w:sz w:val="24"/>
          <w:szCs w:val="24"/>
        </w:rPr>
        <w:t>dodane zostało zdanie drugie</w:t>
      </w:r>
      <w:r w:rsidR="00013847" w:rsidRPr="00F27DDF">
        <w:rPr>
          <w:rFonts w:ascii="Times New Roman" w:hAnsi="Times New Roman" w:cs="Times New Roman"/>
          <w:b/>
          <w:sz w:val="24"/>
          <w:szCs w:val="24"/>
        </w:rPr>
        <w:t xml:space="preserve"> </w:t>
      </w:r>
      <w:r w:rsidR="00013847" w:rsidRPr="00F27DDF">
        <w:rPr>
          <w:rFonts w:ascii="Times New Roman" w:hAnsi="Times New Roman" w:cs="Times New Roman"/>
          <w:sz w:val="24"/>
          <w:szCs w:val="24"/>
        </w:rPr>
        <w:t>s</w:t>
      </w:r>
      <w:r w:rsidRPr="00F27DDF">
        <w:rPr>
          <w:rFonts w:ascii="Times New Roman" w:hAnsi="Times New Roman" w:cs="Times New Roman"/>
          <w:sz w:val="24"/>
          <w:szCs w:val="24"/>
        </w:rPr>
        <w:t>tanowi</w:t>
      </w:r>
      <w:r w:rsidR="00013847" w:rsidRPr="00F27DDF">
        <w:rPr>
          <w:rFonts w:ascii="Times New Roman" w:hAnsi="Times New Roman" w:cs="Times New Roman"/>
          <w:sz w:val="24"/>
          <w:szCs w:val="24"/>
        </w:rPr>
        <w:t>ące</w:t>
      </w:r>
      <w:r w:rsidRPr="00F27DDF">
        <w:rPr>
          <w:rFonts w:ascii="Times New Roman" w:hAnsi="Times New Roman" w:cs="Times New Roman"/>
          <w:sz w:val="24"/>
          <w:szCs w:val="24"/>
        </w:rPr>
        <w:t xml:space="preserve"> </w:t>
      </w:r>
      <w:r w:rsidR="00013847" w:rsidRPr="00F27DDF">
        <w:rPr>
          <w:rFonts w:ascii="Times New Roman" w:hAnsi="Times New Roman" w:cs="Times New Roman"/>
          <w:b/>
          <w:sz w:val="24"/>
          <w:szCs w:val="24"/>
        </w:rPr>
        <w:t>o</w:t>
      </w:r>
      <w:r w:rsidR="0073615D">
        <w:rPr>
          <w:rFonts w:ascii="Times New Roman" w:hAnsi="Times New Roman" w:cs="Times New Roman"/>
          <w:b/>
          <w:sz w:val="24"/>
          <w:szCs w:val="24"/>
        </w:rPr>
        <w:t> </w:t>
      </w:r>
      <w:r w:rsidRPr="00F27DDF">
        <w:rPr>
          <w:rFonts w:ascii="Times New Roman" w:hAnsi="Times New Roman" w:cs="Times New Roman"/>
          <w:b/>
          <w:sz w:val="24"/>
          <w:szCs w:val="24"/>
        </w:rPr>
        <w:t>odpowiednim stosowaniu art. 119zv § 4</w:t>
      </w:r>
      <w:r w:rsidR="00F27DDF">
        <w:rPr>
          <w:rFonts w:ascii="Times New Roman" w:hAnsi="Times New Roman" w:cs="Times New Roman"/>
          <w:b/>
          <w:sz w:val="24"/>
          <w:szCs w:val="24"/>
        </w:rPr>
        <w:t>–</w:t>
      </w:r>
      <w:r w:rsidRPr="00F27DDF">
        <w:rPr>
          <w:rFonts w:ascii="Times New Roman" w:hAnsi="Times New Roman" w:cs="Times New Roman"/>
          <w:b/>
          <w:sz w:val="24"/>
          <w:szCs w:val="24"/>
        </w:rPr>
        <w:t>5 Ordynacji podatkowej</w:t>
      </w:r>
      <w:r w:rsidRPr="00F27DDF">
        <w:rPr>
          <w:rFonts w:ascii="Times New Roman" w:hAnsi="Times New Roman" w:cs="Times New Roman"/>
          <w:sz w:val="24"/>
          <w:szCs w:val="24"/>
        </w:rPr>
        <w:t>. Informowanie przez banki i SKOK-i Szefa KAS o wykonaniu jego żądania przedłużenia blokady rachunku lub o przedłużeniu blokady następuje na zasadach określonych w art. 119zv §</w:t>
      </w:r>
      <w:r w:rsidR="00534DD3">
        <w:rPr>
          <w:rFonts w:ascii="Times New Roman" w:hAnsi="Times New Roman" w:cs="Times New Roman"/>
          <w:sz w:val="24"/>
          <w:szCs w:val="24"/>
        </w:rPr>
        <w:t> </w:t>
      </w:r>
      <w:r w:rsidRPr="00F27DDF">
        <w:rPr>
          <w:rFonts w:ascii="Times New Roman" w:hAnsi="Times New Roman" w:cs="Times New Roman"/>
          <w:sz w:val="24"/>
          <w:szCs w:val="24"/>
        </w:rPr>
        <w:t xml:space="preserve">4 Ordynacji podatkowej. </w:t>
      </w:r>
      <w:r w:rsidR="00013847" w:rsidRPr="00F27DDF">
        <w:rPr>
          <w:rFonts w:ascii="Times New Roman" w:hAnsi="Times New Roman" w:cs="Times New Roman"/>
          <w:sz w:val="24"/>
          <w:szCs w:val="24"/>
        </w:rPr>
        <w:t>Mają także odpowiednie zastos</w:t>
      </w:r>
      <w:r w:rsidR="00F27DDF">
        <w:rPr>
          <w:rFonts w:ascii="Times New Roman" w:hAnsi="Times New Roman" w:cs="Times New Roman"/>
          <w:sz w:val="24"/>
          <w:szCs w:val="24"/>
        </w:rPr>
        <w:t>owanie przepisy art. 119zv §</w:t>
      </w:r>
      <w:r w:rsidR="00534DD3">
        <w:rPr>
          <w:rFonts w:ascii="Times New Roman" w:hAnsi="Times New Roman" w:cs="Times New Roman"/>
          <w:sz w:val="24"/>
          <w:szCs w:val="24"/>
        </w:rPr>
        <w:t> </w:t>
      </w:r>
      <w:r w:rsidR="00F27DDF">
        <w:rPr>
          <w:rFonts w:ascii="Times New Roman" w:hAnsi="Times New Roman" w:cs="Times New Roman"/>
          <w:sz w:val="24"/>
          <w:szCs w:val="24"/>
        </w:rPr>
        <w:t>4a–</w:t>
      </w:r>
      <w:r w:rsidR="00013847" w:rsidRPr="00F27DDF">
        <w:rPr>
          <w:rFonts w:ascii="Times New Roman" w:hAnsi="Times New Roman" w:cs="Times New Roman"/>
          <w:sz w:val="24"/>
          <w:szCs w:val="24"/>
        </w:rPr>
        <w:t xml:space="preserve">4d Ordynacji podatkowej. </w:t>
      </w:r>
      <w:r w:rsidRPr="00F27DDF">
        <w:rPr>
          <w:rFonts w:ascii="Times New Roman" w:hAnsi="Times New Roman" w:cs="Times New Roman"/>
          <w:sz w:val="24"/>
          <w:szCs w:val="24"/>
        </w:rPr>
        <w:t xml:space="preserve">Przedłużenie blokady rachunku podmiotu kwalifikowanego jest skuteczne również w odniesieniu do rachunku podmiotu kwalifikowanego, którego podmiot kwalifikowany jest współposiadaczem (odpowiednie stosowanie art. 119zv § 5 Ordynacji podatkowej). Takie rozwiązanie jest niezbędne, aby zapobiec ewentualnemu transferowi środków przez współposiadacza rachunku, wobec którego nie stosuje się przepisów o przedłużeniu blokady.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b/>
          <w:sz w:val="24"/>
          <w:szCs w:val="24"/>
        </w:rPr>
        <w:t>Dodany § 4a w art. 119zw Ordynacji podatkowej</w:t>
      </w:r>
      <w:r w:rsidRPr="00F27DDF">
        <w:rPr>
          <w:rFonts w:ascii="Times New Roman" w:hAnsi="Times New Roman" w:cs="Times New Roman"/>
          <w:sz w:val="24"/>
          <w:szCs w:val="24"/>
        </w:rPr>
        <w:t xml:space="preserve"> precyzuje, że Szef KAS</w:t>
      </w:r>
      <w:r w:rsidR="0020646F">
        <w:rPr>
          <w:rFonts w:ascii="Times New Roman" w:hAnsi="Times New Roman" w:cs="Times New Roman"/>
          <w:sz w:val="24"/>
          <w:szCs w:val="24"/>
        </w:rPr>
        <w:t>,</w:t>
      </w:r>
      <w:r w:rsidRPr="00F27DDF">
        <w:rPr>
          <w:rFonts w:ascii="Times New Roman" w:hAnsi="Times New Roman" w:cs="Times New Roman"/>
          <w:sz w:val="24"/>
          <w:szCs w:val="24"/>
        </w:rPr>
        <w:t xml:space="preserve"> niezwłocznie po otrzymaniu z banku lub spó</w:t>
      </w:r>
      <w:r w:rsidR="0020646F">
        <w:rPr>
          <w:rFonts w:ascii="Times New Roman" w:hAnsi="Times New Roman" w:cs="Times New Roman"/>
          <w:sz w:val="24"/>
          <w:szCs w:val="24"/>
        </w:rPr>
        <w:t>łdzielczej kasy oszczędnościowo</w:t>
      </w:r>
      <w:r w:rsidR="0020646F">
        <w:rPr>
          <w:rFonts w:ascii="Times New Roman" w:hAnsi="Times New Roman" w:cs="Times New Roman"/>
          <w:sz w:val="24"/>
          <w:szCs w:val="24"/>
        </w:rPr>
        <w:noBreakHyphen/>
      </w:r>
      <w:r w:rsidRPr="00F27DDF">
        <w:rPr>
          <w:rFonts w:ascii="Times New Roman" w:hAnsi="Times New Roman" w:cs="Times New Roman"/>
          <w:sz w:val="24"/>
          <w:szCs w:val="24"/>
        </w:rPr>
        <w:t xml:space="preserve">kredytowej informacji o przedłużeniu blokady rachunku podmiotu kwalifikowanego, </w:t>
      </w:r>
      <w:r w:rsidR="00013847" w:rsidRPr="00F27DDF">
        <w:rPr>
          <w:rFonts w:ascii="Times New Roman" w:hAnsi="Times New Roman" w:cs="Times New Roman"/>
          <w:sz w:val="24"/>
          <w:szCs w:val="24"/>
        </w:rPr>
        <w:t>przekazuje</w:t>
      </w:r>
      <w:r w:rsidRPr="00F27DDF">
        <w:rPr>
          <w:rFonts w:ascii="Times New Roman" w:hAnsi="Times New Roman" w:cs="Times New Roman"/>
          <w:sz w:val="24"/>
          <w:szCs w:val="24"/>
        </w:rPr>
        <w:t xml:space="preserve"> podmiotowi </w:t>
      </w:r>
      <w:r w:rsidR="0073615D">
        <w:rPr>
          <w:rFonts w:ascii="Times New Roman" w:hAnsi="Times New Roman" w:cs="Times New Roman"/>
          <w:sz w:val="24"/>
          <w:szCs w:val="24"/>
        </w:rPr>
        <w:t>kwalifikowanemu postanowienie o</w:t>
      </w:r>
      <w:r w:rsidR="00606045">
        <w:rPr>
          <w:rFonts w:ascii="Times New Roman" w:hAnsi="Times New Roman" w:cs="Times New Roman"/>
          <w:sz w:val="24"/>
          <w:szCs w:val="24"/>
        </w:rPr>
        <w:t> </w:t>
      </w:r>
      <w:r w:rsidRPr="00F27DDF">
        <w:rPr>
          <w:rFonts w:ascii="Times New Roman" w:hAnsi="Times New Roman" w:cs="Times New Roman"/>
          <w:sz w:val="24"/>
          <w:szCs w:val="24"/>
        </w:rPr>
        <w:t>przedłużeniu blokady tego rachunku oraz informację o dacie i godzinie przekazania bankowi lub spółdzielczej kasie oszczędnościowo-kredytowej żądania przedłużenia terminu blokady rachunku podmiotu kwalifikowanego. Ta ostatnia informacja nie może bowiem być zawarta w postanowieniu Szefa KAS. Informacja o dacie i</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godzinie przekazania żądania przedłużenia terminu blokady rachunku podmiotu kwalifikowanego jest dla banku (SKOK-u) istotna, ponieważ umożliwia ustalenie</w:t>
      </w:r>
      <w:r w:rsidR="00534DD3">
        <w:rPr>
          <w:rFonts w:ascii="Times New Roman" w:hAnsi="Times New Roman" w:cs="Times New Roman"/>
          <w:sz w:val="24"/>
          <w:szCs w:val="24"/>
        </w:rPr>
        <w:t>,</w:t>
      </w:r>
      <w:r w:rsidRPr="00F27DDF">
        <w:rPr>
          <w:rFonts w:ascii="Times New Roman" w:hAnsi="Times New Roman" w:cs="Times New Roman"/>
          <w:sz w:val="24"/>
          <w:szCs w:val="24"/>
        </w:rPr>
        <w:t xml:space="preserve"> czy żądanie zostało przekazane zgodnie z art. 119zw § 4 Ordynacji podatkowej</w:t>
      </w:r>
      <w:r w:rsidR="00534DD3">
        <w:rPr>
          <w:rFonts w:ascii="Times New Roman" w:hAnsi="Times New Roman" w:cs="Times New Roman"/>
          <w:sz w:val="24"/>
          <w:szCs w:val="24"/>
        </w:rPr>
        <w:t>,</w:t>
      </w:r>
      <w:r w:rsidR="00606045">
        <w:rPr>
          <w:rFonts w:ascii="Times New Roman" w:hAnsi="Times New Roman" w:cs="Times New Roman"/>
          <w:sz w:val="24"/>
          <w:szCs w:val="24"/>
        </w:rPr>
        <w:t xml:space="preserve"> tj. w </w:t>
      </w:r>
      <w:r w:rsidRPr="00F27DDF">
        <w:rPr>
          <w:rFonts w:ascii="Times New Roman" w:hAnsi="Times New Roman" w:cs="Times New Roman"/>
          <w:sz w:val="24"/>
          <w:szCs w:val="24"/>
        </w:rPr>
        <w:t xml:space="preserve">okresie blokady rachunku podmiotu kwalifikowanego na 72 godziny.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Modyfikacja </w:t>
      </w:r>
      <w:r w:rsidRPr="00F27DDF">
        <w:rPr>
          <w:rFonts w:ascii="Times New Roman" w:hAnsi="Times New Roman" w:cs="Times New Roman"/>
          <w:b/>
          <w:sz w:val="24"/>
          <w:szCs w:val="24"/>
        </w:rPr>
        <w:t>art. 119zw § 6 Ordynacji podatkowej</w:t>
      </w:r>
      <w:r w:rsidRPr="00F27DDF">
        <w:rPr>
          <w:rFonts w:ascii="Times New Roman" w:hAnsi="Times New Roman" w:cs="Times New Roman"/>
          <w:sz w:val="24"/>
          <w:szCs w:val="24"/>
        </w:rPr>
        <w:t xml:space="preserve"> polega na sprecyzowaniu, że do postanowień o ograniczeniu zakresu blokady i o uchyleniu blokady mają odpowiednie zastosowanie przepisy:</w:t>
      </w:r>
    </w:p>
    <w:p w:rsidR="005C3F1F" w:rsidRPr="00F27DDF" w:rsidRDefault="0073615D" w:rsidP="0073615D">
      <w:pPr>
        <w:spacing w:after="0" w:line="360" w:lineRule="auto"/>
        <w:ind w:left="323" w:hanging="323"/>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AB11F1" w:rsidRPr="00F27DDF">
        <w:rPr>
          <w:rFonts w:ascii="Times New Roman" w:hAnsi="Times New Roman" w:cs="Times New Roman"/>
          <w:sz w:val="24"/>
          <w:szCs w:val="24"/>
        </w:rPr>
        <w:t xml:space="preserve">art. 119zw § 2, </w:t>
      </w:r>
      <w:r w:rsidR="00EF45A3" w:rsidRP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3 i </w:t>
      </w:r>
      <w:r w:rsidR="00EF45A3" w:rsidRP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4a Ordynacji podatkowej (§ 2 – elementy postanowienia, § 3 – przekazanie żądania przez Szefa KAS (pkt 1) i</w:t>
      </w:r>
      <w:r w:rsidR="00534DD3">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przekazanie przez Szefa KAS informacji o blokadzie innym organom (pkt 2), § 4a – </w:t>
      </w:r>
      <w:r w:rsidR="00013847" w:rsidRPr="00F27DDF">
        <w:rPr>
          <w:rFonts w:ascii="Times New Roman" w:hAnsi="Times New Roman" w:cs="Times New Roman"/>
          <w:sz w:val="24"/>
          <w:szCs w:val="24"/>
        </w:rPr>
        <w:t>przekaza</w:t>
      </w:r>
      <w:r w:rsidR="00AB11F1" w:rsidRPr="00F27DDF">
        <w:rPr>
          <w:rFonts w:ascii="Times New Roman" w:hAnsi="Times New Roman" w:cs="Times New Roman"/>
          <w:sz w:val="24"/>
          <w:szCs w:val="24"/>
        </w:rPr>
        <w:t xml:space="preserve">nie przez Szefa KAS </w:t>
      </w:r>
      <w:r w:rsidR="00AB11F1" w:rsidRPr="00F27DDF">
        <w:rPr>
          <w:rFonts w:ascii="Times New Roman" w:hAnsi="Times New Roman" w:cs="Times New Roman"/>
          <w:sz w:val="24"/>
          <w:szCs w:val="24"/>
        </w:rPr>
        <w:lastRenderedPageBreak/>
        <w:t>bankowi i SKOK-owi postanowienia o przedłużeniu blokady rachunku podmiotu kwalifikowanego oraz informacji o dacie i godzinie przekazania żądania przedłużenia terminu blokady tego rachunku),</w:t>
      </w:r>
    </w:p>
    <w:p w:rsidR="005C3F1F" w:rsidRPr="00F27DDF" w:rsidRDefault="0073615D" w:rsidP="0073615D">
      <w:pPr>
        <w:spacing w:after="0" w:line="360" w:lineRule="auto"/>
        <w:ind w:left="323" w:hanging="323"/>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F27DDF">
        <w:rPr>
          <w:rFonts w:ascii="Times New Roman" w:hAnsi="Times New Roman" w:cs="Times New Roman"/>
          <w:sz w:val="24"/>
          <w:szCs w:val="24"/>
        </w:rPr>
        <w:t>art. 119zv § 4–</w:t>
      </w:r>
      <w:r w:rsidR="00AB11F1" w:rsidRPr="00F27DDF">
        <w:rPr>
          <w:rFonts w:ascii="Times New Roman" w:hAnsi="Times New Roman" w:cs="Times New Roman"/>
          <w:sz w:val="24"/>
          <w:szCs w:val="24"/>
        </w:rPr>
        <w:t>5 Ordynacji podatkowej (§ 4 – informowanie przez bank lub SKOK Szefa KAS o wykonaniu jego żądania w sprawie blokady rachunku, § 4a – nieujawnianie przez bank lub SKOK podmiotowi kwalifikowanemu informacji</w:t>
      </w:r>
      <w:r w:rsidR="00606045">
        <w:rPr>
          <w:rFonts w:ascii="Times New Roman" w:hAnsi="Times New Roman" w:cs="Times New Roman"/>
          <w:sz w:val="24"/>
          <w:szCs w:val="24"/>
        </w:rPr>
        <w:t xml:space="preserve"> o </w:t>
      </w:r>
      <w:r w:rsidR="00AB11F1" w:rsidRPr="00F27DDF">
        <w:rPr>
          <w:rFonts w:ascii="Times New Roman" w:hAnsi="Times New Roman" w:cs="Times New Roman"/>
          <w:sz w:val="24"/>
          <w:szCs w:val="24"/>
        </w:rPr>
        <w:t>przekazani</w:t>
      </w:r>
      <w:r w:rsidR="00DF17EB" w:rsidRPr="00F27DDF">
        <w:rPr>
          <w:rFonts w:ascii="Times New Roman" w:hAnsi="Times New Roman" w:cs="Times New Roman"/>
          <w:sz w:val="24"/>
          <w:szCs w:val="24"/>
        </w:rPr>
        <w:t>u</w:t>
      </w:r>
      <w:r w:rsidR="00AB11F1" w:rsidRPr="00F27DDF">
        <w:rPr>
          <w:rFonts w:ascii="Times New Roman" w:hAnsi="Times New Roman" w:cs="Times New Roman"/>
          <w:sz w:val="24"/>
          <w:szCs w:val="24"/>
        </w:rPr>
        <w:t xml:space="preserve"> żądania lub dokonani</w:t>
      </w:r>
      <w:r w:rsidR="00DF17EB" w:rsidRPr="00F27DDF">
        <w:rPr>
          <w:rFonts w:ascii="Times New Roman" w:hAnsi="Times New Roman" w:cs="Times New Roman"/>
          <w:sz w:val="24"/>
          <w:szCs w:val="24"/>
        </w:rPr>
        <w:t>u</w:t>
      </w:r>
      <w:r w:rsidR="00AB11F1" w:rsidRPr="00F27DDF">
        <w:rPr>
          <w:rFonts w:ascii="Times New Roman" w:hAnsi="Times New Roman" w:cs="Times New Roman"/>
          <w:sz w:val="24"/>
          <w:szCs w:val="24"/>
        </w:rPr>
        <w:t xml:space="preserve"> blokady rachunku podmiotu kwalifikowanego, § 4b – informowanie przez bank lub SKOK o przekazaniu żądania lub dokonaniu blokady wyłącznie na wniosek podmiotu kwalifikowanego, po uprzednim potwierdzeniu przez Szefa KAS, że przekazane żądania blokady rachunków tego podmiotu kwalifikowanego zostały wykonane, § 4c – przekazywanie przez bank lub SKOK dodatkowych </w:t>
      </w:r>
      <w:r w:rsidR="00695353" w:rsidRPr="00F27DDF">
        <w:rPr>
          <w:rFonts w:ascii="Times New Roman" w:hAnsi="Times New Roman" w:cs="Times New Roman"/>
          <w:sz w:val="24"/>
          <w:szCs w:val="24"/>
        </w:rPr>
        <w:t xml:space="preserve">posiadanych </w:t>
      </w:r>
      <w:r w:rsidR="00AB11F1" w:rsidRPr="00F27DDF">
        <w:rPr>
          <w:rFonts w:ascii="Times New Roman" w:hAnsi="Times New Roman" w:cs="Times New Roman"/>
          <w:sz w:val="24"/>
          <w:szCs w:val="24"/>
        </w:rPr>
        <w:t>informacji Szefowi KAS w przypadku złożenia dyspozycji przeprowadzenia transakcji dotyczących rachunku podmiotu kwalifikowanego, § 4d – przekazywanie przez bank lub SKOK dodatkowych informacji Szefowi KAS w przypadku złożeni</w:t>
      </w:r>
      <w:r w:rsidR="00534DD3">
        <w:rPr>
          <w:rFonts w:ascii="Times New Roman" w:hAnsi="Times New Roman" w:cs="Times New Roman"/>
          <w:sz w:val="24"/>
          <w:szCs w:val="24"/>
        </w:rPr>
        <w:t>a</w:t>
      </w:r>
      <w:r w:rsidR="00AB11F1" w:rsidRPr="00F27DDF">
        <w:rPr>
          <w:rFonts w:ascii="Times New Roman" w:hAnsi="Times New Roman" w:cs="Times New Roman"/>
          <w:sz w:val="24"/>
          <w:szCs w:val="24"/>
        </w:rPr>
        <w:t xml:space="preserve"> wniosku o udzielenie informacji przez podmiot kwalifikowany, § 5 – blokada rachunku, którego podmiot kwalifikowany jest współposiadaczem).</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W aktualnym stanie prawnym w art. 119zw § 6 Ordynacji podatkowej jest powołany tylko § 3, co nie stanowi optymalnego rozwiązania. </w:t>
      </w:r>
    </w:p>
    <w:p w:rsidR="005C3F1F" w:rsidRPr="00F27DDF" w:rsidRDefault="0073615D" w:rsidP="0073615D">
      <w:pPr>
        <w:spacing w:before="120" w:after="0" w:line="360" w:lineRule="auto"/>
        <w:ind w:left="336" w:hanging="336"/>
        <w:jc w:val="both"/>
        <w:rPr>
          <w:rFonts w:ascii="Times New Roman" w:hAnsi="Times New Roman" w:cs="Times New Roman"/>
          <w:b/>
          <w:sz w:val="24"/>
          <w:szCs w:val="24"/>
        </w:rPr>
      </w:pPr>
      <w:r>
        <w:rPr>
          <w:rFonts w:ascii="Times New Roman" w:hAnsi="Times New Roman" w:cs="Times New Roman"/>
          <w:b/>
          <w:sz w:val="24"/>
          <w:szCs w:val="24"/>
        </w:rPr>
        <w:t>8)</w:t>
      </w:r>
      <w:r>
        <w:rPr>
          <w:rFonts w:ascii="Times New Roman" w:hAnsi="Times New Roman" w:cs="Times New Roman"/>
          <w:b/>
          <w:sz w:val="24"/>
          <w:szCs w:val="24"/>
        </w:rPr>
        <w:tab/>
      </w:r>
      <w:r w:rsidR="00AB11F1" w:rsidRPr="00F27DDF">
        <w:rPr>
          <w:rFonts w:ascii="Times New Roman" w:hAnsi="Times New Roman" w:cs="Times New Roman"/>
          <w:b/>
          <w:sz w:val="24"/>
          <w:szCs w:val="24"/>
        </w:rPr>
        <w:t>Zmiany dotyczące przesyłania informacji o wskaźniku ryzyka</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Zmiany w tym zakresie mają charakter porządkujący i doprecyzowujący. Zgodnie z</w:t>
      </w:r>
      <w:r w:rsidR="0073615D">
        <w:rPr>
          <w:rFonts w:ascii="Times New Roman" w:hAnsi="Times New Roman" w:cs="Times New Roman"/>
          <w:sz w:val="24"/>
          <w:szCs w:val="24"/>
        </w:rPr>
        <w:t> </w:t>
      </w:r>
      <w:r w:rsidRPr="00F27DDF">
        <w:rPr>
          <w:rFonts w:ascii="Times New Roman" w:hAnsi="Times New Roman" w:cs="Times New Roman"/>
          <w:sz w:val="24"/>
          <w:szCs w:val="24"/>
        </w:rPr>
        <w:t>art.</w:t>
      </w:r>
      <w:r w:rsidR="0073615D">
        <w:rPr>
          <w:rFonts w:ascii="Times New Roman" w:hAnsi="Times New Roman" w:cs="Times New Roman"/>
          <w:sz w:val="24"/>
          <w:szCs w:val="24"/>
        </w:rPr>
        <w:t> </w:t>
      </w:r>
      <w:r w:rsidRPr="00F27DDF">
        <w:rPr>
          <w:rFonts w:ascii="Times New Roman" w:hAnsi="Times New Roman" w:cs="Times New Roman"/>
          <w:sz w:val="24"/>
          <w:szCs w:val="24"/>
        </w:rPr>
        <w:t>119zo § 1 pkt 2 Ordynacji podatkowej izba rozliczeniowa przekazuje informacje o</w:t>
      </w:r>
      <w:r w:rsidR="0073615D">
        <w:rPr>
          <w:rFonts w:ascii="Times New Roman" w:hAnsi="Times New Roman" w:cs="Times New Roman"/>
          <w:sz w:val="24"/>
          <w:szCs w:val="24"/>
        </w:rPr>
        <w:t> </w:t>
      </w:r>
      <w:r w:rsidRPr="00F27DDF">
        <w:rPr>
          <w:rFonts w:ascii="Times New Roman" w:hAnsi="Times New Roman" w:cs="Times New Roman"/>
          <w:sz w:val="24"/>
          <w:szCs w:val="24"/>
        </w:rPr>
        <w:t>wskaźniku ryzyka niezwłocznie po jego otrzymaniu, nie rzadziej niż raz dziennie</w:t>
      </w:r>
      <w:r w:rsidR="0020646F">
        <w:rPr>
          <w:rFonts w:ascii="Times New Roman" w:hAnsi="Times New Roman" w:cs="Times New Roman"/>
          <w:sz w:val="24"/>
          <w:szCs w:val="24"/>
        </w:rPr>
        <w:t>,</w:t>
      </w:r>
      <w:r w:rsidRPr="00F27DDF">
        <w:rPr>
          <w:rFonts w:ascii="Times New Roman" w:hAnsi="Times New Roman" w:cs="Times New Roman"/>
          <w:sz w:val="24"/>
          <w:szCs w:val="24"/>
        </w:rPr>
        <w:t xml:space="preserve"> </w:t>
      </w:r>
      <w:r w:rsidR="0020646F">
        <w:rPr>
          <w:rFonts w:ascii="Times New Roman" w:hAnsi="Times New Roman" w:cs="Times New Roman"/>
          <w:sz w:val="24"/>
          <w:szCs w:val="24"/>
        </w:rPr>
        <w:t>wyłącznie bankom i SKOK-om</w:t>
      </w:r>
      <w:r w:rsidRPr="00F27DDF">
        <w:rPr>
          <w:rFonts w:ascii="Times New Roman" w:hAnsi="Times New Roman" w:cs="Times New Roman"/>
          <w:sz w:val="24"/>
          <w:szCs w:val="24"/>
        </w:rPr>
        <w:t xml:space="preserve"> w przypadku</w:t>
      </w:r>
      <w:r w:rsidR="0020646F">
        <w:rPr>
          <w:rFonts w:ascii="Times New Roman" w:hAnsi="Times New Roman" w:cs="Times New Roman"/>
          <w:sz w:val="24"/>
          <w:szCs w:val="24"/>
        </w:rPr>
        <w:t>,</w:t>
      </w:r>
      <w:r w:rsidRPr="00F27DDF">
        <w:rPr>
          <w:rFonts w:ascii="Times New Roman" w:hAnsi="Times New Roman" w:cs="Times New Roman"/>
          <w:sz w:val="24"/>
          <w:szCs w:val="24"/>
        </w:rPr>
        <w:t xml:space="preserve"> o którym mowa w § 3 tego </w:t>
      </w:r>
      <w:r w:rsidR="0020646F">
        <w:rPr>
          <w:rFonts w:ascii="Times New Roman" w:hAnsi="Times New Roman" w:cs="Times New Roman"/>
          <w:sz w:val="24"/>
          <w:szCs w:val="24"/>
        </w:rPr>
        <w:t>artykułu</w:t>
      </w:r>
      <w:r w:rsidRPr="00F27DDF">
        <w:rPr>
          <w:rFonts w:ascii="Times New Roman" w:hAnsi="Times New Roman" w:cs="Times New Roman"/>
          <w:sz w:val="24"/>
          <w:szCs w:val="24"/>
        </w:rPr>
        <w:t>, chyba że wskaźnik ryzyka i istotność wpływu na wskaźnik ryzyka poszczególnych kryteriów uwzględnianych przy jego ustalaniu nie uległy zmianie. „Przypadek, o</w:t>
      </w:r>
      <w:r w:rsidR="0073615D">
        <w:rPr>
          <w:rFonts w:ascii="Times New Roman" w:hAnsi="Times New Roman" w:cs="Times New Roman"/>
          <w:sz w:val="24"/>
          <w:szCs w:val="24"/>
        </w:rPr>
        <w:t> </w:t>
      </w:r>
      <w:r w:rsidRPr="00F27DDF">
        <w:rPr>
          <w:rFonts w:ascii="Times New Roman" w:hAnsi="Times New Roman" w:cs="Times New Roman"/>
          <w:sz w:val="24"/>
          <w:szCs w:val="24"/>
        </w:rPr>
        <w:t>którym mowa w</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3” dotyczy otwierania rachunku podmiotu kwalifikowanego przez inny bank lub SKOK. Stąd, w tym wypadku zastrzeżenie, „chyba że wskaźnik ryzyka i</w:t>
      </w:r>
      <w:r w:rsidR="0073615D">
        <w:rPr>
          <w:rFonts w:ascii="Times New Roman" w:hAnsi="Times New Roman" w:cs="Times New Roman"/>
          <w:sz w:val="24"/>
          <w:szCs w:val="24"/>
        </w:rPr>
        <w:t> </w:t>
      </w:r>
      <w:r w:rsidRPr="00F27DDF">
        <w:rPr>
          <w:rFonts w:ascii="Times New Roman" w:hAnsi="Times New Roman" w:cs="Times New Roman"/>
          <w:sz w:val="24"/>
          <w:szCs w:val="24"/>
        </w:rPr>
        <w:t xml:space="preserve">istotność wpływu na wskaźnik ryzyka poszczególnych kryteriów uwzględnianych przy jego ustalaniu nie uległy zmianie” oraz przyjęcie, że wskaźnik przekazywany jest „niezwłocznie po jego ustaleniu” i „nie rzadziej niż raz dziennie” nie są intencją przepisu. W konsekwencji przepisy art. 119zo § 1 i 3 Ordynacji podatkowej zostały zmienione w </w:t>
      </w:r>
      <w:r w:rsidRPr="00F27DDF">
        <w:rPr>
          <w:rFonts w:ascii="Times New Roman" w:hAnsi="Times New Roman" w:cs="Times New Roman"/>
          <w:sz w:val="24"/>
          <w:szCs w:val="24"/>
        </w:rPr>
        <w:lastRenderedPageBreak/>
        <w:t>ten sposób, że § 1 określa podmioty, którym izba rozliczeniowa przekazuje informacje o wskaźniku ryzyka oraz zakres tych informacji, natomiast § 1a i</w:t>
      </w:r>
      <w:r w:rsidR="0073615D">
        <w:rPr>
          <w:rFonts w:ascii="Times New Roman" w:hAnsi="Times New Roman" w:cs="Times New Roman"/>
          <w:sz w:val="24"/>
          <w:szCs w:val="24"/>
        </w:rPr>
        <w:t> </w:t>
      </w:r>
      <w:r w:rsidRPr="00F27DDF">
        <w:rPr>
          <w:rFonts w:ascii="Times New Roman" w:hAnsi="Times New Roman" w:cs="Times New Roman"/>
          <w:sz w:val="24"/>
          <w:szCs w:val="24"/>
        </w:rPr>
        <w:t>§ 3 określają terminy i tryb oraz zawiera</w:t>
      </w:r>
      <w:r w:rsidR="0020646F">
        <w:rPr>
          <w:rFonts w:ascii="Times New Roman" w:hAnsi="Times New Roman" w:cs="Times New Roman"/>
          <w:sz w:val="24"/>
          <w:szCs w:val="24"/>
        </w:rPr>
        <w:t>ją</w:t>
      </w:r>
      <w:r w:rsidRPr="00F27DDF">
        <w:rPr>
          <w:rFonts w:ascii="Times New Roman" w:hAnsi="Times New Roman" w:cs="Times New Roman"/>
          <w:sz w:val="24"/>
          <w:szCs w:val="24"/>
        </w:rPr>
        <w:t xml:space="preserve"> szczegółowe regulacje o zakresie informacji.</w:t>
      </w:r>
      <w:r w:rsidR="00B36D1A" w:rsidRPr="00F27DDF">
        <w:rPr>
          <w:rFonts w:ascii="Times New Roman" w:hAnsi="Times New Roman" w:cs="Times New Roman"/>
          <w:sz w:val="24"/>
          <w:szCs w:val="24"/>
        </w:rPr>
        <w:t xml:space="preserve"> W art. 119zo § 3 Ordynacji podatkowej wprowadzono dodatkowo od</w:t>
      </w:r>
      <w:r w:rsidR="0020646F">
        <w:rPr>
          <w:rFonts w:ascii="Times New Roman" w:hAnsi="Times New Roman" w:cs="Times New Roman"/>
          <w:sz w:val="24"/>
          <w:szCs w:val="24"/>
        </w:rPr>
        <w:t>esłanie</w:t>
      </w:r>
      <w:r w:rsidR="00B36D1A" w:rsidRPr="00F27DDF">
        <w:rPr>
          <w:rFonts w:ascii="Times New Roman" w:hAnsi="Times New Roman" w:cs="Times New Roman"/>
          <w:sz w:val="24"/>
          <w:szCs w:val="24"/>
        </w:rPr>
        <w:t xml:space="preserve"> do art.</w:t>
      </w:r>
      <w:r w:rsidR="0073615D">
        <w:rPr>
          <w:rFonts w:ascii="Times New Roman" w:hAnsi="Times New Roman" w:cs="Times New Roman"/>
          <w:sz w:val="24"/>
          <w:szCs w:val="24"/>
        </w:rPr>
        <w:t> </w:t>
      </w:r>
      <w:r w:rsidR="00B36D1A" w:rsidRPr="00F27DDF">
        <w:rPr>
          <w:rFonts w:ascii="Times New Roman" w:hAnsi="Times New Roman" w:cs="Times New Roman"/>
          <w:sz w:val="24"/>
          <w:szCs w:val="24"/>
        </w:rPr>
        <w:t>119zr § 1 pkt 4</w:t>
      </w:r>
      <w:r w:rsidR="00B36D1A" w:rsidRPr="00F27DDF">
        <w:rPr>
          <w:rFonts w:ascii="Times New Roman" w:hAnsi="Times New Roman" w:cs="Times New Roman"/>
          <w:b/>
          <w:sz w:val="24"/>
          <w:szCs w:val="24"/>
        </w:rPr>
        <w:t xml:space="preserve"> lit. b tej ustawy</w:t>
      </w:r>
      <w:r w:rsidR="00B36D1A" w:rsidRPr="00F27DDF">
        <w:rPr>
          <w:rFonts w:ascii="Times New Roman" w:hAnsi="Times New Roman" w:cs="Times New Roman"/>
          <w:sz w:val="24"/>
          <w:szCs w:val="24"/>
        </w:rPr>
        <w:t xml:space="preserve">, co oznacza, że we wniosku banku albo spółdzielczej kasy oszczędnościowo-kredytowej </w:t>
      </w:r>
      <w:r w:rsidR="008044A4" w:rsidRPr="00F27DDF">
        <w:rPr>
          <w:rFonts w:ascii="Times New Roman" w:hAnsi="Times New Roman" w:cs="Times New Roman"/>
          <w:sz w:val="24"/>
          <w:szCs w:val="24"/>
        </w:rPr>
        <w:t xml:space="preserve">o przekazanie informacji o wskaźniku ryzyka </w:t>
      </w:r>
      <w:r w:rsidR="00B36D1A" w:rsidRPr="00F27DDF">
        <w:rPr>
          <w:rFonts w:ascii="Times New Roman" w:hAnsi="Times New Roman" w:cs="Times New Roman"/>
          <w:sz w:val="24"/>
          <w:szCs w:val="24"/>
        </w:rPr>
        <w:t xml:space="preserve">może być podany numer w Krajowym Rejestrze Sądowym.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Po otwarciu pierwszego rachunku rozliczeniowego dla podmiotu kwalifikowanego banki oraz spółdzielcze kasy oszczędnościowo-kredytowe w trybie dziennym będą otrzymywać informacje o wskaźniku ryzyka i jego aktualizacjach. Zasadne jest więc, aby banki i SKOK-i w trybie projektowanego art. 119zo § 1 pkt 2 lit. b Ordynacji podatkowej występowały do izby rozliczeniowej o przekazanie informacji o wskaźniku ryzyka w zakresie rachunków podmiotu kwalifikowanego prowadzonych przez inne banki </w:t>
      </w:r>
      <w:r w:rsidR="00AC41CF" w:rsidRPr="00F27DDF">
        <w:rPr>
          <w:rFonts w:ascii="Times New Roman" w:hAnsi="Times New Roman" w:cs="Times New Roman"/>
          <w:sz w:val="24"/>
          <w:szCs w:val="24"/>
        </w:rPr>
        <w:t>albo</w:t>
      </w:r>
      <w:r w:rsidRPr="00F27DDF">
        <w:rPr>
          <w:rFonts w:ascii="Times New Roman" w:hAnsi="Times New Roman" w:cs="Times New Roman"/>
          <w:sz w:val="24"/>
          <w:szCs w:val="24"/>
        </w:rPr>
        <w:t xml:space="preserve"> spółdzielcze kasy oszczędnościowo-kredytowe tylko w przypadku otwierania pierwszego rachunku rozliczeniowego danego podmiotu kwalifikowanego. W momencie otwierania kolejnych rachunków rozliczeniowych podmiotu kwalifikowanego banki oraz spółdzielcze kasy oszczędnościowo-kredytowe będą już posiadały informację o wskaźniku ryzyka wyliczonym dla danego podmiotu kwalifikowanego. W związku z powyższym proponuje się wskazanie w projektowanym art. 119zo § 1 pkt 2 lit. b</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 xml:space="preserve">Ordynacji podatkowej, że wymóg wystąpienia w trybie tego przepisu dotyczy przypadku otwierania pierwszego rachunku rozliczeniowego podmiotu kwalifikowanego. </w:t>
      </w:r>
    </w:p>
    <w:p w:rsidR="005C3F1F" w:rsidRPr="00F27DDF" w:rsidRDefault="0073615D" w:rsidP="009059DB">
      <w:pPr>
        <w:keepNext/>
        <w:keepLines/>
        <w:spacing w:before="120" w:after="0" w:line="360" w:lineRule="auto"/>
        <w:ind w:left="391" w:hanging="391"/>
        <w:jc w:val="both"/>
        <w:rPr>
          <w:rFonts w:ascii="Times New Roman" w:hAnsi="Times New Roman" w:cs="Times New Roman"/>
          <w:b/>
          <w:sz w:val="24"/>
          <w:szCs w:val="24"/>
        </w:rPr>
      </w:pPr>
      <w:r>
        <w:rPr>
          <w:rFonts w:ascii="Times New Roman" w:hAnsi="Times New Roman" w:cs="Times New Roman"/>
          <w:b/>
          <w:sz w:val="24"/>
          <w:szCs w:val="24"/>
        </w:rPr>
        <w:t>9)</w:t>
      </w:r>
      <w:r>
        <w:rPr>
          <w:rFonts w:ascii="Times New Roman" w:hAnsi="Times New Roman" w:cs="Times New Roman"/>
          <w:b/>
          <w:sz w:val="24"/>
          <w:szCs w:val="24"/>
        </w:rPr>
        <w:tab/>
      </w:r>
      <w:r w:rsidR="00AB11F1" w:rsidRPr="00F27DDF">
        <w:rPr>
          <w:rFonts w:ascii="Times New Roman" w:hAnsi="Times New Roman" w:cs="Times New Roman"/>
          <w:b/>
          <w:sz w:val="24"/>
          <w:szCs w:val="24"/>
        </w:rPr>
        <w:t>Sygnalizowanie przez izbę rozliczeniową</w:t>
      </w:r>
      <w:r>
        <w:rPr>
          <w:rFonts w:ascii="Times New Roman" w:hAnsi="Times New Roman" w:cs="Times New Roman"/>
          <w:b/>
          <w:sz w:val="24"/>
          <w:szCs w:val="24"/>
        </w:rPr>
        <w:t xml:space="preserve"> rozbieżności pomiędzy danymi z </w:t>
      </w:r>
      <w:r w:rsidR="00AB11F1" w:rsidRPr="00F27DDF">
        <w:rPr>
          <w:rFonts w:ascii="Times New Roman" w:hAnsi="Times New Roman" w:cs="Times New Roman"/>
          <w:b/>
          <w:sz w:val="24"/>
          <w:szCs w:val="24"/>
        </w:rPr>
        <w:t xml:space="preserve">banków lub SKOK-ów a danymi z CRP-KEP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W praktyce zdarza się niezgodność pomiędzy </w:t>
      </w:r>
      <w:r w:rsidR="003914EF" w:rsidRPr="00F27DDF">
        <w:rPr>
          <w:rFonts w:ascii="Times New Roman" w:hAnsi="Times New Roman" w:cs="Times New Roman"/>
          <w:sz w:val="24"/>
          <w:szCs w:val="24"/>
        </w:rPr>
        <w:t>numerami</w:t>
      </w:r>
      <w:r w:rsidR="0073615D">
        <w:rPr>
          <w:rFonts w:ascii="Times New Roman" w:hAnsi="Times New Roman" w:cs="Times New Roman"/>
          <w:sz w:val="24"/>
          <w:szCs w:val="24"/>
        </w:rPr>
        <w:t>, o których mowa w art. 119zr § </w:t>
      </w:r>
      <w:r w:rsidRPr="00F27DDF">
        <w:rPr>
          <w:rFonts w:ascii="Times New Roman" w:hAnsi="Times New Roman" w:cs="Times New Roman"/>
          <w:sz w:val="24"/>
          <w:szCs w:val="24"/>
        </w:rPr>
        <w:t xml:space="preserve">1 pkt 4 lit. </w:t>
      </w:r>
      <w:r w:rsidR="003914EF" w:rsidRPr="00F27DDF">
        <w:rPr>
          <w:rFonts w:ascii="Times New Roman" w:hAnsi="Times New Roman" w:cs="Times New Roman"/>
          <w:sz w:val="24"/>
          <w:szCs w:val="24"/>
        </w:rPr>
        <w:t xml:space="preserve">b i </w:t>
      </w:r>
      <w:r w:rsidRPr="00F27DDF">
        <w:rPr>
          <w:rFonts w:ascii="Times New Roman" w:hAnsi="Times New Roman" w:cs="Times New Roman"/>
          <w:sz w:val="24"/>
          <w:szCs w:val="24"/>
        </w:rPr>
        <w:t>c Ordynacji podatkowej, posiadany</w:t>
      </w:r>
      <w:r w:rsidR="00AC41CF" w:rsidRPr="00F27DDF">
        <w:rPr>
          <w:rFonts w:ascii="Times New Roman" w:hAnsi="Times New Roman" w:cs="Times New Roman"/>
          <w:sz w:val="24"/>
          <w:szCs w:val="24"/>
        </w:rPr>
        <w:t>mi</w:t>
      </w:r>
      <w:r w:rsidR="0073615D">
        <w:rPr>
          <w:rFonts w:ascii="Times New Roman" w:hAnsi="Times New Roman" w:cs="Times New Roman"/>
          <w:sz w:val="24"/>
          <w:szCs w:val="24"/>
        </w:rPr>
        <w:t xml:space="preserve"> przez banki i SKOK-i a </w:t>
      </w:r>
      <w:r w:rsidR="003914EF" w:rsidRPr="00F27DDF">
        <w:rPr>
          <w:rFonts w:ascii="Times New Roman" w:hAnsi="Times New Roman" w:cs="Times New Roman"/>
          <w:sz w:val="24"/>
          <w:szCs w:val="24"/>
        </w:rPr>
        <w:t>numerami</w:t>
      </w:r>
      <w:r w:rsidRPr="00F27DDF">
        <w:rPr>
          <w:rFonts w:ascii="Times New Roman" w:hAnsi="Times New Roman" w:cs="Times New Roman"/>
          <w:sz w:val="24"/>
          <w:szCs w:val="24"/>
        </w:rPr>
        <w:t xml:space="preserve"> przekazywany</w:t>
      </w:r>
      <w:r w:rsidR="00AC41CF" w:rsidRPr="00F27DDF">
        <w:rPr>
          <w:rFonts w:ascii="Times New Roman" w:hAnsi="Times New Roman" w:cs="Times New Roman"/>
          <w:sz w:val="24"/>
          <w:szCs w:val="24"/>
        </w:rPr>
        <w:t>mi</w:t>
      </w:r>
      <w:r w:rsidRPr="00F27DDF">
        <w:rPr>
          <w:rFonts w:ascii="Times New Roman" w:hAnsi="Times New Roman" w:cs="Times New Roman"/>
          <w:sz w:val="24"/>
          <w:szCs w:val="24"/>
        </w:rPr>
        <w:t xml:space="preserve"> do STIR z Centralnego Rejestru Podmiotów – Krajowej Ewidencji Podatników, o których mowa w art. 15 ust. 5 ustawy z dnia 13 października 1995 r. o zasadach ewidencji i identyfikacji podatników i płatników. </w:t>
      </w:r>
      <w:r w:rsidR="005C3F1F" w:rsidRPr="00F27DDF">
        <w:rPr>
          <w:rFonts w:ascii="Times New Roman" w:hAnsi="Times New Roman" w:cs="Times New Roman"/>
          <w:bCs/>
          <w:sz w:val="24"/>
          <w:szCs w:val="24"/>
        </w:rPr>
        <w:t>Projektowany</w:t>
      </w:r>
      <w:r w:rsidRPr="00F27DDF">
        <w:rPr>
          <w:rFonts w:ascii="Times New Roman" w:hAnsi="Times New Roman" w:cs="Times New Roman"/>
          <w:b/>
          <w:sz w:val="24"/>
          <w:szCs w:val="24"/>
        </w:rPr>
        <w:t xml:space="preserve"> § 3 w art. 119zp Ordynacji podatkowej</w:t>
      </w:r>
      <w:r w:rsidRPr="00F27DDF">
        <w:rPr>
          <w:rFonts w:ascii="Times New Roman" w:hAnsi="Times New Roman" w:cs="Times New Roman"/>
          <w:sz w:val="24"/>
          <w:szCs w:val="24"/>
        </w:rPr>
        <w:t xml:space="preserve"> przewiduje przekazywanie przez izbę rozliczeniową informacji bankom i SKOK-om o stwierdzonych rozbieżnościach wraz ze wskazaniem danych, których dotyczy rozbieżność. Przepis dotyczy ro</w:t>
      </w:r>
      <w:r w:rsidR="0073615D">
        <w:rPr>
          <w:rFonts w:ascii="Times New Roman" w:hAnsi="Times New Roman" w:cs="Times New Roman"/>
          <w:sz w:val="24"/>
          <w:szCs w:val="24"/>
        </w:rPr>
        <w:t>zbieżności w</w:t>
      </w:r>
      <w:r w:rsidR="00606045">
        <w:rPr>
          <w:rFonts w:ascii="Times New Roman" w:hAnsi="Times New Roman" w:cs="Times New Roman"/>
          <w:sz w:val="24"/>
          <w:szCs w:val="24"/>
        </w:rPr>
        <w:t> </w:t>
      </w:r>
      <w:r w:rsidR="0073615D">
        <w:rPr>
          <w:rFonts w:ascii="Times New Roman" w:hAnsi="Times New Roman" w:cs="Times New Roman"/>
          <w:sz w:val="24"/>
          <w:szCs w:val="24"/>
        </w:rPr>
        <w:t>zakresie danych, o </w:t>
      </w:r>
      <w:r w:rsidRPr="00F27DDF">
        <w:rPr>
          <w:rFonts w:ascii="Times New Roman" w:hAnsi="Times New Roman" w:cs="Times New Roman"/>
          <w:sz w:val="24"/>
          <w:szCs w:val="24"/>
        </w:rPr>
        <w:t xml:space="preserve">których mowa w art. 119zr § 1 pkt 4 lit. </w:t>
      </w:r>
      <w:r w:rsidR="00617629" w:rsidRPr="00F27DDF">
        <w:rPr>
          <w:rFonts w:ascii="Times New Roman" w:hAnsi="Times New Roman" w:cs="Times New Roman"/>
          <w:sz w:val="24"/>
          <w:szCs w:val="24"/>
        </w:rPr>
        <w:t xml:space="preserve">b i </w:t>
      </w:r>
      <w:r w:rsidRPr="00F27DDF">
        <w:rPr>
          <w:rFonts w:ascii="Times New Roman" w:hAnsi="Times New Roman" w:cs="Times New Roman"/>
          <w:sz w:val="24"/>
          <w:szCs w:val="24"/>
        </w:rPr>
        <w:t>c Ordynacji podatkowej</w:t>
      </w:r>
      <w:r w:rsidR="00534DD3">
        <w:rPr>
          <w:rFonts w:ascii="Times New Roman" w:hAnsi="Times New Roman" w:cs="Times New Roman"/>
          <w:sz w:val="24"/>
          <w:szCs w:val="24"/>
        </w:rPr>
        <w:t>,</w:t>
      </w:r>
      <w:r w:rsidRPr="00F27DDF">
        <w:rPr>
          <w:rFonts w:ascii="Times New Roman" w:hAnsi="Times New Roman" w:cs="Times New Roman"/>
          <w:sz w:val="24"/>
          <w:szCs w:val="24"/>
        </w:rPr>
        <w:t xml:space="preserve"> tj. w zakresie </w:t>
      </w:r>
      <w:r w:rsidR="00617629" w:rsidRPr="00F27DDF">
        <w:rPr>
          <w:rFonts w:ascii="Times New Roman" w:hAnsi="Times New Roman" w:cs="Times New Roman"/>
          <w:sz w:val="24"/>
          <w:szCs w:val="24"/>
        </w:rPr>
        <w:lastRenderedPageBreak/>
        <w:t xml:space="preserve">numeru w Krajowym Rejestrze Sądowym, </w:t>
      </w:r>
      <w:r w:rsidRPr="00F27DDF">
        <w:rPr>
          <w:rFonts w:ascii="Times New Roman" w:hAnsi="Times New Roman" w:cs="Times New Roman"/>
          <w:sz w:val="24"/>
          <w:szCs w:val="24"/>
        </w:rPr>
        <w:t xml:space="preserve">numeru PESEL, numeru identyfikacyjnego REGON oraz numeru </w:t>
      </w:r>
      <w:r w:rsidR="00606045">
        <w:rPr>
          <w:rFonts w:ascii="Times New Roman" w:hAnsi="Times New Roman" w:cs="Times New Roman"/>
          <w:sz w:val="24"/>
          <w:szCs w:val="24"/>
        </w:rPr>
        <w:t>identyfikacji podatkowej, a w </w:t>
      </w:r>
      <w:r w:rsidRPr="00F27DDF">
        <w:rPr>
          <w:rFonts w:ascii="Times New Roman" w:hAnsi="Times New Roman" w:cs="Times New Roman"/>
          <w:sz w:val="24"/>
          <w:szCs w:val="24"/>
        </w:rPr>
        <w:t xml:space="preserve">przypadku podmiotu kwalifikowanego mającego miejsce zamieszkania, siedzibę lub zarząd w państwie lub na terytorium spoza Unii Europejskiej – </w:t>
      </w:r>
      <w:proofErr w:type="spellStart"/>
      <w:r w:rsidRPr="00F27DDF">
        <w:rPr>
          <w:rFonts w:ascii="Times New Roman" w:hAnsi="Times New Roman" w:cs="Times New Roman"/>
          <w:sz w:val="24"/>
          <w:szCs w:val="24"/>
        </w:rPr>
        <w:t>EURONIPu</w:t>
      </w:r>
      <w:proofErr w:type="spellEnd"/>
      <w:r w:rsidRPr="00F27DDF">
        <w:rPr>
          <w:rFonts w:ascii="Times New Roman" w:hAnsi="Times New Roman" w:cs="Times New Roman"/>
          <w:sz w:val="24"/>
          <w:szCs w:val="24"/>
        </w:rPr>
        <w:t xml:space="preserve"> lub innego numeru identyfikacji podatkowej. Przez informację o stwierdzonej rozbieżności należy rozumieć wskazanie nie tylko samego faktu rozbieżności, ale także treści danych między którymi ta rozbieżność występuje. Może także dojść do sytuacji, w której bank (SKOK) nie posiada określonych danych i dlatego ich nie przekazuje </w:t>
      </w:r>
      <w:r w:rsidR="00F27DDF">
        <w:rPr>
          <w:rFonts w:ascii="Times New Roman" w:hAnsi="Times New Roman" w:cs="Times New Roman"/>
          <w:sz w:val="24"/>
          <w:szCs w:val="24"/>
        </w:rPr>
        <w:t>–</w:t>
      </w:r>
      <w:r w:rsidRPr="00F27DDF">
        <w:rPr>
          <w:rFonts w:ascii="Times New Roman" w:hAnsi="Times New Roman" w:cs="Times New Roman"/>
          <w:sz w:val="24"/>
          <w:szCs w:val="24"/>
        </w:rPr>
        <w:t xml:space="preserve"> wówczas izba rozliczeniowa powinna wskazać treść posiadanych przez nią danych w ww. zakresie, tak aby instytucja mogła je uzupełnić. Przekazanie informac</w:t>
      </w:r>
      <w:r w:rsidR="0073615D">
        <w:rPr>
          <w:rFonts w:ascii="Times New Roman" w:hAnsi="Times New Roman" w:cs="Times New Roman"/>
          <w:sz w:val="24"/>
          <w:szCs w:val="24"/>
        </w:rPr>
        <w:t>ji o rozbieżnościach bankom i </w:t>
      </w:r>
      <w:r w:rsidRPr="00F27DDF">
        <w:rPr>
          <w:rFonts w:ascii="Times New Roman" w:hAnsi="Times New Roman" w:cs="Times New Roman"/>
          <w:sz w:val="24"/>
          <w:szCs w:val="24"/>
        </w:rPr>
        <w:t xml:space="preserve">SKOK-om umożliwi </w:t>
      </w:r>
      <w:r w:rsidR="0099299B" w:rsidRPr="00F27DDF">
        <w:rPr>
          <w:rFonts w:ascii="Times New Roman" w:hAnsi="Times New Roman" w:cs="Times New Roman"/>
          <w:sz w:val="24"/>
          <w:szCs w:val="24"/>
        </w:rPr>
        <w:t>kontakt instytucji finansowej z klientem i ewentualne</w:t>
      </w:r>
      <w:r w:rsidRPr="00F27DDF">
        <w:rPr>
          <w:rFonts w:ascii="Times New Roman" w:hAnsi="Times New Roman" w:cs="Times New Roman"/>
          <w:sz w:val="24"/>
          <w:szCs w:val="24"/>
        </w:rPr>
        <w:t xml:space="preserve"> skorygowanie wymienionych danych (co nie jest możliwe przy </w:t>
      </w:r>
      <w:r w:rsidR="00534DD3">
        <w:rPr>
          <w:rFonts w:ascii="Times New Roman" w:hAnsi="Times New Roman" w:cs="Times New Roman"/>
          <w:sz w:val="24"/>
          <w:szCs w:val="24"/>
        </w:rPr>
        <w:t>„</w:t>
      </w:r>
      <w:r w:rsidRPr="00F27DDF">
        <w:rPr>
          <w:rFonts w:ascii="Times New Roman" w:hAnsi="Times New Roman" w:cs="Times New Roman"/>
          <w:sz w:val="24"/>
          <w:szCs w:val="24"/>
        </w:rPr>
        <w:t xml:space="preserve">ręcznym” ich weryfikowaniu przez instytucje finansowe w publicznie dostępnych rejestrach). </w:t>
      </w:r>
    </w:p>
    <w:p w:rsidR="005C3F1F" w:rsidRPr="00F27DDF" w:rsidRDefault="00AB11F1" w:rsidP="00534DD3">
      <w:pPr>
        <w:keepNext/>
        <w:spacing w:before="120" w:after="0" w:line="360" w:lineRule="auto"/>
        <w:ind w:left="462" w:hanging="462"/>
        <w:jc w:val="both"/>
        <w:rPr>
          <w:rFonts w:ascii="Times New Roman" w:hAnsi="Times New Roman" w:cs="Times New Roman"/>
          <w:b/>
          <w:sz w:val="24"/>
          <w:szCs w:val="24"/>
        </w:rPr>
      </w:pPr>
      <w:r w:rsidRPr="00F27DDF">
        <w:rPr>
          <w:rFonts w:ascii="Times New Roman" w:hAnsi="Times New Roman" w:cs="Times New Roman"/>
          <w:b/>
          <w:sz w:val="24"/>
          <w:szCs w:val="24"/>
        </w:rPr>
        <w:t>10)</w:t>
      </w:r>
      <w:r w:rsidR="0073615D">
        <w:rPr>
          <w:rFonts w:ascii="Times New Roman" w:hAnsi="Times New Roman" w:cs="Times New Roman"/>
          <w:b/>
          <w:sz w:val="24"/>
          <w:szCs w:val="24"/>
        </w:rPr>
        <w:tab/>
      </w:r>
      <w:r w:rsidRPr="00F27DDF">
        <w:rPr>
          <w:rFonts w:ascii="Times New Roman" w:hAnsi="Times New Roman" w:cs="Times New Roman"/>
          <w:b/>
          <w:sz w:val="24"/>
          <w:szCs w:val="24"/>
        </w:rPr>
        <w:t>Przetwarzanie danych przez izbę rozliczeniową</w:t>
      </w:r>
    </w:p>
    <w:p w:rsidR="005C3F1F" w:rsidRPr="00F27DDF" w:rsidRDefault="00AB11F1" w:rsidP="00534DD3">
      <w:pPr>
        <w:keepNext/>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Zmiana w </w:t>
      </w:r>
      <w:r w:rsidRPr="00F27DDF">
        <w:rPr>
          <w:rFonts w:ascii="Times New Roman" w:hAnsi="Times New Roman" w:cs="Times New Roman"/>
          <w:b/>
          <w:sz w:val="24"/>
          <w:szCs w:val="24"/>
        </w:rPr>
        <w:t xml:space="preserve">art. 119zu § 1 Ordynacji podatkowej </w:t>
      </w:r>
      <w:r w:rsidRPr="00F27DDF">
        <w:rPr>
          <w:rFonts w:ascii="Times New Roman" w:hAnsi="Times New Roman" w:cs="Times New Roman"/>
          <w:sz w:val="24"/>
          <w:szCs w:val="24"/>
        </w:rPr>
        <w:t xml:space="preserve">polega na dodaniu pkt 3. Zmiana ta ma na celu doprecyzowanie, że możliwe jest przetwarzanie przez izbę rozliczeniową publicznie dostępnych </w:t>
      </w:r>
      <w:r w:rsidR="00D01BA6" w:rsidRPr="00F27DDF">
        <w:rPr>
          <w:rFonts w:ascii="Times New Roman" w:hAnsi="Times New Roman" w:cs="Times New Roman"/>
          <w:sz w:val="24"/>
          <w:szCs w:val="24"/>
        </w:rPr>
        <w:t>informacji</w:t>
      </w:r>
      <w:r w:rsidRPr="00F27DDF">
        <w:rPr>
          <w:rFonts w:ascii="Times New Roman" w:hAnsi="Times New Roman" w:cs="Times New Roman"/>
          <w:sz w:val="24"/>
          <w:szCs w:val="24"/>
        </w:rPr>
        <w:t xml:space="preserve"> w celu ustalenia wskaźnika ryzyka. Zamknięty charakter katalogu przetwarzanych danych</w:t>
      </w:r>
      <w:r w:rsidR="00D01BA6" w:rsidRPr="00F27DDF">
        <w:rPr>
          <w:rFonts w:ascii="Times New Roman" w:hAnsi="Times New Roman" w:cs="Times New Roman"/>
          <w:sz w:val="24"/>
          <w:szCs w:val="24"/>
        </w:rPr>
        <w:t xml:space="preserve"> </w:t>
      </w:r>
      <w:r w:rsidRPr="00F27DDF">
        <w:rPr>
          <w:rFonts w:ascii="Times New Roman" w:hAnsi="Times New Roman" w:cs="Times New Roman"/>
          <w:sz w:val="24"/>
          <w:szCs w:val="24"/>
        </w:rPr>
        <w:t xml:space="preserve">mógł bowiem sugerować, że nie jest to dopuszczalne. Przetwarzanie tych </w:t>
      </w:r>
      <w:r w:rsidR="00D01BA6" w:rsidRPr="00F27DDF">
        <w:rPr>
          <w:rFonts w:ascii="Times New Roman" w:hAnsi="Times New Roman" w:cs="Times New Roman"/>
          <w:sz w:val="24"/>
          <w:szCs w:val="24"/>
        </w:rPr>
        <w:t>informacji</w:t>
      </w:r>
      <w:r w:rsidRPr="00F27DDF">
        <w:rPr>
          <w:rFonts w:ascii="Times New Roman" w:hAnsi="Times New Roman" w:cs="Times New Roman"/>
          <w:sz w:val="24"/>
          <w:szCs w:val="24"/>
        </w:rPr>
        <w:t xml:space="preserve"> może przyczynić się do zobiektywizowania wskaźnika ryzyka i, w rezultacie, podniesienia jego dokładności, zatem przepis powinien jednoznacznie przesądzać o możliwości sięgnięcia do tego źródła.</w:t>
      </w:r>
    </w:p>
    <w:p w:rsidR="005C3F1F" w:rsidRPr="00F27DDF" w:rsidRDefault="0073615D" w:rsidP="0073615D">
      <w:pPr>
        <w:spacing w:before="120" w:after="0" w:line="360" w:lineRule="auto"/>
        <w:ind w:left="462" w:hanging="462"/>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AB11F1" w:rsidRPr="00F27DDF">
        <w:rPr>
          <w:rFonts w:ascii="Times New Roman" w:hAnsi="Times New Roman" w:cs="Times New Roman"/>
          <w:b/>
          <w:sz w:val="24"/>
          <w:szCs w:val="24"/>
        </w:rPr>
        <w:t>Rozszerzenie możliwości wypłaty środków z zablokowanego rachunku podmiotu kwalifikowanego – na zaległe wynagrodzenia i wszystkie alimenty</w:t>
      </w:r>
      <w:r w:rsidR="00F27DDF">
        <w:rPr>
          <w:rFonts w:ascii="Times New Roman" w:hAnsi="Times New Roman" w:cs="Times New Roman"/>
          <w:b/>
          <w:sz w:val="24"/>
          <w:szCs w:val="24"/>
        </w:rPr>
        <w:t xml:space="preserve">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Projektowane zmiany umożliwiają Szefowi KAS wydanie postanowienia o przekazaniu środków z zablokowanego rachunku bankowego na wynagrodzenia zaległe. Na podstawie </w:t>
      </w:r>
      <w:r w:rsidR="009059DB">
        <w:rPr>
          <w:rFonts w:ascii="Times New Roman" w:hAnsi="Times New Roman" w:cs="Times New Roman"/>
          <w:sz w:val="24"/>
          <w:szCs w:val="24"/>
        </w:rPr>
        <w:t>obowiązujących</w:t>
      </w:r>
      <w:r w:rsidRPr="00F27DDF">
        <w:rPr>
          <w:rFonts w:ascii="Times New Roman" w:hAnsi="Times New Roman" w:cs="Times New Roman"/>
          <w:sz w:val="24"/>
          <w:szCs w:val="24"/>
        </w:rPr>
        <w:t xml:space="preserve"> przepisów Szef KAS może wydać postanowienie o</w:t>
      </w:r>
      <w:r w:rsidR="0073615D">
        <w:rPr>
          <w:rFonts w:ascii="Times New Roman" w:hAnsi="Times New Roman" w:cs="Times New Roman"/>
          <w:sz w:val="24"/>
          <w:szCs w:val="24"/>
        </w:rPr>
        <w:t> </w:t>
      </w:r>
      <w:r w:rsidRPr="00F27DDF">
        <w:rPr>
          <w:rFonts w:ascii="Times New Roman" w:hAnsi="Times New Roman" w:cs="Times New Roman"/>
          <w:sz w:val="24"/>
          <w:szCs w:val="24"/>
        </w:rPr>
        <w:t>przekazaniu środków jedynie na wynagrodzenia bieżące. Brak jest uzasadnienia dla preferencyjnego traktowania wynagrodzeń bieżących względem wynagrodzeń zaległych (</w:t>
      </w:r>
      <w:r w:rsidRPr="00F27DDF">
        <w:rPr>
          <w:rFonts w:ascii="Times New Roman" w:hAnsi="Times New Roman" w:cs="Times New Roman"/>
          <w:b/>
          <w:sz w:val="24"/>
          <w:szCs w:val="24"/>
        </w:rPr>
        <w:t>projektowany art. 119zy § 1 pkt 1 Ordynacji podatkowej</w:t>
      </w:r>
      <w:r w:rsidRPr="00F27DDF">
        <w:rPr>
          <w:rFonts w:ascii="Times New Roman" w:hAnsi="Times New Roman" w:cs="Times New Roman"/>
          <w:sz w:val="24"/>
          <w:szCs w:val="24"/>
        </w:rPr>
        <w:t xml:space="preserve">). Z tych samych powodów zrezygnowano z ograniczenia w zakresie przekazywania na podstawie postanowienia Szefa KAS środków jedynie </w:t>
      </w:r>
      <w:r w:rsidR="009059DB">
        <w:rPr>
          <w:rFonts w:ascii="Times New Roman" w:hAnsi="Times New Roman" w:cs="Times New Roman"/>
          <w:sz w:val="24"/>
          <w:szCs w:val="24"/>
        </w:rPr>
        <w:t xml:space="preserve">z tytułu </w:t>
      </w:r>
      <w:r w:rsidRPr="00F27DDF">
        <w:rPr>
          <w:rFonts w:ascii="Times New Roman" w:hAnsi="Times New Roman" w:cs="Times New Roman"/>
          <w:sz w:val="24"/>
          <w:szCs w:val="24"/>
        </w:rPr>
        <w:t>aliment</w:t>
      </w:r>
      <w:r w:rsidR="009059DB">
        <w:rPr>
          <w:rFonts w:ascii="Times New Roman" w:hAnsi="Times New Roman" w:cs="Times New Roman"/>
          <w:sz w:val="24"/>
          <w:szCs w:val="24"/>
        </w:rPr>
        <w:t>ów</w:t>
      </w:r>
      <w:r w:rsidRPr="00F27DDF">
        <w:rPr>
          <w:rFonts w:ascii="Times New Roman" w:hAnsi="Times New Roman" w:cs="Times New Roman"/>
          <w:sz w:val="24"/>
          <w:szCs w:val="24"/>
        </w:rPr>
        <w:t xml:space="preserve"> zasądzon</w:t>
      </w:r>
      <w:r w:rsidR="009059DB">
        <w:rPr>
          <w:rFonts w:ascii="Times New Roman" w:hAnsi="Times New Roman" w:cs="Times New Roman"/>
          <w:sz w:val="24"/>
          <w:szCs w:val="24"/>
        </w:rPr>
        <w:t>ych</w:t>
      </w:r>
      <w:r w:rsidRPr="00F27DDF">
        <w:rPr>
          <w:rFonts w:ascii="Times New Roman" w:hAnsi="Times New Roman" w:cs="Times New Roman"/>
          <w:sz w:val="24"/>
          <w:szCs w:val="24"/>
        </w:rPr>
        <w:t xml:space="preserve">. W ocenie projektodawcy, alimenty ustalone na podstawie, np. umowy czy ugody, powinny być traktowane na </w:t>
      </w:r>
      <w:r w:rsidRPr="00F27DDF">
        <w:rPr>
          <w:rFonts w:ascii="Times New Roman" w:hAnsi="Times New Roman" w:cs="Times New Roman"/>
          <w:sz w:val="24"/>
          <w:szCs w:val="24"/>
        </w:rPr>
        <w:lastRenderedPageBreak/>
        <w:t>takich samych zasadach jak alimenty zasądzone (</w:t>
      </w:r>
      <w:r w:rsidRPr="00F27DDF">
        <w:rPr>
          <w:rFonts w:ascii="Times New Roman" w:hAnsi="Times New Roman" w:cs="Times New Roman"/>
          <w:b/>
          <w:sz w:val="24"/>
          <w:szCs w:val="24"/>
        </w:rPr>
        <w:t>projektowany</w:t>
      </w:r>
      <w:r w:rsidRPr="00F27DDF">
        <w:rPr>
          <w:rFonts w:ascii="Times New Roman" w:hAnsi="Times New Roman" w:cs="Times New Roman"/>
          <w:sz w:val="24"/>
          <w:szCs w:val="24"/>
        </w:rPr>
        <w:t xml:space="preserve"> </w:t>
      </w:r>
      <w:r w:rsidRPr="00F27DDF">
        <w:rPr>
          <w:rFonts w:ascii="Times New Roman" w:hAnsi="Times New Roman" w:cs="Times New Roman"/>
          <w:b/>
          <w:sz w:val="24"/>
          <w:szCs w:val="24"/>
        </w:rPr>
        <w:t>art.</w:t>
      </w:r>
      <w:r w:rsidR="0073615D">
        <w:rPr>
          <w:rFonts w:ascii="Times New Roman" w:hAnsi="Times New Roman" w:cs="Times New Roman"/>
          <w:b/>
          <w:sz w:val="24"/>
          <w:szCs w:val="24"/>
        </w:rPr>
        <w:t> </w:t>
      </w:r>
      <w:r w:rsidRPr="00F27DDF">
        <w:rPr>
          <w:rFonts w:ascii="Times New Roman" w:hAnsi="Times New Roman" w:cs="Times New Roman"/>
          <w:b/>
          <w:sz w:val="24"/>
          <w:szCs w:val="24"/>
        </w:rPr>
        <w:t>119zy § 1 pkt 2 Ordynacji podatkowej</w:t>
      </w:r>
      <w:r w:rsidRPr="00F27DDF">
        <w:rPr>
          <w:rFonts w:ascii="Times New Roman" w:hAnsi="Times New Roman" w:cs="Times New Roman"/>
          <w:sz w:val="24"/>
          <w:szCs w:val="24"/>
        </w:rPr>
        <w:t xml:space="preserve">). </w:t>
      </w:r>
    </w:p>
    <w:p w:rsidR="005C3F1F" w:rsidRPr="00F27DDF" w:rsidRDefault="0073615D" w:rsidP="0073615D">
      <w:pPr>
        <w:spacing w:before="120" w:after="0" w:line="360" w:lineRule="auto"/>
        <w:ind w:left="462" w:hanging="462"/>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r>
      <w:r w:rsidR="00AB11F1" w:rsidRPr="00F27DDF">
        <w:rPr>
          <w:rFonts w:ascii="Times New Roman" w:hAnsi="Times New Roman" w:cs="Times New Roman"/>
          <w:b/>
          <w:sz w:val="24"/>
          <w:szCs w:val="24"/>
        </w:rPr>
        <w:t>Zmiana środka zaskarżenia blokady na okres do 3 miesięcy</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W </w:t>
      </w:r>
      <w:r w:rsidRPr="00F27DDF">
        <w:rPr>
          <w:rFonts w:ascii="Times New Roman" w:hAnsi="Times New Roman" w:cs="Times New Roman"/>
          <w:b/>
          <w:sz w:val="24"/>
          <w:szCs w:val="24"/>
        </w:rPr>
        <w:t>art. 119zzb § 1 i 2 Ordynacji podatkowej</w:t>
      </w:r>
      <w:r w:rsidRPr="00F27DDF">
        <w:rPr>
          <w:rFonts w:ascii="Times New Roman" w:hAnsi="Times New Roman" w:cs="Times New Roman"/>
          <w:sz w:val="24"/>
          <w:szCs w:val="24"/>
        </w:rPr>
        <w:t xml:space="preserve"> środek zaskarżenia w postaci „wniosku o</w:t>
      </w:r>
      <w:r w:rsidR="0073615D">
        <w:rPr>
          <w:rFonts w:ascii="Times New Roman" w:hAnsi="Times New Roman" w:cs="Times New Roman"/>
          <w:sz w:val="24"/>
          <w:szCs w:val="24"/>
        </w:rPr>
        <w:t> </w:t>
      </w:r>
      <w:r w:rsidRPr="00F27DDF">
        <w:rPr>
          <w:rFonts w:ascii="Times New Roman" w:hAnsi="Times New Roman" w:cs="Times New Roman"/>
          <w:sz w:val="24"/>
          <w:szCs w:val="24"/>
        </w:rPr>
        <w:t>ponowne rozpatrzenie sprawy” zastąpiono „zażaleniem”, które zgodnie z zasadami ogólnymi będzie rozpatrywać Szef KAS. Dotychczasowa konstrukcja przepisu, w</w:t>
      </w:r>
      <w:r w:rsidR="00534DD3">
        <w:rPr>
          <w:rFonts w:ascii="Times New Roman" w:hAnsi="Times New Roman" w:cs="Times New Roman"/>
          <w:sz w:val="24"/>
          <w:szCs w:val="24"/>
        </w:rPr>
        <w:t> </w:t>
      </w:r>
      <w:r w:rsidRPr="00F27DDF">
        <w:rPr>
          <w:rFonts w:ascii="Times New Roman" w:hAnsi="Times New Roman" w:cs="Times New Roman"/>
          <w:sz w:val="24"/>
          <w:szCs w:val="24"/>
        </w:rPr>
        <w:t>świetle art. 3 § 2 pkt 4 ustawy z dnia 30 sierpnia 2002 r. – Prawo o postępowaniu przed sądami administracyjnymi, mogła nasuwać wątpliwości, czy na postanowienie Szefa KAS</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wydane w wyniku rozpoznania wniosku o ponowne rozpatrzenie sprawy służy skarga do sądu administracyjnego. Proponowana zmiana rozwiewa te wątpliwości. Na postanowienie wydane w wyniku wniesienia zażalenia służy prawo wniesienia skargi do sądu administracyjnego na podstawie art. 3 § 1 pkt 2 ustawy z dnia 30 sierpnia 2002 r. – Prawo o postępowaniu przed sądami administracyjnymi.</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W związku z zastąpieniem „wniosku o ponowne rozpatrzenie sprawy” „zażaleniem” bezprzedmiotowa stała się norma wyrażona w dotychczasowym </w:t>
      </w:r>
      <w:r w:rsidRPr="00F27DDF">
        <w:rPr>
          <w:rFonts w:ascii="Times New Roman" w:hAnsi="Times New Roman" w:cs="Times New Roman"/>
          <w:b/>
          <w:sz w:val="24"/>
          <w:szCs w:val="24"/>
        </w:rPr>
        <w:t>art. 119zzb § 3 Ordynacji podatkowej</w:t>
      </w:r>
      <w:r w:rsidRPr="00F27DDF">
        <w:rPr>
          <w:rFonts w:ascii="Times New Roman" w:hAnsi="Times New Roman" w:cs="Times New Roman"/>
          <w:sz w:val="24"/>
          <w:szCs w:val="24"/>
        </w:rPr>
        <w:t>.</w:t>
      </w:r>
      <w:r w:rsidR="00F27DDF">
        <w:rPr>
          <w:rFonts w:ascii="Times New Roman" w:hAnsi="Times New Roman" w:cs="Times New Roman"/>
          <w:sz w:val="24"/>
          <w:szCs w:val="24"/>
        </w:rPr>
        <w:t xml:space="preserve"> </w:t>
      </w:r>
    </w:p>
    <w:p w:rsidR="009325B2" w:rsidRPr="00F27DDF" w:rsidRDefault="00AB11F1" w:rsidP="00F27DDF">
      <w:pPr>
        <w:spacing w:before="120" w:after="0" w:line="360" w:lineRule="auto"/>
        <w:jc w:val="both"/>
        <w:rPr>
          <w:rFonts w:ascii="Times New Roman" w:hAnsi="Times New Roman" w:cs="Times New Roman"/>
          <w:b/>
          <w:sz w:val="24"/>
          <w:szCs w:val="24"/>
        </w:rPr>
      </w:pPr>
      <w:r w:rsidRPr="00F27DDF">
        <w:rPr>
          <w:rFonts w:ascii="Times New Roman" w:hAnsi="Times New Roman" w:cs="Times New Roman"/>
          <w:sz w:val="24"/>
          <w:szCs w:val="24"/>
        </w:rPr>
        <w:t xml:space="preserve">W </w:t>
      </w:r>
      <w:r w:rsidRPr="00F27DDF">
        <w:rPr>
          <w:rFonts w:ascii="Times New Roman" w:hAnsi="Times New Roman" w:cs="Times New Roman"/>
          <w:b/>
          <w:sz w:val="24"/>
          <w:szCs w:val="24"/>
        </w:rPr>
        <w:t>art. 119zzb § 5 Ordynacji podatkowej</w:t>
      </w:r>
      <w:r w:rsidR="009325B2" w:rsidRPr="00F27DDF">
        <w:rPr>
          <w:rFonts w:ascii="Times New Roman" w:hAnsi="Times New Roman" w:cs="Times New Roman"/>
          <w:b/>
          <w:sz w:val="24"/>
          <w:szCs w:val="24"/>
        </w:rPr>
        <w:t>:</w:t>
      </w:r>
    </w:p>
    <w:p w:rsidR="009325B2" w:rsidRPr="00F27DDF" w:rsidRDefault="0073615D" w:rsidP="0073615D">
      <w:pPr>
        <w:spacing w:after="0" w:line="360" w:lineRule="auto"/>
        <w:ind w:left="266" w:hanging="26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B11F1" w:rsidRPr="00F27DDF">
        <w:rPr>
          <w:rFonts w:ascii="Times New Roman" w:hAnsi="Times New Roman" w:cs="Times New Roman"/>
          <w:sz w:val="24"/>
          <w:szCs w:val="24"/>
        </w:rPr>
        <w:t xml:space="preserve">wykreślono „art. 119zv § 1 Ordynacji podatkowej” w związku ze </w:t>
      </w:r>
      <w:r w:rsidR="009325B2" w:rsidRPr="00F27DDF">
        <w:rPr>
          <w:rFonts w:ascii="Times New Roman" w:hAnsi="Times New Roman" w:cs="Times New Roman"/>
          <w:sz w:val="24"/>
          <w:szCs w:val="24"/>
        </w:rPr>
        <w:t>zniesieniem zaskarżalności blokad na okres do 72 godzin,</w:t>
      </w:r>
    </w:p>
    <w:p w:rsidR="005C3F1F" w:rsidRPr="00F27DDF" w:rsidRDefault="0073615D" w:rsidP="0073615D">
      <w:pPr>
        <w:spacing w:after="0" w:line="360" w:lineRule="auto"/>
        <w:ind w:left="266" w:hanging="26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B11F1" w:rsidRPr="00F27DDF">
        <w:rPr>
          <w:rFonts w:ascii="Times New Roman" w:hAnsi="Times New Roman" w:cs="Times New Roman"/>
          <w:sz w:val="24"/>
          <w:szCs w:val="24"/>
        </w:rPr>
        <w:t>wydłużono z</w:t>
      </w:r>
      <w:r w:rsidR="00F27DDF">
        <w:rPr>
          <w:rFonts w:ascii="Times New Roman" w:hAnsi="Times New Roman" w:cs="Times New Roman"/>
          <w:sz w:val="24"/>
          <w:szCs w:val="24"/>
        </w:rPr>
        <w:t xml:space="preserve"> </w:t>
      </w:r>
      <w:r w:rsidR="00AB11F1" w:rsidRPr="00F27DDF">
        <w:rPr>
          <w:rFonts w:ascii="Times New Roman" w:hAnsi="Times New Roman" w:cs="Times New Roman"/>
          <w:sz w:val="24"/>
          <w:szCs w:val="24"/>
        </w:rPr>
        <w:t>5 do 7 dni termin przekazania akt i odpowiedzi na skargę w sprawach postanowień wydawanych na podstawie art. 119zw § 1 i art. 119zza § 1 Ordynacji podatkowej</w:t>
      </w:r>
      <w:r w:rsidR="009325B2" w:rsidRPr="00F27DDF">
        <w:rPr>
          <w:rFonts w:ascii="Times New Roman" w:hAnsi="Times New Roman" w:cs="Times New Roman"/>
          <w:sz w:val="24"/>
          <w:szCs w:val="24"/>
        </w:rPr>
        <w:t>,</w:t>
      </w:r>
    </w:p>
    <w:p w:rsidR="009325B2" w:rsidRPr="00F27DDF" w:rsidRDefault="0073615D" w:rsidP="0073615D">
      <w:pPr>
        <w:spacing w:after="0" w:line="360" w:lineRule="auto"/>
        <w:ind w:left="266" w:hanging="26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9325B2" w:rsidRPr="00F27DDF">
        <w:rPr>
          <w:rFonts w:ascii="Times New Roman" w:hAnsi="Times New Roman" w:cs="Times New Roman"/>
          <w:sz w:val="24"/>
          <w:szCs w:val="24"/>
        </w:rPr>
        <w:t>dopre</w:t>
      </w:r>
      <w:r w:rsidR="00656F09" w:rsidRPr="00F27DDF">
        <w:rPr>
          <w:rFonts w:ascii="Times New Roman" w:hAnsi="Times New Roman" w:cs="Times New Roman"/>
          <w:sz w:val="24"/>
          <w:szCs w:val="24"/>
        </w:rPr>
        <w:t>cyzowano, że przepis dotyczy</w:t>
      </w:r>
      <w:r w:rsidR="009325B2" w:rsidRPr="00F27DDF">
        <w:rPr>
          <w:rFonts w:ascii="Times New Roman" w:hAnsi="Times New Roman" w:cs="Times New Roman"/>
          <w:sz w:val="24"/>
          <w:szCs w:val="24"/>
        </w:rPr>
        <w:t xml:space="preserve"> skarg</w:t>
      </w:r>
      <w:r w:rsidR="00656F09" w:rsidRPr="00F27DDF">
        <w:rPr>
          <w:rFonts w:ascii="Times New Roman" w:hAnsi="Times New Roman" w:cs="Times New Roman"/>
          <w:sz w:val="24"/>
          <w:szCs w:val="24"/>
        </w:rPr>
        <w:t xml:space="preserve"> do wojewódzkiego są</w:t>
      </w:r>
      <w:r w:rsidR="009325B2" w:rsidRPr="00F27DDF">
        <w:rPr>
          <w:rFonts w:ascii="Times New Roman" w:hAnsi="Times New Roman" w:cs="Times New Roman"/>
          <w:sz w:val="24"/>
          <w:szCs w:val="24"/>
        </w:rPr>
        <w:t>du administracyjnego.</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Pozostałe zmiany w art. 119zzb § 5 Ordynacji podatkowej mają charakter legislacyjny. </w:t>
      </w:r>
    </w:p>
    <w:p w:rsidR="005C3F1F" w:rsidRPr="00F27DDF" w:rsidRDefault="0073615D" w:rsidP="0073615D">
      <w:pPr>
        <w:spacing w:before="120" w:after="0" w:line="360" w:lineRule="auto"/>
        <w:ind w:left="462" w:hanging="462"/>
        <w:jc w:val="both"/>
        <w:rPr>
          <w:rFonts w:ascii="Times New Roman" w:hAnsi="Times New Roman" w:cs="Times New Roman"/>
          <w:b/>
          <w:sz w:val="24"/>
          <w:szCs w:val="24"/>
        </w:rPr>
      </w:pPr>
      <w:r>
        <w:rPr>
          <w:rFonts w:ascii="Times New Roman" w:hAnsi="Times New Roman" w:cs="Times New Roman"/>
          <w:b/>
          <w:sz w:val="24"/>
          <w:szCs w:val="24"/>
        </w:rPr>
        <w:t>13)</w:t>
      </w:r>
      <w:r>
        <w:rPr>
          <w:rFonts w:ascii="Times New Roman" w:hAnsi="Times New Roman" w:cs="Times New Roman"/>
          <w:b/>
          <w:sz w:val="24"/>
          <w:szCs w:val="24"/>
        </w:rPr>
        <w:tab/>
      </w:r>
      <w:r w:rsidR="00AB11F1" w:rsidRPr="00F27DDF">
        <w:rPr>
          <w:rFonts w:ascii="Times New Roman" w:hAnsi="Times New Roman" w:cs="Times New Roman"/>
          <w:b/>
          <w:sz w:val="24"/>
          <w:szCs w:val="24"/>
        </w:rPr>
        <w:t>Sprecyzowanie daty upadku blokady</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Zmiany w </w:t>
      </w:r>
      <w:r w:rsidRPr="00F27DDF">
        <w:rPr>
          <w:rFonts w:ascii="Times New Roman" w:hAnsi="Times New Roman" w:cs="Times New Roman"/>
          <w:b/>
          <w:sz w:val="24"/>
          <w:szCs w:val="24"/>
        </w:rPr>
        <w:t>art. 119zzc § 1</w:t>
      </w:r>
      <w:r w:rsidRPr="00F27DDF">
        <w:rPr>
          <w:rFonts w:ascii="Times New Roman" w:hAnsi="Times New Roman" w:cs="Times New Roman"/>
          <w:sz w:val="24"/>
          <w:szCs w:val="24"/>
        </w:rPr>
        <w:t xml:space="preserve"> Ordynacji podatko</w:t>
      </w:r>
      <w:r w:rsidR="0073615D">
        <w:rPr>
          <w:rFonts w:ascii="Times New Roman" w:hAnsi="Times New Roman" w:cs="Times New Roman"/>
          <w:sz w:val="24"/>
          <w:szCs w:val="24"/>
        </w:rPr>
        <w:t>wej polegają na sprecyzowaniu w </w:t>
      </w:r>
      <w:r w:rsidRPr="00F27DDF">
        <w:rPr>
          <w:rFonts w:ascii="Times New Roman" w:hAnsi="Times New Roman" w:cs="Times New Roman"/>
          <w:sz w:val="24"/>
          <w:szCs w:val="24"/>
        </w:rPr>
        <w:t xml:space="preserve">poszczególnych punktach daty upadku blokady. </w:t>
      </w:r>
      <w:r w:rsidR="009059DB">
        <w:rPr>
          <w:rFonts w:ascii="Times New Roman" w:hAnsi="Times New Roman" w:cs="Times New Roman"/>
          <w:sz w:val="24"/>
          <w:szCs w:val="24"/>
        </w:rPr>
        <w:t>We wprowadzeniu do wyliczenia</w:t>
      </w:r>
      <w:r w:rsidRPr="00F27DDF">
        <w:rPr>
          <w:rFonts w:ascii="Times New Roman" w:hAnsi="Times New Roman" w:cs="Times New Roman"/>
          <w:sz w:val="24"/>
          <w:szCs w:val="24"/>
        </w:rPr>
        <w:t xml:space="preserve"> wykreślono wyrażenie „z dniem”, które nie może odnosić się do wszystkich punktów. W </w:t>
      </w:r>
      <w:r w:rsidRPr="00F27DDF">
        <w:rPr>
          <w:rFonts w:ascii="Times New Roman" w:hAnsi="Times New Roman" w:cs="Times New Roman"/>
          <w:b/>
          <w:sz w:val="24"/>
          <w:szCs w:val="24"/>
        </w:rPr>
        <w:t>pkt 1 i 3</w:t>
      </w:r>
      <w:r w:rsidRPr="00F27DDF">
        <w:rPr>
          <w:rFonts w:ascii="Times New Roman" w:hAnsi="Times New Roman" w:cs="Times New Roman"/>
          <w:sz w:val="24"/>
          <w:szCs w:val="24"/>
        </w:rPr>
        <w:t xml:space="preserve"> określono, że blokada upada z upływem terminów</w:t>
      </w:r>
      <w:r w:rsidR="00534DD3">
        <w:rPr>
          <w:rFonts w:ascii="Times New Roman" w:hAnsi="Times New Roman" w:cs="Times New Roman"/>
          <w:sz w:val="24"/>
          <w:szCs w:val="24"/>
        </w:rPr>
        <w:t>,</w:t>
      </w:r>
      <w:r w:rsidRPr="00F27DDF">
        <w:rPr>
          <w:rFonts w:ascii="Times New Roman" w:hAnsi="Times New Roman" w:cs="Times New Roman"/>
          <w:sz w:val="24"/>
          <w:szCs w:val="24"/>
        </w:rPr>
        <w:t xml:space="preserve"> na jaki została dokonana. Termin blokady jest określon</w:t>
      </w:r>
      <w:r w:rsidR="00606045">
        <w:rPr>
          <w:rFonts w:ascii="Times New Roman" w:hAnsi="Times New Roman" w:cs="Times New Roman"/>
          <w:sz w:val="24"/>
          <w:szCs w:val="24"/>
        </w:rPr>
        <w:t>y w żądaniu blokady Szefa KAS i </w:t>
      </w:r>
      <w:r w:rsidRPr="00F27DDF">
        <w:rPr>
          <w:rFonts w:ascii="Times New Roman" w:hAnsi="Times New Roman" w:cs="Times New Roman"/>
          <w:sz w:val="24"/>
          <w:szCs w:val="24"/>
        </w:rPr>
        <w:t>postanowieniu tego orga</w:t>
      </w:r>
      <w:r w:rsidR="0073615D">
        <w:rPr>
          <w:rFonts w:ascii="Times New Roman" w:hAnsi="Times New Roman" w:cs="Times New Roman"/>
          <w:sz w:val="24"/>
          <w:szCs w:val="24"/>
        </w:rPr>
        <w:t>nu o </w:t>
      </w:r>
      <w:r w:rsidRPr="00F27DDF">
        <w:rPr>
          <w:rFonts w:ascii="Times New Roman" w:hAnsi="Times New Roman" w:cs="Times New Roman"/>
          <w:sz w:val="24"/>
          <w:szCs w:val="24"/>
        </w:rPr>
        <w:t>przedłużeniu terminu blokady (odpowiednio art</w:t>
      </w:r>
      <w:r w:rsidR="00606045">
        <w:rPr>
          <w:rFonts w:ascii="Times New Roman" w:hAnsi="Times New Roman" w:cs="Times New Roman"/>
          <w:sz w:val="24"/>
          <w:szCs w:val="24"/>
        </w:rPr>
        <w:t>. 119zv § </w:t>
      </w:r>
      <w:r w:rsidRPr="00F27DDF">
        <w:rPr>
          <w:rFonts w:ascii="Times New Roman" w:hAnsi="Times New Roman" w:cs="Times New Roman"/>
          <w:sz w:val="24"/>
          <w:szCs w:val="24"/>
        </w:rPr>
        <w:t xml:space="preserve">3 pkt 1 i art. 119zw § </w:t>
      </w:r>
      <w:r w:rsidRPr="00F27DDF">
        <w:rPr>
          <w:rFonts w:ascii="Times New Roman" w:hAnsi="Times New Roman" w:cs="Times New Roman"/>
          <w:sz w:val="24"/>
          <w:szCs w:val="24"/>
        </w:rPr>
        <w:lastRenderedPageBreak/>
        <w:t xml:space="preserve">1 Ordynacji podatkowej). W </w:t>
      </w:r>
      <w:r w:rsidRPr="00F27DDF">
        <w:rPr>
          <w:rFonts w:ascii="Times New Roman" w:hAnsi="Times New Roman" w:cs="Times New Roman"/>
          <w:b/>
          <w:sz w:val="24"/>
          <w:szCs w:val="24"/>
        </w:rPr>
        <w:t>pkt 2</w:t>
      </w:r>
      <w:r w:rsidRPr="00F27DDF">
        <w:rPr>
          <w:rFonts w:ascii="Times New Roman" w:hAnsi="Times New Roman" w:cs="Times New Roman"/>
          <w:sz w:val="24"/>
          <w:szCs w:val="24"/>
        </w:rPr>
        <w:t xml:space="preserve"> określono, że blokada upada z chwilą wykonania przez bank lub spółdzielczą kasę oszczędnościowo-kredytową żądania uchylenia blokady. Dodatkowo w pkt 2 uwzględniono przypadek upadku blokady na podstawie art. 119zw § 5 pkt 2 Ordynacji podatkowej. W </w:t>
      </w:r>
      <w:r w:rsidRPr="00F27DDF">
        <w:rPr>
          <w:rFonts w:ascii="Times New Roman" w:hAnsi="Times New Roman" w:cs="Times New Roman"/>
          <w:b/>
          <w:sz w:val="24"/>
          <w:szCs w:val="24"/>
        </w:rPr>
        <w:t>pkt 4</w:t>
      </w:r>
      <w:r w:rsidR="0073615D">
        <w:rPr>
          <w:rFonts w:ascii="Times New Roman" w:hAnsi="Times New Roman" w:cs="Times New Roman"/>
          <w:sz w:val="24"/>
          <w:szCs w:val="24"/>
        </w:rPr>
        <w:t xml:space="preserve"> określono, że blokada upada z </w:t>
      </w:r>
      <w:r w:rsidRPr="00F27DDF">
        <w:rPr>
          <w:rFonts w:ascii="Times New Roman" w:hAnsi="Times New Roman" w:cs="Times New Roman"/>
          <w:sz w:val="24"/>
          <w:szCs w:val="24"/>
        </w:rPr>
        <w:t>chwilą:</w:t>
      </w:r>
    </w:p>
    <w:p w:rsidR="005C3F1F" w:rsidRPr="00F27DDF" w:rsidRDefault="0073615D" w:rsidP="0073615D">
      <w:pPr>
        <w:spacing w:before="120" w:after="0" w:line="360" w:lineRule="auto"/>
        <w:ind w:left="294" w:hanging="294"/>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AB11F1" w:rsidRPr="00F27DDF">
        <w:rPr>
          <w:rFonts w:ascii="Times New Roman" w:hAnsi="Times New Roman" w:cs="Times New Roman"/>
          <w:sz w:val="24"/>
          <w:szCs w:val="24"/>
        </w:rPr>
        <w:t>dokonania zajęcia na podstawie zarządzenia zabe</w:t>
      </w:r>
      <w:r w:rsidR="00606045">
        <w:rPr>
          <w:rFonts w:ascii="Times New Roman" w:hAnsi="Times New Roman" w:cs="Times New Roman"/>
          <w:sz w:val="24"/>
          <w:szCs w:val="24"/>
        </w:rPr>
        <w:t>zpieczenia w trybie przepisów o </w:t>
      </w:r>
      <w:r w:rsidR="00AB11F1" w:rsidRPr="00F27DDF">
        <w:rPr>
          <w:rFonts w:ascii="Times New Roman" w:hAnsi="Times New Roman" w:cs="Times New Roman"/>
          <w:sz w:val="24"/>
          <w:szCs w:val="24"/>
        </w:rPr>
        <w:t>postępowaniu egzekucyjnym w administracj</w:t>
      </w:r>
      <w:r w:rsidR="00C847B8">
        <w:rPr>
          <w:rFonts w:ascii="Times New Roman" w:hAnsi="Times New Roman" w:cs="Times New Roman"/>
          <w:sz w:val="24"/>
          <w:szCs w:val="24"/>
        </w:rPr>
        <w:t>i w związku z zawiadomieniem, o </w:t>
      </w:r>
      <w:r w:rsidR="00AB11F1" w:rsidRPr="00F27DDF">
        <w:rPr>
          <w:rFonts w:ascii="Times New Roman" w:hAnsi="Times New Roman" w:cs="Times New Roman"/>
          <w:sz w:val="24"/>
          <w:szCs w:val="24"/>
        </w:rPr>
        <w:t>którym mowa w art. 119zv § 3 pkt 2 Ordynacji podatkowej, na zabezpieczenie zobowiązania podatkowego lub należności celnej wraz z odsetkami za zwłokę</w:t>
      </w:r>
      <w:r w:rsidR="00A755F8">
        <w:rPr>
          <w:rFonts w:ascii="Times New Roman" w:hAnsi="Times New Roman" w:cs="Times New Roman"/>
          <w:sz w:val="24"/>
          <w:szCs w:val="24"/>
        </w:rPr>
        <w:t>,</w:t>
      </w:r>
      <w:r w:rsidR="00AB11F1" w:rsidRPr="00F27DDF">
        <w:rPr>
          <w:rFonts w:ascii="Times New Roman" w:hAnsi="Times New Roman" w:cs="Times New Roman"/>
          <w:sz w:val="24"/>
          <w:szCs w:val="24"/>
        </w:rPr>
        <w:t xml:space="preserve"> lub</w:t>
      </w:r>
    </w:p>
    <w:p w:rsidR="005C3F1F" w:rsidRPr="00F27DDF" w:rsidRDefault="0073615D" w:rsidP="0073615D">
      <w:pPr>
        <w:spacing w:before="120" w:after="0" w:line="360" w:lineRule="auto"/>
        <w:ind w:left="294" w:hanging="294"/>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AB11F1" w:rsidRPr="00F27DDF">
        <w:rPr>
          <w:rFonts w:ascii="Times New Roman" w:hAnsi="Times New Roman" w:cs="Times New Roman"/>
          <w:sz w:val="24"/>
          <w:szCs w:val="24"/>
        </w:rPr>
        <w:t>postanowienia o zabezpieczeniu majątkowym wydanego w trybie przepisów ustawy z dnia 6 czerwca 1997 r. – Kodeks p</w:t>
      </w:r>
      <w:r w:rsidR="00C847B8">
        <w:rPr>
          <w:rFonts w:ascii="Times New Roman" w:hAnsi="Times New Roman" w:cs="Times New Roman"/>
          <w:sz w:val="24"/>
          <w:szCs w:val="24"/>
        </w:rPr>
        <w:t>ostępowania karnego w związku z </w:t>
      </w:r>
      <w:r w:rsidR="00AB11F1" w:rsidRPr="00F27DDF">
        <w:rPr>
          <w:rFonts w:ascii="Times New Roman" w:hAnsi="Times New Roman" w:cs="Times New Roman"/>
          <w:sz w:val="24"/>
          <w:szCs w:val="24"/>
        </w:rPr>
        <w:t xml:space="preserve">zawiadomieniem, o którym mowa w art. 119zv § 3 pkt 2 Ordynacji podatkowej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 w części odpowiadającej wysokości określonej odpowiednio w zarządzeniu zabezpieczenia lub postanowieniu o zabezpieczeniu majątkowym.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Zmiany </w:t>
      </w:r>
      <w:r w:rsidRPr="00F27DDF">
        <w:rPr>
          <w:rFonts w:ascii="Times New Roman" w:hAnsi="Times New Roman" w:cs="Times New Roman"/>
          <w:b/>
          <w:sz w:val="24"/>
          <w:szCs w:val="24"/>
        </w:rPr>
        <w:t>w pkt 4 lit. a i b</w:t>
      </w:r>
      <w:r w:rsidRPr="00F27DDF">
        <w:rPr>
          <w:rFonts w:ascii="Times New Roman" w:hAnsi="Times New Roman" w:cs="Times New Roman"/>
          <w:sz w:val="24"/>
          <w:szCs w:val="24"/>
        </w:rPr>
        <w:t xml:space="preserve"> polegają także n</w:t>
      </w:r>
      <w:r w:rsidR="00C847B8">
        <w:rPr>
          <w:rFonts w:ascii="Times New Roman" w:hAnsi="Times New Roman" w:cs="Times New Roman"/>
          <w:sz w:val="24"/>
          <w:szCs w:val="24"/>
        </w:rPr>
        <w:t>a dodaniu wyrazów: „w związku z </w:t>
      </w:r>
      <w:r w:rsidRPr="00F27DDF">
        <w:rPr>
          <w:rFonts w:ascii="Times New Roman" w:hAnsi="Times New Roman" w:cs="Times New Roman"/>
          <w:sz w:val="24"/>
          <w:szCs w:val="24"/>
        </w:rPr>
        <w:t>zawiadomieniem, o którym mowa w art. 119zv § 3 pkt 2” Ordynacji podatkowej. Celem proponowanego rozwiązania jest zapobiegnięcie upadku blokady, jeśli zabezpieczenie nie jest związane ze sprawą blokady. Żądanie uchylenia blokady powinno być wykonane niezwłocznie, co wynika z art. 119zzc § 2 Ordynacji podatkowej.</w:t>
      </w:r>
    </w:p>
    <w:p w:rsidR="005C3F1F" w:rsidRPr="00F27DDF" w:rsidRDefault="00C847B8" w:rsidP="00C847B8">
      <w:pPr>
        <w:spacing w:before="120" w:after="0" w:line="360" w:lineRule="auto"/>
        <w:ind w:left="462" w:hanging="462"/>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r>
      <w:r w:rsidR="00AB11F1" w:rsidRPr="00F27DDF">
        <w:rPr>
          <w:rFonts w:ascii="Times New Roman" w:hAnsi="Times New Roman" w:cs="Times New Roman"/>
          <w:b/>
          <w:sz w:val="24"/>
          <w:szCs w:val="24"/>
        </w:rPr>
        <w:t xml:space="preserve">Stosowanie przepisów Kpa w zakresie kar pieniężnych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Aktualne przepisy o karach pieniężnych za niedopełnienie obowiązków określonych w</w:t>
      </w:r>
      <w:r w:rsidR="00C847B8">
        <w:rPr>
          <w:rFonts w:ascii="Times New Roman" w:hAnsi="Times New Roman" w:cs="Times New Roman"/>
          <w:sz w:val="24"/>
          <w:szCs w:val="24"/>
        </w:rPr>
        <w:t> </w:t>
      </w:r>
      <w:r w:rsidRPr="00F27DDF">
        <w:rPr>
          <w:rFonts w:ascii="Times New Roman" w:hAnsi="Times New Roman" w:cs="Times New Roman"/>
          <w:sz w:val="24"/>
          <w:szCs w:val="24"/>
        </w:rPr>
        <w:t>dziale IIIB Ordynacji podatkowej (o odpowiedzialności administracyjnej) przewidują miarkowanie kary (w wysokości nie większej niż 1 000 000 zł). Jednocześnie do kary pieniężnej wymierzanej na podstawie Ordynacji podatkowej, w związku z art. 3 § 1 pkt</w:t>
      </w:r>
      <w:r w:rsidR="00C847B8">
        <w:rPr>
          <w:rFonts w:ascii="Times New Roman" w:hAnsi="Times New Roman" w:cs="Times New Roman"/>
          <w:sz w:val="24"/>
          <w:szCs w:val="24"/>
        </w:rPr>
        <w:t> </w:t>
      </w:r>
      <w:r w:rsidRPr="00F27DDF">
        <w:rPr>
          <w:rFonts w:ascii="Times New Roman" w:hAnsi="Times New Roman" w:cs="Times New Roman"/>
          <w:sz w:val="24"/>
          <w:szCs w:val="24"/>
        </w:rPr>
        <w:t>2 Kpa, nie stosuje się działu</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 xml:space="preserve">IVA </w:t>
      </w:r>
      <w:r w:rsidR="00A755F8">
        <w:rPr>
          <w:rFonts w:ascii="Times New Roman" w:hAnsi="Times New Roman" w:cs="Times New Roman"/>
          <w:sz w:val="24"/>
          <w:szCs w:val="24"/>
        </w:rPr>
        <w:t>„</w:t>
      </w:r>
      <w:r w:rsidRPr="00F27DDF">
        <w:rPr>
          <w:rFonts w:ascii="Times New Roman" w:hAnsi="Times New Roman" w:cs="Times New Roman"/>
          <w:sz w:val="24"/>
          <w:szCs w:val="24"/>
        </w:rPr>
        <w:t>Administracyjne kary pieniężne</w:t>
      </w:r>
      <w:r w:rsidR="00A755F8">
        <w:rPr>
          <w:rFonts w:ascii="Times New Roman" w:hAnsi="Times New Roman" w:cs="Times New Roman"/>
          <w:sz w:val="24"/>
          <w:szCs w:val="24"/>
        </w:rPr>
        <w:t>”</w:t>
      </w:r>
      <w:r w:rsidRPr="00F27DDF">
        <w:rPr>
          <w:rFonts w:ascii="Times New Roman" w:hAnsi="Times New Roman" w:cs="Times New Roman"/>
          <w:sz w:val="24"/>
          <w:szCs w:val="24"/>
        </w:rPr>
        <w:t xml:space="preserve"> Kodeksu postępowania administracyjnego, kompleksowo regulującego kwestie nakładania, w</w:t>
      </w:r>
      <w:r w:rsidR="00C847B8">
        <w:rPr>
          <w:rFonts w:ascii="Times New Roman" w:hAnsi="Times New Roman" w:cs="Times New Roman"/>
          <w:sz w:val="24"/>
          <w:szCs w:val="24"/>
        </w:rPr>
        <w:t> </w:t>
      </w:r>
      <w:r w:rsidRPr="00F27DDF">
        <w:rPr>
          <w:rFonts w:ascii="Times New Roman" w:hAnsi="Times New Roman" w:cs="Times New Roman"/>
          <w:sz w:val="24"/>
          <w:szCs w:val="24"/>
        </w:rPr>
        <w:t>tym miarkowania kar pieniężnych. Stąd proponuje się uzupełnienie przepisów o</w:t>
      </w:r>
      <w:r w:rsidR="00C847B8">
        <w:rPr>
          <w:rFonts w:ascii="Times New Roman" w:hAnsi="Times New Roman" w:cs="Times New Roman"/>
          <w:sz w:val="24"/>
          <w:szCs w:val="24"/>
        </w:rPr>
        <w:t> </w:t>
      </w:r>
      <w:r w:rsidRPr="00F27DDF">
        <w:rPr>
          <w:rFonts w:ascii="Times New Roman" w:hAnsi="Times New Roman" w:cs="Times New Roman"/>
          <w:sz w:val="24"/>
          <w:szCs w:val="24"/>
        </w:rPr>
        <w:t>karach pieniężnych poprzez możliwość stosowania w tym zakresie przepisów działu</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IVA Kodeksu postępowania administracyjnego (</w:t>
      </w:r>
      <w:r w:rsidRPr="00F27DDF">
        <w:rPr>
          <w:rFonts w:ascii="Times New Roman" w:hAnsi="Times New Roman" w:cs="Times New Roman"/>
          <w:b/>
          <w:sz w:val="24"/>
          <w:szCs w:val="24"/>
        </w:rPr>
        <w:t>dodany § 3 w art. 119zzj Ordynacji podatkowej</w:t>
      </w:r>
      <w:r w:rsidRPr="00F27DDF">
        <w:rPr>
          <w:rFonts w:ascii="Times New Roman" w:hAnsi="Times New Roman" w:cs="Times New Roman"/>
          <w:sz w:val="24"/>
          <w:szCs w:val="24"/>
        </w:rPr>
        <w:t>).</w:t>
      </w:r>
    </w:p>
    <w:p w:rsidR="005C3F1F" w:rsidRPr="00F27DDF" w:rsidRDefault="00C847B8" w:rsidP="00C847B8">
      <w:pPr>
        <w:spacing w:before="120" w:after="0" w:line="360" w:lineRule="auto"/>
        <w:ind w:left="462" w:hanging="462"/>
        <w:jc w:val="both"/>
        <w:rPr>
          <w:rFonts w:ascii="Times New Roman" w:hAnsi="Times New Roman" w:cs="Times New Roman"/>
          <w:b/>
          <w:sz w:val="24"/>
          <w:szCs w:val="24"/>
        </w:rPr>
      </w:pPr>
      <w:r>
        <w:rPr>
          <w:rFonts w:ascii="Times New Roman" w:hAnsi="Times New Roman" w:cs="Times New Roman"/>
          <w:b/>
          <w:sz w:val="24"/>
          <w:szCs w:val="24"/>
        </w:rPr>
        <w:t>15)</w:t>
      </w:r>
      <w:r>
        <w:rPr>
          <w:rFonts w:ascii="Times New Roman" w:hAnsi="Times New Roman" w:cs="Times New Roman"/>
          <w:b/>
          <w:sz w:val="24"/>
          <w:szCs w:val="24"/>
        </w:rPr>
        <w:tab/>
      </w:r>
      <w:r w:rsidR="00AB11F1" w:rsidRPr="00F27DDF">
        <w:rPr>
          <w:rFonts w:ascii="Times New Roman" w:hAnsi="Times New Roman" w:cs="Times New Roman"/>
          <w:b/>
          <w:sz w:val="24"/>
          <w:szCs w:val="24"/>
        </w:rPr>
        <w:t>Inne zmiany</w:t>
      </w:r>
    </w:p>
    <w:p w:rsidR="00A46AD6" w:rsidRPr="00F27DDF" w:rsidRDefault="00AB11F1" w:rsidP="00F27DDF">
      <w:pPr>
        <w:pStyle w:val="Tekstpodstawowy2"/>
        <w:shd w:val="clear" w:color="auto" w:fill="auto"/>
        <w:spacing w:before="120" w:line="360" w:lineRule="auto"/>
        <w:ind w:left="20" w:right="20"/>
        <w:jc w:val="both"/>
      </w:pPr>
      <w:r w:rsidRPr="00F27DDF">
        <w:t xml:space="preserve">W celu zwiększenia czytelności przepisów katalog funkcjonalności STIR przeniesiono z art. 119zg pkt 6 Ordynacji podatkowej do nowego art. 119zha </w:t>
      </w:r>
      <w:r w:rsidR="00A46AD6" w:rsidRPr="00F27DDF">
        <w:t xml:space="preserve">§ 1 </w:t>
      </w:r>
      <w:r w:rsidRPr="00F27DDF">
        <w:t xml:space="preserve">tej ustawy. </w:t>
      </w:r>
      <w:r w:rsidRPr="00F27DDF">
        <w:rPr>
          <w:b/>
        </w:rPr>
        <w:t xml:space="preserve">W </w:t>
      </w:r>
      <w:r w:rsidR="00A46AD6" w:rsidRPr="00F27DDF">
        <w:rPr>
          <w:b/>
        </w:rPr>
        <w:t xml:space="preserve">§ 2 w </w:t>
      </w:r>
      <w:r w:rsidRPr="00F27DDF">
        <w:rPr>
          <w:b/>
        </w:rPr>
        <w:lastRenderedPageBreak/>
        <w:t>art. 119zha Ordynacji podatkowej</w:t>
      </w:r>
      <w:r w:rsidRPr="00F27DDF">
        <w:t xml:space="preserve"> </w:t>
      </w:r>
      <w:r w:rsidR="004E7082" w:rsidRPr="00F27DDF">
        <w:t>s</w:t>
      </w:r>
      <w:r w:rsidRPr="00F27DDF">
        <w:t>prec</w:t>
      </w:r>
      <w:r w:rsidR="004E7082" w:rsidRPr="00F27DDF">
        <w:t>yzowan</w:t>
      </w:r>
      <w:r w:rsidR="001F332B" w:rsidRPr="00F27DDF">
        <w:t>o</w:t>
      </w:r>
      <w:r w:rsidRPr="00F27DDF">
        <w:t xml:space="preserve">, że STIR </w:t>
      </w:r>
      <w:r w:rsidR="004E7082" w:rsidRPr="00F27DDF">
        <w:t xml:space="preserve">może </w:t>
      </w:r>
      <w:r w:rsidR="001F332B" w:rsidRPr="00F27DDF">
        <w:t xml:space="preserve">być również wykorzystywany, jeśli odrębne przepisy przewidują wykorzystywanie do realizacji celów określonych w tych przepisach systemu teleinformatycznego bez wskazania podmiotu prowadzącego ten system. Warunkiem wykorzystywania STIR do realizacji celów, o których mowa w § 2, jest zawarcie porozumienia </w:t>
      </w:r>
      <w:r w:rsidRPr="00F27DDF">
        <w:t>pomiędzy ministrem właściwym do spraw finansów publicznych lub Szefem Krajowej Administracji Skarbowej a izbą rozliczeniową</w:t>
      </w:r>
      <w:r w:rsidR="00324622">
        <w:t>,</w:t>
      </w:r>
      <w:r w:rsidR="004E7082" w:rsidRPr="00F27DDF">
        <w:t xml:space="preserve"> określającego sposób wykorzystania STIR do </w:t>
      </w:r>
      <w:r w:rsidR="00A46AD6" w:rsidRPr="00F27DDF">
        <w:t xml:space="preserve">przetwarzania danych lub informacji określonych w przepisach, o których mowa w § 2. </w:t>
      </w:r>
      <w:r w:rsidRPr="00F27DDF">
        <w:t xml:space="preserve">W </w:t>
      </w:r>
      <w:r w:rsidR="004E7082" w:rsidRPr="00F27DDF">
        <w:t xml:space="preserve">§ </w:t>
      </w:r>
      <w:r w:rsidR="001F332B" w:rsidRPr="00F27DDF">
        <w:t>3</w:t>
      </w:r>
      <w:r w:rsidRPr="00F27DDF">
        <w:t xml:space="preserve"> wskazano, że porozumienie może również określać sposób finansowania kosztów związanych z wykorzystaniem STIR do tych celów.</w:t>
      </w:r>
      <w:r w:rsidR="00813F1A" w:rsidRPr="00F27DDF">
        <w:t xml:space="preserve"> </w:t>
      </w:r>
    </w:p>
    <w:p w:rsidR="00CF5EF0" w:rsidRPr="00F27DDF" w:rsidRDefault="00CF5EF0" w:rsidP="00F27DDF">
      <w:pPr>
        <w:pStyle w:val="Tekstpodstawowy2"/>
        <w:shd w:val="clear" w:color="auto" w:fill="auto"/>
        <w:spacing w:before="120" w:line="360" w:lineRule="auto"/>
        <w:ind w:left="20" w:right="20"/>
        <w:jc w:val="both"/>
        <w:rPr>
          <w:color w:val="000000"/>
          <w:lang w:val="pl"/>
        </w:rPr>
      </w:pPr>
      <w:r w:rsidRPr="00F27DDF">
        <w:rPr>
          <w:color w:val="000000"/>
          <w:lang w:val="pl"/>
        </w:rPr>
        <w:t xml:space="preserve">Istota zmian zaproponowanych w art. 119zha </w:t>
      </w:r>
      <w:r w:rsidR="004E7082" w:rsidRPr="00F27DDF">
        <w:rPr>
          <w:color w:val="000000"/>
          <w:lang w:val="pl"/>
        </w:rPr>
        <w:t>§ 2</w:t>
      </w:r>
      <w:r w:rsidR="001F332B" w:rsidRPr="00F27DDF">
        <w:rPr>
          <w:color w:val="000000"/>
          <w:lang w:val="pl"/>
        </w:rPr>
        <w:t xml:space="preserve"> i 3</w:t>
      </w:r>
      <w:r w:rsidR="004E7082" w:rsidRPr="00F27DDF">
        <w:rPr>
          <w:color w:val="000000"/>
          <w:lang w:val="pl"/>
        </w:rPr>
        <w:t xml:space="preserve"> </w:t>
      </w:r>
      <w:r w:rsidRPr="00F27DDF">
        <w:rPr>
          <w:color w:val="000000"/>
          <w:lang w:val="pl"/>
        </w:rPr>
        <w:t xml:space="preserve">Ordynacji podatkowej polega na umożliwieniu wykorzystywania STIR do innych celów niż wprost wskazanych w </w:t>
      </w:r>
      <w:r w:rsidR="00C61D17" w:rsidRPr="00F27DDF">
        <w:rPr>
          <w:color w:val="000000"/>
          <w:lang w:val="pl"/>
        </w:rPr>
        <w:t>§ 1</w:t>
      </w:r>
      <w:r w:rsidRPr="00F27DDF">
        <w:rPr>
          <w:color w:val="000000"/>
          <w:lang w:val="pl"/>
        </w:rPr>
        <w:t>. Obecn</w:t>
      </w:r>
      <w:r w:rsidR="00DB3342" w:rsidRPr="00F27DDF">
        <w:rPr>
          <w:color w:val="000000"/>
          <w:lang w:val="pl"/>
        </w:rPr>
        <w:t>y</w:t>
      </w:r>
      <w:r w:rsidRPr="00F27DDF">
        <w:rPr>
          <w:color w:val="000000"/>
          <w:lang w:val="pl"/>
        </w:rPr>
        <w:t xml:space="preserve"> </w:t>
      </w:r>
      <w:r w:rsidR="00C61D17" w:rsidRPr="00F27DDF">
        <w:rPr>
          <w:color w:val="000000"/>
          <w:lang w:val="pl"/>
        </w:rPr>
        <w:t>art. 119zg pkt 6 Ordynacji podatkowej określając</w:t>
      </w:r>
      <w:r w:rsidR="00DB3342" w:rsidRPr="00F27DDF">
        <w:rPr>
          <w:color w:val="000000"/>
          <w:lang w:val="pl"/>
        </w:rPr>
        <w:t>y</w:t>
      </w:r>
      <w:r w:rsidR="00C61D17" w:rsidRPr="00F27DDF">
        <w:rPr>
          <w:color w:val="000000"/>
          <w:lang w:val="pl"/>
        </w:rPr>
        <w:t xml:space="preserve"> funkcjonalności STIR </w:t>
      </w:r>
      <w:r w:rsidRPr="00F27DDF">
        <w:rPr>
          <w:color w:val="000000"/>
          <w:lang w:val="pl"/>
        </w:rPr>
        <w:t>rodzi wątpliwości</w:t>
      </w:r>
      <w:r w:rsidR="00C13C62">
        <w:rPr>
          <w:color w:val="000000"/>
          <w:lang w:val="pl"/>
        </w:rPr>
        <w:t>,</w:t>
      </w:r>
      <w:r w:rsidRPr="00F27DDF">
        <w:rPr>
          <w:color w:val="000000"/>
          <w:lang w:val="pl"/>
        </w:rPr>
        <w:t xml:space="preserve"> czy możliwe jest wykorzystywanie STIR do tych innych celów. Należy przy tym zwrócić uwagę, pomijając funkcjonalność STIR polegającą na ustalaniu wskaźnika ryzyka, </w:t>
      </w:r>
      <w:r w:rsidR="00DB3342" w:rsidRPr="00F27DDF">
        <w:rPr>
          <w:color w:val="000000"/>
          <w:lang w:val="pl"/>
        </w:rPr>
        <w:t xml:space="preserve">że </w:t>
      </w:r>
      <w:r w:rsidRPr="00F27DDF">
        <w:rPr>
          <w:color w:val="000000"/>
          <w:lang w:val="pl"/>
        </w:rPr>
        <w:t>jest to system teleinformatyczny, który posiada standardowe funkcjonalności polegające m.in. na przekazywaniu za jego pośrednictwem różnych informacji czy dokumentów. Jednocześnie w systemie prawnym funkcjonuje wiele przepisów przewidujących obowiązek lub możliwość korzystania z systemów teleinformatycznych przy wykonywaniu obowiązków prawnych. Dotyczy to m.in. art.</w:t>
      </w:r>
      <w:r w:rsidR="00C847B8">
        <w:rPr>
          <w:color w:val="000000"/>
          <w:lang w:val="pl"/>
        </w:rPr>
        <w:t> </w:t>
      </w:r>
      <w:r w:rsidRPr="00F27DDF">
        <w:rPr>
          <w:color w:val="000000"/>
          <w:lang w:val="pl"/>
        </w:rPr>
        <w:t>108</w:t>
      </w:r>
      <w:r w:rsidR="00BE65AD" w:rsidRPr="00F27DDF">
        <w:rPr>
          <w:color w:val="000000"/>
          <w:lang w:val="pl"/>
        </w:rPr>
        <w:t>b</w:t>
      </w:r>
      <w:r w:rsidRPr="00F27DDF">
        <w:rPr>
          <w:color w:val="000000"/>
          <w:lang w:val="pl"/>
        </w:rPr>
        <w:t xml:space="preserve"> ust. 4 zdanie pierwsze ustawy </w:t>
      </w:r>
      <w:r w:rsidR="00DB3342" w:rsidRPr="00F27DDF">
        <w:rPr>
          <w:color w:val="000000"/>
          <w:lang w:val="pl"/>
        </w:rPr>
        <w:t xml:space="preserve">z dnia 11 marca 2004 r. </w:t>
      </w:r>
      <w:r w:rsidRPr="00F27DDF">
        <w:rPr>
          <w:color w:val="000000"/>
          <w:lang w:val="pl"/>
        </w:rPr>
        <w:t>o podatku od towarów i</w:t>
      </w:r>
      <w:r w:rsidR="00C847B8">
        <w:rPr>
          <w:color w:val="000000"/>
          <w:lang w:val="pl"/>
        </w:rPr>
        <w:t> </w:t>
      </w:r>
      <w:r w:rsidRPr="00F27DDF">
        <w:rPr>
          <w:color w:val="000000"/>
          <w:lang w:val="pl"/>
        </w:rPr>
        <w:t xml:space="preserve">usług przewidującego, że naczelnik urzędu skarbowego przekazuje, przy wykorzystaniu systemu teleinformatycznego albo z użyciem środków komunikacji elektronicznej, informację o postanowieniu, o którym mowa w </w:t>
      </w:r>
      <w:r w:rsidR="00DB3342" w:rsidRPr="00F27DDF">
        <w:rPr>
          <w:color w:val="000000"/>
          <w:lang w:val="pl"/>
        </w:rPr>
        <w:t>art. 108</w:t>
      </w:r>
      <w:r w:rsidR="00BE65AD" w:rsidRPr="00F27DDF">
        <w:rPr>
          <w:color w:val="000000"/>
          <w:lang w:val="pl"/>
        </w:rPr>
        <w:t>b</w:t>
      </w:r>
      <w:r w:rsidR="00DB3342" w:rsidRPr="00F27DDF">
        <w:rPr>
          <w:color w:val="000000"/>
          <w:lang w:val="pl"/>
        </w:rPr>
        <w:t xml:space="preserve"> </w:t>
      </w:r>
      <w:r w:rsidRPr="00F27DDF">
        <w:rPr>
          <w:color w:val="000000"/>
          <w:lang w:val="pl"/>
        </w:rPr>
        <w:t>ust. 1</w:t>
      </w:r>
      <w:r w:rsidR="00DB3342" w:rsidRPr="00F27DDF">
        <w:rPr>
          <w:color w:val="000000"/>
          <w:lang w:val="pl"/>
        </w:rPr>
        <w:t xml:space="preserve"> tej ustawy</w:t>
      </w:r>
      <w:r w:rsidRPr="00F27DDF">
        <w:rPr>
          <w:color w:val="000000"/>
          <w:lang w:val="pl"/>
        </w:rPr>
        <w:t>, bankowi albo spółdzielczej kasie oszczędnościowo-kredytowej, które prowadzą rachunek VAT wskazany we wniosku.</w:t>
      </w:r>
    </w:p>
    <w:p w:rsidR="00CF5EF0" w:rsidRPr="00F27DDF" w:rsidRDefault="00CF5EF0" w:rsidP="00F27DDF">
      <w:pPr>
        <w:spacing w:before="120" w:after="0" w:line="360" w:lineRule="auto"/>
        <w:ind w:left="20" w:right="20"/>
        <w:jc w:val="both"/>
        <w:rPr>
          <w:rFonts w:ascii="Times New Roman" w:eastAsia="Times New Roman" w:hAnsi="Times New Roman" w:cs="Times New Roman"/>
          <w:color w:val="000000"/>
          <w:sz w:val="24"/>
          <w:szCs w:val="24"/>
          <w:lang w:val="pl" w:eastAsia="pl-PL"/>
        </w:rPr>
      </w:pPr>
      <w:r w:rsidRPr="00F27DDF">
        <w:rPr>
          <w:rFonts w:ascii="Times New Roman" w:eastAsia="Times New Roman" w:hAnsi="Times New Roman" w:cs="Times New Roman"/>
          <w:color w:val="000000"/>
          <w:sz w:val="24"/>
          <w:szCs w:val="24"/>
          <w:lang w:val="pl" w:eastAsia="pl-PL"/>
        </w:rPr>
        <w:t>Zestawienie obecnej definicji STIR zawartej w art. 119zg pkt 6 Ordynacji podatkowej z</w:t>
      </w:r>
      <w:r w:rsidR="00C847B8">
        <w:rPr>
          <w:rFonts w:ascii="Times New Roman" w:eastAsia="Times New Roman" w:hAnsi="Times New Roman" w:cs="Times New Roman"/>
          <w:color w:val="000000"/>
          <w:sz w:val="24"/>
          <w:szCs w:val="24"/>
          <w:lang w:val="pl" w:eastAsia="pl-PL"/>
        </w:rPr>
        <w:t> </w:t>
      </w:r>
      <w:r w:rsidRPr="00F27DDF">
        <w:rPr>
          <w:rFonts w:ascii="Times New Roman" w:eastAsia="Times New Roman" w:hAnsi="Times New Roman" w:cs="Times New Roman"/>
          <w:color w:val="000000"/>
          <w:sz w:val="24"/>
          <w:szCs w:val="24"/>
          <w:lang w:val="pl" w:eastAsia="pl-PL"/>
        </w:rPr>
        <w:t xml:space="preserve">innymi przepisami odwołującymi się do wykorzystywania systemów teleinformatycznych może prowadzić do wniosku, że przepisy innych ustaw dotyczą wszystkich systemów teleinformatycznych z wyjątkiem STIR. Przy czym podkreślenia wymaga, że takie podejście nie znajduje uzasadnienia w kontekście celów przepisów Ordynacji podatkowej oraz ustanowienia STIR. Wprowadzenie możliwości wykorzystywania STIR do innych celów ustawowych (np. art. 108b ust. 4 ustawy </w:t>
      </w:r>
      <w:r w:rsidR="00BE65AD" w:rsidRPr="00F27DDF">
        <w:rPr>
          <w:rFonts w:ascii="Times New Roman" w:eastAsia="Times New Roman" w:hAnsi="Times New Roman" w:cs="Times New Roman"/>
          <w:color w:val="000000"/>
          <w:sz w:val="24"/>
          <w:szCs w:val="24"/>
          <w:lang w:val="pl" w:eastAsia="pl-PL"/>
        </w:rPr>
        <w:t>z</w:t>
      </w:r>
      <w:r w:rsidR="00C847B8">
        <w:rPr>
          <w:rFonts w:ascii="Times New Roman" w:eastAsia="Times New Roman" w:hAnsi="Times New Roman" w:cs="Times New Roman"/>
          <w:color w:val="000000"/>
          <w:sz w:val="24"/>
          <w:szCs w:val="24"/>
          <w:lang w:val="pl" w:eastAsia="pl-PL"/>
        </w:rPr>
        <w:t> </w:t>
      </w:r>
      <w:r w:rsidR="00BE65AD" w:rsidRPr="00F27DDF">
        <w:rPr>
          <w:rFonts w:ascii="Times New Roman" w:eastAsia="Times New Roman" w:hAnsi="Times New Roman" w:cs="Times New Roman"/>
          <w:color w:val="000000"/>
          <w:sz w:val="24"/>
          <w:szCs w:val="24"/>
          <w:lang w:val="pl" w:eastAsia="pl-PL"/>
        </w:rPr>
        <w:t xml:space="preserve">dnia </w:t>
      </w:r>
      <w:r w:rsidR="00BE65AD" w:rsidRPr="00F27DDF">
        <w:rPr>
          <w:rFonts w:ascii="Times New Roman" w:eastAsia="Times New Roman" w:hAnsi="Times New Roman" w:cs="Times New Roman"/>
          <w:color w:val="000000"/>
          <w:sz w:val="24"/>
          <w:szCs w:val="24"/>
          <w:lang w:val="pl" w:eastAsia="pl-PL"/>
        </w:rPr>
        <w:lastRenderedPageBreak/>
        <w:t xml:space="preserve">11 marca 2004 r. </w:t>
      </w:r>
      <w:r w:rsidRPr="00F27DDF">
        <w:rPr>
          <w:rFonts w:ascii="Times New Roman" w:eastAsia="Times New Roman" w:hAnsi="Times New Roman" w:cs="Times New Roman"/>
          <w:color w:val="000000"/>
          <w:sz w:val="24"/>
          <w:szCs w:val="24"/>
          <w:lang w:val="pl" w:eastAsia="pl-PL"/>
        </w:rPr>
        <w:t>o podatku od towarów i usług) wskazanych w porozumieniu pozwoli na wykorzystywanie STIR w sposób</w:t>
      </w:r>
      <w:r w:rsidR="006C64D2" w:rsidRPr="00F27DDF">
        <w:rPr>
          <w:rFonts w:ascii="Times New Roman" w:eastAsia="Times New Roman" w:hAnsi="Times New Roman" w:cs="Times New Roman"/>
          <w:color w:val="000000"/>
          <w:sz w:val="24"/>
          <w:szCs w:val="24"/>
          <w:lang w:val="pl" w:eastAsia="pl-PL"/>
        </w:rPr>
        <w:t>,</w:t>
      </w:r>
      <w:r w:rsidRPr="00F27DDF">
        <w:rPr>
          <w:rFonts w:ascii="Times New Roman" w:eastAsia="Times New Roman" w:hAnsi="Times New Roman" w:cs="Times New Roman"/>
          <w:color w:val="000000"/>
          <w:sz w:val="24"/>
          <w:szCs w:val="24"/>
          <w:lang w:val="pl" w:eastAsia="pl-PL"/>
        </w:rPr>
        <w:t xml:space="preserve"> w jaki jest to możliwe w odniesieniu do innych systemów teleinformatycznych</w:t>
      </w:r>
      <w:r w:rsidR="00A755F8">
        <w:rPr>
          <w:rFonts w:ascii="Times New Roman" w:eastAsia="Times New Roman" w:hAnsi="Times New Roman" w:cs="Times New Roman"/>
          <w:color w:val="000000"/>
          <w:sz w:val="24"/>
          <w:szCs w:val="24"/>
          <w:lang w:val="pl" w:eastAsia="pl-PL"/>
        </w:rPr>
        <w:t>,</w:t>
      </w:r>
      <w:r w:rsidRPr="00F27DDF">
        <w:rPr>
          <w:rFonts w:ascii="Times New Roman" w:eastAsia="Times New Roman" w:hAnsi="Times New Roman" w:cs="Times New Roman"/>
          <w:color w:val="000000"/>
          <w:sz w:val="24"/>
          <w:szCs w:val="24"/>
          <w:lang w:val="pl" w:eastAsia="pl-PL"/>
        </w:rPr>
        <w:t xml:space="preserve"> przy jednoczesnym zapewnieniu, że porozumienie to będzie zgodne z obowiązującym prawem (ustawowe cele) i</w:t>
      </w:r>
      <w:r w:rsidR="00C847B8">
        <w:rPr>
          <w:rFonts w:ascii="Times New Roman" w:eastAsia="Times New Roman" w:hAnsi="Times New Roman" w:cs="Times New Roman"/>
          <w:color w:val="000000"/>
          <w:sz w:val="24"/>
          <w:szCs w:val="24"/>
          <w:lang w:val="pl" w:eastAsia="pl-PL"/>
        </w:rPr>
        <w:t> </w:t>
      </w:r>
      <w:r w:rsidRPr="00F27DDF">
        <w:rPr>
          <w:rFonts w:ascii="Times New Roman" w:eastAsia="Times New Roman" w:hAnsi="Times New Roman" w:cs="Times New Roman"/>
          <w:color w:val="000000"/>
          <w:sz w:val="24"/>
          <w:szCs w:val="24"/>
          <w:lang w:val="pl" w:eastAsia="pl-PL"/>
        </w:rPr>
        <w:t>wykorzystywanie STIR w tych celach nie odbije się negatywnie na realizacj</w:t>
      </w:r>
      <w:r w:rsidR="00324622">
        <w:rPr>
          <w:rFonts w:ascii="Times New Roman" w:eastAsia="Times New Roman" w:hAnsi="Times New Roman" w:cs="Times New Roman"/>
          <w:color w:val="000000"/>
          <w:sz w:val="24"/>
          <w:szCs w:val="24"/>
          <w:lang w:val="pl" w:eastAsia="pl-PL"/>
        </w:rPr>
        <w:t>i</w:t>
      </w:r>
      <w:r w:rsidRPr="00F27DDF">
        <w:rPr>
          <w:rFonts w:ascii="Times New Roman" w:eastAsia="Times New Roman" w:hAnsi="Times New Roman" w:cs="Times New Roman"/>
          <w:color w:val="000000"/>
          <w:sz w:val="24"/>
          <w:szCs w:val="24"/>
          <w:lang w:val="pl" w:eastAsia="pl-PL"/>
        </w:rPr>
        <w:t xml:space="preserve"> podstawowego celu, dla którego został utworzony, poprzez ograniczenie dopuszczalności zawierania tych porozumień wyłącznie przez ministra właściwego do spraw finansów publicznych oraz Szefa Krajowej Administracji Skarbowej.</w:t>
      </w:r>
    </w:p>
    <w:p w:rsidR="005C3F1F" w:rsidRPr="00F27DDF" w:rsidRDefault="00AB11F1" w:rsidP="00F27DDF">
      <w:pPr>
        <w:spacing w:before="120" w:after="0" w:line="360" w:lineRule="auto"/>
        <w:jc w:val="both"/>
        <w:rPr>
          <w:rFonts w:ascii="Times New Roman" w:hAnsi="Times New Roman" w:cs="Times New Roman"/>
          <w:b/>
          <w:sz w:val="24"/>
          <w:szCs w:val="24"/>
        </w:rPr>
      </w:pPr>
      <w:r w:rsidRPr="00F27DDF">
        <w:rPr>
          <w:rFonts w:ascii="Times New Roman" w:hAnsi="Times New Roman" w:cs="Times New Roman"/>
          <w:b/>
          <w:sz w:val="24"/>
          <w:szCs w:val="24"/>
        </w:rPr>
        <w:t>II</w:t>
      </w:r>
      <w:r w:rsidR="000275DF" w:rsidRPr="00F27DDF">
        <w:rPr>
          <w:rFonts w:ascii="Times New Roman" w:hAnsi="Times New Roman" w:cs="Times New Roman"/>
          <w:b/>
          <w:sz w:val="24"/>
          <w:szCs w:val="24"/>
        </w:rPr>
        <w:t>I</w:t>
      </w:r>
      <w:r w:rsidRPr="00F27DDF">
        <w:rPr>
          <w:rFonts w:ascii="Times New Roman" w:hAnsi="Times New Roman" w:cs="Times New Roman"/>
          <w:b/>
          <w:sz w:val="24"/>
          <w:szCs w:val="24"/>
        </w:rPr>
        <w:t xml:space="preserve">. Ustawa z dnia 17 listopada 1964 r. </w:t>
      </w:r>
      <w:r w:rsidR="00F27DDF">
        <w:rPr>
          <w:rFonts w:ascii="Times New Roman" w:hAnsi="Times New Roman" w:cs="Times New Roman"/>
          <w:b/>
          <w:sz w:val="24"/>
          <w:szCs w:val="24"/>
        </w:rPr>
        <w:t>–</w:t>
      </w:r>
      <w:r w:rsidRPr="00F27DDF">
        <w:rPr>
          <w:rFonts w:ascii="Times New Roman" w:hAnsi="Times New Roman" w:cs="Times New Roman"/>
          <w:b/>
          <w:sz w:val="24"/>
          <w:szCs w:val="24"/>
        </w:rPr>
        <w:t xml:space="preserve"> Kodeks postępowania cywilnego (art. 2 projektu) i ustawa z dnia 17 czerwca 1966 r. o postępowaniu egzekucyjnym w</w:t>
      </w:r>
      <w:r w:rsidR="00C847B8">
        <w:rPr>
          <w:rFonts w:ascii="Times New Roman" w:hAnsi="Times New Roman" w:cs="Times New Roman"/>
          <w:b/>
          <w:sz w:val="24"/>
          <w:szCs w:val="24"/>
        </w:rPr>
        <w:t> </w:t>
      </w:r>
      <w:r w:rsidRPr="00F27DDF">
        <w:rPr>
          <w:rFonts w:ascii="Times New Roman" w:hAnsi="Times New Roman" w:cs="Times New Roman"/>
          <w:b/>
          <w:sz w:val="24"/>
          <w:szCs w:val="24"/>
        </w:rPr>
        <w:t>administracji</w:t>
      </w:r>
      <w:r w:rsidR="00F27DDF">
        <w:rPr>
          <w:rFonts w:ascii="Times New Roman" w:hAnsi="Times New Roman" w:cs="Times New Roman"/>
          <w:b/>
          <w:sz w:val="24"/>
          <w:szCs w:val="24"/>
        </w:rPr>
        <w:t xml:space="preserve"> </w:t>
      </w:r>
      <w:r w:rsidRPr="00F27DDF">
        <w:rPr>
          <w:rFonts w:ascii="Times New Roman" w:hAnsi="Times New Roman" w:cs="Times New Roman"/>
          <w:b/>
          <w:sz w:val="24"/>
          <w:szCs w:val="24"/>
        </w:rPr>
        <w:t>(art. 3 projektu)</w:t>
      </w:r>
      <w:r w:rsidR="00F27DDF">
        <w:rPr>
          <w:rFonts w:ascii="Times New Roman" w:hAnsi="Times New Roman" w:cs="Times New Roman"/>
          <w:b/>
          <w:sz w:val="24"/>
          <w:szCs w:val="24"/>
        </w:rPr>
        <w:t xml:space="preserve"> </w:t>
      </w:r>
    </w:p>
    <w:p w:rsidR="005C3F1F" w:rsidRPr="00F27DDF" w:rsidRDefault="00AB11F1" w:rsidP="00F27DD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27DDF">
        <w:rPr>
          <w:rFonts w:ascii="Times New Roman" w:eastAsia="Times New Roman" w:hAnsi="Times New Roman" w:cs="Times New Roman"/>
          <w:sz w:val="24"/>
          <w:szCs w:val="24"/>
          <w:lang w:eastAsia="pl-PL"/>
        </w:rPr>
        <w:t>Celem zmian zaproponowanych w projekcie je</w:t>
      </w:r>
      <w:r w:rsidR="00C847B8">
        <w:rPr>
          <w:rFonts w:ascii="Times New Roman" w:eastAsia="Times New Roman" w:hAnsi="Times New Roman" w:cs="Times New Roman"/>
          <w:sz w:val="24"/>
          <w:szCs w:val="24"/>
          <w:lang w:eastAsia="pl-PL"/>
        </w:rPr>
        <w:t>st wyeliminowanie wątpliwości w </w:t>
      </w:r>
      <w:r w:rsidRPr="00F27DDF">
        <w:rPr>
          <w:rFonts w:ascii="Times New Roman" w:eastAsia="Times New Roman" w:hAnsi="Times New Roman" w:cs="Times New Roman"/>
          <w:sz w:val="24"/>
          <w:szCs w:val="24"/>
          <w:lang w:eastAsia="pl-PL"/>
        </w:rPr>
        <w:t>zakresie możliwości dokonywania zajęć wierzyt</w:t>
      </w:r>
      <w:r w:rsidR="00C847B8">
        <w:rPr>
          <w:rFonts w:ascii="Times New Roman" w:eastAsia="Times New Roman" w:hAnsi="Times New Roman" w:cs="Times New Roman"/>
          <w:sz w:val="24"/>
          <w:szCs w:val="24"/>
          <w:lang w:eastAsia="pl-PL"/>
        </w:rPr>
        <w:t>elności z rachunku bankowego w </w:t>
      </w:r>
      <w:r w:rsidRPr="00F27DDF">
        <w:rPr>
          <w:rFonts w:ascii="Times New Roman" w:eastAsia="Times New Roman" w:hAnsi="Times New Roman" w:cs="Times New Roman"/>
          <w:sz w:val="24"/>
          <w:szCs w:val="24"/>
          <w:lang w:eastAsia="pl-PL"/>
        </w:rPr>
        <w:t>okresie trwania blokady tego rachunku, na poczet innych należności niż należności alimentacyjn</w:t>
      </w:r>
      <w:r w:rsidR="00324622">
        <w:rPr>
          <w:rFonts w:ascii="Times New Roman" w:eastAsia="Times New Roman" w:hAnsi="Times New Roman" w:cs="Times New Roman"/>
          <w:sz w:val="24"/>
          <w:szCs w:val="24"/>
          <w:lang w:eastAsia="pl-PL"/>
        </w:rPr>
        <w:t>e</w:t>
      </w:r>
      <w:r w:rsidRPr="00F27DDF">
        <w:rPr>
          <w:rFonts w:ascii="Times New Roman" w:eastAsia="Times New Roman" w:hAnsi="Times New Roman" w:cs="Times New Roman"/>
          <w:sz w:val="24"/>
          <w:szCs w:val="24"/>
          <w:lang w:eastAsia="pl-PL"/>
        </w:rPr>
        <w:t xml:space="preserve"> czy wynagrodzenia ze stosunku pracy w egzekucji sądowej. </w:t>
      </w:r>
    </w:p>
    <w:p w:rsidR="005C3F1F" w:rsidRPr="00F27DDF" w:rsidRDefault="00AB11F1" w:rsidP="00F27DD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27DDF">
        <w:rPr>
          <w:rFonts w:ascii="Times New Roman" w:eastAsia="Times New Roman" w:hAnsi="Times New Roman" w:cs="Times New Roman"/>
          <w:sz w:val="24"/>
          <w:szCs w:val="24"/>
          <w:lang w:eastAsia="pl-PL"/>
        </w:rPr>
        <w:t xml:space="preserve">Zgodnie z projektowanymi przepisami zajęcie dokonane w okresie trwania blokady rachunku na poczet innych niż ww. należności będzie realizowane po upływie terminu, uchyleniu, bądź upadku blokady. Projektowane regulacje zakładają, że takie zajęcie będzie traktowane na równi z zajęciami skierowanymi do banku przed ustanowieniem blokady rachunku. Zgodnie z obowiązującymi przepisami w okresie trwania blokady możliwe jest dokonanie zajęcia wierzytelności z rachunku bankowego tylko na poczet należności podatkowych, celnych, alimentacyjnych czy wynagrodzeń ze stosunku pracy. Zatem w przypadku skierowania zajęcia wierzytelności z rachunku bankowego będącego przedmiotem blokady na poczet innych niż ww. należności, zajęcie nie zostaje dokonane. Organ egzekucyjny po upadku bądź uchyleniu blokady jest zobowiązany do ponownego skierowania zajęcia do banku. W opinii projektodawcy brak jest uzasadnienia dla ponownego zajęcia wierzytelności z rachunku bankowego po upadku blokady. Rozwiązaniem korzystniejszym jest czasowe wstrzymanie realizacji tego zajęcia do momentu zakończenia blokady. </w:t>
      </w:r>
    </w:p>
    <w:p w:rsidR="005C3F1F" w:rsidRPr="00F27DDF" w:rsidRDefault="00AB11F1" w:rsidP="00F27DD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27DDF">
        <w:rPr>
          <w:rFonts w:ascii="Times New Roman" w:eastAsia="Times New Roman" w:hAnsi="Times New Roman" w:cs="Times New Roman"/>
          <w:sz w:val="24"/>
          <w:szCs w:val="24"/>
          <w:lang w:eastAsia="pl-PL"/>
        </w:rPr>
        <w:t>Jednocześnie zrezygnowano z możliwości realizacji zajęć wierzytelności z rachunku bankowego na poczet należności celnych i podatkowych dokonanych</w:t>
      </w:r>
      <w:r w:rsidR="00F27DDF">
        <w:rPr>
          <w:rFonts w:ascii="Times New Roman" w:eastAsia="Times New Roman" w:hAnsi="Times New Roman" w:cs="Times New Roman"/>
          <w:sz w:val="24"/>
          <w:szCs w:val="24"/>
          <w:lang w:eastAsia="pl-PL"/>
        </w:rPr>
        <w:t xml:space="preserve"> </w:t>
      </w:r>
      <w:r w:rsidRPr="00F27DDF">
        <w:rPr>
          <w:rFonts w:ascii="Times New Roman" w:eastAsia="Times New Roman" w:hAnsi="Times New Roman" w:cs="Times New Roman"/>
          <w:sz w:val="24"/>
          <w:szCs w:val="24"/>
          <w:lang w:eastAsia="pl-PL"/>
        </w:rPr>
        <w:t xml:space="preserve">w okresie trwania blokady. Należności te mogą być uiszczane z zablokowanego rachunku bankowego na </w:t>
      </w:r>
      <w:r w:rsidRPr="00F27DDF">
        <w:rPr>
          <w:rFonts w:ascii="Times New Roman" w:eastAsia="Times New Roman" w:hAnsi="Times New Roman" w:cs="Times New Roman"/>
          <w:sz w:val="24"/>
          <w:szCs w:val="24"/>
          <w:lang w:eastAsia="pl-PL"/>
        </w:rPr>
        <w:lastRenderedPageBreak/>
        <w:t>podstawie postanowienia Szefa KAS (art. 119zz i 119zza Ordynacji podatkowej), zatem brak uzasadnienia dla powielania możliwości u</w:t>
      </w:r>
      <w:r w:rsidR="00C847B8">
        <w:rPr>
          <w:rFonts w:ascii="Times New Roman" w:eastAsia="Times New Roman" w:hAnsi="Times New Roman" w:cs="Times New Roman"/>
          <w:sz w:val="24"/>
          <w:szCs w:val="24"/>
          <w:lang w:eastAsia="pl-PL"/>
        </w:rPr>
        <w:t>regulowania tych należności (na </w:t>
      </w:r>
      <w:r w:rsidRPr="00F27DDF">
        <w:rPr>
          <w:rFonts w:ascii="Times New Roman" w:eastAsia="Times New Roman" w:hAnsi="Times New Roman" w:cs="Times New Roman"/>
          <w:sz w:val="24"/>
          <w:szCs w:val="24"/>
          <w:lang w:eastAsia="pl-PL"/>
        </w:rPr>
        <w:t xml:space="preserve">podstawie postanowienia i zajęcia). </w:t>
      </w:r>
    </w:p>
    <w:p w:rsidR="005C3F1F" w:rsidRPr="00F27DDF" w:rsidRDefault="00AB11F1" w:rsidP="00F27DD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27DDF">
        <w:rPr>
          <w:rFonts w:ascii="Times New Roman" w:eastAsia="Times New Roman" w:hAnsi="Times New Roman" w:cs="Times New Roman"/>
          <w:sz w:val="24"/>
          <w:szCs w:val="24"/>
          <w:lang w:eastAsia="pl-PL"/>
        </w:rPr>
        <w:t>Ponadto zmodyfikowano przepisy dotyczące informowania organu egzekucyjnego przez bank o braku możliwości realizacji zajęcia wierzytelności z rachunku bankowego. Zgodnie z projektowanymi przepisami w przypadku przedłużenia blokady przez Szefa KAS bank poinformuje o przyczynie wstrzymania realizacji zajęcia, tj. blokadzie rachunku. Natomiast w przypadku zajęcia wierzytelności rachunku bankowego skierowanego do banku w okresie blokady rachunku bankowego ustanowionej na podstawie art. 119zv § 1 ustawy – Ordynacja podatkowa bank zgodnie z ogólnymi przepisami dotyczącymi zajęć poinformuje o przes</w:t>
      </w:r>
      <w:r w:rsidR="00C847B8">
        <w:rPr>
          <w:rFonts w:ascii="Times New Roman" w:eastAsia="Times New Roman" w:hAnsi="Times New Roman" w:cs="Times New Roman"/>
          <w:sz w:val="24"/>
          <w:szCs w:val="24"/>
          <w:lang w:eastAsia="pl-PL"/>
        </w:rPr>
        <w:t>zkodzie w realizacji zajęcia. W </w:t>
      </w:r>
      <w:r w:rsidRPr="00F27DDF">
        <w:rPr>
          <w:rFonts w:ascii="Times New Roman" w:eastAsia="Times New Roman" w:hAnsi="Times New Roman" w:cs="Times New Roman"/>
          <w:sz w:val="24"/>
          <w:szCs w:val="24"/>
          <w:lang w:eastAsia="pl-PL"/>
        </w:rPr>
        <w:t>konsekwencji, w okresie blokady ustanowionej na 72</w:t>
      </w:r>
      <w:r w:rsidR="00A755F8">
        <w:rPr>
          <w:rFonts w:ascii="Times New Roman" w:eastAsia="Times New Roman" w:hAnsi="Times New Roman" w:cs="Times New Roman"/>
          <w:sz w:val="24"/>
          <w:szCs w:val="24"/>
          <w:lang w:eastAsia="pl-PL"/>
        </w:rPr>
        <w:t xml:space="preserve"> godziny</w:t>
      </w:r>
      <w:r w:rsidRPr="00F27DDF">
        <w:rPr>
          <w:rFonts w:ascii="Times New Roman" w:eastAsia="Times New Roman" w:hAnsi="Times New Roman" w:cs="Times New Roman"/>
          <w:sz w:val="24"/>
          <w:szCs w:val="24"/>
          <w:lang w:eastAsia="pl-PL"/>
        </w:rPr>
        <w:t xml:space="preserve"> bank nie będzie miał podstawy do informowania o przyczynie braku możliwości realizacji zajęcia (blokadzie rachunku). Celem powyższej zmiany jest zapewnienie, że organ egzekucyjny nie uzyska informacji o blokadzie rachunku bankowego, jeżeli blokada ta nie zostanie przedłużona postanowieniem Szefa KAS wydanym na podstawie art. 119zw § 1 ustawy </w:t>
      </w:r>
      <w:r w:rsidR="00F27DDF">
        <w:rPr>
          <w:rFonts w:ascii="Times New Roman" w:eastAsia="Times New Roman" w:hAnsi="Times New Roman" w:cs="Times New Roman"/>
          <w:sz w:val="24"/>
          <w:szCs w:val="24"/>
          <w:lang w:eastAsia="pl-PL"/>
        </w:rPr>
        <w:t>–</w:t>
      </w:r>
      <w:r w:rsidRPr="00F27DDF">
        <w:rPr>
          <w:rFonts w:ascii="Times New Roman" w:eastAsia="Times New Roman" w:hAnsi="Times New Roman" w:cs="Times New Roman"/>
          <w:sz w:val="24"/>
          <w:szCs w:val="24"/>
          <w:lang w:eastAsia="pl-PL"/>
        </w:rPr>
        <w:t xml:space="preserve"> Ordynacja podatkowa. </w:t>
      </w:r>
    </w:p>
    <w:p w:rsidR="00094151" w:rsidRPr="00F27DDF" w:rsidRDefault="00AB11F1" w:rsidP="00C847B8">
      <w:pPr>
        <w:spacing w:before="240" w:after="0" w:line="360" w:lineRule="auto"/>
        <w:ind w:left="476" w:hanging="476"/>
        <w:jc w:val="both"/>
        <w:rPr>
          <w:rFonts w:ascii="Times New Roman" w:hAnsi="Times New Roman" w:cs="Times New Roman"/>
          <w:b/>
          <w:sz w:val="24"/>
          <w:szCs w:val="24"/>
        </w:rPr>
      </w:pPr>
      <w:r w:rsidRPr="00F27DDF">
        <w:rPr>
          <w:rFonts w:ascii="Times New Roman" w:hAnsi="Times New Roman" w:cs="Times New Roman"/>
          <w:b/>
          <w:sz w:val="24"/>
          <w:szCs w:val="24"/>
        </w:rPr>
        <w:t>I</w:t>
      </w:r>
      <w:r w:rsidR="000275DF" w:rsidRPr="00F27DDF">
        <w:rPr>
          <w:rFonts w:ascii="Times New Roman" w:hAnsi="Times New Roman" w:cs="Times New Roman"/>
          <w:b/>
          <w:sz w:val="24"/>
          <w:szCs w:val="24"/>
        </w:rPr>
        <w:t>V</w:t>
      </w:r>
      <w:r w:rsidR="00C847B8">
        <w:rPr>
          <w:rFonts w:ascii="Times New Roman" w:hAnsi="Times New Roman" w:cs="Times New Roman"/>
          <w:b/>
          <w:sz w:val="24"/>
          <w:szCs w:val="24"/>
        </w:rPr>
        <w:t>.</w:t>
      </w:r>
      <w:r w:rsidR="00C847B8">
        <w:rPr>
          <w:rFonts w:ascii="Times New Roman" w:hAnsi="Times New Roman" w:cs="Times New Roman"/>
          <w:b/>
          <w:sz w:val="24"/>
          <w:szCs w:val="24"/>
        </w:rPr>
        <w:tab/>
      </w:r>
      <w:r w:rsidR="00094151" w:rsidRPr="00F27DDF">
        <w:rPr>
          <w:rFonts w:ascii="Times New Roman" w:hAnsi="Times New Roman" w:cs="Times New Roman"/>
          <w:b/>
          <w:sz w:val="24"/>
          <w:szCs w:val="24"/>
        </w:rPr>
        <w:t>Ustawa z dnia 29 sierpnia 1997 r. – Prawo bankowe (art. 4 projektu)</w:t>
      </w:r>
    </w:p>
    <w:p w:rsidR="00A77FFA" w:rsidRPr="00F27DDF" w:rsidRDefault="006C64D2" w:rsidP="00F27DDF">
      <w:pPr>
        <w:spacing w:before="120" w:after="0" w:line="360" w:lineRule="auto"/>
        <w:jc w:val="both"/>
        <w:rPr>
          <w:rFonts w:ascii="Times New Roman" w:eastAsia="Calibri" w:hAnsi="Times New Roman" w:cs="Times New Roman"/>
          <w:sz w:val="24"/>
          <w:szCs w:val="24"/>
        </w:rPr>
      </w:pPr>
      <w:r w:rsidRPr="00F27DDF">
        <w:rPr>
          <w:rFonts w:ascii="Times New Roman" w:eastAsia="Calibri" w:hAnsi="Times New Roman" w:cs="Times New Roman"/>
          <w:b/>
          <w:sz w:val="24"/>
          <w:szCs w:val="24"/>
        </w:rPr>
        <w:t>D</w:t>
      </w:r>
      <w:r w:rsidR="00A77FFA" w:rsidRPr="00F27DDF">
        <w:rPr>
          <w:rFonts w:ascii="Times New Roman" w:eastAsia="Calibri" w:hAnsi="Times New Roman" w:cs="Times New Roman"/>
          <w:b/>
          <w:sz w:val="24"/>
          <w:szCs w:val="24"/>
        </w:rPr>
        <w:t xml:space="preserve">odanie w art. 62b ust. 5 </w:t>
      </w:r>
      <w:r w:rsidRPr="00F27DDF">
        <w:rPr>
          <w:rFonts w:ascii="Times New Roman" w:eastAsia="Calibri" w:hAnsi="Times New Roman" w:cs="Times New Roman"/>
          <w:sz w:val="24"/>
          <w:szCs w:val="24"/>
        </w:rPr>
        <w:t>m</w:t>
      </w:r>
      <w:r w:rsidR="00A77FFA" w:rsidRPr="00F27DDF">
        <w:rPr>
          <w:rFonts w:ascii="Times New Roman" w:eastAsia="Calibri" w:hAnsi="Times New Roman" w:cs="Times New Roman"/>
          <w:sz w:val="24"/>
          <w:szCs w:val="24"/>
        </w:rPr>
        <w:t>a</w:t>
      </w:r>
      <w:r w:rsidRPr="00F27DDF">
        <w:rPr>
          <w:rFonts w:ascii="Times New Roman" w:eastAsia="Calibri" w:hAnsi="Times New Roman" w:cs="Times New Roman"/>
          <w:sz w:val="24"/>
          <w:szCs w:val="24"/>
        </w:rPr>
        <w:t xml:space="preserve"> na</w:t>
      </w:r>
      <w:r w:rsidR="00A77FFA" w:rsidRPr="00F27DDF">
        <w:rPr>
          <w:rFonts w:ascii="Times New Roman" w:eastAsia="Calibri" w:hAnsi="Times New Roman" w:cs="Times New Roman"/>
          <w:sz w:val="24"/>
          <w:szCs w:val="24"/>
        </w:rPr>
        <w:t xml:space="preserve"> cel</w:t>
      </w:r>
      <w:r w:rsidRPr="00F27DDF">
        <w:rPr>
          <w:rFonts w:ascii="Times New Roman" w:eastAsia="Calibri" w:hAnsi="Times New Roman" w:cs="Times New Roman"/>
          <w:sz w:val="24"/>
          <w:szCs w:val="24"/>
        </w:rPr>
        <w:t>u uniknięcie</w:t>
      </w:r>
      <w:r w:rsidR="00A77FFA" w:rsidRPr="00F27DDF">
        <w:rPr>
          <w:rFonts w:ascii="Times New Roman" w:eastAsia="Calibri" w:hAnsi="Times New Roman" w:cs="Times New Roman"/>
          <w:sz w:val="24"/>
          <w:szCs w:val="24"/>
        </w:rPr>
        <w:t xml:space="preserve"> mogącego powstać rozszczelnienia systemu mechanizmu podzielonej płatności. Dodawany przepis wyraźnie wskazuje, że nie jest możliwe obciążenie rachunku VAT, w celu dokonania płatności przy użyciu komunikatu przelewu, jeżeli rachunek odbiorcy jest prowadzony przez </w:t>
      </w:r>
      <w:r w:rsidR="00455DE8" w:rsidRPr="00F27DDF">
        <w:rPr>
          <w:rFonts w:ascii="Times New Roman" w:eastAsia="Calibri" w:hAnsi="Times New Roman" w:cs="Times New Roman"/>
          <w:sz w:val="24"/>
          <w:szCs w:val="24"/>
        </w:rPr>
        <w:t xml:space="preserve">bank </w:t>
      </w:r>
      <w:r w:rsidR="00A77FFA" w:rsidRPr="00F27DDF">
        <w:rPr>
          <w:rFonts w:ascii="Times New Roman" w:eastAsia="Calibri" w:hAnsi="Times New Roman" w:cs="Times New Roman"/>
          <w:sz w:val="24"/>
          <w:szCs w:val="24"/>
        </w:rPr>
        <w:t>zagraniczny lub instytucję kredytową, któr</w:t>
      </w:r>
      <w:r w:rsidR="00A755F8">
        <w:rPr>
          <w:rFonts w:ascii="Times New Roman" w:eastAsia="Calibri" w:hAnsi="Times New Roman" w:cs="Times New Roman"/>
          <w:sz w:val="24"/>
          <w:szCs w:val="24"/>
        </w:rPr>
        <w:t>e</w:t>
      </w:r>
      <w:r w:rsidR="00A77FFA" w:rsidRPr="00F27DDF">
        <w:rPr>
          <w:rFonts w:ascii="Times New Roman" w:eastAsia="Calibri" w:hAnsi="Times New Roman" w:cs="Times New Roman"/>
          <w:sz w:val="24"/>
          <w:szCs w:val="24"/>
        </w:rPr>
        <w:t xml:space="preserve"> nie działa</w:t>
      </w:r>
      <w:r w:rsidR="00A755F8">
        <w:rPr>
          <w:rFonts w:ascii="Times New Roman" w:eastAsia="Calibri" w:hAnsi="Times New Roman" w:cs="Times New Roman"/>
          <w:sz w:val="24"/>
          <w:szCs w:val="24"/>
        </w:rPr>
        <w:t>ją</w:t>
      </w:r>
      <w:r w:rsidR="00A77FFA" w:rsidRPr="00F27DDF">
        <w:rPr>
          <w:rFonts w:ascii="Times New Roman" w:eastAsia="Calibri" w:hAnsi="Times New Roman" w:cs="Times New Roman"/>
          <w:sz w:val="24"/>
          <w:szCs w:val="24"/>
        </w:rPr>
        <w:t xml:space="preserve"> w formie oddziału na terytorium Rzeczypospolitej Polskie</w:t>
      </w:r>
      <w:r w:rsidR="00C13C62">
        <w:rPr>
          <w:rFonts w:ascii="Times New Roman" w:eastAsia="Calibri" w:hAnsi="Times New Roman" w:cs="Times New Roman"/>
          <w:sz w:val="24"/>
          <w:szCs w:val="24"/>
        </w:rPr>
        <w:t>j</w:t>
      </w:r>
      <w:r w:rsidR="00A77FFA" w:rsidRPr="00F27DDF">
        <w:rPr>
          <w:rFonts w:ascii="Times New Roman" w:eastAsia="Calibri" w:hAnsi="Times New Roman" w:cs="Times New Roman"/>
          <w:sz w:val="24"/>
          <w:szCs w:val="24"/>
        </w:rPr>
        <w:t>, a więc nie podlega</w:t>
      </w:r>
      <w:r w:rsidR="00455DE8">
        <w:rPr>
          <w:rFonts w:ascii="Times New Roman" w:eastAsia="Calibri" w:hAnsi="Times New Roman" w:cs="Times New Roman"/>
          <w:sz w:val="24"/>
          <w:szCs w:val="24"/>
        </w:rPr>
        <w:t>ją</w:t>
      </w:r>
      <w:r w:rsidR="00A77FFA" w:rsidRPr="00F27DDF">
        <w:rPr>
          <w:rFonts w:ascii="Times New Roman" w:eastAsia="Calibri" w:hAnsi="Times New Roman" w:cs="Times New Roman"/>
          <w:sz w:val="24"/>
          <w:szCs w:val="24"/>
        </w:rPr>
        <w:t xml:space="preserve"> Prawu bankowemu. Chodzi o uniknięcie sytuacji, gdy wysłany zostanie przelew w podzielonej płatności do banku lub instytucji kredytowej, które nie podlegają Prawu bankowemu i tym samym nie założyły rachunków VAT ani nie mają obowiązku odrzucenia przelewu, z uwagi na brak rachunku VAT.</w:t>
      </w:r>
    </w:p>
    <w:p w:rsidR="005C3F1F" w:rsidRPr="00F27DDF" w:rsidRDefault="00C847B8" w:rsidP="00C847B8">
      <w:pPr>
        <w:spacing w:before="240" w:after="0" w:line="360" w:lineRule="auto"/>
        <w:ind w:left="476" w:hanging="476"/>
        <w:jc w:val="both"/>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rPr>
        <w:tab/>
      </w:r>
      <w:r w:rsidR="00AB11F1" w:rsidRPr="00F27DDF">
        <w:rPr>
          <w:rFonts w:ascii="Times New Roman" w:hAnsi="Times New Roman" w:cs="Times New Roman"/>
          <w:b/>
          <w:sz w:val="24"/>
          <w:szCs w:val="24"/>
        </w:rPr>
        <w:t xml:space="preserve">Ustawa z dnia 11 marca 2004 r. o podatku od towarów i usług (art. </w:t>
      </w:r>
      <w:r w:rsidR="00094151" w:rsidRPr="00F27DDF">
        <w:rPr>
          <w:rFonts w:ascii="Times New Roman" w:hAnsi="Times New Roman" w:cs="Times New Roman"/>
          <w:b/>
          <w:sz w:val="24"/>
          <w:szCs w:val="24"/>
        </w:rPr>
        <w:t>5</w:t>
      </w:r>
      <w:r w:rsidR="00AB11F1" w:rsidRPr="00F27DDF">
        <w:rPr>
          <w:rFonts w:ascii="Times New Roman" w:hAnsi="Times New Roman" w:cs="Times New Roman"/>
          <w:b/>
          <w:sz w:val="24"/>
          <w:szCs w:val="24"/>
        </w:rPr>
        <w:t xml:space="preserve"> projektu)</w:t>
      </w:r>
    </w:p>
    <w:p w:rsidR="005C3F1F" w:rsidRPr="00F27DDF" w:rsidRDefault="00AB11F1" w:rsidP="00C847B8">
      <w:pPr>
        <w:spacing w:before="120" w:after="0" w:line="360" w:lineRule="auto"/>
        <w:ind w:left="392" w:hanging="392"/>
        <w:jc w:val="both"/>
        <w:rPr>
          <w:rFonts w:ascii="Times New Roman" w:hAnsi="Times New Roman" w:cs="Times New Roman"/>
          <w:b/>
          <w:sz w:val="24"/>
          <w:szCs w:val="24"/>
        </w:rPr>
      </w:pPr>
      <w:r w:rsidRPr="00F27DDF">
        <w:rPr>
          <w:rFonts w:ascii="Times New Roman" w:hAnsi="Times New Roman" w:cs="Times New Roman"/>
          <w:b/>
          <w:sz w:val="24"/>
          <w:szCs w:val="24"/>
        </w:rPr>
        <w:t>1</w:t>
      </w:r>
      <w:r w:rsidR="00C847B8">
        <w:rPr>
          <w:rFonts w:ascii="Times New Roman" w:hAnsi="Times New Roman" w:cs="Times New Roman"/>
          <w:b/>
          <w:sz w:val="24"/>
          <w:szCs w:val="24"/>
        </w:rPr>
        <w:t>)</w:t>
      </w:r>
      <w:r w:rsidR="00C847B8">
        <w:rPr>
          <w:rFonts w:ascii="Times New Roman" w:hAnsi="Times New Roman" w:cs="Times New Roman"/>
          <w:b/>
          <w:sz w:val="24"/>
          <w:szCs w:val="24"/>
        </w:rPr>
        <w:tab/>
      </w:r>
      <w:r w:rsidRPr="00F27DDF">
        <w:rPr>
          <w:rFonts w:ascii="Times New Roman" w:hAnsi="Times New Roman" w:cs="Times New Roman"/>
          <w:b/>
          <w:sz w:val="24"/>
          <w:szCs w:val="24"/>
        </w:rPr>
        <w:t>Zwiększenie przejrzystości wykazów, o którym mowa w art. 96b ust. 1 ustawy o</w:t>
      </w:r>
      <w:r w:rsidR="00F27DDF">
        <w:rPr>
          <w:rFonts w:ascii="Times New Roman" w:hAnsi="Times New Roman" w:cs="Times New Roman"/>
          <w:b/>
          <w:sz w:val="24"/>
          <w:szCs w:val="24"/>
        </w:rPr>
        <w:t xml:space="preserve"> </w:t>
      </w:r>
      <w:r w:rsidRPr="00F27DDF">
        <w:rPr>
          <w:rFonts w:ascii="Times New Roman" w:hAnsi="Times New Roman" w:cs="Times New Roman"/>
          <w:b/>
          <w:sz w:val="24"/>
          <w:szCs w:val="24"/>
        </w:rPr>
        <w:t>podatku od towarów i usług</w:t>
      </w:r>
    </w:p>
    <w:p w:rsidR="005C3F1F" w:rsidRPr="00F27DDF" w:rsidRDefault="00C847B8" w:rsidP="00C847B8">
      <w:pPr>
        <w:spacing w:after="0" w:line="360" w:lineRule="auto"/>
        <w:ind w:left="306" w:hanging="306"/>
        <w:jc w:val="both"/>
        <w:rPr>
          <w:rFonts w:ascii="Times New Roman" w:hAnsi="Times New Roman" w:cs="Times New Roman"/>
          <w:sz w:val="24"/>
          <w:szCs w:val="24"/>
        </w:rPr>
      </w:pPr>
      <w:r>
        <w:rPr>
          <w:rFonts w:ascii="Times New Roman" w:hAnsi="Times New Roman" w:cs="Times New Roman"/>
          <w:sz w:val="24"/>
          <w:szCs w:val="24"/>
        </w:rPr>
        <w:lastRenderedPageBreak/>
        <w:t>a)</w:t>
      </w:r>
      <w:r>
        <w:rPr>
          <w:rFonts w:ascii="Times New Roman" w:hAnsi="Times New Roman" w:cs="Times New Roman"/>
          <w:sz w:val="24"/>
          <w:szCs w:val="24"/>
        </w:rPr>
        <w:tab/>
      </w:r>
      <w:r w:rsidR="00AB11F1" w:rsidRPr="00F27DDF">
        <w:rPr>
          <w:rFonts w:ascii="Times New Roman" w:hAnsi="Times New Roman" w:cs="Times New Roman"/>
          <w:sz w:val="24"/>
          <w:szCs w:val="24"/>
        </w:rPr>
        <w:t xml:space="preserve">Aktualnie wykaz podmiotów, w odniesieniu do których naczelnik urzędu skarbowego nie dokonał rejestracji albo które zostały wykreślone przez naczelnika urzędu skarbowego z rejestru jako podatnicy VAT nie obejmuje podmiotów, którym decyzją naczelnik urzędu skarbowego odmówił rejestracji </w:t>
      </w:r>
      <w:r>
        <w:rPr>
          <w:rFonts w:ascii="Times New Roman" w:hAnsi="Times New Roman" w:cs="Times New Roman"/>
          <w:sz w:val="24"/>
          <w:szCs w:val="24"/>
        </w:rPr>
        <w:t>(art. 96b ust. 1 pkt 1 ustawy o </w:t>
      </w:r>
      <w:r w:rsidR="00AB11F1" w:rsidRPr="00F27DDF">
        <w:rPr>
          <w:rFonts w:ascii="Times New Roman" w:hAnsi="Times New Roman" w:cs="Times New Roman"/>
          <w:sz w:val="24"/>
          <w:szCs w:val="24"/>
        </w:rPr>
        <w:t xml:space="preserve">podatku od towarów i usług, zwanej dalej „ustawą o VAT”). Ta kategoria podmiotów jest dość liczna. Zidentyfikowane przyczyny wydania decyzji odmawiających rejestracji (np. brak tytułu prawnego do lokalu, w którym ma być prowadzona działalność, sądowy zakaz prowadzenia działalności gospodarczej, posiadanie zaległości podatkowych, które nie są regulowane) mogą wskazywać na działania tych podmiotów w złej wierze. Z tego też względu podmioty te powinny być zamieszczane </w:t>
      </w:r>
      <w:r>
        <w:rPr>
          <w:rFonts w:ascii="Times New Roman" w:hAnsi="Times New Roman" w:cs="Times New Roman"/>
          <w:sz w:val="24"/>
          <w:szCs w:val="24"/>
        </w:rPr>
        <w:t>w wykazie, o którym mowa w</w:t>
      </w:r>
      <w:r w:rsidR="005E246C">
        <w:rPr>
          <w:rFonts w:ascii="Times New Roman" w:hAnsi="Times New Roman" w:cs="Times New Roman"/>
          <w:sz w:val="24"/>
          <w:szCs w:val="24"/>
        </w:rPr>
        <w:t xml:space="preserve"> </w:t>
      </w:r>
      <w:r>
        <w:rPr>
          <w:rFonts w:ascii="Times New Roman" w:hAnsi="Times New Roman" w:cs="Times New Roman"/>
          <w:sz w:val="24"/>
          <w:szCs w:val="24"/>
        </w:rPr>
        <w:t>art.</w:t>
      </w:r>
      <w:r w:rsidR="005E246C">
        <w:rPr>
          <w:rFonts w:ascii="Times New Roman" w:hAnsi="Times New Roman" w:cs="Times New Roman"/>
          <w:sz w:val="24"/>
          <w:szCs w:val="24"/>
        </w:rPr>
        <w:t xml:space="preserve"> </w:t>
      </w:r>
      <w:r w:rsidR="00AB11F1" w:rsidRPr="00F27DDF">
        <w:rPr>
          <w:rFonts w:ascii="Times New Roman" w:hAnsi="Times New Roman" w:cs="Times New Roman"/>
          <w:sz w:val="24"/>
          <w:szCs w:val="24"/>
        </w:rPr>
        <w:t xml:space="preserve">96b ust. 1 pkt 1 ustawy o VAT. Stąd proponowana zmiana w </w:t>
      </w:r>
      <w:r>
        <w:rPr>
          <w:rFonts w:ascii="Times New Roman" w:hAnsi="Times New Roman" w:cs="Times New Roman"/>
          <w:b/>
          <w:sz w:val="24"/>
          <w:szCs w:val="24"/>
        </w:rPr>
        <w:t>art. 96b ust. 1 pkt</w:t>
      </w:r>
      <w:r w:rsidR="005E246C">
        <w:rPr>
          <w:rFonts w:ascii="Times New Roman" w:hAnsi="Times New Roman" w:cs="Times New Roman"/>
          <w:b/>
          <w:sz w:val="24"/>
          <w:szCs w:val="24"/>
        </w:rPr>
        <w:t xml:space="preserve"> </w:t>
      </w:r>
      <w:r w:rsidR="00AB11F1" w:rsidRPr="00F27DDF">
        <w:rPr>
          <w:rFonts w:ascii="Times New Roman" w:hAnsi="Times New Roman" w:cs="Times New Roman"/>
          <w:b/>
          <w:sz w:val="24"/>
          <w:szCs w:val="24"/>
        </w:rPr>
        <w:t xml:space="preserve">1 ustawy o VAT </w:t>
      </w:r>
      <w:r w:rsidR="00AB11F1" w:rsidRPr="00F27DDF">
        <w:rPr>
          <w:rFonts w:ascii="Times New Roman" w:hAnsi="Times New Roman" w:cs="Times New Roman"/>
          <w:sz w:val="24"/>
          <w:szCs w:val="24"/>
        </w:rPr>
        <w:t>polegająca na skreśleniu wyrazów „zgodnie z art. 96 ust. 4a”.</w:t>
      </w:r>
    </w:p>
    <w:p w:rsidR="005C3F1F" w:rsidRPr="00F27DDF" w:rsidRDefault="00C847B8" w:rsidP="00C847B8">
      <w:pPr>
        <w:spacing w:after="0" w:line="360" w:lineRule="auto"/>
        <w:ind w:left="306" w:hanging="306"/>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AB11F1" w:rsidRPr="00F27DDF">
        <w:rPr>
          <w:rFonts w:ascii="Times New Roman" w:hAnsi="Times New Roman" w:cs="Times New Roman"/>
          <w:sz w:val="24"/>
          <w:szCs w:val="24"/>
        </w:rPr>
        <w:t xml:space="preserve">W </w:t>
      </w:r>
      <w:r w:rsidR="00AB11F1" w:rsidRPr="00F27DDF">
        <w:rPr>
          <w:rFonts w:ascii="Times New Roman" w:hAnsi="Times New Roman" w:cs="Times New Roman"/>
          <w:b/>
          <w:sz w:val="24"/>
          <w:szCs w:val="24"/>
        </w:rPr>
        <w:t>art. 96b ust. 1 pkt 2 ustawy o VAT</w:t>
      </w:r>
      <w:r w:rsidR="00AB11F1" w:rsidRPr="00F27DDF">
        <w:rPr>
          <w:rFonts w:ascii="Times New Roman" w:hAnsi="Times New Roman" w:cs="Times New Roman"/>
          <w:sz w:val="24"/>
          <w:szCs w:val="24"/>
        </w:rPr>
        <w:t xml:space="preserve"> proponuje się dodać na końcu zdania wyrazy „na podstawie art. 96 ust. 9h–9j”. Powołanie przepi</w:t>
      </w:r>
      <w:r>
        <w:rPr>
          <w:rFonts w:ascii="Times New Roman" w:hAnsi="Times New Roman" w:cs="Times New Roman"/>
          <w:sz w:val="24"/>
          <w:szCs w:val="24"/>
        </w:rPr>
        <w:t>sów art. 96 ust. 9h–9j ustawy o </w:t>
      </w:r>
      <w:r w:rsidR="00AB11F1" w:rsidRPr="00F27DDF">
        <w:rPr>
          <w:rFonts w:ascii="Times New Roman" w:hAnsi="Times New Roman" w:cs="Times New Roman"/>
          <w:sz w:val="24"/>
          <w:szCs w:val="24"/>
        </w:rPr>
        <w:t>VAT jest tylko zmianą legislacyjną. Już aktualnie wykreślenie podmiotu z wykazu, o którym mowa w art. 96b ust. 1 pkt 1 ustawy o VAT, w przypadku przywrócenia przez naczelnika urzędu skarbowego rejestracji podmiotu jako podatnika VAT na podstawie art. 96 ust. 9h</w:t>
      </w:r>
      <w:r w:rsidR="00F27DDF">
        <w:rPr>
          <w:rFonts w:ascii="Times New Roman" w:hAnsi="Times New Roman" w:cs="Times New Roman"/>
          <w:sz w:val="24"/>
          <w:szCs w:val="24"/>
        </w:rPr>
        <w:t>–</w:t>
      </w:r>
      <w:r w:rsidR="00AB11F1" w:rsidRPr="00F27DDF">
        <w:rPr>
          <w:rFonts w:ascii="Times New Roman" w:hAnsi="Times New Roman" w:cs="Times New Roman"/>
          <w:sz w:val="24"/>
          <w:szCs w:val="24"/>
        </w:rPr>
        <w:t>9j tej ustawy powoduje umieszczenie podmiotu w wykazie, o którym mowa w art. 96b ust. 1 pkt 2 ustawy o VAT</w:t>
      </w:r>
      <w:r w:rsidR="00C13C62">
        <w:rPr>
          <w:rFonts w:ascii="Times New Roman" w:hAnsi="Times New Roman" w:cs="Times New Roman"/>
          <w:sz w:val="24"/>
          <w:szCs w:val="24"/>
        </w:rPr>
        <w:t>,</w:t>
      </w:r>
      <w:r w:rsidR="00AB11F1" w:rsidRPr="00F27DDF">
        <w:rPr>
          <w:rFonts w:ascii="Times New Roman" w:hAnsi="Times New Roman" w:cs="Times New Roman"/>
          <w:sz w:val="24"/>
          <w:szCs w:val="24"/>
        </w:rPr>
        <w:t xml:space="preserve"> tj. podmiotów, których rejestracja jako podatników VAT została przywrócona. Powyższe wynika z art. 96b ust. 6 ustawy o VAT (po nowelizacji – z art. 96b ust. 6 pkt 2 ustawy o VAT). Tym niemniej dla jasności regulacji art. 96b ust. 1 pkt 2 ustawy o VAT podstawa prawna zamieszczenia w wykazie podmiotów przywróconych powinna być wskazana w tym przepisie.</w:t>
      </w:r>
    </w:p>
    <w:p w:rsidR="005C3F1F" w:rsidRPr="00F27DDF" w:rsidRDefault="00C847B8" w:rsidP="00C847B8">
      <w:pPr>
        <w:spacing w:after="0" w:line="360" w:lineRule="auto"/>
        <w:ind w:left="306" w:hanging="306"/>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910A51" w:rsidRPr="00F27DDF">
        <w:rPr>
          <w:rFonts w:ascii="Times New Roman" w:hAnsi="Times New Roman" w:cs="Times New Roman"/>
          <w:sz w:val="24"/>
          <w:szCs w:val="24"/>
        </w:rPr>
        <w:t>Aktualnie w wykazie podmiotów przywróconych, o którym mowa w art. 96b ust. 1 pkt 2 ustawy o VAT</w:t>
      </w:r>
      <w:r w:rsidR="00C13C62">
        <w:rPr>
          <w:rFonts w:ascii="Times New Roman" w:hAnsi="Times New Roman" w:cs="Times New Roman"/>
          <w:sz w:val="24"/>
          <w:szCs w:val="24"/>
        </w:rPr>
        <w:t>,</w:t>
      </w:r>
      <w:r w:rsidR="00910A51" w:rsidRPr="00F27DDF" w:rsidDel="00910A51">
        <w:rPr>
          <w:rFonts w:ascii="Times New Roman" w:hAnsi="Times New Roman" w:cs="Times New Roman"/>
          <w:sz w:val="24"/>
          <w:szCs w:val="24"/>
        </w:rPr>
        <w:t xml:space="preserve"> </w:t>
      </w:r>
      <w:r w:rsidR="00910A51" w:rsidRPr="00F27DDF">
        <w:rPr>
          <w:rFonts w:ascii="Times New Roman" w:hAnsi="Times New Roman" w:cs="Times New Roman"/>
          <w:sz w:val="24"/>
          <w:szCs w:val="24"/>
        </w:rPr>
        <w:t>n</w:t>
      </w:r>
      <w:r w:rsidR="00AB11F1" w:rsidRPr="00F27DDF">
        <w:rPr>
          <w:rFonts w:ascii="Times New Roman" w:hAnsi="Times New Roman" w:cs="Times New Roman"/>
          <w:sz w:val="24"/>
          <w:szCs w:val="24"/>
        </w:rPr>
        <w:t xml:space="preserve">ie ma możliwości publikowania informacji o </w:t>
      </w:r>
      <w:r w:rsidR="003D5711" w:rsidRPr="00F27DDF">
        <w:rPr>
          <w:rFonts w:ascii="Times New Roman" w:hAnsi="Times New Roman" w:cs="Times New Roman"/>
          <w:sz w:val="24"/>
          <w:szCs w:val="24"/>
        </w:rPr>
        <w:t xml:space="preserve">wykreśleniu </w:t>
      </w:r>
      <w:r w:rsidR="00AB11F1" w:rsidRPr="00F27DDF">
        <w:rPr>
          <w:rFonts w:ascii="Times New Roman" w:hAnsi="Times New Roman" w:cs="Times New Roman"/>
          <w:sz w:val="24"/>
          <w:szCs w:val="24"/>
        </w:rPr>
        <w:t>podmiot</w:t>
      </w:r>
      <w:r w:rsidR="003D5711" w:rsidRPr="00F27DDF">
        <w:rPr>
          <w:rFonts w:ascii="Times New Roman" w:hAnsi="Times New Roman" w:cs="Times New Roman"/>
          <w:sz w:val="24"/>
          <w:szCs w:val="24"/>
        </w:rPr>
        <w:t>u</w:t>
      </w:r>
      <w:r w:rsidR="00AB11F1" w:rsidRPr="00F27DDF">
        <w:rPr>
          <w:rFonts w:ascii="Times New Roman" w:hAnsi="Times New Roman" w:cs="Times New Roman"/>
          <w:sz w:val="24"/>
          <w:szCs w:val="24"/>
        </w:rPr>
        <w:t xml:space="preserve"> z rejestru na podst</w:t>
      </w:r>
      <w:r w:rsidR="00F27DDF">
        <w:rPr>
          <w:rFonts w:ascii="Times New Roman" w:hAnsi="Times New Roman" w:cs="Times New Roman"/>
          <w:sz w:val="24"/>
          <w:szCs w:val="24"/>
        </w:rPr>
        <w:t>awie art. 96 ust. 6–</w:t>
      </w:r>
      <w:r w:rsidR="00AB11F1" w:rsidRPr="00F27DDF">
        <w:rPr>
          <w:rFonts w:ascii="Times New Roman" w:hAnsi="Times New Roman" w:cs="Times New Roman"/>
          <w:sz w:val="24"/>
          <w:szCs w:val="24"/>
        </w:rPr>
        <w:t>8 ustawy o VAT (zaprzestanie wykonywania czynności podlegającej opodatkowaniu zgłoszone przez podatnika, śmierć podatnika zgłoszona przez jego następcę p</w:t>
      </w:r>
      <w:r>
        <w:rPr>
          <w:rFonts w:ascii="Times New Roman" w:hAnsi="Times New Roman" w:cs="Times New Roman"/>
          <w:sz w:val="24"/>
          <w:szCs w:val="24"/>
        </w:rPr>
        <w:t>rawnego, wykreślenie z urzędu w </w:t>
      </w:r>
      <w:r w:rsidR="00AB11F1" w:rsidRPr="00F27DDF">
        <w:rPr>
          <w:rFonts w:ascii="Times New Roman" w:hAnsi="Times New Roman" w:cs="Times New Roman"/>
          <w:sz w:val="24"/>
          <w:szCs w:val="24"/>
        </w:rPr>
        <w:t xml:space="preserve">przedstawionych dwóch przypadkach). W wyszukiwarce czynnych podatników VAT znajdującej się na Portalu Podatkowym w odniesieniu do podmiotów, </w:t>
      </w:r>
      <w:r>
        <w:rPr>
          <w:rFonts w:ascii="Times New Roman" w:hAnsi="Times New Roman" w:cs="Times New Roman"/>
          <w:sz w:val="24"/>
          <w:szCs w:val="24"/>
        </w:rPr>
        <w:t>o </w:t>
      </w:r>
      <w:r w:rsidR="00F27DDF">
        <w:rPr>
          <w:rFonts w:ascii="Times New Roman" w:hAnsi="Times New Roman" w:cs="Times New Roman"/>
          <w:sz w:val="24"/>
          <w:szCs w:val="24"/>
        </w:rPr>
        <w:t>których mowa w art. 96 ust. 6–</w:t>
      </w:r>
      <w:r w:rsidR="00AB11F1" w:rsidRPr="00F27DDF">
        <w:rPr>
          <w:rFonts w:ascii="Times New Roman" w:hAnsi="Times New Roman" w:cs="Times New Roman"/>
          <w:sz w:val="24"/>
          <w:szCs w:val="24"/>
        </w:rPr>
        <w:t xml:space="preserve">8 ustawy o VAT, pojawia się komunikat, że nie są </w:t>
      </w:r>
      <w:r w:rsidR="00AB11F1" w:rsidRPr="00F27DDF">
        <w:rPr>
          <w:rFonts w:ascii="Times New Roman" w:hAnsi="Times New Roman" w:cs="Times New Roman"/>
          <w:sz w:val="24"/>
          <w:szCs w:val="24"/>
        </w:rPr>
        <w:lastRenderedPageBreak/>
        <w:t xml:space="preserve">zarejestrowani. Tym samym zarówno w wykazie, o którym </w:t>
      </w:r>
      <w:r w:rsidR="00C13C62">
        <w:rPr>
          <w:rFonts w:ascii="Times New Roman" w:hAnsi="Times New Roman" w:cs="Times New Roman"/>
          <w:sz w:val="24"/>
          <w:szCs w:val="24"/>
        </w:rPr>
        <w:t xml:space="preserve">w </w:t>
      </w:r>
      <w:r w:rsidR="00AB11F1" w:rsidRPr="00F27DDF">
        <w:rPr>
          <w:rFonts w:ascii="Times New Roman" w:hAnsi="Times New Roman" w:cs="Times New Roman"/>
          <w:sz w:val="24"/>
          <w:szCs w:val="24"/>
        </w:rPr>
        <w:t xml:space="preserve">art. 96b ust. 1 pkt </w:t>
      </w:r>
      <w:r w:rsidR="00910A51" w:rsidRPr="00F27DDF">
        <w:rPr>
          <w:rFonts w:ascii="Times New Roman" w:hAnsi="Times New Roman" w:cs="Times New Roman"/>
          <w:sz w:val="24"/>
          <w:szCs w:val="24"/>
        </w:rPr>
        <w:t>2</w:t>
      </w:r>
      <w:r w:rsidR="00AB11F1" w:rsidRPr="00F27DDF">
        <w:rPr>
          <w:rFonts w:ascii="Times New Roman" w:hAnsi="Times New Roman" w:cs="Times New Roman"/>
          <w:sz w:val="24"/>
          <w:szCs w:val="24"/>
        </w:rPr>
        <w:t xml:space="preserve"> ustawy o VAT, jak i na Portalu Podatkowym nie</w:t>
      </w:r>
      <w:r>
        <w:rPr>
          <w:rFonts w:ascii="Times New Roman" w:hAnsi="Times New Roman" w:cs="Times New Roman"/>
          <w:sz w:val="24"/>
          <w:szCs w:val="24"/>
        </w:rPr>
        <w:t xml:space="preserve"> jest udostępniana informacja o </w:t>
      </w:r>
      <w:r w:rsidR="00AB11F1" w:rsidRPr="00F27DDF">
        <w:rPr>
          <w:rFonts w:ascii="Times New Roman" w:hAnsi="Times New Roman" w:cs="Times New Roman"/>
          <w:sz w:val="24"/>
          <w:szCs w:val="24"/>
        </w:rPr>
        <w:t>wykreśleniu podatn</w:t>
      </w:r>
      <w:r w:rsidR="00F27DDF">
        <w:rPr>
          <w:rFonts w:ascii="Times New Roman" w:hAnsi="Times New Roman" w:cs="Times New Roman"/>
          <w:sz w:val="24"/>
          <w:szCs w:val="24"/>
        </w:rPr>
        <w:t>ika na podstawie art. 96 ust. 6–</w:t>
      </w:r>
      <w:r w:rsidR="00AB11F1" w:rsidRPr="00F27DDF">
        <w:rPr>
          <w:rFonts w:ascii="Times New Roman" w:hAnsi="Times New Roman" w:cs="Times New Roman"/>
          <w:sz w:val="24"/>
          <w:szCs w:val="24"/>
        </w:rPr>
        <w:t xml:space="preserve">8 ustawy o VAT. Proponuje się, aby w wykazie, o którym mowa w art. 96b ust. 1 pkt </w:t>
      </w:r>
      <w:r w:rsidR="00910A51" w:rsidRPr="00F27DDF">
        <w:rPr>
          <w:rFonts w:ascii="Times New Roman" w:hAnsi="Times New Roman" w:cs="Times New Roman"/>
          <w:sz w:val="24"/>
          <w:szCs w:val="24"/>
        </w:rPr>
        <w:t>2</w:t>
      </w:r>
      <w:r w:rsidR="00AB11F1" w:rsidRPr="00F27DDF">
        <w:rPr>
          <w:rFonts w:ascii="Times New Roman" w:hAnsi="Times New Roman" w:cs="Times New Roman"/>
          <w:sz w:val="24"/>
          <w:szCs w:val="24"/>
        </w:rPr>
        <w:t xml:space="preserve"> ustawy o VAT</w:t>
      </w:r>
      <w:r w:rsidR="00993D4C">
        <w:rPr>
          <w:rFonts w:ascii="Times New Roman" w:hAnsi="Times New Roman" w:cs="Times New Roman"/>
          <w:sz w:val="24"/>
          <w:szCs w:val="24"/>
        </w:rPr>
        <w:t>,</w:t>
      </w:r>
      <w:r w:rsidR="00AB11F1" w:rsidRPr="00F27DDF">
        <w:rPr>
          <w:rFonts w:ascii="Times New Roman" w:hAnsi="Times New Roman" w:cs="Times New Roman"/>
          <w:sz w:val="24"/>
          <w:szCs w:val="24"/>
        </w:rPr>
        <w:t xml:space="preserve"> była wzmianka o dacie wykreślenia podatnika z rejestru jako podatni</w:t>
      </w:r>
      <w:r>
        <w:rPr>
          <w:rFonts w:ascii="Times New Roman" w:hAnsi="Times New Roman" w:cs="Times New Roman"/>
          <w:sz w:val="24"/>
          <w:szCs w:val="24"/>
        </w:rPr>
        <w:t>ka VAT zgodnie z </w:t>
      </w:r>
      <w:r w:rsidR="00F27DDF">
        <w:rPr>
          <w:rFonts w:ascii="Times New Roman" w:hAnsi="Times New Roman" w:cs="Times New Roman"/>
          <w:sz w:val="24"/>
          <w:szCs w:val="24"/>
        </w:rPr>
        <w:t>art. 96 ust. 6–</w:t>
      </w:r>
      <w:r w:rsidR="00AB11F1" w:rsidRPr="00F27DDF">
        <w:rPr>
          <w:rFonts w:ascii="Times New Roman" w:hAnsi="Times New Roman" w:cs="Times New Roman"/>
          <w:sz w:val="24"/>
          <w:szCs w:val="24"/>
        </w:rPr>
        <w:t>8 ustawy. Proponowane rozwiązanie powinno przyczynić się do zwiększenia przejrzystości wymienionego wykazu i w konsekwencji do większego jego wykorzystywania przez podatników VAT i ich kontrahentów (</w:t>
      </w:r>
      <w:r>
        <w:rPr>
          <w:rFonts w:ascii="Times New Roman" w:hAnsi="Times New Roman" w:cs="Times New Roman"/>
          <w:b/>
          <w:sz w:val="24"/>
          <w:szCs w:val="24"/>
        </w:rPr>
        <w:t>dodany pkt 13 w </w:t>
      </w:r>
      <w:r w:rsidR="00AB11F1" w:rsidRPr="00F27DDF">
        <w:rPr>
          <w:rFonts w:ascii="Times New Roman" w:hAnsi="Times New Roman" w:cs="Times New Roman"/>
          <w:b/>
          <w:sz w:val="24"/>
          <w:szCs w:val="24"/>
        </w:rPr>
        <w:t>art. 96b ust. 3 ustawy o VAT)</w:t>
      </w:r>
      <w:r w:rsidR="00AB11F1" w:rsidRPr="00F27DDF">
        <w:rPr>
          <w:rFonts w:ascii="Times New Roman" w:hAnsi="Times New Roman" w:cs="Times New Roman"/>
          <w:sz w:val="24"/>
          <w:szCs w:val="24"/>
        </w:rPr>
        <w:t xml:space="preserve">. </w:t>
      </w:r>
    </w:p>
    <w:p w:rsidR="005C3F1F" w:rsidRPr="00F27DDF" w:rsidRDefault="00C847B8" w:rsidP="00C847B8">
      <w:pPr>
        <w:spacing w:before="120" w:after="0" w:line="360" w:lineRule="auto"/>
        <w:ind w:left="392" w:hanging="392"/>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00AB11F1" w:rsidRPr="00F27DDF">
        <w:rPr>
          <w:rFonts w:ascii="Times New Roman" w:hAnsi="Times New Roman" w:cs="Times New Roman"/>
          <w:b/>
          <w:sz w:val="24"/>
          <w:szCs w:val="24"/>
        </w:rPr>
        <w:t xml:space="preserve">Wykreślanie z wykazu, o którym mowa w art. 96b ust. 1 pkt 1 ustawy o VAT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Celem zmian w art. 96b ust. 6 ustawy o VAT jest doprecyzowanie przesłanek wykreślenia z wykazu, o którym mowa w art. 96b ust. 1 pkt 1 ustawy o VAT.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Szef KAS wykreśli podmiot z wykazu w przypadku z</w:t>
      </w:r>
      <w:r w:rsidR="00C847B8">
        <w:rPr>
          <w:rFonts w:ascii="Times New Roman" w:hAnsi="Times New Roman" w:cs="Times New Roman"/>
          <w:sz w:val="24"/>
          <w:szCs w:val="24"/>
        </w:rPr>
        <w:t>arejestrowania tego podmiotu, w </w:t>
      </w:r>
      <w:r w:rsidRPr="00F27DDF">
        <w:rPr>
          <w:rFonts w:ascii="Times New Roman" w:hAnsi="Times New Roman" w:cs="Times New Roman"/>
          <w:sz w:val="24"/>
          <w:szCs w:val="24"/>
        </w:rPr>
        <w:t>tym w przypadku wznowienia wykonywania działalności gospodarczej po jej ponad 6</w:t>
      </w:r>
      <w:r w:rsidR="00324622">
        <w:rPr>
          <w:rFonts w:ascii="Times New Roman" w:hAnsi="Times New Roman" w:cs="Times New Roman"/>
          <w:sz w:val="24"/>
          <w:szCs w:val="24"/>
        </w:rPr>
        <w:t>-</w:t>
      </w:r>
      <w:r w:rsidRPr="00F27DDF">
        <w:rPr>
          <w:rFonts w:ascii="Times New Roman" w:hAnsi="Times New Roman" w:cs="Times New Roman"/>
          <w:sz w:val="24"/>
          <w:szCs w:val="24"/>
        </w:rPr>
        <w:t>miesięcznym zawieszeniu (</w:t>
      </w:r>
      <w:r w:rsidRPr="00F27DDF">
        <w:rPr>
          <w:rFonts w:ascii="Times New Roman" w:hAnsi="Times New Roman" w:cs="Times New Roman"/>
          <w:b/>
          <w:sz w:val="24"/>
          <w:szCs w:val="24"/>
        </w:rPr>
        <w:t>art. 96b ust. 6 pkt 1 ustawy o VAT</w:t>
      </w:r>
      <w:r w:rsidRPr="00F27DDF">
        <w:rPr>
          <w:rFonts w:ascii="Times New Roman" w:hAnsi="Times New Roman" w:cs="Times New Roman"/>
          <w:sz w:val="24"/>
          <w:szCs w:val="24"/>
        </w:rPr>
        <w:t>). Zarejestrowany podatnik, który wznowił wykonywanie działalności gospodarczej po jej ponad 6</w:t>
      </w:r>
      <w:r w:rsidR="00993D4C">
        <w:rPr>
          <w:rFonts w:ascii="Times New Roman" w:hAnsi="Times New Roman" w:cs="Times New Roman"/>
          <w:sz w:val="24"/>
          <w:szCs w:val="24"/>
        </w:rPr>
        <w:noBreakHyphen/>
      </w:r>
      <w:r w:rsidRPr="00F27DDF">
        <w:rPr>
          <w:rFonts w:ascii="Times New Roman" w:hAnsi="Times New Roman" w:cs="Times New Roman"/>
          <w:sz w:val="24"/>
          <w:szCs w:val="24"/>
        </w:rPr>
        <w:t>miesięcznym zawieszeniu</w:t>
      </w:r>
      <w:r w:rsidR="00993D4C">
        <w:rPr>
          <w:rFonts w:ascii="Times New Roman" w:hAnsi="Times New Roman" w:cs="Times New Roman"/>
          <w:sz w:val="24"/>
          <w:szCs w:val="24"/>
        </w:rPr>
        <w:t>,</w:t>
      </w:r>
      <w:r w:rsidRPr="00F27DDF">
        <w:rPr>
          <w:rFonts w:ascii="Times New Roman" w:hAnsi="Times New Roman" w:cs="Times New Roman"/>
          <w:sz w:val="24"/>
          <w:szCs w:val="24"/>
        </w:rPr>
        <w:t xml:space="preserve"> nie jest zamiesz</w:t>
      </w:r>
      <w:r w:rsidR="00C847B8">
        <w:rPr>
          <w:rFonts w:ascii="Times New Roman" w:hAnsi="Times New Roman" w:cs="Times New Roman"/>
          <w:sz w:val="24"/>
          <w:szCs w:val="24"/>
        </w:rPr>
        <w:t>czany w wykazie</w:t>
      </w:r>
      <w:r w:rsidR="00993D4C">
        <w:rPr>
          <w:rFonts w:ascii="Times New Roman" w:hAnsi="Times New Roman" w:cs="Times New Roman"/>
          <w:sz w:val="24"/>
          <w:szCs w:val="24"/>
        </w:rPr>
        <w:t>,</w:t>
      </w:r>
      <w:r w:rsidR="00C847B8">
        <w:rPr>
          <w:rFonts w:ascii="Times New Roman" w:hAnsi="Times New Roman" w:cs="Times New Roman"/>
          <w:sz w:val="24"/>
          <w:szCs w:val="24"/>
        </w:rPr>
        <w:t xml:space="preserve"> o którym mowa w </w:t>
      </w:r>
      <w:r w:rsidR="00993D4C">
        <w:rPr>
          <w:rFonts w:ascii="Times New Roman" w:hAnsi="Times New Roman" w:cs="Times New Roman"/>
          <w:sz w:val="24"/>
          <w:szCs w:val="24"/>
        </w:rPr>
        <w:t>art. </w:t>
      </w:r>
      <w:r w:rsidRPr="00F27DDF">
        <w:rPr>
          <w:rFonts w:ascii="Times New Roman" w:hAnsi="Times New Roman" w:cs="Times New Roman"/>
          <w:sz w:val="24"/>
          <w:szCs w:val="24"/>
        </w:rPr>
        <w:t>96b ust. 1 pkt 2 ustawy o VAT</w:t>
      </w:r>
      <w:r w:rsidR="00C13C62">
        <w:rPr>
          <w:rFonts w:ascii="Times New Roman" w:hAnsi="Times New Roman" w:cs="Times New Roman"/>
          <w:sz w:val="24"/>
          <w:szCs w:val="24"/>
        </w:rPr>
        <w:t>,</w:t>
      </w:r>
      <w:r w:rsidRPr="00F27DDF">
        <w:rPr>
          <w:rFonts w:ascii="Times New Roman" w:hAnsi="Times New Roman" w:cs="Times New Roman"/>
          <w:sz w:val="24"/>
          <w:szCs w:val="24"/>
        </w:rPr>
        <w:t xml:space="preserve"> tj. podmiotów „przywróconych”. Wykaz ten obejmuje bowiem podmioty „przywrócon</w:t>
      </w:r>
      <w:r w:rsidR="00F27DDF">
        <w:rPr>
          <w:rFonts w:ascii="Times New Roman" w:hAnsi="Times New Roman" w:cs="Times New Roman"/>
          <w:sz w:val="24"/>
          <w:szCs w:val="24"/>
        </w:rPr>
        <w:t>e” na podstawie art. 96 ust. 9h–</w:t>
      </w:r>
      <w:r w:rsidR="00C847B8">
        <w:rPr>
          <w:rFonts w:ascii="Times New Roman" w:hAnsi="Times New Roman" w:cs="Times New Roman"/>
          <w:sz w:val="24"/>
          <w:szCs w:val="24"/>
        </w:rPr>
        <w:t>9j ustawy o </w:t>
      </w:r>
      <w:r w:rsidRPr="00F27DDF">
        <w:rPr>
          <w:rFonts w:ascii="Times New Roman" w:hAnsi="Times New Roman" w:cs="Times New Roman"/>
          <w:sz w:val="24"/>
          <w:szCs w:val="24"/>
        </w:rPr>
        <w:t>VAT, tj. w sytuacji, gdy najpierw doszło do stygmatyzacji danego podmiotu, jako potencjalnie nieuczciwego, a następnie zachodzi konieczność jego „rehabilitacji” poprzez wskazanie wprost w wykazie „przywróconych”. Zarejestrowany podatnik, który wznowił wykonywanie działalności gospodarczej po jej ponad 6</w:t>
      </w:r>
      <w:r w:rsidR="00324622">
        <w:rPr>
          <w:rFonts w:ascii="Times New Roman" w:hAnsi="Times New Roman" w:cs="Times New Roman"/>
          <w:sz w:val="24"/>
          <w:szCs w:val="24"/>
        </w:rPr>
        <w:t>-</w:t>
      </w:r>
      <w:r w:rsidRPr="00F27DDF">
        <w:rPr>
          <w:rFonts w:ascii="Times New Roman" w:hAnsi="Times New Roman" w:cs="Times New Roman"/>
          <w:sz w:val="24"/>
          <w:szCs w:val="24"/>
        </w:rPr>
        <w:t>miesięcznym zawieszeniu powinien być wykreślony z wykazu, o którym mowa w art. 96b ust. 1 pkt 1 ustawy o VAT</w:t>
      </w:r>
      <w:r w:rsidR="00993D4C">
        <w:rPr>
          <w:rFonts w:ascii="Times New Roman" w:hAnsi="Times New Roman" w:cs="Times New Roman"/>
          <w:sz w:val="24"/>
          <w:szCs w:val="24"/>
        </w:rPr>
        <w:t>,</w:t>
      </w:r>
      <w:r w:rsidRPr="00F27DDF">
        <w:rPr>
          <w:rFonts w:ascii="Times New Roman" w:hAnsi="Times New Roman" w:cs="Times New Roman"/>
          <w:sz w:val="24"/>
          <w:szCs w:val="24"/>
        </w:rPr>
        <w:t xml:space="preserve"> z</w:t>
      </w:r>
      <w:r w:rsidR="00C13C62">
        <w:rPr>
          <w:rFonts w:ascii="Times New Roman" w:hAnsi="Times New Roman" w:cs="Times New Roman"/>
          <w:sz w:val="24"/>
          <w:szCs w:val="24"/>
        </w:rPr>
        <w:t>e</w:t>
      </w:r>
      <w:r w:rsidRPr="00F27DDF">
        <w:rPr>
          <w:rFonts w:ascii="Times New Roman" w:hAnsi="Times New Roman" w:cs="Times New Roman"/>
          <w:sz w:val="24"/>
          <w:szCs w:val="24"/>
        </w:rPr>
        <w:t xml:space="preserve"> względu na brak statusu podmiotu wykreślonego.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Szef KAS wykreśli także podmiot z wykazu, jeśli jego rejestracja jako podatnika VAT została przywrócona na podstawie art. 96 ust. 9c, 9h–9j i 10c ustawy o VAT (</w:t>
      </w:r>
      <w:r w:rsidRPr="00F27DDF">
        <w:rPr>
          <w:rFonts w:ascii="Times New Roman" w:hAnsi="Times New Roman" w:cs="Times New Roman"/>
          <w:b/>
          <w:sz w:val="24"/>
          <w:szCs w:val="24"/>
        </w:rPr>
        <w:t>art. 96b ust. 6 pkt 2 ustawy o VAT</w:t>
      </w:r>
      <w:r w:rsidRPr="00F27DDF">
        <w:rPr>
          <w:rFonts w:ascii="Times New Roman" w:hAnsi="Times New Roman" w:cs="Times New Roman"/>
          <w:sz w:val="24"/>
          <w:szCs w:val="24"/>
        </w:rPr>
        <w:t>). Przepis art. 96b ust. 6 pkt 2 ustawy o VAT dotyczy podmiotu, który:</w:t>
      </w:r>
    </w:p>
    <w:p w:rsidR="005C3F1F" w:rsidRPr="00F27DDF" w:rsidRDefault="00C847B8" w:rsidP="00C847B8">
      <w:pPr>
        <w:spacing w:after="0" w:line="360" w:lineRule="auto"/>
        <w:ind w:left="308" w:hanging="30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B11F1" w:rsidRPr="00F27DDF">
        <w:rPr>
          <w:rFonts w:ascii="Times New Roman" w:hAnsi="Times New Roman" w:cs="Times New Roman"/>
          <w:sz w:val="24"/>
          <w:szCs w:val="24"/>
        </w:rPr>
        <w:t>w okresie zawieszenia działalności gospodarczej złożył zawiadomienie, że będzie wykonywał czynności, o których mowa w art. 5 ust. 1 ustawy o VAT (art. 96 ust. 9c ustawy o VAT),</w:t>
      </w:r>
    </w:p>
    <w:p w:rsidR="005C3F1F" w:rsidRPr="00F27DDF" w:rsidRDefault="00C847B8" w:rsidP="00C847B8">
      <w:pPr>
        <w:spacing w:after="0" w:line="360" w:lineRule="auto"/>
        <w:ind w:left="308" w:hanging="308"/>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AB11F1" w:rsidRPr="00F27DDF">
        <w:rPr>
          <w:rFonts w:ascii="Times New Roman" w:hAnsi="Times New Roman" w:cs="Times New Roman"/>
          <w:sz w:val="24"/>
          <w:szCs w:val="24"/>
        </w:rPr>
        <w:t>został „przywrócony” bez konieczności składania zgłoszenia r</w:t>
      </w:r>
      <w:r w:rsidR="00F27DDF">
        <w:rPr>
          <w:rFonts w:ascii="Times New Roman" w:hAnsi="Times New Roman" w:cs="Times New Roman"/>
          <w:sz w:val="24"/>
          <w:szCs w:val="24"/>
        </w:rPr>
        <w:t>ejestracyjnego (art. 96 ust. 9h–</w:t>
      </w:r>
      <w:r w:rsidR="00AB11F1" w:rsidRPr="00F27DDF">
        <w:rPr>
          <w:rFonts w:ascii="Times New Roman" w:hAnsi="Times New Roman" w:cs="Times New Roman"/>
          <w:sz w:val="24"/>
          <w:szCs w:val="24"/>
        </w:rPr>
        <w:t>9j ustawy o VAT),</w:t>
      </w:r>
    </w:p>
    <w:p w:rsidR="005C3F1F" w:rsidRPr="00F27DDF" w:rsidRDefault="00C847B8" w:rsidP="00C847B8">
      <w:pPr>
        <w:spacing w:after="0" w:line="360" w:lineRule="auto"/>
        <w:ind w:left="308" w:hanging="30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B11F1" w:rsidRPr="00F27DDF">
        <w:rPr>
          <w:rFonts w:ascii="Times New Roman" w:hAnsi="Times New Roman" w:cs="Times New Roman"/>
          <w:sz w:val="24"/>
          <w:szCs w:val="24"/>
        </w:rPr>
        <w:t>został „przywrócony” bez konieczności składania zgłoszenia rejestracyjnego wykazując, że brak w deklaracjach sprzedaży innej niż zwolniona od podatku związany jest ze specyfiką prowadzonej działalności gospodarczej, a nie z</w:t>
      </w:r>
      <w:r>
        <w:rPr>
          <w:rFonts w:ascii="Times New Roman" w:hAnsi="Times New Roman" w:cs="Times New Roman"/>
          <w:sz w:val="24"/>
          <w:szCs w:val="24"/>
        </w:rPr>
        <w:t> </w:t>
      </w:r>
      <w:r w:rsidR="00AB11F1" w:rsidRPr="00F27DDF">
        <w:rPr>
          <w:rFonts w:ascii="Times New Roman" w:hAnsi="Times New Roman" w:cs="Times New Roman"/>
          <w:sz w:val="24"/>
          <w:szCs w:val="24"/>
        </w:rPr>
        <w:t>zaprzestaniem wykonywania sprzedaży innej niż zwolniona od podatku (art. 96 ust. 10c ustawy o VAT).</w:t>
      </w:r>
    </w:p>
    <w:p w:rsidR="005C3F1F" w:rsidRPr="00F27DDF" w:rsidRDefault="00C847B8" w:rsidP="00C847B8">
      <w:pPr>
        <w:spacing w:before="120" w:after="0" w:line="360" w:lineRule="auto"/>
        <w:ind w:left="392" w:hanging="392"/>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AB11F1" w:rsidRPr="00F27DDF">
        <w:rPr>
          <w:rFonts w:ascii="Times New Roman" w:hAnsi="Times New Roman" w:cs="Times New Roman"/>
          <w:b/>
          <w:sz w:val="24"/>
          <w:szCs w:val="24"/>
        </w:rPr>
        <w:t>Wykreślanie z wykazu, o którym mowa w art. 96b ust. 1 pkt 2 ustawy o VAT</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b/>
          <w:sz w:val="24"/>
          <w:szCs w:val="24"/>
        </w:rPr>
        <w:t>Dodanie ust. 6a w art. 96b ustawy o VAT</w:t>
      </w:r>
      <w:r w:rsidRPr="00F27DDF">
        <w:rPr>
          <w:rFonts w:ascii="Times New Roman" w:hAnsi="Times New Roman" w:cs="Times New Roman"/>
          <w:sz w:val="24"/>
          <w:szCs w:val="24"/>
        </w:rPr>
        <w:t xml:space="preserve"> ma na celu zwiększenie czytelności wykazu „przywróconych”. Szef KAS wykreśla podmiot z tego wykazu w przypadku wykreślenia podmiotu jako podatnika VAT zgodnie z art. 96 ust. 9 albo 9a tej ustawy. W takim przypadku podmiot zostanie zamieszczony w wykazie, </w:t>
      </w:r>
      <w:r w:rsidR="00C847B8">
        <w:rPr>
          <w:rFonts w:ascii="Times New Roman" w:hAnsi="Times New Roman" w:cs="Times New Roman"/>
          <w:sz w:val="24"/>
          <w:szCs w:val="24"/>
        </w:rPr>
        <w:t>o którym mowa w art. </w:t>
      </w:r>
      <w:r w:rsidRPr="00F27DDF">
        <w:rPr>
          <w:rFonts w:ascii="Times New Roman" w:hAnsi="Times New Roman" w:cs="Times New Roman"/>
          <w:sz w:val="24"/>
          <w:szCs w:val="24"/>
        </w:rPr>
        <w:t>96b ust. 1 pkt 1 ustawy o VAT.</w:t>
      </w:r>
    </w:p>
    <w:p w:rsidR="005C3F1F" w:rsidRPr="00F27DDF" w:rsidRDefault="00C847B8" w:rsidP="00606045">
      <w:pPr>
        <w:keepNext/>
        <w:keepLines/>
        <w:spacing w:before="120" w:after="0" w:line="360" w:lineRule="auto"/>
        <w:ind w:left="391" w:hanging="391"/>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AB11F1" w:rsidRPr="00F27DDF">
        <w:rPr>
          <w:rFonts w:ascii="Times New Roman" w:hAnsi="Times New Roman" w:cs="Times New Roman"/>
          <w:b/>
          <w:sz w:val="24"/>
          <w:szCs w:val="24"/>
        </w:rPr>
        <w:t>Przywrócenie podatnika do rejestru jako podatnika VAT UE</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bCs/>
          <w:sz w:val="24"/>
          <w:szCs w:val="24"/>
        </w:rPr>
        <w:t xml:space="preserve">Od dnia 13 stycznia 2018 r. w art. 96 ustawy o VAT obowiązuje dodany </w:t>
      </w:r>
      <w:r w:rsidRPr="00F27DDF">
        <w:rPr>
          <w:rFonts w:ascii="Times New Roman" w:hAnsi="Times New Roman" w:cs="Times New Roman"/>
          <w:b/>
          <w:bCs/>
          <w:sz w:val="24"/>
          <w:szCs w:val="24"/>
        </w:rPr>
        <w:t>ust.</w:t>
      </w:r>
      <w:r w:rsidRPr="00F27DDF">
        <w:rPr>
          <w:rFonts w:ascii="Times New Roman" w:hAnsi="Times New Roman" w:cs="Times New Roman"/>
          <w:bCs/>
          <w:color w:val="00B050"/>
          <w:sz w:val="24"/>
          <w:szCs w:val="24"/>
        </w:rPr>
        <w:t xml:space="preserve"> </w:t>
      </w:r>
      <w:r w:rsidRPr="00F27DDF">
        <w:rPr>
          <w:rFonts w:ascii="Times New Roman" w:hAnsi="Times New Roman" w:cs="Times New Roman"/>
          <w:b/>
          <w:bCs/>
          <w:sz w:val="24"/>
          <w:szCs w:val="24"/>
        </w:rPr>
        <w:t>9j</w:t>
      </w:r>
      <w:r w:rsidRPr="00F27DDF">
        <w:rPr>
          <w:rFonts w:ascii="Times New Roman" w:hAnsi="Times New Roman" w:cs="Times New Roman"/>
          <w:bCs/>
          <w:sz w:val="24"/>
          <w:szCs w:val="24"/>
        </w:rPr>
        <w:t>, który przewiduje, że naczelnik urzędu skarbowego przywraca zarejestrowanie podatnika, o</w:t>
      </w:r>
      <w:r w:rsidR="00C847B8">
        <w:rPr>
          <w:rFonts w:ascii="Times New Roman" w:hAnsi="Times New Roman" w:cs="Times New Roman"/>
          <w:bCs/>
          <w:sz w:val="24"/>
          <w:szCs w:val="24"/>
        </w:rPr>
        <w:t> </w:t>
      </w:r>
      <w:r w:rsidRPr="00F27DDF">
        <w:rPr>
          <w:rFonts w:ascii="Times New Roman" w:hAnsi="Times New Roman" w:cs="Times New Roman"/>
          <w:bCs/>
          <w:sz w:val="24"/>
          <w:szCs w:val="24"/>
        </w:rPr>
        <w:t xml:space="preserve">którym mowa w ust. 9 pkt 5, jako podatnika VAT czynnego bez konieczności składania zgłoszenia rejestracyjnego, jeżeli podatnik udowodni, że prowadzone przez niego działania nie są realizowane z zamiarem wykorzystania działalności banków lub SKOK-ów do celów mających związek z wyłudzeniami skarbowymi, albo wyjdą na jaw inne okoliczności lub dowody, z których wynikał brak tego zamiaru. Przywrócenie zarejestrowania podatnika jako podatnika VAT czynnego w powyższym przypadku powinno być równoznaczne z przywróceniem podatnika jako podatnika VAT-UE, zgodnie z zasadami ogólnymi wynikającymi z ustawy o VAT. Stąd </w:t>
      </w:r>
      <w:r w:rsidRPr="00F27DDF">
        <w:rPr>
          <w:rFonts w:ascii="Times New Roman" w:hAnsi="Times New Roman" w:cs="Times New Roman"/>
          <w:b/>
          <w:bCs/>
          <w:sz w:val="24"/>
          <w:szCs w:val="24"/>
        </w:rPr>
        <w:t>zmiana w zdaniu drugim art.</w:t>
      </w:r>
      <w:r w:rsidRPr="00F27DDF">
        <w:rPr>
          <w:rFonts w:ascii="Times New Roman" w:hAnsi="Times New Roman" w:cs="Times New Roman"/>
          <w:b/>
          <w:sz w:val="24"/>
          <w:szCs w:val="24"/>
        </w:rPr>
        <w:t xml:space="preserve"> 97 ust. 16 ustawy o VAT</w:t>
      </w:r>
      <w:r w:rsidRPr="00F27DDF">
        <w:rPr>
          <w:rFonts w:ascii="Times New Roman" w:hAnsi="Times New Roman" w:cs="Times New Roman"/>
          <w:sz w:val="24"/>
          <w:szCs w:val="24"/>
        </w:rPr>
        <w:t xml:space="preserve"> polegająca na </w:t>
      </w:r>
      <w:r w:rsidR="00F27DDF">
        <w:rPr>
          <w:rFonts w:ascii="Times New Roman" w:hAnsi="Times New Roman" w:cs="Times New Roman"/>
          <w:sz w:val="24"/>
          <w:szCs w:val="24"/>
        </w:rPr>
        <w:t xml:space="preserve">zamianie </w:t>
      </w:r>
      <w:r w:rsidR="00534C56">
        <w:rPr>
          <w:rFonts w:ascii="Times New Roman" w:hAnsi="Times New Roman" w:cs="Times New Roman"/>
          <w:sz w:val="24"/>
          <w:szCs w:val="24"/>
        </w:rPr>
        <w:t xml:space="preserve">wyrazów </w:t>
      </w:r>
      <w:r w:rsidR="00F27DDF">
        <w:rPr>
          <w:rFonts w:ascii="Times New Roman" w:hAnsi="Times New Roman" w:cs="Times New Roman"/>
          <w:sz w:val="24"/>
          <w:szCs w:val="24"/>
        </w:rPr>
        <w:t>„art. 96 ust.</w:t>
      </w:r>
      <w:r w:rsidR="00534C56">
        <w:rPr>
          <w:rFonts w:ascii="Times New Roman" w:hAnsi="Times New Roman" w:cs="Times New Roman"/>
          <w:sz w:val="24"/>
          <w:szCs w:val="24"/>
        </w:rPr>
        <w:t> </w:t>
      </w:r>
      <w:r w:rsidR="00F27DDF">
        <w:rPr>
          <w:rFonts w:ascii="Times New Roman" w:hAnsi="Times New Roman" w:cs="Times New Roman"/>
          <w:sz w:val="24"/>
          <w:szCs w:val="24"/>
        </w:rPr>
        <w:t>9g–9i” na</w:t>
      </w:r>
      <w:r w:rsidR="00534C56">
        <w:rPr>
          <w:rFonts w:ascii="Times New Roman" w:hAnsi="Times New Roman" w:cs="Times New Roman"/>
          <w:sz w:val="24"/>
          <w:szCs w:val="24"/>
        </w:rPr>
        <w:t xml:space="preserve"> wyrazy</w:t>
      </w:r>
      <w:r w:rsidR="00F27DDF">
        <w:rPr>
          <w:rFonts w:ascii="Times New Roman" w:hAnsi="Times New Roman" w:cs="Times New Roman"/>
          <w:sz w:val="24"/>
          <w:szCs w:val="24"/>
        </w:rPr>
        <w:t xml:space="preserve"> „art. 96 ust. 9g–</w:t>
      </w:r>
      <w:r w:rsidRPr="00F27DDF">
        <w:rPr>
          <w:rFonts w:ascii="Times New Roman" w:hAnsi="Times New Roman" w:cs="Times New Roman"/>
          <w:b/>
          <w:sz w:val="24"/>
          <w:szCs w:val="24"/>
        </w:rPr>
        <w:t>9j</w:t>
      </w:r>
      <w:r w:rsidRPr="00F27DDF">
        <w:rPr>
          <w:rFonts w:ascii="Times New Roman" w:hAnsi="Times New Roman" w:cs="Times New Roman"/>
          <w:sz w:val="24"/>
          <w:szCs w:val="24"/>
        </w:rPr>
        <w:t>”.</w:t>
      </w:r>
    </w:p>
    <w:p w:rsidR="005C3F1F" w:rsidRPr="00F27DDF" w:rsidRDefault="00AB11F1" w:rsidP="00C847B8">
      <w:pPr>
        <w:spacing w:before="240" w:after="0" w:line="360" w:lineRule="auto"/>
        <w:ind w:left="532" w:hanging="532"/>
        <w:jc w:val="both"/>
        <w:rPr>
          <w:rFonts w:ascii="Times New Roman" w:hAnsi="Times New Roman" w:cs="Times New Roman"/>
          <w:b/>
          <w:sz w:val="24"/>
          <w:szCs w:val="24"/>
        </w:rPr>
      </w:pPr>
      <w:r w:rsidRPr="00F27DDF">
        <w:rPr>
          <w:rFonts w:ascii="Times New Roman" w:hAnsi="Times New Roman" w:cs="Times New Roman"/>
          <w:b/>
          <w:sz w:val="24"/>
          <w:szCs w:val="24"/>
        </w:rPr>
        <w:t>V</w:t>
      </w:r>
      <w:r w:rsidR="000275DF" w:rsidRPr="00F27DDF">
        <w:rPr>
          <w:rFonts w:ascii="Times New Roman" w:hAnsi="Times New Roman" w:cs="Times New Roman"/>
          <w:b/>
          <w:sz w:val="24"/>
          <w:szCs w:val="24"/>
        </w:rPr>
        <w:t>I</w:t>
      </w:r>
      <w:r w:rsidR="00C847B8">
        <w:rPr>
          <w:rFonts w:ascii="Times New Roman" w:hAnsi="Times New Roman" w:cs="Times New Roman"/>
          <w:b/>
          <w:sz w:val="24"/>
          <w:szCs w:val="24"/>
        </w:rPr>
        <w:t>.</w:t>
      </w:r>
      <w:r w:rsidR="00C847B8">
        <w:rPr>
          <w:rFonts w:ascii="Times New Roman" w:hAnsi="Times New Roman" w:cs="Times New Roman"/>
          <w:b/>
          <w:sz w:val="24"/>
          <w:szCs w:val="24"/>
        </w:rPr>
        <w:tab/>
      </w:r>
      <w:r w:rsidRPr="00F27DDF">
        <w:rPr>
          <w:rFonts w:ascii="Times New Roman" w:hAnsi="Times New Roman" w:cs="Times New Roman"/>
          <w:b/>
          <w:sz w:val="24"/>
          <w:szCs w:val="24"/>
        </w:rPr>
        <w:t>Ustawa z dnia 5 listopada 2009 r. o spółdz</w:t>
      </w:r>
      <w:r w:rsidR="00F27DDF">
        <w:rPr>
          <w:rFonts w:ascii="Times New Roman" w:hAnsi="Times New Roman" w:cs="Times New Roman"/>
          <w:b/>
          <w:sz w:val="24"/>
          <w:szCs w:val="24"/>
        </w:rPr>
        <w:t>ielczych kasach oszczędnościowo</w:t>
      </w:r>
      <w:r w:rsidR="00F27DDF">
        <w:rPr>
          <w:rFonts w:ascii="Times New Roman" w:hAnsi="Times New Roman" w:cs="Times New Roman"/>
          <w:b/>
          <w:sz w:val="24"/>
          <w:szCs w:val="24"/>
        </w:rPr>
        <w:noBreakHyphen/>
      </w:r>
      <w:r w:rsidRPr="00F27DDF">
        <w:rPr>
          <w:rFonts w:ascii="Times New Roman" w:hAnsi="Times New Roman" w:cs="Times New Roman"/>
          <w:b/>
          <w:sz w:val="24"/>
          <w:szCs w:val="24"/>
        </w:rPr>
        <w:t xml:space="preserve">kredytowych (art. </w:t>
      </w:r>
      <w:r w:rsidR="00094151" w:rsidRPr="00F27DDF">
        <w:rPr>
          <w:rFonts w:ascii="Times New Roman" w:hAnsi="Times New Roman" w:cs="Times New Roman"/>
          <w:b/>
          <w:sz w:val="24"/>
          <w:szCs w:val="24"/>
        </w:rPr>
        <w:t>6</w:t>
      </w:r>
      <w:r w:rsidRPr="00F27DDF">
        <w:rPr>
          <w:rFonts w:ascii="Times New Roman" w:hAnsi="Times New Roman" w:cs="Times New Roman"/>
          <w:b/>
          <w:sz w:val="24"/>
          <w:szCs w:val="24"/>
        </w:rPr>
        <w:t xml:space="preserve"> projektu)</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Zmiana w art. 16 ust. 4 ustawy polega na wydłużeniu z 3 do 6 miesięcy okresu wstrzymania transakcji lub dokonania blokady środków na rachunku przez prokuratora. Projektowana zmiana ma </w:t>
      </w:r>
      <w:r w:rsidR="00C13C62">
        <w:rPr>
          <w:rFonts w:ascii="Times New Roman" w:hAnsi="Times New Roman" w:cs="Times New Roman"/>
          <w:sz w:val="24"/>
          <w:szCs w:val="24"/>
        </w:rPr>
        <w:t xml:space="preserve">na </w:t>
      </w:r>
      <w:r w:rsidRPr="00F27DDF">
        <w:rPr>
          <w:rFonts w:ascii="Times New Roman" w:hAnsi="Times New Roman" w:cs="Times New Roman"/>
          <w:sz w:val="24"/>
          <w:szCs w:val="24"/>
        </w:rPr>
        <w:t xml:space="preserve">celu ujednolicenie okresów w analogicznych przepisach </w:t>
      </w:r>
      <w:r w:rsidRPr="00F27DDF">
        <w:rPr>
          <w:rFonts w:ascii="Times New Roman" w:hAnsi="Times New Roman" w:cs="Times New Roman"/>
          <w:sz w:val="24"/>
          <w:szCs w:val="24"/>
        </w:rPr>
        <w:lastRenderedPageBreak/>
        <w:t>art.</w:t>
      </w:r>
      <w:r w:rsidR="00C847B8">
        <w:rPr>
          <w:rFonts w:ascii="Times New Roman" w:hAnsi="Times New Roman" w:cs="Times New Roman"/>
          <w:sz w:val="24"/>
          <w:szCs w:val="24"/>
        </w:rPr>
        <w:t> </w:t>
      </w:r>
      <w:r w:rsidRPr="00F27DDF">
        <w:rPr>
          <w:rFonts w:ascii="Times New Roman" w:hAnsi="Times New Roman" w:cs="Times New Roman"/>
          <w:sz w:val="24"/>
          <w:szCs w:val="24"/>
        </w:rPr>
        <w:t>16 ust. 4 ustawy z dnia 5 listopada 2009 r. o spółdzielczych kasach oszczędnościowo-kredytowych i art. 106a ust. 3a ustawy z dnia 29 sierpnia 1997 r. – Prawo bankowe. W przepisie art. 106a ust. 3a ustawy – Prawo bankowe wydłużony z</w:t>
      </w:r>
      <w:r w:rsidR="00C847B8">
        <w:rPr>
          <w:rFonts w:ascii="Times New Roman" w:hAnsi="Times New Roman" w:cs="Times New Roman"/>
          <w:sz w:val="24"/>
          <w:szCs w:val="24"/>
        </w:rPr>
        <w:t> </w:t>
      </w:r>
      <w:r w:rsidRPr="00F27DDF">
        <w:rPr>
          <w:rFonts w:ascii="Times New Roman" w:hAnsi="Times New Roman" w:cs="Times New Roman"/>
          <w:sz w:val="24"/>
          <w:szCs w:val="24"/>
        </w:rPr>
        <w:t>3</w:t>
      </w:r>
      <w:r w:rsidR="00C847B8">
        <w:rPr>
          <w:rFonts w:ascii="Times New Roman" w:hAnsi="Times New Roman" w:cs="Times New Roman"/>
          <w:sz w:val="24"/>
          <w:szCs w:val="24"/>
        </w:rPr>
        <w:t> </w:t>
      </w:r>
      <w:r w:rsidRPr="00F27DDF">
        <w:rPr>
          <w:rFonts w:ascii="Times New Roman" w:hAnsi="Times New Roman" w:cs="Times New Roman"/>
          <w:sz w:val="24"/>
          <w:szCs w:val="24"/>
        </w:rPr>
        <w:t>do 6 miesięcy okres wstrzymania transakcji lub dokonania blokady środków na rachunku przez prokuratora został ustalony w art. 166 ustawy z dnia 1 marca 2018 r. o</w:t>
      </w:r>
      <w:r w:rsidR="00C847B8">
        <w:rPr>
          <w:rFonts w:ascii="Times New Roman" w:hAnsi="Times New Roman" w:cs="Times New Roman"/>
          <w:sz w:val="24"/>
          <w:szCs w:val="24"/>
        </w:rPr>
        <w:t> </w:t>
      </w:r>
      <w:r w:rsidRPr="00F27DDF">
        <w:rPr>
          <w:rFonts w:ascii="Times New Roman" w:hAnsi="Times New Roman" w:cs="Times New Roman"/>
          <w:sz w:val="24"/>
          <w:szCs w:val="24"/>
        </w:rPr>
        <w:t xml:space="preserve">przeciwdziałaniu praniu pieniędzy oraz finansowaniu terroryzmu. </w:t>
      </w:r>
    </w:p>
    <w:p w:rsidR="005C3F1F" w:rsidRPr="00F27DDF" w:rsidRDefault="00AB11F1" w:rsidP="00C847B8">
      <w:pPr>
        <w:spacing w:before="240" w:after="0" w:line="360" w:lineRule="auto"/>
        <w:ind w:left="630" w:hanging="630"/>
        <w:jc w:val="both"/>
        <w:rPr>
          <w:rFonts w:ascii="Times New Roman" w:hAnsi="Times New Roman" w:cs="Times New Roman"/>
          <w:b/>
          <w:sz w:val="24"/>
          <w:szCs w:val="24"/>
        </w:rPr>
      </w:pPr>
      <w:r w:rsidRPr="00F27DDF">
        <w:rPr>
          <w:rFonts w:ascii="Times New Roman" w:hAnsi="Times New Roman" w:cs="Times New Roman"/>
          <w:b/>
          <w:sz w:val="24"/>
          <w:szCs w:val="24"/>
        </w:rPr>
        <w:t>V</w:t>
      </w:r>
      <w:r w:rsidR="00094151" w:rsidRPr="00F27DDF">
        <w:rPr>
          <w:rFonts w:ascii="Times New Roman" w:hAnsi="Times New Roman" w:cs="Times New Roman"/>
          <w:b/>
          <w:sz w:val="24"/>
          <w:szCs w:val="24"/>
        </w:rPr>
        <w:t>I</w:t>
      </w:r>
      <w:r w:rsidR="000275DF" w:rsidRPr="00F27DDF">
        <w:rPr>
          <w:rFonts w:ascii="Times New Roman" w:hAnsi="Times New Roman" w:cs="Times New Roman"/>
          <w:b/>
          <w:sz w:val="24"/>
          <w:szCs w:val="24"/>
        </w:rPr>
        <w:t>I</w:t>
      </w:r>
      <w:r w:rsidR="00C847B8">
        <w:rPr>
          <w:rFonts w:ascii="Times New Roman" w:hAnsi="Times New Roman" w:cs="Times New Roman"/>
          <w:b/>
          <w:sz w:val="24"/>
          <w:szCs w:val="24"/>
        </w:rPr>
        <w:t>.</w:t>
      </w:r>
      <w:r w:rsidR="00C847B8">
        <w:rPr>
          <w:rFonts w:ascii="Times New Roman" w:hAnsi="Times New Roman" w:cs="Times New Roman"/>
          <w:b/>
          <w:sz w:val="24"/>
          <w:szCs w:val="24"/>
        </w:rPr>
        <w:tab/>
      </w:r>
      <w:r w:rsidRPr="00F27DDF">
        <w:rPr>
          <w:rFonts w:ascii="Times New Roman" w:hAnsi="Times New Roman" w:cs="Times New Roman"/>
          <w:b/>
          <w:sz w:val="24"/>
          <w:szCs w:val="24"/>
        </w:rPr>
        <w:t>Ustawa z dnia 16 listopada 2016 r. o Krajowe</w:t>
      </w:r>
      <w:r w:rsidR="00C847B8">
        <w:rPr>
          <w:rFonts w:ascii="Times New Roman" w:hAnsi="Times New Roman" w:cs="Times New Roman"/>
          <w:b/>
          <w:sz w:val="24"/>
          <w:szCs w:val="24"/>
        </w:rPr>
        <w:t>j Administracji Skarbowej (art. </w:t>
      </w:r>
      <w:r w:rsidR="00094151" w:rsidRPr="00F27DDF">
        <w:rPr>
          <w:rFonts w:ascii="Times New Roman" w:hAnsi="Times New Roman" w:cs="Times New Roman"/>
          <w:b/>
          <w:sz w:val="24"/>
          <w:szCs w:val="24"/>
        </w:rPr>
        <w:t>7</w:t>
      </w:r>
      <w:r w:rsidRPr="00F27DDF">
        <w:rPr>
          <w:rFonts w:ascii="Times New Roman" w:hAnsi="Times New Roman" w:cs="Times New Roman"/>
          <w:b/>
          <w:sz w:val="24"/>
          <w:szCs w:val="24"/>
        </w:rPr>
        <w:t xml:space="preserve"> projektu)</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Zmiana polega na dodaniu w </w:t>
      </w:r>
      <w:r w:rsidRPr="00F27DDF">
        <w:rPr>
          <w:rFonts w:ascii="Times New Roman" w:hAnsi="Times New Roman" w:cs="Times New Roman"/>
          <w:b/>
          <w:sz w:val="24"/>
          <w:szCs w:val="24"/>
        </w:rPr>
        <w:t>art. 148 ust. 1 ustawy o KAS</w:t>
      </w:r>
      <w:r w:rsidRPr="00F27DDF">
        <w:rPr>
          <w:rFonts w:ascii="Times New Roman" w:hAnsi="Times New Roman" w:cs="Times New Roman"/>
          <w:sz w:val="24"/>
          <w:szCs w:val="24"/>
        </w:rPr>
        <w:t xml:space="preserve"> po pkt c </w:t>
      </w:r>
      <w:r w:rsidRPr="00F27DDF">
        <w:rPr>
          <w:rFonts w:ascii="Times New Roman" w:hAnsi="Times New Roman" w:cs="Times New Roman"/>
          <w:b/>
          <w:sz w:val="24"/>
          <w:szCs w:val="24"/>
        </w:rPr>
        <w:t>nowego pkt ca</w:t>
      </w:r>
      <w:r w:rsidRPr="00F27DDF">
        <w:rPr>
          <w:rFonts w:ascii="Times New Roman" w:hAnsi="Times New Roman" w:cs="Times New Roman"/>
          <w:sz w:val="24"/>
          <w:szCs w:val="24"/>
        </w:rPr>
        <w:t>. Zmienione przepisy przyznają dodatek kontrolerski w wysokości do 50% wynagrodzenia zasadniczego albo uposażenia zasadnic</w:t>
      </w:r>
      <w:r w:rsidR="00C847B8">
        <w:rPr>
          <w:rFonts w:ascii="Times New Roman" w:hAnsi="Times New Roman" w:cs="Times New Roman"/>
          <w:sz w:val="24"/>
          <w:szCs w:val="24"/>
        </w:rPr>
        <w:t>zego za wykonywanie kontroli, o </w:t>
      </w:r>
      <w:r w:rsidRPr="00F27DDF">
        <w:rPr>
          <w:rFonts w:ascii="Times New Roman" w:hAnsi="Times New Roman" w:cs="Times New Roman"/>
          <w:sz w:val="24"/>
          <w:szCs w:val="24"/>
        </w:rPr>
        <w:t>której mowa w art. 119zzf § 1 ustawy – Ordynacja podatkowa. W aktualnym stanie prawnym uprawnienie do dodatku kontrolerskiego budzi wątpliwości, ponieważ powyższej kontroli, pomimo stosowania do niej niektórych przepisów ustawy o KAS, nie można uznać za kontrolę celno-skarbową, której wykonywanie uprawnia do dodatku.</w:t>
      </w:r>
    </w:p>
    <w:p w:rsidR="005C3F1F" w:rsidRPr="00F27DDF" w:rsidRDefault="00AB11F1" w:rsidP="00C847B8">
      <w:pPr>
        <w:spacing w:before="240" w:after="0" w:line="360" w:lineRule="auto"/>
        <w:ind w:left="630" w:hanging="630"/>
        <w:jc w:val="both"/>
        <w:rPr>
          <w:rFonts w:ascii="Times New Roman" w:hAnsi="Times New Roman" w:cs="Times New Roman"/>
          <w:b/>
          <w:sz w:val="24"/>
          <w:szCs w:val="24"/>
        </w:rPr>
      </w:pPr>
      <w:r w:rsidRPr="00F27DDF">
        <w:rPr>
          <w:rFonts w:ascii="Times New Roman" w:hAnsi="Times New Roman" w:cs="Times New Roman"/>
          <w:b/>
          <w:sz w:val="24"/>
          <w:szCs w:val="24"/>
        </w:rPr>
        <w:t>VI</w:t>
      </w:r>
      <w:r w:rsidR="00094151" w:rsidRPr="00F27DDF">
        <w:rPr>
          <w:rFonts w:ascii="Times New Roman" w:hAnsi="Times New Roman" w:cs="Times New Roman"/>
          <w:b/>
          <w:sz w:val="24"/>
          <w:szCs w:val="24"/>
        </w:rPr>
        <w:t>I</w:t>
      </w:r>
      <w:r w:rsidR="000275DF" w:rsidRPr="00F27DDF">
        <w:rPr>
          <w:rFonts w:ascii="Times New Roman" w:hAnsi="Times New Roman" w:cs="Times New Roman"/>
          <w:b/>
          <w:sz w:val="24"/>
          <w:szCs w:val="24"/>
        </w:rPr>
        <w:t>I</w:t>
      </w:r>
      <w:r w:rsidR="00C847B8">
        <w:rPr>
          <w:rFonts w:ascii="Times New Roman" w:hAnsi="Times New Roman" w:cs="Times New Roman"/>
          <w:b/>
          <w:sz w:val="24"/>
          <w:szCs w:val="24"/>
        </w:rPr>
        <w:t>.</w:t>
      </w:r>
      <w:r w:rsidR="00C847B8">
        <w:rPr>
          <w:rFonts w:ascii="Times New Roman" w:hAnsi="Times New Roman" w:cs="Times New Roman"/>
          <w:b/>
          <w:sz w:val="24"/>
          <w:szCs w:val="24"/>
        </w:rPr>
        <w:tab/>
      </w:r>
      <w:r w:rsidRPr="00F27DDF">
        <w:rPr>
          <w:rFonts w:ascii="Times New Roman" w:hAnsi="Times New Roman" w:cs="Times New Roman"/>
          <w:b/>
          <w:sz w:val="24"/>
          <w:szCs w:val="24"/>
        </w:rPr>
        <w:t>Ustawa z dnia 9 marca 2017 r. o wymianie informacji podatkowych z</w:t>
      </w:r>
      <w:r w:rsidR="00F27DDF">
        <w:rPr>
          <w:rFonts w:ascii="Times New Roman" w:hAnsi="Times New Roman" w:cs="Times New Roman"/>
          <w:b/>
          <w:sz w:val="24"/>
          <w:szCs w:val="24"/>
        </w:rPr>
        <w:t xml:space="preserve"> </w:t>
      </w:r>
      <w:r w:rsidRPr="00F27DDF">
        <w:rPr>
          <w:rFonts w:ascii="Times New Roman" w:hAnsi="Times New Roman" w:cs="Times New Roman"/>
          <w:b/>
          <w:sz w:val="24"/>
          <w:szCs w:val="24"/>
        </w:rPr>
        <w:t xml:space="preserve">innymi państwami (art. </w:t>
      </w:r>
      <w:r w:rsidR="00094151" w:rsidRPr="00F27DDF">
        <w:rPr>
          <w:rFonts w:ascii="Times New Roman" w:hAnsi="Times New Roman" w:cs="Times New Roman"/>
          <w:b/>
          <w:sz w:val="24"/>
          <w:szCs w:val="24"/>
        </w:rPr>
        <w:t>8</w:t>
      </w:r>
      <w:r w:rsidRPr="00F27DDF">
        <w:rPr>
          <w:rFonts w:ascii="Times New Roman" w:hAnsi="Times New Roman" w:cs="Times New Roman"/>
          <w:b/>
          <w:sz w:val="24"/>
          <w:szCs w:val="24"/>
        </w:rPr>
        <w:t xml:space="preserve"> projektu)</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Obecna delegacja ustawowa zawarta w art. 99 ust. 3 ustawy nie odzwierciedla dynamiki sytuacji międzynarodowej. Planowana pełna lista państw, które zobowiązały się do udziału w wymianie informacji o</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rachunkach raportowanych (tzw. jurysdykcje uczestniczące)</w:t>
      </w:r>
      <w:r w:rsidR="00C13C62">
        <w:rPr>
          <w:rFonts w:ascii="Times New Roman" w:hAnsi="Times New Roman" w:cs="Times New Roman"/>
          <w:sz w:val="24"/>
          <w:szCs w:val="24"/>
        </w:rPr>
        <w:t>,</w:t>
      </w:r>
      <w:r w:rsidRPr="00F27DDF">
        <w:rPr>
          <w:rFonts w:ascii="Times New Roman" w:hAnsi="Times New Roman" w:cs="Times New Roman"/>
          <w:sz w:val="24"/>
          <w:szCs w:val="24"/>
        </w:rPr>
        <w:t xml:space="preserve"> nie mogła być ogłoszona w 2017 roku,</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albowiem niektóre z nich opóźniły się z wdrażaniem ram prawnych dla wymiany informacji o rachunkach finansowych. Ponadto wyszczególnione zostaną te jurysdykcje uczestniczące, które będą jedynie przekazywać informacje do Polski i nie będą oczekiwały wzajemności. Ich wskazanie jest niezbędne dla funkcjonowania całości wspólnego systemu raportowania (</w:t>
      </w:r>
      <w:r w:rsidRPr="00F27DDF">
        <w:rPr>
          <w:rFonts w:ascii="Times New Roman" w:hAnsi="Times New Roman" w:cs="Times New Roman"/>
          <w:b/>
          <w:sz w:val="24"/>
          <w:szCs w:val="24"/>
        </w:rPr>
        <w:t>dodany art. 99a ustawy o wymianie informacji podatkowych z innymi państwami</w:t>
      </w:r>
      <w:r w:rsidRPr="00F27DDF">
        <w:rPr>
          <w:rFonts w:ascii="Times New Roman" w:hAnsi="Times New Roman" w:cs="Times New Roman"/>
          <w:sz w:val="24"/>
          <w:szCs w:val="24"/>
        </w:rPr>
        <w:t>).</w:t>
      </w:r>
    </w:p>
    <w:p w:rsidR="005C3F1F" w:rsidRPr="00F27DDF" w:rsidRDefault="00094151" w:rsidP="00C847B8">
      <w:pPr>
        <w:spacing w:before="240" w:after="0" w:line="360" w:lineRule="auto"/>
        <w:ind w:left="630" w:hanging="630"/>
        <w:jc w:val="both"/>
        <w:rPr>
          <w:rFonts w:ascii="Times New Roman" w:hAnsi="Times New Roman" w:cs="Times New Roman"/>
          <w:b/>
          <w:sz w:val="24"/>
          <w:szCs w:val="24"/>
        </w:rPr>
      </w:pPr>
      <w:r w:rsidRPr="00F27DDF">
        <w:rPr>
          <w:rFonts w:ascii="Times New Roman" w:hAnsi="Times New Roman" w:cs="Times New Roman"/>
          <w:b/>
          <w:sz w:val="24"/>
          <w:szCs w:val="24"/>
        </w:rPr>
        <w:t>I</w:t>
      </w:r>
      <w:r w:rsidR="000275DF" w:rsidRPr="00F27DDF">
        <w:rPr>
          <w:rFonts w:ascii="Times New Roman" w:hAnsi="Times New Roman" w:cs="Times New Roman"/>
          <w:b/>
          <w:sz w:val="24"/>
          <w:szCs w:val="24"/>
        </w:rPr>
        <w:t>X</w:t>
      </w:r>
      <w:r w:rsidR="00C847B8">
        <w:rPr>
          <w:rFonts w:ascii="Times New Roman" w:hAnsi="Times New Roman" w:cs="Times New Roman"/>
          <w:b/>
          <w:sz w:val="24"/>
          <w:szCs w:val="24"/>
        </w:rPr>
        <w:t>.</w:t>
      </w:r>
      <w:r w:rsidR="00C847B8">
        <w:rPr>
          <w:rFonts w:ascii="Times New Roman" w:hAnsi="Times New Roman" w:cs="Times New Roman"/>
          <w:b/>
          <w:sz w:val="24"/>
          <w:szCs w:val="24"/>
        </w:rPr>
        <w:tab/>
      </w:r>
      <w:r w:rsidR="00AB11F1" w:rsidRPr="00F27DDF">
        <w:rPr>
          <w:rFonts w:ascii="Times New Roman" w:hAnsi="Times New Roman" w:cs="Times New Roman"/>
          <w:b/>
          <w:sz w:val="24"/>
          <w:szCs w:val="24"/>
        </w:rPr>
        <w:t>Ustawa z dnia 15 grudnia 2017 r. o zmiani</w:t>
      </w:r>
      <w:r w:rsidR="00C847B8">
        <w:rPr>
          <w:rFonts w:ascii="Times New Roman" w:hAnsi="Times New Roman" w:cs="Times New Roman"/>
          <w:b/>
          <w:sz w:val="24"/>
          <w:szCs w:val="24"/>
        </w:rPr>
        <w:t>e ustawy o podatku od towarów i </w:t>
      </w:r>
      <w:r w:rsidR="00AB11F1" w:rsidRPr="00F27DDF">
        <w:rPr>
          <w:rFonts w:ascii="Times New Roman" w:hAnsi="Times New Roman" w:cs="Times New Roman"/>
          <w:b/>
          <w:sz w:val="24"/>
          <w:szCs w:val="24"/>
        </w:rPr>
        <w:t xml:space="preserve">usług oraz niektórych innych ustaw (art. </w:t>
      </w:r>
      <w:r w:rsidRPr="00F27DDF">
        <w:rPr>
          <w:rFonts w:ascii="Times New Roman" w:hAnsi="Times New Roman" w:cs="Times New Roman"/>
          <w:b/>
          <w:sz w:val="24"/>
          <w:szCs w:val="24"/>
        </w:rPr>
        <w:t>9</w:t>
      </w:r>
      <w:r w:rsidR="00AB11F1" w:rsidRPr="00F27DDF">
        <w:rPr>
          <w:rFonts w:ascii="Times New Roman" w:hAnsi="Times New Roman" w:cs="Times New Roman"/>
          <w:b/>
          <w:sz w:val="24"/>
          <w:szCs w:val="24"/>
        </w:rPr>
        <w:t xml:space="preserve"> projektu)</w:t>
      </w:r>
    </w:p>
    <w:p w:rsidR="00D70068" w:rsidRPr="00F27DDF" w:rsidRDefault="00D70068" w:rsidP="00F27DDF">
      <w:pPr>
        <w:spacing w:before="120" w:after="0" w:line="360" w:lineRule="auto"/>
        <w:jc w:val="both"/>
        <w:rPr>
          <w:rFonts w:ascii="Times New Roman" w:eastAsia="Calibri" w:hAnsi="Times New Roman" w:cs="Times New Roman"/>
          <w:sz w:val="24"/>
          <w:szCs w:val="24"/>
        </w:rPr>
      </w:pPr>
      <w:r w:rsidRPr="00F27DDF">
        <w:rPr>
          <w:rFonts w:ascii="Times New Roman" w:eastAsia="Calibri" w:hAnsi="Times New Roman" w:cs="Times New Roman"/>
          <w:sz w:val="24"/>
          <w:szCs w:val="24"/>
        </w:rPr>
        <w:t>Zmiana w art. 9</w:t>
      </w:r>
      <w:r w:rsidR="00534C56">
        <w:rPr>
          <w:rFonts w:ascii="Times New Roman" w:eastAsia="Calibri" w:hAnsi="Times New Roman" w:cs="Times New Roman"/>
          <w:sz w:val="24"/>
          <w:szCs w:val="24"/>
        </w:rPr>
        <w:t xml:space="preserve"> projektu</w:t>
      </w:r>
      <w:r w:rsidRPr="00F27DDF">
        <w:rPr>
          <w:rFonts w:ascii="Times New Roman" w:eastAsia="Calibri" w:hAnsi="Times New Roman" w:cs="Times New Roman"/>
          <w:sz w:val="24"/>
          <w:szCs w:val="24"/>
        </w:rPr>
        <w:t xml:space="preserve"> umożliwia wyłączenie od odpowiedzialności solidarnej podatnika innego niż wskazany na fakturze, który otrzymał płatność w podzielonej płatności od nabywcy towarów lub usług na swój rachunek VAT po 1 lipca 2018 r., ale </w:t>
      </w:r>
      <w:r w:rsidRPr="00F27DDF">
        <w:rPr>
          <w:rFonts w:ascii="Times New Roman" w:eastAsia="Calibri" w:hAnsi="Times New Roman" w:cs="Times New Roman"/>
          <w:sz w:val="24"/>
          <w:szCs w:val="24"/>
        </w:rPr>
        <w:lastRenderedPageBreak/>
        <w:t>sam dokonał płatności na rzecz dostawcy</w:t>
      </w:r>
      <w:r w:rsidR="00534C56">
        <w:rPr>
          <w:rFonts w:ascii="Times New Roman" w:eastAsia="Calibri" w:hAnsi="Times New Roman" w:cs="Times New Roman"/>
          <w:sz w:val="24"/>
          <w:szCs w:val="24"/>
        </w:rPr>
        <w:t xml:space="preserve"> (</w:t>
      </w:r>
      <w:r w:rsidRPr="00F27DDF">
        <w:rPr>
          <w:rFonts w:ascii="Times New Roman" w:eastAsia="Calibri" w:hAnsi="Times New Roman" w:cs="Times New Roman"/>
          <w:sz w:val="24"/>
          <w:szCs w:val="24"/>
        </w:rPr>
        <w:t>usługodawcy</w:t>
      </w:r>
      <w:r w:rsidR="00534C56">
        <w:rPr>
          <w:rFonts w:ascii="Times New Roman" w:eastAsia="Calibri" w:hAnsi="Times New Roman" w:cs="Times New Roman"/>
          <w:sz w:val="24"/>
          <w:szCs w:val="24"/>
        </w:rPr>
        <w:t>)</w:t>
      </w:r>
      <w:r w:rsidRPr="00F27DDF">
        <w:rPr>
          <w:rFonts w:ascii="Times New Roman" w:eastAsia="Calibri" w:hAnsi="Times New Roman" w:cs="Times New Roman"/>
          <w:sz w:val="24"/>
          <w:szCs w:val="24"/>
        </w:rPr>
        <w:t xml:space="preserve"> wskazanego na fakturze przed wejściem w życie przepisów o</w:t>
      </w:r>
      <w:r w:rsidR="00C847B8">
        <w:rPr>
          <w:rFonts w:ascii="Times New Roman" w:eastAsia="Calibri" w:hAnsi="Times New Roman" w:cs="Times New Roman"/>
          <w:sz w:val="24"/>
          <w:szCs w:val="24"/>
        </w:rPr>
        <w:t> </w:t>
      </w:r>
      <w:r w:rsidRPr="00F27DDF">
        <w:rPr>
          <w:rFonts w:ascii="Times New Roman" w:eastAsia="Calibri" w:hAnsi="Times New Roman" w:cs="Times New Roman"/>
          <w:sz w:val="24"/>
          <w:szCs w:val="24"/>
        </w:rPr>
        <w:t>podzielonej płatności. Zgodnie z tym prz</w:t>
      </w:r>
      <w:r w:rsidR="00534C56">
        <w:rPr>
          <w:rFonts w:ascii="Times New Roman" w:eastAsia="Calibri" w:hAnsi="Times New Roman" w:cs="Times New Roman"/>
          <w:sz w:val="24"/>
          <w:szCs w:val="24"/>
        </w:rPr>
        <w:t>episem</w:t>
      </w:r>
      <w:r w:rsidR="00C847B8">
        <w:rPr>
          <w:rFonts w:ascii="Times New Roman" w:eastAsia="Calibri" w:hAnsi="Times New Roman" w:cs="Times New Roman"/>
          <w:sz w:val="24"/>
          <w:szCs w:val="24"/>
        </w:rPr>
        <w:t xml:space="preserve"> taki podatnik (a więc w </w:t>
      </w:r>
      <w:r w:rsidRPr="00F27DDF">
        <w:rPr>
          <w:rFonts w:ascii="Times New Roman" w:eastAsia="Calibri" w:hAnsi="Times New Roman" w:cs="Times New Roman"/>
          <w:sz w:val="24"/>
          <w:szCs w:val="24"/>
        </w:rPr>
        <w:t>szczególności podmiot świadczący usługi faktoringu, wykupu lub finansowania wierzytelności lub inne podobne usługi) nie będzie ponosił solidarnej odpowiedzialności, przy spełnieniu przesłanek wskazanych w projektowanym przepisie, ponieważ płatności na rzecz dostawcy</w:t>
      </w:r>
      <w:r w:rsidR="00534C56">
        <w:rPr>
          <w:rFonts w:ascii="Times New Roman" w:eastAsia="Calibri" w:hAnsi="Times New Roman" w:cs="Times New Roman"/>
          <w:sz w:val="24"/>
          <w:szCs w:val="24"/>
        </w:rPr>
        <w:t xml:space="preserve"> (</w:t>
      </w:r>
      <w:r w:rsidRPr="00F27DDF">
        <w:rPr>
          <w:rFonts w:ascii="Times New Roman" w:eastAsia="Calibri" w:hAnsi="Times New Roman" w:cs="Times New Roman"/>
          <w:sz w:val="24"/>
          <w:szCs w:val="24"/>
        </w:rPr>
        <w:t>usługodawcy</w:t>
      </w:r>
      <w:r w:rsidR="00534C56">
        <w:rPr>
          <w:rFonts w:ascii="Times New Roman" w:eastAsia="Calibri" w:hAnsi="Times New Roman" w:cs="Times New Roman"/>
          <w:sz w:val="24"/>
          <w:szCs w:val="24"/>
        </w:rPr>
        <w:t>)</w:t>
      </w:r>
      <w:r w:rsidRPr="00F27DDF">
        <w:rPr>
          <w:rFonts w:ascii="Times New Roman" w:eastAsia="Calibri" w:hAnsi="Times New Roman" w:cs="Times New Roman"/>
          <w:sz w:val="24"/>
          <w:szCs w:val="24"/>
        </w:rPr>
        <w:t xml:space="preserve"> d</w:t>
      </w:r>
      <w:r w:rsidR="00C847B8">
        <w:rPr>
          <w:rFonts w:ascii="Times New Roman" w:eastAsia="Calibri" w:hAnsi="Times New Roman" w:cs="Times New Roman"/>
          <w:sz w:val="24"/>
          <w:szCs w:val="24"/>
        </w:rPr>
        <w:t>okonał jeszcze przed wejściem w </w:t>
      </w:r>
      <w:r w:rsidRPr="00F27DDF">
        <w:rPr>
          <w:rFonts w:ascii="Times New Roman" w:eastAsia="Calibri" w:hAnsi="Times New Roman" w:cs="Times New Roman"/>
          <w:sz w:val="24"/>
          <w:szCs w:val="24"/>
        </w:rPr>
        <w:t>życie przepisów o podzielonej płatności, a więc nie może uwolnić się od odpowiedzialności solidarnej na warunkach wskazan</w:t>
      </w:r>
      <w:r w:rsidR="00C847B8">
        <w:rPr>
          <w:rFonts w:ascii="Times New Roman" w:eastAsia="Calibri" w:hAnsi="Times New Roman" w:cs="Times New Roman"/>
          <w:sz w:val="24"/>
          <w:szCs w:val="24"/>
        </w:rPr>
        <w:t>ych w art. 108a ust. 6 ustawy o </w:t>
      </w:r>
      <w:r w:rsidRPr="00F27DDF">
        <w:rPr>
          <w:rFonts w:ascii="Times New Roman" w:eastAsia="Calibri" w:hAnsi="Times New Roman" w:cs="Times New Roman"/>
          <w:sz w:val="24"/>
          <w:szCs w:val="24"/>
        </w:rPr>
        <w:t xml:space="preserve">VAT. </w:t>
      </w:r>
    </w:p>
    <w:p w:rsidR="005C3F1F" w:rsidRPr="00F27DDF" w:rsidRDefault="0068476D" w:rsidP="00606045">
      <w:pPr>
        <w:keepNext/>
        <w:keepLines/>
        <w:spacing w:before="240" w:after="0" w:line="360" w:lineRule="auto"/>
        <w:ind w:left="505" w:hanging="505"/>
        <w:jc w:val="both"/>
        <w:rPr>
          <w:rFonts w:ascii="Times New Roman" w:eastAsia="Calibri" w:hAnsi="Times New Roman" w:cs="Times New Roman"/>
          <w:b/>
          <w:sz w:val="24"/>
          <w:szCs w:val="24"/>
        </w:rPr>
      </w:pPr>
      <w:r w:rsidRPr="00F27DDF">
        <w:rPr>
          <w:rFonts w:ascii="Times New Roman" w:eastAsia="Calibri" w:hAnsi="Times New Roman" w:cs="Times New Roman"/>
          <w:b/>
          <w:sz w:val="24"/>
          <w:szCs w:val="24"/>
        </w:rPr>
        <w:t>X</w:t>
      </w:r>
      <w:r w:rsidR="00C847B8">
        <w:rPr>
          <w:rFonts w:ascii="Times New Roman" w:eastAsia="Calibri" w:hAnsi="Times New Roman" w:cs="Times New Roman"/>
          <w:b/>
          <w:sz w:val="24"/>
          <w:szCs w:val="24"/>
        </w:rPr>
        <w:t>.</w:t>
      </w:r>
      <w:r w:rsidR="00C847B8">
        <w:rPr>
          <w:rFonts w:ascii="Times New Roman" w:eastAsia="Calibri" w:hAnsi="Times New Roman" w:cs="Times New Roman"/>
          <w:b/>
          <w:sz w:val="24"/>
          <w:szCs w:val="24"/>
        </w:rPr>
        <w:tab/>
      </w:r>
      <w:r w:rsidR="00AB11F1" w:rsidRPr="00F27DDF">
        <w:rPr>
          <w:rFonts w:ascii="Times New Roman" w:eastAsia="Calibri" w:hAnsi="Times New Roman" w:cs="Times New Roman"/>
          <w:b/>
          <w:sz w:val="24"/>
          <w:szCs w:val="24"/>
        </w:rPr>
        <w:t xml:space="preserve">Ustawa z </w:t>
      </w:r>
      <w:r w:rsidR="00AB11F1" w:rsidRPr="00C847B8">
        <w:rPr>
          <w:rFonts w:ascii="Times New Roman" w:hAnsi="Times New Roman" w:cs="Times New Roman"/>
          <w:b/>
          <w:sz w:val="24"/>
          <w:szCs w:val="24"/>
        </w:rPr>
        <w:t>dnia</w:t>
      </w:r>
      <w:r w:rsidR="00AB11F1" w:rsidRPr="00F27DDF">
        <w:rPr>
          <w:rFonts w:ascii="Times New Roman" w:eastAsia="Calibri" w:hAnsi="Times New Roman" w:cs="Times New Roman"/>
          <w:b/>
          <w:sz w:val="24"/>
          <w:szCs w:val="24"/>
        </w:rPr>
        <w:t xml:space="preserve"> 1 marca 2018 r. o przeciwdziałaniu praniu pieniędzy oraz finansowaniu terroryzmu (art. </w:t>
      </w:r>
      <w:r w:rsidRPr="00F27DDF">
        <w:rPr>
          <w:rFonts w:ascii="Times New Roman" w:eastAsia="Calibri" w:hAnsi="Times New Roman" w:cs="Times New Roman"/>
          <w:b/>
          <w:sz w:val="24"/>
          <w:szCs w:val="24"/>
        </w:rPr>
        <w:t>10</w:t>
      </w:r>
      <w:r w:rsidR="00AB11F1" w:rsidRPr="00F27DDF">
        <w:rPr>
          <w:rFonts w:ascii="Times New Roman" w:eastAsia="Calibri" w:hAnsi="Times New Roman" w:cs="Times New Roman"/>
          <w:b/>
          <w:sz w:val="24"/>
          <w:szCs w:val="24"/>
        </w:rPr>
        <w:t xml:space="preserve"> projektu) </w:t>
      </w:r>
    </w:p>
    <w:p w:rsidR="005C3F1F" w:rsidRPr="00F27DDF" w:rsidRDefault="00AB11F1" w:rsidP="00F27DDF">
      <w:pPr>
        <w:spacing w:before="120" w:after="0" w:line="360" w:lineRule="auto"/>
        <w:jc w:val="both"/>
        <w:rPr>
          <w:rFonts w:ascii="Times New Roman" w:eastAsia="Calibri" w:hAnsi="Times New Roman" w:cs="Times New Roman"/>
          <w:b/>
          <w:sz w:val="24"/>
          <w:szCs w:val="24"/>
        </w:rPr>
      </w:pPr>
      <w:r w:rsidRPr="00F27DDF">
        <w:rPr>
          <w:rFonts w:ascii="Times New Roman" w:eastAsia="Calibri" w:hAnsi="Times New Roman" w:cs="Times New Roman"/>
          <w:sz w:val="24"/>
          <w:szCs w:val="24"/>
        </w:rPr>
        <w:t xml:space="preserve">Zmiany w ustawie z dnia 1 marca 2018 r. o przeciwdziałaniu praniu pieniędzy oraz finansowaniu terroryzmu wynikają z </w:t>
      </w:r>
      <w:r w:rsidR="00534C56">
        <w:rPr>
          <w:rFonts w:ascii="Times New Roman" w:eastAsia="Calibri" w:hAnsi="Times New Roman" w:cs="Times New Roman"/>
          <w:sz w:val="24"/>
          <w:szCs w:val="24"/>
        </w:rPr>
        <w:t>przyczyn legislacyjnych, tj. koniecznoś</w:t>
      </w:r>
      <w:r w:rsidR="00455DE8">
        <w:rPr>
          <w:rFonts w:ascii="Times New Roman" w:eastAsia="Calibri" w:hAnsi="Times New Roman" w:cs="Times New Roman"/>
          <w:sz w:val="24"/>
          <w:szCs w:val="24"/>
        </w:rPr>
        <w:t>ci</w:t>
      </w:r>
      <w:r w:rsidR="00534C56">
        <w:rPr>
          <w:rFonts w:ascii="Times New Roman" w:eastAsia="Calibri" w:hAnsi="Times New Roman" w:cs="Times New Roman"/>
          <w:sz w:val="24"/>
          <w:szCs w:val="24"/>
        </w:rPr>
        <w:t xml:space="preserve"> powołania</w:t>
      </w:r>
      <w:r w:rsidRPr="00F27DDF">
        <w:rPr>
          <w:rFonts w:ascii="Times New Roman" w:eastAsia="Calibri" w:hAnsi="Times New Roman" w:cs="Times New Roman"/>
          <w:sz w:val="24"/>
          <w:szCs w:val="24"/>
        </w:rPr>
        <w:t xml:space="preserve"> ustawy z dnia 6 marca 2018 r. – Prawo przedsiębiorców, która zastępuje ustawę z dnia 2 lipca 2004 r. o swobodzie działalności gospodarczej.</w:t>
      </w:r>
    </w:p>
    <w:p w:rsidR="005C3F1F" w:rsidRPr="00F27DDF" w:rsidRDefault="00AB11F1" w:rsidP="00C847B8">
      <w:pPr>
        <w:spacing w:before="240" w:after="0" w:line="360" w:lineRule="auto"/>
        <w:ind w:left="504" w:hanging="504"/>
        <w:jc w:val="both"/>
        <w:rPr>
          <w:rFonts w:ascii="Times New Roman" w:hAnsi="Times New Roman" w:cs="Times New Roman"/>
          <w:b/>
          <w:sz w:val="24"/>
          <w:szCs w:val="24"/>
        </w:rPr>
      </w:pPr>
      <w:r w:rsidRPr="00F27DDF">
        <w:rPr>
          <w:rFonts w:ascii="Times New Roman" w:hAnsi="Times New Roman" w:cs="Times New Roman"/>
          <w:b/>
          <w:sz w:val="24"/>
          <w:szCs w:val="24"/>
        </w:rPr>
        <w:t>X</w:t>
      </w:r>
      <w:r w:rsidR="00856BC5" w:rsidRPr="00F27DDF">
        <w:rPr>
          <w:rFonts w:ascii="Times New Roman" w:hAnsi="Times New Roman" w:cs="Times New Roman"/>
          <w:b/>
          <w:sz w:val="24"/>
          <w:szCs w:val="24"/>
        </w:rPr>
        <w:t>I</w:t>
      </w:r>
      <w:r w:rsidR="00C847B8">
        <w:rPr>
          <w:rFonts w:ascii="Times New Roman" w:hAnsi="Times New Roman" w:cs="Times New Roman"/>
          <w:b/>
          <w:sz w:val="24"/>
          <w:szCs w:val="24"/>
        </w:rPr>
        <w:t>.</w:t>
      </w:r>
      <w:r w:rsidR="00C847B8">
        <w:rPr>
          <w:rFonts w:ascii="Times New Roman" w:hAnsi="Times New Roman" w:cs="Times New Roman"/>
          <w:b/>
          <w:sz w:val="24"/>
          <w:szCs w:val="24"/>
        </w:rPr>
        <w:tab/>
      </w:r>
      <w:r w:rsidRPr="00F27DDF">
        <w:rPr>
          <w:rFonts w:ascii="Times New Roman" w:hAnsi="Times New Roman" w:cs="Times New Roman"/>
          <w:b/>
          <w:sz w:val="24"/>
          <w:szCs w:val="24"/>
        </w:rPr>
        <w:t xml:space="preserve">Ocena </w:t>
      </w:r>
      <w:r w:rsidRPr="00C847B8">
        <w:rPr>
          <w:rFonts w:ascii="Times New Roman" w:eastAsia="Calibri" w:hAnsi="Times New Roman" w:cs="Times New Roman"/>
          <w:b/>
          <w:sz w:val="24"/>
          <w:szCs w:val="24"/>
        </w:rPr>
        <w:t>przewidywanego</w:t>
      </w:r>
      <w:r w:rsidRPr="00F27DDF">
        <w:rPr>
          <w:rFonts w:ascii="Times New Roman" w:hAnsi="Times New Roman" w:cs="Times New Roman"/>
          <w:b/>
          <w:sz w:val="24"/>
          <w:szCs w:val="24"/>
        </w:rPr>
        <w:t xml:space="preserve"> wpływu projektu ustawy na działalność </w:t>
      </w:r>
      <w:proofErr w:type="spellStart"/>
      <w:r w:rsidRPr="00F27DDF">
        <w:rPr>
          <w:rFonts w:ascii="Times New Roman" w:hAnsi="Times New Roman" w:cs="Times New Roman"/>
          <w:b/>
          <w:sz w:val="24"/>
          <w:szCs w:val="24"/>
        </w:rPr>
        <w:t>mikroprzedsiębiorców</w:t>
      </w:r>
      <w:proofErr w:type="spellEnd"/>
      <w:r w:rsidRPr="00F27DDF">
        <w:rPr>
          <w:rFonts w:ascii="Times New Roman" w:hAnsi="Times New Roman" w:cs="Times New Roman"/>
          <w:b/>
          <w:sz w:val="24"/>
          <w:szCs w:val="24"/>
        </w:rPr>
        <w:t xml:space="preserve"> oraz małych i średnich przedsiębiorców</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 xml:space="preserve">Ocena wpływu projektu ustawy na działalność </w:t>
      </w:r>
      <w:proofErr w:type="spellStart"/>
      <w:r w:rsidRPr="00F27DDF">
        <w:rPr>
          <w:rFonts w:ascii="Times New Roman" w:hAnsi="Times New Roman" w:cs="Times New Roman"/>
          <w:sz w:val="24"/>
          <w:szCs w:val="24"/>
        </w:rPr>
        <w:t>mik</w:t>
      </w:r>
      <w:r w:rsidR="00C847B8">
        <w:rPr>
          <w:rFonts w:ascii="Times New Roman" w:hAnsi="Times New Roman" w:cs="Times New Roman"/>
          <w:sz w:val="24"/>
          <w:szCs w:val="24"/>
        </w:rPr>
        <w:t>roprzedsiębiorców</w:t>
      </w:r>
      <w:proofErr w:type="spellEnd"/>
      <w:r w:rsidR="00C847B8">
        <w:rPr>
          <w:rFonts w:ascii="Times New Roman" w:hAnsi="Times New Roman" w:cs="Times New Roman"/>
          <w:sz w:val="24"/>
          <w:szCs w:val="24"/>
        </w:rPr>
        <w:t xml:space="preserve"> oraz małych i </w:t>
      </w:r>
      <w:r w:rsidRPr="00F27DDF">
        <w:rPr>
          <w:rFonts w:ascii="Times New Roman" w:hAnsi="Times New Roman" w:cs="Times New Roman"/>
          <w:sz w:val="24"/>
          <w:szCs w:val="24"/>
        </w:rPr>
        <w:t>średnich przedsiębiorców jest zróżnicowana w zależności od tego</w:t>
      </w:r>
      <w:r w:rsidR="00534C56">
        <w:rPr>
          <w:rFonts w:ascii="Times New Roman" w:hAnsi="Times New Roman" w:cs="Times New Roman"/>
          <w:sz w:val="24"/>
          <w:szCs w:val="24"/>
        </w:rPr>
        <w:t>,</w:t>
      </w:r>
      <w:r w:rsidRPr="00F27DDF">
        <w:rPr>
          <w:rFonts w:ascii="Times New Roman" w:hAnsi="Times New Roman" w:cs="Times New Roman"/>
          <w:sz w:val="24"/>
          <w:szCs w:val="24"/>
        </w:rPr>
        <w:t xml:space="preserve"> czy </w:t>
      </w:r>
      <w:proofErr w:type="spellStart"/>
      <w:r w:rsidRPr="00F27DDF">
        <w:rPr>
          <w:rFonts w:ascii="Times New Roman" w:hAnsi="Times New Roman" w:cs="Times New Roman"/>
          <w:sz w:val="24"/>
          <w:szCs w:val="24"/>
        </w:rPr>
        <w:t>mikroprzedsiębiorca</w:t>
      </w:r>
      <w:proofErr w:type="spellEnd"/>
      <w:r w:rsidRPr="00F27DDF">
        <w:rPr>
          <w:rFonts w:ascii="Times New Roman" w:hAnsi="Times New Roman" w:cs="Times New Roman"/>
          <w:sz w:val="24"/>
          <w:szCs w:val="24"/>
        </w:rPr>
        <w:t xml:space="preserve"> oraz mały i średni przedsiębiorca jest </w:t>
      </w:r>
      <w:r w:rsidR="00C847B8">
        <w:rPr>
          <w:rFonts w:ascii="Times New Roman" w:hAnsi="Times New Roman" w:cs="Times New Roman"/>
          <w:sz w:val="24"/>
          <w:szCs w:val="24"/>
        </w:rPr>
        <w:t>bankiem w rozumieniu art. </w:t>
      </w:r>
      <w:r w:rsidRPr="00F27DDF">
        <w:rPr>
          <w:rFonts w:ascii="Times New Roman" w:hAnsi="Times New Roman" w:cs="Times New Roman"/>
          <w:sz w:val="24"/>
          <w:szCs w:val="24"/>
        </w:rPr>
        <w:t>119zg pkt 1 Ordynacji podatkowej albo sp</w:t>
      </w:r>
      <w:r w:rsidR="00C847B8">
        <w:rPr>
          <w:rFonts w:ascii="Times New Roman" w:hAnsi="Times New Roman" w:cs="Times New Roman"/>
          <w:sz w:val="24"/>
          <w:szCs w:val="24"/>
        </w:rPr>
        <w:t>ółdzielczą kasą oszczędnościowo</w:t>
      </w:r>
      <w:r w:rsidR="00C847B8">
        <w:rPr>
          <w:rFonts w:ascii="Times New Roman" w:hAnsi="Times New Roman" w:cs="Times New Roman"/>
          <w:sz w:val="24"/>
          <w:szCs w:val="24"/>
        </w:rPr>
        <w:noBreakHyphen/>
      </w:r>
      <w:r w:rsidRPr="00F27DDF">
        <w:rPr>
          <w:rFonts w:ascii="Times New Roman" w:hAnsi="Times New Roman" w:cs="Times New Roman"/>
          <w:sz w:val="24"/>
          <w:szCs w:val="24"/>
        </w:rPr>
        <w:t xml:space="preserve">kredytową (pkt 1), czy nie należy do wymienionych dwóch kategorii (pkt 2). </w:t>
      </w:r>
    </w:p>
    <w:p w:rsidR="005C3F1F" w:rsidRPr="00F27DDF" w:rsidRDefault="00AB11F1" w:rsidP="00C847B8">
      <w:pPr>
        <w:pStyle w:val="Akapitzlist"/>
        <w:numPr>
          <w:ilvl w:val="0"/>
          <w:numId w:val="2"/>
        </w:numPr>
        <w:spacing w:before="120" w:after="0" w:line="360" w:lineRule="auto"/>
        <w:ind w:left="360"/>
        <w:jc w:val="both"/>
        <w:rPr>
          <w:rFonts w:ascii="Times New Roman" w:hAnsi="Times New Roman" w:cs="Times New Roman"/>
          <w:sz w:val="24"/>
          <w:szCs w:val="24"/>
        </w:rPr>
      </w:pPr>
      <w:proofErr w:type="spellStart"/>
      <w:r w:rsidRPr="00F27DDF">
        <w:rPr>
          <w:rFonts w:ascii="Times New Roman" w:hAnsi="Times New Roman" w:cs="Times New Roman"/>
          <w:sz w:val="24"/>
          <w:szCs w:val="24"/>
        </w:rPr>
        <w:t>Mikroprzedsiębiorca</w:t>
      </w:r>
      <w:proofErr w:type="spellEnd"/>
      <w:r w:rsidRPr="00F27DDF">
        <w:rPr>
          <w:rFonts w:ascii="Times New Roman" w:hAnsi="Times New Roman" w:cs="Times New Roman"/>
          <w:sz w:val="24"/>
          <w:szCs w:val="24"/>
        </w:rPr>
        <w:t xml:space="preserve"> oraz mały i średni przedsiębiorca będący </w:t>
      </w:r>
      <w:r w:rsidR="00C847B8">
        <w:rPr>
          <w:rFonts w:ascii="Times New Roman" w:hAnsi="Times New Roman" w:cs="Times New Roman"/>
          <w:sz w:val="24"/>
          <w:szCs w:val="24"/>
        </w:rPr>
        <w:t>bankiem w </w:t>
      </w:r>
      <w:r w:rsidRPr="00F27DDF">
        <w:rPr>
          <w:rFonts w:ascii="Times New Roman" w:hAnsi="Times New Roman" w:cs="Times New Roman"/>
          <w:sz w:val="24"/>
          <w:szCs w:val="24"/>
        </w:rPr>
        <w:t xml:space="preserve">rozumieniu art. 119zg pkt 1 Ordynacji podatkowej albo spółdzielczą kasą oszczędnościowo-kredytową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W związku z objęciem definicją rachunku podmiotu kwalifikowanego także rachunku VAT i rachunku lokaty terminowej (art. 119zg pkt 5 Ordynacji podatk</w:t>
      </w:r>
      <w:r w:rsidR="00C847B8">
        <w:rPr>
          <w:rFonts w:ascii="Times New Roman" w:hAnsi="Times New Roman" w:cs="Times New Roman"/>
          <w:sz w:val="24"/>
          <w:szCs w:val="24"/>
        </w:rPr>
        <w:t>owej) banki i </w:t>
      </w:r>
      <w:r w:rsidRPr="00F27DDF">
        <w:rPr>
          <w:rFonts w:ascii="Times New Roman" w:hAnsi="Times New Roman" w:cs="Times New Roman"/>
          <w:sz w:val="24"/>
          <w:szCs w:val="24"/>
        </w:rPr>
        <w:t>SKOK-i będą mieć obowiązek przekazywania iz</w:t>
      </w:r>
      <w:r w:rsidR="00C847B8">
        <w:rPr>
          <w:rFonts w:ascii="Times New Roman" w:hAnsi="Times New Roman" w:cs="Times New Roman"/>
          <w:sz w:val="24"/>
          <w:szCs w:val="24"/>
        </w:rPr>
        <w:t>bie rozliczeniowej informacji i </w:t>
      </w:r>
      <w:r w:rsidRPr="00F27DDF">
        <w:rPr>
          <w:rFonts w:ascii="Times New Roman" w:hAnsi="Times New Roman" w:cs="Times New Roman"/>
          <w:sz w:val="24"/>
          <w:szCs w:val="24"/>
        </w:rPr>
        <w:t xml:space="preserve">zestawień transakcji w zakresie dotyczącym rachunku VAT i rachunku lokaty terminowej oraz transakcji na tych rachunkach.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lastRenderedPageBreak/>
        <w:t>W celu zwiększenia skuteczności systemu analizy ryzyka banki i SKOK-i będą przekazywać izbie rozliczeniowej za pośrednict</w:t>
      </w:r>
      <w:r w:rsidR="00C847B8">
        <w:rPr>
          <w:rFonts w:ascii="Times New Roman" w:hAnsi="Times New Roman" w:cs="Times New Roman"/>
          <w:sz w:val="24"/>
          <w:szCs w:val="24"/>
        </w:rPr>
        <w:t>wem STIR dodatkowe informacje i </w:t>
      </w:r>
      <w:r w:rsidRPr="00F27DDF">
        <w:rPr>
          <w:rFonts w:ascii="Times New Roman" w:hAnsi="Times New Roman" w:cs="Times New Roman"/>
          <w:sz w:val="24"/>
          <w:szCs w:val="24"/>
        </w:rPr>
        <w:t>dane, o których mowa w projektowanych art. 119zr §</w:t>
      </w:r>
      <w:r w:rsidR="00F27DDF">
        <w:rPr>
          <w:rFonts w:ascii="Times New Roman" w:hAnsi="Times New Roman" w:cs="Times New Roman"/>
          <w:sz w:val="24"/>
          <w:szCs w:val="24"/>
        </w:rPr>
        <w:t xml:space="preserve"> 2 pkt 3–</w:t>
      </w:r>
      <w:r w:rsidRPr="00F27DDF">
        <w:rPr>
          <w:rFonts w:ascii="Times New Roman" w:hAnsi="Times New Roman" w:cs="Times New Roman"/>
          <w:sz w:val="24"/>
          <w:szCs w:val="24"/>
        </w:rPr>
        <w:t>6 i § 3 pkt 5a</w:t>
      </w:r>
      <w:r w:rsidR="004D6192" w:rsidRPr="00F27DDF">
        <w:rPr>
          <w:rFonts w:ascii="Times New Roman" w:hAnsi="Times New Roman" w:cs="Times New Roman"/>
          <w:sz w:val="24"/>
          <w:szCs w:val="24"/>
        </w:rPr>
        <w:t>, 6a</w:t>
      </w:r>
      <w:r w:rsidRPr="00F27DDF">
        <w:rPr>
          <w:rFonts w:ascii="Times New Roman" w:hAnsi="Times New Roman" w:cs="Times New Roman"/>
          <w:sz w:val="24"/>
          <w:szCs w:val="24"/>
        </w:rPr>
        <w:t xml:space="preserve"> i 7 Ordynacji podatkowej. Cz</w:t>
      </w:r>
      <w:r w:rsidR="00C13C62">
        <w:rPr>
          <w:rFonts w:ascii="Times New Roman" w:hAnsi="Times New Roman" w:cs="Times New Roman"/>
          <w:sz w:val="24"/>
          <w:szCs w:val="24"/>
        </w:rPr>
        <w:t>ę</w:t>
      </w:r>
      <w:r w:rsidRPr="00F27DDF">
        <w:rPr>
          <w:rFonts w:ascii="Times New Roman" w:hAnsi="Times New Roman" w:cs="Times New Roman"/>
          <w:sz w:val="24"/>
          <w:szCs w:val="24"/>
        </w:rPr>
        <w:t>ść z tych informacji (zawart</w:t>
      </w:r>
      <w:r w:rsidR="00813F1A" w:rsidRPr="00F27DDF">
        <w:rPr>
          <w:rFonts w:ascii="Times New Roman" w:hAnsi="Times New Roman" w:cs="Times New Roman"/>
          <w:sz w:val="24"/>
          <w:szCs w:val="24"/>
        </w:rPr>
        <w:t>ych</w:t>
      </w:r>
      <w:r w:rsidRPr="00F27DDF">
        <w:rPr>
          <w:rFonts w:ascii="Times New Roman" w:hAnsi="Times New Roman" w:cs="Times New Roman"/>
          <w:sz w:val="24"/>
          <w:szCs w:val="24"/>
        </w:rPr>
        <w:t xml:space="preserve"> </w:t>
      </w:r>
      <w:r w:rsidR="00813F1A" w:rsidRPr="00F27DDF">
        <w:rPr>
          <w:rFonts w:ascii="Times New Roman" w:hAnsi="Times New Roman" w:cs="Times New Roman"/>
          <w:sz w:val="24"/>
          <w:szCs w:val="24"/>
        </w:rPr>
        <w:t>w projektowanym</w:t>
      </w:r>
      <w:r w:rsidRPr="00F27DDF">
        <w:rPr>
          <w:rFonts w:ascii="Times New Roman" w:hAnsi="Times New Roman" w:cs="Times New Roman"/>
          <w:sz w:val="24"/>
          <w:szCs w:val="24"/>
        </w:rPr>
        <w:t xml:space="preserve"> </w:t>
      </w:r>
      <w:r w:rsidR="00813F1A" w:rsidRPr="00F27DDF">
        <w:rPr>
          <w:rFonts w:ascii="Times New Roman" w:hAnsi="Times New Roman" w:cs="Times New Roman"/>
          <w:sz w:val="24"/>
          <w:szCs w:val="24"/>
        </w:rPr>
        <w:t>art. 119zr §</w:t>
      </w:r>
      <w:r w:rsidR="00F27DDF">
        <w:rPr>
          <w:rFonts w:ascii="Times New Roman" w:hAnsi="Times New Roman" w:cs="Times New Roman"/>
          <w:sz w:val="24"/>
          <w:szCs w:val="24"/>
        </w:rPr>
        <w:t xml:space="preserve"> </w:t>
      </w:r>
      <w:r w:rsidR="00813F1A" w:rsidRPr="00F27DDF">
        <w:rPr>
          <w:rFonts w:ascii="Times New Roman" w:hAnsi="Times New Roman" w:cs="Times New Roman"/>
          <w:sz w:val="24"/>
          <w:szCs w:val="24"/>
        </w:rPr>
        <w:t xml:space="preserve">2 pkt 4 i 5 Ordynacji podatkowej) </w:t>
      </w:r>
      <w:r w:rsidRPr="00F27DDF">
        <w:rPr>
          <w:rFonts w:ascii="Times New Roman" w:hAnsi="Times New Roman" w:cs="Times New Roman"/>
          <w:sz w:val="24"/>
          <w:szCs w:val="24"/>
        </w:rPr>
        <w:t>była przekazywana dotychczas na żądanie Szefa KAS</w:t>
      </w:r>
      <w:r w:rsidR="00813F1A" w:rsidRPr="00F27DDF">
        <w:rPr>
          <w:rFonts w:ascii="Times New Roman" w:hAnsi="Times New Roman" w:cs="Times New Roman"/>
          <w:sz w:val="24"/>
          <w:szCs w:val="24"/>
        </w:rPr>
        <w:t xml:space="preserve"> na podstawie uchylanych art. 119zs § 1 pkt 2 i 3 Ordynacji podatkowej</w:t>
      </w:r>
      <w:r w:rsidRPr="00F27DDF">
        <w:rPr>
          <w:rFonts w:ascii="Times New Roman" w:hAnsi="Times New Roman" w:cs="Times New Roman"/>
          <w:sz w:val="24"/>
          <w:szCs w:val="24"/>
        </w:rPr>
        <w:t xml:space="preserve">. </w:t>
      </w:r>
    </w:p>
    <w:p w:rsidR="005C3F1F" w:rsidRPr="00F27DDF" w:rsidRDefault="00AB11F1" w:rsidP="00F27DDF">
      <w:pPr>
        <w:spacing w:before="120" w:after="0" w:line="360" w:lineRule="auto"/>
        <w:jc w:val="both"/>
        <w:rPr>
          <w:rFonts w:ascii="Times New Roman" w:hAnsi="Times New Roman" w:cs="Times New Roman"/>
          <w:sz w:val="24"/>
          <w:szCs w:val="24"/>
        </w:rPr>
      </w:pPr>
      <w:r w:rsidRPr="00F27DDF">
        <w:rPr>
          <w:rFonts w:ascii="Times New Roman" w:hAnsi="Times New Roman" w:cs="Times New Roman"/>
          <w:sz w:val="24"/>
          <w:szCs w:val="24"/>
        </w:rPr>
        <w:t>Nowe obowiązki informacyjne zostały nałożone na banki i SKOK-i na podstaw</w:t>
      </w:r>
      <w:r w:rsidR="00F27DDF">
        <w:rPr>
          <w:rFonts w:ascii="Times New Roman" w:hAnsi="Times New Roman" w:cs="Times New Roman"/>
          <w:sz w:val="24"/>
          <w:szCs w:val="24"/>
        </w:rPr>
        <w:t>ie dodawanych art. 119zv § 4a–</w:t>
      </w:r>
      <w:r w:rsidRPr="00F27DDF">
        <w:rPr>
          <w:rFonts w:ascii="Times New Roman" w:hAnsi="Times New Roman" w:cs="Times New Roman"/>
          <w:sz w:val="24"/>
          <w:szCs w:val="24"/>
        </w:rPr>
        <w:t>4d Ordynacji podatkowej. Jednakże obowiązki te dotyczą tylko spraw, w których doszło do blokady rachunku podmiotu kwalifikowanego.</w:t>
      </w:r>
      <w:r w:rsidR="00F27DDF">
        <w:rPr>
          <w:rFonts w:ascii="Times New Roman" w:hAnsi="Times New Roman" w:cs="Times New Roman"/>
          <w:sz w:val="24"/>
          <w:szCs w:val="24"/>
        </w:rPr>
        <w:t xml:space="preserve"> </w:t>
      </w:r>
    </w:p>
    <w:p w:rsidR="005C3F1F" w:rsidRPr="00F27DDF" w:rsidRDefault="00AB11F1" w:rsidP="00C847B8">
      <w:pPr>
        <w:pStyle w:val="Akapitzlist"/>
        <w:numPr>
          <w:ilvl w:val="0"/>
          <w:numId w:val="2"/>
        </w:numPr>
        <w:spacing w:before="120" w:after="0" w:line="360" w:lineRule="auto"/>
        <w:ind w:left="360"/>
        <w:jc w:val="both"/>
        <w:rPr>
          <w:rFonts w:ascii="Times New Roman" w:hAnsi="Times New Roman" w:cs="Times New Roman"/>
          <w:sz w:val="24"/>
          <w:szCs w:val="24"/>
        </w:rPr>
      </w:pPr>
      <w:proofErr w:type="spellStart"/>
      <w:r w:rsidRPr="00F27DDF">
        <w:rPr>
          <w:rFonts w:ascii="Times New Roman" w:hAnsi="Times New Roman" w:cs="Times New Roman"/>
          <w:sz w:val="24"/>
          <w:szCs w:val="24"/>
        </w:rPr>
        <w:t>Mikroprzedsiębiorca</w:t>
      </w:r>
      <w:proofErr w:type="spellEnd"/>
      <w:r w:rsidRPr="00F27DDF">
        <w:rPr>
          <w:rFonts w:ascii="Times New Roman" w:hAnsi="Times New Roman" w:cs="Times New Roman"/>
          <w:sz w:val="24"/>
          <w:szCs w:val="24"/>
        </w:rPr>
        <w:t xml:space="preserve"> oraz mały i średni przedsiębiorca niebędący </w:t>
      </w:r>
      <w:r w:rsidR="00C847B8">
        <w:rPr>
          <w:rFonts w:ascii="Times New Roman" w:eastAsiaTheme="minorEastAsia" w:hAnsi="Times New Roman" w:cs="Times New Roman"/>
          <w:bCs/>
          <w:sz w:val="24"/>
          <w:szCs w:val="24"/>
        </w:rPr>
        <w:t>bankiem w </w:t>
      </w:r>
      <w:r w:rsidRPr="00F27DDF">
        <w:rPr>
          <w:rFonts w:ascii="Times New Roman" w:eastAsiaTheme="minorEastAsia" w:hAnsi="Times New Roman" w:cs="Times New Roman"/>
          <w:bCs/>
          <w:sz w:val="24"/>
          <w:szCs w:val="24"/>
        </w:rPr>
        <w:t>rozumieniu art. 119zg pkt 1 Ordynacji podatkowej</w:t>
      </w:r>
      <w:r w:rsidRPr="00F27DDF">
        <w:rPr>
          <w:rFonts w:ascii="Times New Roman" w:hAnsi="Times New Roman" w:cs="Times New Roman"/>
          <w:sz w:val="24"/>
          <w:szCs w:val="24"/>
        </w:rPr>
        <w:t xml:space="preserve"> </w:t>
      </w:r>
      <w:r w:rsidRPr="00F27DDF">
        <w:rPr>
          <w:rFonts w:ascii="Times New Roman" w:eastAsiaTheme="minorEastAsia" w:hAnsi="Times New Roman" w:cs="Times New Roman"/>
          <w:bCs/>
          <w:sz w:val="24"/>
          <w:szCs w:val="24"/>
        </w:rPr>
        <w:t xml:space="preserve">albo spółdzielczą kasą oszczędnościowo-kredytową </w:t>
      </w:r>
    </w:p>
    <w:p w:rsidR="005C3F1F" w:rsidRPr="00F27DDF" w:rsidRDefault="00AB11F1" w:rsidP="00F27DDF">
      <w:pPr>
        <w:spacing w:before="120" w:after="0" w:line="360" w:lineRule="auto"/>
        <w:jc w:val="both"/>
        <w:rPr>
          <w:rFonts w:ascii="Times New Roman" w:hAnsi="Times New Roman" w:cs="Times New Roman"/>
          <w:spacing w:val="-2"/>
          <w:sz w:val="24"/>
          <w:szCs w:val="24"/>
        </w:rPr>
      </w:pPr>
      <w:r w:rsidRPr="00F27DDF">
        <w:rPr>
          <w:rFonts w:ascii="Times New Roman" w:hAnsi="Times New Roman" w:cs="Times New Roman"/>
          <w:spacing w:val="-2"/>
          <w:sz w:val="24"/>
          <w:szCs w:val="24"/>
        </w:rPr>
        <w:t xml:space="preserve">Rozszerzenie definicji rachunku podmiotu kwalifikowanego o rachunek VAT oznaczać będzie możliwość blokady także rachunku VAT i rachunku lokaty terminowej. </w:t>
      </w:r>
    </w:p>
    <w:p w:rsidR="005C3F1F" w:rsidRPr="00F27DDF" w:rsidRDefault="00AB11F1" w:rsidP="00F27DDF">
      <w:pPr>
        <w:spacing w:before="120" w:after="0" w:line="360" w:lineRule="auto"/>
        <w:jc w:val="both"/>
        <w:rPr>
          <w:rFonts w:ascii="Times New Roman" w:hAnsi="Times New Roman" w:cs="Times New Roman"/>
          <w:spacing w:val="-2"/>
          <w:sz w:val="24"/>
          <w:szCs w:val="24"/>
        </w:rPr>
      </w:pPr>
      <w:r w:rsidRPr="00F27DDF">
        <w:rPr>
          <w:rFonts w:ascii="Times New Roman" w:hAnsi="Times New Roman" w:cs="Times New Roman"/>
          <w:spacing w:val="-2"/>
          <w:sz w:val="24"/>
          <w:szCs w:val="24"/>
        </w:rPr>
        <w:t xml:space="preserve">Korzystne </w:t>
      </w:r>
      <w:r w:rsidRPr="00F27DDF">
        <w:rPr>
          <w:rFonts w:ascii="Times New Roman" w:hAnsi="Times New Roman" w:cs="Times New Roman"/>
          <w:sz w:val="24"/>
          <w:szCs w:val="24"/>
        </w:rPr>
        <w:t xml:space="preserve">są zmiany </w:t>
      </w:r>
      <w:r w:rsidRPr="00F27DDF">
        <w:rPr>
          <w:rFonts w:ascii="Times New Roman" w:hAnsi="Times New Roman" w:cs="Times New Roman"/>
          <w:spacing w:val="-2"/>
          <w:sz w:val="24"/>
          <w:szCs w:val="24"/>
        </w:rPr>
        <w:t xml:space="preserve">dla </w:t>
      </w:r>
      <w:proofErr w:type="spellStart"/>
      <w:r w:rsidRPr="00F27DDF">
        <w:rPr>
          <w:rFonts w:ascii="Times New Roman" w:hAnsi="Times New Roman" w:cs="Times New Roman"/>
          <w:sz w:val="24"/>
          <w:szCs w:val="24"/>
        </w:rPr>
        <w:t>mikroprzedsiębiorców</w:t>
      </w:r>
      <w:proofErr w:type="spellEnd"/>
      <w:r w:rsidRPr="00F27DDF">
        <w:rPr>
          <w:rFonts w:ascii="Times New Roman" w:hAnsi="Times New Roman" w:cs="Times New Roman"/>
          <w:b/>
          <w:sz w:val="24"/>
          <w:szCs w:val="24"/>
        </w:rPr>
        <w:t xml:space="preserve"> </w:t>
      </w:r>
      <w:r w:rsidRPr="00F27DDF">
        <w:rPr>
          <w:rFonts w:ascii="Times New Roman" w:hAnsi="Times New Roman" w:cs="Times New Roman"/>
          <w:sz w:val="24"/>
          <w:szCs w:val="24"/>
        </w:rPr>
        <w:t>oraz małych i średnich przedsiębiorców,</w:t>
      </w:r>
      <w:r w:rsidR="00F27DDF">
        <w:rPr>
          <w:rFonts w:ascii="Times New Roman" w:hAnsi="Times New Roman" w:cs="Times New Roman"/>
          <w:sz w:val="24"/>
          <w:szCs w:val="24"/>
        </w:rPr>
        <w:t xml:space="preserve"> </w:t>
      </w:r>
      <w:r w:rsidRPr="00F27DDF">
        <w:rPr>
          <w:rFonts w:ascii="Times New Roman" w:hAnsi="Times New Roman" w:cs="Times New Roman"/>
          <w:sz w:val="24"/>
          <w:szCs w:val="24"/>
        </w:rPr>
        <w:t>którym zablokowano rachunek w zakresie art. 119zzy Ordynacji podatkowej. Nowelizacja umożliwia Szefowi KAS wydanie postan</w:t>
      </w:r>
      <w:r w:rsidR="00C847B8">
        <w:rPr>
          <w:rFonts w:ascii="Times New Roman" w:hAnsi="Times New Roman" w:cs="Times New Roman"/>
          <w:sz w:val="24"/>
          <w:szCs w:val="24"/>
        </w:rPr>
        <w:t>owienia o przekazaniu środków z </w:t>
      </w:r>
      <w:r w:rsidRPr="00F27DDF">
        <w:rPr>
          <w:rFonts w:ascii="Times New Roman" w:hAnsi="Times New Roman" w:cs="Times New Roman"/>
          <w:sz w:val="24"/>
          <w:szCs w:val="24"/>
        </w:rPr>
        <w:t xml:space="preserve">zablokowanego rachunku bankowego lub rachunku w SKOK na wynagrodzenia zaległe. Na podstawie </w:t>
      </w:r>
      <w:r w:rsidR="00534C56">
        <w:rPr>
          <w:rFonts w:ascii="Times New Roman" w:hAnsi="Times New Roman" w:cs="Times New Roman"/>
          <w:sz w:val="24"/>
          <w:szCs w:val="24"/>
        </w:rPr>
        <w:t>obowiązujących</w:t>
      </w:r>
      <w:r w:rsidRPr="00F27DDF">
        <w:rPr>
          <w:rFonts w:ascii="Times New Roman" w:hAnsi="Times New Roman" w:cs="Times New Roman"/>
          <w:sz w:val="24"/>
          <w:szCs w:val="24"/>
        </w:rPr>
        <w:t xml:space="preserve"> przepisów Szef KAS może wydać postanowienie o przekazaniu środków jedynie na wynagrodzenia bieżące (projektowany art. 119zy § 1 pkt 1 Ordynacji podatkowej). Ponadt</w:t>
      </w:r>
      <w:r w:rsidR="006B0B03">
        <w:rPr>
          <w:rFonts w:ascii="Times New Roman" w:hAnsi="Times New Roman" w:cs="Times New Roman"/>
          <w:sz w:val="24"/>
          <w:szCs w:val="24"/>
        </w:rPr>
        <w:t>o zrezygnowano z ograniczenia w </w:t>
      </w:r>
      <w:r w:rsidRPr="00F27DDF">
        <w:rPr>
          <w:rFonts w:ascii="Times New Roman" w:hAnsi="Times New Roman" w:cs="Times New Roman"/>
          <w:sz w:val="24"/>
          <w:szCs w:val="24"/>
        </w:rPr>
        <w:t>zakresie przekazywania na podstawie postanowienia Szefa KAS środków jedynie na alimenty zasądzone, umożliwiając tym samym przekazywanie środków na alimenty ustalone na podstawie, np. umowy czy ugody (projektowany art. 119zy § 1 pkt 2 Ordynacji podatkowej).</w:t>
      </w:r>
    </w:p>
    <w:p w:rsidR="005C3F1F" w:rsidRPr="00F27DDF" w:rsidRDefault="00AB11F1" w:rsidP="00F27DDF">
      <w:pPr>
        <w:spacing w:before="120" w:after="0" w:line="360" w:lineRule="auto"/>
        <w:jc w:val="both"/>
        <w:rPr>
          <w:rFonts w:ascii="Times New Roman" w:hAnsi="Times New Roman" w:cs="Times New Roman"/>
          <w:spacing w:val="-2"/>
          <w:sz w:val="24"/>
          <w:szCs w:val="24"/>
        </w:rPr>
      </w:pPr>
      <w:r w:rsidRPr="00F27DDF">
        <w:rPr>
          <w:rFonts w:ascii="Times New Roman" w:hAnsi="Times New Roman" w:cs="Times New Roman"/>
          <w:spacing w:val="-2"/>
          <w:sz w:val="24"/>
          <w:szCs w:val="24"/>
        </w:rPr>
        <w:t xml:space="preserve">Pozytywne znaczenie dla </w:t>
      </w:r>
      <w:proofErr w:type="spellStart"/>
      <w:r w:rsidRPr="00F27DDF">
        <w:rPr>
          <w:rFonts w:ascii="Times New Roman" w:hAnsi="Times New Roman" w:cs="Times New Roman"/>
          <w:sz w:val="24"/>
          <w:szCs w:val="24"/>
        </w:rPr>
        <w:t>mikroprzedsiębiorców</w:t>
      </w:r>
      <w:proofErr w:type="spellEnd"/>
      <w:r w:rsidRPr="00F27DDF">
        <w:rPr>
          <w:rFonts w:ascii="Times New Roman" w:hAnsi="Times New Roman" w:cs="Times New Roman"/>
          <w:b/>
          <w:sz w:val="24"/>
          <w:szCs w:val="24"/>
        </w:rPr>
        <w:t xml:space="preserve"> </w:t>
      </w:r>
      <w:r w:rsidRPr="00F27DDF">
        <w:rPr>
          <w:rFonts w:ascii="Times New Roman" w:hAnsi="Times New Roman" w:cs="Times New Roman"/>
          <w:sz w:val="24"/>
          <w:szCs w:val="24"/>
        </w:rPr>
        <w:t>oraz małych i średnich przedsiębiorców</w:t>
      </w:r>
      <w:r w:rsidRPr="00F27DDF">
        <w:rPr>
          <w:rFonts w:ascii="Times New Roman" w:hAnsi="Times New Roman" w:cs="Times New Roman"/>
          <w:spacing w:val="-2"/>
          <w:sz w:val="24"/>
          <w:szCs w:val="24"/>
        </w:rPr>
        <w:t xml:space="preserve"> będących podmiotami kwalifikowanymi powinny mieć zmiany w art. 96b ustawy o VAT. Zmiany te zwiększą przejrzystość rejestrów, o których </w:t>
      </w:r>
      <w:r w:rsidR="00C847B8">
        <w:rPr>
          <w:rFonts w:ascii="Times New Roman" w:hAnsi="Times New Roman" w:cs="Times New Roman"/>
          <w:spacing w:val="-2"/>
          <w:sz w:val="24"/>
          <w:szCs w:val="24"/>
        </w:rPr>
        <w:t>mowa w art. 96b ust. 1 ustawy o </w:t>
      </w:r>
      <w:r w:rsidRPr="00F27DDF">
        <w:rPr>
          <w:rFonts w:ascii="Times New Roman" w:hAnsi="Times New Roman" w:cs="Times New Roman"/>
          <w:spacing w:val="-2"/>
          <w:sz w:val="24"/>
          <w:szCs w:val="24"/>
        </w:rPr>
        <w:t xml:space="preserve">VAT. Regulacja art. 96b ust. 1 ustawy o </w:t>
      </w:r>
      <w:r w:rsidR="00C13C62">
        <w:rPr>
          <w:rFonts w:ascii="Times New Roman" w:hAnsi="Times New Roman" w:cs="Times New Roman"/>
          <w:spacing w:val="-2"/>
          <w:sz w:val="24"/>
          <w:szCs w:val="24"/>
        </w:rPr>
        <w:t>VAT</w:t>
      </w:r>
      <w:r w:rsidRPr="00F27DDF">
        <w:rPr>
          <w:rFonts w:ascii="Times New Roman" w:hAnsi="Times New Roman" w:cs="Times New Roman"/>
          <w:spacing w:val="-2"/>
          <w:sz w:val="24"/>
          <w:szCs w:val="24"/>
        </w:rPr>
        <w:t xml:space="preserve"> będzie stanowiła istotne wsparcie przedsiębiorców w prawidłowym wykonywaniu obowiązków podatkowych m.in. poprzez możliwość weryfikacji rzetelności działania swoich kontrahentów. </w:t>
      </w:r>
    </w:p>
    <w:p w:rsidR="005C3F1F" w:rsidRPr="00F27DDF" w:rsidRDefault="00AB11F1" w:rsidP="00F27DDF">
      <w:pPr>
        <w:spacing w:before="120" w:after="0" w:line="360" w:lineRule="auto"/>
        <w:jc w:val="both"/>
        <w:rPr>
          <w:rFonts w:ascii="Times New Roman" w:hAnsi="Times New Roman" w:cs="Times New Roman"/>
          <w:spacing w:val="-2"/>
          <w:sz w:val="24"/>
          <w:szCs w:val="24"/>
        </w:rPr>
      </w:pPr>
      <w:r w:rsidRPr="00F27DDF">
        <w:rPr>
          <w:rFonts w:ascii="Times New Roman" w:hAnsi="Times New Roman" w:cs="Times New Roman"/>
          <w:spacing w:val="-2"/>
          <w:sz w:val="24"/>
          <w:szCs w:val="24"/>
        </w:rPr>
        <w:lastRenderedPageBreak/>
        <w:t>Projektowane regulacje w zakresie zniesienia zaskarż</w:t>
      </w:r>
      <w:r w:rsidR="00C847B8">
        <w:rPr>
          <w:rFonts w:ascii="Times New Roman" w:hAnsi="Times New Roman" w:cs="Times New Roman"/>
          <w:spacing w:val="-2"/>
          <w:sz w:val="24"/>
          <w:szCs w:val="24"/>
        </w:rPr>
        <w:t>alności blokady na 72 godziny i </w:t>
      </w:r>
      <w:r w:rsidRPr="00F27DDF">
        <w:rPr>
          <w:rFonts w:ascii="Times New Roman" w:hAnsi="Times New Roman" w:cs="Times New Roman"/>
          <w:spacing w:val="-2"/>
          <w:sz w:val="24"/>
          <w:szCs w:val="24"/>
        </w:rPr>
        <w:t xml:space="preserve">zastąpienia wniosku o ponowne rozpatrzenie sprawy zażaleniem nie powinny mieć wpływu na prowadzenie działalności gospodarczej przez </w:t>
      </w:r>
      <w:proofErr w:type="spellStart"/>
      <w:r w:rsidRPr="00F27DDF">
        <w:rPr>
          <w:rFonts w:ascii="Times New Roman" w:hAnsi="Times New Roman" w:cs="Times New Roman"/>
          <w:spacing w:val="-2"/>
          <w:sz w:val="24"/>
          <w:szCs w:val="24"/>
        </w:rPr>
        <w:t>mikroprzedsiębiorców</w:t>
      </w:r>
      <w:proofErr w:type="spellEnd"/>
      <w:r w:rsidRPr="00F27DDF">
        <w:rPr>
          <w:rFonts w:ascii="Times New Roman" w:hAnsi="Times New Roman" w:cs="Times New Roman"/>
          <w:spacing w:val="-2"/>
          <w:sz w:val="24"/>
          <w:szCs w:val="24"/>
        </w:rPr>
        <w:t xml:space="preserve"> oraz małych i średnich przedsiębiorców. Wskazać także należy, że regulacje te dotyczą tylko spraw, w których doszło do blokady rachunku podmiotu kwalifikowanego.</w:t>
      </w:r>
    </w:p>
    <w:p w:rsidR="005C3F1F" w:rsidRPr="00F27DDF" w:rsidRDefault="00AB11F1" w:rsidP="00C847B8">
      <w:pPr>
        <w:spacing w:before="240" w:after="0" w:line="360" w:lineRule="auto"/>
        <w:ind w:left="602" w:hanging="602"/>
        <w:jc w:val="both"/>
        <w:rPr>
          <w:rFonts w:ascii="Times New Roman" w:hAnsi="Times New Roman" w:cs="Times New Roman"/>
          <w:b/>
          <w:spacing w:val="-2"/>
          <w:sz w:val="24"/>
          <w:szCs w:val="24"/>
        </w:rPr>
      </w:pPr>
      <w:r w:rsidRPr="00F27DDF">
        <w:rPr>
          <w:rFonts w:ascii="Times New Roman" w:hAnsi="Times New Roman" w:cs="Times New Roman"/>
          <w:b/>
          <w:spacing w:val="-2"/>
          <w:sz w:val="24"/>
          <w:szCs w:val="24"/>
        </w:rPr>
        <w:t>X</w:t>
      </w:r>
      <w:r w:rsidR="0068476D" w:rsidRPr="00F27DDF">
        <w:rPr>
          <w:rFonts w:ascii="Times New Roman" w:hAnsi="Times New Roman" w:cs="Times New Roman"/>
          <w:b/>
          <w:spacing w:val="-2"/>
          <w:sz w:val="24"/>
          <w:szCs w:val="24"/>
        </w:rPr>
        <w:t>I</w:t>
      </w:r>
      <w:r w:rsidR="00856BC5" w:rsidRPr="00F27DDF">
        <w:rPr>
          <w:rFonts w:ascii="Times New Roman" w:hAnsi="Times New Roman" w:cs="Times New Roman"/>
          <w:b/>
          <w:spacing w:val="-2"/>
          <w:sz w:val="24"/>
          <w:szCs w:val="24"/>
        </w:rPr>
        <w:t>I</w:t>
      </w:r>
      <w:r w:rsidR="00C847B8">
        <w:rPr>
          <w:rFonts w:ascii="Times New Roman" w:hAnsi="Times New Roman" w:cs="Times New Roman"/>
          <w:b/>
          <w:spacing w:val="-2"/>
          <w:sz w:val="24"/>
          <w:szCs w:val="24"/>
        </w:rPr>
        <w:t>.</w:t>
      </w:r>
      <w:r w:rsidR="00C847B8">
        <w:rPr>
          <w:rFonts w:ascii="Times New Roman" w:hAnsi="Times New Roman" w:cs="Times New Roman"/>
          <w:b/>
          <w:spacing w:val="-2"/>
          <w:sz w:val="24"/>
          <w:szCs w:val="24"/>
        </w:rPr>
        <w:tab/>
      </w:r>
      <w:r w:rsidRPr="00F27DDF">
        <w:rPr>
          <w:rFonts w:ascii="Times New Roman" w:hAnsi="Times New Roman" w:cs="Times New Roman"/>
          <w:b/>
          <w:spacing w:val="-2"/>
          <w:sz w:val="24"/>
          <w:szCs w:val="24"/>
        </w:rPr>
        <w:t xml:space="preserve">Przepisy przejściowe </w:t>
      </w:r>
    </w:p>
    <w:p w:rsidR="005C3F1F" w:rsidRPr="00F27DDF" w:rsidRDefault="00AB11F1" w:rsidP="00F27DDF">
      <w:pPr>
        <w:pStyle w:val="USTustnpkodeksu"/>
        <w:spacing w:before="120"/>
        <w:ind w:firstLine="0"/>
        <w:rPr>
          <w:rFonts w:ascii="Times New Roman" w:hAnsi="Times New Roman" w:cs="Times New Roman"/>
          <w:szCs w:val="24"/>
        </w:rPr>
      </w:pPr>
      <w:r w:rsidRPr="00F27DDF">
        <w:rPr>
          <w:rFonts w:ascii="Times New Roman" w:hAnsi="Times New Roman" w:cs="Times New Roman"/>
          <w:b/>
          <w:spacing w:val="-2"/>
          <w:szCs w:val="24"/>
        </w:rPr>
        <w:t>Art. 1</w:t>
      </w:r>
      <w:r w:rsidR="0068476D" w:rsidRPr="00F27DDF">
        <w:rPr>
          <w:rFonts w:ascii="Times New Roman" w:hAnsi="Times New Roman" w:cs="Times New Roman"/>
          <w:b/>
          <w:spacing w:val="-2"/>
          <w:szCs w:val="24"/>
        </w:rPr>
        <w:t>1</w:t>
      </w:r>
      <w:r w:rsidRPr="00F27DDF">
        <w:rPr>
          <w:rFonts w:ascii="Times New Roman" w:hAnsi="Times New Roman" w:cs="Times New Roman"/>
          <w:b/>
          <w:spacing w:val="-2"/>
          <w:szCs w:val="24"/>
        </w:rPr>
        <w:t xml:space="preserve">. </w:t>
      </w:r>
      <w:r w:rsidRPr="00F27DDF">
        <w:rPr>
          <w:rFonts w:ascii="Times New Roman" w:hAnsi="Times New Roman" w:cs="Times New Roman"/>
          <w:szCs w:val="24"/>
        </w:rPr>
        <w:t>Przepisy art. 1</w:t>
      </w:r>
      <w:r w:rsidR="0068476D" w:rsidRPr="00F27DDF">
        <w:rPr>
          <w:rFonts w:ascii="Times New Roman" w:hAnsi="Times New Roman" w:cs="Times New Roman"/>
          <w:szCs w:val="24"/>
        </w:rPr>
        <w:t>1</w:t>
      </w:r>
      <w:r w:rsidRPr="00F27DDF">
        <w:rPr>
          <w:rFonts w:ascii="Times New Roman" w:hAnsi="Times New Roman" w:cs="Times New Roman"/>
          <w:szCs w:val="24"/>
        </w:rPr>
        <w:t xml:space="preserve"> ust. 1 i 2 projektu określają terminy przekazania po raz pierwszy do STIR informacji z banków w rozumieniu art. 119zg pkt 1 Ordynacji podatkowej oraz SKOK-ów o prowadzonych i otwieranych przez nie rachunkach VAT podmiotów kwalifikowanych. Przekazaniu podlegają informacje o rachunkach VAT otwartych przed dniem </w:t>
      </w:r>
      <w:r w:rsidR="007E641C" w:rsidRPr="00F27DDF">
        <w:rPr>
          <w:rFonts w:ascii="Times New Roman" w:hAnsi="Times New Roman" w:cs="Times New Roman"/>
          <w:szCs w:val="24"/>
        </w:rPr>
        <w:t>wejścia w życie przepisów art. 1 pkt 1 lit. b w zakresie art.</w:t>
      </w:r>
      <w:r w:rsidR="00C847B8">
        <w:rPr>
          <w:rFonts w:ascii="Times New Roman" w:hAnsi="Times New Roman" w:cs="Times New Roman"/>
          <w:szCs w:val="24"/>
        </w:rPr>
        <w:t> </w:t>
      </w:r>
      <w:r w:rsidR="007E641C" w:rsidRPr="00F27DDF">
        <w:rPr>
          <w:rFonts w:ascii="Times New Roman" w:hAnsi="Times New Roman" w:cs="Times New Roman"/>
          <w:szCs w:val="24"/>
        </w:rPr>
        <w:t>119zg pkt 5 lit. d</w:t>
      </w:r>
      <w:r w:rsidR="00534C56">
        <w:rPr>
          <w:rFonts w:ascii="Times New Roman" w:hAnsi="Times New Roman" w:cs="Times New Roman"/>
          <w:szCs w:val="24"/>
        </w:rPr>
        <w:t xml:space="preserve"> oraz art. 1 pkt 6 lit. c </w:t>
      </w:r>
      <w:proofErr w:type="spellStart"/>
      <w:r w:rsidR="00534C56">
        <w:rPr>
          <w:rFonts w:ascii="Times New Roman" w:hAnsi="Times New Roman" w:cs="Times New Roman"/>
          <w:szCs w:val="24"/>
        </w:rPr>
        <w:t>tiret</w:t>
      </w:r>
      <w:proofErr w:type="spellEnd"/>
      <w:r w:rsidR="00534C56">
        <w:rPr>
          <w:rFonts w:ascii="Times New Roman" w:hAnsi="Times New Roman" w:cs="Times New Roman"/>
          <w:szCs w:val="24"/>
        </w:rPr>
        <w:t xml:space="preserve"> trzecie</w:t>
      </w:r>
      <w:r w:rsidRPr="00F27DDF">
        <w:rPr>
          <w:rFonts w:ascii="Times New Roman" w:hAnsi="Times New Roman" w:cs="Times New Roman"/>
          <w:szCs w:val="24"/>
        </w:rPr>
        <w:t xml:space="preserve"> i prowadzonych na </w:t>
      </w:r>
      <w:r w:rsidR="00DE17E0" w:rsidRPr="00F27DDF">
        <w:rPr>
          <w:rFonts w:ascii="Times New Roman" w:hAnsi="Times New Roman" w:cs="Times New Roman"/>
          <w:szCs w:val="24"/>
        </w:rPr>
        <w:t xml:space="preserve">ten </w:t>
      </w:r>
      <w:r w:rsidRPr="00F27DDF">
        <w:rPr>
          <w:rFonts w:ascii="Times New Roman" w:hAnsi="Times New Roman" w:cs="Times New Roman"/>
          <w:szCs w:val="24"/>
        </w:rPr>
        <w:t>dzień oraz o</w:t>
      </w:r>
      <w:r w:rsidR="00C847B8">
        <w:rPr>
          <w:rFonts w:ascii="Times New Roman" w:hAnsi="Times New Roman" w:cs="Times New Roman"/>
          <w:szCs w:val="24"/>
        </w:rPr>
        <w:t> </w:t>
      </w:r>
      <w:r w:rsidRPr="00F27DDF">
        <w:rPr>
          <w:rFonts w:ascii="Times New Roman" w:hAnsi="Times New Roman" w:cs="Times New Roman"/>
          <w:szCs w:val="24"/>
        </w:rPr>
        <w:t xml:space="preserve">rachunkach otwartych od dnia </w:t>
      </w:r>
      <w:r w:rsidR="007E641C" w:rsidRPr="00F27DDF">
        <w:rPr>
          <w:rFonts w:ascii="Times New Roman" w:hAnsi="Times New Roman" w:cs="Times New Roman"/>
          <w:szCs w:val="24"/>
        </w:rPr>
        <w:t xml:space="preserve">wejścia w życie przepisów </w:t>
      </w:r>
      <w:r w:rsidR="00534C56">
        <w:rPr>
          <w:rFonts w:ascii="Times New Roman" w:hAnsi="Times New Roman" w:cs="Times New Roman"/>
          <w:szCs w:val="24"/>
        </w:rPr>
        <w:t>art. 1 pkt 1 lit. b w </w:t>
      </w:r>
      <w:r w:rsidR="007E641C" w:rsidRPr="00F27DDF">
        <w:rPr>
          <w:rFonts w:ascii="Times New Roman" w:hAnsi="Times New Roman" w:cs="Times New Roman"/>
          <w:szCs w:val="24"/>
        </w:rPr>
        <w:t>z</w:t>
      </w:r>
      <w:r w:rsidR="00534C56">
        <w:rPr>
          <w:rFonts w:ascii="Times New Roman" w:hAnsi="Times New Roman" w:cs="Times New Roman"/>
          <w:szCs w:val="24"/>
        </w:rPr>
        <w:t>akresie art. 119zg pkt 5 lit. d oraz art. 1</w:t>
      </w:r>
      <w:r w:rsidR="007E641C" w:rsidRPr="00F27DDF">
        <w:rPr>
          <w:rFonts w:ascii="Times New Roman" w:hAnsi="Times New Roman" w:cs="Times New Roman"/>
          <w:szCs w:val="24"/>
        </w:rPr>
        <w:t xml:space="preserve"> pkt 6 lit. c </w:t>
      </w:r>
      <w:proofErr w:type="spellStart"/>
      <w:r w:rsidR="007E641C" w:rsidRPr="00F27DDF">
        <w:rPr>
          <w:rFonts w:ascii="Times New Roman" w:hAnsi="Times New Roman" w:cs="Times New Roman"/>
          <w:szCs w:val="24"/>
        </w:rPr>
        <w:t>tiret</w:t>
      </w:r>
      <w:proofErr w:type="spellEnd"/>
      <w:r w:rsidR="007E641C" w:rsidRPr="00F27DDF">
        <w:rPr>
          <w:rFonts w:ascii="Times New Roman" w:hAnsi="Times New Roman" w:cs="Times New Roman"/>
          <w:szCs w:val="24"/>
        </w:rPr>
        <w:t xml:space="preserve"> trzecie </w:t>
      </w:r>
      <w:r w:rsidRPr="00F27DDF">
        <w:rPr>
          <w:rFonts w:ascii="Times New Roman" w:hAnsi="Times New Roman" w:cs="Times New Roman"/>
          <w:szCs w:val="24"/>
        </w:rPr>
        <w:t>do dnia poprzedzającego dzień przekazania informacji, według stanu na dzień poprzedzający dzień przekazania informacji</w:t>
      </w:r>
      <w:r w:rsidR="00BF14FD" w:rsidRPr="00F27DDF">
        <w:rPr>
          <w:rFonts w:ascii="Times New Roman" w:hAnsi="Times New Roman" w:cs="Times New Roman"/>
          <w:szCs w:val="24"/>
        </w:rPr>
        <w:t>, chyba że zostały wcześniej przekazane (</w:t>
      </w:r>
      <w:r w:rsidR="00BF14FD" w:rsidRPr="00F27DDF">
        <w:rPr>
          <w:rFonts w:ascii="Times New Roman" w:hAnsi="Times New Roman" w:cs="Times New Roman"/>
          <w:b/>
          <w:szCs w:val="24"/>
        </w:rPr>
        <w:t>ust</w:t>
      </w:r>
      <w:r w:rsidR="007E641C" w:rsidRPr="00F27DDF">
        <w:rPr>
          <w:rFonts w:ascii="Times New Roman" w:hAnsi="Times New Roman" w:cs="Times New Roman"/>
          <w:b/>
          <w:szCs w:val="24"/>
        </w:rPr>
        <w:t>.</w:t>
      </w:r>
      <w:r w:rsidR="00F27DDF">
        <w:rPr>
          <w:rFonts w:ascii="Times New Roman" w:hAnsi="Times New Roman" w:cs="Times New Roman"/>
          <w:b/>
          <w:szCs w:val="24"/>
        </w:rPr>
        <w:t xml:space="preserve"> </w:t>
      </w:r>
      <w:r w:rsidR="00BF14FD" w:rsidRPr="00F27DDF">
        <w:rPr>
          <w:rFonts w:ascii="Times New Roman" w:hAnsi="Times New Roman" w:cs="Times New Roman"/>
          <w:b/>
          <w:szCs w:val="24"/>
        </w:rPr>
        <w:t>2</w:t>
      </w:r>
      <w:r w:rsidR="00BF14FD" w:rsidRPr="00F27DDF">
        <w:rPr>
          <w:rFonts w:ascii="Times New Roman" w:hAnsi="Times New Roman" w:cs="Times New Roman"/>
          <w:szCs w:val="24"/>
        </w:rPr>
        <w:t>)</w:t>
      </w:r>
      <w:r w:rsidRPr="00F27DDF">
        <w:rPr>
          <w:rFonts w:ascii="Times New Roman" w:hAnsi="Times New Roman" w:cs="Times New Roman"/>
          <w:szCs w:val="24"/>
        </w:rPr>
        <w:t xml:space="preserve">. Przepisy art. 7 i </w:t>
      </w:r>
      <w:r w:rsidR="00C13C62">
        <w:rPr>
          <w:rFonts w:ascii="Times New Roman" w:hAnsi="Times New Roman" w:cs="Times New Roman"/>
          <w:szCs w:val="24"/>
        </w:rPr>
        <w:t xml:space="preserve">art. </w:t>
      </w:r>
      <w:r w:rsidRPr="00F27DDF">
        <w:rPr>
          <w:rFonts w:ascii="Times New Roman" w:hAnsi="Times New Roman" w:cs="Times New Roman"/>
          <w:szCs w:val="24"/>
        </w:rPr>
        <w:t>8 ustawy z dnia 15</w:t>
      </w:r>
      <w:r w:rsidR="00C13C62">
        <w:rPr>
          <w:rFonts w:ascii="Times New Roman" w:hAnsi="Times New Roman" w:cs="Times New Roman"/>
          <w:szCs w:val="24"/>
        </w:rPr>
        <w:t> </w:t>
      </w:r>
      <w:r w:rsidRPr="00F27DDF">
        <w:rPr>
          <w:rFonts w:ascii="Times New Roman" w:hAnsi="Times New Roman" w:cs="Times New Roman"/>
          <w:szCs w:val="24"/>
        </w:rPr>
        <w:t>grudnia 2017 r. o zmiani</w:t>
      </w:r>
      <w:r w:rsidR="006B0B03">
        <w:rPr>
          <w:rFonts w:ascii="Times New Roman" w:hAnsi="Times New Roman" w:cs="Times New Roman"/>
          <w:szCs w:val="24"/>
        </w:rPr>
        <w:t>e ustawy o podatku od towarów i </w:t>
      </w:r>
      <w:r w:rsidRPr="00F27DDF">
        <w:rPr>
          <w:rFonts w:ascii="Times New Roman" w:hAnsi="Times New Roman" w:cs="Times New Roman"/>
          <w:szCs w:val="24"/>
        </w:rPr>
        <w:t>usług oraz niektórych innych ustaw (wprowadzającej mechanizm podzielonej płatności) przewidują obowiązek otwarcia rachunku VAT do dnia 30 czerwca 2018 r. w</w:t>
      </w:r>
      <w:r w:rsidR="006B0B03">
        <w:rPr>
          <w:rFonts w:ascii="Times New Roman" w:hAnsi="Times New Roman" w:cs="Times New Roman"/>
          <w:szCs w:val="24"/>
        </w:rPr>
        <w:t> </w:t>
      </w:r>
      <w:r w:rsidRPr="00F27DDF">
        <w:rPr>
          <w:rFonts w:ascii="Times New Roman" w:hAnsi="Times New Roman" w:cs="Times New Roman"/>
          <w:szCs w:val="24"/>
        </w:rPr>
        <w:t xml:space="preserve">przypadku otwarcia przed 1 lipca 2018 r. rachunku rozliczeniowego przez bank lub imiennego rachunku członka spółdzielczej kasy oszczędnościowo-kredytowej przez SKOK. </w:t>
      </w:r>
    </w:p>
    <w:p w:rsidR="005C3F1F" w:rsidRPr="00F27DDF" w:rsidRDefault="00AB11F1" w:rsidP="00F27DDF">
      <w:pPr>
        <w:pStyle w:val="USTustnpkodeksu"/>
        <w:spacing w:before="120"/>
        <w:ind w:firstLine="0"/>
        <w:rPr>
          <w:rFonts w:ascii="Times New Roman" w:hAnsi="Times New Roman" w:cs="Times New Roman"/>
          <w:szCs w:val="24"/>
        </w:rPr>
      </w:pPr>
      <w:r w:rsidRPr="00F27DDF">
        <w:rPr>
          <w:rFonts w:ascii="Times New Roman" w:hAnsi="Times New Roman" w:cs="Times New Roman"/>
          <w:szCs w:val="24"/>
        </w:rPr>
        <w:t>Banki w rozumieniu art. 119zg pkt 1 Ordynacji podatkowej, z wyjątkiem banków spółdzielczych</w:t>
      </w:r>
      <w:r w:rsidR="00C13C62">
        <w:rPr>
          <w:rFonts w:ascii="Times New Roman" w:hAnsi="Times New Roman" w:cs="Times New Roman"/>
          <w:szCs w:val="24"/>
        </w:rPr>
        <w:t>,</w:t>
      </w:r>
      <w:r w:rsidRPr="00F27DDF">
        <w:rPr>
          <w:rFonts w:ascii="Times New Roman" w:hAnsi="Times New Roman" w:cs="Times New Roman"/>
          <w:szCs w:val="24"/>
        </w:rPr>
        <w:t xml:space="preserve"> rozpoczynają przekazywanie informacji o rachunkach VAT nie później niż </w:t>
      </w:r>
      <w:r w:rsidR="00DE17E0" w:rsidRPr="00F27DDF">
        <w:rPr>
          <w:rFonts w:ascii="Times New Roman" w:hAnsi="Times New Roman" w:cs="Times New Roman"/>
          <w:szCs w:val="24"/>
        </w:rPr>
        <w:t xml:space="preserve">31 lipca 2018 r. </w:t>
      </w:r>
      <w:r w:rsidRPr="00F27DDF">
        <w:rPr>
          <w:rFonts w:ascii="Times New Roman" w:hAnsi="Times New Roman" w:cs="Times New Roman"/>
          <w:b/>
          <w:szCs w:val="24"/>
        </w:rPr>
        <w:t>(ust. 1 pkt 1)</w:t>
      </w:r>
      <w:r w:rsidRPr="00F27DDF">
        <w:rPr>
          <w:rFonts w:ascii="Times New Roman" w:hAnsi="Times New Roman" w:cs="Times New Roman"/>
          <w:szCs w:val="24"/>
        </w:rPr>
        <w:t xml:space="preserve">. Banki spółdzielcze oraz spółdzielcze kasy oszczędnościowo-kredytowe, które są technicznie i organizacyjnie mniej zaawansowane od instytucji, o których mowa w ust. 1 pkt 1, rozpoczynają przekazywanie informacji o rachunkach nie później niż </w:t>
      </w:r>
      <w:r w:rsidR="00DE17E0" w:rsidRPr="00F27DDF">
        <w:rPr>
          <w:rFonts w:ascii="Times New Roman" w:hAnsi="Times New Roman" w:cs="Times New Roman"/>
          <w:szCs w:val="24"/>
        </w:rPr>
        <w:t xml:space="preserve">31 sierpnia 2018 r. </w:t>
      </w:r>
      <w:r w:rsidRPr="00F27DDF">
        <w:rPr>
          <w:rFonts w:ascii="Times New Roman" w:hAnsi="Times New Roman" w:cs="Times New Roman"/>
          <w:b/>
          <w:szCs w:val="24"/>
        </w:rPr>
        <w:t>(ust. 1 pkt</w:t>
      </w:r>
      <w:r w:rsidR="00C13C62">
        <w:rPr>
          <w:rFonts w:ascii="Times New Roman" w:hAnsi="Times New Roman" w:cs="Times New Roman"/>
          <w:b/>
          <w:szCs w:val="24"/>
        </w:rPr>
        <w:t> </w:t>
      </w:r>
      <w:r w:rsidRPr="00F27DDF">
        <w:rPr>
          <w:rFonts w:ascii="Times New Roman" w:hAnsi="Times New Roman" w:cs="Times New Roman"/>
          <w:b/>
          <w:szCs w:val="24"/>
        </w:rPr>
        <w:t>2)</w:t>
      </w:r>
      <w:r w:rsidRPr="00F27DDF">
        <w:rPr>
          <w:rFonts w:ascii="Times New Roman" w:hAnsi="Times New Roman" w:cs="Times New Roman"/>
          <w:szCs w:val="24"/>
        </w:rPr>
        <w:t>. Sformułowania „nie później niż</w:t>
      </w:r>
      <w:r w:rsidR="00EF0AD8" w:rsidRPr="00F27DDF">
        <w:rPr>
          <w:rFonts w:ascii="Times New Roman" w:hAnsi="Times New Roman" w:cs="Times New Roman"/>
          <w:szCs w:val="24"/>
        </w:rPr>
        <w:t>”</w:t>
      </w:r>
      <w:r w:rsidRPr="00F27DDF">
        <w:rPr>
          <w:rFonts w:ascii="Times New Roman" w:hAnsi="Times New Roman" w:cs="Times New Roman"/>
          <w:szCs w:val="24"/>
        </w:rPr>
        <w:t xml:space="preserve"> oznaczają, że dzień odpowiednio 3</w:t>
      </w:r>
      <w:r w:rsidR="00DE17E0" w:rsidRPr="00F27DDF">
        <w:rPr>
          <w:rFonts w:ascii="Times New Roman" w:hAnsi="Times New Roman" w:cs="Times New Roman"/>
          <w:szCs w:val="24"/>
        </w:rPr>
        <w:t>1 lipca 2018</w:t>
      </w:r>
      <w:r w:rsidR="00C847B8">
        <w:rPr>
          <w:rFonts w:ascii="Times New Roman" w:hAnsi="Times New Roman" w:cs="Times New Roman"/>
          <w:szCs w:val="24"/>
        </w:rPr>
        <w:t> </w:t>
      </w:r>
      <w:r w:rsidR="00DE17E0" w:rsidRPr="00F27DDF">
        <w:rPr>
          <w:rFonts w:ascii="Times New Roman" w:hAnsi="Times New Roman" w:cs="Times New Roman"/>
          <w:szCs w:val="24"/>
        </w:rPr>
        <w:t>r.</w:t>
      </w:r>
      <w:r w:rsidRPr="00F27DDF">
        <w:rPr>
          <w:rFonts w:ascii="Times New Roman" w:hAnsi="Times New Roman" w:cs="Times New Roman"/>
          <w:szCs w:val="24"/>
        </w:rPr>
        <w:t xml:space="preserve"> i </w:t>
      </w:r>
      <w:r w:rsidR="00DE17E0" w:rsidRPr="00F27DDF">
        <w:rPr>
          <w:rFonts w:ascii="Times New Roman" w:hAnsi="Times New Roman" w:cs="Times New Roman"/>
          <w:szCs w:val="24"/>
        </w:rPr>
        <w:t>31 sierpnia 2018 r. są</w:t>
      </w:r>
      <w:r w:rsidRPr="00F27DDF">
        <w:rPr>
          <w:rFonts w:ascii="Times New Roman" w:hAnsi="Times New Roman" w:cs="Times New Roman"/>
          <w:szCs w:val="24"/>
        </w:rPr>
        <w:t xml:space="preserve"> ostatnim</w:t>
      </w:r>
      <w:r w:rsidR="00DE17E0" w:rsidRPr="00F27DDF">
        <w:rPr>
          <w:rFonts w:ascii="Times New Roman" w:hAnsi="Times New Roman" w:cs="Times New Roman"/>
          <w:szCs w:val="24"/>
        </w:rPr>
        <w:t>i</w:t>
      </w:r>
      <w:r w:rsidRPr="00F27DDF">
        <w:rPr>
          <w:rFonts w:ascii="Times New Roman" w:hAnsi="Times New Roman" w:cs="Times New Roman"/>
          <w:szCs w:val="24"/>
        </w:rPr>
        <w:t xml:space="preserve"> dni</w:t>
      </w:r>
      <w:r w:rsidR="00DE17E0" w:rsidRPr="00F27DDF">
        <w:rPr>
          <w:rFonts w:ascii="Times New Roman" w:hAnsi="Times New Roman" w:cs="Times New Roman"/>
          <w:szCs w:val="24"/>
        </w:rPr>
        <w:t>ami</w:t>
      </w:r>
      <w:r w:rsidRPr="00F27DDF">
        <w:rPr>
          <w:rFonts w:ascii="Times New Roman" w:hAnsi="Times New Roman" w:cs="Times New Roman"/>
          <w:szCs w:val="24"/>
        </w:rPr>
        <w:t xml:space="preserve"> na przekazanie wymienionych informacji przez banki i SKOK-i. Nie ma jednakże przeszkód, aby dane te były przekazane przed ostatecznym terminem.</w:t>
      </w:r>
    </w:p>
    <w:p w:rsidR="005C3F1F" w:rsidRPr="00F27DDF" w:rsidRDefault="00AB11F1" w:rsidP="00F27DDF">
      <w:pPr>
        <w:pStyle w:val="USTustnpkodeksu"/>
        <w:spacing w:before="120"/>
        <w:ind w:firstLine="0"/>
        <w:rPr>
          <w:rFonts w:ascii="Times New Roman" w:hAnsi="Times New Roman" w:cs="Times New Roman"/>
          <w:szCs w:val="24"/>
        </w:rPr>
      </w:pPr>
      <w:r w:rsidRPr="00F27DDF">
        <w:rPr>
          <w:rFonts w:ascii="Times New Roman" w:hAnsi="Times New Roman" w:cs="Times New Roman"/>
          <w:szCs w:val="24"/>
        </w:rPr>
        <w:t xml:space="preserve">Zróżnicowane są również terminy przekazania przez banki i SKOK-i po raz pierwszy do STIR dziennych zestawień o transakcjach dotyczących rachunków VAT podmiotów </w:t>
      </w:r>
      <w:r w:rsidRPr="00F27DDF">
        <w:rPr>
          <w:rFonts w:ascii="Times New Roman" w:hAnsi="Times New Roman" w:cs="Times New Roman"/>
          <w:szCs w:val="24"/>
        </w:rPr>
        <w:lastRenderedPageBreak/>
        <w:t>kwalifikowanych. Banki w rozumieniu art. 119zg pkt 1 Ordynacji podatkowej, z</w:t>
      </w:r>
      <w:r w:rsidR="00C847B8">
        <w:rPr>
          <w:rFonts w:ascii="Times New Roman" w:hAnsi="Times New Roman" w:cs="Times New Roman"/>
          <w:szCs w:val="24"/>
        </w:rPr>
        <w:t> </w:t>
      </w:r>
      <w:r w:rsidRPr="00F27DDF">
        <w:rPr>
          <w:rFonts w:ascii="Times New Roman" w:hAnsi="Times New Roman" w:cs="Times New Roman"/>
          <w:szCs w:val="24"/>
        </w:rPr>
        <w:t>wyjątkiem banków spółdzielczych</w:t>
      </w:r>
      <w:r w:rsidR="00C13C62">
        <w:rPr>
          <w:rFonts w:ascii="Times New Roman" w:hAnsi="Times New Roman" w:cs="Times New Roman"/>
          <w:szCs w:val="24"/>
        </w:rPr>
        <w:t>,</w:t>
      </w:r>
      <w:r w:rsidRPr="00F27DDF">
        <w:rPr>
          <w:rFonts w:ascii="Times New Roman" w:hAnsi="Times New Roman" w:cs="Times New Roman"/>
          <w:szCs w:val="24"/>
        </w:rPr>
        <w:t xml:space="preserve"> rozpoczynają przekazywanie tych zestawień nie później niż </w:t>
      </w:r>
      <w:r w:rsidR="00EF0AD8" w:rsidRPr="00F27DDF">
        <w:rPr>
          <w:rFonts w:ascii="Times New Roman" w:hAnsi="Times New Roman" w:cs="Times New Roman"/>
          <w:szCs w:val="24"/>
        </w:rPr>
        <w:t xml:space="preserve">31 sierpnia 2018 r. </w:t>
      </w:r>
      <w:r w:rsidRPr="00F27DDF">
        <w:rPr>
          <w:rFonts w:ascii="Times New Roman" w:hAnsi="Times New Roman" w:cs="Times New Roman"/>
          <w:b/>
          <w:szCs w:val="24"/>
        </w:rPr>
        <w:t>(art. 1</w:t>
      </w:r>
      <w:r w:rsidR="0068476D" w:rsidRPr="00F27DDF">
        <w:rPr>
          <w:rFonts w:ascii="Times New Roman" w:hAnsi="Times New Roman" w:cs="Times New Roman"/>
          <w:b/>
          <w:szCs w:val="24"/>
        </w:rPr>
        <w:t>1</w:t>
      </w:r>
      <w:r w:rsidRPr="00F27DDF">
        <w:rPr>
          <w:rFonts w:ascii="Times New Roman" w:hAnsi="Times New Roman" w:cs="Times New Roman"/>
          <w:b/>
          <w:szCs w:val="24"/>
        </w:rPr>
        <w:t xml:space="preserve"> ust. 3 pkt 1 projektu)</w:t>
      </w:r>
      <w:r w:rsidRPr="00F27DDF">
        <w:rPr>
          <w:rFonts w:ascii="Times New Roman" w:hAnsi="Times New Roman" w:cs="Times New Roman"/>
          <w:szCs w:val="24"/>
        </w:rPr>
        <w:t xml:space="preserve">. Banki spółdzielcze oraz spółdzielcze kasy oszczędnościowo-kredytowe, które są technicznie i organizacyjnie mniej zaawansowane od instytucji, o których mowa w pkt 1, rozpoczynają przekazywanie tych zestawień nie później niż </w:t>
      </w:r>
      <w:r w:rsidR="00EF0AD8" w:rsidRPr="00F27DDF">
        <w:rPr>
          <w:rFonts w:ascii="Times New Roman" w:hAnsi="Times New Roman" w:cs="Times New Roman"/>
          <w:szCs w:val="24"/>
        </w:rPr>
        <w:t xml:space="preserve">30 września 2018 r. </w:t>
      </w:r>
      <w:r w:rsidRPr="00F27DDF">
        <w:rPr>
          <w:rFonts w:ascii="Times New Roman" w:hAnsi="Times New Roman" w:cs="Times New Roman"/>
          <w:b/>
          <w:szCs w:val="24"/>
        </w:rPr>
        <w:t>(art. 1</w:t>
      </w:r>
      <w:r w:rsidR="0068476D" w:rsidRPr="00F27DDF">
        <w:rPr>
          <w:rFonts w:ascii="Times New Roman" w:hAnsi="Times New Roman" w:cs="Times New Roman"/>
          <w:b/>
          <w:szCs w:val="24"/>
        </w:rPr>
        <w:t>1</w:t>
      </w:r>
      <w:r w:rsidRPr="00F27DDF">
        <w:rPr>
          <w:rFonts w:ascii="Times New Roman" w:hAnsi="Times New Roman" w:cs="Times New Roman"/>
          <w:b/>
          <w:szCs w:val="24"/>
        </w:rPr>
        <w:t xml:space="preserve"> ust. 3 pkt 2 projektu)</w:t>
      </w:r>
      <w:r w:rsidRPr="00F27DDF">
        <w:rPr>
          <w:rFonts w:ascii="Times New Roman" w:hAnsi="Times New Roman" w:cs="Times New Roman"/>
          <w:szCs w:val="24"/>
        </w:rPr>
        <w:t>.</w:t>
      </w:r>
    </w:p>
    <w:p w:rsidR="005C3F1F" w:rsidRPr="00F27DDF" w:rsidRDefault="00AB11F1" w:rsidP="00F27DDF">
      <w:pPr>
        <w:pStyle w:val="USTustnpkodeksu"/>
        <w:spacing w:before="120"/>
        <w:ind w:firstLine="0"/>
        <w:rPr>
          <w:rFonts w:ascii="Times New Roman" w:hAnsi="Times New Roman" w:cs="Times New Roman"/>
          <w:szCs w:val="24"/>
        </w:rPr>
      </w:pPr>
      <w:r w:rsidRPr="00F27DDF">
        <w:rPr>
          <w:rFonts w:ascii="Times New Roman" w:hAnsi="Times New Roman" w:cs="Times New Roman"/>
          <w:szCs w:val="24"/>
        </w:rPr>
        <w:t xml:space="preserve">Ponadto przepis </w:t>
      </w:r>
      <w:r w:rsidRPr="00F27DDF">
        <w:rPr>
          <w:rFonts w:ascii="Times New Roman" w:hAnsi="Times New Roman" w:cs="Times New Roman"/>
          <w:b/>
          <w:szCs w:val="24"/>
        </w:rPr>
        <w:t>art. 1</w:t>
      </w:r>
      <w:r w:rsidR="0068476D" w:rsidRPr="00F27DDF">
        <w:rPr>
          <w:rFonts w:ascii="Times New Roman" w:hAnsi="Times New Roman" w:cs="Times New Roman"/>
          <w:b/>
          <w:szCs w:val="24"/>
        </w:rPr>
        <w:t>1</w:t>
      </w:r>
      <w:r w:rsidRPr="00F27DDF">
        <w:rPr>
          <w:rFonts w:ascii="Times New Roman" w:hAnsi="Times New Roman" w:cs="Times New Roman"/>
          <w:b/>
          <w:szCs w:val="24"/>
        </w:rPr>
        <w:t xml:space="preserve"> ust. 4 projektu</w:t>
      </w:r>
      <w:r w:rsidRPr="00F27DDF">
        <w:rPr>
          <w:rFonts w:ascii="Times New Roman" w:hAnsi="Times New Roman" w:cs="Times New Roman"/>
          <w:szCs w:val="24"/>
        </w:rPr>
        <w:t xml:space="preserve"> przewiduje, że przekazanie inicjalne zestawień na podstawie ust. 3 obejmuje </w:t>
      </w:r>
      <w:r w:rsidR="00932412" w:rsidRPr="00F27DDF">
        <w:rPr>
          <w:rFonts w:ascii="Times New Roman" w:hAnsi="Times New Roman" w:cs="Times New Roman"/>
          <w:szCs w:val="24"/>
        </w:rPr>
        <w:t xml:space="preserve">dane uzyskane od dnia </w:t>
      </w:r>
      <w:r w:rsidR="007E641C" w:rsidRPr="00F27DDF">
        <w:rPr>
          <w:rFonts w:ascii="Times New Roman" w:hAnsi="Times New Roman" w:cs="Times New Roman"/>
          <w:szCs w:val="24"/>
        </w:rPr>
        <w:t>wejścia w życie przepisów art. 1 pkt 1 lit. b w z</w:t>
      </w:r>
      <w:r w:rsidR="00325D7B">
        <w:rPr>
          <w:rFonts w:ascii="Times New Roman" w:hAnsi="Times New Roman" w:cs="Times New Roman"/>
          <w:szCs w:val="24"/>
        </w:rPr>
        <w:t>akresie art. 119zg pkt 5 lit. d oraz art. 1</w:t>
      </w:r>
      <w:r w:rsidR="007E641C" w:rsidRPr="00F27DDF">
        <w:rPr>
          <w:rFonts w:ascii="Times New Roman" w:hAnsi="Times New Roman" w:cs="Times New Roman"/>
          <w:szCs w:val="24"/>
        </w:rPr>
        <w:t xml:space="preserve"> pkt 6 lit. c </w:t>
      </w:r>
      <w:proofErr w:type="spellStart"/>
      <w:r w:rsidR="007E641C" w:rsidRPr="00F27DDF">
        <w:rPr>
          <w:rFonts w:ascii="Times New Roman" w:hAnsi="Times New Roman" w:cs="Times New Roman"/>
          <w:szCs w:val="24"/>
        </w:rPr>
        <w:t>tiret</w:t>
      </w:r>
      <w:proofErr w:type="spellEnd"/>
      <w:r w:rsidR="007E641C" w:rsidRPr="00F27DDF">
        <w:rPr>
          <w:rFonts w:ascii="Times New Roman" w:hAnsi="Times New Roman" w:cs="Times New Roman"/>
          <w:szCs w:val="24"/>
        </w:rPr>
        <w:t xml:space="preserve"> trzecie </w:t>
      </w:r>
      <w:r w:rsidRPr="00F27DDF">
        <w:rPr>
          <w:rFonts w:ascii="Times New Roman" w:hAnsi="Times New Roman" w:cs="Times New Roman"/>
          <w:szCs w:val="24"/>
        </w:rPr>
        <w:t>do dnia poprzedzającego dzień ich przekazania</w:t>
      </w:r>
      <w:r w:rsidR="00BE04E3" w:rsidRPr="00F27DDF">
        <w:rPr>
          <w:rFonts w:ascii="Times New Roman" w:hAnsi="Times New Roman" w:cs="Times New Roman"/>
          <w:szCs w:val="24"/>
        </w:rPr>
        <w:t>, chyba że dane te zostały wcześniej przekazane.</w:t>
      </w:r>
      <w:r w:rsidRPr="00F27DDF">
        <w:rPr>
          <w:rFonts w:ascii="Times New Roman" w:hAnsi="Times New Roman" w:cs="Times New Roman"/>
          <w:szCs w:val="24"/>
        </w:rPr>
        <w:t xml:space="preserve"> </w:t>
      </w:r>
    </w:p>
    <w:p w:rsidR="00BB6E0C" w:rsidRPr="00F27DDF" w:rsidRDefault="001D2FEE" w:rsidP="00F27DDF">
      <w:pPr>
        <w:spacing w:before="120" w:after="0" w:line="360" w:lineRule="auto"/>
        <w:jc w:val="both"/>
        <w:rPr>
          <w:rFonts w:ascii="Times New Roman" w:hAnsi="Times New Roman" w:cs="Times New Roman"/>
          <w:spacing w:val="-2"/>
          <w:sz w:val="24"/>
          <w:szCs w:val="24"/>
        </w:rPr>
      </w:pPr>
      <w:r w:rsidRPr="00F27DDF">
        <w:rPr>
          <w:rFonts w:ascii="Times New Roman" w:hAnsi="Times New Roman" w:cs="Times New Roman"/>
          <w:b/>
          <w:spacing w:val="-2"/>
          <w:sz w:val="24"/>
          <w:szCs w:val="24"/>
        </w:rPr>
        <w:t>Art. 1</w:t>
      </w:r>
      <w:r w:rsidR="00BC40F7" w:rsidRPr="00F27DDF">
        <w:rPr>
          <w:rFonts w:ascii="Times New Roman" w:hAnsi="Times New Roman" w:cs="Times New Roman"/>
          <w:b/>
          <w:spacing w:val="-2"/>
          <w:sz w:val="24"/>
          <w:szCs w:val="24"/>
        </w:rPr>
        <w:t>2</w:t>
      </w:r>
      <w:r w:rsidRPr="00F27DDF">
        <w:rPr>
          <w:rFonts w:ascii="Times New Roman" w:hAnsi="Times New Roman" w:cs="Times New Roman"/>
          <w:b/>
          <w:spacing w:val="-2"/>
          <w:sz w:val="24"/>
          <w:szCs w:val="24"/>
        </w:rPr>
        <w:t xml:space="preserve">. </w:t>
      </w:r>
      <w:r w:rsidRPr="00F27DDF">
        <w:rPr>
          <w:rFonts w:ascii="Times New Roman" w:hAnsi="Times New Roman" w:cs="Times New Roman"/>
          <w:spacing w:val="-2"/>
          <w:sz w:val="24"/>
          <w:szCs w:val="24"/>
        </w:rPr>
        <w:t>Przepis</w:t>
      </w:r>
      <w:r w:rsidR="00325D7B">
        <w:rPr>
          <w:rFonts w:ascii="Times New Roman" w:hAnsi="Times New Roman" w:cs="Times New Roman"/>
          <w:spacing w:val="-2"/>
          <w:sz w:val="24"/>
          <w:szCs w:val="24"/>
        </w:rPr>
        <w:t>y art. 12</w:t>
      </w:r>
      <w:r w:rsidRPr="00F27DDF">
        <w:rPr>
          <w:rFonts w:ascii="Times New Roman" w:hAnsi="Times New Roman" w:cs="Times New Roman"/>
          <w:spacing w:val="-2"/>
          <w:sz w:val="24"/>
          <w:szCs w:val="24"/>
        </w:rPr>
        <w:t xml:space="preserve"> określa</w:t>
      </w:r>
      <w:r w:rsidR="00325D7B">
        <w:rPr>
          <w:rFonts w:ascii="Times New Roman" w:hAnsi="Times New Roman" w:cs="Times New Roman"/>
          <w:spacing w:val="-2"/>
          <w:sz w:val="24"/>
          <w:szCs w:val="24"/>
        </w:rPr>
        <w:t>ją</w:t>
      </w:r>
      <w:r w:rsidRPr="00F27DDF">
        <w:rPr>
          <w:rFonts w:ascii="Times New Roman" w:hAnsi="Times New Roman" w:cs="Times New Roman"/>
          <w:spacing w:val="-2"/>
          <w:sz w:val="24"/>
          <w:szCs w:val="24"/>
        </w:rPr>
        <w:t xml:space="preserve"> terminy inicjalnego przekazania informacji (us</w:t>
      </w:r>
      <w:r w:rsidR="006B0B03">
        <w:rPr>
          <w:rFonts w:ascii="Times New Roman" w:hAnsi="Times New Roman" w:cs="Times New Roman"/>
          <w:spacing w:val="-2"/>
          <w:sz w:val="24"/>
          <w:szCs w:val="24"/>
        </w:rPr>
        <w:t>t. 1) i </w:t>
      </w:r>
      <w:r w:rsidRPr="00F27DDF">
        <w:rPr>
          <w:rFonts w:ascii="Times New Roman" w:hAnsi="Times New Roman" w:cs="Times New Roman"/>
          <w:spacing w:val="-2"/>
          <w:sz w:val="24"/>
          <w:szCs w:val="24"/>
        </w:rPr>
        <w:t xml:space="preserve">zestawień (ust. 2) dotyczących rachunków lokaty terminowej. </w:t>
      </w:r>
      <w:r w:rsidR="00134315" w:rsidRPr="00F27DDF">
        <w:rPr>
          <w:rFonts w:ascii="Times New Roman" w:hAnsi="Times New Roman" w:cs="Times New Roman"/>
          <w:spacing w:val="-2"/>
          <w:sz w:val="24"/>
          <w:szCs w:val="24"/>
        </w:rPr>
        <w:t>T</w:t>
      </w:r>
      <w:r w:rsidRPr="00F27DDF">
        <w:rPr>
          <w:rFonts w:ascii="Times New Roman" w:hAnsi="Times New Roman" w:cs="Times New Roman"/>
          <w:spacing w:val="-2"/>
          <w:sz w:val="24"/>
          <w:szCs w:val="24"/>
        </w:rPr>
        <w:t xml:space="preserve">erminy </w:t>
      </w:r>
      <w:r w:rsidR="00113120" w:rsidRPr="00F27DDF">
        <w:rPr>
          <w:rFonts w:ascii="Times New Roman" w:hAnsi="Times New Roman" w:cs="Times New Roman"/>
          <w:spacing w:val="-2"/>
          <w:sz w:val="24"/>
          <w:szCs w:val="24"/>
        </w:rPr>
        <w:t>przekazania informacji</w:t>
      </w:r>
      <w:r w:rsidR="00F27DDF">
        <w:rPr>
          <w:rFonts w:ascii="Times New Roman" w:hAnsi="Times New Roman" w:cs="Times New Roman"/>
          <w:spacing w:val="-2"/>
          <w:sz w:val="24"/>
          <w:szCs w:val="24"/>
        </w:rPr>
        <w:t xml:space="preserve"> </w:t>
      </w:r>
      <w:r w:rsidR="00113120" w:rsidRPr="00F27DDF">
        <w:rPr>
          <w:rFonts w:ascii="Times New Roman" w:hAnsi="Times New Roman" w:cs="Times New Roman"/>
          <w:spacing w:val="-2"/>
          <w:sz w:val="24"/>
          <w:szCs w:val="24"/>
        </w:rPr>
        <w:t>i</w:t>
      </w:r>
      <w:r w:rsidR="00C847B8">
        <w:rPr>
          <w:rFonts w:ascii="Times New Roman" w:hAnsi="Times New Roman" w:cs="Times New Roman"/>
          <w:spacing w:val="-2"/>
          <w:sz w:val="24"/>
          <w:szCs w:val="24"/>
        </w:rPr>
        <w:t> </w:t>
      </w:r>
      <w:r w:rsidR="00113120" w:rsidRPr="00F27DDF">
        <w:rPr>
          <w:rFonts w:ascii="Times New Roman" w:hAnsi="Times New Roman" w:cs="Times New Roman"/>
          <w:spacing w:val="-2"/>
          <w:sz w:val="24"/>
          <w:szCs w:val="24"/>
        </w:rPr>
        <w:t xml:space="preserve">zestawień przypadają w </w:t>
      </w:r>
      <w:r w:rsidR="008D4D8A" w:rsidRPr="00F27DDF">
        <w:rPr>
          <w:rFonts w:ascii="Times New Roman" w:hAnsi="Times New Roman" w:cs="Times New Roman"/>
          <w:spacing w:val="-2"/>
          <w:sz w:val="24"/>
          <w:szCs w:val="24"/>
        </w:rPr>
        <w:t xml:space="preserve">drugiej połowie </w:t>
      </w:r>
      <w:r w:rsidR="00113120" w:rsidRPr="00F27DDF">
        <w:rPr>
          <w:rFonts w:ascii="Times New Roman" w:hAnsi="Times New Roman" w:cs="Times New Roman"/>
          <w:spacing w:val="-2"/>
          <w:sz w:val="24"/>
          <w:szCs w:val="24"/>
        </w:rPr>
        <w:t>2019 r.</w:t>
      </w:r>
      <w:r w:rsidR="00134315" w:rsidRPr="00F27DDF">
        <w:rPr>
          <w:rFonts w:ascii="Times New Roman" w:hAnsi="Times New Roman" w:cs="Times New Roman"/>
          <w:spacing w:val="-2"/>
          <w:sz w:val="24"/>
          <w:szCs w:val="24"/>
        </w:rPr>
        <w:t xml:space="preserve"> (z wyjątkiem banków spółdzielczych i</w:t>
      </w:r>
      <w:r w:rsidR="00C847B8">
        <w:rPr>
          <w:rFonts w:ascii="Times New Roman" w:hAnsi="Times New Roman" w:cs="Times New Roman"/>
          <w:spacing w:val="-2"/>
          <w:sz w:val="24"/>
          <w:szCs w:val="24"/>
        </w:rPr>
        <w:t> </w:t>
      </w:r>
      <w:r w:rsidR="00134315" w:rsidRPr="00F27DDF">
        <w:rPr>
          <w:rFonts w:ascii="Times New Roman" w:hAnsi="Times New Roman" w:cs="Times New Roman"/>
          <w:spacing w:val="-2"/>
          <w:sz w:val="24"/>
          <w:szCs w:val="24"/>
        </w:rPr>
        <w:t>SKOK-ów</w:t>
      </w:r>
      <w:r w:rsidR="00113120" w:rsidRPr="00F27DDF">
        <w:rPr>
          <w:rFonts w:ascii="Times New Roman" w:hAnsi="Times New Roman" w:cs="Times New Roman"/>
          <w:spacing w:val="-2"/>
          <w:sz w:val="24"/>
          <w:szCs w:val="24"/>
        </w:rPr>
        <w:t xml:space="preserve">, </w:t>
      </w:r>
      <w:r w:rsidR="00134315" w:rsidRPr="00F27DDF">
        <w:rPr>
          <w:rFonts w:ascii="Times New Roman" w:hAnsi="Times New Roman" w:cs="Times New Roman"/>
          <w:spacing w:val="-2"/>
          <w:sz w:val="24"/>
          <w:szCs w:val="24"/>
        </w:rPr>
        <w:t xml:space="preserve">dla których termin ten przypada 1 stycznia 2020 r.), </w:t>
      </w:r>
      <w:r w:rsidR="00113120" w:rsidRPr="00F27DDF">
        <w:rPr>
          <w:rFonts w:ascii="Times New Roman" w:hAnsi="Times New Roman" w:cs="Times New Roman"/>
          <w:spacing w:val="-2"/>
          <w:sz w:val="24"/>
          <w:szCs w:val="24"/>
        </w:rPr>
        <w:t>co umożliwi wdrożenie odpowiednich ro</w:t>
      </w:r>
      <w:r w:rsidR="00BB6E0C" w:rsidRPr="00F27DDF">
        <w:rPr>
          <w:rFonts w:ascii="Times New Roman" w:hAnsi="Times New Roman" w:cs="Times New Roman"/>
          <w:spacing w:val="-2"/>
          <w:sz w:val="24"/>
          <w:szCs w:val="24"/>
        </w:rPr>
        <w:t>związ</w:t>
      </w:r>
      <w:r w:rsidR="00113120" w:rsidRPr="00F27DDF">
        <w:rPr>
          <w:rFonts w:ascii="Times New Roman" w:hAnsi="Times New Roman" w:cs="Times New Roman"/>
          <w:spacing w:val="-2"/>
          <w:sz w:val="24"/>
          <w:szCs w:val="24"/>
        </w:rPr>
        <w:t>ań informatycznych i organizacyjnych</w:t>
      </w:r>
      <w:r w:rsidR="00BB6E0C" w:rsidRPr="00F27DDF">
        <w:rPr>
          <w:rFonts w:ascii="Times New Roman" w:hAnsi="Times New Roman" w:cs="Times New Roman"/>
          <w:spacing w:val="-2"/>
          <w:sz w:val="24"/>
          <w:szCs w:val="24"/>
        </w:rPr>
        <w:t xml:space="preserve"> we wszystkich bankach i</w:t>
      </w:r>
      <w:r w:rsidR="00C847B8">
        <w:rPr>
          <w:rFonts w:ascii="Times New Roman" w:hAnsi="Times New Roman" w:cs="Times New Roman"/>
          <w:spacing w:val="-2"/>
          <w:sz w:val="24"/>
          <w:szCs w:val="24"/>
        </w:rPr>
        <w:t> </w:t>
      </w:r>
      <w:r w:rsidR="00BB6E0C" w:rsidRPr="00F27DDF">
        <w:rPr>
          <w:rFonts w:ascii="Times New Roman" w:hAnsi="Times New Roman" w:cs="Times New Roman"/>
          <w:spacing w:val="-2"/>
          <w:sz w:val="24"/>
          <w:szCs w:val="24"/>
        </w:rPr>
        <w:t>SKOK-ach</w:t>
      </w:r>
      <w:r w:rsidR="00113120" w:rsidRPr="00F27DDF">
        <w:rPr>
          <w:rFonts w:ascii="Times New Roman" w:hAnsi="Times New Roman" w:cs="Times New Roman"/>
          <w:spacing w:val="-2"/>
          <w:sz w:val="24"/>
          <w:szCs w:val="24"/>
        </w:rPr>
        <w:t xml:space="preserve">. </w:t>
      </w:r>
      <w:r w:rsidR="00BB6E0C" w:rsidRPr="00F27DDF">
        <w:rPr>
          <w:rFonts w:ascii="Times New Roman" w:hAnsi="Times New Roman" w:cs="Times New Roman"/>
          <w:spacing w:val="-2"/>
          <w:sz w:val="24"/>
          <w:szCs w:val="24"/>
        </w:rPr>
        <w:t xml:space="preserve">Inicjalne przekazanie informacji i zestawień dotyczących rachunków lokaty terminowej podmiotu kwalifikowanego obejmuje rachunki otwarte przed dniem 1 </w:t>
      </w:r>
      <w:r w:rsidR="008D4D8A" w:rsidRPr="00F27DDF">
        <w:rPr>
          <w:rFonts w:ascii="Times New Roman" w:hAnsi="Times New Roman" w:cs="Times New Roman"/>
          <w:spacing w:val="-2"/>
          <w:sz w:val="24"/>
          <w:szCs w:val="24"/>
        </w:rPr>
        <w:t>lipca</w:t>
      </w:r>
      <w:r w:rsidR="00BB6E0C" w:rsidRPr="00F27DDF">
        <w:rPr>
          <w:rFonts w:ascii="Times New Roman" w:hAnsi="Times New Roman" w:cs="Times New Roman"/>
          <w:spacing w:val="-2"/>
          <w:sz w:val="24"/>
          <w:szCs w:val="24"/>
        </w:rPr>
        <w:t xml:space="preserve"> 2019 r. i prowadzone na dzień </w:t>
      </w:r>
      <w:r w:rsidR="00BC40F7" w:rsidRPr="00F27DDF">
        <w:rPr>
          <w:rFonts w:ascii="Times New Roman" w:hAnsi="Times New Roman" w:cs="Times New Roman"/>
          <w:spacing w:val="-2"/>
          <w:sz w:val="24"/>
          <w:szCs w:val="24"/>
        </w:rPr>
        <w:t xml:space="preserve">poprzedzający dzień </w:t>
      </w:r>
      <w:r w:rsidR="00BB6E0C" w:rsidRPr="00F27DDF">
        <w:rPr>
          <w:rFonts w:ascii="Times New Roman" w:hAnsi="Times New Roman" w:cs="Times New Roman"/>
          <w:spacing w:val="-2"/>
          <w:sz w:val="24"/>
          <w:szCs w:val="24"/>
        </w:rPr>
        <w:t xml:space="preserve">przekazania danych. Nie będą przekazywane informacje i zestawienia dotyczące rachunków lokaty terminowej zamkniętych przed dniem przekazania danych (ust. 3). </w:t>
      </w:r>
      <w:r w:rsidR="006B0B03">
        <w:rPr>
          <w:rFonts w:ascii="Times New Roman" w:hAnsi="Times New Roman" w:cs="Times New Roman"/>
          <w:spacing w:val="-2"/>
          <w:sz w:val="24"/>
          <w:szCs w:val="24"/>
        </w:rPr>
        <w:t>Z </w:t>
      </w:r>
      <w:r w:rsidR="00CF2AF7" w:rsidRPr="00F27DDF">
        <w:rPr>
          <w:rFonts w:ascii="Times New Roman" w:hAnsi="Times New Roman" w:cs="Times New Roman"/>
          <w:spacing w:val="-2"/>
          <w:sz w:val="24"/>
          <w:szCs w:val="24"/>
        </w:rPr>
        <w:t>uwagi na brak przepisu analogicznego jak art. 11 ust. 4</w:t>
      </w:r>
      <w:r w:rsidR="00ED2D61">
        <w:rPr>
          <w:rFonts w:ascii="Times New Roman" w:hAnsi="Times New Roman" w:cs="Times New Roman"/>
          <w:spacing w:val="-2"/>
          <w:sz w:val="24"/>
          <w:szCs w:val="24"/>
        </w:rPr>
        <w:t>,</w:t>
      </w:r>
      <w:r w:rsidR="00CF2AF7" w:rsidRPr="00F27DDF">
        <w:rPr>
          <w:rFonts w:ascii="Times New Roman" w:hAnsi="Times New Roman" w:cs="Times New Roman"/>
          <w:spacing w:val="-2"/>
          <w:sz w:val="24"/>
          <w:szCs w:val="24"/>
        </w:rPr>
        <w:t xml:space="preserve"> w przypadku rachunków lokat terminowych w przypadku lokat terminowych nie przewiduje się przekazywania zestawień transakcji w zakresie danych historycznych (uzyskanych przed dniem poprzedzającym dzień rozpoczęcia realizowania tego obowiązku).</w:t>
      </w:r>
    </w:p>
    <w:p w:rsidR="00DD7B58" w:rsidRPr="00F27DDF" w:rsidRDefault="00DD7B58" w:rsidP="00F27DDF">
      <w:pPr>
        <w:pStyle w:val="USTustnpkodeksu"/>
        <w:spacing w:before="120"/>
        <w:ind w:firstLine="0"/>
        <w:rPr>
          <w:rFonts w:ascii="Times New Roman" w:hAnsi="Times New Roman" w:cs="Times New Roman"/>
          <w:szCs w:val="24"/>
        </w:rPr>
      </w:pPr>
      <w:r w:rsidRPr="00F27DDF">
        <w:rPr>
          <w:rFonts w:ascii="Times New Roman" w:hAnsi="Times New Roman" w:cs="Times New Roman"/>
          <w:b/>
          <w:szCs w:val="24"/>
        </w:rPr>
        <w:t>Art. 13.</w:t>
      </w:r>
      <w:r w:rsidRPr="00F27DDF">
        <w:rPr>
          <w:rFonts w:ascii="Times New Roman" w:hAnsi="Times New Roman" w:cs="Times New Roman"/>
          <w:szCs w:val="24"/>
        </w:rPr>
        <w:t xml:space="preserve"> Dane, o których mowa w proj</w:t>
      </w:r>
      <w:r w:rsidR="00F27DDF">
        <w:rPr>
          <w:rFonts w:ascii="Times New Roman" w:hAnsi="Times New Roman" w:cs="Times New Roman"/>
          <w:szCs w:val="24"/>
        </w:rPr>
        <w:t>ektowanych art. 119zr § 2 pkt 3–</w:t>
      </w:r>
      <w:r w:rsidRPr="00F27DDF">
        <w:rPr>
          <w:rFonts w:ascii="Times New Roman" w:hAnsi="Times New Roman" w:cs="Times New Roman"/>
          <w:szCs w:val="24"/>
        </w:rPr>
        <w:t xml:space="preserve">6 </w:t>
      </w:r>
      <w:r w:rsidR="00ED2D61">
        <w:rPr>
          <w:rFonts w:ascii="Times New Roman" w:hAnsi="Times New Roman" w:cs="Times New Roman"/>
          <w:szCs w:val="24"/>
        </w:rPr>
        <w:t>oraz</w:t>
      </w:r>
      <w:r w:rsidRPr="00F27DDF">
        <w:rPr>
          <w:rFonts w:ascii="Times New Roman" w:hAnsi="Times New Roman" w:cs="Times New Roman"/>
          <w:szCs w:val="24"/>
        </w:rPr>
        <w:t xml:space="preserve"> § 3 pkt 5a i</w:t>
      </w:r>
      <w:r w:rsidR="00C847B8">
        <w:rPr>
          <w:rFonts w:ascii="Times New Roman" w:hAnsi="Times New Roman" w:cs="Times New Roman"/>
          <w:szCs w:val="24"/>
        </w:rPr>
        <w:t> </w:t>
      </w:r>
      <w:r w:rsidRPr="00F27DDF">
        <w:rPr>
          <w:rFonts w:ascii="Times New Roman" w:hAnsi="Times New Roman" w:cs="Times New Roman"/>
          <w:szCs w:val="24"/>
        </w:rPr>
        <w:t xml:space="preserve">6a Ordynacji podatkowej będą przesyłane </w:t>
      </w:r>
      <w:r w:rsidR="00695353" w:rsidRPr="00F27DDF">
        <w:rPr>
          <w:rFonts w:ascii="Times New Roman" w:hAnsi="Times New Roman" w:cs="Times New Roman"/>
          <w:szCs w:val="24"/>
        </w:rPr>
        <w:t xml:space="preserve">przez banki spółdzielcze oraz spółdzielcze kasy oszczędnościowo-kredytowe </w:t>
      </w:r>
      <w:r w:rsidRPr="00F27DDF">
        <w:rPr>
          <w:rFonts w:ascii="Times New Roman" w:hAnsi="Times New Roman" w:cs="Times New Roman"/>
          <w:szCs w:val="24"/>
        </w:rPr>
        <w:t>w informacjach i zestawieniach od dnia 1 stycznia 2020 r. (ust. 1).</w:t>
      </w:r>
    </w:p>
    <w:p w:rsidR="00AC1012" w:rsidRPr="00F27DDF" w:rsidRDefault="00AC1012" w:rsidP="00F27DDF">
      <w:pPr>
        <w:pStyle w:val="USTustnpkodeksu"/>
        <w:spacing w:before="120"/>
        <w:ind w:firstLine="0"/>
        <w:rPr>
          <w:rFonts w:ascii="Times New Roman" w:hAnsi="Times New Roman" w:cs="Times New Roman"/>
          <w:szCs w:val="24"/>
        </w:rPr>
      </w:pPr>
      <w:r w:rsidRPr="00F27DDF">
        <w:rPr>
          <w:rFonts w:ascii="Times New Roman" w:hAnsi="Times New Roman" w:cs="Times New Roman"/>
          <w:szCs w:val="24"/>
        </w:rPr>
        <w:t>Przepis ust. 2 przesuwa termin stosowania przez banki spółdzielcze oraz spółdzielcze kasy oszczędnościowo-kredytowe przepisów art. 119zv § 4b-4d Ordynacji podatkowej. Podmioty te będą mieć obowiązek stosowania tych przepisów od dnia 1 stycznia 2020 r.</w:t>
      </w:r>
      <w:r w:rsidR="009625E3" w:rsidRPr="00F27DDF">
        <w:rPr>
          <w:rFonts w:ascii="Times New Roman" w:hAnsi="Times New Roman" w:cs="Times New Roman"/>
          <w:szCs w:val="24"/>
        </w:rPr>
        <w:t xml:space="preserve"> </w:t>
      </w:r>
      <w:r w:rsidR="009625E3" w:rsidRPr="00F27DDF">
        <w:rPr>
          <w:rFonts w:ascii="Times New Roman" w:hAnsi="Times New Roman" w:cs="Times New Roman"/>
          <w:szCs w:val="24"/>
        </w:rPr>
        <w:lastRenderedPageBreak/>
        <w:t>Banki, z wyłączeniem banków spółdzielczych, będą stosować powyższe przepisy od dnia 1 lipca 2019 r.</w:t>
      </w:r>
    </w:p>
    <w:p w:rsidR="005C3F1F" w:rsidRPr="00F27DDF" w:rsidRDefault="00AB11F1" w:rsidP="00F27DDF">
      <w:pPr>
        <w:spacing w:before="120" w:after="0" w:line="360" w:lineRule="auto"/>
        <w:jc w:val="both"/>
        <w:rPr>
          <w:rFonts w:ascii="Times New Roman" w:hAnsi="Times New Roman" w:cs="Times New Roman"/>
          <w:spacing w:val="-2"/>
          <w:sz w:val="24"/>
          <w:szCs w:val="24"/>
        </w:rPr>
      </w:pPr>
      <w:r w:rsidRPr="00F27DDF">
        <w:rPr>
          <w:rFonts w:ascii="Times New Roman" w:hAnsi="Times New Roman" w:cs="Times New Roman"/>
          <w:b/>
          <w:spacing w:val="-2"/>
          <w:sz w:val="24"/>
          <w:szCs w:val="24"/>
        </w:rPr>
        <w:t>Art. 1</w:t>
      </w:r>
      <w:r w:rsidR="00F80F18" w:rsidRPr="00F27DDF">
        <w:rPr>
          <w:rFonts w:ascii="Times New Roman" w:hAnsi="Times New Roman" w:cs="Times New Roman"/>
          <w:b/>
          <w:spacing w:val="-2"/>
          <w:sz w:val="24"/>
          <w:szCs w:val="24"/>
        </w:rPr>
        <w:t>4</w:t>
      </w:r>
      <w:r w:rsidRPr="00F27DDF">
        <w:rPr>
          <w:rFonts w:ascii="Times New Roman" w:hAnsi="Times New Roman" w:cs="Times New Roman"/>
          <w:b/>
          <w:spacing w:val="-2"/>
          <w:sz w:val="24"/>
          <w:szCs w:val="24"/>
        </w:rPr>
        <w:t>.</w:t>
      </w:r>
      <w:r w:rsidRPr="00F27DDF">
        <w:rPr>
          <w:rFonts w:ascii="Times New Roman" w:hAnsi="Times New Roman" w:cs="Times New Roman"/>
          <w:spacing w:val="-2"/>
          <w:sz w:val="24"/>
          <w:szCs w:val="24"/>
        </w:rPr>
        <w:t xml:space="preserve"> Od 1 stycznia 2019 r. poprzez </w:t>
      </w:r>
      <w:r w:rsidRPr="00F27DDF">
        <w:rPr>
          <w:rFonts w:ascii="Times New Roman" w:hAnsi="Times New Roman" w:cs="Times New Roman"/>
          <w:b/>
          <w:spacing w:val="-2"/>
          <w:sz w:val="24"/>
          <w:szCs w:val="24"/>
        </w:rPr>
        <w:t xml:space="preserve">dodanie pkt 5a w art. 119zr § 3 Ordynacji podatkowej </w:t>
      </w:r>
      <w:r w:rsidRPr="00F27DDF">
        <w:rPr>
          <w:rFonts w:ascii="Times New Roman" w:hAnsi="Times New Roman" w:cs="Times New Roman"/>
          <w:spacing w:val="-2"/>
          <w:sz w:val="24"/>
          <w:szCs w:val="24"/>
        </w:rPr>
        <w:t xml:space="preserve">wprowadzony zostanie obowiązek przesyłania przez bank </w:t>
      </w:r>
      <w:r w:rsidR="00CB627D" w:rsidRPr="00F27DDF">
        <w:rPr>
          <w:rFonts w:ascii="Times New Roman" w:hAnsi="Times New Roman" w:cs="Times New Roman"/>
          <w:spacing w:val="-2"/>
          <w:sz w:val="24"/>
          <w:szCs w:val="24"/>
        </w:rPr>
        <w:t>albo</w:t>
      </w:r>
      <w:r w:rsidRPr="00F27DDF">
        <w:rPr>
          <w:rFonts w:ascii="Times New Roman" w:hAnsi="Times New Roman" w:cs="Times New Roman"/>
          <w:spacing w:val="-2"/>
          <w:sz w:val="24"/>
          <w:szCs w:val="24"/>
        </w:rPr>
        <w:t xml:space="preserve"> SKOK w</w:t>
      </w:r>
      <w:r w:rsidR="00C847B8">
        <w:rPr>
          <w:rFonts w:ascii="Times New Roman" w:hAnsi="Times New Roman" w:cs="Times New Roman"/>
          <w:spacing w:val="-2"/>
          <w:sz w:val="24"/>
          <w:szCs w:val="24"/>
        </w:rPr>
        <w:t> </w:t>
      </w:r>
      <w:r w:rsidRPr="00F27DDF">
        <w:rPr>
          <w:rFonts w:ascii="Times New Roman" w:hAnsi="Times New Roman" w:cs="Times New Roman"/>
          <w:spacing w:val="-2"/>
          <w:sz w:val="24"/>
          <w:szCs w:val="24"/>
        </w:rPr>
        <w:t>ramach codziennych informacji, także informacji o danych identyfikacyjnych pełnomocnika do rachunku podmiotu kwalifikowanego, reprezentanta podmiotu kwalifikowanego, a także jego beneficjenta rzeczywistego w rozumieniu ustawy o</w:t>
      </w:r>
      <w:r w:rsidR="00C847B8">
        <w:rPr>
          <w:rFonts w:ascii="Times New Roman" w:hAnsi="Times New Roman" w:cs="Times New Roman"/>
          <w:spacing w:val="-2"/>
          <w:sz w:val="24"/>
          <w:szCs w:val="24"/>
        </w:rPr>
        <w:t> </w:t>
      </w:r>
      <w:r w:rsidRPr="00F27DDF">
        <w:rPr>
          <w:rFonts w:ascii="Times New Roman" w:hAnsi="Times New Roman" w:cs="Times New Roman"/>
          <w:spacing w:val="-2"/>
          <w:sz w:val="24"/>
          <w:szCs w:val="24"/>
        </w:rPr>
        <w:t>przeciwdziałaniu praniu pieniędzy oraz finansowaniu terroryzmu, jeśli osoba ta złożyła dyspozycję przeprowadzenia transakcji dotyczących rachunku podmiotu kwalifikowanego</w:t>
      </w:r>
      <w:r w:rsidR="00CB627D" w:rsidRPr="00F27DDF">
        <w:rPr>
          <w:rFonts w:ascii="Times New Roman" w:hAnsi="Times New Roman" w:cs="Times New Roman"/>
          <w:spacing w:val="-2"/>
          <w:sz w:val="24"/>
          <w:szCs w:val="24"/>
        </w:rPr>
        <w:t>,</w:t>
      </w:r>
      <w:r w:rsidRPr="00F27DDF">
        <w:rPr>
          <w:rFonts w:ascii="Times New Roman" w:hAnsi="Times New Roman" w:cs="Times New Roman"/>
          <w:spacing w:val="-2"/>
          <w:sz w:val="24"/>
          <w:szCs w:val="24"/>
        </w:rPr>
        <w:t xml:space="preserve"> dokonała wpłaty gotówkowej na rachunek podmiotu kwalifikowanego lub </w:t>
      </w:r>
      <w:r w:rsidR="00CB627D" w:rsidRPr="00F27DDF">
        <w:rPr>
          <w:rFonts w:ascii="Times New Roman" w:hAnsi="Times New Roman" w:cs="Times New Roman"/>
          <w:spacing w:val="-2"/>
          <w:sz w:val="24"/>
          <w:szCs w:val="24"/>
        </w:rPr>
        <w:t xml:space="preserve">dokonała </w:t>
      </w:r>
      <w:r w:rsidRPr="00F27DDF">
        <w:rPr>
          <w:rFonts w:ascii="Times New Roman" w:hAnsi="Times New Roman" w:cs="Times New Roman"/>
          <w:spacing w:val="-2"/>
          <w:sz w:val="24"/>
          <w:szCs w:val="24"/>
        </w:rPr>
        <w:t xml:space="preserve">wypłaty gotówkowej z tego rachunku, w imieniu jego posiadacza, w tym przy użyciu karty płatniczej w rozumieniu </w:t>
      </w:r>
      <w:r w:rsidR="00D70068" w:rsidRPr="00F27DDF">
        <w:rPr>
          <w:rFonts w:ascii="Times New Roman" w:hAnsi="Times New Roman" w:cs="Times New Roman"/>
          <w:spacing w:val="-2"/>
          <w:sz w:val="24"/>
          <w:szCs w:val="24"/>
        </w:rPr>
        <w:t xml:space="preserve">art. 2 pkt 15a </w:t>
      </w:r>
      <w:r w:rsidRPr="00F27DDF">
        <w:rPr>
          <w:rFonts w:ascii="Times New Roman" w:hAnsi="Times New Roman" w:cs="Times New Roman"/>
          <w:spacing w:val="-2"/>
          <w:sz w:val="24"/>
          <w:szCs w:val="24"/>
        </w:rPr>
        <w:t>ustawy z dnia 19 sierpnia 2011 r. o usługach płatniczych wydanej do rachunku podmiotu kwalifikowanego. Przepis art. 1</w:t>
      </w:r>
      <w:r w:rsidR="00CC02A5" w:rsidRPr="00F27DDF">
        <w:rPr>
          <w:rFonts w:ascii="Times New Roman" w:hAnsi="Times New Roman" w:cs="Times New Roman"/>
          <w:spacing w:val="-2"/>
          <w:sz w:val="24"/>
          <w:szCs w:val="24"/>
        </w:rPr>
        <w:t>4</w:t>
      </w:r>
      <w:r w:rsidRPr="00F27DDF">
        <w:rPr>
          <w:rFonts w:ascii="Times New Roman" w:hAnsi="Times New Roman" w:cs="Times New Roman"/>
          <w:spacing w:val="-2"/>
          <w:sz w:val="24"/>
          <w:szCs w:val="24"/>
        </w:rPr>
        <w:t xml:space="preserve"> projektu umożliwia uzyskanie tych informacji przez </w:t>
      </w:r>
      <w:r w:rsidR="006B0B03">
        <w:rPr>
          <w:rFonts w:ascii="Times New Roman" w:hAnsi="Times New Roman" w:cs="Times New Roman"/>
          <w:spacing w:val="-2"/>
          <w:sz w:val="24"/>
          <w:szCs w:val="24"/>
        </w:rPr>
        <w:t>Szefa KAS już w okresie przed 1 </w:t>
      </w:r>
      <w:r w:rsidRPr="00F27DDF">
        <w:rPr>
          <w:rFonts w:ascii="Times New Roman" w:hAnsi="Times New Roman" w:cs="Times New Roman"/>
          <w:spacing w:val="-2"/>
          <w:sz w:val="24"/>
          <w:szCs w:val="24"/>
        </w:rPr>
        <w:t>stycznia 2019 r. w trybie wnioskowym, w którym będą mieć odpowiednie zastosowanie przepisy art. 119zs Ordynacji podatkowej.</w:t>
      </w:r>
      <w:r w:rsidR="00F27DDF">
        <w:rPr>
          <w:rFonts w:ascii="Times New Roman" w:hAnsi="Times New Roman" w:cs="Times New Roman"/>
          <w:spacing w:val="-2"/>
          <w:sz w:val="24"/>
          <w:szCs w:val="24"/>
        </w:rPr>
        <w:t xml:space="preserve"> </w:t>
      </w:r>
    </w:p>
    <w:p w:rsidR="005C3F1F" w:rsidRPr="00F27DDF" w:rsidRDefault="00AB11F1" w:rsidP="00F27DDF">
      <w:pPr>
        <w:spacing w:before="120" w:after="0" w:line="360" w:lineRule="auto"/>
        <w:jc w:val="both"/>
        <w:rPr>
          <w:rFonts w:ascii="Times New Roman" w:hAnsi="Times New Roman" w:cs="Times New Roman"/>
          <w:spacing w:val="-2"/>
          <w:sz w:val="24"/>
          <w:szCs w:val="24"/>
        </w:rPr>
      </w:pPr>
      <w:r w:rsidRPr="00F27DDF">
        <w:rPr>
          <w:rFonts w:ascii="Times New Roman" w:hAnsi="Times New Roman" w:cs="Times New Roman"/>
          <w:b/>
          <w:spacing w:val="-2"/>
          <w:sz w:val="24"/>
          <w:szCs w:val="24"/>
        </w:rPr>
        <w:t>Art. 1</w:t>
      </w:r>
      <w:r w:rsidR="00F80F18" w:rsidRPr="00F27DDF">
        <w:rPr>
          <w:rFonts w:ascii="Times New Roman" w:hAnsi="Times New Roman" w:cs="Times New Roman"/>
          <w:b/>
          <w:spacing w:val="-2"/>
          <w:sz w:val="24"/>
          <w:szCs w:val="24"/>
        </w:rPr>
        <w:t>5</w:t>
      </w:r>
      <w:r w:rsidRPr="00F27DDF">
        <w:rPr>
          <w:rFonts w:ascii="Times New Roman" w:hAnsi="Times New Roman" w:cs="Times New Roman"/>
          <w:b/>
          <w:spacing w:val="-2"/>
          <w:sz w:val="24"/>
          <w:szCs w:val="24"/>
        </w:rPr>
        <w:t xml:space="preserve">. </w:t>
      </w:r>
      <w:r w:rsidRPr="00F27DDF">
        <w:rPr>
          <w:rFonts w:ascii="Times New Roman" w:hAnsi="Times New Roman" w:cs="Times New Roman"/>
          <w:spacing w:val="-2"/>
          <w:sz w:val="24"/>
          <w:szCs w:val="24"/>
        </w:rPr>
        <w:t>Niniejsza nowelizacja znosi zaskarżenie w sprawach blokady na okres</w:t>
      </w:r>
      <w:r w:rsidR="00CC02A5" w:rsidRPr="00F27DDF">
        <w:rPr>
          <w:rFonts w:ascii="Times New Roman" w:hAnsi="Times New Roman" w:cs="Times New Roman"/>
          <w:spacing w:val="-2"/>
          <w:sz w:val="24"/>
          <w:szCs w:val="24"/>
        </w:rPr>
        <w:t xml:space="preserve"> do 72</w:t>
      </w:r>
      <w:r w:rsidR="00C847B8">
        <w:rPr>
          <w:rFonts w:ascii="Times New Roman" w:hAnsi="Times New Roman" w:cs="Times New Roman"/>
          <w:spacing w:val="-2"/>
          <w:sz w:val="24"/>
          <w:szCs w:val="24"/>
        </w:rPr>
        <w:t> </w:t>
      </w:r>
      <w:r w:rsidR="00CC02A5" w:rsidRPr="00F27DDF">
        <w:rPr>
          <w:rFonts w:ascii="Times New Roman" w:hAnsi="Times New Roman" w:cs="Times New Roman"/>
          <w:spacing w:val="-2"/>
          <w:sz w:val="24"/>
          <w:szCs w:val="24"/>
        </w:rPr>
        <w:t>godzin</w:t>
      </w:r>
      <w:r w:rsidRPr="00F27DDF">
        <w:rPr>
          <w:rFonts w:ascii="Times New Roman" w:hAnsi="Times New Roman" w:cs="Times New Roman"/>
          <w:spacing w:val="-2"/>
          <w:sz w:val="24"/>
          <w:szCs w:val="24"/>
        </w:rPr>
        <w:t xml:space="preserve">. </w:t>
      </w:r>
      <w:r w:rsidR="00CC02A5" w:rsidRPr="00F27DDF">
        <w:rPr>
          <w:rFonts w:ascii="Times New Roman" w:hAnsi="Times New Roman" w:cs="Times New Roman"/>
          <w:spacing w:val="-2"/>
          <w:sz w:val="24"/>
          <w:szCs w:val="24"/>
        </w:rPr>
        <w:t>Proponowany p</w:t>
      </w:r>
      <w:r w:rsidRPr="00F27DDF">
        <w:rPr>
          <w:rFonts w:ascii="Times New Roman" w:hAnsi="Times New Roman" w:cs="Times New Roman"/>
          <w:spacing w:val="-2"/>
          <w:sz w:val="24"/>
          <w:szCs w:val="24"/>
        </w:rPr>
        <w:t xml:space="preserve">rzepis ma na celu zachowanie przez podmiot kwalifikowany prawa do zaskarżenia blokady rachunku tego podmiotu dokonanej na okres nie dłuższy </w:t>
      </w:r>
      <w:r w:rsidR="00B332CF" w:rsidRPr="00F27DDF">
        <w:rPr>
          <w:rFonts w:ascii="Times New Roman" w:hAnsi="Times New Roman" w:cs="Times New Roman"/>
          <w:spacing w:val="-2"/>
          <w:sz w:val="24"/>
          <w:szCs w:val="24"/>
        </w:rPr>
        <w:t xml:space="preserve">niż </w:t>
      </w:r>
      <w:r w:rsidRPr="00F27DDF">
        <w:rPr>
          <w:rFonts w:ascii="Times New Roman" w:hAnsi="Times New Roman" w:cs="Times New Roman"/>
          <w:spacing w:val="-2"/>
          <w:sz w:val="24"/>
          <w:szCs w:val="24"/>
        </w:rPr>
        <w:t>72 godziny w sprawach wszczętych i niezakończonych przed dniem wejścia w życie niniejszej noweli. W</w:t>
      </w:r>
      <w:r w:rsidR="00F27DDF">
        <w:rPr>
          <w:rFonts w:ascii="Times New Roman" w:hAnsi="Times New Roman" w:cs="Times New Roman"/>
          <w:spacing w:val="-2"/>
          <w:sz w:val="24"/>
          <w:szCs w:val="24"/>
        </w:rPr>
        <w:t xml:space="preserve"> </w:t>
      </w:r>
      <w:r w:rsidRPr="00F27DDF">
        <w:rPr>
          <w:rFonts w:ascii="Times New Roman" w:hAnsi="Times New Roman" w:cs="Times New Roman"/>
          <w:spacing w:val="-2"/>
          <w:sz w:val="24"/>
          <w:szCs w:val="24"/>
        </w:rPr>
        <w:t>przypadku wszczęcia postępowania w sprawie blokady regulacja przewiduje stosowanie przepisów dotychczasowych, a więc możliwość wniesienia wniosku o ponowne rozpatrzenie sprawy. Przez wszczęcie postępowani</w:t>
      </w:r>
      <w:r w:rsidR="00CC02A5" w:rsidRPr="00F27DDF">
        <w:rPr>
          <w:rFonts w:ascii="Times New Roman" w:hAnsi="Times New Roman" w:cs="Times New Roman"/>
          <w:spacing w:val="-2"/>
          <w:sz w:val="24"/>
          <w:szCs w:val="24"/>
        </w:rPr>
        <w:t>a</w:t>
      </w:r>
      <w:r w:rsidRPr="00F27DDF">
        <w:rPr>
          <w:rFonts w:ascii="Times New Roman" w:hAnsi="Times New Roman" w:cs="Times New Roman"/>
          <w:spacing w:val="-2"/>
          <w:sz w:val="24"/>
          <w:szCs w:val="24"/>
        </w:rPr>
        <w:t xml:space="preserve"> w sprawie blokady należy rozumieć złożenie przez Szefa KAS żądania blokady.</w:t>
      </w:r>
    </w:p>
    <w:p w:rsidR="0050678C" w:rsidRPr="00F27DDF" w:rsidRDefault="00AB11F1" w:rsidP="00F27DDF">
      <w:pPr>
        <w:spacing w:before="120" w:after="0" w:line="360" w:lineRule="auto"/>
        <w:jc w:val="both"/>
        <w:rPr>
          <w:rFonts w:ascii="Times New Roman" w:hAnsi="Times New Roman" w:cs="Times New Roman"/>
          <w:spacing w:val="-2"/>
          <w:sz w:val="24"/>
          <w:szCs w:val="24"/>
        </w:rPr>
      </w:pPr>
      <w:r w:rsidRPr="00F27DDF">
        <w:rPr>
          <w:rFonts w:ascii="Times New Roman" w:hAnsi="Times New Roman" w:cs="Times New Roman"/>
          <w:b/>
          <w:spacing w:val="-2"/>
          <w:sz w:val="24"/>
          <w:szCs w:val="24"/>
        </w:rPr>
        <w:t>Art. 1</w:t>
      </w:r>
      <w:r w:rsidR="00F80F18" w:rsidRPr="00F27DDF">
        <w:rPr>
          <w:rFonts w:ascii="Times New Roman" w:hAnsi="Times New Roman" w:cs="Times New Roman"/>
          <w:b/>
          <w:spacing w:val="-2"/>
          <w:sz w:val="24"/>
          <w:szCs w:val="24"/>
        </w:rPr>
        <w:t>6</w:t>
      </w:r>
      <w:r w:rsidRPr="00F27DDF">
        <w:rPr>
          <w:rFonts w:ascii="Times New Roman" w:hAnsi="Times New Roman" w:cs="Times New Roman"/>
          <w:b/>
          <w:spacing w:val="-2"/>
          <w:sz w:val="24"/>
          <w:szCs w:val="24"/>
        </w:rPr>
        <w:t xml:space="preserve">. </w:t>
      </w:r>
      <w:r w:rsidRPr="00F27DDF">
        <w:rPr>
          <w:rFonts w:ascii="Times New Roman" w:hAnsi="Times New Roman" w:cs="Times New Roman"/>
          <w:spacing w:val="-2"/>
          <w:sz w:val="24"/>
          <w:szCs w:val="24"/>
        </w:rPr>
        <w:t>Rozszerzenie definicji rachunku podmiotu kwalifikowanego o rachunek VAT oznaczałoby wzrost opłaty za ustalanie wskaźnika ryzyka dla banków i SKOK-ów w roku 2018, ponieważ opłata jest ustalana ryczałtowo w odniesieniu do liczby rachunków podmiotu kwalifikowanego prowadzonych przez ten bank lub SKOK. Przepis art. 1</w:t>
      </w:r>
      <w:r w:rsidR="00F80F18" w:rsidRPr="00F27DDF">
        <w:rPr>
          <w:rFonts w:ascii="Times New Roman" w:hAnsi="Times New Roman" w:cs="Times New Roman"/>
          <w:spacing w:val="-2"/>
          <w:sz w:val="24"/>
          <w:szCs w:val="24"/>
        </w:rPr>
        <w:t>6</w:t>
      </w:r>
      <w:r w:rsidRPr="00F27DDF">
        <w:rPr>
          <w:rFonts w:ascii="Times New Roman" w:hAnsi="Times New Roman" w:cs="Times New Roman"/>
          <w:spacing w:val="-2"/>
          <w:sz w:val="24"/>
          <w:szCs w:val="24"/>
        </w:rPr>
        <w:t xml:space="preserve"> ma na celu pozostawienie opłaty w 2018 r. na niezmienionym poziomie. W kolejnych latach rachunki VAT będą mogły być uwzględniane przy ustalaniu opłaty z uwagi na przeliczenie jej wysokości w zmienionym rozporządzeniu. </w:t>
      </w:r>
    </w:p>
    <w:p w:rsidR="005C3F1F" w:rsidRPr="00F27DDF" w:rsidRDefault="0050678C" w:rsidP="00F27DDF">
      <w:pPr>
        <w:spacing w:before="120" w:after="0" w:line="360" w:lineRule="auto"/>
        <w:jc w:val="both"/>
        <w:rPr>
          <w:rFonts w:ascii="Times New Roman" w:hAnsi="Times New Roman" w:cs="Times New Roman"/>
          <w:b/>
          <w:spacing w:val="-2"/>
          <w:sz w:val="24"/>
          <w:szCs w:val="24"/>
        </w:rPr>
      </w:pPr>
      <w:r w:rsidRPr="00F27DDF">
        <w:rPr>
          <w:rFonts w:ascii="Times New Roman" w:hAnsi="Times New Roman" w:cs="Times New Roman"/>
          <w:b/>
          <w:spacing w:val="-2"/>
          <w:sz w:val="24"/>
          <w:szCs w:val="24"/>
        </w:rPr>
        <w:lastRenderedPageBreak/>
        <w:t>Art. 1</w:t>
      </w:r>
      <w:r w:rsidR="00F80F18" w:rsidRPr="00F27DDF">
        <w:rPr>
          <w:rFonts w:ascii="Times New Roman" w:hAnsi="Times New Roman" w:cs="Times New Roman"/>
          <w:b/>
          <w:spacing w:val="-2"/>
          <w:sz w:val="24"/>
          <w:szCs w:val="24"/>
        </w:rPr>
        <w:t>7</w:t>
      </w:r>
      <w:r w:rsidRPr="00F27DDF">
        <w:rPr>
          <w:rFonts w:ascii="Times New Roman" w:hAnsi="Times New Roman" w:cs="Times New Roman"/>
          <w:b/>
          <w:spacing w:val="-2"/>
          <w:sz w:val="24"/>
          <w:szCs w:val="24"/>
        </w:rPr>
        <w:t xml:space="preserve">. </w:t>
      </w:r>
      <w:r w:rsidRPr="00F27DDF">
        <w:rPr>
          <w:rFonts w:ascii="Times New Roman" w:hAnsi="Times New Roman" w:cs="Times New Roman"/>
          <w:sz w:val="24"/>
          <w:szCs w:val="24"/>
        </w:rPr>
        <w:t xml:space="preserve">Zaproponowany przepis przejściowy umożliwia </w:t>
      </w:r>
      <w:r w:rsidR="00ED2D61">
        <w:rPr>
          <w:rFonts w:ascii="Times New Roman" w:hAnsi="Times New Roman" w:cs="Times New Roman"/>
          <w:sz w:val="24"/>
          <w:szCs w:val="24"/>
        </w:rPr>
        <w:t>utrzymanie w mocy</w:t>
      </w:r>
      <w:r w:rsidRPr="00F27DDF">
        <w:rPr>
          <w:rFonts w:ascii="Times New Roman" w:hAnsi="Times New Roman" w:cs="Times New Roman"/>
          <w:sz w:val="24"/>
          <w:szCs w:val="24"/>
        </w:rPr>
        <w:t xml:space="preserve"> przez określony czas</w:t>
      </w:r>
      <w:r w:rsidR="00DC3591" w:rsidRPr="00F27DDF">
        <w:rPr>
          <w:rFonts w:ascii="Times New Roman" w:hAnsi="Times New Roman" w:cs="Times New Roman"/>
          <w:sz w:val="24"/>
          <w:szCs w:val="24"/>
        </w:rPr>
        <w:t xml:space="preserve">, jednak nie dłużej niż przez 12 miesięcy od dnia wejścia w życie </w:t>
      </w:r>
      <w:r w:rsidR="00ED2D61">
        <w:rPr>
          <w:rFonts w:ascii="Times New Roman" w:hAnsi="Times New Roman" w:cs="Times New Roman"/>
          <w:sz w:val="24"/>
          <w:szCs w:val="24"/>
        </w:rPr>
        <w:t>projektowanej</w:t>
      </w:r>
      <w:r w:rsidR="00DC3591" w:rsidRPr="00F27DDF">
        <w:rPr>
          <w:rFonts w:ascii="Times New Roman" w:hAnsi="Times New Roman" w:cs="Times New Roman"/>
          <w:sz w:val="24"/>
          <w:szCs w:val="24"/>
        </w:rPr>
        <w:t xml:space="preserve"> ustawy,</w:t>
      </w:r>
      <w:r w:rsidRPr="00F27DDF">
        <w:rPr>
          <w:rFonts w:ascii="Times New Roman" w:hAnsi="Times New Roman" w:cs="Times New Roman"/>
          <w:sz w:val="24"/>
          <w:szCs w:val="24"/>
        </w:rPr>
        <w:t xml:space="preserve"> rozporządzenia Ministra Rozwoju i Finansów z dnia 26 kwietnia 2017 r. w sprawie dodatku kontrolerskiego dla osób zatrudnionych w jednostkach organizacyjnych Krajowej Administracji Skarbowej oraz funkcjonariuszy Służby Celno-Skarbowej</w:t>
      </w:r>
      <w:r w:rsidR="00ED2D61">
        <w:rPr>
          <w:rFonts w:ascii="Times New Roman" w:hAnsi="Times New Roman" w:cs="Times New Roman"/>
          <w:sz w:val="24"/>
          <w:szCs w:val="24"/>
        </w:rPr>
        <w:t>.</w:t>
      </w:r>
      <w:r w:rsidRPr="00F27DDF">
        <w:rPr>
          <w:rFonts w:ascii="Times New Roman" w:hAnsi="Times New Roman" w:cs="Times New Roman"/>
          <w:sz w:val="24"/>
          <w:szCs w:val="24"/>
        </w:rPr>
        <w:t xml:space="preserve"> </w:t>
      </w:r>
      <w:r w:rsidR="00ED2D61">
        <w:rPr>
          <w:rFonts w:ascii="Times New Roman" w:hAnsi="Times New Roman" w:cs="Times New Roman"/>
          <w:sz w:val="24"/>
          <w:szCs w:val="24"/>
        </w:rPr>
        <w:t xml:space="preserve">Przepis ten stanowi podstawę </w:t>
      </w:r>
      <w:r w:rsidR="006B0B03">
        <w:rPr>
          <w:rFonts w:ascii="Times New Roman" w:hAnsi="Times New Roman" w:cs="Times New Roman"/>
          <w:sz w:val="24"/>
          <w:szCs w:val="24"/>
        </w:rPr>
        <w:t>prawną ustanowienia regulacji w </w:t>
      </w:r>
      <w:r w:rsidR="00ED2D61">
        <w:rPr>
          <w:rFonts w:ascii="Times New Roman" w:hAnsi="Times New Roman" w:cs="Times New Roman"/>
          <w:sz w:val="24"/>
          <w:szCs w:val="24"/>
        </w:rPr>
        <w:t xml:space="preserve">powołanym rozporządzeniu, na mocy której </w:t>
      </w:r>
      <w:r w:rsidRPr="00F27DDF">
        <w:rPr>
          <w:rFonts w:ascii="Times New Roman" w:hAnsi="Times New Roman" w:cs="Times New Roman"/>
          <w:sz w:val="24"/>
          <w:szCs w:val="24"/>
        </w:rPr>
        <w:t>os</w:t>
      </w:r>
      <w:r w:rsidR="00ED2D61">
        <w:rPr>
          <w:rFonts w:ascii="Times New Roman" w:hAnsi="Times New Roman" w:cs="Times New Roman"/>
          <w:sz w:val="24"/>
          <w:szCs w:val="24"/>
        </w:rPr>
        <w:t>o</w:t>
      </w:r>
      <w:r w:rsidRPr="00F27DDF">
        <w:rPr>
          <w:rFonts w:ascii="Times New Roman" w:hAnsi="Times New Roman" w:cs="Times New Roman"/>
          <w:sz w:val="24"/>
          <w:szCs w:val="24"/>
        </w:rPr>
        <w:t>b</w:t>
      </w:r>
      <w:r w:rsidR="00ED2D61">
        <w:rPr>
          <w:rFonts w:ascii="Times New Roman" w:hAnsi="Times New Roman" w:cs="Times New Roman"/>
          <w:sz w:val="24"/>
          <w:szCs w:val="24"/>
        </w:rPr>
        <w:t>om</w:t>
      </w:r>
      <w:r w:rsidRPr="00F27DDF">
        <w:rPr>
          <w:rFonts w:ascii="Times New Roman" w:hAnsi="Times New Roman" w:cs="Times New Roman"/>
          <w:sz w:val="24"/>
          <w:szCs w:val="24"/>
        </w:rPr>
        <w:t xml:space="preserve"> wykonujący</w:t>
      </w:r>
      <w:r w:rsidR="00ED2D61">
        <w:rPr>
          <w:rFonts w:ascii="Times New Roman" w:hAnsi="Times New Roman" w:cs="Times New Roman"/>
          <w:sz w:val="24"/>
          <w:szCs w:val="24"/>
        </w:rPr>
        <w:t>m</w:t>
      </w:r>
      <w:r w:rsidRPr="00F27DDF">
        <w:rPr>
          <w:rFonts w:ascii="Times New Roman" w:hAnsi="Times New Roman" w:cs="Times New Roman"/>
          <w:sz w:val="24"/>
          <w:szCs w:val="24"/>
        </w:rPr>
        <w:t xml:space="preserve"> kontrolę, o której mowa w art. 119zzf § 1 Ordynacj</w:t>
      </w:r>
      <w:r w:rsidR="00B332CF" w:rsidRPr="00F27DDF">
        <w:rPr>
          <w:rFonts w:ascii="Times New Roman" w:hAnsi="Times New Roman" w:cs="Times New Roman"/>
          <w:sz w:val="24"/>
          <w:szCs w:val="24"/>
        </w:rPr>
        <w:t>i</w:t>
      </w:r>
      <w:r w:rsidRPr="00F27DDF">
        <w:rPr>
          <w:rFonts w:ascii="Times New Roman" w:hAnsi="Times New Roman" w:cs="Times New Roman"/>
          <w:sz w:val="24"/>
          <w:szCs w:val="24"/>
        </w:rPr>
        <w:t xml:space="preserve"> podatkow</w:t>
      </w:r>
      <w:r w:rsidR="00B332CF" w:rsidRPr="00F27DDF">
        <w:rPr>
          <w:rFonts w:ascii="Times New Roman" w:hAnsi="Times New Roman" w:cs="Times New Roman"/>
          <w:sz w:val="24"/>
          <w:szCs w:val="24"/>
        </w:rPr>
        <w:t>ej</w:t>
      </w:r>
      <w:r w:rsidRPr="00F27DDF">
        <w:rPr>
          <w:rFonts w:ascii="Times New Roman" w:hAnsi="Times New Roman" w:cs="Times New Roman"/>
          <w:sz w:val="24"/>
          <w:szCs w:val="24"/>
        </w:rPr>
        <w:t xml:space="preserve">, </w:t>
      </w:r>
      <w:r w:rsidR="00ED2D61">
        <w:rPr>
          <w:rFonts w:ascii="Times New Roman" w:hAnsi="Times New Roman" w:cs="Times New Roman"/>
          <w:sz w:val="24"/>
          <w:szCs w:val="24"/>
        </w:rPr>
        <w:t xml:space="preserve">w </w:t>
      </w:r>
      <w:r w:rsidRPr="00F27DDF">
        <w:rPr>
          <w:rFonts w:ascii="Times New Roman" w:hAnsi="Times New Roman" w:cs="Times New Roman"/>
          <w:sz w:val="24"/>
          <w:szCs w:val="24"/>
        </w:rPr>
        <w:t>związk</w:t>
      </w:r>
      <w:r w:rsidR="00ED2D61">
        <w:rPr>
          <w:rFonts w:ascii="Times New Roman" w:hAnsi="Times New Roman" w:cs="Times New Roman"/>
          <w:sz w:val="24"/>
          <w:szCs w:val="24"/>
        </w:rPr>
        <w:t>u ze zmianą art. 148 ust. 1 pkt </w:t>
      </w:r>
      <w:r w:rsidRPr="00F27DDF">
        <w:rPr>
          <w:rFonts w:ascii="Times New Roman" w:hAnsi="Times New Roman" w:cs="Times New Roman"/>
          <w:sz w:val="24"/>
          <w:szCs w:val="24"/>
        </w:rPr>
        <w:t>1 ustawy o</w:t>
      </w:r>
      <w:r w:rsidR="00C847B8">
        <w:rPr>
          <w:rFonts w:ascii="Times New Roman" w:hAnsi="Times New Roman" w:cs="Times New Roman"/>
          <w:sz w:val="24"/>
          <w:szCs w:val="24"/>
        </w:rPr>
        <w:t> </w:t>
      </w:r>
      <w:r w:rsidRPr="00F27DDF">
        <w:rPr>
          <w:rFonts w:ascii="Times New Roman" w:hAnsi="Times New Roman" w:cs="Times New Roman"/>
          <w:sz w:val="24"/>
          <w:szCs w:val="24"/>
        </w:rPr>
        <w:t>Krajowej Administracji Skarbowej</w:t>
      </w:r>
      <w:r w:rsidR="00ED2D61">
        <w:rPr>
          <w:rFonts w:ascii="Times New Roman" w:hAnsi="Times New Roman" w:cs="Times New Roman"/>
          <w:sz w:val="24"/>
          <w:szCs w:val="24"/>
        </w:rPr>
        <w:t>,</w:t>
      </w:r>
      <w:r w:rsidRPr="00F27DDF">
        <w:rPr>
          <w:rFonts w:ascii="Times New Roman" w:hAnsi="Times New Roman" w:cs="Times New Roman"/>
          <w:sz w:val="24"/>
          <w:szCs w:val="24"/>
        </w:rPr>
        <w:t xml:space="preserve"> będzie przysługiwał dodatek kontrolerski.</w:t>
      </w:r>
      <w:r w:rsidR="00F27DDF">
        <w:rPr>
          <w:rFonts w:ascii="Times New Roman" w:hAnsi="Times New Roman" w:cs="Times New Roman"/>
          <w:b/>
          <w:spacing w:val="-2"/>
          <w:sz w:val="24"/>
          <w:szCs w:val="24"/>
        </w:rPr>
        <w:t xml:space="preserve"> </w:t>
      </w:r>
    </w:p>
    <w:p w:rsidR="005C3F1F" w:rsidRPr="00F27DDF" w:rsidRDefault="00AB11F1" w:rsidP="00C847B8">
      <w:pPr>
        <w:pStyle w:val="ARTartustawynprozporzdzenia"/>
        <w:spacing w:before="240"/>
        <w:ind w:left="672" w:hanging="672"/>
        <w:rPr>
          <w:rFonts w:ascii="Times New Roman" w:hAnsi="Times New Roman" w:cs="Times New Roman"/>
          <w:b/>
          <w:szCs w:val="24"/>
        </w:rPr>
      </w:pPr>
      <w:r w:rsidRPr="00F27DDF">
        <w:rPr>
          <w:rFonts w:ascii="Times New Roman" w:hAnsi="Times New Roman" w:cs="Times New Roman"/>
          <w:b/>
          <w:szCs w:val="24"/>
        </w:rPr>
        <w:t>XI</w:t>
      </w:r>
      <w:r w:rsidR="0068476D" w:rsidRPr="00F27DDF">
        <w:rPr>
          <w:rFonts w:ascii="Times New Roman" w:hAnsi="Times New Roman" w:cs="Times New Roman"/>
          <w:b/>
          <w:szCs w:val="24"/>
        </w:rPr>
        <w:t>I</w:t>
      </w:r>
      <w:r w:rsidR="00856BC5" w:rsidRPr="00F27DDF">
        <w:rPr>
          <w:rFonts w:ascii="Times New Roman" w:hAnsi="Times New Roman" w:cs="Times New Roman"/>
          <w:b/>
          <w:szCs w:val="24"/>
        </w:rPr>
        <w:t>I</w:t>
      </w:r>
      <w:r w:rsidR="00C847B8">
        <w:rPr>
          <w:rFonts w:ascii="Times New Roman" w:hAnsi="Times New Roman" w:cs="Times New Roman"/>
          <w:b/>
          <w:szCs w:val="24"/>
        </w:rPr>
        <w:t>.</w:t>
      </w:r>
      <w:r w:rsidR="00C847B8">
        <w:rPr>
          <w:rFonts w:ascii="Times New Roman" w:hAnsi="Times New Roman" w:cs="Times New Roman"/>
          <w:b/>
          <w:szCs w:val="24"/>
        </w:rPr>
        <w:tab/>
      </w:r>
      <w:r w:rsidRPr="00F27DDF">
        <w:rPr>
          <w:rFonts w:ascii="Times New Roman" w:hAnsi="Times New Roman" w:cs="Times New Roman"/>
          <w:b/>
          <w:szCs w:val="24"/>
        </w:rPr>
        <w:t>Wejście w życie ustawy (art. 1</w:t>
      </w:r>
      <w:r w:rsidR="00F80F18" w:rsidRPr="00F27DDF">
        <w:rPr>
          <w:rFonts w:ascii="Times New Roman" w:hAnsi="Times New Roman" w:cs="Times New Roman"/>
          <w:b/>
          <w:szCs w:val="24"/>
        </w:rPr>
        <w:t>8</w:t>
      </w:r>
      <w:r w:rsidRPr="00F27DDF">
        <w:rPr>
          <w:rFonts w:ascii="Times New Roman" w:hAnsi="Times New Roman" w:cs="Times New Roman"/>
          <w:b/>
          <w:szCs w:val="24"/>
        </w:rPr>
        <w:t xml:space="preserve"> projektu)</w:t>
      </w:r>
    </w:p>
    <w:p w:rsidR="006B1F16" w:rsidRPr="00F27DDF" w:rsidRDefault="00AB11F1" w:rsidP="00F27DDF">
      <w:pPr>
        <w:pStyle w:val="ARTartustawynprozporzdzenia"/>
        <w:ind w:firstLine="0"/>
        <w:rPr>
          <w:rFonts w:ascii="Times New Roman" w:hAnsi="Times New Roman" w:cs="Times New Roman"/>
          <w:szCs w:val="24"/>
        </w:rPr>
      </w:pPr>
      <w:r w:rsidRPr="00F27DDF">
        <w:rPr>
          <w:rFonts w:ascii="Times New Roman" w:hAnsi="Times New Roman" w:cs="Times New Roman"/>
          <w:szCs w:val="24"/>
        </w:rPr>
        <w:t xml:space="preserve">Proponuje się, aby ustawa weszła w życie </w:t>
      </w:r>
      <w:r w:rsidR="006B1F16" w:rsidRPr="00F27DDF">
        <w:rPr>
          <w:rFonts w:ascii="Times New Roman" w:hAnsi="Times New Roman" w:cs="Times New Roman"/>
          <w:szCs w:val="24"/>
        </w:rPr>
        <w:t>po upływ</w:t>
      </w:r>
      <w:r w:rsidR="00C847B8">
        <w:rPr>
          <w:rFonts w:ascii="Times New Roman" w:hAnsi="Times New Roman" w:cs="Times New Roman"/>
          <w:szCs w:val="24"/>
        </w:rPr>
        <w:t>ie 14 dni od dnia ogłoszenia, z </w:t>
      </w:r>
      <w:r w:rsidR="006B1F16" w:rsidRPr="00F27DDF">
        <w:rPr>
          <w:rFonts w:ascii="Times New Roman" w:hAnsi="Times New Roman" w:cs="Times New Roman"/>
          <w:szCs w:val="24"/>
        </w:rPr>
        <w:t>wyjątkiem:</w:t>
      </w:r>
    </w:p>
    <w:p w:rsidR="00792BC9" w:rsidRPr="00F27DDF" w:rsidRDefault="00792BC9" w:rsidP="00C847B8">
      <w:pPr>
        <w:pStyle w:val="PKTpunkt"/>
        <w:rPr>
          <w:rFonts w:ascii="Times New Roman" w:hAnsi="Times New Roman" w:cs="Times New Roman"/>
          <w:szCs w:val="24"/>
        </w:rPr>
      </w:pPr>
      <w:r w:rsidRPr="00F27DDF">
        <w:rPr>
          <w:rFonts w:ascii="Times New Roman" w:hAnsi="Times New Roman" w:cs="Times New Roman"/>
          <w:szCs w:val="24"/>
        </w:rPr>
        <w:t>1)</w:t>
      </w:r>
      <w:r w:rsidRPr="00F27DDF">
        <w:rPr>
          <w:rFonts w:ascii="Times New Roman" w:hAnsi="Times New Roman" w:cs="Times New Roman"/>
          <w:szCs w:val="24"/>
        </w:rPr>
        <w:tab/>
        <w:t xml:space="preserve">art. 1 pkt 1 lit. b w zakresie art. 119zg pkt 5 lit. d, </w:t>
      </w:r>
      <w:r w:rsidRPr="00F27DDF">
        <w:rPr>
          <w:rFonts w:ascii="Times New Roman" w:hAnsi="Times New Roman" w:cs="Times New Roman"/>
          <w:bCs w:val="0"/>
          <w:szCs w:val="24"/>
        </w:rPr>
        <w:t xml:space="preserve">pkt 6 lit. c </w:t>
      </w:r>
      <w:proofErr w:type="spellStart"/>
      <w:r w:rsidRPr="00F27DDF">
        <w:rPr>
          <w:rFonts w:ascii="Times New Roman" w:hAnsi="Times New Roman" w:cs="Times New Roman"/>
          <w:bCs w:val="0"/>
          <w:szCs w:val="24"/>
        </w:rPr>
        <w:t>tiret</w:t>
      </w:r>
      <w:proofErr w:type="spellEnd"/>
      <w:r w:rsidRPr="00F27DDF">
        <w:rPr>
          <w:rFonts w:ascii="Times New Roman" w:hAnsi="Times New Roman" w:cs="Times New Roman"/>
          <w:bCs w:val="0"/>
          <w:szCs w:val="24"/>
        </w:rPr>
        <w:t xml:space="preserve"> trzecie, pkt 8</w:t>
      </w:r>
      <w:r w:rsidRPr="00F27DDF">
        <w:rPr>
          <w:rFonts w:ascii="Times New Roman" w:hAnsi="Times New Roman" w:cs="Times New Roman"/>
          <w:bCs w:val="0"/>
          <w:color w:val="000000"/>
          <w:szCs w:val="24"/>
        </w:rPr>
        <w:t>,</w:t>
      </w:r>
      <w:r w:rsidRPr="00F27DDF">
        <w:rPr>
          <w:rFonts w:ascii="Times New Roman" w:hAnsi="Times New Roman" w:cs="Times New Roman"/>
          <w:szCs w:val="24"/>
        </w:rPr>
        <w:t xml:space="preserve"> art.</w:t>
      </w:r>
      <w:r w:rsidR="00C847B8">
        <w:rPr>
          <w:rFonts w:ascii="Times New Roman" w:hAnsi="Times New Roman" w:cs="Times New Roman"/>
          <w:szCs w:val="24"/>
        </w:rPr>
        <w:t> </w:t>
      </w:r>
      <w:r w:rsidRPr="00F27DDF">
        <w:rPr>
          <w:rFonts w:ascii="Times New Roman" w:hAnsi="Times New Roman" w:cs="Times New Roman"/>
          <w:szCs w:val="24"/>
        </w:rPr>
        <w:t xml:space="preserve">4, art. 9, art. 11 oraz art. 16, które wchodzą w życie z dniem </w:t>
      </w:r>
      <w:r w:rsidR="006D1A7B" w:rsidRPr="00F27DDF">
        <w:rPr>
          <w:rFonts w:ascii="Times New Roman" w:hAnsi="Times New Roman" w:cs="Times New Roman"/>
          <w:szCs w:val="24"/>
        </w:rPr>
        <w:t>następującym po dniu ogłoszenia</w:t>
      </w:r>
      <w:r w:rsidRPr="00F27DDF">
        <w:rPr>
          <w:rFonts w:ascii="Times New Roman" w:hAnsi="Times New Roman" w:cs="Times New Roman"/>
          <w:szCs w:val="24"/>
        </w:rPr>
        <w:t xml:space="preserve">; </w:t>
      </w:r>
    </w:p>
    <w:p w:rsidR="00792BC9" w:rsidRPr="00F27DDF" w:rsidRDefault="00792BC9" w:rsidP="00C847B8">
      <w:pPr>
        <w:pStyle w:val="PKTpunkt"/>
        <w:rPr>
          <w:rFonts w:ascii="Times New Roman" w:hAnsi="Times New Roman" w:cs="Times New Roman"/>
          <w:szCs w:val="24"/>
        </w:rPr>
      </w:pPr>
      <w:r w:rsidRPr="00F27DDF">
        <w:rPr>
          <w:rFonts w:ascii="Times New Roman" w:hAnsi="Times New Roman" w:cs="Times New Roman"/>
          <w:szCs w:val="24"/>
        </w:rPr>
        <w:t>2)</w:t>
      </w:r>
      <w:r w:rsidRPr="00F27DDF">
        <w:rPr>
          <w:rFonts w:ascii="Times New Roman" w:hAnsi="Times New Roman" w:cs="Times New Roman"/>
          <w:szCs w:val="24"/>
        </w:rPr>
        <w:tab/>
        <w:t>art. 1 pkt 5, który wchodzi w życie z dniem 1 października 2018 r.;</w:t>
      </w:r>
    </w:p>
    <w:p w:rsidR="00211561" w:rsidRPr="00C847B8" w:rsidRDefault="00792BC9" w:rsidP="00C847B8">
      <w:pPr>
        <w:pStyle w:val="PKTpunkt"/>
        <w:rPr>
          <w:rFonts w:ascii="Times New Roman" w:hAnsi="Times New Roman" w:cs="Times New Roman"/>
          <w:szCs w:val="24"/>
        </w:rPr>
      </w:pPr>
      <w:r w:rsidRPr="00F27DDF">
        <w:rPr>
          <w:rFonts w:ascii="Times New Roman" w:hAnsi="Times New Roman" w:cs="Times New Roman"/>
          <w:szCs w:val="24"/>
        </w:rPr>
        <w:t>3)</w:t>
      </w:r>
      <w:r w:rsidRPr="00F27DDF">
        <w:rPr>
          <w:rFonts w:ascii="Times New Roman" w:hAnsi="Times New Roman" w:cs="Times New Roman"/>
          <w:szCs w:val="24"/>
        </w:rPr>
        <w:tab/>
        <w:t xml:space="preserve">art. 1 pkt 1 lit. b w zakresie art. 119zg pkt 5 lit. b, pkt 6 lit. a, b i lit. c </w:t>
      </w:r>
      <w:proofErr w:type="spellStart"/>
      <w:r w:rsidRPr="00F27DDF">
        <w:rPr>
          <w:rFonts w:ascii="Times New Roman" w:hAnsi="Times New Roman" w:cs="Times New Roman"/>
          <w:szCs w:val="24"/>
        </w:rPr>
        <w:t>tiret</w:t>
      </w:r>
      <w:proofErr w:type="spellEnd"/>
      <w:r w:rsidRPr="00F27DDF">
        <w:rPr>
          <w:rFonts w:ascii="Times New Roman" w:hAnsi="Times New Roman" w:cs="Times New Roman"/>
          <w:szCs w:val="24"/>
        </w:rPr>
        <w:t xml:space="preserve"> pierwsze i drugie, pkt 7, pkt 9 lit. b</w:t>
      </w:r>
      <w:r w:rsidR="00F27DDF">
        <w:rPr>
          <w:rFonts w:ascii="Times New Roman" w:hAnsi="Times New Roman" w:cs="Times New Roman"/>
          <w:szCs w:val="24"/>
        </w:rPr>
        <w:t xml:space="preserve"> w zakresie art. 119zv § 4b–</w:t>
      </w:r>
      <w:r w:rsidRPr="00F27DDF">
        <w:rPr>
          <w:rFonts w:ascii="Times New Roman" w:hAnsi="Times New Roman" w:cs="Times New Roman"/>
          <w:szCs w:val="24"/>
        </w:rPr>
        <w:t>4d, pkt 10 lit. a i c w zakresie art. 119zv §4a‒4d oraz art. 12, które wchodzą w życie z dniem 1 lipca 2019 r.</w:t>
      </w:r>
    </w:p>
    <w:p w:rsidR="00975E7C" w:rsidRPr="00F27DDF" w:rsidRDefault="003A7E37" w:rsidP="00F27DDF">
      <w:pPr>
        <w:pStyle w:val="ARTartustawynprozporzdzenia"/>
        <w:ind w:firstLine="0"/>
        <w:rPr>
          <w:rFonts w:ascii="Times New Roman" w:hAnsi="Times New Roman" w:cs="Times New Roman"/>
          <w:szCs w:val="24"/>
        </w:rPr>
      </w:pPr>
      <w:r w:rsidRPr="00F27DDF">
        <w:rPr>
          <w:rFonts w:ascii="Times New Roman" w:hAnsi="Times New Roman" w:cs="Times New Roman"/>
          <w:szCs w:val="24"/>
        </w:rPr>
        <w:t>Proponuje się, aby ze względu na funkcjonalności sy</w:t>
      </w:r>
      <w:r w:rsidR="00C847B8">
        <w:rPr>
          <w:rFonts w:ascii="Times New Roman" w:hAnsi="Times New Roman" w:cs="Times New Roman"/>
          <w:szCs w:val="24"/>
        </w:rPr>
        <w:t>stemów informatycznych banków i </w:t>
      </w:r>
      <w:r w:rsidRPr="00F27DDF">
        <w:rPr>
          <w:rFonts w:ascii="Times New Roman" w:hAnsi="Times New Roman" w:cs="Times New Roman"/>
          <w:szCs w:val="24"/>
        </w:rPr>
        <w:t xml:space="preserve">SKOK-ów przepisy dotyczące objęcia rachunku VAT definicją podmiotu kwalifikowanego i przepisy z nimi związane weszły w życie z dniem </w:t>
      </w:r>
      <w:r w:rsidR="006D1A7B" w:rsidRPr="00F27DDF">
        <w:rPr>
          <w:rFonts w:ascii="Times New Roman" w:hAnsi="Times New Roman" w:cs="Times New Roman"/>
          <w:szCs w:val="24"/>
        </w:rPr>
        <w:t xml:space="preserve">następującym po dniu ogłoszenia </w:t>
      </w:r>
      <w:r w:rsidR="00066014" w:rsidRPr="00F27DDF">
        <w:rPr>
          <w:rFonts w:ascii="Times New Roman" w:hAnsi="Times New Roman" w:cs="Times New Roman"/>
          <w:szCs w:val="24"/>
        </w:rPr>
        <w:t>(art. 1 pkt 1 lit. b w zakresie art. 119zg pkt 5 lit. d</w:t>
      </w:r>
      <w:r w:rsidR="00790BFA" w:rsidRPr="00F27DDF">
        <w:rPr>
          <w:rFonts w:ascii="Times New Roman" w:hAnsi="Times New Roman" w:cs="Times New Roman"/>
          <w:szCs w:val="24"/>
        </w:rPr>
        <w:t xml:space="preserve"> i art. 11 projektu</w:t>
      </w:r>
      <w:r w:rsidR="00066014" w:rsidRPr="00F27DDF">
        <w:rPr>
          <w:rFonts w:ascii="Times New Roman" w:hAnsi="Times New Roman" w:cs="Times New Roman"/>
          <w:szCs w:val="24"/>
        </w:rPr>
        <w:t>)</w:t>
      </w:r>
      <w:r w:rsidR="00790BFA" w:rsidRPr="00F27DDF">
        <w:rPr>
          <w:rFonts w:ascii="Times New Roman" w:hAnsi="Times New Roman" w:cs="Times New Roman"/>
          <w:szCs w:val="24"/>
        </w:rPr>
        <w:t xml:space="preserve">. Wskazać należy, że terminy przekazania inicjalnego </w:t>
      </w:r>
      <w:r w:rsidR="00F10244" w:rsidRPr="00F27DDF">
        <w:rPr>
          <w:rFonts w:ascii="Times New Roman" w:hAnsi="Times New Roman" w:cs="Times New Roman"/>
          <w:szCs w:val="24"/>
        </w:rPr>
        <w:t>przez banki, z wyjątkiem banków spółdzielczych</w:t>
      </w:r>
      <w:r w:rsidR="00C13C62">
        <w:rPr>
          <w:rFonts w:ascii="Times New Roman" w:hAnsi="Times New Roman" w:cs="Times New Roman"/>
          <w:szCs w:val="24"/>
        </w:rPr>
        <w:t>,</w:t>
      </w:r>
      <w:r w:rsidR="00F10244" w:rsidRPr="00F27DDF">
        <w:rPr>
          <w:rFonts w:ascii="Times New Roman" w:hAnsi="Times New Roman" w:cs="Times New Roman"/>
          <w:szCs w:val="24"/>
        </w:rPr>
        <w:t xml:space="preserve"> </w:t>
      </w:r>
      <w:r w:rsidR="00790BFA" w:rsidRPr="00F27DDF">
        <w:rPr>
          <w:rFonts w:ascii="Times New Roman" w:hAnsi="Times New Roman" w:cs="Times New Roman"/>
          <w:szCs w:val="24"/>
        </w:rPr>
        <w:t>informacji dotyczących rachunków VAT podmiotu kwalifikowanego</w:t>
      </w:r>
      <w:r w:rsidR="00975E7C" w:rsidRPr="00F27DDF">
        <w:rPr>
          <w:rFonts w:ascii="Times New Roman" w:hAnsi="Times New Roman" w:cs="Times New Roman"/>
          <w:szCs w:val="24"/>
        </w:rPr>
        <w:t xml:space="preserve"> upływają </w:t>
      </w:r>
      <w:r w:rsidR="00F10244" w:rsidRPr="00F27DDF">
        <w:rPr>
          <w:rFonts w:ascii="Times New Roman" w:hAnsi="Times New Roman" w:cs="Times New Roman"/>
          <w:szCs w:val="24"/>
        </w:rPr>
        <w:t>z</w:t>
      </w:r>
      <w:r w:rsidR="00975E7C" w:rsidRPr="00F27DDF">
        <w:rPr>
          <w:rFonts w:ascii="Times New Roman" w:hAnsi="Times New Roman" w:cs="Times New Roman"/>
          <w:szCs w:val="24"/>
        </w:rPr>
        <w:t xml:space="preserve"> dni</w:t>
      </w:r>
      <w:r w:rsidR="00F10244" w:rsidRPr="00F27DDF">
        <w:rPr>
          <w:rFonts w:ascii="Times New Roman" w:hAnsi="Times New Roman" w:cs="Times New Roman"/>
          <w:szCs w:val="24"/>
        </w:rPr>
        <w:t>em</w:t>
      </w:r>
      <w:r w:rsidR="00975E7C" w:rsidRPr="00F27DDF">
        <w:rPr>
          <w:rFonts w:ascii="Times New Roman" w:hAnsi="Times New Roman" w:cs="Times New Roman"/>
          <w:szCs w:val="24"/>
        </w:rPr>
        <w:t xml:space="preserve"> </w:t>
      </w:r>
      <w:r w:rsidR="00F10244" w:rsidRPr="00F27DDF">
        <w:rPr>
          <w:rFonts w:ascii="Times New Roman" w:hAnsi="Times New Roman" w:cs="Times New Roman"/>
          <w:szCs w:val="24"/>
        </w:rPr>
        <w:t>3</w:t>
      </w:r>
      <w:r w:rsidR="00975E7C" w:rsidRPr="00F27DDF">
        <w:rPr>
          <w:rFonts w:ascii="Times New Roman" w:hAnsi="Times New Roman" w:cs="Times New Roman"/>
          <w:szCs w:val="24"/>
        </w:rPr>
        <w:t>1 lipca 2018 r. Przepisy art. 4 i 9 mają na celu sprawne działanie mechanizmu podzielonej płatności</w:t>
      </w:r>
      <w:r w:rsidR="006D1A7B" w:rsidRPr="00F27DDF">
        <w:rPr>
          <w:rFonts w:ascii="Times New Roman" w:hAnsi="Times New Roman" w:cs="Times New Roman"/>
          <w:szCs w:val="24"/>
        </w:rPr>
        <w:t>, który będzie funkcjonował od dnia 1 lipca 2018 r</w:t>
      </w:r>
      <w:r w:rsidR="00975E7C" w:rsidRPr="00F27DDF">
        <w:rPr>
          <w:rFonts w:ascii="Times New Roman" w:hAnsi="Times New Roman" w:cs="Times New Roman"/>
          <w:szCs w:val="24"/>
        </w:rPr>
        <w:t>. Ponadto proponuje się, aby z dniem</w:t>
      </w:r>
      <w:r w:rsidR="00F27DDF">
        <w:rPr>
          <w:rFonts w:ascii="Times New Roman" w:hAnsi="Times New Roman" w:cs="Times New Roman"/>
          <w:szCs w:val="24"/>
        </w:rPr>
        <w:t xml:space="preserve"> </w:t>
      </w:r>
      <w:r w:rsidR="006D1A7B" w:rsidRPr="00F27DDF">
        <w:rPr>
          <w:rFonts w:ascii="Times New Roman" w:hAnsi="Times New Roman" w:cs="Times New Roman"/>
          <w:szCs w:val="24"/>
        </w:rPr>
        <w:t xml:space="preserve">następującym po dniu ogłoszenia </w:t>
      </w:r>
      <w:r w:rsidR="00975E7C" w:rsidRPr="00F27DDF">
        <w:rPr>
          <w:rFonts w:ascii="Times New Roman" w:hAnsi="Times New Roman" w:cs="Times New Roman"/>
          <w:szCs w:val="24"/>
        </w:rPr>
        <w:t xml:space="preserve">weszły w życie </w:t>
      </w:r>
      <w:r w:rsidR="00E2534F" w:rsidRPr="00F27DDF">
        <w:rPr>
          <w:rFonts w:ascii="Times New Roman" w:hAnsi="Times New Roman" w:cs="Times New Roman"/>
          <w:szCs w:val="24"/>
        </w:rPr>
        <w:t xml:space="preserve">doprecyzowane </w:t>
      </w:r>
      <w:r w:rsidR="00975E7C" w:rsidRPr="00F27DDF">
        <w:rPr>
          <w:rFonts w:ascii="Times New Roman" w:hAnsi="Times New Roman" w:cs="Times New Roman"/>
          <w:szCs w:val="24"/>
        </w:rPr>
        <w:t>przepisy dotyczące przesyłania</w:t>
      </w:r>
      <w:r w:rsidR="00E2534F" w:rsidRPr="00F27DDF">
        <w:rPr>
          <w:rFonts w:ascii="Times New Roman" w:hAnsi="Times New Roman" w:cs="Times New Roman"/>
          <w:szCs w:val="24"/>
        </w:rPr>
        <w:t xml:space="preserve"> w zestawieniach </w:t>
      </w:r>
      <w:r w:rsidR="00975E7C" w:rsidRPr="00F27DDF">
        <w:rPr>
          <w:rFonts w:ascii="Times New Roman" w:hAnsi="Times New Roman" w:cs="Times New Roman"/>
          <w:szCs w:val="24"/>
        </w:rPr>
        <w:t>numer</w:t>
      </w:r>
      <w:r w:rsidR="00E2534F" w:rsidRPr="00F27DDF">
        <w:rPr>
          <w:rFonts w:ascii="Times New Roman" w:hAnsi="Times New Roman" w:cs="Times New Roman"/>
          <w:szCs w:val="24"/>
        </w:rPr>
        <w:t>u</w:t>
      </w:r>
      <w:r w:rsidR="00975E7C" w:rsidRPr="00F27DDF">
        <w:rPr>
          <w:rFonts w:ascii="Times New Roman" w:hAnsi="Times New Roman" w:cs="Times New Roman"/>
          <w:szCs w:val="24"/>
        </w:rPr>
        <w:t xml:space="preserve"> rachunku wirtualnego prowadzonego w celu automatycznej identy</w:t>
      </w:r>
      <w:r w:rsidR="00C847B8">
        <w:rPr>
          <w:rFonts w:ascii="Times New Roman" w:hAnsi="Times New Roman" w:cs="Times New Roman"/>
          <w:szCs w:val="24"/>
        </w:rPr>
        <w:t>fikacji dyspozycji składanych z </w:t>
      </w:r>
      <w:r w:rsidR="00975E7C" w:rsidRPr="00F27DDF">
        <w:rPr>
          <w:rFonts w:ascii="Times New Roman" w:hAnsi="Times New Roman" w:cs="Times New Roman"/>
          <w:szCs w:val="24"/>
        </w:rPr>
        <w:t>rachunku podmiotu kwalifikowanego, jeżeli dyspozycje dotyczą uznania takiego rachunku wirtualnego (</w:t>
      </w:r>
      <w:r w:rsidR="00E2534F" w:rsidRPr="00F27DDF">
        <w:rPr>
          <w:rFonts w:ascii="Times New Roman" w:hAnsi="Times New Roman" w:cs="Times New Roman"/>
          <w:szCs w:val="24"/>
        </w:rPr>
        <w:t xml:space="preserve">art. 1 pkt 6 lit. </w:t>
      </w:r>
      <w:r w:rsidR="00040469" w:rsidRPr="00F27DDF">
        <w:rPr>
          <w:rFonts w:ascii="Times New Roman" w:hAnsi="Times New Roman" w:cs="Times New Roman"/>
          <w:szCs w:val="24"/>
        </w:rPr>
        <w:t>c</w:t>
      </w:r>
      <w:r w:rsidR="00E2534F" w:rsidRPr="00F27DDF">
        <w:rPr>
          <w:rFonts w:ascii="Times New Roman" w:hAnsi="Times New Roman" w:cs="Times New Roman"/>
          <w:szCs w:val="24"/>
        </w:rPr>
        <w:t xml:space="preserve"> </w:t>
      </w:r>
      <w:proofErr w:type="spellStart"/>
      <w:r w:rsidR="00E2534F" w:rsidRPr="00F27DDF">
        <w:rPr>
          <w:rFonts w:ascii="Times New Roman" w:hAnsi="Times New Roman" w:cs="Times New Roman"/>
          <w:szCs w:val="24"/>
        </w:rPr>
        <w:t>tiret</w:t>
      </w:r>
      <w:proofErr w:type="spellEnd"/>
      <w:r w:rsidR="00E2534F" w:rsidRPr="00F27DDF">
        <w:rPr>
          <w:rFonts w:ascii="Times New Roman" w:hAnsi="Times New Roman" w:cs="Times New Roman"/>
          <w:szCs w:val="24"/>
        </w:rPr>
        <w:t xml:space="preserve"> trzecie projektu</w:t>
      </w:r>
      <w:r w:rsidR="00975E7C" w:rsidRPr="00F27DDF">
        <w:rPr>
          <w:rFonts w:ascii="Times New Roman" w:hAnsi="Times New Roman" w:cs="Times New Roman"/>
          <w:szCs w:val="24"/>
        </w:rPr>
        <w:t>)</w:t>
      </w:r>
      <w:r w:rsidR="00E2534F" w:rsidRPr="00F27DDF">
        <w:rPr>
          <w:rFonts w:ascii="Times New Roman" w:hAnsi="Times New Roman" w:cs="Times New Roman"/>
          <w:szCs w:val="24"/>
        </w:rPr>
        <w:t xml:space="preserve">, przepisy pozwalające izbie </w:t>
      </w:r>
      <w:r w:rsidR="00E2534F" w:rsidRPr="00F27DDF">
        <w:rPr>
          <w:rFonts w:ascii="Times New Roman" w:hAnsi="Times New Roman" w:cs="Times New Roman"/>
          <w:szCs w:val="24"/>
        </w:rPr>
        <w:lastRenderedPageBreak/>
        <w:t xml:space="preserve">rozliczeniowej na przetwarzanie </w:t>
      </w:r>
      <w:r w:rsidR="009B3184" w:rsidRPr="00F27DDF">
        <w:rPr>
          <w:rFonts w:ascii="Times New Roman" w:hAnsi="Times New Roman" w:cs="Times New Roman"/>
          <w:szCs w:val="24"/>
        </w:rPr>
        <w:t>informacji</w:t>
      </w:r>
      <w:r w:rsidR="00E2534F" w:rsidRPr="00F27DDF">
        <w:rPr>
          <w:rFonts w:ascii="Times New Roman" w:hAnsi="Times New Roman" w:cs="Times New Roman"/>
          <w:szCs w:val="24"/>
        </w:rPr>
        <w:t xml:space="preserve"> publicznie dostępnych (art. 1 pkt 8 projektu) i przepis art. 16 projektu mający na celu pozostawienie opłaty za ustalanie wskaźnika w 2018 r. na niezmienionym poziomie.</w:t>
      </w:r>
    </w:p>
    <w:p w:rsidR="00D94BC3" w:rsidRPr="00F27DDF" w:rsidRDefault="00D94BC3" w:rsidP="00F27DDF">
      <w:pPr>
        <w:pStyle w:val="ARTartustawynprozporzdzenia"/>
        <w:ind w:firstLine="0"/>
        <w:rPr>
          <w:rFonts w:ascii="Times New Roman" w:hAnsi="Times New Roman" w:cs="Times New Roman"/>
          <w:szCs w:val="24"/>
        </w:rPr>
      </w:pPr>
      <w:r w:rsidRPr="00F27DDF">
        <w:rPr>
          <w:rFonts w:ascii="Times New Roman" w:hAnsi="Times New Roman" w:cs="Times New Roman"/>
          <w:bCs/>
          <w:szCs w:val="24"/>
        </w:rPr>
        <w:t xml:space="preserve">Proponuje się, aby z dniem 1 października 2018 r. weszły w życie przepisy dotyczące sygnalizowania przez izbę rozliczeniową rozbieżności pomiędzy </w:t>
      </w:r>
      <w:r w:rsidR="00F61862" w:rsidRPr="00F27DDF">
        <w:rPr>
          <w:rFonts w:ascii="Times New Roman" w:hAnsi="Times New Roman" w:cs="Times New Roman"/>
          <w:bCs/>
          <w:szCs w:val="24"/>
        </w:rPr>
        <w:t>numeram</w:t>
      </w:r>
      <w:r w:rsidRPr="00F27DDF">
        <w:rPr>
          <w:rFonts w:ascii="Times New Roman" w:hAnsi="Times New Roman" w:cs="Times New Roman"/>
          <w:bCs/>
          <w:szCs w:val="24"/>
        </w:rPr>
        <w:t xml:space="preserve">i z banków lub SKOK-ów a </w:t>
      </w:r>
      <w:r w:rsidR="00F61862" w:rsidRPr="00F27DDF">
        <w:rPr>
          <w:rFonts w:ascii="Times New Roman" w:hAnsi="Times New Roman" w:cs="Times New Roman"/>
          <w:bCs/>
          <w:szCs w:val="24"/>
        </w:rPr>
        <w:t>numera</w:t>
      </w:r>
      <w:r w:rsidRPr="00F27DDF">
        <w:rPr>
          <w:rFonts w:ascii="Times New Roman" w:hAnsi="Times New Roman" w:cs="Times New Roman"/>
          <w:bCs/>
          <w:szCs w:val="24"/>
        </w:rPr>
        <w:t xml:space="preserve">mi z </w:t>
      </w:r>
      <w:r w:rsidR="00066014" w:rsidRPr="00F27DDF">
        <w:rPr>
          <w:rFonts w:ascii="Times New Roman" w:hAnsi="Times New Roman" w:cs="Times New Roman"/>
          <w:bCs/>
          <w:szCs w:val="24"/>
        </w:rPr>
        <w:t xml:space="preserve">Centralnego Rejestru Podmiotów – Krajowej Ewidencji Podatników w zakresie </w:t>
      </w:r>
      <w:r w:rsidR="00F61862" w:rsidRPr="00F27DDF">
        <w:rPr>
          <w:rFonts w:ascii="Times New Roman" w:hAnsi="Times New Roman" w:cs="Times New Roman"/>
          <w:bCs/>
          <w:szCs w:val="24"/>
        </w:rPr>
        <w:t>numerów</w:t>
      </w:r>
      <w:r w:rsidR="00066014" w:rsidRPr="00F27DDF">
        <w:rPr>
          <w:rFonts w:ascii="Times New Roman" w:hAnsi="Times New Roman" w:cs="Times New Roman"/>
          <w:bCs/>
          <w:szCs w:val="24"/>
        </w:rPr>
        <w:t>, o których m</w:t>
      </w:r>
      <w:r w:rsidR="00C847B8">
        <w:rPr>
          <w:rFonts w:ascii="Times New Roman" w:hAnsi="Times New Roman" w:cs="Times New Roman"/>
          <w:bCs/>
          <w:szCs w:val="24"/>
        </w:rPr>
        <w:t>owa w art. 119zr § 1 pkt 4 lit. </w:t>
      </w:r>
      <w:r w:rsidR="00F61862" w:rsidRPr="00F27DDF">
        <w:rPr>
          <w:rFonts w:ascii="Times New Roman" w:hAnsi="Times New Roman" w:cs="Times New Roman"/>
          <w:bCs/>
          <w:szCs w:val="24"/>
        </w:rPr>
        <w:t xml:space="preserve">b i lit. </w:t>
      </w:r>
      <w:r w:rsidR="00066014" w:rsidRPr="00F27DDF">
        <w:rPr>
          <w:rFonts w:ascii="Times New Roman" w:hAnsi="Times New Roman" w:cs="Times New Roman"/>
          <w:bCs/>
          <w:szCs w:val="24"/>
        </w:rPr>
        <w:t xml:space="preserve">c Ordynacji podatkowej (np. </w:t>
      </w:r>
      <w:r w:rsidR="00F61862" w:rsidRPr="00F27DDF">
        <w:rPr>
          <w:rFonts w:ascii="Times New Roman" w:hAnsi="Times New Roman" w:cs="Times New Roman"/>
          <w:bCs/>
          <w:szCs w:val="24"/>
        </w:rPr>
        <w:t xml:space="preserve">numeru w Krajowym Rejestrze Sądowym, </w:t>
      </w:r>
      <w:r w:rsidR="00066014" w:rsidRPr="00F27DDF">
        <w:rPr>
          <w:rFonts w:ascii="Times New Roman" w:hAnsi="Times New Roman" w:cs="Times New Roman"/>
          <w:bCs/>
          <w:szCs w:val="24"/>
        </w:rPr>
        <w:t xml:space="preserve">numeru PESEL, numeru identyfikacyjnego REGON czy numeru identyfikacji podatkowej). </w:t>
      </w:r>
    </w:p>
    <w:p w:rsidR="005C3F1F" w:rsidRPr="00F27DDF" w:rsidRDefault="00AB11F1" w:rsidP="00F27DDF">
      <w:pPr>
        <w:pStyle w:val="ARTartustawynprozporzdzenia"/>
        <w:ind w:firstLine="0"/>
        <w:rPr>
          <w:rFonts w:ascii="Times New Roman" w:hAnsi="Times New Roman" w:cs="Times New Roman"/>
          <w:szCs w:val="24"/>
        </w:rPr>
      </w:pPr>
      <w:r w:rsidRPr="00F27DDF">
        <w:rPr>
          <w:rFonts w:ascii="Times New Roman" w:hAnsi="Times New Roman" w:cs="Times New Roman"/>
          <w:szCs w:val="24"/>
        </w:rPr>
        <w:t>Przepisy dotyczące rozszerzenia definicji rach</w:t>
      </w:r>
      <w:r w:rsidR="00C847B8">
        <w:rPr>
          <w:rFonts w:ascii="Times New Roman" w:hAnsi="Times New Roman" w:cs="Times New Roman"/>
          <w:szCs w:val="24"/>
        </w:rPr>
        <w:t>unku podmiotu kwalifikowanego o </w:t>
      </w:r>
      <w:r w:rsidRPr="00F27DDF">
        <w:rPr>
          <w:rFonts w:ascii="Times New Roman" w:hAnsi="Times New Roman" w:cs="Times New Roman"/>
          <w:szCs w:val="24"/>
        </w:rPr>
        <w:t>rachunek lokaty terminowej tego podmiotu (art. 1 pkt 1 l</w:t>
      </w:r>
      <w:r w:rsidR="00C847B8">
        <w:rPr>
          <w:rFonts w:ascii="Times New Roman" w:hAnsi="Times New Roman" w:cs="Times New Roman"/>
          <w:szCs w:val="24"/>
        </w:rPr>
        <w:t>it. b w zakresie art. 119zg pkt </w:t>
      </w:r>
      <w:r w:rsidRPr="00F27DDF">
        <w:rPr>
          <w:rFonts w:ascii="Times New Roman" w:hAnsi="Times New Roman" w:cs="Times New Roman"/>
          <w:szCs w:val="24"/>
        </w:rPr>
        <w:t>5 lit. b</w:t>
      </w:r>
      <w:r w:rsidR="00C13C62">
        <w:rPr>
          <w:rFonts w:ascii="Times New Roman" w:hAnsi="Times New Roman" w:cs="Times New Roman"/>
          <w:szCs w:val="24"/>
        </w:rPr>
        <w:t xml:space="preserve"> projektu</w:t>
      </w:r>
      <w:r w:rsidR="006B1F16" w:rsidRPr="00F27DDF">
        <w:rPr>
          <w:rFonts w:ascii="Times New Roman" w:hAnsi="Times New Roman" w:cs="Times New Roman"/>
          <w:szCs w:val="24"/>
        </w:rPr>
        <w:t>)</w:t>
      </w:r>
      <w:r w:rsidR="00B42B4D" w:rsidRPr="00F27DDF">
        <w:rPr>
          <w:rFonts w:ascii="Times New Roman" w:hAnsi="Times New Roman" w:cs="Times New Roman"/>
          <w:szCs w:val="24"/>
        </w:rPr>
        <w:t xml:space="preserve">, </w:t>
      </w:r>
      <w:r w:rsidR="006B1F16" w:rsidRPr="00F27DDF">
        <w:rPr>
          <w:rFonts w:ascii="Times New Roman" w:hAnsi="Times New Roman" w:cs="Times New Roman"/>
          <w:szCs w:val="24"/>
        </w:rPr>
        <w:t xml:space="preserve">inne przepisy dotyczące rachunków lokaty terminowej </w:t>
      </w:r>
      <w:r w:rsidR="00B42B4D" w:rsidRPr="00F27DDF">
        <w:rPr>
          <w:rFonts w:ascii="Times New Roman" w:hAnsi="Times New Roman" w:cs="Times New Roman"/>
          <w:szCs w:val="24"/>
        </w:rPr>
        <w:t xml:space="preserve">(art. 12 projektu), </w:t>
      </w:r>
      <w:r w:rsidRPr="00F27DDF">
        <w:rPr>
          <w:rFonts w:ascii="Times New Roman" w:hAnsi="Times New Roman" w:cs="Times New Roman"/>
          <w:szCs w:val="24"/>
        </w:rPr>
        <w:t xml:space="preserve">przepisy rozszerzające katalog danych przesyłanych codziennie przez banki i SKOK-i do Szefa Krajowej Administracji Skarbowej za pośrednictwem STIR (art. 1 pkt 6 lit. </w:t>
      </w:r>
      <w:r w:rsidR="00F61862" w:rsidRPr="00F27DDF">
        <w:rPr>
          <w:rFonts w:ascii="Times New Roman" w:hAnsi="Times New Roman" w:cs="Times New Roman"/>
          <w:szCs w:val="24"/>
        </w:rPr>
        <w:t>a</w:t>
      </w:r>
      <w:r w:rsidRPr="00F27DDF">
        <w:rPr>
          <w:rFonts w:ascii="Times New Roman" w:hAnsi="Times New Roman" w:cs="Times New Roman"/>
          <w:szCs w:val="24"/>
        </w:rPr>
        <w:t xml:space="preserve"> </w:t>
      </w:r>
      <w:r w:rsidR="00C847B8">
        <w:rPr>
          <w:rFonts w:ascii="Times New Roman" w:hAnsi="Times New Roman" w:cs="Times New Roman"/>
          <w:szCs w:val="24"/>
        </w:rPr>
        <w:t>i </w:t>
      </w:r>
      <w:r w:rsidRPr="00F27DDF">
        <w:rPr>
          <w:rFonts w:ascii="Times New Roman" w:hAnsi="Times New Roman" w:cs="Times New Roman"/>
          <w:szCs w:val="24"/>
        </w:rPr>
        <w:t xml:space="preserve">lit. </w:t>
      </w:r>
      <w:r w:rsidR="00F61862" w:rsidRPr="00F27DDF">
        <w:rPr>
          <w:rFonts w:ascii="Times New Roman" w:hAnsi="Times New Roman" w:cs="Times New Roman"/>
          <w:szCs w:val="24"/>
        </w:rPr>
        <w:t>b</w:t>
      </w:r>
      <w:r w:rsidRPr="00F27DDF">
        <w:rPr>
          <w:rFonts w:ascii="Times New Roman" w:hAnsi="Times New Roman" w:cs="Times New Roman"/>
          <w:szCs w:val="24"/>
        </w:rPr>
        <w:t xml:space="preserve"> </w:t>
      </w:r>
      <w:proofErr w:type="spellStart"/>
      <w:r w:rsidRPr="00F27DDF">
        <w:rPr>
          <w:rFonts w:ascii="Times New Roman" w:hAnsi="Times New Roman" w:cs="Times New Roman"/>
          <w:szCs w:val="24"/>
        </w:rPr>
        <w:t>tiret</w:t>
      </w:r>
      <w:proofErr w:type="spellEnd"/>
      <w:r w:rsidRPr="00F27DDF">
        <w:rPr>
          <w:rFonts w:ascii="Times New Roman" w:hAnsi="Times New Roman" w:cs="Times New Roman"/>
          <w:szCs w:val="24"/>
        </w:rPr>
        <w:t xml:space="preserve"> pierwsz</w:t>
      </w:r>
      <w:r w:rsidR="00211561" w:rsidRPr="00F27DDF">
        <w:rPr>
          <w:rFonts w:ascii="Times New Roman" w:hAnsi="Times New Roman" w:cs="Times New Roman"/>
          <w:szCs w:val="24"/>
        </w:rPr>
        <w:t>e</w:t>
      </w:r>
      <w:r w:rsidR="00F61862" w:rsidRPr="00F27DDF">
        <w:rPr>
          <w:rFonts w:ascii="Times New Roman" w:hAnsi="Times New Roman" w:cs="Times New Roman"/>
          <w:szCs w:val="24"/>
        </w:rPr>
        <w:t xml:space="preserve"> i trzecie</w:t>
      </w:r>
      <w:r w:rsidR="006B1F16" w:rsidRPr="00F27DDF">
        <w:rPr>
          <w:rFonts w:ascii="Times New Roman" w:hAnsi="Times New Roman" w:cs="Times New Roman"/>
          <w:szCs w:val="24"/>
        </w:rPr>
        <w:t>,</w:t>
      </w:r>
      <w:r w:rsidRPr="00F27DDF">
        <w:rPr>
          <w:rFonts w:ascii="Times New Roman" w:hAnsi="Times New Roman" w:cs="Times New Roman"/>
          <w:szCs w:val="24"/>
        </w:rPr>
        <w:t xml:space="preserve"> pkt 7</w:t>
      </w:r>
      <w:r w:rsidR="00962D79">
        <w:rPr>
          <w:rFonts w:ascii="Times New Roman" w:hAnsi="Times New Roman" w:cs="Times New Roman"/>
          <w:szCs w:val="24"/>
        </w:rPr>
        <w:t>)</w:t>
      </w:r>
      <w:r w:rsidR="0072253E" w:rsidRPr="00F27DDF">
        <w:rPr>
          <w:rFonts w:ascii="Times New Roman" w:hAnsi="Times New Roman" w:cs="Times New Roman"/>
          <w:szCs w:val="24"/>
        </w:rPr>
        <w:t xml:space="preserve">, a także przepisy </w:t>
      </w:r>
      <w:r w:rsidR="0050678C" w:rsidRPr="00F27DDF">
        <w:rPr>
          <w:rFonts w:ascii="Times New Roman" w:hAnsi="Times New Roman" w:cs="Times New Roman"/>
          <w:szCs w:val="24"/>
        </w:rPr>
        <w:t xml:space="preserve">związane z informowaniem przez bank lub SKOK o przekazaniu żądania lub dokonaniu blokady wyłącznie na wniosek podmiotu kwalifikowanego (art. 1 </w:t>
      </w:r>
      <w:r w:rsidR="0072253E" w:rsidRPr="00F27DDF">
        <w:rPr>
          <w:rFonts w:ascii="Times New Roman" w:hAnsi="Times New Roman" w:cs="Times New Roman"/>
          <w:szCs w:val="24"/>
        </w:rPr>
        <w:t>pkt 9 lit. b</w:t>
      </w:r>
      <w:r w:rsidR="00F27DDF">
        <w:rPr>
          <w:rFonts w:ascii="Times New Roman" w:hAnsi="Times New Roman" w:cs="Times New Roman"/>
          <w:szCs w:val="24"/>
        </w:rPr>
        <w:t xml:space="preserve"> w zakresie art. 119zv § 4a–</w:t>
      </w:r>
      <w:r w:rsidR="00F61862" w:rsidRPr="00F27DDF">
        <w:rPr>
          <w:rFonts w:ascii="Times New Roman" w:hAnsi="Times New Roman" w:cs="Times New Roman"/>
          <w:szCs w:val="24"/>
        </w:rPr>
        <w:t>4d</w:t>
      </w:r>
      <w:r w:rsidR="005E246C">
        <w:rPr>
          <w:rFonts w:ascii="Times New Roman" w:hAnsi="Times New Roman" w:cs="Times New Roman"/>
          <w:szCs w:val="24"/>
        </w:rPr>
        <w:t xml:space="preserve">, art. 1 pkt </w:t>
      </w:r>
      <w:r w:rsidR="006B1F16" w:rsidRPr="00F27DDF">
        <w:rPr>
          <w:rFonts w:ascii="Times New Roman" w:hAnsi="Times New Roman" w:cs="Times New Roman"/>
          <w:szCs w:val="24"/>
        </w:rPr>
        <w:t xml:space="preserve">10 lit. a i </w:t>
      </w:r>
      <w:r w:rsidR="00F61862" w:rsidRPr="00F27DDF">
        <w:rPr>
          <w:rFonts w:ascii="Times New Roman" w:hAnsi="Times New Roman" w:cs="Times New Roman"/>
          <w:szCs w:val="24"/>
        </w:rPr>
        <w:t xml:space="preserve">lit. </w:t>
      </w:r>
      <w:r w:rsidR="006B1F16" w:rsidRPr="00F27DDF">
        <w:rPr>
          <w:rFonts w:ascii="Times New Roman" w:hAnsi="Times New Roman" w:cs="Times New Roman"/>
          <w:szCs w:val="24"/>
        </w:rPr>
        <w:t>c</w:t>
      </w:r>
      <w:r w:rsidR="003A7E37" w:rsidRPr="00F27DDF">
        <w:rPr>
          <w:rFonts w:ascii="Times New Roman" w:hAnsi="Times New Roman" w:cs="Times New Roman"/>
          <w:szCs w:val="24"/>
        </w:rPr>
        <w:t xml:space="preserve"> w zakresie art. 119zv §</w:t>
      </w:r>
      <w:r w:rsidR="00E86F68" w:rsidRPr="00F27DDF">
        <w:rPr>
          <w:rFonts w:ascii="Times New Roman" w:hAnsi="Times New Roman" w:cs="Times New Roman"/>
          <w:szCs w:val="24"/>
        </w:rPr>
        <w:t xml:space="preserve"> </w:t>
      </w:r>
      <w:r w:rsidR="00F27DDF">
        <w:rPr>
          <w:rFonts w:ascii="Times New Roman" w:hAnsi="Times New Roman" w:cs="Times New Roman"/>
          <w:szCs w:val="24"/>
        </w:rPr>
        <w:t>4a–</w:t>
      </w:r>
      <w:r w:rsidR="003A7E37" w:rsidRPr="00F27DDF">
        <w:rPr>
          <w:rFonts w:ascii="Times New Roman" w:hAnsi="Times New Roman" w:cs="Times New Roman"/>
          <w:szCs w:val="24"/>
        </w:rPr>
        <w:t>4d</w:t>
      </w:r>
      <w:r w:rsidR="00C13C62">
        <w:rPr>
          <w:rFonts w:ascii="Times New Roman" w:hAnsi="Times New Roman" w:cs="Times New Roman"/>
          <w:szCs w:val="24"/>
        </w:rPr>
        <w:t>)</w:t>
      </w:r>
      <w:r w:rsidRPr="00F27DDF">
        <w:rPr>
          <w:rFonts w:ascii="Times New Roman" w:hAnsi="Times New Roman" w:cs="Times New Roman"/>
          <w:szCs w:val="24"/>
        </w:rPr>
        <w:t xml:space="preserve"> wymagają</w:t>
      </w:r>
      <w:r w:rsidR="00F27DDF">
        <w:rPr>
          <w:rFonts w:ascii="Times New Roman" w:hAnsi="Times New Roman" w:cs="Times New Roman"/>
          <w:szCs w:val="24"/>
        </w:rPr>
        <w:t xml:space="preserve"> </w:t>
      </w:r>
      <w:r w:rsidRPr="00F27DDF">
        <w:rPr>
          <w:rFonts w:ascii="Times New Roman" w:hAnsi="Times New Roman" w:cs="Times New Roman"/>
          <w:szCs w:val="24"/>
        </w:rPr>
        <w:t xml:space="preserve">przygotowania technicznego </w:t>
      </w:r>
      <w:r w:rsidR="0072253E" w:rsidRPr="00F27DDF">
        <w:rPr>
          <w:rFonts w:ascii="Times New Roman" w:hAnsi="Times New Roman" w:cs="Times New Roman"/>
          <w:szCs w:val="24"/>
        </w:rPr>
        <w:t xml:space="preserve">i organizacyjnego </w:t>
      </w:r>
      <w:r w:rsidRPr="00F27DDF">
        <w:rPr>
          <w:rFonts w:ascii="Times New Roman" w:hAnsi="Times New Roman" w:cs="Times New Roman"/>
          <w:szCs w:val="24"/>
        </w:rPr>
        <w:t>banków i SKOK-ów. Stąd regulac</w:t>
      </w:r>
      <w:r w:rsidR="005E246C">
        <w:rPr>
          <w:rFonts w:ascii="Times New Roman" w:hAnsi="Times New Roman" w:cs="Times New Roman"/>
          <w:szCs w:val="24"/>
        </w:rPr>
        <w:t xml:space="preserve">je te wchodzą w życie z dniem 1 </w:t>
      </w:r>
      <w:r w:rsidR="00F80F18" w:rsidRPr="00F27DDF">
        <w:rPr>
          <w:rFonts w:ascii="Times New Roman" w:hAnsi="Times New Roman" w:cs="Times New Roman"/>
          <w:szCs w:val="24"/>
        </w:rPr>
        <w:t>lipca</w:t>
      </w:r>
      <w:r w:rsidRPr="00F27DDF">
        <w:rPr>
          <w:rFonts w:ascii="Times New Roman" w:hAnsi="Times New Roman" w:cs="Times New Roman"/>
          <w:szCs w:val="24"/>
        </w:rPr>
        <w:t xml:space="preserve"> 2019 r. </w:t>
      </w:r>
    </w:p>
    <w:p w:rsidR="005C3F1F" w:rsidRPr="00F27DDF" w:rsidRDefault="00AB11F1" w:rsidP="00F27DDF">
      <w:pPr>
        <w:pStyle w:val="ARTartustawynprozporzdzenia"/>
        <w:ind w:firstLine="0"/>
        <w:rPr>
          <w:rFonts w:ascii="Times New Roman" w:hAnsi="Times New Roman" w:cs="Times New Roman"/>
          <w:bCs/>
          <w:szCs w:val="24"/>
        </w:rPr>
      </w:pPr>
      <w:r w:rsidRPr="00F27DDF">
        <w:rPr>
          <w:rFonts w:ascii="Times New Roman" w:hAnsi="Times New Roman" w:cs="Times New Roman"/>
          <w:bCs/>
          <w:szCs w:val="24"/>
        </w:rPr>
        <w:t>Przedmiot projektowanej regulacji nie jest objęty zakresem prawa Unii Europejskiej.</w:t>
      </w:r>
    </w:p>
    <w:p w:rsidR="005C3F1F" w:rsidRPr="00F27DDF" w:rsidRDefault="00AB11F1" w:rsidP="00F27DDF">
      <w:pPr>
        <w:pStyle w:val="ARTartustawynprozporzdzenia"/>
        <w:ind w:firstLine="0"/>
        <w:rPr>
          <w:rFonts w:ascii="Times New Roman" w:hAnsi="Times New Roman" w:cs="Times New Roman"/>
          <w:bCs/>
          <w:szCs w:val="24"/>
        </w:rPr>
      </w:pPr>
      <w:r w:rsidRPr="00F27DDF">
        <w:rPr>
          <w:rFonts w:ascii="Times New Roman" w:hAnsi="Times New Roman" w:cs="Times New Roman"/>
          <w:bCs/>
          <w:szCs w:val="24"/>
        </w:rPr>
        <w:t>Projekt ustawy nie podlega przedstawieniu właściwym organom i instytucjom Unii Europejskiej, w tym Europejskiemu Bankowi Centralnemu.</w:t>
      </w:r>
    </w:p>
    <w:p w:rsidR="005C3F1F" w:rsidRPr="00F27DDF" w:rsidRDefault="00AB11F1" w:rsidP="00F27DDF">
      <w:pPr>
        <w:pStyle w:val="ARTartustawynprozporzdzenia"/>
        <w:ind w:firstLine="0"/>
        <w:rPr>
          <w:rFonts w:ascii="Times New Roman" w:hAnsi="Times New Roman" w:cs="Times New Roman"/>
          <w:szCs w:val="24"/>
        </w:rPr>
      </w:pPr>
      <w:r w:rsidRPr="00F27DDF">
        <w:rPr>
          <w:rFonts w:ascii="Times New Roman" w:hAnsi="Times New Roman" w:cs="Times New Roman"/>
          <w:szCs w:val="24"/>
        </w:rPr>
        <w:t>Zgodnie z art. 5 ustawy z dnia 7 lipca 2005 r. o działalności lobbingowej w procesie stanowienia prawa projekt ustawy został zamieszc</w:t>
      </w:r>
      <w:r w:rsidR="00C847B8">
        <w:rPr>
          <w:rFonts w:ascii="Times New Roman" w:hAnsi="Times New Roman" w:cs="Times New Roman"/>
          <w:szCs w:val="24"/>
        </w:rPr>
        <w:t>zony w </w:t>
      </w:r>
      <w:r w:rsidRPr="00F27DDF">
        <w:rPr>
          <w:rFonts w:ascii="Times New Roman" w:hAnsi="Times New Roman" w:cs="Times New Roman"/>
          <w:szCs w:val="24"/>
        </w:rPr>
        <w:t xml:space="preserve">Biuletynie Informacji Publicznej Rządowego Centrum Legislacji. </w:t>
      </w:r>
    </w:p>
    <w:p w:rsidR="005C3F1F" w:rsidRPr="00F27DDF" w:rsidRDefault="00AB11F1" w:rsidP="00F27DDF">
      <w:pPr>
        <w:pStyle w:val="ARTartustawynprozporzdzenia"/>
        <w:ind w:firstLine="0"/>
        <w:rPr>
          <w:rFonts w:ascii="Times New Roman" w:hAnsi="Times New Roman" w:cs="Times New Roman"/>
          <w:szCs w:val="24"/>
        </w:rPr>
      </w:pPr>
      <w:r w:rsidRPr="00F27DDF">
        <w:rPr>
          <w:rFonts w:ascii="Times New Roman" w:hAnsi="Times New Roman" w:cs="Times New Roman"/>
          <w:bCs/>
          <w:szCs w:val="24"/>
        </w:rPr>
        <w:t>Projekt nie zawiera przepisów technicznych, a zatem nie podlega notyfikacji zgodnie</w:t>
      </w:r>
      <w:r w:rsidR="00F27DDF">
        <w:rPr>
          <w:rFonts w:ascii="Times New Roman" w:hAnsi="Times New Roman" w:cs="Times New Roman"/>
          <w:bCs/>
          <w:szCs w:val="24"/>
        </w:rPr>
        <w:t xml:space="preserve"> </w:t>
      </w:r>
      <w:r w:rsidR="00C847B8">
        <w:rPr>
          <w:rFonts w:ascii="Times New Roman" w:hAnsi="Times New Roman" w:cs="Times New Roman"/>
          <w:bCs/>
          <w:szCs w:val="24"/>
        </w:rPr>
        <w:t>z </w:t>
      </w:r>
      <w:r w:rsidRPr="00F27DDF">
        <w:rPr>
          <w:rFonts w:ascii="Times New Roman" w:hAnsi="Times New Roman" w:cs="Times New Roman"/>
          <w:bCs/>
          <w:szCs w:val="24"/>
        </w:rPr>
        <w:t>trybem przewidzianym w rozporządzeniu Rady Ministrów z dnia 23 grudnia 2002 r.</w:t>
      </w:r>
      <w:r w:rsidR="00F27DDF">
        <w:rPr>
          <w:rFonts w:ascii="Times New Roman" w:hAnsi="Times New Roman" w:cs="Times New Roman"/>
          <w:bCs/>
          <w:szCs w:val="24"/>
        </w:rPr>
        <w:t xml:space="preserve"> </w:t>
      </w:r>
      <w:r w:rsidR="00C847B8">
        <w:rPr>
          <w:rFonts w:ascii="Times New Roman" w:hAnsi="Times New Roman" w:cs="Times New Roman"/>
          <w:bCs/>
          <w:szCs w:val="24"/>
        </w:rPr>
        <w:t>w </w:t>
      </w:r>
      <w:r w:rsidRPr="00F27DDF">
        <w:rPr>
          <w:rFonts w:ascii="Times New Roman" w:hAnsi="Times New Roman" w:cs="Times New Roman"/>
          <w:bCs/>
          <w:szCs w:val="24"/>
        </w:rPr>
        <w:t>sprawie sposobu funkcjonowania krajowego systemu notyfikacji norm i aktów prawnych.</w:t>
      </w:r>
    </w:p>
    <w:sectPr w:rsidR="005C3F1F" w:rsidRPr="00F27DDF" w:rsidSect="00F27DDF">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045" w:rsidRDefault="00606045" w:rsidP="005C3F1F">
      <w:pPr>
        <w:spacing w:after="0" w:line="240" w:lineRule="auto"/>
      </w:pPr>
      <w:r>
        <w:separator/>
      </w:r>
    </w:p>
  </w:endnote>
  <w:endnote w:type="continuationSeparator" w:id="0">
    <w:p w:rsidR="00606045" w:rsidRDefault="00606045" w:rsidP="005C3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1063056"/>
      <w:docPartObj>
        <w:docPartGallery w:val="AutoText"/>
      </w:docPartObj>
    </w:sdtPr>
    <w:sdtEndPr/>
    <w:sdtContent>
      <w:p w:rsidR="00606045" w:rsidRPr="00F27DDF" w:rsidRDefault="00606045" w:rsidP="00F27DDF">
        <w:pPr>
          <w:pStyle w:val="Stopka"/>
          <w:jc w:val="center"/>
          <w:rPr>
            <w:rFonts w:ascii="Times New Roman" w:hAnsi="Times New Roman" w:cs="Times New Roman"/>
            <w:sz w:val="24"/>
            <w:szCs w:val="24"/>
          </w:rPr>
        </w:pPr>
        <w:r w:rsidRPr="00F27DDF">
          <w:rPr>
            <w:rFonts w:ascii="Times New Roman" w:hAnsi="Times New Roman" w:cs="Times New Roman"/>
            <w:sz w:val="24"/>
            <w:szCs w:val="24"/>
          </w:rPr>
          <w:fldChar w:fldCharType="begin"/>
        </w:r>
        <w:r w:rsidRPr="00F27DDF">
          <w:rPr>
            <w:rFonts w:ascii="Times New Roman" w:hAnsi="Times New Roman" w:cs="Times New Roman"/>
            <w:sz w:val="24"/>
            <w:szCs w:val="24"/>
          </w:rPr>
          <w:instrText>PAGE   \* MERGEFORMAT</w:instrText>
        </w:r>
        <w:r w:rsidRPr="00F27DDF">
          <w:rPr>
            <w:rFonts w:ascii="Times New Roman" w:hAnsi="Times New Roman" w:cs="Times New Roman"/>
            <w:sz w:val="24"/>
            <w:szCs w:val="24"/>
          </w:rPr>
          <w:fldChar w:fldCharType="separate"/>
        </w:r>
        <w:r w:rsidR="00C70C78">
          <w:rPr>
            <w:rFonts w:ascii="Times New Roman" w:hAnsi="Times New Roman" w:cs="Times New Roman"/>
            <w:noProof/>
            <w:sz w:val="24"/>
            <w:szCs w:val="24"/>
          </w:rPr>
          <w:t>21</w:t>
        </w:r>
        <w:r w:rsidRPr="00F27DDF">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045" w:rsidRDefault="00606045" w:rsidP="005C3F1F">
      <w:pPr>
        <w:spacing w:after="0" w:line="240" w:lineRule="auto"/>
      </w:pPr>
      <w:r>
        <w:separator/>
      </w:r>
    </w:p>
  </w:footnote>
  <w:footnote w:type="continuationSeparator" w:id="0">
    <w:p w:rsidR="00606045" w:rsidRDefault="00606045" w:rsidP="005C3F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A5558"/>
    <w:multiLevelType w:val="hybridMultilevel"/>
    <w:tmpl w:val="C0BA1E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86909F4"/>
    <w:multiLevelType w:val="multilevel"/>
    <w:tmpl w:val="22AEF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4934B63"/>
    <w:multiLevelType w:val="multilevel"/>
    <w:tmpl w:val="54934B6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EA0"/>
    <w:rsid w:val="0000040C"/>
    <w:rsid w:val="00000A8D"/>
    <w:rsid w:val="000010CD"/>
    <w:rsid w:val="000011BE"/>
    <w:rsid w:val="00002501"/>
    <w:rsid w:val="00002FEA"/>
    <w:rsid w:val="00003541"/>
    <w:rsid w:val="00003A80"/>
    <w:rsid w:val="00004501"/>
    <w:rsid w:val="00007BE7"/>
    <w:rsid w:val="0001089A"/>
    <w:rsid w:val="00011984"/>
    <w:rsid w:val="00012AD8"/>
    <w:rsid w:val="0001304F"/>
    <w:rsid w:val="000135D9"/>
    <w:rsid w:val="000136DC"/>
    <w:rsid w:val="00013847"/>
    <w:rsid w:val="0001413A"/>
    <w:rsid w:val="00014DF0"/>
    <w:rsid w:val="00015188"/>
    <w:rsid w:val="000157F9"/>
    <w:rsid w:val="0001586D"/>
    <w:rsid w:val="0001649F"/>
    <w:rsid w:val="00016FAB"/>
    <w:rsid w:val="000178C4"/>
    <w:rsid w:val="00020FF0"/>
    <w:rsid w:val="000214CA"/>
    <w:rsid w:val="00021909"/>
    <w:rsid w:val="00021D8B"/>
    <w:rsid w:val="00022EDE"/>
    <w:rsid w:val="00023531"/>
    <w:rsid w:val="00023BED"/>
    <w:rsid w:val="000242EA"/>
    <w:rsid w:val="000244F7"/>
    <w:rsid w:val="0002475B"/>
    <w:rsid w:val="00024B2C"/>
    <w:rsid w:val="00024C2A"/>
    <w:rsid w:val="00024ECD"/>
    <w:rsid w:val="000255CB"/>
    <w:rsid w:val="000256AA"/>
    <w:rsid w:val="00025AF0"/>
    <w:rsid w:val="00026272"/>
    <w:rsid w:val="0002655C"/>
    <w:rsid w:val="00026A2F"/>
    <w:rsid w:val="00026B3E"/>
    <w:rsid w:val="00026B81"/>
    <w:rsid w:val="00026E52"/>
    <w:rsid w:val="0002705C"/>
    <w:rsid w:val="000270B3"/>
    <w:rsid w:val="000275DF"/>
    <w:rsid w:val="00030F92"/>
    <w:rsid w:val="00031357"/>
    <w:rsid w:val="000317C6"/>
    <w:rsid w:val="000331E4"/>
    <w:rsid w:val="000334AB"/>
    <w:rsid w:val="000338BD"/>
    <w:rsid w:val="0003478B"/>
    <w:rsid w:val="000347C2"/>
    <w:rsid w:val="00035399"/>
    <w:rsid w:val="00035A13"/>
    <w:rsid w:val="00035BFE"/>
    <w:rsid w:val="00035E42"/>
    <w:rsid w:val="00036368"/>
    <w:rsid w:val="000366F1"/>
    <w:rsid w:val="00036C85"/>
    <w:rsid w:val="00037CE9"/>
    <w:rsid w:val="000400B5"/>
    <w:rsid w:val="00040469"/>
    <w:rsid w:val="00040739"/>
    <w:rsid w:val="00042A74"/>
    <w:rsid w:val="00042BB6"/>
    <w:rsid w:val="00042CAD"/>
    <w:rsid w:val="0004305A"/>
    <w:rsid w:val="0004447D"/>
    <w:rsid w:val="000444A2"/>
    <w:rsid w:val="0004458D"/>
    <w:rsid w:val="0004535F"/>
    <w:rsid w:val="00047824"/>
    <w:rsid w:val="00047D2B"/>
    <w:rsid w:val="00047E3B"/>
    <w:rsid w:val="00050288"/>
    <w:rsid w:val="00050D4F"/>
    <w:rsid w:val="00050EAA"/>
    <w:rsid w:val="00051894"/>
    <w:rsid w:val="00051EF1"/>
    <w:rsid w:val="0005234B"/>
    <w:rsid w:val="000528A8"/>
    <w:rsid w:val="00053035"/>
    <w:rsid w:val="0005568C"/>
    <w:rsid w:val="00055BB2"/>
    <w:rsid w:val="00055F1A"/>
    <w:rsid w:val="000573C1"/>
    <w:rsid w:val="000577B0"/>
    <w:rsid w:val="00057858"/>
    <w:rsid w:val="00057964"/>
    <w:rsid w:val="00060336"/>
    <w:rsid w:val="00060766"/>
    <w:rsid w:val="00060C81"/>
    <w:rsid w:val="0006106E"/>
    <w:rsid w:val="0006157B"/>
    <w:rsid w:val="0006178A"/>
    <w:rsid w:val="000618B4"/>
    <w:rsid w:val="0006220D"/>
    <w:rsid w:val="000622F1"/>
    <w:rsid w:val="000626D3"/>
    <w:rsid w:val="00062BD1"/>
    <w:rsid w:val="000635C7"/>
    <w:rsid w:val="00063DD6"/>
    <w:rsid w:val="00064709"/>
    <w:rsid w:val="00064EC9"/>
    <w:rsid w:val="00065598"/>
    <w:rsid w:val="00065F67"/>
    <w:rsid w:val="00066014"/>
    <w:rsid w:val="00066A9B"/>
    <w:rsid w:val="00067F3B"/>
    <w:rsid w:val="00070462"/>
    <w:rsid w:val="00070790"/>
    <w:rsid w:val="00070E4C"/>
    <w:rsid w:val="000710F5"/>
    <w:rsid w:val="00071A4B"/>
    <w:rsid w:val="00071B1E"/>
    <w:rsid w:val="00071DE6"/>
    <w:rsid w:val="00072F38"/>
    <w:rsid w:val="000732E0"/>
    <w:rsid w:val="00073863"/>
    <w:rsid w:val="00073A15"/>
    <w:rsid w:val="00074990"/>
    <w:rsid w:val="00074C2B"/>
    <w:rsid w:val="00075025"/>
    <w:rsid w:val="00075520"/>
    <w:rsid w:val="00075ECF"/>
    <w:rsid w:val="0007699D"/>
    <w:rsid w:val="00076C2C"/>
    <w:rsid w:val="00076E1B"/>
    <w:rsid w:val="00076F65"/>
    <w:rsid w:val="00076FBC"/>
    <w:rsid w:val="00077501"/>
    <w:rsid w:val="00077E94"/>
    <w:rsid w:val="000806D7"/>
    <w:rsid w:val="00080E07"/>
    <w:rsid w:val="00081567"/>
    <w:rsid w:val="00083590"/>
    <w:rsid w:val="0008435B"/>
    <w:rsid w:val="000846E5"/>
    <w:rsid w:val="00084945"/>
    <w:rsid w:val="0008599F"/>
    <w:rsid w:val="00091A46"/>
    <w:rsid w:val="00091B2A"/>
    <w:rsid w:val="000924ED"/>
    <w:rsid w:val="000925BD"/>
    <w:rsid w:val="00092E16"/>
    <w:rsid w:val="00093289"/>
    <w:rsid w:val="000932FB"/>
    <w:rsid w:val="00093AE7"/>
    <w:rsid w:val="00093CAC"/>
    <w:rsid w:val="00094151"/>
    <w:rsid w:val="00094623"/>
    <w:rsid w:val="00094946"/>
    <w:rsid w:val="00094AF2"/>
    <w:rsid w:val="0009526C"/>
    <w:rsid w:val="000953AE"/>
    <w:rsid w:val="000974EB"/>
    <w:rsid w:val="000A033F"/>
    <w:rsid w:val="000A0971"/>
    <w:rsid w:val="000A197E"/>
    <w:rsid w:val="000A285A"/>
    <w:rsid w:val="000A300F"/>
    <w:rsid w:val="000A30C3"/>
    <w:rsid w:val="000A37FC"/>
    <w:rsid w:val="000A3C71"/>
    <w:rsid w:val="000A49F7"/>
    <w:rsid w:val="000A4E22"/>
    <w:rsid w:val="000A7AA9"/>
    <w:rsid w:val="000A7FA8"/>
    <w:rsid w:val="000B0114"/>
    <w:rsid w:val="000B038B"/>
    <w:rsid w:val="000B06FD"/>
    <w:rsid w:val="000B08F4"/>
    <w:rsid w:val="000B0E08"/>
    <w:rsid w:val="000B1C2A"/>
    <w:rsid w:val="000B2313"/>
    <w:rsid w:val="000B23E9"/>
    <w:rsid w:val="000B26E4"/>
    <w:rsid w:val="000B3173"/>
    <w:rsid w:val="000B3589"/>
    <w:rsid w:val="000B3C4B"/>
    <w:rsid w:val="000B40C0"/>
    <w:rsid w:val="000B48EE"/>
    <w:rsid w:val="000B59EA"/>
    <w:rsid w:val="000B5B8D"/>
    <w:rsid w:val="000B5D5A"/>
    <w:rsid w:val="000B670F"/>
    <w:rsid w:val="000B73DF"/>
    <w:rsid w:val="000B745B"/>
    <w:rsid w:val="000B77A8"/>
    <w:rsid w:val="000C04FB"/>
    <w:rsid w:val="000C0B9A"/>
    <w:rsid w:val="000C0F2E"/>
    <w:rsid w:val="000C26FD"/>
    <w:rsid w:val="000C44A5"/>
    <w:rsid w:val="000C4CD3"/>
    <w:rsid w:val="000C4E60"/>
    <w:rsid w:val="000C6DEB"/>
    <w:rsid w:val="000C7E02"/>
    <w:rsid w:val="000D0773"/>
    <w:rsid w:val="000D0950"/>
    <w:rsid w:val="000D1064"/>
    <w:rsid w:val="000D17C3"/>
    <w:rsid w:val="000D1809"/>
    <w:rsid w:val="000D2297"/>
    <w:rsid w:val="000D25F9"/>
    <w:rsid w:val="000D329A"/>
    <w:rsid w:val="000D37E6"/>
    <w:rsid w:val="000D3C0C"/>
    <w:rsid w:val="000D4214"/>
    <w:rsid w:val="000D43F5"/>
    <w:rsid w:val="000D5204"/>
    <w:rsid w:val="000D7B99"/>
    <w:rsid w:val="000D7BF0"/>
    <w:rsid w:val="000D7DE9"/>
    <w:rsid w:val="000E091E"/>
    <w:rsid w:val="000E09C7"/>
    <w:rsid w:val="000E0BCB"/>
    <w:rsid w:val="000E0D57"/>
    <w:rsid w:val="000E0D78"/>
    <w:rsid w:val="000E101A"/>
    <w:rsid w:val="000E1B58"/>
    <w:rsid w:val="000E1E31"/>
    <w:rsid w:val="000E255F"/>
    <w:rsid w:val="000E2795"/>
    <w:rsid w:val="000E4063"/>
    <w:rsid w:val="000E45B3"/>
    <w:rsid w:val="000E4D30"/>
    <w:rsid w:val="000E4FAC"/>
    <w:rsid w:val="000E53A8"/>
    <w:rsid w:val="000E5F86"/>
    <w:rsid w:val="000E6077"/>
    <w:rsid w:val="000E6593"/>
    <w:rsid w:val="000E6C82"/>
    <w:rsid w:val="000E6DAD"/>
    <w:rsid w:val="000E6DD6"/>
    <w:rsid w:val="000E71F8"/>
    <w:rsid w:val="000E7F0C"/>
    <w:rsid w:val="000F07F9"/>
    <w:rsid w:val="000F19CE"/>
    <w:rsid w:val="000F1DE5"/>
    <w:rsid w:val="000F2474"/>
    <w:rsid w:val="000F4D48"/>
    <w:rsid w:val="000F59DA"/>
    <w:rsid w:val="000F6074"/>
    <w:rsid w:val="000F6A00"/>
    <w:rsid w:val="000F7212"/>
    <w:rsid w:val="000F7772"/>
    <w:rsid w:val="0010075E"/>
    <w:rsid w:val="00100A8E"/>
    <w:rsid w:val="00101664"/>
    <w:rsid w:val="0010188E"/>
    <w:rsid w:val="001020BE"/>
    <w:rsid w:val="00103A29"/>
    <w:rsid w:val="00103E56"/>
    <w:rsid w:val="001042E7"/>
    <w:rsid w:val="00104CF1"/>
    <w:rsid w:val="001062B6"/>
    <w:rsid w:val="00106533"/>
    <w:rsid w:val="00106755"/>
    <w:rsid w:val="00107685"/>
    <w:rsid w:val="001077B7"/>
    <w:rsid w:val="00107981"/>
    <w:rsid w:val="00107ED4"/>
    <w:rsid w:val="001104E9"/>
    <w:rsid w:val="00110BFE"/>
    <w:rsid w:val="0011212C"/>
    <w:rsid w:val="00113120"/>
    <w:rsid w:val="001143F5"/>
    <w:rsid w:val="001151D0"/>
    <w:rsid w:val="00115603"/>
    <w:rsid w:val="001156A0"/>
    <w:rsid w:val="001158A9"/>
    <w:rsid w:val="001159E2"/>
    <w:rsid w:val="00116B95"/>
    <w:rsid w:val="00116F56"/>
    <w:rsid w:val="0011711B"/>
    <w:rsid w:val="00117A2D"/>
    <w:rsid w:val="00117C0E"/>
    <w:rsid w:val="00120954"/>
    <w:rsid w:val="00120DB5"/>
    <w:rsid w:val="00122081"/>
    <w:rsid w:val="00122210"/>
    <w:rsid w:val="0012315D"/>
    <w:rsid w:val="00123D39"/>
    <w:rsid w:val="00124A2B"/>
    <w:rsid w:val="00124C43"/>
    <w:rsid w:val="00125584"/>
    <w:rsid w:val="0012577E"/>
    <w:rsid w:val="001263B5"/>
    <w:rsid w:val="00126537"/>
    <w:rsid w:val="001265BC"/>
    <w:rsid w:val="00126B74"/>
    <w:rsid w:val="001270AA"/>
    <w:rsid w:val="001271A1"/>
    <w:rsid w:val="00127E88"/>
    <w:rsid w:val="001301DE"/>
    <w:rsid w:val="001305A8"/>
    <w:rsid w:val="00131572"/>
    <w:rsid w:val="00131986"/>
    <w:rsid w:val="00131BB8"/>
    <w:rsid w:val="00131C56"/>
    <w:rsid w:val="00131C62"/>
    <w:rsid w:val="00132890"/>
    <w:rsid w:val="00133204"/>
    <w:rsid w:val="001340F4"/>
    <w:rsid w:val="00134315"/>
    <w:rsid w:val="00135411"/>
    <w:rsid w:val="001354E1"/>
    <w:rsid w:val="0013632E"/>
    <w:rsid w:val="0013791F"/>
    <w:rsid w:val="00137CEE"/>
    <w:rsid w:val="001406AD"/>
    <w:rsid w:val="00140B0B"/>
    <w:rsid w:val="00140C43"/>
    <w:rsid w:val="00141750"/>
    <w:rsid w:val="00141B7F"/>
    <w:rsid w:val="00141F4F"/>
    <w:rsid w:val="00142883"/>
    <w:rsid w:val="001441A6"/>
    <w:rsid w:val="0014497E"/>
    <w:rsid w:val="001455C1"/>
    <w:rsid w:val="001456BD"/>
    <w:rsid w:val="001459EB"/>
    <w:rsid w:val="00146CA7"/>
    <w:rsid w:val="00146ED5"/>
    <w:rsid w:val="0014727D"/>
    <w:rsid w:val="00147FD2"/>
    <w:rsid w:val="00150CE5"/>
    <w:rsid w:val="00151053"/>
    <w:rsid w:val="0015148F"/>
    <w:rsid w:val="0015171A"/>
    <w:rsid w:val="00151C44"/>
    <w:rsid w:val="001524C7"/>
    <w:rsid w:val="001525B4"/>
    <w:rsid w:val="0015274E"/>
    <w:rsid w:val="00153102"/>
    <w:rsid w:val="0015332A"/>
    <w:rsid w:val="001533E2"/>
    <w:rsid w:val="001535FE"/>
    <w:rsid w:val="0015361A"/>
    <w:rsid w:val="00153A28"/>
    <w:rsid w:val="00154501"/>
    <w:rsid w:val="00155D76"/>
    <w:rsid w:val="00160708"/>
    <w:rsid w:val="00160C1D"/>
    <w:rsid w:val="00161715"/>
    <w:rsid w:val="0016287B"/>
    <w:rsid w:val="00162D61"/>
    <w:rsid w:val="001637A5"/>
    <w:rsid w:val="00163CC5"/>
    <w:rsid w:val="00165331"/>
    <w:rsid w:val="00165BC7"/>
    <w:rsid w:val="00166991"/>
    <w:rsid w:val="00166BA9"/>
    <w:rsid w:val="00166D3D"/>
    <w:rsid w:val="00166D6F"/>
    <w:rsid w:val="0016745A"/>
    <w:rsid w:val="001674F8"/>
    <w:rsid w:val="001705B0"/>
    <w:rsid w:val="00170905"/>
    <w:rsid w:val="001711B6"/>
    <w:rsid w:val="00171789"/>
    <w:rsid w:val="00171FBA"/>
    <w:rsid w:val="00172633"/>
    <w:rsid w:val="001738A0"/>
    <w:rsid w:val="00174310"/>
    <w:rsid w:val="00174465"/>
    <w:rsid w:val="00174694"/>
    <w:rsid w:val="0017514A"/>
    <w:rsid w:val="001760F0"/>
    <w:rsid w:val="00176742"/>
    <w:rsid w:val="00176A3B"/>
    <w:rsid w:val="0017704A"/>
    <w:rsid w:val="00177A52"/>
    <w:rsid w:val="00180299"/>
    <w:rsid w:val="00180596"/>
    <w:rsid w:val="00181CBF"/>
    <w:rsid w:val="00182286"/>
    <w:rsid w:val="00182FA9"/>
    <w:rsid w:val="00182FF2"/>
    <w:rsid w:val="00183767"/>
    <w:rsid w:val="001842BB"/>
    <w:rsid w:val="00186211"/>
    <w:rsid w:val="0018677B"/>
    <w:rsid w:val="00187513"/>
    <w:rsid w:val="00187AC7"/>
    <w:rsid w:val="00187B22"/>
    <w:rsid w:val="00187CCD"/>
    <w:rsid w:val="00187ECC"/>
    <w:rsid w:val="0019072E"/>
    <w:rsid w:val="00190D33"/>
    <w:rsid w:val="001911F2"/>
    <w:rsid w:val="001916D5"/>
    <w:rsid w:val="00191EF3"/>
    <w:rsid w:val="001930DF"/>
    <w:rsid w:val="00193533"/>
    <w:rsid w:val="001953DC"/>
    <w:rsid w:val="001956E4"/>
    <w:rsid w:val="001969B5"/>
    <w:rsid w:val="00196FD4"/>
    <w:rsid w:val="0019776E"/>
    <w:rsid w:val="00197D05"/>
    <w:rsid w:val="001A014A"/>
    <w:rsid w:val="001A1432"/>
    <w:rsid w:val="001A149F"/>
    <w:rsid w:val="001A1594"/>
    <w:rsid w:val="001A2437"/>
    <w:rsid w:val="001A2823"/>
    <w:rsid w:val="001A2918"/>
    <w:rsid w:val="001A31FF"/>
    <w:rsid w:val="001A39C2"/>
    <w:rsid w:val="001A41EC"/>
    <w:rsid w:val="001A44CA"/>
    <w:rsid w:val="001A5F76"/>
    <w:rsid w:val="001A7097"/>
    <w:rsid w:val="001A766A"/>
    <w:rsid w:val="001A78A5"/>
    <w:rsid w:val="001A7FBB"/>
    <w:rsid w:val="001B158D"/>
    <w:rsid w:val="001B1670"/>
    <w:rsid w:val="001B1736"/>
    <w:rsid w:val="001B1A90"/>
    <w:rsid w:val="001B1D8D"/>
    <w:rsid w:val="001B1FE5"/>
    <w:rsid w:val="001B2D5C"/>
    <w:rsid w:val="001B302E"/>
    <w:rsid w:val="001B3576"/>
    <w:rsid w:val="001B3B4E"/>
    <w:rsid w:val="001B3C43"/>
    <w:rsid w:val="001B3DCF"/>
    <w:rsid w:val="001B4D17"/>
    <w:rsid w:val="001B517B"/>
    <w:rsid w:val="001B518B"/>
    <w:rsid w:val="001B580D"/>
    <w:rsid w:val="001B5ADF"/>
    <w:rsid w:val="001B5CA6"/>
    <w:rsid w:val="001B6777"/>
    <w:rsid w:val="001B68B1"/>
    <w:rsid w:val="001B6DBC"/>
    <w:rsid w:val="001B7BB9"/>
    <w:rsid w:val="001C0067"/>
    <w:rsid w:val="001C0130"/>
    <w:rsid w:val="001C0295"/>
    <w:rsid w:val="001C0355"/>
    <w:rsid w:val="001C04E0"/>
    <w:rsid w:val="001C0AB8"/>
    <w:rsid w:val="001C1537"/>
    <w:rsid w:val="001C1596"/>
    <w:rsid w:val="001C18D4"/>
    <w:rsid w:val="001C2B83"/>
    <w:rsid w:val="001C2F7C"/>
    <w:rsid w:val="001C36EB"/>
    <w:rsid w:val="001C3D82"/>
    <w:rsid w:val="001C4DAF"/>
    <w:rsid w:val="001C59CF"/>
    <w:rsid w:val="001C6A91"/>
    <w:rsid w:val="001C7318"/>
    <w:rsid w:val="001D0A49"/>
    <w:rsid w:val="001D0C00"/>
    <w:rsid w:val="001D0F14"/>
    <w:rsid w:val="001D146E"/>
    <w:rsid w:val="001D152C"/>
    <w:rsid w:val="001D156D"/>
    <w:rsid w:val="001D1791"/>
    <w:rsid w:val="001D1906"/>
    <w:rsid w:val="001D1E43"/>
    <w:rsid w:val="001D2769"/>
    <w:rsid w:val="001D2E61"/>
    <w:rsid w:val="001D2FEE"/>
    <w:rsid w:val="001D6393"/>
    <w:rsid w:val="001D6FCC"/>
    <w:rsid w:val="001D71C3"/>
    <w:rsid w:val="001D726C"/>
    <w:rsid w:val="001E0375"/>
    <w:rsid w:val="001E0B8E"/>
    <w:rsid w:val="001E1011"/>
    <w:rsid w:val="001E19C9"/>
    <w:rsid w:val="001E1CF5"/>
    <w:rsid w:val="001E2AAF"/>
    <w:rsid w:val="001E33EC"/>
    <w:rsid w:val="001E3A50"/>
    <w:rsid w:val="001E4351"/>
    <w:rsid w:val="001E4825"/>
    <w:rsid w:val="001E5DD6"/>
    <w:rsid w:val="001E66E7"/>
    <w:rsid w:val="001E6886"/>
    <w:rsid w:val="001E6A48"/>
    <w:rsid w:val="001E6E35"/>
    <w:rsid w:val="001E6E73"/>
    <w:rsid w:val="001E7972"/>
    <w:rsid w:val="001E7E86"/>
    <w:rsid w:val="001F03E4"/>
    <w:rsid w:val="001F11BC"/>
    <w:rsid w:val="001F1AF6"/>
    <w:rsid w:val="001F2F66"/>
    <w:rsid w:val="001F332B"/>
    <w:rsid w:val="001F35CE"/>
    <w:rsid w:val="001F3750"/>
    <w:rsid w:val="001F4426"/>
    <w:rsid w:val="001F6F3A"/>
    <w:rsid w:val="001F7696"/>
    <w:rsid w:val="001F7C47"/>
    <w:rsid w:val="002004C9"/>
    <w:rsid w:val="002005F8"/>
    <w:rsid w:val="002009D0"/>
    <w:rsid w:val="00202418"/>
    <w:rsid w:val="002030DC"/>
    <w:rsid w:val="00203147"/>
    <w:rsid w:val="0020324B"/>
    <w:rsid w:val="00203905"/>
    <w:rsid w:val="00203D6A"/>
    <w:rsid w:val="00203F5C"/>
    <w:rsid w:val="00204777"/>
    <w:rsid w:val="00204EE8"/>
    <w:rsid w:val="0020599D"/>
    <w:rsid w:val="00205D04"/>
    <w:rsid w:val="0020646F"/>
    <w:rsid w:val="0020649B"/>
    <w:rsid w:val="00206877"/>
    <w:rsid w:val="00207042"/>
    <w:rsid w:val="0020769C"/>
    <w:rsid w:val="00207AB2"/>
    <w:rsid w:val="00210AD5"/>
    <w:rsid w:val="00211561"/>
    <w:rsid w:val="002123BC"/>
    <w:rsid w:val="00213246"/>
    <w:rsid w:val="002132A9"/>
    <w:rsid w:val="00213F13"/>
    <w:rsid w:val="00213F9F"/>
    <w:rsid w:val="00214757"/>
    <w:rsid w:val="00214775"/>
    <w:rsid w:val="00215077"/>
    <w:rsid w:val="00215F11"/>
    <w:rsid w:val="0021625B"/>
    <w:rsid w:val="00216976"/>
    <w:rsid w:val="00216FA9"/>
    <w:rsid w:val="00216FC8"/>
    <w:rsid w:val="002175FD"/>
    <w:rsid w:val="00217685"/>
    <w:rsid w:val="002177A6"/>
    <w:rsid w:val="00220139"/>
    <w:rsid w:val="00220A67"/>
    <w:rsid w:val="00220C78"/>
    <w:rsid w:val="0022316E"/>
    <w:rsid w:val="00223B7F"/>
    <w:rsid w:val="00223D1E"/>
    <w:rsid w:val="00225256"/>
    <w:rsid w:val="0022535F"/>
    <w:rsid w:val="00225F8C"/>
    <w:rsid w:val="00226BCB"/>
    <w:rsid w:val="0022714B"/>
    <w:rsid w:val="0022739F"/>
    <w:rsid w:val="002279A7"/>
    <w:rsid w:val="00227EF8"/>
    <w:rsid w:val="00230A41"/>
    <w:rsid w:val="00230A76"/>
    <w:rsid w:val="00230EC9"/>
    <w:rsid w:val="00230F1A"/>
    <w:rsid w:val="002314C9"/>
    <w:rsid w:val="0023237A"/>
    <w:rsid w:val="00232DE4"/>
    <w:rsid w:val="002331A8"/>
    <w:rsid w:val="002348C2"/>
    <w:rsid w:val="00234D85"/>
    <w:rsid w:val="00235D96"/>
    <w:rsid w:val="00236145"/>
    <w:rsid w:val="002363AA"/>
    <w:rsid w:val="0023642C"/>
    <w:rsid w:val="0023675C"/>
    <w:rsid w:val="00236A80"/>
    <w:rsid w:val="00237F2E"/>
    <w:rsid w:val="002402EA"/>
    <w:rsid w:val="00240759"/>
    <w:rsid w:val="0024088F"/>
    <w:rsid w:val="00240F0C"/>
    <w:rsid w:val="002410C3"/>
    <w:rsid w:val="002413A5"/>
    <w:rsid w:val="002418E1"/>
    <w:rsid w:val="00242712"/>
    <w:rsid w:val="00242C6F"/>
    <w:rsid w:val="0024315B"/>
    <w:rsid w:val="002438A4"/>
    <w:rsid w:val="00245378"/>
    <w:rsid w:val="00246928"/>
    <w:rsid w:val="00246E4D"/>
    <w:rsid w:val="00246EB2"/>
    <w:rsid w:val="00246FC6"/>
    <w:rsid w:val="00247211"/>
    <w:rsid w:val="00247244"/>
    <w:rsid w:val="002473DF"/>
    <w:rsid w:val="0024743B"/>
    <w:rsid w:val="0025024B"/>
    <w:rsid w:val="00250F5F"/>
    <w:rsid w:val="00251482"/>
    <w:rsid w:val="00251607"/>
    <w:rsid w:val="00251C29"/>
    <w:rsid w:val="00251CA9"/>
    <w:rsid w:val="0025305D"/>
    <w:rsid w:val="0025402D"/>
    <w:rsid w:val="0025437F"/>
    <w:rsid w:val="00254B07"/>
    <w:rsid w:val="00255384"/>
    <w:rsid w:val="00255F4B"/>
    <w:rsid w:val="00256337"/>
    <w:rsid w:val="00257802"/>
    <w:rsid w:val="00257A59"/>
    <w:rsid w:val="002604EF"/>
    <w:rsid w:val="00260B53"/>
    <w:rsid w:val="00261267"/>
    <w:rsid w:val="00261A53"/>
    <w:rsid w:val="00261C48"/>
    <w:rsid w:val="00261F9C"/>
    <w:rsid w:val="002625D6"/>
    <w:rsid w:val="00263A8A"/>
    <w:rsid w:val="0026439A"/>
    <w:rsid w:val="00264E79"/>
    <w:rsid w:val="00265304"/>
    <w:rsid w:val="002655A0"/>
    <w:rsid w:val="002655E0"/>
    <w:rsid w:val="0026671A"/>
    <w:rsid w:val="002669E1"/>
    <w:rsid w:val="00266CB0"/>
    <w:rsid w:val="0026728A"/>
    <w:rsid w:val="00267523"/>
    <w:rsid w:val="00267604"/>
    <w:rsid w:val="0026775A"/>
    <w:rsid w:val="00267D43"/>
    <w:rsid w:val="00267FBC"/>
    <w:rsid w:val="00270B86"/>
    <w:rsid w:val="002722FF"/>
    <w:rsid w:val="0027264C"/>
    <w:rsid w:val="00272B25"/>
    <w:rsid w:val="00273143"/>
    <w:rsid w:val="00273ECB"/>
    <w:rsid w:val="002742AF"/>
    <w:rsid w:val="00274636"/>
    <w:rsid w:val="002763D1"/>
    <w:rsid w:val="00276794"/>
    <w:rsid w:val="002774E3"/>
    <w:rsid w:val="0027793E"/>
    <w:rsid w:val="00277A64"/>
    <w:rsid w:val="00277ECC"/>
    <w:rsid w:val="00280356"/>
    <w:rsid w:val="00280935"/>
    <w:rsid w:val="00282473"/>
    <w:rsid w:val="00282AE9"/>
    <w:rsid w:val="00283596"/>
    <w:rsid w:val="00284836"/>
    <w:rsid w:val="00284ADB"/>
    <w:rsid w:val="00284DFC"/>
    <w:rsid w:val="00285C9C"/>
    <w:rsid w:val="002868AB"/>
    <w:rsid w:val="002871A6"/>
    <w:rsid w:val="00287B20"/>
    <w:rsid w:val="0029020F"/>
    <w:rsid w:val="002903FD"/>
    <w:rsid w:val="002905D5"/>
    <w:rsid w:val="0029155C"/>
    <w:rsid w:val="00291592"/>
    <w:rsid w:val="00291B34"/>
    <w:rsid w:val="00292D51"/>
    <w:rsid w:val="00293501"/>
    <w:rsid w:val="00293E3C"/>
    <w:rsid w:val="00293E50"/>
    <w:rsid w:val="002943B1"/>
    <w:rsid w:val="002945B9"/>
    <w:rsid w:val="00294ABE"/>
    <w:rsid w:val="00294BDF"/>
    <w:rsid w:val="00294BF0"/>
    <w:rsid w:val="00294C71"/>
    <w:rsid w:val="00295309"/>
    <w:rsid w:val="002953BC"/>
    <w:rsid w:val="002954EB"/>
    <w:rsid w:val="002958B1"/>
    <w:rsid w:val="00295B42"/>
    <w:rsid w:val="002977FC"/>
    <w:rsid w:val="00297D8A"/>
    <w:rsid w:val="002A0BCF"/>
    <w:rsid w:val="002A0DF7"/>
    <w:rsid w:val="002A13D2"/>
    <w:rsid w:val="002A1E90"/>
    <w:rsid w:val="002A26CB"/>
    <w:rsid w:val="002A4DB0"/>
    <w:rsid w:val="002A4FA7"/>
    <w:rsid w:val="002A5940"/>
    <w:rsid w:val="002A63E3"/>
    <w:rsid w:val="002A7283"/>
    <w:rsid w:val="002A7DD5"/>
    <w:rsid w:val="002B0DD6"/>
    <w:rsid w:val="002B1177"/>
    <w:rsid w:val="002B11AF"/>
    <w:rsid w:val="002B1E5E"/>
    <w:rsid w:val="002B3226"/>
    <w:rsid w:val="002B33B7"/>
    <w:rsid w:val="002B347A"/>
    <w:rsid w:val="002B3FA2"/>
    <w:rsid w:val="002B4986"/>
    <w:rsid w:val="002B7D44"/>
    <w:rsid w:val="002C0565"/>
    <w:rsid w:val="002C0E70"/>
    <w:rsid w:val="002C13DC"/>
    <w:rsid w:val="002C142F"/>
    <w:rsid w:val="002C1C3C"/>
    <w:rsid w:val="002C2B82"/>
    <w:rsid w:val="002C3726"/>
    <w:rsid w:val="002C37D6"/>
    <w:rsid w:val="002C47AB"/>
    <w:rsid w:val="002C5092"/>
    <w:rsid w:val="002C70C9"/>
    <w:rsid w:val="002C735C"/>
    <w:rsid w:val="002C7839"/>
    <w:rsid w:val="002C7976"/>
    <w:rsid w:val="002C79C8"/>
    <w:rsid w:val="002C7CBC"/>
    <w:rsid w:val="002D0C92"/>
    <w:rsid w:val="002D0FF8"/>
    <w:rsid w:val="002D1AF8"/>
    <w:rsid w:val="002D1C37"/>
    <w:rsid w:val="002D2603"/>
    <w:rsid w:val="002D2BCA"/>
    <w:rsid w:val="002D4F76"/>
    <w:rsid w:val="002D5114"/>
    <w:rsid w:val="002D593E"/>
    <w:rsid w:val="002D6629"/>
    <w:rsid w:val="002D6836"/>
    <w:rsid w:val="002D7DE9"/>
    <w:rsid w:val="002E0765"/>
    <w:rsid w:val="002E0866"/>
    <w:rsid w:val="002E0990"/>
    <w:rsid w:val="002E1084"/>
    <w:rsid w:val="002E11C0"/>
    <w:rsid w:val="002E12D4"/>
    <w:rsid w:val="002E1454"/>
    <w:rsid w:val="002E1F72"/>
    <w:rsid w:val="002E33D6"/>
    <w:rsid w:val="002E464B"/>
    <w:rsid w:val="002E467A"/>
    <w:rsid w:val="002E4921"/>
    <w:rsid w:val="002E4B13"/>
    <w:rsid w:val="002E520A"/>
    <w:rsid w:val="002E63C7"/>
    <w:rsid w:val="002E6B71"/>
    <w:rsid w:val="002E7A44"/>
    <w:rsid w:val="002F018E"/>
    <w:rsid w:val="002F0C83"/>
    <w:rsid w:val="002F0E26"/>
    <w:rsid w:val="002F1457"/>
    <w:rsid w:val="002F182F"/>
    <w:rsid w:val="002F185B"/>
    <w:rsid w:val="002F2848"/>
    <w:rsid w:val="002F2C08"/>
    <w:rsid w:val="002F2EA9"/>
    <w:rsid w:val="002F35A4"/>
    <w:rsid w:val="002F4F55"/>
    <w:rsid w:val="002F6C96"/>
    <w:rsid w:val="002F6FA6"/>
    <w:rsid w:val="002F7DA3"/>
    <w:rsid w:val="003002AF"/>
    <w:rsid w:val="00300EF3"/>
    <w:rsid w:val="00301C97"/>
    <w:rsid w:val="00302A49"/>
    <w:rsid w:val="003031A9"/>
    <w:rsid w:val="00303994"/>
    <w:rsid w:val="00303B20"/>
    <w:rsid w:val="0030400B"/>
    <w:rsid w:val="00304795"/>
    <w:rsid w:val="00305D96"/>
    <w:rsid w:val="00305EBC"/>
    <w:rsid w:val="00306366"/>
    <w:rsid w:val="003102A7"/>
    <w:rsid w:val="00310FD8"/>
    <w:rsid w:val="00311347"/>
    <w:rsid w:val="003114A4"/>
    <w:rsid w:val="003124E7"/>
    <w:rsid w:val="003128B0"/>
    <w:rsid w:val="00313F65"/>
    <w:rsid w:val="0031470E"/>
    <w:rsid w:val="00315F4A"/>
    <w:rsid w:val="00316933"/>
    <w:rsid w:val="00317293"/>
    <w:rsid w:val="00317365"/>
    <w:rsid w:val="003216A0"/>
    <w:rsid w:val="003216B1"/>
    <w:rsid w:val="00321868"/>
    <w:rsid w:val="00321C18"/>
    <w:rsid w:val="003220FF"/>
    <w:rsid w:val="00322246"/>
    <w:rsid w:val="00322267"/>
    <w:rsid w:val="00324529"/>
    <w:rsid w:val="003245E1"/>
    <w:rsid w:val="00324622"/>
    <w:rsid w:val="003249FA"/>
    <w:rsid w:val="00324CD9"/>
    <w:rsid w:val="003253BF"/>
    <w:rsid w:val="00325583"/>
    <w:rsid w:val="00325AC1"/>
    <w:rsid w:val="00325D7B"/>
    <w:rsid w:val="0032666B"/>
    <w:rsid w:val="00326762"/>
    <w:rsid w:val="00326E29"/>
    <w:rsid w:val="0032734C"/>
    <w:rsid w:val="00327A30"/>
    <w:rsid w:val="00330027"/>
    <w:rsid w:val="00330387"/>
    <w:rsid w:val="00330786"/>
    <w:rsid w:val="003319E6"/>
    <w:rsid w:val="003320DB"/>
    <w:rsid w:val="0033222F"/>
    <w:rsid w:val="00332EA8"/>
    <w:rsid w:val="00333D70"/>
    <w:rsid w:val="003355B4"/>
    <w:rsid w:val="00335CBF"/>
    <w:rsid w:val="00336D5A"/>
    <w:rsid w:val="00337D70"/>
    <w:rsid w:val="00340148"/>
    <w:rsid w:val="003405BA"/>
    <w:rsid w:val="003408C2"/>
    <w:rsid w:val="00340AA0"/>
    <w:rsid w:val="00341765"/>
    <w:rsid w:val="003418D7"/>
    <w:rsid w:val="00341F03"/>
    <w:rsid w:val="00342C53"/>
    <w:rsid w:val="00342D51"/>
    <w:rsid w:val="00342D59"/>
    <w:rsid w:val="00343624"/>
    <w:rsid w:val="003437D2"/>
    <w:rsid w:val="00344480"/>
    <w:rsid w:val="003444FF"/>
    <w:rsid w:val="00344D6E"/>
    <w:rsid w:val="00345E56"/>
    <w:rsid w:val="00345E61"/>
    <w:rsid w:val="00345EB8"/>
    <w:rsid w:val="0034613B"/>
    <w:rsid w:val="00346220"/>
    <w:rsid w:val="0034675E"/>
    <w:rsid w:val="00346FF5"/>
    <w:rsid w:val="0035030F"/>
    <w:rsid w:val="003519F2"/>
    <w:rsid w:val="00353474"/>
    <w:rsid w:val="00353BC6"/>
    <w:rsid w:val="00353F7B"/>
    <w:rsid w:val="003541F7"/>
    <w:rsid w:val="003544BD"/>
    <w:rsid w:val="003555C3"/>
    <w:rsid w:val="00356AC1"/>
    <w:rsid w:val="00356DEB"/>
    <w:rsid w:val="00356E4A"/>
    <w:rsid w:val="0035732C"/>
    <w:rsid w:val="0035775F"/>
    <w:rsid w:val="00357D30"/>
    <w:rsid w:val="00360270"/>
    <w:rsid w:val="00360459"/>
    <w:rsid w:val="00360939"/>
    <w:rsid w:val="00360F17"/>
    <w:rsid w:val="003618C2"/>
    <w:rsid w:val="00361D55"/>
    <w:rsid w:val="0036262C"/>
    <w:rsid w:val="0036262D"/>
    <w:rsid w:val="003630DA"/>
    <w:rsid w:val="003630E9"/>
    <w:rsid w:val="003634F3"/>
    <w:rsid w:val="0036444D"/>
    <w:rsid w:val="003649E0"/>
    <w:rsid w:val="00364A70"/>
    <w:rsid w:val="00364ADE"/>
    <w:rsid w:val="00364FF2"/>
    <w:rsid w:val="00365606"/>
    <w:rsid w:val="00366255"/>
    <w:rsid w:val="003664FE"/>
    <w:rsid w:val="0036662A"/>
    <w:rsid w:val="00366DB2"/>
    <w:rsid w:val="00366FAE"/>
    <w:rsid w:val="00367B57"/>
    <w:rsid w:val="00367D4F"/>
    <w:rsid w:val="0037224E"/>
    <w:rsid w:val="0037293E"/>
    <w:rsid w:val="00372A14"/>
    <w:rsid w:val="00372C14"/>
    <w:rsid w:val="00373014"/>
    <w:rsid w:val="003730E6"/>
    <w:rsid w:val="00374178"/>
    <w:rsid w:val="0037425E"/>
    <w:rsid w:val="00374551"/>
    <w:rsid w:val="003759C2"/>
    <w:rsid w:val="00377051"/>
    <w:rsid w:val="0037764C"/>
    <w:rsid w:val="003800B9"/>
    <w:rsid w:val="003806DA"/>
    <w:rsid w:val="003807F6"/>
    <w:rsid w:val="00380FEF"/>
    <w:rsid w:val="00381202"/>
    <w:rsid w:val="00381E22"/>
    <w:rsid w:val="003834EE"/>
    <w:rsid w:val="003835DE"/>
    <w:rsid w:val="003837D7"/>
    <w:rsid w:val="00383D38"/>
    <w:rsid w:val="0038438D"/>
    <w:rsid w:val="00385F2C"/>
    <w:rsid w:val="003865C3"/>
    <w:rsid w:val="00386767"/>
    <w:rsid w:val="003868D5"/>
    <w:rsid w:val="00387D84"/>
    <w:rsid w:val="00387EF5"/>
    <w:rsid w:val="00390A9A"/>
    <w:rsid w:val="00390ED6"/>
    <w:rsid w:val="003914EF"/>
    <w:rsid w:val="00391D90"/>
    <w:rsid w:val="003928DD"/>
    <w:rsid w:val="0039341A"/>
    <w:rsid w:val="00393701"/>
    <w:rsid w:val="00394049"/>
    <w:rsid w:val="003943AD"/>
    <w:rsid w:val="0039459D"/>
    <w:rsid w:val="00394726"/>
    <w:rsid w:val="003949EE"/>
    <w:rsid w:val="00394B97"/>
    <w:rsid w:val="0039515A"/>
    <w:rsid w:val="0039626A"/>
    <w:rsid w:val="003979E0"/>
    <w:rsid w:val="00397C82"/>
    <w:rsid w:val="00397F34"/>
    <w:rsid w:val="003A0600"/>
    <w:rsid w:val="003A0931"/>
    <w:rsid w:val="003A0A1C"/>
    <w:rsid w:val="003A130B"/>
    <w:rsid w:val="003A2172"/>
    <w:rsid w:val="003A2DD5"/>
    <w:rsid w:val="003A3A95"/>
    <w:rsid w:val="003A46CD"/>
    <w:rsid w:val="003A47EF"/>
    <w:rsid w:val="003A4978"/>
    <w:rsid w:val="003A5A09"/>
    <w:rsid w:val="003A5FB6"/>
    <w:rsid w:val="003A676A"/>
    <w:rsid w:val="003A71DC"/>
    <w:rsid w:val="003A71E4"/>
    <w:rsid w:val="003A7E37"/>
    <w:rsid w:val="003B0A30"/>
    <w:rsid w:val="003B10E5"/>
    <w:rsid w:val="003B1A4D"/>
    <w:rsid w:val="003B1BB0"/>
    <w:rsid w:val="003B1DAE"/>
    <w:rsid w:val="003B3240"/>
    <w:rsid w:val="003B3DD3"/>
    <w:rsid w:val="003B55FB"/>
    <w:rsid w:val="003B5C0E"/>
    <w:rsid w:val="003B7F2E"/>
    <w:rsid w:val="003C0794"/>
    <w:rsid w:val="003C0DB2"/>
    <w:rsid w:val="003C18EB"/>
    <w:rsid w:val="003C19CA"/>
    <w:rsid w:val="003C1CEF"/>
    <w:rsid w:val="003C219D"/>
    <w:rsid w:val="003C229F"/>
    <w:rsid w:val="003C2A42"/>
    <w:rsid w:val="003C4B48"/>
    <w:rsid w:val="003C5966"/>
    <w:rsid w:val="003C7274"/>
    <w:rsid w:val="003C76AB"/>
    <w:rsid w:val="003C774E"/>
    <w:rsid w:val="003D02D6"/>
    <w:rsid w:val="003D1FF0"/>
    <w:rsid w:val="003D214C"/>
    <w:rsid w:val="003D2713"/>
    <w:rsid w:val="003D2990"/>
    <w:rsid w:val="003D2D8D"/>
    <w:rsid w:val="003D2FF2"/>
    <w:rsid w:val="003D30A3"/>
    <w:rsid w:val="003D329C"/>
    <w:rsid w:val="003D3754"/>
    <w:rsid w:val="003D3857"/>
    <w:rsid w:val="003D40ED"/>
    <w:rsid w:val="003D44CC"/>
    <w:rsid w:val="003D4AA8"/>
    <w:rsid w:val="003D524E"/>
    <w:rsid w:val="003D5711"/>
    <w:rsid w:val="003D6AB0"/>
    <w:rsid w:val="003D6D71"/>
    <w:rsid w:val="003D791D"/>
    <w:rsid w:val="003D7A29"/>
    <w:rsid w:val="003D7D76"/>
    <w:rsid w:val="003E02D6"/>
    <w:rsid w:val="003E15ED"/>
    <w:rsid w:val="003E183F"/>
    <w:rsid w:val="003E3163"/>
    <w:rsid w:val="003E3204"/>
    <w:rsid w:val="003E4D4B"/>
    <w:rsid w:val="003E4D5F"/>
    <w:rsid w:val="003E517B"/>
    <w:rsid w:val="003E52EE"/>
    <w:rsid w:val="003E5A46"/>
    <w:rsid w:val="003E6BB8"/>
    <w:rsid w:val="003F06B7"/>
    <w:rsid w:val="003F0706"/>
    <w:rsid w:val="003F0B0B"/>
    <w:rsid w:val="003F15CC"/>
    <w:rsid w:val="003F1648"/>
    <w:rsid w:val="003F19AE"/>
    <w:rsid w:val="003F20C9"/>
    <w:rsid w:val="003F31E9"/>
    <w:rsid w:val="003F3DC0"/>
    <w:rsid w:val="003F4568"/>
    <w:rsid w:val="003F495A"/>
    <w:rsid w:val="003F4AFF"/>
    <w:rsid w:val="003F5CF5"/>
    <w:rsid w:val="003F6386"/>
    <w:rsid w:val="003F6C0C"/>
    <w:rsid w:val="00400899"/>
    <w:rsid w:val="00401E19"/>
    <w:rsid w:val="004021D5"/>
    <w:rsid w:val="004026EF"/>
    <w:rsid w:val="00402837"/>
    <w:rsid w:val="00402E4C"/>
    <w:rsid w:val="00403A85"/>
    <w:rsid w:val="00403F78"/>
    <w:rsid w:val="00406337"/>
    <w:rsid w:val="00407F20"/>
    <w:rsid w:val="00410352"/>
    <w:rsid w:val="00410390"/>
    <w:rsid w:val="0041065E"/>
    <w:rsid w:val="00410AC4"/>
    <w:rsid w:val="00410C52"/>
    <w:rsid w:val="0041133B"/>
    <w:rsid w:val="00411BD5"/>
    <w:rsid w:val="00411E0C"/>
    <w:rsid w:val="0041227B"/>
    <w:rsid w:val="00412D9C"/>
    <w:rsid w:val="00413F89"/>
    <w:rsid w:val="00414EE1"/>
    <w:rsid w:val="004155A3"/>
    <w:rsid w:val="00416099"/>
    <w:rsid w:val="004177C4"/>
    <w:rsid w:val="00420B0C"/>
    <w:rsid w:val="004212A5"/>
    <w:rsid w:val="00421713"/>
    <w:rsid w:val="004218DE"/>
    <w:rsid w:val="00421A0C"/>
    <w:rsid w:val="00422B38"/>
    <w:rsid w:val="00422CEA"/>
    <w:rsid w:val="00422D15"/>
    <w:rsid w:val="00422DFF"/>
    <w:rsid w:val="00423190"/>
    <w:rsid w:val="004232C6"/>
    <w:rsid w:val="004250C9"/>
    <w:rsid w:val="00425209"/>
    <w:rsid w:val="004253A9"/>
    <w:rsid w:val="0042591E"/>
    <w:rsid w:val="00425B8E"/>
    <w:rsid w:val="00426405"/>
    <w:rsid w:val="0042744C"/>
    <w:rsid w:val="004274CF"/>
    <w:rsid w:val="004277AF"/>
    <w:rsid w:val="00427A5E"/>
    <w:rsid w:val="00427C28"/>
    <w:rsid w:val="00430DDE"/>
    <w:rsid w:val="004310ED"/>
    <w:rsid w:val="004313EA"/>
    <w:rsid w:val="004317C1"/>
    <w:rsid w:val="004327DB"/>
    <w:rsid w:val="0043352E"/>
    <w:rsid w:val="00433895"/>
    <w:rsid w:val="004352EA"/>
    <w:rsid w:val="00435D9A"/>
    <w:rsid w:val="0043761D"/>
    <w:rsid w:val="00437CC8"/>
    <w:rsid w:val="00437EF1"/>
    <w:rsid w:val="00440552"/>
    <w:rsid w:val="004419A8"/>
    <w:rsid w:val="00441C68"/>
    <w:rsid w:val="00441E78"/>
    <w:rsid w:val="0044324A"/>
    <w:rsid w:val="004435B3"/>
    <w:rsid w:val="0044389F"/>
    <w:rsid w:val="00443E55"/>
    <w:rsid w:val="004442AA"/>
    <w:rsid w:val="004442B1"/>
    <w:rsid w:val="004450B1"/>
    <w:rsid w:val="00445DA3"/>
    <w:rsid w:val="00446913"/>
    <w:rsid w:val="00447AA8"/>
    <w:rsid w:val="00447B15"/>
    <w:rsid w:val="0045013F"/>
    <w:rsid w:val="00450926"/>
    <w:rsid w:val="004512C7"/>
    <w:rsid w:val="004514EC"/>
    <w:rsid w:val="00451E3C"/>
    <w:rsid w:val="00452D4C"/>
    <w:rsid w:val="0045401F"/>
    <w:rsid w:val="00454260"/>
    <w:rsid w:val="0045499B"/>
    <w:rsid w:val="00455359"/>
    <w:rsid w:val="004553A1"/>
    <w:rsid w:val="0045565B"/>
    <w:rsid w:val="00455DAB"/>
    <w:rsid w:val="00455DE8"/>
    <w:rsid w:val="00456456"/>
    <w:rsid w:val="00456AF0"/>
    <w:rsid w:val="004601F4"/>
    <w:rsid w:val="004610F0"/>
    <w:rsid w:val="0046161B"/>
    <w:rsid w:val="004616E4"/>
    <w:rsid w:val="0046225C"/>
    <w:rsid w:val="004622CC"/>
    <w:rsid w:val="0046358D"/>
    <w:rsid w:val="00463FF3"/>
    <w:rsid w:val="0046485E"/>
    <w:rsid w:val="00464ABB"/>
    <w:rsid w:val="0046549A"/>
    <w:rsid w:val="0046590D"/>
    <w:rsid w:val="00465A71"/>
    <w:rsid w:val="00465DE1"/>
    <w:rsid w:val="00466D25"/>
    <w:rsid w:val="00466E3D"/>
    <w:rsid w:val="00467A22"/>
    <w:rsid w:val="004704CE"/>
    <w:rsid w:val="004706E0"/>
    <w:rsid w:val="0047139B"/>
    <w:rsid w:val="00471550"/>
    <w:rsid w:val="004718FB"/>
    <w:rsid w:val="004719C9"/>
    <w:rsid w:val="00471DD7"/>
    <w:rsid w:val="00472018"/>
    <w:rsid w:val="00472185"/>
    <w:rsid w:val="00472D03"/>
    <w:rsid w:val="00472E80"/>
    <w:rsid w:val="004730BC"/>
    <w:rsid w:val="004731DC"/>
    <w:rsid w:val="00473524"/>
    <w:rsid w:val="0047370C"/>
    <w:rsid w:val="00473F24"/>
    <w:rsid w:val="00474601"/>
    <w:rsid w:val="00474819"/>
    <w:rsid w:val="004760F9"/>
    <w:rsid w:val="00476145"/>
    <w:rsid w:val="00476181"/>
    <w:rsid w:val="0047658A"/>
    <w:rsid w:val="0047662E"/>
    <w:rsid w:val="00476B2C"/>
    <w:rsid w:val="004776C5"/>
    <w:rsid w:val="00477DD7"/>
    <w:rsid w:val="00480214"/>
    <w:rsid w:val="00481034"/>
    <w:rsid w:val="00481169"/>
    <w:rsid w:val="004822A1"/>
    <w:rsid w:val="00482E82"/>
    <w:rsid w:val="004836B2"/>
    <w:rsid w:val="00483937"/>
    <w:rsid w:val="00483F52"/>
    <w:rsid w:val="0048415E"/>
    <w:rsid w:val="004847BE"/>
    <w:rsid w:val="004847FD"/>
    <w:rsid w:val="0048573B"/>
    <w:rsid w:val="00485AF4"/>
    <w:rsid w:val="004863FE"/>
    <w:rsid w:val="0048659D"/>
    <w:rsid w:val="00486A6C"/>
    <w:rsid w:val="00486E35"/>
    <w:rsid w:val="00487127"/>
    <w:rsid w:val="004900DD"/>
    <w:rsid w:val="00490485"/>
    <w:rsid w:val="00490D41"/>
    <w:rsid w:val="00491232"/>
    <w:rsid w:val="00491B64"/>
    <w:rsid w:val="00491C59"/>
    <w:rsid w:val="00492315"/>
    <w:rsid w:val="004926E6"/>
    <w:rsid w:val="00492824"/>
    <w:rsid w:val="00492E6F"/>
    <w:rsid w:val="00493FAB"/>
    <w:rsid w:val="00495ACD"/>
    <w:rsid w:val="00496237"/>
    <w:rsid w:val="004978A3"/>
    <w:rsid w:val="004A0C9E"/>
    <w:rsid w:val="004A100F"/>
    <w:rsid w:val="004A13BA"/>
    <w:rsid w:val="004A150F"/>
    <w:rsid w:val="004A26FA"/>
    <w:rsid w:val="004A341E"/>
    <w:rsid w:val="004A349B"/>
    <w:rsid w:val="004A3843"/>
    <w:rsid w:val="004A3D02"/>
    <w:rsid w:val="004A3E6A"/>
    <w:rsid w:val="004A3F1E"/>
    <w:rsid w:val="004A494C"/>
    <w:rsid w:val="004A4964"/>
    <w:rsid w:val="004A4C07"/>
    <w:rsid w:val="004A4D36"/>
    <w:rsid w:val="004A5130"/>
    <w:rsid w:val="004A550F"/>
    <w:rsid w:val="004A595B"/>
    <w:rsid w:val="004A6066"/>
    <w:rsid w:val="004A6315"/>
    <w:rsid w:val="004A63C8"/>
    <w:rsid w:val="004A69B3"/>
    <w:rsid w:val="004A6D1E"/>
    <w:rsid w:val="004A7386"/>
    <w:rsid w:val="004B0094"/>
    <w:rsid w:val="004B0D7B"/>
    <w:rsid w:val="004B2801"/>
    <w:rsid w:val="004B28C4"/>
    <w:rsid w:val="004B3397"/>
    <w:rsid w:val="004B349B"/>
    <w:rsid w:val="004B36D2"/>
    <w:rsid w:val="004B482C"/>
    <w:rsid w:val="004B4A24"/>
    <w:rsid w:val="004B5032"/>
    <w:rsid w:val="004B50DA"/>
    <w:rsid w:val="004B526F"/>
    <w:rsid w:val="004B531E"/>
    <w:rsid w:val="004B5DF0"/>
    <w:rsid w:val="004B665B"/>
    <w:rsid w:val="004B7E0F"/>
    <w:rsid w:val="004C13BA"/>
    <w:rsid w:val="004C1651"/>
    <w:rsid w:val="004C20F9"/>
    <w:rsid w:val="004C26CF"/>
    <w:rsid w:val="004C276C"/>
    <w:rsid w:val="004C2C1A"/>
    <w:rsid w:val="004C38EC"/>
    <w:rsid w:val="004C3CBE"/>
    <w:rsid w:val="004C4E5A"/>
    <w:rsid w:val="004C56D0"/>
    <w:rsid w:val="004C5BC7"/>
    <w:rsid w:val="004C6676"/>
    <w:rsid w:val="004C675D"/>
    <w:rsid w:val="004C79A1"/>
    <w:rsid w:val="004D14F3"/>
    <w:rsid w:val="004D170A"/>
    <w:rsid w:val="004D22ED"/>
    <w:rsid w:val="004D288F"/>
    <w:rsid w:val="004D2D4F"/>
    <w:rsid w:val="004D330F"/>
    <w:rsid w:val="004D374C"/>
    <w:rsid w:val="004D38A5"/>
    <w:rsid w:val="004D49B5"/>
    <w:rsid w:val="004D5E9C"/>
    <w:rsid w:val="004D6192"/>
    <w:rsid w:val="004D635E"/>
    <w:rsid w:val="004D6E03"/>
    <w:rsid w:val="004D74A3"/>
    <w:rsid w:val="004D74FD"/>
    <w:rsid w:val="004E0C07"/>
    <w:rsid w:val="004E1ACA"/>
    <w:rsid w:val="004E1D0B"/>
    <w:rsid w:val="004E26CC"/>
    <w:rsid w:val="004E45DB"/>
    <w:rsid w:val="004E48A5"/>
    <w:rsid w:val="004E4F52"/>
    <w:rsid w:val="004E4F84"/>
    <w:rsid w:val="004E569D"/>
    <w:rsid w:val="004E5AE5"/>
    <w:rsid w:val="004E7022"/>
    <w:rsid w:val="004E7082"/>
    <w:rsid w:val="004E7E5C"/>
    <w:rsid w:val="004F0420"/>
    <w:rsid w:val="004F079E"/>
    <w:rsid w:val="004F1A89"/>
    <w:rsid w:val="004F1DA5"/>
    <w:rsid w:val="004F2FA8"/>
    <w:rsid w:val="004F3149"/>
    <w:rsid w:val="004F3698"/>
    <w:rsid w:val="004F500E"/>
    <w:rsid w:val="004F514B"/>
    <w:rsid w:val="004F6542"/>
    <w:rsid w:val="004F7E58"/>
    <w:rsid w:val="005000BF"/>
    <w:rsid w:val="00500BAB"/>
    <w:rsid w:val="00501304"/>
    <w:rsid w:val="0050179C"/>
    <w:rsid w:val="00501F64"/>
    <w:rsid w:val="005023DA"/>
    <w:rsid w:val="00502994"/>
    <w:rsid w:val="0050332A"/>
    <w:rsid w:val="00503E78"/>
    <w:rsid w:val="00503F18"/>
    <w:rsid w:val="00506735"/>
    <w:rsid w:val="0050678C"/>
    <w:rsid w:val="00507642"/>
    <w:rsid w:val="00507A42"/>
    <w:rsid w:val="00507DB1"/>
    <w:rsid w:val="00510194"/>
    <w:rsid w:val="00510973"/>
    <w:rsid w:val="005118A0"/>
    <w:rsid w:val="00511F95"/>
    <w:rsid w:val="00512303"/>
    <w:rsid w:val="005124DD"/>
    <w:rsid w:val="00512B36"/>
    <w:rsid w:val="00512D56"/>
    <w:rsid w:val="00514351"/>
    <w:rsid w:val="0051476E"/>
    <w:rsid w:val="00514DD6"/>
    <w:rsid w:val="0051576C"/>
    <w:rsid w:val="00515B26"/>
    <w:rsid w:val="00515BE0"/>
    <w:rsid w:val="00515D0A"/>
    <w:rsid w:val="00515DEE"/>
    <w:rsid w:val="0051706C"/>
    <w:rsid w:val="005203EF"/>
    <w:rsid w:val="0052054C"/>
    <w:rsid w:val="00522813"/>
    <w:rsid w:val="00522A36"/>
    <w:rsid w:val="00522E92"/>
    <w:rsid w:val="00523D50"/>
    <w:rsid w:val="005243F9"/>
    <w:rsid w:val="005246F1"/>
    <w:rsid w:val="00526147"/>
    <w:rsid w:val="00526F97"/>
    <w:rsid w:val="00527C56"/>
    <w:rsid w:val="005303AC"/>
    <w:rsid w:val="00530666"/>
    <w:rsid w:val="00530A3C"/>
    <w:rsid w:val="00530B15"/>
    <w:rsid w:val="00530C1E"/>
    <w:rsid w:val="00532035"/>
    <w:rsid w:val="00532084"/>
    <w:rsid w:val="0053210E"/>
    <w:rsid w:val="00532897"/>
    <w:rsid w:val="005330AC"/>
    <w:rsid w:val="00533377"/>
    <w:rsid w:val="00533529"/>
    <w:rsid w:val="005348B4"/>
    <w:rsid w:val="00534C56"/>
    <w:rsid w:val="00534DD3"/>
    <w:rsid w:val="00534DFC"/>
    <w:rsid w:val="00534E43"/>
    <w:rsid w:val="005354CA"/>
    <w:rsid w:val="005368F2"/>
    <w:rsid w:val="00537FA9"/>
    <w:rsid w:val="005403BB"/>
    <w:rsid w:val="00542BB8"/>
    <w:rsid w:val="00542E36"/>
    <w:rsid w:val="005436B8"/>
    <w:rsid w:val="00543729"/>
    <w:rsid w:val="005439C6"/>
    <w:rsid w:val="00544279"/>
    <w:rsid w:val="0054444B"/>
    <w:rsid w:val="00544EF8"/>
    <w:rsid w:val="00545074"/>
    <w:rsid w:val="005455E4"/>
    <w:rsid w:val="005465D3"/>
    <w:rsid w:val="0054705A"/>
    <w:rsid w:val="005473D9"/>
    <w:rsid w:val="005477C5"/>
    <w:rsid w:val="00547E3C"/>
    <w:rsid w:val="00547F26"/>
    <w:rsid w:val="005503DD"/>
    <w:rsid w:val="0055057D"/>
    <w:rsid w:val="00550A14"/>
    <w:rsid w:val="00550AB4"/>
    <w:rsid w:val="00550E38"/>
    <w:rsid w:val="00552603"/>
    <w:rsid w:val="00552F8D"/>
    <w:rsid w:val="00553221"/>
    <w:rsid w:val="00553878"/>
    <w:rsid w:val="00553E4D"/>
    <w:rsid w:val="005544D5"/>
    <w:rsid w:val="00554EAC"/>
    <w:rsid w:val="005557A7"/>
    <w:rsid w:val="00556130"/>
    <w:rsid w:val="0055627C"/>
    <w:rsid w:val="00556820"/>
    <w:rsid w:val="005574AE"/>
    <w:rsid w:val="005575DC"/>
    <w:rsid w:val="00557AA3"/>
    <w:rsid w:val="00560BBA"/>
    <w:rsid w:val="00560BD6"/>
    <w:rsid w:val="00561BF6"/>
    <w:rsid w:val="00561ECE"/>
    <w:rsid w:val="0056241B"/>
    <w:rsid w:val="00562D05"/>
    <w:rsid w:val="00563130"/>
    <w:rsid w:val="0056446D"/>
    <w:rsid w:val="00564837"/>
    <w:rsid w:val="005649B0"/>
    <w:rsid w:val="00564AE4"/>
    <w:rsid w:val="00564F31"/>
    <w:rsid w:val="00564F5D"/>
    <w:rsid w:val="005651D5"/>
    <w:rsid w:val="00566F65"/>
    <w:rsid w:val="005672A2"/>
    <w:rsid w:val="00567704"/>
    <w:rsid w:val="00567FBB"/>
    <w:rsid w:val="00570437"/>
    <w:rsid w:val="00570683"/>
    <w:rsid w:val="00570921"/>
    <w:rsid w:val="00572182"/>
    <w:rsid w:val="00572C10"/>
    <w:rsid w:val="00572E11"/>
    <w:rsid w:val="00572F6B"/>
    <w:rsid w:val="00573696"/>
    <w:rsid w:val="00573C91"/>
    <w:rsid w:val="005740F0"/>
    <w:rsid w:val="005753D2"/>
    <w:rsid w:val="005754DB"/>
    <w:rsid w:val="00575797"/>
    <w:rsid w:val="00576636"/>
    <w:rsid w:val="00576C40"/>
    <w:rsid w:val="00576DDC"/>
    <w:rsid w:val="00580604"/>
    <w:rsid w:val="00580F1D"/>
    <w:rsid w:val="005825AB"/>
    <w:rsid w:val="0058279C"/>
    <w:rsid w:val="00582D59"/>
    <w:rsid w:val="005834D7"/>
    <w:rsid w:val="00583A94"/>
    <w:rsid w:val="00584970"/>
    <w:rsid w:val="00584B9B"/>
    <w:rsid w:val="0058514D"/>
    <w:rsid w:val="00585590"/>
    <w:rsid w:val="0058590C"/>
    <w:rsid w:val="0058623B"/>
    <w:rsid w:val="00586450"/>
    <w:rsid w:val="00586DF9"/>
    <w:rsid w:val="00587095"/>
    <w:rsid w:val="00590151"/>
    <w:rsid w:val="005906D2"/>
    <w:rsid w:val="005911EB"/>
    <w:rsid w:val="005926AA"/>
    <w:rsid w:val="00592FD3"/>
    <w:rsid w:val="00593554"/>
    <w:rsid w:val="00593672"/>
    <w:rsid w:val="005946B0"/>
    <w:rsid w:val="00594C40"/>
    <w:rsid w:val="005950AC"/>
    <w:rsid w:val="00595242"/>
    <w:rsid w:val="0059678A"/>
    <w:rsid w:val="00597DD9"/>
    <w:rsid w:val="005A1136"/>
    <w:rsid w:val="005A26DC"/>
    <w:rsid w:val="005A2EA0"/>
    <w:rsid w:val="005A3103"/>
    <w:rsid w:val="005A31A1"/>
    <w:rsid w:val="005A4481"/>
    <w:rsid w:val="005A4A96"/>
    <w:rsid w:val="005A5B06"/>
    <w:rsid w:val="005A6195"/>
    <w:rsid w:val="005A7E43"/>
    <w:rsid w:val="005B1BAC"/>
    <w:rsid w:val="005B25DD"/>
    <w:rsid w:val="005B269A"/>
    <w:rsid w:val="005B2C59"/>
    <w:rsid w:val="005B2F7A"/>
    <w:rsid w:val="005B3987"/>
    <w:rsid w:val="005B3FDB"/>
    <w:rsid w:val="005B4180"/>
    <w:rsid w:val="005B418C"/>
    <w:rsid w:val="005B4699"/>
    <w:rsid w:val="005B4DFD"/>
    <w:rsid w:val="005B73FE"/>
    <w:rsid w:val="005B7DA7"/>
    <w:rsid w:val="005C0827"/>
    <w:rsid w:val="005C084F"/>
    <w:rsid w:val="005C0C67"/>
    <w:rsid w:val="005C1071"/>
    <w:rsid w:val="005C10B3"/>
    <w:rsid w:val="005C1A1C"/>
    <w:rsid w:val="005C1B10"/>
    <w:rsid w:val="005C1B8C"/>
    <w:rsid w:val="005C1D0B"/>
    <w:rsid w:val="005C1DCB"/>
    <w:rsid w:val="005C211E"/>
    <w:rsid w:val="005C3F1F"/>
    <w:rsid w:val="005C5C15"/>
    <w:rsid w:val="005C69D2"/>
    <w:rsid w:val="005C71BF"/>
    <w:rsid w:val="005C75D0"/>
    <w:rsid w:val="005D0170"/>
    <w:rsid w:val="005D020C"/>
    <w:rsid w:val="005D0709"/>
    <w:rsid w:val="005D0F5E"/>
    <w:rsid w:val="005D1DB7"/>
    <w:rsid w:val="005D2123"/>
    <w:rsid w:val="005D2B7E"/>
    <w:rsid w:val="005D2FA2"/>
    <w:rsid w:val="005D34A7"/>
    <w:rsid w:val="005D3A64"/>
    <w:rsid w:val="005D41DC"/>
    <w:rsid w:val="005D5220"/>
    <w:rsid w:val="005D60BC"/>
    <w:rsid w:val="005D63A6"/>
    <w:rsid w:val="005D7368"/>
    <w:rsid w:val="005D7571"/>
    <w:rsid w:val="005D77ED"/>
    <w:rsid w:val="005E0547"/>
    <w:rsid w:val="005E069B"/>
    <w:rsid w:val="005E0B72"/>
    <w:rsid w:val="005E1600"/>
    <w:rsid w:val="005E1E26"/>
    <w:rsid w:val="005E1F15"/>
    <w:rsid w:val="005E228A"/>
    <w:rsid w:val="005E246C"/>
    <w:rsid w:val="005E300B"/>
    <w:rsid w:val="005E40C6"/>
    <w:rsid w:val="005E4D0E"/>
    <w:rsid w:val="005E4EFD"/>
    <w:rsid w:val="005E5ABB"/>
    <w:rsid w:val="005E6F1B"/>
    <w:rsid w:val="005E7166"/>
    <w:rsid w:val="005E71DD"/>
    <w:rsid w:val="005F0401"/>
    <w:rsid w:val="005F0842"/>
    <w:rsid w:val="005F096F"/>
    <w:rsid w:val="005F0B97"/>
    <w:rsid w:val="005F14A5"/>
    <w:rsid w:val="005F15FA"/>
    <w:rsid w:val="005F1637"/>
    <w:rsid w:val="005F181D"/>
    <w:rsid w:val="005F1964"/>
    <w:rsid w:val="005F196C"/>
    <w:rsid w:val="005F1D8C"/>
    <w:rsid w:val="005F1F41"/>
    <w:rsid w:val="005F3507"/>
    <w:rsid w:val="005F39A7"/>
    <w:rsid w:val="005F3C91"/>
    <w:rsid w:val="005F3FB4"/>
    <w:rsid w:val="005F458C"/>
    <w:rsid w:val="005F474C"/>
    <w:rsid w:val="005F4E01"/>
    <w:rsid w:val="005F4FC1"/>
    <w:rsid w:val="005F51E8"/>
    <w:rsid w:val="005F5D4E"/>
    <w:rsid w:val="005F6B5C"/>
    <w:rsid w:val="00600556"/>
    <w:rsid w:val="00600853"/>
    <w:rsid w:val="0060088A"/>
    <w:rsid w:val="00601E96"/>
    <w:rsid w:val="00602F09"/>
    <w:rsid w:val="00603297"/>
    <w:rsid w:val="00603D1D"/>
    <w:rsid w:val="00603F38"/>
    <w:rsid w:val="00604775"/>
    <w:rsid w:val="00605982"/>
    <w:rsid w:val="00606045"/>
    <w:rsid w:val="006061F4"/>
    <w:rsid w:val="00606320"/>
    <w:rsid w:val="00606D78"/>
    <w:rsid w:val="00607137"/>
    <w:rsid w:val="00607AB0"/>
    <w:rsid w:val="0061025D"/>
    <w:rsid w:val="006103CC"/>
    <w:rsid w:val="0061242F"/>
    <w:rsid w:val="0061298D"/>
    <w:rsid w:val="00613306"/>
    <w:rsid w:val="00613B54"/>
    <w:rsid w:val="00614756"/>
    <w:rsid w:val="00614F03"/>
    <w:rsid w:val="00614F28"/>
    <w:rsid w:val="0061512C"/>
    <w:rsid w:val="00615249"/>
    <w:rsid w:val="00615B94"/>
    <w:rsid w:val="00616284"/>
    <w:rsid w:val="00616D7D"/>
    <w:rsid w:val="00617629"/>
    <w:rsid w:val="00620490"/>
    <w:rsid w:val="00620AD2"/>
    <w:rsid w:val="006212F9"/>
    <w:rsid w:val="00621B6D"/>
    <w:rsid w:val="00621BFE"/>
    <w:rsid w:val="00622CD3"/>
    <w:rsid w:val="00623B9F"/>
    <w:rsid w:val="00623F7D"/>
    <w:rsid w:val="006242E1"/>
    <w:rsid w:val="006248A6"/>
    <w:rsid w:val="00624D2C"/>
    <w:rsid w:val="006257AC"/>
    <w:rsid w:val="00626F2E"/>
    <w:rsid w:val="00630087"/>
    <w:rsid w:val="00630595"/>
    <w:rsid w:val="006306A7"/>
    <w:rsid w:val="00631184"/>
    <w:rsid w:val="00631244"/>
    <w:rsid w:val="006317F2"/>
    <w:rsid w:val="00632153"/>
    <w:rsid w:val="00632696"/>
    <w:rsid w:val="00632A58"/>
    <w:rsid w:val="00632B6D"/>
    <w:rsid w:val="006330DC"/>
    <w:rsid w:val="00633314"/>
    <w:rsid w:val="00633C47"/>
    <w:rsid w:val="00634AC6"/>
    <w:rsid w:val="00635090"/>
    <w:rsid w:val="0063538B"/>
    <w:rsid w:val="00636289"/>
    <w:rsid w:val="00636423"/>
    <w:rsid w:val="0063726C"/>
    <w:rsid w:val="006400F1"/>
    <w:rsid w:val="00640133"/>
    <w:rsid w:val="006415CF"/>
    <w:rsid w:val="00641A0B"/>
    <w:rsid w:val="00642CE9"/>
    <w:rsid w:val="006436C4"/>
    <w:rsid w:val="00643ED1"/>
    <w:rsid w:val="00644078"/>
    <w:rsid w:val="006443A4"/>
    <w:rsid w:val="006454CC"/>
    <w:rsid w:val="00647509"/>
    <w:rsid w:val="00647CC1"/>
    <w:rsid w:val="006504D5"/>
    <w:rsid w:val="0065101A"/>
    <w:rsid w:val="00651A75"/>
    <w:rsid w:val="00651A96"/>
    <w:rsid w:val="00652165"/>
    <w:rsid w:val="006522E8"/>
    <w:rsid w:val="006558B3"/>
    <w:rsid w:val="00655FE3"/>
    <w:rsid w:val="006568F3"/>
    <w:rsid w:val="00656F09"/>
    <w:rsid w:val="00656FB4"/>
    <w:rsid w:val="0065793B"/>
    <w:rsid w:val="0066003E"/>
    <w:rsid w:val="0066239B"/>
    <w:rsid w:val="00663642"/>
    <w:rsid w:val="006639B8"/>
    <w:rsid w:val="00663AB4"/>
    <w:rsid w:val="00663AE7"/>
    <w:rsid w:val="00665C8B"/>
    <w:rsid w:val="0066730D"/>
    <w:rsid w:val="00667BBA"/>
    <w:rsid w:val="006702BC"/>
    <w:rsid w:val="00670A79"/>
    <w:rsid w:val="00670B9C"/>
    <w:rsid w:val="00670E5A"/>
    <w:rsid w:val="0067187C"/>
    <w:rsid w:val="00671D35"/>
    <w:rsid w:val="0067202E"/>
    <w:rsid w:val="006720E2"/>
    <w:rsid w:val="0067301E"/>
    <w:rsid w:val="006730EB"/>
    <w:rsid w:val="00674497"/>
    <w:rsid w:val="00675608"/>
    <w:rsid w:val="006756B4"/>
    <w:rsid w:val="006758D7"/>
    <w:rsid w:val="00676113"/>
    <w:rsid w:val="00676A08"/>
    <w:rsid w:val="00676B60"/>
    <w:rsid w:val="00676BB1"/>
    <w:rsid w:val="006812EC"/>
    <w:rsid w:val="0068194C"/>
    <w:rsid w:val="006833D5"/>
    <w:rsid w:val="00683484"/>
    <w:rsid w:val="00683685"/>
    <w:rsid w:val="006837A4"/>
    <w:rsid w:val="00683DAB"/>
    <w:rsid w:val="00683FC8"/>
    <w:rsid w:val="0068476D"/>
    <w:rsid w:val="00684877"/>
    <w:rsid w:val="00684906"/>
    <w:rsid w:val="00684C18"/>
    <w:rsid w:val="0068509F"/>
    <w:rsid w:val="006855FA"/>
    <w:rsid w:val="006856CA"/>
    <w:rsid w:val="00685A13"/>
    <w:rsid w:val="00685C11"/>
    <w:rsid w:val="00685C4F"/>
    <w:rsid w:val="006860A7"/>
    <w:rsid w:val="00686C68"/>
    <w:rsid w:val="0069003C"/>
    <w:rsid w:val="0069025C"/>
    <w:rsid w:val="00690789"/>
    <w:rsid w:val="0069089E"/>
    <w:rsid w:val="00690DAA"/>
    <w:rsid w:val="0069116A"/>
    <w:rsid w:val="00691665"/>
    <w:rsid w:val="00691D71"/>
    <w:rsid w:val="00691F87"/>
    <w:rsid w:val="006920B7"/>
    <w:rsid w:val="006929AB"/>
    <w:rsid w:val="00692CFC"/>
    <w:rsid w:val="00693AD5"/>
    <w:rsid w:val="0069442D"/>
    <w:rsid w:val="00695353"/>
    <w:rsid w:val="00695616"/>
    <w:rsid w:val="00695B74"/>
    <w:rsid w:val="00695E32"/>
    <w:rsid w:val="00695F5D"/>
    <w:rsid w:val="0069722D"/>
    <w:rsid w:val="00697521"/>
    <w:rsid w:val="006975DA"/>
    <w:rsid w:val="00697D01"/>
    <w:rsid w:val="006A0328"/>
    <w:rsid w:val="006A051E"/>
    <w:rsid w:val="006A0855"/>
    <w:rsid w:val="006A0B68"/>
    <w:rsid w:val="006A126A"/>
    <w:rsid w:val="006A1A2E"/>
    <w:rsid w:val="006A2ACB"/>
    <w:rsid w:val="006A2C15"/>
    <w:rsid w:val="006A32DD"/>
    <w:rsid w:val="006A3777"/>
    <w:rsid w:val="006A40E6"/>
    <w:rsid w:val="006A4D51"/>
    <w:rsid w:val="006A552E"/>
    <w:rsid w:val="006A5D68"/>
    <w:rsid w:val="006A6335"/>
    <w:rsid w:val="006A6A3B"/>
    <w:rsid w:val="006A6DF9"/>
    <w:rsid w:val="006A709F"/>
    <w:rsid w:val="006A7ED0"/>
    <w:rsid w:val="006B04DC"/>
    <w:rsid w:val="006B0B03"/>
    <w:rsid w:val="006B1AAB"/>
    <w:rsid w:val="006B1F16"/>
    <w:rsid w:val="006B29AD"/>
    <w:rsid w:val="006B2EAC"/>
    <w:rsid w:val="006B47C8"/>
    <w:rsid w:val="006B5762"/>
    <w:rsid w:val="006B640A"/>
    <w:rsid w:val="006B6FE8"/>
    <w:rsid w:val="006B7327"/>
    <w:rsid w:val="006B74D1"/>
    <w:rsid w:val="006B7514"/>
    <w:rsid w:val="006C032F"/>
    <w:rsid w:val="006C041C"/>
    <w:rsid w:val="006C1324"/>
    <w:rsid w:val="006C1923"/>
    <w:rsid w:val="006C24FD"/>
    <w:rsid w:val="006C3E8E"/>
    <w:rsid w:val="006C4484"/>
    <w:rsid w:val="006C44F2"/>
    <w:rsid w:val="006C56E7"/>
    <w:rsid w:val="006C5D57"/>
    <w:rsid w:val="006C5E90"/>
    <w:rsid w:val="006C6448"/>
    <w:rsid w:val="006C64D2"/>
    <w:rsid w:val="006C6763"/>
    <w:rsid w:val="006C6DE5"/>
    <w:rsid w:val="006C7279"/>
    <w:rsid w:val="006C7D8E"/>
    <w:rsid w:val="006D08CD"/>
    <w:rsid w:val="006D0EE4"/>
    <w:rsid w:val="006D1088"/>
    <w:rsid w:val="006D1131"/>
    <w:rsid w:val="006D120B"/>
    <w:rsid w:val="006D141E"/>
    <w:rsid w:val="006D1A7B"/>
    <w:rsid w:val="006D334C"/>
    <w:rsid w:val="006D3D8B"/>
    <w:rsid w:val="006D4B11"/>
    <w:rsid w:val="006D540D"/>
    <w:rsid w:val="006D5945"/>
    <w:rsid w:val="006D598C"/>
    <w:rsid w:val="006D59C5"/>
    <w:rsid w:val="006D78BE"/>
    <w:rsid w:val="006E1929"/>
    <w:rsid w:val="006E194A"/>
    <w:rsid w:val="006E3438"/>
    <w:rsid w:val="006E3CC9"/>
    <w:rsid w:val="006E42E6"/>
    <w:rsid w:val="006E4DAE"/>
    <w:rsid w:val="006E6481"/>
    <w:rsid w:val="006E686C"/>
    <w:rsid w:val="006E6ACD"/>
    <w:rsid w:val="006F00CD"/>
    <w:rsid w:val="006F096B"/>
    <w:rsid w:val="006F0CB4"/>
    <w:rsid w:val="006F148A"/>
    <w:rsid w:val="006F14E8"/>
    <w:rsid w:val="006F182D"/>
    <w:rsid w:val="006F1905"/>
    <w:rsid w:val="006F1B95"/>
    <w:rsid w:val="006F2E2A"/>
    <w:rsid w:val="006F338C"/>
    <w:rsid w:val="006F3BC5"/>
    <w:rsid w:val="006F5681"/>
    <w:rsid w:val="006F58A9"/>
    <w:rsid w:val="006F6446"/>
    <w:rsid w:val="006F6846"/>
    <w:rsid w:val="006F6911"/>
    <w:rsid w:val="006F6B71"/>
    <w:rsid w:val="006F7507"/>
    <w:rsid w:val="006F76A3"/>
    <w:rsid w:val="006F7B90"/>
    <w:rsid w:val="006F7DF5"/>
    <w:rsid w:val="006F7F18"/>
    <w:rsid w:val="00700939"/>
    <w:rsid w:val="00700C01"/>
    <w:rsid w:val="007016A3"/>
    <w:rsid w:val="007024DF"/>
    <w:rsid w:val="00702877"/>
    <w:rsid w:val="00702DE7"/>
    <w:rsid w:val="007038C3"/>
    <w:rsid w:val="007039B9"/>
    <w:rsid w:val="00704BE8"/>
    <w:rsid w:val="00704E09"/>
    <w:rsid w:val="0070505C"/>
    <w:rsid w:val="00705218"/>
    <w:rsid w:val="007053F2"/>
    <w:rsid w:val="007057FD"/>
    <w:rsid w:val="00706124"/>
    <w:rsid w:val="00707706"/>
    <w:rsid w:val="00707F21"/>
    <w:rsid w:val="007102F2"/>
    <w:rsid w:val="00710873"/>
    <w:rsid w:val="007111B0"/>
    <w:rsid w:val="00711367"/>
    <w:rsid w:val="00712A43"/>
    <w:rsid w:val="0071472B"/>
    <w:rsid w:val="007155FA"/>
    <w:rsid w:val="00715DB0"/>
    <w:rsid w:val="00715F07"/>
    <w:rsid w:val="007160AA"/>
    <w:rsid w:val="00716835"/>
    <w:rsid w:val="007169AC"/>
    <w:rsid w:val="00716BA1"/>
    <w:rsid w:val="00716C8E"/>
    <w:rsid w:val="00717115"/>
    <w:rsid w:val="007177C5"/>
    <w:rsid w:val="00721008"/>
    <w:rsid w:val="007213EC"/>
    <w:rsid w:val="00721692"/>
    <w:rsid w:val="007216A9"/>
    <w:rsid w:val="00721A69"/>
    <w:rsid w:val="0072208C"/>
    <w:rsid w:val="007222AD"/>
    <w:rsid w:val="00722385"/>
    <w:rsid w:val="0072253E"/>
    <w:rsid w:val="00722F91"/>
    <w:rsid w:val="00723322"/>
    <w:rsid w:val="00723B0F"/>
    <w:rsid w:val="00724966"/>
    <w:rsid w:val="00724E4D"/>
    <w:rsid w:val="00725AC4"/>
    <w:rsid w:val="00725F12"/>
    <w:rsid w:val="00726BEC"/>
    <w:rsid w:val="00726CA5"/>
    <w:rsid w:val="00727573"/>
    <w:rsid w:val="007279FE"/>
    <w:rsid w:val="00727D4C"/>
    <w:rsid w:val="00727DB2"/>
    <w:rsid w:val="00730D79"/>
    <w:rsid w:val="00731A3E"/>
    <w:rsid w:val="00731BA8"/>
    <w:rsid w:val="00731F24"/>
    <w:rsid w:val="00732B33"/>
    <w:rsid w:val="00732B4B"/>
    <w:rsid w:val="00732C22"/>
    <w:rsid w:val="00732C39"/>
    <w:rsid w:val="00733131"/>
    <w:rsid w:val="00734A19"/>
    <w:rsid w:val="00735164"/>
    <w:rsid w:val="00735316"/>
    <w:rsid w:val="007357D8"/>
    <w:rsid w:val="00735B3F"/>
    <w:rsid w:val="00735CB7"/>
    <w:rsid w:val="00735F7E"/>
    <w:rsid w:val="0073615D"/>
    <w:rsid w:val="007369C2"/>
    <w:rsid w:val="00736DC3"/>
    <w:rsid w:val="00740F3B"/>
    <w:rsid w:val="00741572"/>
    <w:rsid w:val="007422CC"/>
    <w:rsid w:val="00742B56"/>
    <w:rsid w:val="007436D0"/>
    <w:rsid w:val="00744860"/>
    <w:rsid w:val="00745A39"/>
    <w:rsid w:val="00745C24"/>
    <w:rsid w:val="007500D8"/>
    <w:rsid w:val="0075064E"/>
    <w:rsid w:val="00751343"/>
    <w:rsid w:val="00751380"/>
    <w:rsid w:val="00751EA1"/>
    <w:rsid w:val="00752143"/>
    <w:rsid w:val="007522FF"/>
    <w:rsid w:val="00754BEB"/>
    <w:rsid w:val="0075517E"/>
    <w:rsid w:val="00755734"/>
    <w:rsid w:val="00755C79"/>
    <w:rsid w:val="00756094"/>
    <w:rsid w:val="00756C21"/>
    <w:rsid w:val="0075720B"/>
    <w:rsid w:val="00757822"/>
    <w:rsid w:val="007579A6"/>
    <w:rsid w:val="00757E6B"/>
    <w:rsid w:val="007605F9"/>
    <w:rsid w:val="00761759"/>
    <w:rsid w:val="00762330"/>
    <w:rsid w:val="00763090"/>
    <w:rsid w:val="00763863"/>
    <w:rsid w:val="00763D2E"/>
    <w:rsid w:val="007645CE"/>
    <w:rsid w:val="00764BAB"/>
    <w:rsid w:val="00764DC3"/>
    <w:rsid w:val="00765511"/>
    <w:rsid w:val="007658BC"/>
    <w:rsid w:val="007660BB"/>
    <w:rsid w:val="00766348"/>
    <w:rsid w:val="00766C80"/>
    <w:rsid w:val="007676DA"/>
    <w:rsid w:val="007707F8"/>
    <w:rsid w:val="00770CF4"/>
    <w:rsid w:val="00771548"/>
    <w:rsid w:val="0077158E"/>
    <w:rsid w:val="0077168A"/>
    <w:rsid w:val="007725AC"/>
    <w:rsid w:val="007734AC"/>
    <w:rsid w:val="007734FD"/>
    <w:rsid w:val="007746BC"/>
    <w:rsid w:val="007748CB"/>
    <w:rsid w:val="007750EF"/>
    <w:rsid w:val="007754C4"/>
    <w:rsid w:val="007754CB"/>
    <w:rsid w:val="007758BF"/>
    <w:rsid w:val="007759B8"/>
    <w:rsid w:val="00775AF9"/>
    <w:rsid w:val="00775D1C"/>
    <w:rsid w:val="007768F9"/>
    <w:rsid w:val="00777035"/>
    <w:rsid w:val="0077747D"/>
    <w:rsid w:val="007778D1"/>
    <w:rsid w:val="00782249"/>
    <w:rsid w:val="007824C1"/>
    <w:rsid w:val="00782A32"/>
    <w:rsid w:val="00783C1B"/>
    <w:rsid w:val="007849A1"/>
    <w:rsid w:val="0078513D"/>
    <w:rsid w:val="00786931"/>
    <w:rsid w:val="007869BC"/>
    <w:rsid w:val="00786E37"/>
    <w:rsid w:val="00787717"/>
    <w:rsid w:val="007906EA"/>
    <w:rsid w:val="00790B42"/>
    <w:rsid w:val="00790BFA"/>
    <w:rsid w:val="00790D37"/>
    <w:rsid w:val="00791440"/>
    <w:rsid w:val="00792886"/>
    <w:rsid w:val="00792BC9"/>
    <w:rsid w:val="0079329D"/>
    <w:rsid w:val="00793AAE"/>
    <w:rsid w:val="0079421D"/>
    <w:rsid w:val="0079426B"/>
    <w:rsid w:val="0079460C"/>
    <w:rsid w:val="00795250"/>
    <w:rsid w:val="00795A75"/>
    <w:rsid w:val="00796A36"/>
    <w:rsid w:val="00797DC0"/>
    <w:rsid w:val="007A1253"/>
    <w:rsid w:val="007A2B20"/>
    <w:rsid w:val="007A31F1"/>
    <w:rsid w:val="007A4246"/>
    <w:rsid w:val="007A45E0"/>
    <w:rsid w:val="007A477B"/>
    <w:rsid w:val="007A5B3E"/>
    <w:rsid w:val="007A5D7B"/>
    <w:rsid w:val="007A6176"/>
    <w:rsid w:val="007A6E37"/>
    <w:rsid w:val="007A742F"/>
    <w:rsid w:val="007B0A7E"/>
    <w:rsid w:val="007B2166"/>
    <w:rsid w:val="007B23F7"/>
    <w:rsid w:val="007B38CD"/>
    <w:rsid w:val="007B5089"/>
    <w:rsid w:val="007B560E"/>
    <w:rsid w:val="007B61C9"/>
    <w:rsid w:val="007B6200"/>
    <w:rsid w:val="007B67A8"/>
    <w:rsid w:val="007B6A9A"/>
    <w:rsid w:val="007B70B4"/>
    <w:rsid w:val="007B723F"/>
    <w:rsid w:val="007B7705"/>
    <w:rsid w:val="007B7787"/>
    <w:rsid w:val="007B7C37"/>
    <w:rsid w:val="007B7EA9"/>
    <w:rsid w:val="007B7F74"/>
    <w:rsid w:val="007C009D"/>
    <w:rsid w:val="007C015D"/>
    <w:rsid w:val="007C02C2"/>
    <w:rsid w:val="007C0BE1"/>
    <w:rsid w:val="007C0FE8"/>
    <w:rsid w:val="007C11C7"/>
    <w:rsid w:val="007C133F"/>
    <w:rsid w:val="007C256A"/>
    <w:rsid w:val="007C2E68"/>
    <w:rsid w:val="007C3496"/>
    <w:rsid w:val="007C4006"/>
    <w:rsid w:val="007C4339"/>
    <w:rsid w:val="007C4418"/>
    <w:rsid w:val="007C519D"/>
    <w:rsid w:val="007C54B0"/>
    <w:rsid w:val="007C6D4C"/>
    <w:rsid w:val="007D00F7"/>
    <w:rsid w:val="007D0E2E"/>
    <w:rsid w:val="007D2007"/>
    <w:rsid w:val="007D2645"/>
    <w:rsid w:val="007D2D7F"/>
    <w:rsid w:val="007D3085"/>
    <w:rsid w:val="007D31F3"/>
    <w:rsid w:val="007D3EA4"/>
    <w:rsid w:val="007D4A52"/>
    <w:rsid w:val="007D4AB5"/>
    <w:rsid w:val="007D4FED"/>
    <w:rsid w:val="007D5089"/>
    <w:rsid w:val="007E0DBE"/>
    <w:rsid w:val="007E0E3D"/>
    <w:rsid w:val="007E0EAC"/>
    <w:rsid w:val="007E1AA2"/>
    <w:rsid w:val="007E1BB7"/>
    <w:rsid w:val="007E2935"/>
    <w:rsid w:val="007E2A03"/>
    <w:rsid w:val="007E2A65"/>
    <w:rsid w:val="007E2D93"/>
    <w:rsid w:val="007E2E5B"/>
    <w:rsid w:val="007E3121"/>
    <w:rsid w:val="007E3373"/>
    <w:rsid w:val="007E418F"/>
    <w:rsid w:val="007E42D7"/>
    <w:rsid w:val="007E441B"/>
    <w:rsid w:val="007E4587"/>
    <w:rsid w:val="007E4A03"/>
    <w:rsid w:val="007E4D4B"/>
    <w:rsid w:val="007E52E8"/>
    <w:rsid w:val="007E5453"/>
    <w:rsid w:val="007E5881"/>
    <w:rsid w:val="007E641C"/>
    <w:rsid w:val="007E6566"/>
    <w:rsid w:val="007E66B1"/>
    <w:rsid w:val="007E6C6E"/>
    <w:rsid w:val="007E6E41"/>
    <w:rsid w:val="007E6EB8"/>
    <w:rsid w:val="007E788E"/>
    <w:rsid w:val="007E78BA"/>
    <w:rsid w:val="007E7C09"/>
    <w:rsid w:val="007F09AF"/>
    <w:rsid w:val="007F19FB"/>
    <w:rsid w:val="007F26DF"/>
    <w:rsid w:val="007F2C8A"/>
    <w:rsid w:val="007F383E"/>
    <w:rsid w:val="007F3D8F"/>
    <w:rsid w:val="007F3F44"/>
    <w:rsid w:val="007F48CB"/>
    <w:rsid w:val="007F49D8"/>
    <w:rsid w:val="007F4A21"/>
    <w:rsid w:val="007F5EEE"/>
    <w:rsid w:val="007F5F8A"/>
    <w:rsid w:val="007F6996"/>
    <w:rsid w:val="007F6B5F"/>
    <w:rsid w:val="007F7D5A"/>
    <w:rsid w:val="0080087A"/>
    <w:rsid w:val="00801778"/>
    <w:rsid w:val="00802054"/>
    <w:rsid w:val="0080353C"/>
    <w:rsid w:val="00803A39"/>
    <w:rsid w:val="00803D92"/>
    <w:rsid w:val="00804124"/>
    <w:rsid w:val="008044A4"/>
    <w:rsid w:val="00804779"/>
    <w:rsid w:val="00804801"/>
    <w:rsid w:val="00805BD8"/>
    <w:rsid w:val="00805D58"/>
    <w:rsid w:val="00805DEC"/>
    <w:rsid w:val="0080613B"/>
    <w:rsid w:val="00806FD1"/>
    <w:rsid w:val="008074FD"/>
    <w:rsid w:val="00807952"/>
    <w:rsid w:val="00810707"/>
    <w:rsid w:val="00810E1E"/>
    <w:rsid w:val="0081162D"/>
    <w:rsid w:val="00811C1D"/>
    <w:rsid w:val="00811D26"/>
    <w:rsid w:val="008128F9"/>
    <w:rsid w:val="008132E0"/>
    <w:rsid w:val="008137FD"/>
    <w:rsid w:val="00813F1A"/>
    <w:rsid w:val="00814341"/>
    <w:rsid w:val="00814677"/>
    <w:rsid w:val="00814EE6"/>
    <w:rsid w:val="00815FC9"/>
    <w:rsid w:val="008165EC"/>
    <w:rsid w:val="008167D7"/>
    <w:rsid w:val="00816A53"/>
    <w:rsid w:val="00817105"/>
    <w:rsid w:val="008178FE"/>
    <w:rsid w:val="00817C06"/>
    <w:rsid w:val="008204DE"/>
    <w:rsid w:val="00820B1C"/>
    <w:rsid w:val="00820DCF"/>
    <w:rsid w:val="008211F0"/>
    <w:rsid w:val="00821501"/>
    <w:rsid w:val="008223C6"/>
    <w:rsid w:val="00822E22"/>
    <w:rsid w:val="00822E35"/>
    <w:rsid w:val="00823868"/>
    <w:rsid w:val="00823C4A"/>
    <w:rsid w:val="00824642"/>
    <w:rsid w:val="008247C0"/>
    <w:rsid w:val="0082489A"/>
    <w:rsid w:val="00824AC3"/>
    <w:rsid w:val="00825BD4"/>
    <w:rsid w:val="00825E0F"/>
    <w:rsid w:val="008272D1"/>
    <w:rsid w:val="00827DA0"/>
    <w:rsid w:val="008306B6"/>
    <w:rsid w:val="00830F06"/>
    <w:rsid w:val="00831152"/>
    <w:rsid w:val="008312BF"/>
    <w:rsid w:val="00831B9B"/>
    <w:rsid w:val="00831E94"/>
    <w:rsid w:val="008320EF"/>
    <w:rsid w:val="00832AC8"/>
    <w:rsid w:val="00833552"/>
    <w:rsid w:val="008336C1"/>
    <w:rsid w:val="00833937"/>
    <w:rsid w:val="00833962"/>
    <w:rsid w:val="00833D50"/>
    <w:rsid w:val="008344ED"/>
    <w:rsid w:val="00834684"/>
    <w:rsid w:val="00835312"/>
    <w:rsid w:val="0083603F"/>
    <w:rsid w:val="00836654"/>
    <w:rsid w:val="00840354"/>
    <w:rsid w:val="008406EE"/>
    <w:rsid w:val="00841E33"/>
    <w:rsid w:val="00841FE7"/>
    <w:rsid w:val="00842227"/>
    <w:rsid w:val="008428B3"/>
    <w:rsid w:val="00842C48"/>
    <w:rsid w:val="00842C9C"/>
    <w:rsid w:val="0084322F"/>
    <w:rsid w:val="008438DD"/>
    <w:rsid w:val="00843C60"/>
    <w:rsid w:val="00843DD7"/>
    <w:rsid w:val="0084438E"/>
    <w:rsid w:val="00844C57"/>
    <w:rsid w:val="00844F66"/>
    <w:rsid w:val="00845122"/>
    <w:rsid w:val="00847E01"/>
    <w:rsid w:val="00850E8B"/>
    <w:rsid w:val="008514D4"/>
    <w:rsid w:val="00851EAC"/>
    <w:rsid w:val="00852CC2"/>
    <w:rsid w:val="00853A01"/>
    <w:rsid w:val="00856385"/>
    <w:rsid w:val="008564BF"/>
    <w:rsid w:val="00856718"/>
    <w:rsid w:val="00856B86"/>
    <w:rsid w:val="00856BC5"/>
    <w:rsid w:val="00857140"/>
    <w:rsid w:val="008578E9"/>
    <w:rsid w:val="00857EC6"/>
    <w:rsid w:val="00860778"/>
    <w:rsid w:val="0086234B"/>
    <w:rsid w:val="0086299C"/>
    <w:rsid w:val="00862BCE"/>
    <w:rsid w:val="00863A46"/>
    <w:rsid w:val="00865056"/>
    <w:rsid w:val="00865145"/>
    <w:rsid w:val="00866A86"/>
    <w:rsid w:val="00866AD9"/>
    <w:rsid w:val="00866CAD"/>
    <w:rsid w:val="00866F4D"/>
    <w:rsid w:val="008672BE"/>
    <w:rsid w:val="00867475"/>
    <w:rsid w:val="008674E3"/>
    <w:rsid w:val="0086771F"/>
    <w:rsid w:val="00867A67"/>
    <w:rsid w:val="008710CD"/>
    <w:rsid w:val="00871442"/>
    <w:rsid w:val="0087194E"/>
    <w:rsid w:val="00871CA7"/>
    <w:rsid w:val="00872599"/>
    <w:rsid w:val="008747BA"/>
    <w:rsid w:val="00874C71"/>
    <w:rsid w:val="00874C86"/>
    <w:rsid w:val="008750EE"/>
    <w:rsid w:val="0087605B"/>
    <w:rsid w:val="00876721"/>
    <w:rsid w:val="00876DC5"/>
    <w:rsid w:val="00881038"/>
    <w:rsid w:val="008811F7"/>
    <w:rsid w:val="00881C1A"/>
    <w:rsid w:val="008821A1"/>
    <w:rsid w:val="008822B8"/>
    <w:rsid w:val="0088257A"/>
    <w:rsid w:val="00882885"/>
    <w:rsid w:val="008833F7"/>
    <w:rsid w:val="00885BEF"/>
    <w:rsid w:val="00885CFB"/>
    <w:rsid w:val="00885D61"/>
    <w:rsid w:val="00886D65"/>
    <w:rsid w:val="00887304"/>
    <w:rsid w:val="008902DD"/>
    <w:rsid w:val="0089081D"/>
    <w:rsid w:val="00891083"/>
    <w:rsid w:val="008913DF"/>
    <w:rsid w:val="008917B1"/>
    <w:rsid w:val="00893EE7"/>
    <w:rsid w:val="00895874"/>
    <w:rsid w:val="00895E21"/>
    <w:rsid w:val="00896114"/>
    <w:rsid w:val="0089651E"/>
    <w:rsid w:val="00896520"/>
    <w:rsid w:val="0089780D"/>
    <w:rsid w:val="00897AFF"/>
    <w:rsid w:val="00897F27"/>
    <w:rsid w:val="008A0124"/>
    <w:rsid w:val="008A03CF"/>
    <w:rsid w:val="008A03E2"/>
    <w:rsid w:val="008A1EA1"/>
    <w:rsid w:val="008A2127"/>
    <w:rsid w:val="008A3924"/>
    <w:rsid w:val="008A39DD"/>
    <w:rsid w:val="008A3A2A"/>
    <w:rsid w:val="008A3E36"/>
    <w:rsid w:val="008A400A"/>
    <w:rsid w:val="008A463E"/>
    <w:rsid w:val="008A5187"/>
    <w:rsid w:val="008A58F5"/>
    <w:rsid w:val="008A5C96"/>
    <w:rsid w:val="008A6243"/>
    <w:rsid w:val="008A63EE"/>
    <w:rsid w:val="008A64A1"/>
    <w:rsid w:val="008A654D"/>
    <w:rsid w:val="008A6A62"/>
    <w:rsid w:val="008A6C36"/>
    <w:rsid w:val="008B006D"/>
    <w:rsid w:val="008B072B"/>
    <w:rsid w:val="008B0B7D"/>
    <w:rsid w:val="008B121C"/>
    <w:rsid w:val="008B150B"/>
    <w:rsid w:val="008B1E8A"/>
    <w:rsid w:val="008B28AE"/>
    <w:rsid w:val="008B3EB9"/>
    <w:rsid w:val="008B4905"/>
    <w:rsid w:val="008B4973"/>
    <w:rsid w:val="008B5772"/>
    <w:rsid w:val="008B7E10"/>
    <w:rsid w:val="008C07D7"/>
    <w:rsid w:val="008C0CEA"/>
    <w:rsid w:val="008C141B"/>
    <w:rsid w:val="008C1946"/>
    <w:rsid w:val="008C194C"/>
    <w:rsid w:val="008C1A12"/>
    <w:rsid w:val="008C1A9C"/>
    <w:rsid w:val="008C2CB6"/>
    <w:rsid w:val="008C3056"/>
    <w:rsid w:val="008C48EE"/>
    <w:rsid w:val="008C4C13"/>
    <w:rsid w:val="008C4D99"/>
    <w:rsid w:val="008C525C"/>
    <w:rsid w:val="008C5422"/>
    <w:rsid w:val="008C5B64"/>
    <w:rsid w:val="008D0BA0"/>
    <w:rsid w:val="008D14AB"/>
    <w:rsid w:val="008D27E4"/>
    <w:rsid w:val="008D32BA"/>
    <w:rsid w:val="008D33CD"/>
    <w:rsid w:val="008D342C"/>
    <w:rsid w:val="008D398E"/>
    <w:rsid w:val="008D43D2"/>
    <w:rsid w:val="008D4453"/>
    <w:rsid w:val="008D4D8A"/>
    <w:rsid w:val="008D5324"/>
    <w:rsid w:val="008D5A5C"/>
    <w:rsid w:val="008E01D1"/>
    <w:rsid w:val="008E0786"/>
    <w:rsid w:val="008E0D01"/>
    <w:rsid w:val="008E1B06"/>
    <w:rsid w:val="008E2AD8"/>
    <w:rsid w:val="008E2C78"/>
    <w:rsid w:val="008E329A"/>
    <w:rsid w:val="008E36C0"/>
    <w:rsid w:val="008E37B9"/>
    <w:rsid w:val="008E5D24"/>
    <w:rsid w:val="008E68B7"/>
    <w:rsid w:val="008E68D2"/>
    <w:rsid w:val="008E735F"/>
    <w:rsid w:val="008E73A6"/>
    <w:rsid w:val="008E775B"/>
    <w:rsid w:val="008F038C"/>
    <w:rsid w:val="008F0488"/>
    <w:rsid w:val="008F0F5C"/>
    <w:rsid w:val="008F1681"/>
    <w:rsid w:val="008F1B09"/>
    <w:rsid w:val="008F1E8A"/>
    <w:rsid w:val="008F1FBE"/>
    <w:rsid w:val="008F295D"/>
    <w:rsid w:val="008F3463"/>
    <w:rsid w:val="008F36D7"/>
    <w:rsid w:val="008F4245"/>
    <w:rsid w:val="008F4A7F"/>
    <w:rsid w:val="008F4B7D"/>
    <w:rsid w:val="008F56A6"/>
    <w:rsid w:val="008F615A"/>
    <w:rsid w:val="008F624A"/>
    <w:rsid w:val="008F68B6"/>
    <w:rsid w:val="008F6A53"/>
    <w:rsid w:val="008F7E0A"/>
    <w:rsid w:val="0090018C"/>
    <w:rsid w:val="009004BE"/>
    <w:rsid w:val="009008BB"/>
    <w:rsid w:val="009008C8"/>
    <w:rsid w:val="009018A4"/>
    <w:rsid w:val="009027B7"/>
    <w:rsid w:val="00902A34"/>
    <w:rsid w:val="00902D39"/>
    <w:rsid w:val="00902EA0"/>
    <w:rsid w:val="00902F81"/>
    <w:rsid w:val="00903A48"/>
    <w:rsid w:val="009047F0"/>
    <w:rsid w:val="009059DB"/>
    <w:rsid w:val="00905FC8"/>
    <w:rsid w:val="0090757B"/>
    <w:rsid w:val="00907865"/>
    <w:rsid w:val="00907FA2"/>
    <w:rsid w:val="0091070A"/>
    <w:rsid w:val="00910A51"/>
    <w:rsid w:val="00910C53"/>
    <w:rsid w:val="009115BE"/>
    <w:rsid w:val="00911A1E"/>
    <w:rsid w:val="009125C2"/>
    <w:rsid w:val="00912858"/>
    <w:rsid w:val="00912BA3"/>
    <w:rsid w:val="0091322F"/>
    <w:rsid w:val="00913802"/>
    <w:rsid w:val="00913C80"/>
    <w:rsid w:val="00914755"/>
    <w:rsid w:val="00915210"/>
    <w:rsid w:val="00915A14"/>
    <w:rsid w:val="00915B7D"/>
    <w:rsid w:val="00917256"/>
    <w:rsid w:val="00917289"/>
    <w:rsid w:val="00920286"/>
    <w:rsid w:val="00920CD1"/>
    <w:rsid w:val="00921246"/>
    <w:rsid w:val="00921DA9"/>
    <w:rsid w:val="009222FC"/>
    <w:rsid w:val="00923AEF"/>
    <w:rsid w:val="009263E2"/>
    <w:rsid w:val="00926B93"/>
    <w:rsid w:val="00926DAF"/>
    <w:rsid w:val="00926E7F"/>
    <w:rsid w:val="00926E9F"/>
    <w:rsid w:val="009271E5"/>
    <w:rsid w:val="009274C5"/>
    <w:rsid w:val="00927D9B"/>
    <w:rsid w:val="00927FB7"/>
    <w:rsid w:val="0093047B"/>
    <w:rsid w:val="00930AD3"/>
    <w:rsid w:val="00931957"/>
    <w:rsid w:val="00932412"/>
    <w:rsid w:val="009324A3"/>
    <w:rsid w:val="009325B2"/>
    <w:rsid w:val="009327F3"/>
    <w:rsid w:val="009328F2"/>
    <w:rsid w:val="00933DCF"/>
    <w:rsid w:val="00934210"/>
    <w:rsid w:val="0093429D"/>
    <w:rsid w:val="009347D8"/>
    <w:rsid w:val="00934A88"/>
    <w:rsid w:val="00934C52"/>
    <w:rsid w:val="00934EEB"/>
    <w:rsid w:val="009351DC"/>
    <w:rsid w:val="009351FE"/>
    <w:rsid w:val="00935231"/>
    <w:rsid w:val="0093595C"/>
    <w:rsid w:val="00936E9F"/>
    <w:rsid w:val="00936FEC"/>
    <w:rsid w:val="0093720A"/>
    <w:rsid w:val="009372E0"/>
    <w:rsid w:val="00937D2F"/>
    <w:rsid w:val="009401BD"/>
    <w:rsid w:val="0094196C"/>
    <w:rsid w:val="00941DB3"/>
    <w:rsid w:val="009436F3"/>
    <w:rsid w:val="0094540F"/>
    <w:rsid w:val="00945657"/>
    <w:rsid w:val="009458E3"/>
    <w:rsid w:val="00945B51"/>
    <w:rsid w:val="00945D8A"/>
    <w:rsid w:val="00945F10"/>
    <w:rsid w:val="00945F1A"/>
    <w:rsid w:val="00946132"/>
    <w:rsid w:val="0094664E"/>
    <w:rsid w:val="00946726"/>
    <w:rsid w:val="009467B3"/>
    <w:rsid w:val="00946B03"/>
    <w:rsid w:val="00946E53"/>
    <w:rsid w:val="00947884"/>
    <w:rsid w:val="00951192"/>
    <w:rsid w:val="009517DA"/>
    <w:rsid w:val="00951B97"/>
    <w:rsid w:val="00951FDB"/>
    <w:rsid w:val="00952906"/>
    <w:rsid w:val="00952939"/>
    <w:rsid w:val="009529A5"/>
    <w:rsid w:val="009529C5"/>
    <w:rsid w:val="00952FC5"/>
    <w:rsid w:val="00953493"/>
    <w:rsid w:val="00953845"/>
    <w:rsid w:val="009542A5"/>
    <w:rsid w:val="0095435B"/>
    <w:rsid w:val="00954653"/>
    <w:rsid w:val="00954A1F"/>
    <w:rsid w:val="00955195"/>
    <w:rsid w:val="00955BCB"/>
    <w:rsid w:val="009560E4"/>
    <w:rsid w:val="009577B5"/>
    <w:rsid w:val="00957F69"/>
    <w:rsid w:val="009601F2"/>
    <w:rsid w:val="00960F68"/>
    <w:rsid w:val="009625E3"/>
    <w:rsid w:val="009629FB"/>
    <w:rsid w:val="00962D79"/>
    <w:rsid w:val="009637E4"/>
    <w:rsid w:val="00964222"/>
    <w:rsid w:val="0096459A"/>
    <w:rsid w:val="00965B15"/>
    <w:rsid w:val="0096702A"/>
    <w:rsid w:val="00967556"/>
    <w:rsid w:val="00967769"/>
    <w:rsid w:val="00967BD2"/>
    <w:rsid w:val="00967FCC"/>
    <w:rsid w:val="00970863"/>
    <w:rsid w:val="0097099A"/>
    <w:rsid w:val="009722BB"/>
    <w:rsid w:val="00973129"/>
    <w:rsid w:val="0097388C"/>
    <w:rsid w:val="00973978"/>
    <w:rsid w:val="009753F5"/>
    <w:rsid w:val="00975827"/>
    <w:rsid w:val="00975E7C"/>
    <w:rsid w:val="009761CE"/>
    <w:rsid w:val="00976997"/>
    <w:rsid w:val="00976B3F"/>
    <w:rsid w:val="00977572"/>
    <w:rsid w:val="009777FD"/>
    <w:rsid w:val="0098046C"/>
    <w:rsid w:val="0098055C"/>
    <w:rsid w:val="0098096B"/>
    <w:rsid w:val="00980CDB"/>
    <w:rsid w:val="0098203A"/>
    <w:rsid w:val="00982A35"/>
    <w:rsid w:val="00982EA0"/>
    <w:rsid w:val="009839A7"/>
    <w:rsid w:val="00983C65"/>
    <w:rsid w:val="0098404A"/>
    <w:rsid w:val="00984265"/>
    <w:rsid w:val="009848A3"/>
    <w:rsid w:val="00984EFC"/>
    <w:rsid w:val="00985AFA"/>
    <w:rsid w:val="009861F0"/>
    <w:rsid w:val="009874EE"/>
    <w:rsid w:val="009913E0"/>
    <w:rsid w:val="0099152D"/>
    <w:rsid w:val="0099174C"/>
    <w:rsid w:val="00991E65"/>
    <w:rsid w:val="0099299B"/>
    <w:rsid w:val="009935AB"/>
    <w:rsid w:val="00993CA2"/>
    <w:rsid w:val="00993D4C"/>
    <w:rsid w:val="00994038"/>
    <w:rsid w:val="009948B1"/>
    <w:rsid w:val="009948D7"/>
    <w:rsid w:val="00994A42"/>
    <w:rsid w:val="00994E11"/>
    <w:rsid w:val="00995421"/>
    <w:rsid w:val="0099569C"/>
    <w:rsid w:val="00995BFE"/>
    <w:rsid w:val="00995C6F"/>
    <w:rsid w:val="00996718"/>
    <w:rsid w:val="00996AB1"/>
    <w:rsid w:val="00996E2C"/>
    <w:rsid w:val="00997307"/>
    <w:rsid w:val="00997795"/>
    <w:rsid w:val="009977C9"/>
    <w:rsid w:val="00997F40"/>
    <w:rsid w:val="00997FF9"/>
    <w:rsid w:val="009A0816"/>
    <w:rsid w:val="009A0FE1"/>
    <w:rsid w:val="009A1035"/>
    <w:rsid w:val="009A14A6"/>
    <w:rsid w:val="009A1830"/>
    <w:rsid w:val="009A24F6"/>
    <w:rsid w:val="009A2691"/>
    <w:rsid w:val="009A2CFC"/>
    <w:rsid w:val="009A3400"/>
    <w:rsid w:val="009A3CF0"/>
    <w:rsid w:val="009A45A7"/>
    <w:rsid w:val="009A45C9"/>
    <w:rsid w:val="009A4677"/>
    <w:rsid w:val="009A6144"/>
    <w:rsid w:val="009A66B9"/>
    <w:rsid w:val="009A7DE2"/>
    <w:rsid w:val="009B0918"/>
    <w:rsid w:val="009B0AE5"/>
    <w:rsid w:val="009B10F0"/>
    <w:rsid w:val="009B1B75"/>
    <w:rsid w:val="009B2EB8"/>
    <w:rsid w:val="009B2FCE"/>
    <w:rsid w:val="009B3184"/>
    <w:rsid w:val="009B3226"/>
    <w:rsid w:val="009B3379"/>
    <w:rsid w:val="009B3426"/>
    <w:rsid w:val="009B452B"/>
    <w:rsid w:val="009B4CCD"/>
    <w:rsid w:val="009B4FBE"/>
    <w:rsid w:val="009B532E"/>
    <w:rsid w:val="009B5A29"/>
    <w:rsid w:val="009B60BE"/>
    <w:rsid w:val="009B67BE"/>
    <w:rsid w:val="009B74D2"/>
    <w:rsid w:val="009B7D63"/>
    <w:rsid w:val="009C01A1"/>
    <w:rsid w:val="009C071C"/>
    <w:rsid w:val="009C1C26"/>
    <w:rsid w:val="009C25B9"/>
    <w:rsid w:val="009C3984"/>
    <w:rsid w:val="009C3987"/>
    <w:rsid w:val="009C3D2B"/>
    <w:rsid w:val="009C3D6D"/>
    <w:rsid w:val="009C3E3C"/>
    <w:rsid w:val="009C42B0"/>
    <w:rsid w:val="009C4642"/>
    <w:rsid w:val="009C4DCE"/>
    <w:rsid w:val="009C5266"/>
    <w:rsid w:val="009C5404"/>
    <w:rsid w:val="009C5698"/>
    <w:rsid w:val="009C5AE8"/>
    <w:rsid w:val="009C5E45"/>
    <w:rsid w:val="009C5E85"/>
    <w:rsid w:val="009C6EA9"/>
    <w:rsid w:val="009C71A6"/>
    <w:rsid w:val="009C7982"/>
    <w:rsid w:val="009D0463"/>
    <w:rsid w:val="009D1FC3"/>
    <w:rsid w:val="009D275C"/>
    <w:rsid w:val="009D2793"/>
    <w:rsid w:val="009D2AED"/>
    <w:rsid w:val="009D341A"/>
    <w:rsid w:val="009D3B42"/>
    <w:rsid w:val="009D43D1"/>
    <w:rsid w:val="009D4D16"/>
    <w:rsid w:val="009D54CA"/>
    <w:rsid w:val="009D57E0"/>
    <w:rsid w:val="009D71CE"/>
    <w:rsid w:val="009D7AAB"/>
    <w:rsid w:val="009D7C60"/>
    <w:rsid w:val="009D7EF6"/>
    <w:rsid w:val="009E0221"/>
    <w:rsid w:val="009E02EC"/>
    <w:rsid w:val="009E044B"/>
    <w:rsid w:val="009E050B"/>
    <w:rsid w:val="009E198D"/>
    <w:rsid w:val="009E226E"/>
    <w:rsid w:val="009E23A8"/>
    <w:rsid w:val="009E2A8D"/>
    <w:rsid w:val="009E2EB0"/>
    <w:rsid w:val="009E30C3"/>
    <w:rsid w:val="009E486F"/>
    <w:rsid w:val="009E4A7A"/>
    <w:rsid w:val="009E4B89"/>
    <w:rsid w:val="009E4FA8"/>
    <w:rsid w:val="009E52B6"/>
    <w:rsid w:val="009E5431"/>
    <w:rsid w:val="009E743B"/>
    <w:rsid w:val="009E747A"/>
    <w:rsid w:val="009E74C8"/>
    <w:rsid w:val="009F01ED"/>
    <w:rsid w:val="009F0912"/>
    <w:rsid w:val="009F1660"/>
    <w:rsid w:val="009F1A0E"/>
    <w:rsid w:val="009F2213"/>
    <w:rsid w:val="009F232F"/>
    <w:rsid w:val="009F2E4C"/>
    <w:rsid w:val="009F3F4E"/>
    <w:rsid w:val="009F4047"/>
    <w:rsid w:val="009F4A29"/>
    <w:rsid w:val="009F4A32"/>
    <w:rsid w:val="009F4CB4"/>
    <w:rsid w:val="009F4E94"/>
    <w:rsid w:val="009F56D4"/>
    <w:rsid w:val="009F5ABA"/>
    <w:rsid w:val="009F5FAC"/>
    <w:rsid w:val="009F6BE1"/>
    <w:rsid w:val="009F6D91"/>
    <w:rsid w:val="009F6FCE"/>
    <w:rsid w:val="009F73D2"/>
    <w:rsid w:val="00A00092"/>
    <w:rsid w:val="00A009C0"/>
    <w:rsid w:val="00A009C7"/>
    <w:rsid w:val="00A015EE"/>
    <w:rsid w:val="00A0264D"/>
    <w:rsid w:val="00A02F02"/>
    <w:rsid w:val="00A031DA"/>
    <w:rsid w:val="00A0322B"/>
    <w:rsid w:val="00A03357"/>
    <w:rsid w:val="00A03439"/>
    <w:rsid w:val="00A0384E"/>
    <w:rsid w:val="00A0402F"/>
    <w:rsid w:val="00A042DE"/>
    <w:rsid w:val="00A04EBD"/>
    <w:rsid w:val="00A058AE"/>
    <w:rsid w:val="00A06259"/>
    <w:rsid w:val="00A0698B"/>
    <w:rsid w:val="00A0745E"/>
    <w:rsid w:val="00A0767D"/>
    <w:rsid w:val="00A101CB"/>
    <w:rsid w:val="00A10AD2"/>
    <w:rsid w:val="00A11657"/>
    <w:rsid w:val="00A11A8F"/>
    <w:rsid w:val="00A1243C"/>
    <w:rsid w:val="00A125B6"/>
    <w:rsid w:val="00A12EC8"/>
    <w:rsid w:val="00A13BEB"/>
    <w:rsid w:val="00A1402F"/>
    <w:rsid w:val="00A14060"/>
    <w:rsid w:val="00A14C95"/>
    <w:rsid w:val="00A16330"/>
    <w:rsid w:val="00A16F17"/>
    <w:rsid w:val="00A17DD1"/>
    <w:rsid w:val="00A213C6"/>
    <w:rsid w:val="00A216F9"/>
    <w:rsid w:val="00A23998"/>
    <w:rsid w:val="00A23C53"/>
    <w:rsid w:val="00A249C4"/>
    <w:rsid w:val="00A24D38"/>
    <w:rsid w:val="00A2512A"/>
    <w:rsid w:val="00A25C5C"/>
    <w:rsid w:val="00A25E29"/>
    <w:rsid w:val="00A25F43"/>
    <w:rsid w:val="00A26145"/>
    <w:rsid w:val="00A27882"/>
    <w:rsid w:val="00A27B17"/>
    <w:rsid w:val="00A27E32"/>
    <w:rsid w:val="00A309EF"/>
    <w:rsid w:val="00A31321"/>
    <w:rsid w:val="00A31458"/>
    <w:rsid w:val="00A3192C"/>
    <w:rsid w:val="00A32131"/>
    <w:rsid w:val="00A32E31"/>
    <w:rsid w:val="00A33C5B"/>
    <w:rsid w:val="00A3403C"/>
    <w:rsid w:val="00A342F9"/>
    <w:rsid w:val="00A34524"/>
    <w:rsid w:val="00A35D50"/>
    <w:rsid w:val="00A3754B"/>
    <w:rsid w:val="00A37D58"/>
    <w:rsid w:val="00A40408"/>
    <w:rsid w:val="00A40C21"/>
    <w:rsid w:val="00A415F2"/>
    <w:rsid w:val="00A426AC"/>
    <w:rsid w:val="00A42C51"/>
    <w:rsid w:val="00A4300B"/>
    <w:rsid w:val="00A4342D"/>
    <w:rsid w:val="00A43A61"/>
    <w:rsid w:val="00A444A7"/>
    <w:rsid w:val="00A44E52"/>
    <w:rsid w:val="00A45098"/>
    <w:rsid w:val="00A45BD6"/>
    <w:rsid w:val="00A46495"/>
    <w:rsid w:val="00A46AD6"/>
    <w:rsid w:val="00A46B5D"/>
    <w:rsid w:val="00A46DBE"/>
    <w:rsid w:val="00A47C57"/>
    <w:rsid w:val="00A47E06"/>
    <w:rsid w:val="00A50279"/>
    <w:rsid w:val="00A5051F"/>
    <w:rsid w:val="00A51100"/>
    <w:rsid w:val="00A514B0"/>
    <w:rsid w:val="00A519D5"/>
    <w:rsid w:val="00A5210C"/>
    <w:rsid w:val="00A52157"/>
    <w:rsid w:val="00A53B4A"/>
    <w:rsid w:val="00A53DE3"/>
    <w:rsid w:val="00A56E98"/>
    <w:rsid w:val="00A57328"/>
    <w:rsid w:val="00A573BB"/>
    <w:rsid w:val="00A57D2D"/>
    <w:rsid w:val="00A60A6F"/>
    <w:rsid w:val="00A60F37"/>
    <w:rsid w:val="00A612D8"/>
    <w:rsid w:val="00A6172E"/>
    <w:rsid w:val="00A61CB3"/>
    <w:rsid w:val="00A62EF1"/>
    <w:rsid w:val="00A632FF"/>
    <w:rsid w:val="00A63F34"/>
    <w:rsid w:val="00A64B3B"/>
    <w:rsid w:val="00A653AC"/>
    <w:rsid w:val="00A658E3"/>
    <w:rsid w:val="00A65DA0"/>
    <w:rsid w:val="00A66FD4"/>
    <w:rsid w:val="00A679C0"/>
    <w:rsid w:val="00A67C3B"/>
    <w:rsid w:val="00A70E61"/>
    <w:rsid w:val="00A72072"/>
    <w:rsid w:val="00A720BA"/>
    <w:rsid w:val="00A72152"/>
    <w:rsid w:val="00A729F4"/>
    <w:rsid w:val="00A72BF7"/>
    <w:rsid w:val="00A73109"/>
    <w:rsid w:val="00A742B8"/>
    <w:rsid w:val="00A74DE2"/>
    <w:rsid w:val="00A74F4B"/>
    <w:rsid w:val="00A7511D"/>
    <w:rsid w:val="00A755F8"/>
    <w:rsid w:val="00A76B53"/>
    <w:rsid w:val="00A7795C"/>
    <w:rsid w:val="00A77FFA"/>
    <w:rsid w:val="00A8029C"/>
    <w:rsid w:val="00A80456"/>
    <w:rsid w:val="00A806C0"/>
    <w:rsid w:val="00A80722"/>
    <w:rsid w:val="00A81D65"/>
    <w:rsid w:val="00A8233C"/>
    <w:rsid w:val="00A823D5"/>
    <w:rsid w:val="00A8244D"/>
    <w:rsid w:val="00A828C8"/>
    <w:rsid w:val="00A82BDC"/>
    <w:rsid w:val="00A849E4"/>
    <w:rsid w:val="00A85818"/>
    <w:rsid w:val="00A85E27"/>
    <w:rsid w:val="00A85E58"/>
    <w:rsid w:val="00A85FBB"/>
    <w:rsid w:val="00A86A7F"/>
    <w:rsid w:val="00A86B38"/>
    <w:rsid w:val="00A86D56"/>
    <w:rsid w:val="00A86E50"/>
    <w:rsid w:val="00A915A1"/>
    <w:rsid w:val="00A92116"/>
    <w:rsid w:val="00A92368"/>
    <w:rsid w:val="00A927FD"/>
    <w:rsid w:val="00A92FD4"/>
    <w:rsid w:val="00A93523"/>
    <w:rsid w:val="00A9380C"/>
    <w:rsid w:val="00A93D95"/>
    <w:rsid w:val="00A944C5"/>
    <w:rsid w:val="00A94B70"/>
    <w:rsid w:val="00A95521"/>
    <w:rsid w:val="00A96A97"/>
    <w:rsid w:val="00A96C82"/>
    <w:rsid w:val="00AA080D"/>
    <w:rsid w:val="00AA0C14"/>
    <w:rsid w:val="00AA0E23"/>
    <w:rsid w:val="00AA10FA"/>
    <w:rsid w:val="00AA1392"/>
    <w:rsid w:val="00AA216E"/>
    <w:rsid w:val="00AA21E7"/>
    <w:rsid w:val="00AA243D"/>
    <w:rsid w:val="00AA247D"/>
    <w:rsid w:val="00AA2D21"/>
    <w:rsid w:val="00AA3F17"/>
    <w:rsid w:val="00AA425E"/>
    <w:rsid w:val="00AA4B58"/>
    <w:rsid w:val="00AA4D69"/>
    <w:rsid w:val="00AA65EF"/>
    <w:rsid w:val="00AA6F71"/>
    <w:rsid w:val="00AB0705"/>
    <w:rsid w:val="00AB0F3D"/>
    <w:rsid w:val="00AB11F1"/>
    <w:rsid w:val="00AB157C"/>
    <w:rsid w:val="00AB1A17"/>
    <w:rsid w:val="00AB2B27"/>
    <w:rsid w:val="00AB4953"/>
    <w:rsid w:val="00AB4F2F"/>
    <w:rsid w:val="00AB5632"/>
    <w:rsid w:val="00AB56A3"/>
    <w:rsid w:val="00AB638D"/>
    <w:rsid w:val="00AB67AB"/>
    <w:rsid w:val="00AB6809"/>
    <w:rsid w:val="00AB69F4"/>
    <w:rsid w:val="00AC013A"/>
    <w:rsid w:val="00AC0BD1"/>
    <w:rsid w:val="00AC0DF9"/>
    <w:rsid w:val="00AC1012"/>
    <w:rsid w:val="00AC140A"/>
    <w:rsid w:val="00AC236D"/>
    <w:rsid w:val="00AC2730"/>
    <w:rsid w:val="00AC2745"/>
    <w:rsid w:val="00AC28BA"/>
    <w:rsid w:val="00AC2B97"/>
    <w:rsid w:val="00AC3FDC"/>
    <w:rsid w:val="00AC41CF"/>
    <w:rsid w:val="00AC442B"/>
    <w:rsid w:val="00AC4600"/>
    <w:rsid w:val="00AC467C"/>
    <w:rsid w:val="00AC4B3B"/>
    <w:rsid w:val="00AC4B78"/>
    <w:rsid w:val="00AC5238"/>
    <w:rsid w:val="00AC62CE"/>
    <w:rsid w:val="00AC6A2C"/>
    <w:rsid w:val="00AC6D33"/>
    <w:rsid w:val="00AC70F3"/>
    <w:rsid w:val="00AC76E4"/>
    <w:rsid w:val="00AC7EFB"/>
    <w:rsid w:val="00AD03BE"/>
    <w:rsid w:val="00AD058D"/>
    <w:rsid w:val="00AD08AC"/>
    <w:rsid w:val="00AD0E29"/>
    <w:rsid w:val="00AD1A7B"/>
    <w:rsid w:val="00AD3514"/>
    <w:rsid w:val="00AD3B67"/>
    <w:rsid w:val="00AD3C8A"/>
    <w:rsid w:val="00AD58B1"/>
    <w:rsid w:val="00AD5C47"/>
    <w:rsid w:val="00AD633F"/>
    <w:rsid w:val="00AD6949"/>
    <w:rsid w:val="00AD6DCD"/>
    <w:rsid w:val="00AD78D6"/>
    <w:rsid w:val="00AD7E8C"/>
    <w:rsid w:val="00AE0983"/>
    <w:rsid w:val="00AE1C45"/>
    <w:rsid w:val="00AE1D01"/>
    <w:rsid w:val="00AE212B"/>
    <w:rsid w:val="00AE39F2"/>
    <w:rsid w:val="00AE409A"/>
    <w:rsid w:val="00AE4326"/>
    <w:rsid w:val="00AE51DB"/>
    <w:rsid w:val="00AE5377"/>
    <w:rsid w:val="00AE5F48"/>
    <w:rsid w:val="00AE7402"/>
    <w:rsid w:val="00AE7BF2"/>
    <w:rsid w:val="00AF014A"/>
    <w:rsid w:val="00AF06A3"/>
    <w:rsid w:val="00AF0E11"/>
    <w:rsid w:val="00AF1B0D"/>
    <w:rsid w:val="00AF2463"/>
    <w:rsid w:val="00AF2AC5"/>
    <w:rsid w:val="00AF2B72"/>
    <w:rsid w:val="00AF36AE"/>
    <w:rsid w:val="00AF4A88"/>
    <w:rsid w:val="00AF4E28"/>
    <w:rsid w:val="00AF52F9"/>
    <w:rsid w:val="00AF57A8"/>
    <w:rsid w:val="00AF5D9D"/>
    <w:rsid w:val="00AF62C5"/>
    <w:rsid w:val="00AF6953"/>
    <w:rsid w:val="00AF69C2"/>
    <w:rsid w:val="00AF7453"/>
    <w:rsid w:val="00AF74B3"/>
    <w:rsid w:val="00AF79B4"/>
    <w:rsid w:val="00B00775"/>
    <w:rsid w:val="00B01102"/>
    <w:rsid w:val="00B02224"/>
    <w:rsid w:val="00B022BF"/>
    <w:rsid w:val="00B02D46"/>
    <w:rsid w:val="00B0341C"/>
    <w:rsid w:val="00B03706"/>
    <w:rsid w:val="00B03D41"/>
    <w:rsid w:val="00B03DC5"/>
    <w:rsid w:val="00B0414A"/>
    <w:rsid w:val="00B04B46"/>
    <w:rsid w:val="00B04E71"/>
    <w:rsid w:val="00B054A0"/>
    <w:rsid w:val="00B059D4"/>
    <w:rsid w:val="00B05A4D"/>
    <w:rsid w:val="00B074DC"/>
    <w:rsid w:val="00B0783A"/>
    <w:rsid w:val="00B07C2A"/>
    <w:rsid w:val="00B10861"/>
    <w:rsid w:val="00B10C9F"/>
    <w:rsid w:val="00B11348"/>
    <w:rsid w:val="00B11BCF"/>
    <w:rsid w:val="00B122EA"/>
    <w:rsid w:val="00B126B4"/>
    <w:rsid w:val="00B130A5"/>
    <w:rsid w:val="00B1317D"/>
    <w:rsid w:val="00B13D12"/>
    <w:rsid w:val="00B13E32"/>
    <w:rsid w:val="00B1425B"/>
    <w:rsid w:val="00B14313"/>
    <w:rsid w:val="00B152CF"/>
    <w:rsid w:val="00B16006"/>
    <w:rsid w:val="00B165A4"/>
    <w:rsid w:val="00B16E0B"/>
    <w:rsid w:val="00B17CC9"/>
    <w:rsid w:val="00B2009B"/>
    <w:rsid w:val="00B205E6"/>
    <w:rsid w:val="00B21441"/>
    <w:rsid w:val="00B214E4"/>
    <w:rsid w:val="00B21E39"/>
    <w:rsid w:val="00B23689"/>
    <w:rsid w:val="00B2423E"/>
    <w:rsid w:val="00B2496E"/>
    <w:rsid w:val="00B24DB9"/>
    <w:rsid w:val="00B24E21"/>
    <w:rsid w:val="00B25619"/>
    <w:rsid w:val="00B270AE"/>
    <w:rsid w:val="00B27734"/>
    <w:rsid w:val="00B27D6E"/>
    <w:rsid w:val="00B27DAB"/>
    <w:rsid w:val="00B27FFE"/>
    <w:rsid w:val="00B30A45"/>
    <w:rsid w:val="00B30B65"/>
    <w:rsid w:val="00B30C82"/>
    <w:rsid w:val="00B31DA6"/>
    <w:rsid w:val="00B320B5"/>
    <w:rsid w:val="00B322D1"/>
    <w:rsid w:val="00B3264B"/>
    <w:rsid w:val="00B32A7E"/>
    <w:rsid w:val="00B33140"/>
    <w:rsid w:val="00B332CF"/>
    <w:rsid w:val="00B332DE"/>
    <w:rsid w:val="00B336CE"/>
    <w:rsid w:val="00B33923"/>
    <w:rsid w:val="00B33CCA"/>
    <w:rsid w:val="00B343D7"/>
    <w:rsid w:val="00B3443E"/>
    <w:rsid w:val="00B34695"/>
    <w:rsid w:val="00B36766"/>
    <w:rsid w:val="00B36C1B"/>
    <w:rsid w:val="00B36D1A"/>
    <w:rsid w:val="00B374F6"/>
    <w:rsid w:val="00B3761D"/>
    <w:rsid w:val="00B37756"/>
    <w:rsid w:val="00B400A1"/>
    <w:rsid w:val="00B40265"/>
    <w:rsid w:val="00B40B43"/>
    <w:rsid w:val="00B40D9E"/>
    <w:rsid w:val="00B40E09"/>
    <w:rsid w:val="00B41C89"/>
    <w:rsid w:val="00B41F7F"/>
    <w:rsid w:val="00B4251E"/>
    <w:rsid w:val="00B428E3"/>
    <w:rsid w:val="00B42999"/>
    <w:rsid w:val="00B42B4D"/>
    <w:rsid w:val="00B42BBD"/>
    <w:rsid w:val="00B42CF5"/>
    <w:rsid w:val="00B43694"/>
    <w:rsid w:val="00B45E21"/>
    <w:rsid w:val="00B4695B"/>
    <w:rsid w:val="00B474CC"/>
    <w:rsid w:val="00B506CA"/>
    <w:rsid w:val="00B51381"/>
    <w:rsid w:val="00B52B44"/>
    <w:rsid w:val="00B52FB5"/>
    <w:rsid w:val="00B531AA"/>
    <w:rsid w:val="00B534FF"/>
    <w:rsid w:val="00B53AB9"/>
    <w:rsid w:val="00B53B84"/>
    <w:rsid w:val="00B53DA0"/>
    <w:rsid w:val="00B5432A"/>
    <w:rsid w:val="00B55850"/>
    <w:rsid w:val="00B55D60"/>
    <w:rsid w:val="00B55EFB"/>
    <w:rsid w:val="00B567E8"/>
    <w:rsid w:val="00B56D29"/>
    <w:rsid w:val="00B60151"/>
    <w:rsid w:val="00B608BF"/>
    <w:rsid w:val="00B60B66"/>
    <w:rsid w:val="00B60FA7"/>
    <w:rsid w:val="00B60FB1"/>
    <w:rsid w:val="00B61F59"/>
    <w:rsid w:val="00B62738"/>
    <w:rsid w:val="00B6311E"/>
    <w:rsid w:val="00B64870"/>
    <w:rsid w:val="00B6495B"/>
    <w:rsid w:val="00B64A99"/>
    <w:rsid w:val="00B64E5D"/>
    <w:rsid w:val="00B64F3F"/>
    <w:rsid w:val="00B66620"/>
    <w:rsid w:val="00B6680D"/>
    <w:rsid w:val="00B67B8B"/>
    <w:rsid w:val="00B70542"/>
    <w:rsid w:val="00B71104"/>
    <w:rsid w:val="00B71BF5"/>
    <w:rsid w:val="00B7223D"/>
    <w:rsid w:val="00B722C9"/>
    <w:rsid w:val="00B72FDD"/>
    <w:rsid w:val="00B735A0"/>
    <w:rsid w:val="00B74163"/>
    <w:rsid w:val="00B745D8"/>
    <w:rsid w:val="00B74FA3"/>
    <w:rsid w:val="00B75727"/>
    <w:rsid w:val="00B76497"/>
    <w:rsid w:val="00B76D32"/>
    <w:rsid w:val="00B76D40"/>
    <w:rsid w:val="00B77D14"/>
    <w:rsid w:val="00B8036A"/>
    <w:rsid w:val="00B8176B"/>
    <w:rsid w:val="00B81816"/>
    <w:rsid w:val="00B82F58"/>
    <w:rsid w:val="00B82F67"/>
    <w:rsid w:val="00B82FFC"/>
    <w:rsid w:val="00B83004"/>
    <w:rsid w:val="00B841C8"/>
    <w:rsid w:val="00B84303"/>
    <w:rsid w:val="00B84E54"/>
    <w:rsid w:val="00B8587A"/>
    <w:rsid w:val="00B8592D"/>
    <w:rsid w:val="00B85DAC"/>
    <w:rsid w:val="00B861FC"/>
    <w:rsid w:val="00B87252"/>
    <w:rsid w:val="00B87312"/>
    <w:rsid w:val="00B879A3"/>
    <w:rsid w:val="00B90762"/>
    <w:rsid w:val="00B90C49"/>
    <w:rsid w:val="00B90EBF"/>
    <w:rsid w:val="00B9108E"/>
    <w:rsid w:val="00B9257B"/>
    <w:rsid w:val="00B93036"/>
    <w:rsid w:val="00B933FC"/>
    <w:rsid w:val="00B9386D"/>
    <w:rsid w:val="00B938A5"/>
    <w:rsid w:val="00B93C9A"/>
    <w:rsid w:val="00B946B5"/>
    <w:rsid w:val="00B94C52"/>
    <w:rsid w:val="00B95126"/>
    <w:rsid w:val="00B9547C"/>
    <w:rsid w:val="00B95C63"/>
    <w:rsid w:val="00B95D36"/>
    <w:rsid w:val="00B95FEC"/>
    <w:rsid w:val="00B97975"/>
    <w:rsid w:val="00BA071A"/>
    <w:rsid w:val="00BA13FD"/>
    <w:rsid w:val="00BA1B19"/>
    <w:rsid w:val="00BA2181"/>
    <w:rsid w:val="00BA2CF0"/>
    <w:rsid w:val="00BA2E69"/>
    <w:rsid w:val="00BA352A"/>
    <w:rsid w:val="00BA4099"/>
    <w:rsid w:val="00BA4CD9"/>
    <w:rsid w:val="00BA53EC"/>
    <w:rsid w:val="00BA5EF4"/>
    <w:rsid w:val="00BA77E8"/>
    <w:rsid w:val="00BA78C9"/>
    <w:rsid w:val="00BB0586"/>
    <w:rsid w:val="00BB11C5"/>
    <w:rsid w:val="00BB19BB"/>
    <w:rsid w:val="00BB1C3A"/>
    <w:rsid w:val="00BB2A55"/>
    <w:rsid w:val="00BB2FF0"/>
    <w:rsid w:val="00BB37A3"/>
    <w:rsid w:val="00BB43F0"/>
    <w:rsid w:val="00BB453A"/>
    <w:rsid w:val="00BB4DBB"/>
    <w:rsid w:val="00BB52FC"/>
    <w:rsid w:val="00BB53A0"/>
    <w:rsid w:val="00BB5957"/>
    <w:rsid w:val="00BB5DE4"/>
    <w:rsid w:val="00BB6131"/>
    <w:rsid w:val="00BB6B62"/>
    <w:rsid w:val="00BB6E0C"/>
    <w:rsid w:val="00BB71AE"/>
    <w:rsid w:val="00BB73B9"/>
    <w:rsid w:val="00BC00CC"/>
    <w:rsid w:val="00BC16DB"/>
    <w:rsid w:val="00BC1947"/>
    <w:rsid w:val="00BC222D"/>
    <w:rsid w:val="00BC238A"/>
    <w:rsid w:val="00BC29D1"/>
    <w:rsid w:val="00BC33FF"/>
    <w:rsid w:val="00BC3F49"/>
    <w:rsid w:val="00BC40F7"/>
    <w:rsid w:val="00BC4494"/>
    <w:rsid w:val="00BC49F4"/>
    <w:rsid w:val="00BC4B0B"/>
    <w:rsid w:val="00BC4D9D"/>
    <w:rsid w:val="00BC549C"/>
    <w:rsid w:val="00BC6419"/>
    <w:rsid w:val="00BC6C15"/>
    <w:rsid w:val="00BC7123"/>
    <w:rsid w:val="00BC7291"/>
    <w:rsid w:val="00BC72CB"/>
    <w:rsid w:val="00BC781B"/>
    <w:rsid w:val="00BC7E25"/>
    <w:rsid w:val="00BD01CF"/>
    <w:rsid w:val="00BD1AB9"/>
    <w:rsid w:val="00BD245E"/>
    <w:rsid w:val="00BD2532"/>
    <w:rsid w:val="00BD3603"/>
    <w:rsid w:val="00BD3D34"/>
    <w:rsid w:val="00BD44F8"/>
    <w:rsid w:val="00BD4C06"/>
    <w:rsid w:val="00BD4FE6"/>
    <w:rsid w:val="00BD6C59"/>
    <w:rsid w:val="00BD6CBE"/>
    <w:rsid w:val="00BD74B3"/>
    <w:rsid w:val="00BD7F99"/>
    <w:rsid w:val="00BE04E3"/>
    <w:rsid w:val="00BE09C8"/>
    <w:rsid w:val="00BE0D64"/>
    <w:rsid w:val="00BE18DA"/>
    <w:rsid w:val="00BE2175"/>
    <w:rsid w:val="00BE2357"/>
    <w:rsid w:val="00BE2909"/>
    <w:rsid w:val="00BE33AD"/>
    <w:rsid w:val="00BE362C"/>
    <w:rsid w:val="00BE373A"/>
    <w:rsid w:val="00BE4390"/>
    <w:rsid w:val="00BE4793"/>
    <w:rsid w:val="00BE532C"/>
    <w:rsid w:val="00BE5F9C"/>
    <w:rsid w:val="00BE65AD"/>
    <w:rsid w:val="00BE660B"/>
    <w:rsid w:val="00BE732C"/>
    <w:rsid w:val="00BE73AE"/>
    <w:rsid w:val="00BE7D30"/>
    <w:rsid w:val="00BF01C4"/>
    <w:rsid w:val="00BF02FD"/>
    <w:rsid w:val="00BF0324"/>
    <w:rsid w:val="00BF051A"/>
    <w:rsid w:val="00BF0BAA"/>
    <w:rsid w:val="00BF13AF"/>
    <w:rsid w:val="00BF140B"/>
    <w:rsid w:val="00BF14FD"/>
    <w:rsid w:val="00BF1707"/>
    <w:rsid w:val="00BF18D5"/>
    <w:rsid w:val="00BF1FC8"/>
    <w:rsid w:val="00BF2A7D"/>
    <w:rsid w:val="00BF32BC"/>
    <w:rsid w:val="00BF3A14"/>
    <w:rsid w:val="00BF3EEF"/>
    <w:rsid w:val="00BF5A35"/>
    <w:rsid w:val="00BF5D52"/>
    <w:rsid w:val="00BF6CF0"/>
    <w:rsid w:val="00BF6EA8"/>
    <w:rsid w:val="00BF71F9"/>
    <w:rsid w:val="00C01837"/>
    <w:rsid w:val="00C03286"/>
    <w:rsid w:val="00C04154"/>
    <w:rsid w:val="00C05701"/>
    <w:rsid w:val="00C06130"/>
    <w:rsid w:val="00C06D65"/>
    <w:rsid w:val="00C07097"/>
    <w:rsid w:val="00C10658"/>
    <w:rsid w:val="00C1157F"/>
    <w:rsid w:val="00C11E8D"/>
    <w:rsid w:val="00C1224C"/>
    <w:rsid w:val="00C128DB"/>
    <w:rsid w:val="00C13C62"/>
    <w:rsid w:val="00C14521"/>
    <w:rsid w:val="00C14E08"/>
    <w:rsid w:val="00C1541A"/>
    <w:rsid w:val="00C1696B"/>
    <w:rsid w:val="00C17D2F"/>
    <w:rsid w:val="00C17DCE"/>
    <w:rsid w:val="00C214EE"/>
    <w:rsid w:val="00C21810"/>
    <w:rsid w:val="00C22CA7"/>
    <w:rsid w:val="00C22F38"/>
    <w:rsid w:val="00C22FA2"/>
    <w:rsid w:val="00C23C42"/>
    <w:rsid w:val="00C23ECE"/>
    <w:rsid w:val="00C246C2"/>
    <w:rsid w:val="00C24754"/>
    <w:rsid w:val="00C24DA9"/>
    <w:rsid w:val="00C25D3A"/>
    <w:rsid w:val="00C310C3"/>
    <w:rsid w:val="00C313C5"/>
    <w:rsid w:val="00C335B9"/>
    <w:rsid w:val="00C3396E"/>
    <w:rsid w:val="00C347F3"/>
    <w:rsid w:val="00C349F7"/>
    <w:rsid w:val="00C34C1A"/>
    <w:rsid w:val="00C34FA9"/>
    <w:rsid w:val="00C351FE"/>
    <w:rsid w:val="00C35501"/>
    <w:rsid w:val="00C356DC"/>
    <w:rsid w:val="00C35A6C"/>
    <w:rsid w:val="00C36C0C"/>
    <w:rsid w:val="00C36C71"/>
    <w:rsid w:val="00C3707A"/>
    <w:rsid w:val="00C3792D"/>
    <w:rsid w:val="00C37E24"/>
    <w:rsid w:val="00C40081"/>
    <w:rsid w:val="00C41305"/>
    <w:rsid w:val="00C41A24"/>
    <w:rsid w:val="00C42272"/>
    <w:rsid w:val="00C42D02"/>
    <w:rsid w:val="00C431F7"/>
    <w:rsid w:val="00C436D4"/>
    <w:rsid w:val="00C44271"/>
    <w:rsid w:val="00C446AF"/>
    <w:rsid w:val="00C449AC"/>
    <w:rsid w:val="00C44D5A"/>
    <w:rsid w:val="00C4597F"/>
    <w:rsid w:val="00C45B9E"/>
    <w:rsid w:val="00C464A3"/>
    <w:rsid w:val="00C46B8B"/>
    <w:rsid w:val="00C47660"/>
    <w:rsid w:val="00C47F39"/>
    <w:rsid w:val="00C506B0"/>
    <w:rsid w:val="00C508E1"/>
    <w:rsid w:val="00C50DC2"/>
    <w:rsid w:val="00C510A7"/>
    <w:rsid w:val="00C5170C"/>
    <w:rsid w:val="00C517F8"/>
    <w:rsid w:val="00C5190D"/>
    <w:rsid w:val="00C5299C"/>
    <w:rsid w:val="00C52ABE"/>
    <w:rsid w:val="00C548F4"/>
    <w:rsid w:val="00C557A1"/>
    <w:rsid w:val="00C55813"/>
    <w:rsid w:val="00C55B0A"/>
    <w:rsid w:val="00C564BB"/>
    <w:rsid w:val="00C56F88"/>
    <w:rsid w:val="00C57781"/>
    <w:rsid w:val="00C578F7"/>
    <w:rsid w:val="00C60C0F"/>
    <w:rsid w:val="00C60D88"/>
    <w:rsid w:val="00C61D17"/>
    <w:rsid w:val="00C620D6"/>
    <w:rsid w:val="00C6228A"/>
    <w:rsid w:val="00C62C3C"/>
    <w:rsid w:val="00C6463D"/>
    <w:rsid w:val="00C64874"/>
    <w:rsid w:val="00C64DBC"/>
    <w:rsid w:val="00C657E0"/>
    <w:rsid w:val="00C65CAF"/>
    <w:rsid w:val="00C66797"/>
    <w:rsid w:val="00C67751"/>
    <w:rsid w:val="00C67808"/>
    <w:rsid w:val="00C67848"/>
    <w:rsid w:val="00C70516"/>
    <w:rsid w:val="00C70AB9"/>
    <w:rsid w:val="00C70C78"/>
    <w:rsid w:val="00C70DEF"/>
    <w:rsid w:val="00C71245"/>
    <w:rsid w:val="00C724DE"/>
    <w:rsid w:val="00C72917"/>
    <w:rsid w:val="00C72C49"/>
    <w:rsid w:val="00C735B6"/>
    <w:rsid w:val="00C73CED"/>
    <w:rsid w:val="00C73ED4"/>
    <w:rsid w:val="00C73FAE"/>
    <w:rsid w:val="00C74052"/>
    <w:rsid w:val="00C75D76"/>
    <w:rsid w:val="00C76052"/>
    <w:rsid w:val="00C776F5"/>
    <w:rsid w:val="00C77CAC"/>
    <w:rsid w:val="00C77E52"/>
    <w:rsid w:val="00C80ED4"/>
    <w:rsid w:val="00C815D9"/>
    <w:rsid w:val="00C821D5"/>
    <w:rsid w:val="00C82CA9"/>
    <w:rsid w:val="00C82DC4"/>
    <w:rsid w:val="00C847B8"/>
    <w:rsid w:val="00C86528"/>
    <w:rsid w:val="00C86785"/>
    <w:rsid w:val="00C86CF9"/>
    <w:rsid w:val="00C86E57"/>
    <w:rsid w:val="00C87588"/>
    <w:rsid w:val="00C90664"/>
    <w:rsid w:val="00C91A9E"/>
    <w:rsid w:val="00C92483"/>
    <w:rsid w:val="00C928A4"/>
    <w:rsid w:val="00C928EB"/>
    <w:rsid w:val="00C92BB8"/>
    <w:rsid w:val="00C92D29"/>
    <w:rsid w:val="00C9346F"/>
    <w:rsid w:val="00C9459A"/>
    <w:rsid w:val="00C9480F"/>
    <w:rsid w:val="00C94A77"/>
    <w:rsid w:val="00C95416"/>
    <w:rsid w:val="00C95668"/>
    <w:rsid w:val="00C958CA"/>
    <w:rsid w:val="00C95D21"/>
    <w:rsid w:val="00C963E8"/>
    <w:rsid w:val="00C96D57"/>
    <w:rsid w:val="00C9768E"/>
    <w:rsid w:val="00C97A8E"/>
    <w:rsid w:val="00CA0801"/>
    <w:rsid w:val="00CA0DEA"/>
    <w:rsid w:val="00CA23A2"/>
    <w:rsid w:val="00CA247B"/>
    <w:rsid w:val="00CA2771"/>
    <w:rsid w:val="00CA27F3"/>
    <w:rsid w:val="00CA2E3E"/>
    <w:rsid w:val="00CA3044"/>
    <w:rsid w:val="00CA3292"/>
    <w:rsid w:val="00CA3820"/>
    <w:rsid w:val="00CA4200"/>
    <w:rsid w:val="00CA475F"/>
    <w:rsid w:val="00CA54D5"/>
    <w:rsid w:val="00CA5C9A"/>
    <w:rsid w:val="00CA6380"/>
    <w:rsid w:val="00CA6B19"/>
    <w:rsid w:val="00CA7D88"/>
    <w:rsid w:val="00CB02AA"/>
    <w:rsid w:val="00CB0438"/>
    <w:rsid w:val="00CB0632"/>
    <w:rsid w:val="00CB0DA4"/>
    <w:rsid w:val="00CB1180"/>
    <w:rsid w:val="00CB1E88"/>
    <w:rsid w:val="00CB2B0C"/>
    <w:rsid w:val="00CB2EEF"/>
    <w:rsid w:val="00CB3172"/>
    <w:rsid w:val="00CB332E"/>
    <w:rsid w:val="00CB398A"/>
    <w:rsid w:val="00CB3E6B"/>
    <w:rsid w:val="00CB536F"/>
    <w:rsid w:val="00CB54A0"/>
    <w:rsid w:val="00CB56C8"/>
    <w:rsid w:val="00CB627D"/>
    <w:rsid w:val="00CB62FF"/>
    <w:rsid w:val="00CB6A67"/>
    <w:rsid w:val="00CB7744"/>
    <w:rsid w:val="00CB78B1"/>
    <w:rsid w:val="00CB795C"/>
    <w:rsid w:val="00CB7C90"/>
    <w:rsid w:val="00CB7F6D"/>
    <w:rsid w:val="00CC02A5"/>
    <w:rsid w:val="00CC087D"/>
    <w:rsid w:val="00CC13C8"/>
    <w:rsid w:val="00CC17B8"/>
    <w:rsid w:val="00CC2227"/>
    <w:rsid w:val="00CC28B6"/>
    <w:rsid w:val="00CC34F4"/>
    <w:rsid w:val="00CC36BF"/>
    <w:rsid w:val="00CC39C9"/>
    <w:rsid w:val="00CC3FEE"/>
    <w:rsid w:val="00CC4352"/>
    <w:rsid w:val="00CC5031"/>
    <w:rsid w:val="00CC5260"/>
    <w:rsid w:val="00CC646D"/>
    <w:rsid w:val="00CC6891"/>
    <w:rsid w:val="00CC6D7C"/>
    <w:rsid w:val="00CC7C8C"/>
    <w:rsid w:val="00CC7D19"/>
    <w:rsid w:val="00CD0BCE"/>
    <w:rsid w:val="00CD0DFE"/>
    <w:rsid w:val="00CD2575"/>
    <w:rsid w:val="00CD3411"/>
    <w:rsid w:val="00CD37B9"/>
    <w:rsid w:val="00CD3B21"/>
    <w:rsid w:val="00CD3B84"/>
    <w:rsid w:val="00CD4036"/>
    <w:rsid w:val="00CD4E04"/>
    <w:rsid w:val="00CD5187"/>
    <w:rsid w:val="00CD52DE"/>
    <w:rsid w:val="00CD6BC9"/>
    <w:rsid w:val="00CD6EE4"/>
    <w:rsid w:val="00CD7516"/>
    <w:rsid w:val="00CD7B9F"/>
    <w:rsid w:val="00CD7F92"/>
    <w:rsid w:val="00CE07A2"/>
    <w:rsid w:val="00CE17AD"/>
    <w:rsid w:val="00CE1C3E"/>
    <w:rsid w:val="00CE205D"/>
    <w:rsid w:val="00CE22BC"/>
    <w:rsid w:val="00CE3552"/>
    <w:rsid w:val="00CE357D"/>
    <w:rsid w:val="00CE367A"/>
    <w:rsid w:val="00CE3B6F"/>
    <w:rsid w:val="00CE4E01"/>
    <w:rsid w:val="00CE5AFD"/>
    <w:rsid w:val="00CE61F5"/>
    <w:rsid w:val="00CE6333"/>
    <w:rsid w:val="00CE6BE1"/>
    <w:rsid w:val="00CE705D"/>
    <w:rsid w:val="00CF166D"/>
    <w:rsid w:val="00CF173A"/>
    <w:rsid w:val="00CF20BD"/>
    <w:rsid w:val="00CF245A"/>
    <w:rsid w:val="00CF2908"/>
    <w:rsid w:val="00CF292F"/>
    <w:rsid w:val="00CF2AF7"/>
    <w:rsid w:val="00CF2F31"/>
    <w:rsid w:val="00CF2F52"/>
    <w:rsid w:val="00CF37E1"/>
    <w:rsid w:val="00CF39EC"/>
    <w:rsid w:val="00CF3B84"/>
    <w:rsid w:val="00CF4001"/>
    <w:rsid w:val="00CF46AA"/>
    <w:rsid w:val="00CF4A70"/>
    <w:rsid w:val="00CF4B48"/>
    <w:rsid w:val="00CF5BDA"/>
    <w:rsid w:val="00CF5EF0"/>
    <w:rsid w:val="00CF650C"/>
    <w:rsid w:val="00CF69E7"/>
    <w:rsid w:val="00D00257"/>
    <w:rsid w:val="00D00773"/>
    <w:rsid w:val="00D00E9D"/>
    <w:rsid w:val="00D01BA6"/>
    <w:rsid w:val="00D0231E"/>
    <w:rsid w:val="00D037DC"/>
    <w:rsid w:val="00D05DF9"/>
    <w:rsid w:val="00D062BB"/>
    <w:rsid w:val="00D076BE"/>
    <w:rsid w:val="00D07C12"/>
    <w:rsid w:val="00D10B44"/>
    <w:rsid w:val="00D10F31"/>
    <w:rsid w:val="00D11163"/>
    <w:rsid w:val="00D11377"/>
    <w:rsid w:val="00D11618"/>
    <w:rsid w:val="00D11C90"/>
    <w:rsid w:val="00D12A1F"/>
    <w:rsid w:val="00D141FF"/>
    <w:rsid w:val="00D144AA"/>
    <w:rsid w:val="00D148D0"/>
    <w:rsid w:val="00D14E57"/>
    <w:rsid w:val="00D1601D"/>
    <w:rsid w:val="00D16ABB"/>
    <w:rsid w:val="00D170B8"/>
    <w:rsid w:val="00D2014B"/>
    <w:rsid w:val="00D209FB"/>
    <w:rsid w:val="00D21007"/>
    <w:rsid w:val="00D223D3"/>
    <w:rsid w:val="00D22F2B"/>
    <w:rsid w:val="00D248A1"/>
    <w:rsid w:val="00D24EB1"/>
    <w:rsid w:val="00D2500A"/>
    <w:rsid w:val="00D2512A"/>
    <w:rsid w:val="00D255E5"/>
    <w:rsid w:val="00D26337"/>
    <w:rsid w:val="00D269BF"/>
    <w:rsid w:val="00D276A1"/>
    <w:rsid w:val="00D277AD"/>
    <w:rsid w:val="00D27A59"/>
    <w:rsid w:val="00D27E4E"/>
    <w:rsid w:val="00D305F9"/>
    <w:rsid w:val="00D316FE"/>
    <w:rsid w:val="00D31AA3"/>
    <w:rsid w:val="00D32E0B"/>
    <w:rsid w:val="00D32F51"/>
    <w:rsid w:val="00D334E4"/>
    <w:rsid w:val="00D336D6"/>
    <w:rsid w:val="00D34276"/>
    <w:rsid w:val="00D34699"/>
    <w:rsid w:val="00D34A43"/>
    <w:rsid w:val="00D356B7"/>
    <w:rsid w:val="00D3792C"/>
    <w:rsid w:val="00D37CCC"/>
    <w:rsid w:val="00D40919"/>
    <w:rsid w:val="00D410C5"/>
    <w:rsid w:val="00D41147"/>
    <w:rsid w:val="00D41205"/>
    <w:rsid w:val="00D412B6"/>
    <w:rsid w:val="00D413BF"/>
    <w:rsid w:val="00D41BB8"/>
    <w:rsid w:val="00D4247E"/>
    <w:rsid w:val="00D43010"/>
    <w:rsid w:val="00D4321C"/>
    <w:rsid w:val="00D43D26"/>
    <w:rsid w:val="00D43E75"/>
    <w:rsid w:val="00D43EBC"/>
    <w:rsid w:val="00D44000"/>
    <w:rsid w:val="00D44FA1"/>
    <w:rsid w:val="00D45813"/>
    <w:rsid w:val="00D46498"/>
    <w:rsid w:val="00D46EB7"/>
    <w:rsid w:val="00D475BA"/>
    <w:rsid w:val="00D479FD"/>
    <w:rsid w:val="00D47E42"/>
    <w:rsid w:val="00D50AE5"/>
    <w:rsid w:val="00D510DD"/>
    <w:rsid w:val="00D518E0"/>
    <w:rsid w:val="00D5191F"/>
    <w:rsid w:val="00D51BF9"/>
    <w:rsid w:val="00D51F9F"/>
    <w:rsid w:val="00D51FC7"/>
    <w:rsid w:val="00D530E6"/>
    <w:rsid w:val="00D53605"/>
    <w:rsid w:val="00D540D4"/>
    <w:rsid w:val="00D54DF0"/>
    <w:rsid w:val="00D554DB"/>
    <w:rsid w:val="00D5574D"/>
    <w:rsid w:val="00D558AB"/>
    <w:rsid w:val="00D56B59"/>
    <w:rsid w:val="00D5725F"/>
    <w:rsid w:val="00D57F0E"/>
    <w:rsid w:val="00D60681"/>
    <w:rsid w:val="00D60779"/>
    <w:rsid w:val="00D60861"/>
    <w:rsid w:val="00D6091A"/>
    <w:rsid w:val="00D60C0B"/>
    <w:rsid w:val="00D616C1"/>
    <w:rsid w:val="00D61E69"/>
    <w:rsid w:val="00D633EB"/>
    <w:rsid w:val="00D6378D"/>
    <w:rsid w:val="00D63999"/>
    <w:rsid w:val="00D63AA9"/>
    <w:rsid w:val="00D64CE8"/>
    <w:rsid w:val="00D66964"/>
    <w:rsid w:val="00D67640"/>
    <w:rsid w:val="00D677C7"/>
    <w:rsid w:val="00D70068"/>
    <w:rsid w:val="00D70156"/>
    <w:rsid w:val="00D70338"/>
    <w:rsid w:val="00D707EE"/>
    <w:rsid w:val="00D70C57"/>
    <w:rsid w:val="00D70DD4"/>
    <w:rsid w:val="00D7129D"/>
    <w:rsid w:val="00D71D27"/>
    <w:rsid w:val="00D72AFF"/>
    <w:rsid w:val="00D72F47"/>
    <w:rsid w:val="00D72F6E"/>
    <w:rsid w:val="00D7319E"/>
    <w:rsid w:val="00D74339"/>
    <w:rsid w:val="00D74835"/>
    <w:rsid w:val="00D75B3F"/>
    <w:rsid w:val="00D75C1A"/>
    <w:rsid w:val="00D760C0"/>
    <w:rsid w:val="00D7661C"/>
    <w:rsid w:val="00D7668C"/>
    <w:rsid w:val="00D76C5A"/>
    <w:rsid w:val="00D77443"/>
    <w:rsid w:val="00D77F0B"/>
    <w:rsid w:val="00D805A1"/>
    <w:rsid w:val="00D813B0"/>
    <w:rsid w:val="00D813E6"/>
    <w:rsid w:val="00D81682"/>
    <w:rsid w:val="00D8188E"/>
    <w:rsid w:val="00D82A51"/>
    <w:rsid w:val="00D83415"/>
    <w:rsid w:val="00D83422"/>
    <w:rsid w:val="00D84306"/>
    <w:rsid w:val="00D84834"/>
    <w:rsid w:val="00D85243"/>
    <w:rsid w:val="00D85342"/>
    <w:rsid w:val="00D8660B"/>
    <w:rsid w:val="00D86B26"/>
    <w:rsid w:val="00D87428"/>
    <w:rsid w:val="00D87AE8"/>
    <w:rsid w:val="00D87EB3"/>
    <w:rsid w:val="00D90374"/>
    <w:rsid w:val="00D908CE"/>
    <w:rsid w:val="00D91037"/>
    <w:rsid w:val="00D91390"/>
    <w:rsid w:val="00D91585"/>
    <w:rsid w:val="00D9324C"/>
    <w:rsid w:val="00D93783"/>
    <w:rsid w:val="00D93F7A"/>
    <w:rsid w:val="00D94180"/>
    <w:rsid w:val="00D94986"/>
    <w:rsid w:val="00D94BC3"/>
    <w:rsid w:val="00D954DD"/>
    <w:rsid w:val="00D96064"/>
    <w:rsid w:val="00D96D29"/>
    <w:rsid w:val="00D96FE1"/>
    <w:rsid w:val="00D97168"/>
    <w:rsid w:val="00DA13FA"/>
    <w:rsid w:val="00DA15B9"/>
    <w:rsid w:val="00DA1BCB"/>
    <w:rsid w:val="00DA2FDA"/>
    <w:rsid w:val="00DA3675"/>
    <w:rsid w:val="00DA3C21"/>
    <w:rsid w:val="00DA3D50"/>
    <w:rsid w:val="00DA42D1"/>
    <w:rsid w:val="00DA4B38"/>
    <w:rsid w:val="00DA4D0F"/>
    <w:rsid w:val="00DA5185"/>
    <w:rsid w:val="00DA59A5"/>
    <w:rsid w:val="00DA59B6"/>
    <w:rsid w:val="00DA5A10"/>
    <w:rsid w:val="00DA76BE"/>
    <w:rsid w:val="00DA78A5"/>
    <w:rsid w:val="00DB0E6C"/>
    <w:rsid w:val="00DB17BA"/>
    <w:rsid w:val="00DB2567"/>
    <w:rsid w:val="00DB3342"/>
    <w:rsid w:val="00DB374E"/>
    <w:rsid w:val="00DB3917"/>
    <w:rsid w:val="00DB3F68"/>
    <w:rsid w:val="00DB4029"/>
    <w:rsid w:val="00DB4687"/>
    <w:rsid w:val="00DB4A83"/>
    <w:rsid w:val="00DB4C0A"/>
    <w:rsid w:val="00DB4DAE"/>
    <w:rsid w:val="00DB6A33"/>
    <w:rsid w:val="00DB70A8"/>
    <w:rsid w:val="00DB7810"/>
    <w:rsid w:val="00DB7BA4"/>
    <w:rsid w:val="00DC010F"/>
    <w:rsid w:val="00DC0436"/>
    <w:rsid w:val="00DC152B"/>
    <w:rsid w:val="00DC1FC4"/>
    <w:rsid w:val="00DC21D5"/>
    <w:rsid w:val="00DC2395"/>
    <w:rsid w:val="00DC3268"/>
    <w:rsid w:val="00DC356D"/>
    <w:rsid w:val="00DC3591"/>
    <w:rsid w:val="00DC4E02"/>
    <w:rsid w:val="00DC6548"/>
    <w:rsid w:val="00DC684A"/>
    <w:rsid w:val="00DD1FEE"/>
    <w:rsid w:val="00DD2E66"/>
    <w:rsid w:val="00DD2EBA"/>
    <w:rsid w:val="00DD38DC"/>
    <w:rsid w:val="00DD3B70"/>
    <w:rsid w:val="00DD3BBF"/>
    <w:rsid w:val="00DD495B"/>
    <w:rsid w:val="00DD505E"/>
    <w:rsid w:val="00DD5D61"/>
    <w:rsid w:val="00DD61B1"/>
    <w:rsid w:val="00DD6597"/>
    <w:rsid w:val="00DD6A6F"/>
    <w:rsid w:val="00DD6BBB"/>
    <w:rsid w:val="00DD6D44"/>
    <w:rsid w:val="00DD7B58"/>
    <w:rsid w:val="00DE06F6"/>
    <w:rsid w:val="00DE0C50"/>
    <w:rsid w:val="00DE0D68"/>
    <w:rsid w:val="00DE103F"/>
    <w:rsid w:val="00DE17E0"/>
    <w:rsid w:val="00DE2A10"/>
    <w:rsid w:val="00DE2ECB"/>
    <w:rsid w:val="00DE34D8"/>
    <w:rsid w:val="00DE42A1"/>
    <w:rsid w:val="00DE443C"/>
    <w:rsid w:val="00DE5B7E"/>
    <w:rsid w:val="00DE5CA7"/>
    <w:rsid w:val="00DE6554"/>
    <w:rsid w:val="00DE6906"/>
    <w:rsid w:val="00DE70C7"/>
    <w:rsid w:val="00DF0049"/>
    <w:rsid w:val="00DF00E2"/>
    <w:rsid w:val="00DF01B0"/>
    <w:rsid w:val="00DF01CA"/>
    <w:rsid w:val="00DF0F13"/>
    <w:rsid w:val="00DF17EB"/>
    <w:rsid w:val="00DF1F35"/>
    <w:rsid w:val="00DF1FFD"/>
    <w:rsid w:val="00DF296B"/>
    <w:rsid w:val="00DF31EC"/>
    <w:rsid w:val="00DF4427"/>
    <w:rsid w:val="00DF529C"/>
    <w:rsid w:val="00DF53E1"/>
    <w:rsid w:val="00DF54A5"/>
    <w:rsid w:val="00DF610C"/>
    <w:rsid w:val="00DF7290"/>
    <w:rsid w:val="00E00221"/>
    <w:rsid w:val="00E0142C"/>
    <w:rsid w:val="00E02385"/>
    <w:rsid w:val="00E02458"/>
    <w:rsid w:val="00E02C5F"/>
    <w:rsid w:val="00E03120"/>
    <w:rsid w:val="00E0338E"/>
    <w:rsid w:val="00E03C30"/>
    <w:rsid w:val="00E03DBF"/>
    <w:rsid w:val="00E04CA3"/>
    <w:rsid w:val="00E06D09"/>
    <w:rsid w:val="00E07197"/>
    <w:rsid w:val="00E07EB9"/>
    <w:rsid w:val="00E1025B"/>
    <w:rsid w:val="00E11B11"/>
    <w:rsid w:val="00E12BE3"/>
    <w:rsid w:val="00E12C3B"/>
    <w:rsid w:val="00E12E57"/>
    <w:rsid w:val="00E12ED4"/>
    <w:rsid w:val="00E13256"/>
    <w:rsid w:val="00E138D7"/>
    <w:rsid w:val="00E14254"/>
    <w:rsid w:val="00E14EC7"/>
    <w:rsid w:val="00E169FE"/>
    <w:rsid w:val="00E16F9A"/>
    <w:rsid w:val="00E17936"/>
    <w:rsid w:val="00E2298A"/>
    <w:rsid w:val="00E236DA"/>
    <w:rsid w:val="00E239E4"/>
    <w:rsid w:val="00E23C78"/>
    <w:rsid w:val="00E24A28"/>
    <w:rsid w:val="00E2534F"/>
    <w:rsid w:val="00E25458"/>
    <w:rsid w:val="00E258A8"/>
    <w:rsid w:val="00E26655"/>
    <w:rsid w:val="00E26CB9"/>
    <w:rsid w:val="00E2709D"/>
    <w:rsid w:val="00E274F7"/>
    <w:rsid w:val="00E27DAC"/>
    <w:rsid w:val="00E308D4"/>
    <w:rsid w:val="00E30E66"/>
    <w:rsid w:val="00E30FA6"/>
    <w:rsid w:val="00E31897"/>
    <w:rsid w:val="00E32B4D"/>
    <w:rsid w:val="00E32F0F"/>
    <w:rsid w:val="00E3418E"/>
    <w:rsid w:val="00E346D0"/>
    <w:rsid w:val="00E34739"/>
    <w:rsid w:val="00E350FC"/>
    <w:rsid w:val="00E3569D"/>
    <w:rsid w:val="00E368F6"/>
    <w:rsid w:val="00E36D90"/>
    <w:rsid w:val="00E36F79"/>
    <w:rsid w:val="00E37A5E"/>
    <w:rsid w:val="00E4133A"/>
    <w:rsid w:val="00E41902"/>
    <w:rsid w:val="00E41ECC"/>
    <w:rsid w:val="00E42718"/>
    <w:rsid w:val="00E42DAC"/>
    <w:rsid w:val="00E42F9D"/>
    <w:rsid w:val="00E445C6"/>
    <w:rsid w:val="00E4461A"/>
    <w:rsid w:val="00E4461F"/>
    <w:rsid w:val="00E44725"/>
    <w:rsid w:val="00E452A9"/>
    <w:rsid w:val="00E4530C"/>
    <w:rsid w:val="00E46BB3"/>
    <w:rsid w:val="00E46D1C"/>
    <w:rsid w:val="00E5048D"/>
    <w:rsid w:val="00E505C9"/>
    <w:rsid w:val="00E5098E"/>
    <w:rsid w:val="00E509C2"/>
    <w:rsid w:val="00E51004"/>
    <w:rsid w:val="00E522E9"/>
    <w:rsid w:val="00E53399"/>
    <w:rsid w:val="00E53905"/>
    <w:rsid w:val="00E53FCE"/>
    <w:rsid w:val="00E549AF"/>
    <w:rsid w:val="00E56056"/>
    <w:rsid w:val="00E5615F"/>
    <w:rsid w:val="00E564B8"/>
    <w:rsid w:val="00E564C6"/>
    <w:rsid w:val="00E57163"/>
    <w:rsid w:val="00E573BE"/>
    <w:rsid w:val="00E60064"/>
    <w:rsid w:val="00E61002"/>
    <w:rsid w:val="00E611B8"/>
    <w:rsid w:val="00E622D6"/>
    <w:rsid w:val="00E62482"/>
    <w:rsid w:val="00E62D37"/>
    <w:rsid w:val="00E6336B"/>
    <w:rsid w:val="00E64436"/>
    <w:rsid w:val="00E64DA6"/>
    <w:rsid w:val="00E66323"/>
    <w:rsid w:val="00E6643F"/>
    <w:rsid w:val="00E66E4A"/>
    <w:rsid w:val="00E708C6"/>
    <w:rsid w:val="00E70C2C"/>
    <w:rsid w:val="00E71269"/>
    <w:rsid w:val="00E717AF"/>
    <w:rsid w:val="00E7202F"/>
    <w:rsid w:val="00E72FA0"/>
    <w:rsid w:val="00E73028"/>
    <w:rsid w:val="00E730E2"/>
    <w:rsid w:val="00E73952"/>
    <w:rsid w:val="00E73DE4"/>
    <w:rsid w:val="00E7450D"/>
    <w:rsid w:val="00E747C8"/>
    <w:rsid w:val="00E74A7E"/>
    <w:rsid w:val="00E755AE"/>
    <w:rsid w:val="00E7592D"/>
    <w:rsid w:val="00E766C1"/>
    <w:rsid w:val="00E772AB"/>
    <w:rsid w:val="00E773D1"/>
    <w:rsid w:val="00E7791C"/>
    <w:rsid w:val="00E8054E"/>
    <w:rsid w:val="00E8078F"/>
    <w:rsid w:val="00E80BC6"/>
    <w:rsid w:val="00E81576"/>
    <w:rsid w:val="00E82859"/>
    <w:rsid w:val="00E82A66"/>
    <w:rsid w:val="00E830E7"/>
    <w:rsid w:val="00E84F4B"/>
    <w:rsid w:val="00E85231"/>
    <w:rsid w:val="00E859E4"/>
    <w:rsid w:val="00E86069"/>
    <w:rsid w:val="00E8624C"/>
    <w:rsid w:val="00E86BAC"/>
    <w:rsid w:val="00E86F68"/>
    <w:rsid w:val="00E90146"/>
    <w:rsid w:val="00E9019C"/>
    <w:rsid w:val="00E903DD"/>
    <w:rsid w:val="00E90647"/>
    <w:rsid w:val="00E90735"/>
    <w:rsid w:val="00E9073F"/>
    <w:rsid w:val="00E90A35"/>
    <w:rsid w:val="00E919A3"/>
    <w:rsid w:val="00E91A36"/>
    <w:rsid w:val="00E92766"/>
    <w:rsid w:val="00E929A9"/>
    <w:rsid w:val="00E93226"/>
    <w:rsid w:val="00E944C0"/>
    <w:rsid w:val="00E94F6B"/>
    <w:rsid w:val="00E957CD"/>
    <w:rsid w:val="00E95BFF"/>
    <w:rsid w:val="00E95CC7"/>
    <w:rsid w:val="00E970DD"/>
    <w:rsid w:val="00E9788A"/>
    <w:rsid w:val="00E97A8F"/>
    <w:rsid w:val="00EA02A2"/>
    <w:rsid w:val="00EA14EF"/>
    <w:rsid w:val="00EA18B9"/>
    <w:rsid w:val="00EA1EBF"/>
    <w:rsid w:val="00EA1EE2"/>
    <w:rsid w:val="00EA2F4C"/>
    <w:rsid w:val="00EA31B5"/>
    <w:rsid w:val="00EA3A67"/>
    <w:rsid w:val="00EA4EF1"/>
    <w:rsid w:val="00EA5711"/>
    <w:rsid w:val="00EA5D8A"/>
    <w:rsid w:val="00EA5D9E"/>
    <w:rsid w:val="00EA6973"/>
    <w:rsid w:val="00EA6DCD"/>
    <w:rsid w:val="00EA789E"/>
    <w:rsid w:val="00EA7CCA"/>
    <w:rsid w:val="00EB081B"/>
    <w:rsid w:val="00EB0CFB"/>
    <w:rsid w:val="00EB13D4"/>
    <w:rsid w:val="00EB2E7C"/>
    <w:rsid w:val="00EB3221"/>
    <w:rsid w:val="00EB3488"/>
    <w:rsid w:val="00EB34AB"/>
    <w:rsid w:val="00EB35A0"/>
    <w:rsid w:val="00EB3F9A"/>
    <w:rsid w:val="00EB571A"/>
    <w:rsid w:val="00EB57B6"/>
    <w:rsid w:val="00EB5C1B"/>
    <w:rsid w:val="00EB64C9"/>
    <w:rsid w:val="00EB6526"/>
    <w:rsid w:val="00EB6825"/>
    <w:rsid w:val="00EB6AB8"/>
    <w:rsid w:val="00EB6B38"/>
    <w:rsid w:val="00EB72B0"/>
    <w:rsid w:val="00EB750B"/>
    <w:rsid w:val="00EB7F8F"/>
    <w:rsid w:val="00EC0348"/>
    <w:rsid w:val="00EC059C"/>
    <w:rsid w:val="00EC062C"/>
    <w:rsid w:val="00EC09C9"/>
    <w:rsid w:val="00EC0D75"/>
    <w:rsid w:val="00EC1815"/>
    <w:rsid w:val="00EC27C5"/>
    <w:rsid w:val="00EC28A9"/>
    <w:rsid w:val="00EC2C5D"/>
    <w:rsid w:val="00EC34D2"/>
    <w:rsid w:val="00EC3F63"/>
    <w:rsid w:val="00EC5286"/>
    <w:rsid w:val="00EC597A"/>
    <w:rsid w:val="00EC59FD"/>
    <w:rsid w:val="00EC5F0E"/>
    <w:rsid w:val="00EC6A67"/>
    <w:rsid w:val="00EC7043"/>
    <w:rsid w:val="00ED21E6"/>
    <w:rsid w:val="00ED2D61"/>
    <w:rsid w:val="00ED32D6"/>
    <w:rsid w:val="00ED380E"/>
    <w:rsid w:val="00ED476E"/>
    <w:rsid w:val="00ED479C"/>
    <w:rsid w:val="00ED5E44"/>
    <w:rsid w:val="00ED69CD"/>
    <w:rsid w:val="00ED6F00"/>
    <w:rsid w:val="00ED7359"/>
    <w:rsid w:val="00ED7662"/>
    <w:rsid w:val="00EE067F"/>
    <w:rsid w:val="00EE068F"/>
    <w:rsid w:val="00EE0764"/>
    <w:rsid w:val="00EE0F15"/>
    <w:rsid w:val="00EE1614"/>
    <w:rsid w:val="00EE1CCC"/>
    <w:rsid w:val="00EE2453"/>
    <w:rsid w:val="00EE2BC0"/>
    <w:rsid w:val="00EE2ECA"/>
    <w:rsid w:val="00EE33E4"/>
    <w:rsid w:val="00EE349B"/>
    <w:rsid w:val="00EE3648"/>
    <w:rsid w:val="00EE3EB6"/>
    <w:rsid w:val="00EE414D"/>
    <w:rsid w:val="00EE437E"/>
    <w:rsid w:val="00EE468B"/>
    <w:rsid w:val="00EE4771"/>
    <w:rsid w:val="00EE526F"/>
    <w:rsid w:val="00EE58FF"/>
    <w:rsid w:val="00EE6D13"/>
    <w:rsid w:val="00EE77E2"/>
    <w:rsid w:val="00EE7BDA"/>
    <w:rsid w:val="00EE7F4D"/>
    <w:rsid w:val="00EE7FFC"/>
    <w:rsid w:val="00EF01EA"/>
    <w:rsid w:val="00EF0AD8"/>
    <w:rsid w:val="00EF18B5"/>
    <w:rsid w:val="00EF1A95"/>
    <w:rsid w:val="00EF27C5"/>
    <w:rsid w:val="00EF32FF"/>
    <w:rsid w:val="00EF355F"/>
    <w:rsid w:val="00EF3A01"/>
    <w:rsid w:val="00EF45A3"/>
    <w:rsid w:val="00EF4974"/>
    <w:rsid w:val="00EF4BB8"/>
    <w:rsid w:val="00EF4F82"/>
    <w:rsid w:val="00EF57A9"/>
    <w:rsid w:val="00EF61FB"/>
    <w:rsid w:val="00EF669F"/>
    <w:rsid w:val="00EF6B99"/>
    <w:rsid w:val="00EF6D1F"/>
    <w:rsid w:val="00F003B2"/>
    <w:rsid w:val="00F007E3"/>
    <w:rsid w:val="00F00ABB"/>
    <w:rsid w:val="00F00BD7"/>
    <w:rsid w:val="00F00D26"/>
    <w:rsid w:val="00F00D35"/>
    <w:rsid w:val="00F0130C"/>
    <w:rsid w:val="00F03493"/>
    <w:rsid w:val="00F03EB0"/>
    <w:rsid w:val="00F0440F"/>
    <w:rsid w:val="00F04E57"/>
    <w:rsid w:val="00F054A3"/>
    <w:rsid w:val="00F05E4D"/>
    <w:rsid w:val="00F0622F"/>
    <w:rsid w:val="00F07C05"/>
    <w:rsid w:val="00F07F3F"/>
    <w:rsid w:val="00F07F54"/>
    <w:rsid w:val="00F10244"/>
    <w:rsid w:val="00F10439"/>
    <w:rsid w:val="00F11332"/>
    <w:rsid w:val="00F118E1"/>
    <w:rsid w:val="00F11D7B"/>
    <w:rsid w:val="00F1281A"/>
    <w:rsid w:val="00F1328F"/>
    <w:rsid w:val="00F155BF"/>
    <w:rsid w:val="00F170F1"/>
    <w:rsid w:val="00F17D89"/>
    <w:rsid w:val="00F20268"/>
    <w:rsid w:val="00F2033E"/>
    <w:rsid w:val="00F20D68"/>
    <w:rsid w:val="00F22A60"/>
    <w:rsid w:val="00F23977"/>
    <w:rsid w:val="00F24DFC"/>
    <w:rsid w:val="00F25381"/>
    <w:rsid w:val="00F25E0D"/>
    <w:rsid w:val="00F26717"/>
    <w:rsid w:val="00F2778A"/>
    <w:rsid w:val="00F27AE7"/>
    <w:rsid w:val="00F27D6C"/>
    <w:rsid w:val="00F27DDF"/>
    <w:rsid w:val="00F30C00"/>
    <w:rsid w:val="00F32C04"/>
    <w:rsid w:val="00F33055"/>
    <w:rsid w:val="00F34825"/>
    <w:rsid w:val="00F34C39"/>
    <w:rsid w:val="00F35216"/>
    <w:rsid w:val="00F3529A"/>
    <w:rsid w:val="00F366DA"/>
    <w:rsid w:val="00F37194"/>
    <w:rsid w:val="00F37489"/>
    <w:rsid w:val="00F37B3E"/>
    <w:rsid w:val="00F37BAF"/>
    <w:rsid w:val="00F409FF"/>
    <w:rsid w:val="00F40C8F"/>
    <w:rsid w:val="00F4115A"/>
    <w:rsid w:val="00F415A3"/>
    <w:rsid w:val="00F41B41"/>
    <w:rsid w:val="00F43211"/>
    <w:rsid w:val="00F43496"/>
    <w:rsid w:val="00F4389C"/>
    <w:rsid w:val="00F4436C"/>
    <w:rsid w:val="00F44654"/>
    <w:rsid w:val="00F463CD"/>
    <w:rsid w:val="00F474C5"/>
    <w:rsid w:val="00F51DF7"/>
    <w:rsid w:val="00F533F2"/>
    <w:rsid w:val="00F53948"/>
    <w:rsid w:val="00F53AFE"/>
    <w:rsid w:val="00F54896"/>
    <w:rsid w:val="00F54E23"/>
    <w:rsid w:val="00F55508"/>
    <w:rsid w:val="00F56063"/>
    <w:rsid w:val="00F565CE"/>
    <w:rsid w:val="00F5689D"/>
    <w:rsid w:val="00F569B3"/>
    <w:rsid w:val="00F574E0"/>
    <w:rsid w:val="00F57FE4"/>
    <w:rsid w:val="00F606FC"/>
    <w:rsid w:val="00F60E7F"/>
    <w:rsid w:val="00F613D1"/>
    <w:rsid w:val="00F61862"/>
    <w:rsid w:val="00F61D1E"/>
    <w:rsid w:val="00F61E7A"/>
    <w:rsid w:val="00F61F19"/>
    <w:rsid w:val="00F62A34"/>
    <w:rsid w:val="00F62B1B"/>
    <w:rsid w:val="00F62BD8"/>
    <w:rsid w:val="00F62DC7"/>
    <w:rsid w:val="00F62E18"/>
    <w:rsid w:val="00F64055"/>
    <w:rsid w:val="00F64818"/>
    <w:rsid w:val="00F64E3A"/>
    <w:rsid w:val="00F655E9"/>
    <w:rsid w:val="00F65FEB"/>
    <w:rsid w:val="00F665AC"/>
    <w:rsid w:val="00F70432"/>
    <w:rsid w:val="00F71953"/>
    <w:rsid w:val="00F71CFA"/>
    <w:rsid w:val="00F7246B"/>
    <w:rsid w:val="00F72CDA"/>
    <w:rsid w:val="00F7303B"/>
    <w:rsid w:val="00F737A6"/>
    <w:rsid w:val="00F7390A"/>
    <w:rsid w:val="00F74816"/>
    <w:rsid w:val="00F74CA2"/>
    <w:rsid w:val="00F74F34"/>
    <w:rsid w:val="00F75055"/>
    <w:rsid w:val="00F75187"/>
    <w:rsid w:val="00F7529B"/>
    <w:rsid w:val="00F75D41"/>
    <w:rsid w:val="00F76B0E"/>
    <w:rsid w:val="00F76C8B"/>
    <w:rsid w:val="00F76DEF"/>
    <w:rsid w:val="00F770A7"/>
    <w:rsid w:val="00F77638"/>
    <w:rsid w:val="00F779E9"/>
    <w:rsid w:val="00F77E87"/>
    <w:rsid w:val="00F80668"/>
    <w:rsid w:val="00F80F18"/>
    <w:rsid w:val="00F8205A"/>
    <w:rsid w:val="00F82254"/>
    <w:rsid w:val="00F82780"/>
    <w:rsid w:val="00F82B9E"/>
    <w:rsid w:val="00F82C98"/>
    <w:rsid w:val="00F8391D"/>
    <w:rsid w:val="00F84854"/>
    <w:rsid w:val="00F84870"/>
    <w:rsid w:val="00F85806"/>
    <w:rsid w:val="00F85EF2"/>
    <w:rsid w:val="00F86214"/>
    <w:rsid w:val="00F86868"/>
    <w:rsid w:val="00F86BA0"/>
    <w:rsid w:val="00F871F9"/>
    <w:rsid w:val="00F875AE"/>
    <w:rsid w:val="00F876EA"/>
    <w:rsid w:val="00F87D9B"/>
    <w:rsid w:val="00F911F1"/>
    <w:rsid w:val="00F91C79"/>
    <w:rsid w:val="00F91DA4"/>
    <w:rsid w:val="00F921AA"/>
    <w:rsid w:val="00F941A3"/>
    <w:rsid w:val="00F94B82"/>
    <w:rsid w:val="00F952F0"/>
    <w:rsid w:val="00F95ECF"/>
    <w:rsid w:val="00F95EF9"/>
    <w:rsid w:val="00F966AE"/>
    <w:rsid w:val="00F96CAC"/>
    <w:rsid w:val="00F96CB7"/>
    <w:rsid w:val="00F972B4"/>
    <w:rsid w:val="00F97582"/>
    <w:rsid w:val="00F976F5"/>
    <w:rsid w:val="00F97ED4"/>
    <w:rsid w:val="00FA03A9"/>
    <w:rsid w:val="00FA0778"/>
    <w:rsid w:val="00FA08E6"/>
    <w:rsid w:val="00FA0F5D"/>
    <w:rsid w:val="00FA189D"/>
    <w:rsid w:val="00FA2CDB"/>
    <w:rsid w:val="00FA3FB0"/>
    <w:rsid w:val="00FA4332"/>
    <w:rsid w:val="00FA4426"/>
    <w:rsid w:val="00FA5A6D"/>
    <w:rsid w:val="00FA6244"/>
    <w:rsid w:val="00FA642A"/>
    <w:rsid w:val="00FA67E3"/>
    <w:rsid w:val="00FB1CB5"/>
    <w:rsid w:val="00FB2F51"/>
    <w:rsid w:val="00FB3E73"/>
    <w:rsid w:val="00FB45C1"/>
    <w:rsid w:val="00FB471A"/>
    <w:rsid w:val="00FB4B2C"/>
    <w:rsid w:val="00FB5C7C"/>
    <w:rsid w:val="00FB5D57"/>
    <w:rsid w:val="00FB651E"/>
    <w:rsid w:val="00FB662B"/>
    <w:rsid w:val="00FB6BA9"/>
    <w:rsid w:val="00FB759D"/>
    <w:rsid w:val="00FB75D4"/>
    <w:rsid w:val="00FB7872"/>
    <w:rsid w:val="00FB7C84"/>
    <w:rsid w:val="00FC053E"/>
    <w:rsid w:val="00FC0857"/>
    <w:rsid w:val="00FC0B3A"/>
    <w:rsid w:val="00FC18BE"/>
    <w:rsid w:val="00FC18D5"/>
    <w:rsid w:val="00FC1A16"/>
    <w:rsid w:val="00FC1B19"/>
    <w:rsid w:val="00FC206F"/>
    <w:rsid w:val="00FC222D"/>
    <w:rsid w:val="00FC3610"/>
    <w:rsid w:val="00FC4FC9"/>
    <w:rsid w:val="00FC5787"/>
    <w:rsid w:val="00FC6466"/>
    <w:rsid w:val="00FC6753"/>
    <w:rsid w:val="00FC6CC0"/>
    <w:rsid w:val="00FD044B"/>
    <w:rsid w:val="00FD0F4B"/>
    <w:rsid w:val="00FD31DA"/>
    <w:rsid w:val="00FD4A34"/>
    <w:rsid w:val="00FD4C18"/>
    <w:rsid w:val="00FD5F46"/>
    <w:rsid w:val="00FD6921"/>
    <w:rsid w:val="00FD776B"/>
    <w:rsid w:val="00FE07A4"/>
    <w:rsid w:val="00FE10EC"/>
    <w:rsid w:val="00FE267F"/>
    <w:rsid w:val="00FE28DE"/>
    <w:rsid w:val="00FE2C37"/>
    <w:rsid w:val="00FE314A"/>
    <w:rsid w:val="00FE3748"/>
    <w:rsid w:val="00FE3F29"/>
    <w:rsid w:val="00FE4C22"/>
    <w:rsid w:val="00FE5AF1"/>
    <w:rsid w:val="00FE6451"/>
    <w:rsid w:val="00FE6EAB"/>
    <w:rsid w:val="00FF017D"/>
    <w:rsid w:val="00FF0574"/>
    <w:rsid w:val="00FF13CB"/>
    <w:rsid w:val="00FF183E"/>
    <w:rsid w:val="00FF2EB8"/>
    <w:rsid w:val="00FF314F"/>
    <w:rsid w:val="00FF3B0C"/>
    <w:rsid w:val="00FF43AA"/>
    <w:rsid w:val="00FF45CA"/>
    <w:rsid w:val="00FF4A55"/>
    <w:rsid w:val="00FF4A85"/>
    <w:rsid w:val="00FF5126"/>
    <w:rsid w:val="00FF5333"/>
    <w:rsid w:val="00FF7457"/>
    <w:rsid w:val="00FF7737"/>
    <w:rsid w:val="00FF7C17"/>
    <w:rsid w:val="2C634F0F"/>
    <w:rsid w:val="415F4899"/>
    <w:rsid w:val="7AD07E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928D35-BB23-4772-B384-167D5CDC0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C3F1F"/>
    <w:rPr>
      <w:rFonts w:asciiTheme="minorHAnsi" w:eastAsiaTheme="minorHAnsi" w:hAnsiTheme="minorHAnsi" w:cstheme="minorBidi"/>
      <w:sz w:val="22"/>
      <w:szCs w:val="22"/>
      <w:lang w:eastAsia="en-US"/>
    </w:rPr>
  </w:style>
  <w:style w:type="paragraph" w:styleId="Nagwek3">
    <w:name w:val="heading 3"/>
    <w:basedOn w:val="Normalny"/>
    <w:next w:val="Normalny"/>
    <w:link w:val="Nagwek3Znak"/>
    <w:uiPriority w:val="9"/>
    <w:unhideWhenUsed/>
    <w:qFormat/>
    <w:rsid w:val="005C3F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rsid w:val="005C3F1F"/>
    <w:pPr>
      <w:spacing w:after="0" w:line="240" w:lineRule="auto"/>
    </w:pPr>
    <w:rPr>
      <w:rFonts w:ascii="Tahoma" w:hAnsi="Tahoma" w:cs="Tahoma"/>
      <w:sz w:val="16"/>
      <w:szCs w:val="16"/>
    </w:rPr>
  </w:style>
  <w:style w:type="paragraph" w:styleId="Tekstkomentarza">
    <w:name w:val="annotation text"/>
    <w:basedOn w:val="Normalny"/>
    <w:link w:val="TekstkomentarzaZnak"/>
    <w:uiPriority w:val="99"/>
    <w:unhideWhenUsed/>
    <w:qFormat/>
    <w:rsid w:val="005C3F1F"/>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5C3F1F"/>
    <w:rPr>
      <w:b/>
      <w:bCs/>
    </w:rPr>
  </w:style>
  <w:style w:type="paragraph" w:styleId="Tekstprzypisukocowego">
    <w:name w:val="endnote text"/>
    <w:basedOn w:val="Normalny"/>
    <w:link w:val="TekstprzypisukocowegoZnak"/>
    <w:uiPriority w:val="99"/>
    <w:semiHidden/>
    <w:unhideWhenUsed/>
    <w:rsid w:val="005C3F1F"/>
    <w:pPr>
      <w:spacing w:after="0" w:line="240" w:lineRule="auto"/>
    </w:pPr>
    <w:rPr>
      <w:sz w:val="20"/>
      <w:szCs w:val="20"/>
    </w:rPr>
  </w:style>
  <w:style w:type="paragraph" w:styleId="Stopka">
    <w:name w:val="footer"/>
    <w:basedOn w:val="Normalny"/>
    <w:link w:val="StopkaZnak"/>
    <w:uiPriority w:val="99"/>
    <w:unhideWhenUsed/>
    <w:rsid w:val="005C3F1F"/>
    <w:pPr>
      <w:tabs>
        <w:tab w:val="center" w:pos="4536"/>
        <w:tab w:val="right" w:pos="9072"/>
      </w:tabs>
      <w:spacing w:after="0" w:line="240" w:lineRule="auto"/>
    </w:pPr>
  </w:style>
  <w:style w:type="paragraph" w:styleId="Tekstprzypisudolnego">
    <w:name w:val="footnote text"/>
    <w:basedOn w:val="Normalny"/>
    <w:link w:val="TekstprzypisudolnegoZnak"/>
    <w:uiPriority w:val="99"/>
    <w:semiHidden/>
    <w:unhideWhenUsed/>
    <w:rsid w:val="005C3F1F"/>
    <w:pPr>
      <w:spacing w:after="0" w:line="240" w:lineRule="auto"/>
    </w:pPr>
    <w:rPr>
      <w:sz w:val="20"/>
      <w:szCs w:val="20"/>
    </w:rPr>
  </w:style>
  <w:style w:type="paragraph" w:styleId="Nagwek">
    <w:name w:val="header"/>
    <w:basedOn w:val="Normalny"/>
    <w:link w:val="NagwekZnak"/>
    <w:uiPriority w:val="99"/>
    <w:unhideWhenUsed/>
    <w:rsid w:val="005C3F1F"/>
    <w:pPr>
      <w:tabs>
        <w:tab w:val="center" w:pos="4536"/>
        <w:tab w:val="right" w:pos="9072"/>
      </w:tabs>
      <w:spacing w:after="0" w:line="240" w:lineRule="auto"/>
    </w:pPr>
  </w:style>
  <w:style w:type="character" w:styleId="Odwoaniedokomentarza">
    <w:name w:val="annotation reference"/>
    <w:basedOn w:val="Domylnaczcionkaakapitu"/>
    <w:uiPriority w:val="99"/>
    <w:unhideWhenUsed/>
    <w:qFormat/>
    <w:rsid w:val="005C3F1F"/>
    <w:rPr>
      <w:sz w:val="16"/>
      <w:szCs w:val="16"/>
    </w:rPr>
  </w:style>
  <w:style w:type="character" w:styleId="Odwoanieprzypisukocowego">
    <w:name w:val="endnote reference"/>
    <w:basedOn w:val="Domylnaczcionkaakapitu"/>
    <w:uiPriority w:val="99"/>
    <w:semiHidden/>
    <w:unhideWhenUsed/>
    <w:rsid w:val="005C3F1F"/>
    <w:rPr>
      <w:vertAlign w:val="superscript"/>
    </w:rPr>
  </w:style>
  <w:style w:type="character" w:styleId="Odwoanieprzypisudolnego">
    <w:name w:val="footnote reference"/>
    <w:basedOn w:val="Domylnaczcionkaakapitu"/>
    <w:uiPriority w:val="99"/>
    <w:semiHidden/>
    <w:unhideWhenUsed/>
    <w:rsid w:val="005C3F1F"/>
    <w:rPr>
      <w:vertAlign w:val="superscript"/>
    </w:rPr>
  </w:style>
  <w:style w:type="character" w:styleId="Hipercze">
    <w:name w:val="Hyperlink"/>
    <w:basedOn w:val="Domylnaczcionkaakapitu"/>
    <w:uiPriority w:val="99"/>
    <w:unhideWhenUsed/>
    <w:rsid w:val="005C3F1F"/>
    <w:rPr>
      <w:color w:val="0000FF" w:themeColor="hyperlink"/>
      <w:u w:val="single"/>
    </w:rPr>
  </w:style>
  <w:style w:type="character" w:customStyle="1" w:styleId="TekstprzypisudolnegoZnak">
    <w:name w:val="Tekst przypisu dolnego Znak"/>
    <w:basedOn w:val="Domylnaczcionkaakapitu"/>
    <w:link w:val="Tekstprzypisudolnego"/>
    <w:uiPriority w:val="99"/>
    <w:semiHidden/>
    <w:qFormat/>
    <w:rsid w:val="005C3F1F"/>
    <w:rPr>
      <w:sz w:val="20"/>
      <w:szCs w:val="20"/>
    </w:rPr>
  </w:style>
  <w:style w:type="paragraph" w:styleId="Akapitzlist">
    <w:name w:val="List Paragraph"/>
    <w:basedOn w:val="Normalny"/>
    <w:uiPriority w:val="34"/>
    <w:qFormat/>
    <w:rsid w:val="005C3F1F"/>
    <w:pPr>
      <w:ind w:left="720"/>
      <w:contextualSpacing/>
    </w:pPr>
  </w:style>
  <w:style w:type="paragraph" w:customStyle="1" w:styleId="ARTartustawynprozporzdzenia">
    <w:name w:val="ART(§) – art. ustawy (§ np. rozporządzenia)"/>
    <w:uiPriority w:val="11"/>
    <w:qFormat/>
    <w:rsid w:val="005C3F1F"/>
    <w:pPr>
      <w:suppressAutoHyphens/>
      <w:autoSpaceDE w:val="0"/>
      <w:autoSpaceDN w:val="0"/>
      <w:adjustRightInd w:val="0"/>
      <w:spacing w:before="120" w:after="0" w:line="360" w:lineRule="auto"/>
      <w:ind w:firstLine="510"/>
      <w:jc w:val="both"/>
    </w:pPr>
    <w:rPr>
      <w:rFonts w:ascii="Times" w:eastAsiaTheme="minorEastAsia" w:hAnsi="Times" w:cs="Arial"/>
      <w:sz w:val="24"/>
    </w:rPr>
  </w:style>
  <w:style w:type="character" w:customStyle="1" w:styleId="NagwekZnak">
    <w:name w:val="Nagłówek Znak"/>
    <w:basedOn w:val="Domylnaczcionkaakapitu"/>
    <w:link w:val="Nagwek"/>
    <w:uiPriority w:val="99"/>
    <w:rsid w:val="005C3F1F"/>
  </w:style>
  <w:style w:type="character" w:customStyle="1" w:styleId="StopkaZnak">
    <w:name w:val="Stopka Znak"/>
    <w:basedOn w:val="Domylnaczcionkaakapitu"/>
    <w:link w:val="Stopka"/>
    <w:uiPriority w:val="99"/>
    <w:qFormat/>
    <w:rsid w:val="005C3F1F"/>
  </w:style>
  <w:style w:type="paragraph" w:customStyle="1" w:styleId="Default">
    <w:name w:val="Default"/>
    <w:rsid w:val="005C3F1F"/>
    <w:pPr>
      <w:autoSpaceDE w:val="0"/>
      <w:autoSpaceDN w:val="0"/>
      <w:adjustRightInd w:val="0"/>
      <w:spacing w:after="0" w:line="240" w:lineRule="auto"/>
    </w:pPr>
    <w:rPr>
      <w:rFonts w:eastAsiaTheme="minorHAnsi"/>
      <w:color w:val="000000"/>
      <w:sz w:val="24"/>
      <w:szCs w:val="24"/>
      <w:lang w:eastAsia="en-US"/>
    </w:rPr>
  </w:style>
  <w:style w:type="paragraph" w:customStyle="1" w:styleId="PKTpunkt">
    <w:name w:val="PKT – punkt"/>
    <w:uiPriority w:val="13"/>
    <w:qFormat/>
    <w:rsid w:val="005C3F1F"/>
    <w:pPr>
      <w:spacing w:after="0" w:line="360" w:lineRule="auto"/>
      <w:ind w:left="510" w:hanging="510"/>
      <w:jc w:val="both"/>
    </w:pPr>
    <w:rPr>
      <w:rFonts w:ascii="Times" w:eastAsiaTheme="minorEastAsia" w:hAnsi="Times" w:cs="Arial"/>
      <w:bCs/>
      <w:sz w:val="24"/>
    </w:rPr>
  </w:style>
  <w:style w:type="character" w:customStyle="1" w:styleId="TekstprzypisukocowegoZnak">
    <w:name w:val="Tekst przypisu końcowego Znak"/>
    <w:basedOn w:val="Domylnaczcionkaakapitu"/>
    <w:link w:val="Tekstprzypisukocowego"/>
    <w:uiPriority w:val="99"/>
    <w:semiHidden/>
    <w:rsid w:val="005C3F1F"/>
    <w:rPr>
      <w:sz w:val="20"/>
      <w:szCs w:val="20"/>
    </w:rPr>
  </w:style>
  <w:style w:type="character" w:customStyle="1" w:styleId="Ppogrubienie">
    <w:name w:val="_P_ – pogrubienie"/>
    <w:basedOn w:val="Domylnaczcionkaakapitu"/>
    <w:uiPriority w:val="1"/>
    <w:qFormat/>
    <w:rsid w:val="005C3F1F"/>
    <w:rPr>
      <w:b/>
    </w:rPr>
  </w:style>
  <w:style w:type="character" w:customStyle="1" w:styleId="TekstkomentarzaZnak">
    <w:name w:val="Tekst komentarza Znak"/>
    <w:basedOn w:val="Domylnaczcionkaakapitu"/>
    <w:link w:val="Tekstkomentarza"/>
    <w:uiPriority w:val="99"/>
    <w:qFormat/>
    <w:rsid w:val="005C3F1F"/>
    <w:rPr>
      <w:sz w:val="20"/>
      <w:szCs w:val="20"/>
    </w:rPr>
  </w:style>
  <w:style w:type="character" w:customStyle="1" w:styleId="TematkomentarzaZnak">
    <w:name w:val="Temat komentarza Znak"/>
    <w:basedOn w:val="TekstkomentarzaZnak"/>
    <w:link w:val="Tematkomentarza"/>
    <w:uiPriority w:val="99"/>
    <w:semiHidden/>
    <w:qFormat/>
    <w:rsid w:val="005C3F1F"/>
    <w:rPr>
      <w:b/>
      <w:bCs/>
      <w:sz w:val="20"/>
      <w:szCs w:val="20"/>
    </w:rPr>
  </w:style>
  <w:style w:type="paragraph" w:customStyle="1" w:styleId="Poprawka1">
    <w:name w:val="Poprawka1"/>
    <w:hidden/>
    <w:uiPriority w:val="99"/>
    <w:semiHidden/>
    <w:qFormat/>
    <w:rsid w:val="005C3F1F"/>
    <w:pPr>
      <w:spacing w:after="0" w:line="240" w:lineRule="auto"/>
    </w:pPr>
    <w:rPr>
      <w:rFonts w:asciiTheme="minorHAnsi" w:eastAsiaTheme="minorHAnsi" w:hAnsiTheme="minorHAnsi" w:cstheme="minorBidi"/>
      <w:sz w:val="22"/>
      <w:szCs w:val="22"/>
      <w:lang w:eastAsia="en-US"/>
    </w:rPr>
  </w:style>
  <w:style w:type="character" w:customStyle="1" w:styleId="TekstdymkaZnak">
    <w:name w:val="Tekst dymka Znak"/>
    <w:basedOn w:val="Domylnaczcionkaakapitu"/>
    <w:link w:val="Tekstdymka"/>
    <w:uiPriority w:val="99"/>
    <w:semiHidden/>
    <w:rsid w:val="005C3F1F"/>
    <w:rPr>
      <w:rFonts w:ascii="Tahoma" w:hAnsi="Tahoma" w:cs="Tahoma"/>
      <w:sz w:val="16"/>
      <w:szCs w:val="16"/>
    </w:rPr>
  </w:style>
  <w:style w:type="paragraph" w:customStyle="1" w:styleId="USTustnpkodeksu">
    <w:name w:val="UST(§) – ust. (§ np. kodeksu)"/>
    <w:basedOn w:val="ARTartustawynprozporzdzenia"/>
    <w:uiPriority w:val="12"/>
    <w:qFormat/>
    <w:rsid w:val="005C3F1F"/>
    <w:pPr>
      <w:spacing w:before="0"/>
    </w:pPr>
    <w:rPr>
      <w:bCs/>
    </w:rPr>
  </w:style>
  <w:style w:type="paragraph" w:customStyle="1" w:styleId="ZUSTzmustartykuempunktem">
    <w:name w:val="Z/UST(§) – zm. ust. (§) artykułem (punktem)"/>
    <w:basedOn w:val="Normalny"/>
    <w:uiPriority w:val="30"/>
    <w:qFormat/>
    <w:rsid w:val="005C3F1F"/>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5C3F1F"/>
    <w:pPr>
      <w:spacing w:before="0"/>
      <w:ind w:left="510"/>
    </w:pPr>
  </w:style>
  <w:style w:type="paragraph" w:customStyle="1" w:styleId="ZPKTzmpktartykuempunktem">
    <w:name w:val="Z/PKT – zm. pkt artykułem (punktem)"/>
    <w:basedOn w:val="PKTpunkt"/>
    <w:uiPriority w:val="31"/>
    <w:qFormat/>
    <w:rsid w:val="005C3F1F"/>
    <w:pPr>
      <w:ind w:left="1020"/>
    </w:pPr>
  </w:style>
  <w:style w:type="paragraph" w:customStyle="1" w:styleId="doc-ti">
    <w:name w:val="doc-ti"/>
    <w:basedOn w:val="Normalny"/>
    <w:qFormat/>
    <w:rsid w:val="005C3F1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DNONIKtreodnonika">
    <w:name w:val="ODNOŚNIK – treść odnośnika"/>
    <w:uiPriority w:val="19"/>
    <w:qFormat/>
    <w:rsid w:val="005C3F1F"/>
    <w:pPr>
      <w:spacing w:after="0" w:line="240" w:lineRule="auto"/>
      <w:ind w:left="284" w:hanging="284"/>
      <w:jc w:val="both"/>
    </w:pPr>
    <w:rPr>
      <w:rFonts w:eastAsiaTheme="minorEastAsia" w:cs="Arial"/>
    </w:rPr>
  </w:style>
  <w:style w:type="character" w:customStyle="1" w:styleId="highlight">
    <w:name w:val="highlight"/>
    <w:basedOn w:val="Domylnaczcionkaakapitu"/>
    <w:qFormat/>
    <w:rsid w:val="005C3F1F"/>
  </w:style>
  <w:style w:type="character" w:customStyle="1" w:styleId="Nagwek3Znak">
    <w:name w:val="Nagłówek 3 Znak"/>
    <w:basedOn w:val="Domylnaczcionkaakapitu"/>
    <w:link w:val="Nagwek3"/>
    <w:uiPriority w:val="9"/>
    <w:qFormat/>
    <w:rsid w:val="005C3F1F"/>
    <w:rPr>
      <w:rFonts w:asciiTheme="majorHAnsi" w:eastAsiaTheme="majorEastAsia" w:hAnsiTheme="majorHAnsi" w:cstheme="majorBidi"/>
      <w:b/>
      <w:bCs/>
      <w:color w:val="4F81BD" w:themeColor="accent1"/>
    </w:rPr>
  </w:style>
  <w:style w:type="character" w:customStyle="1" w:styleId="articletitle">
    <w:name w:val="articletitle"/>
    <w:basedOn w:val="Domylnaczcionkaakapitu"/>
    <w:qFormat/>
    <w:rsid w:val="005C3F1F"/>
  </w:style>
  <w:style w:type="paragraph" w:customStyle="1" w:styleId="ZCZWSPPKTzmczciwsppktartykuempunktem">
    <w:name w:val="Z/CZ_WSP_PKT – zm. części wsp. pkt artykułem (punktem)"/>
    <w:basedOn w:val="Normalny"/>
    <w:next w:val="ZARTzmartartykuempunktem"/>
    <w:uiPriority w:val="34"/>
    <w:qFormat/>
    <w:rsid w:val="005C3F1F"/>
    <w:pPr>
      <w:spacing w:after="0" w:line="360" w:lineRule="auto"/>
      <w:ind w:left="510"/>
      <w:jc w:val="both"/>
    </w:pPr>
    <w:rPr>
      <w:rFonts w:ascii="Times" w:eastAsiaTheme="minorEastAsia" w:hAnsi="Times" w:cs="Arial"/>
      <w:bCs/>
      <w:sz w:val="24"/>
      <w:szCs w:val="20"/>
      <w:lang w:eastAsia="pl-PL"/>
    </w:rPr>
  </w:style>
  <w:style w:type="paragraph" w:customStyle="1" w:styleId="ZLITwPKTzmlitwpktartykuempunktem">
    <w:name w:val="Z/LIT_w_PKT – zm. lit. w pkt artykułem (punktem)"/>
    <w:basedOn w:val="Normalny"/>
    <w:uiPriority w:val="32"/>
    <w:qFormat/>
    <w:rsid w:val="005C3F1F"/>
    <w:pPr>
      <w:spacing w:after="0" w:line="360" w:lineRule="auto"/>
      <w:ind w:left="1497" w:hanging="476"/>
      <w:jc w:val="both"/>
    </w:pPr>
    <w:rPr>
      <w:rFonts w:ascii="Times" w:eastAsiaTheme="minorEastAsia" w:hAnsi="Times" w:cs="Arial"/>
      <w:bCs/>
      <w:sz w:val="24"/>
      <w:szCs w:val="20"/>
      <w:lang w:eastAsia="pl-PL"/>
    </w:rPr>
  </w:style>
  <w:style w:type="paragraph" w:customStyle="1" w:styleId="CZWSPTIRczwsplnatiret">
    <w:name w:val="CZ_WSP_TIR – część wspólna tiret"/>
    <w:basedOn w:val="Normalny"/>
    <w:next w:val="USTustnpkodeksu"/>
    <w:uiPriority w:val="17"/>
    <w:qFormat/>
    <w:rsid w:val="005C3F1F"/>
    <w:pPr>
      <w:spacing w:after="0" w:line="360" w:lineRule="auto"/>
      <w:ind w:left="987"/>
      <w:jc w:val="both"/>
    </w:pPr>
    <w:rPr>
      <w:rFonts w:ascii="Times" w:eastAsiaTheme="minorEastAsia" w:hAnsi="Times" w:cs="Arial"/>
      <w:bCs/>
      <w:sz w:val="24"/>
      <w:szCs w:val="20"/>
      <w:lang w:eastAsia="pl-PL"/>
    </w:rPr>
  </w:style>
  <w:style w:type="character" w:customStyle="1" w:styleId="Bodytext">
    <w:name w:val="Body text_"/>
    <w:basedOn w:val="Domylnaczcionkaakapitu"/>
    <w:link w:val="Tekstpodstawowy2"/>
    <w:rsid w:val="00BD74B3"/>
    <w:rPr>
      <w:rFonts w:eastAsia="Times New Roman"/>
      <w:sz w:val="24"/>
      <w:szCs w:val="24"/>
      <w:shd w:val="clear" w:color="auto" w:fill="FFFFFF"/>
    </w:rPr>
  </w:style>
  <w:style w:type="paragraph" w:customStyle="1" w:styleId="Tekstpodstawowy2">
    <w:name w:val="Tekst podstawowy2"/>
    <w:basedOn w:val="Normalny"/>
    <w:link w:val="Bodytext"/>
    <w:rsid w:val="00BD74B3"/>
    <w:pPr>
      <w:shd w:val="clear" w:color="auto" w:fill="FFFFFF"/>
      <w:spacing w:before="60" w:after="0" w:line="0" w:lineRule="atLeast"/>
      <w:jc w:val="center"/>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454260"/>
    <w:pPr>
      <w:spacing w:after="120"/>
    </w:pPr>
  </w:style>
  <w:style w:type="character" w:customStyle="1" w:styleId="TekstpodstawowyZnak">
    <w:name w:val="Tekst podstawowy Znak"/>
    <w:basedOn w:val="Domylnaczcionkaakapitu"/>
    <w:link w:val="Tekstpodstawowy"/>
    <w:uiPriority w:val="99"/>
    <w:semiHidden/>
    <w:rsid w:val="0045426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474244">
      <w:bodyDiv w:val="1"/>
      <w:marLeft w:val="0"/>
      <w:marRight w:val="0"/>
      <w:marTop w:val="0"/>
      <w:marBottom w:val="0"/>
      <w:divBdr>
        <w:top w:val="none" w:sz="0" w:space="0" w:color="auto"/>
        <w:left w:val="none" w:sz="0" w:space="0" w:color="auto"/>
        <w:bottom w:val="none" w:sz="0" w:space="0" w:color="auto"/>
        <w:right w:val="none" w:sz="0" w:space="0" w:color="auto"/>
      </w:divBdr>
      <w:divsChild>
        <w:div w:id="729613628">
          <w:marLeft w:val="0"/>
          <w:marRight w:val="0"/>
          <w:marTop w:val="0"/>
          <w:marBottom w:val="0"/>
          <w:divBdr>
            <w:top w:val="none" w:sz="0" w:space="0" w:color="auto"/>
            <w:left w:val="none" w:sz="0" w:space="0" w:color="auto"/>
            <w:bottom w:val="none" w:sz="0" w:space="0" w:color="auto"/>
            <w:right w:val="none" w:sz="0" w:space="0" w:color="auto"/>
          </w:divBdr>
        </w:div>
        <w:div w:id="1480460090">
          <w:marLeft w:val="0"/>
          <w:marRight w:val="0"/>
          <w:marTop w:val="0"/>
          <w:marBottom w:val="0"/>
          <w:divBdr>
            <w:top w:val="none" w:sz="0" w:space="0" w:color="auto"/>
            <w:left w:val="none" w:sz="0" w:space="0" w:color="auto"/>
            <w:bottom w:val="none" w:sz="0" w:space="0" w:color="auto"/>
            <w:right w:val="none" w:sz="0" w:space="0" w:color="auto"/>
          </w:divBdr>
        </w:div>
        <w:div w:id="1252350203">
          <w:marLeft w:val="0"/>
          <w:marRight w:val="0"/>
          <w:marTop w:val="0"/>
          <w:marBottom w:val="0"/>
          <w:divBdr>
            <w:top w:val="none" w:sz="0" w:space="0" w:color="auto"/>
            <w:left w:val="none" w:sz="0" w:space="0" w:color="auto"/>
            <w:bottom w:val="none" w:sz="0" w:space="0" w:color="auto"/>
            <w:right w:val="none" w:sz="0" w:space="0" w:color="auto"/>
          </w:divBdr>
        </w:div>
        <w:div w:id="1155292175">
          <w:marLeft w:val="0"/>
          <w:marRight w:val="0"/>
          <w:marTop w:val="0"/>
          <w:marBottom w:val="0"/>
          <w:divBdr>
            <w:top w:val="none" w:sz="0" w:space="0" w:color="auto"/>
            <w:left w:val="none" w:sz="0" w:space="0" w:color="auto"/>
            <w:bottom w:val="none" w:sz="0" w:space="0" w:color="auto"/>
            <w:right w:val="none" w:sz="0" w:space="0" w:color="auto"/>
          </w:divBdr>
        </w:div>
        <w:div w:id="1043746372">
          <w:marLeft w:val="0"/>
          <w:marRight w:val="0"/>
          <w:marTop w:val="0"/>
          <w:marBottom w:val="0"/>
          <w:divBdr>
            <w:top w:val="none" w:sz="0" w:space="0" w:color="auto"/>
            <w:left w:val="none" w:sz="0" w:space="0" w:color="auto"/>
            <w:bottom w:val="none" w:sz="0" w:space="0" w:color="auto"/>
            <w:right w:val="none" w:sz="0" w:space="0" w:color="auto"/>
          </w:divBdr>
        </w:div>
        <w:div w:id="777456465">
          <w:marLeft w:val="0"/>
          <w:marRight w:val="0"/>
          <w:marTop w:val="0"/>
          <w:marBottom w:val="0"/>
          <w:divBdr>
            <w:top w:val="none" w:sz="0" w:space="0" w:color="auto"/>
            <w:left w:val="none" w:sz="0" w:space="0" w:color="auto"/>
            <w:bottom w:val="none" w:sz="0" w:space="0" w:color="auto"/>
            <w:right w:val="none" w:sz="0" w:space="0" w:color="auto"/>
          </w:divBdr>
        </w:div>
        <w:div w:id="479075545">
          <w:marLeft w:val="0"/>
          <w:marRight w:val="0"/>
          <w:marTop w:val="0"/>
          <w:marBottom w:val="0"/>
          <w:divBdr>
            <w:top w:val="none" w:sz="0" w:space="0" w:color="auto"/>
            <w:left w:val="none" w:sz="0" w:space="0" w:color="auto"/>
            <w:bottom w:val="none" w:sz="0" w:space="0" w:color="auto"/>
            <w:right w:val="none" w:sz="0" w:space="0" w:color="auto"/>
          </w:divBdr>
        </w:div>
        <w:div w:id="814293765">
          <w:marLeft w:val="0"/>
          <w:marRight w:val="0"/>
          <w:marTop w:val="0"/>
          <w:marBottom w:val="0"/>
          <w:divBdr>
            <w:top w:val="none" w:sz="0" w:space="0" w:color="auto"/>
            <w:left w:val="none" w:sz="0" w:space="0" w:color="auto"/>
            <w:bottom w:val="none" w:sz="0" w:space="0" w:color="auto"/>
            <w:right w:val="none" w:sz="0" w:space="0" w:color="auto"/>
          </w:divBdr>
        </w:div>
        <w:div w:id="269047608">
          <w:marLeft w:val="0"/>
          <w:marRight w:val="0"/>
          <w:marTop w:val="0"/>
          <w:marBottom w:val="0"/>
          <w:divBdr>
            <w:top w:val="none" w:sz="0" w:space="0" w:color="auto"/>
            <w:left w:val="none" w:sz="0" w:space="0" w:color="auto"/>
            <w:bottom w:val="none" w:sz="0" w:space="0" w:color="auto"/>
            <w:right w:val="none" w:sz="0" w:space="0" w:color="auto"/>
          </w:divBdr>
        </w:div>
        <w:div w:id="686950220">
          <w:marLeft w:val="0"/>
          <w:marRight w:val="0"/>
          <w:marTop w:val="0"/>
          <w:marBottom w:val="0"/>
          <w:divBdr>
            <w:top w:val="none" w:sz="0" w:space="0" w:color="auto"/>
            <w:left w:val="none" w:sz="0" w:space="0" w:color="auto"/>
            <w:bottom w:val="none" w:sz="0" w:space="0" w:color="auto"/>
            <w:right w:val="none" w:sz="0" w:space="0" w:color="auto"/>
          </w:divBdr>
        </w:div>
        <w:div w:id="2116896845">
          <w:marLeft w:val="0"/>
          <w:marRight w:val="0"/>
          <w:marTop w:val="0"/>
          <w:marBottom w:val="0"/>
          <w:divBdr>
            <w:top w:val="none" w:sz="0" w:space="0" w:color="auto"/>
            <w:left w:val="none" w:sz="0" w:space="0" w:color="auto"/>
            <w:bottom w:val="none" w:sz="0" w:space="0" w:color="auto"/>
            <w:right w:val="none" w:sz="0" w:space="0" w:color="auto"/>
          </w:divBdr>
        </w:div>
        <w:div w:id="1178883916">
          <w:marLeft w:val="0"/>
          <w:marRight w:val="0"/>
          <w:marTop w:val="0"/>
          <w:marBottom w:val="0"/>
          <w:divBdr>
            <w:top w:val="none" w:sz="0" w:space="0" w:color="auto"/>
            <w:left w:val="none" w:sz="0" w:space="0" w:color="auto"/>
            <w:bottom w:val="none" w:sz="0" w:space="0" w:color="auto"/>
            <w:right w:val="none" w:sz="0" w:space="0" w:color="auto"/>
          </w:divBdr>
        </w:div>
        <w:div w:id="755829195">
          <w:marLeft w:val="0"/>
          <w:marRight w:val="0"/>
          <w:marTop w:val="0"/>
          <w:marBottom w:val="0"/>
          <w:divBdr>
            <w:top w:val="none" w:sz="0" w:space="0" w:color="auto"/>
            <w:left w:val="none" w:sz="0" w:space="0" w:color="auto"/>
            <w:bottom w:val="none" w:sz="0" w:space="0" w:color="auto"/>
            <w:right w:val="none" w:sz="0" w:space="0" w:color="auto"/>
          </w:divBdr>
        </w:div>
        <w:div w:id="754595626">
          <w:marLeft w:val="0"/>
          <w:marRight w:val="0"/>
          <w:marTop w:val="0"/>
          <w:marBottom w:val="0"/>
          <w:divBdr>
            <w:top w:val="none" w:sz="0" w:space="0" w:color="auto"/>
            <w:left w:val="none" w:sz="0" w:space="0" w:color="auto"/>
            <w:bottom w:val="none" w:sz="0" w:space="0" w:color="auto"/>
            <w:right w:val="none" w:sz="0" w:space="0" w:color="auto"/>
          </w:divBdr>
        </w:div>
        <w:div w:id="13803231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D06B04-A96A-4C72-9644-EB60519C1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12925</Words>
  <Characters>77553</Characters>
  <Application>Microsoft Office Word</Application>
  <DocSecurity>0</DocSecurity>
  <Lines>646</Lines>
  <Paragraphs>180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90298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Zagożdżon Paweł</dc:creator>
  <cp:lastModifiedBy>Grażyna D. Grabowska</cp:lastModifiedBy>
  <cp:revision>2</cp:revision>
  <cp:lastPrinted>2018-06-06T15:05:00Z</cp:lastPrinted>
  <dcterms:created xsi:type="dcterms:W3CDTF">2018-06-12T09:17:00Z</dcterms:created>
  <dcterms:modified xsi:type="dcterms:W3CDTF">2018-06-12T09:17:00Z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