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D1E" w:rsidRPr="00E26414" w:rsidRDefault="00E26414" w:rsidP="00E26414">
      <w:pPr>
        <w:pStyle w:val="TYTUAKTUprzedmiotregulacjiustawylubrozporzdzenia"/>
        <w:spacing w:after="0"/>
        <w:rPr>
          <w:b w:val="0"/>
        </w:rPr>
      </w:pPr>
      <w:bookmarkStart w:id="0" w:name="_GoBack"/>
      <w:bookmarkEnd w:id="0"/>
      <w:r w:rsidRPr="00E26414">
        <w:rPr>
          <w:b w:val="0"/>
        </w:rPr>
        <w:t xml:space="preserve">UZASADNIENIE </w:t>
      </w:r>
    </w:p>
    <w:p w:rsidR="0024218D" w:rsidRDefault="0024218D" w:rsidP="00E26414">
      <w:pPr>
        <w:pStyle w:val="NIEARTTEKSTtekstnieartykuowanynppodstprawnarozplubpreambua"/>
        <w:ind w:firstLine="0"/>
      </w:pPr>
      <w:r w:rsidRPr="0024218D">
        <w:t>Stosowanie ustawy z dnia 20 lipca 2017 r. – Prawo wodne, któr</w:t>
      </w:r>
      <w:r w:rsidR="002E10FF">
        <w:t>a</w:t>
      </w:r>
      <w:r w:rsidRPr="0024218D">
        <w:t xml:space="preserve"> weszł</w:t>
      </w:r>
      <w:r w:rsidR="002E10FF">
        <w:t>a</w:t>
      </w:r>
      <w:r w:rsidRPr="0024218D">
        <w:t xml:space="preserve"> w życie 1</w:t>
      </w:r>
      <w:r w:rsidR="00E26414">
        <w:t> </w:t>
      </w:r>
      <w:r w:rsidRPr="0024218D">
        <w:t>stycznia 2018 r., wykazało konieczność rozstrzygnięcia wątpliwości interpretacyjnych, w szczególności w zakresie wydawania zgód i przyrzeczeń wodnoprawnych oraz pozwoleń zintegrowanych, gospodarowania nieruchomościami Skarbu Państwa oraz stosowani</w:t>
      </w:r>
      <w:r w:rsidR="002E10FF">
        <w:t xml:space="preserve">a </w:t>
      </w:r>
      <w:r w:rsidRPr="0024218D">
        <w:t>nowego systemu opłat za usługi wodne.</w:t>
      </w:r>
    </w:p>
    <w:p w:rsidR="0024218D" w:rsidRPr="0024218D" w:rsidRDefault="0024218D" w:rsidP="00E26414">
      <w:pPr>
        <w:pStyle w:val="ARTartustawynprozporzdzenia"/>
        <w:ind w:firstLine="0"/>
      </w:pPr>
      <w:r w:rsidRPr="0024218D">
        <w:t>Projekt ustawy zawiera rozwiązania prawne, sprzyjające obniżaniu rygorów formalnych związanych z postępowaniami administracyjny</w:t>
      </w:r>
      <w:r w:rsidR="00E26414">
        <w:t>mi w zakresie udzielania zgód i </w:t>
      </w:r>
      <w:r w:rsidRPr="0024218D">
        <w:t>przyrzeczeń wodnoprawnych. Dodatkowo, projekt ustawy ogranicza wymóg przedkładania danych lub dokumentów, które znajdują się już w posiadaniu organu, sprzyjając redukowaniu barier biurokratycznych oraz skracaniu postępowań administracyjnych prowadzonych w oparciu o proponowane przepisy.</w:t>
      </w:r>
    </w:p>
    <w:p w:rsidR="00E87D1E" w:rsidRPr="00E87D1E" w:rsidRDefault="00E87D1E" w:rsidP="00E26414">
      <w:pPr>
        <w:pStyle w:val="NIEARTTEKSTtekstnieartykuowanynppodstprawnarozplubpreambua"/>
        <w:ind w:firstLine="0"/>
        <w:rPr>
          <w:u w:val="single"/>
        </w:rPr>
      </w:pPr>
      <w:r w:rsidRPr="00E87D1E">
        <w:rPr>
          <w:u w:val="single"/>
        </w:rPr>
        <w:t xml:space="preserve">Zmiany ustawy z dnia 20 lipca 2017 r. </w:t>
      </w:r>
      <w:r w:rsidR="00690101">
        <w:rPr>
          <w:u w:val="single"/>
        </w:rPr>
        <w:t>–</w:t>
      </w:r>
      <w:r w:rsidRPr="00E87D1E">
        <w:rPr>
          <w:u w:val="single"/>
        </w:rPr>
        <w:t xml:space="preserve"> Prawo wodne</w:t>
      </w:r>
    </w:p>
    <w:p w:rsidR="000823A5" w:rsidRDefault="0063447C" w:rsidP="00E26414">
      <w:pPr>
        <w:pStyle w:val="NIEARTTEKSTtekstnieartykuowanynppodstprawnarozplubpreambua"/>
        <w:ind w:left="364" w:hanging="364"/>
      </w:pPr>
      <w:r w:rsidRPr="0063447C">
        <w:rPr>
          <w:bCs w:val="0"/>
        </w:rPr>
        <w:t>1.</w:t>
      </w:r>
      <w:r w:rsidR="00E26414">
        <w:tab/>
      </w:r>
      <w:r>
        <w:t>Celem zmiany art. 16</w:t>
      </w:r>
      <w:r w:rsidR="00E26414">
        <w:t xml:space="preserve"> </w:t>
      </w:r>
      <w:r w:rsidR="007D747B" w:rsidRPr="007D747B">
        <w:t>ustawy jest</w:t>
      </w:r>
      <w:r w:rsidR="007D747B">
        <w:t xml:space="preserve"> przesądzenie, że </w:t>
      </w:r>
      <w:r w:rsidR="007D747B" w:rsidRPr="007D747B">
        <w:t>stopni</w:t>
      </w:r>
      <w:r w:rsidR="007D747B">
        <w:t>e wodne należą</w:t>
      </w:r>
      <w:r w:rsidR="007D747B" w:rsidRPr="007D747B">
        <w:t xml:space="preserve"> do katego</w:t>
      </w:r>
      <w:r w:rsidR="007D747B">
        <w:t xml:space="preserve">rii budowli przeciwpowodziowych. </w:t>
      </w:r>
      <w:r w:rsidR="000823A5">
        <w:t>W zakresie odpowiedniego stosowania przepisów ustawy dotyczących urządzeń wodnych</w:t>
      </w:r>
      <w:r w:rsidR="007D747B">
        <w:t xml:space="preserve"> </w:t>
      </w:r>
      <w:r w:rsidR="000823A5">
        <w:t xml:space="preserve">w stosunku do infrastruktury liniowej rekomenduje się rozszerzyć stosowanie ustawy do infrastruktury liniowej prowadzonej przez wody powierzchniowe, bez ograniczenia do linii brzegu. Efektem wprowadzonych zmian będzie wyeliminowanie wątpliwości interpretacyjnych związanych z prowadzeniem infrastruktury liniowej w przypadku </w:t>
      </w:r>
      <w:r w:rsidR="000B3505">
        <w:t>braku wyznaczenia linii brzegu</w:t>
      </w:r>
      <w:r w:rsidR="000823A5">
        <w:t xml:space="preserve">. </w:t>
      </w:r>
      <w:r w:rsidR="000B3505">
        <w:t>Konsekwentnie proponuje się dostosować przepis art. 389 pkt 9 ustawy, określający katalog działań wymagających pozwolenia wodnoprawnego.</w:t>
      </w:r>
      <w:r w:rsidR="004F3804">
        <w:t xml:space="preserve"> </w:t>
      </w:r>
      <w:r w:rsidR="00DC5391" w:rsidRPr="00DC5391">
        <w:t xml:space="preserve">Nie powinno dochodzić do sytuacji, w której prowadzone są obiekty liniowe przez wody powierzchniowe w przypadku braku wyznaczenia linii brzegu, jeśli miałoby to spowodować brak możliwości stosowania ustawy </w:t>
      </w:r>
      <w:r w:rsidR="00690101">
        <w:t>–</w:t>
      </w:r>
      <w:r w:rsidR="00DC5391" w:rsidRPr="00DC5391">
        <w:t xml:space="preserve"> Prawo wodne w stosunku do obiektów liniowych</w:t>
      </w:r>
      <w:r w:rsidR="00DC5391">
        <w:t>.</w:t>
      </w:r>
    </w:p>
    <w:p w:rsidR="00DC5391" w:rsidRPr="00DC5391" w:rsidRDefault="00A91010" w:rsidP="00E26414">
      <w:pPr>
        <w:pStyle w:val="ARTartustawynprozporzdzenia"/>
        <w:ind w:left="364" w:firstLine="0"/>
      </w:pPr>
      <w:r>
        <w:t xml:space="preserve">Proponuje się zmianę w art. 16 pkt 45 definicji przerzutów wód. </w:t>
      </w:r>
      <w:r w:rsidR="00DC5391" w:rsidRPr="00DC5391">
        <w:t>Proponowana zmiana wynika z konieczności doprecyzowa</w:t>
      </w:r>
      <w:r w:rsidR="00E26414">
        <w:t>nia treści przepisu, albowiem w </w:t>
      </w:r>
      <w:r w:rsidR="00DC5391" w:rsidRPr="00DC5391">
        <w:t>aktualnym brzmieniu przepis jest niepełny i budzi wątpliwości interpretacyjne, co w przypadku definicji legalnej jest niedopuszczalne, dodatkowo wykładnia językowa przepisu prowadzi ad absurdum. Aktualne br</w:t>
      </w:r>
      <w:r w:rsidR="00E26414">
        <w:t>zmienie przepisu wskazuje, że z </w:t>
      </w:r>
      <w:r w:rsidR="00DC5391" w:rsidRPr="00DC5391">
        <w:t xml:space="preserve">przerzutem wód mamy do czynienia w sytuacji odwodnienia kanałów, jezior </w:t>
      </w:r>
      <w:r w:rsidR="00DC5391" w:rsidRPr="00DC5391">
        <w:lastRenderedPageBreak/>
        <w:t>oraz innych naturalnych zbiorników wodnych, a także wód podziemnych, przy czym takie działania nie mają miejsca, co więcej bliższe są znaczeniowo pojęciu poboru. Jednocześnie ze względu na stosowaną w ustawie jednolitą nomenklaturę przerzut wód dotyczy wód powierzchniowych lub wód podziemnych, a jego celem jest zwiększenie zasobów wodnych innych cieków naturalnych, kanałów, jezior oraz innych naturalnych zbiorników wodnych, a także wód podziemnych, nie zaś ich odwadnianie, tak jak wskazuje aktualne brzmienie przepisu.</w:t>
      </w:r>
    </w:p>
    <w:p w:rsidR="00B93D64" w:rsidRPr="00B93D64" w:rsidRDefault="00B93D64" w:rsidP="00E26414">
      <w:pPr>
        <w:pStyle w:val="ARTartustawynprozporzdzenia"/>
        <w:ind w:left="364" w:firstLine="0"/>
      </w:pPr>
      <w:r w:rsidRPr="00B93D64">
        <w:t xml:space="preserve">Praktyczne stosowanie od dnia 1 stycznia 2018 r. przepisów ustawy </w:t>
      </w:r>
      <w:r w:rsidR="00690101">
        <w:t>–</w:t>
      </w:r>
      <w:r w:rsidRPr="00B93D64">
        <w:t xml:space="preserve"> Prawo wodne, wykazało istnienie pewnych wątpliwości i niespójności z zakresu działania organów Inspekcji Ochrony Środowiska, które utrudniają lub wręcz uniemożliwiają prawidłowe wykonywanie zadań przez te organy. </w:t>
      </w:r>
      <w:r>
        <w:t>Proponuje się</w:t>
      </w:r>
      <w:r w:rsidRPr="00B93D64">
        <w:t xml:space="preserve"> rozszerzenie zmiany art. 17 ustawy </w:t>
      </w:r>
      <w:r w:rsidR="00690101">
        <w:t>–</w:t>
      </w:r>
      <w:r w:rsidRPr="00B93D64">
        <w:t xml:space="preserve"> Prawo wodne, dokonywanej w art. 1 pkt 2 projektowanej ustawy, o</w:t>
      </w:r>
      <w:r w:rsidR="00E26414">
        <w:t> </w:t>
      </w:r>
      <w:r w:rsidRPr="00B93D64">
        <w:t xml:space="preserve">zmianę jego ust. 2 pkt 1 mającą na celu wyeliminowanie błędnego odesłania </w:t>
      </w:r>
      <w:r w:rsidR="00690101">
        <w:t>–</w:t>
      </w:r>
      <w:r w:rsidRPr="00B93D64">
        <w:t xml:space="preserve"> zamiast odesłania do art. 109 ust. 12 powinno być odesłanie do art. 109 ust. 14. Także w art. 17 w ust. 2 pkt 2 występuje błąd w odesłaniu do art. 109 </w:t>
      </w:r>
      <w:r w:rsidR="00690101">
        <w:t>–</w:t>
      </w:r>
      <w:r w:rsidRPr="00B93D64">
        <w:t xml:space="preserve"> ak</w:t>
      </w:r>
      <w:r w:rsidR="00AD5F4F">
        <w:t>tualnie jest art. 109 ust. 3</w:t>
      </w:r>
      <w:r w:rsidRPr="00B93D64">
        <w:t>, a powinien być art. 109 ust. 1 i 13.</w:t>
      </w:r>
    </w:p>
    <w:p w:rsidR="000823A5" w:rsidRDefault="00AC3DA9" w:rsidP="00E26414">
      <w:pPr>
        <w:pStyle w:val="NIEARTTEKSTtekstnieartykuowanynppodstprawnarozplubpreambua"/>
        <w:ind w:left="364" w:hanging="364"/>
      </w:pPr>
      <w:r>
        <w:t>2</w:t>
      </w:r>
      <w:r w:rsidR="00E26414">
        <w:t>.</w:t>
      </w:r>
      <w:r w:rsidR="00E26414">
        <w:tab/>
      </w:r>
      <w:r w:rsidR="005A21DC">
        <w:t xml:space="preserve">Celem zmiany </w:t>
      </w:r>
      <w:r w:rsidR="00B10666">
        <w:t xml:space="preserve">trzeciej i </w:t>
      </w:r>
      <w:r w:rsidR="005A21DC">
        <w:t>czwartej</w:t>
      </w:r>
      <w:r w:rsidR="00B10666">
        <w:t xml:space="preserve"> w art. 1</w:t>
      </w:r>
      <w:r w:rsidR="000823A5">
        <w:t xml:space="preserve"> jest wprowadzenie zakazu wprowadzania wód opadowych do wód podziemnych oraz zakazu wprowadzania wód opadowych zawierających substancje </w:t>
      </w:r>
      <w:r w:rsidR="0024218D">
        <w:t xml:space="preserve">szczególnie szkodliwe do </w:t>
      </w:r>
      <w:r w:rsidR="00B10666">
        <w:t>urządzeń wodnych</w:t>
      </w:r>
      <w:r w:rsidR="0024218D">
        <w:t>.</w:t>
      </w:r>
      <w:r w:rsidR="00B93D64">
        <w:t xml:space="preserve"> </w:t>
      </w:r>
      <w:r w:rsidR="00B93D64" w:rsidRPr="00B93D64">
        <w:t>Mając na celu racjonalizację podejścia, w tym umożliwien</w:t>
      </w:r>
      <w:r w:rsidR="00E26414">
        <w:t>ie wprowadzania wód opadowych i </w:t>
      </w:r>
      <w:r w:rsidR="00B93D64" w:rsidRPr="00B93D64">
        <w:t>roztopowych do ziemi przy jednoczesnej minimalizacji ich negatywnego wpływu na środowisko, zasadnym jest określenie warunków</w:t>
      </w:r>
      <w:r w:rsidR="005A21DC">
        <w:t xml:space="preserve"> w rozporządzeniu wydawanym na podstawie art. 99 ust. 1 ustawy</w:t>
      </w:r>
      <w:r w:rsidR="00B93D64" w:rsidRPr="00B93D64">
        <w:t xml:space="preserve">, jakie należy spełnić przy wprowadzaniu ww. wód do </w:t>
      </w:r>
      <w:r w:rsidR="00B10666">
        <w:t>urządzeń wodnych</w:t>
      </w:r>
      <w:r w:rsidR="00B93D64" w:rsidRPr="00B93D64">
        <w:t>, w szczególności najwyższe dopuszczalne wartości substancji zanieczyszczających.</w:t>
      </w:r>
      <w:r w:rsidR="00CE03A4">
        <w:t xml:space="preserve"> </w:t>
      </w:r>
      <w:r w:rsidR="00B10666" w:rsidRPr="00B10666">
        <w:t>Przepisy ustawy regulują wyłącznie zorganizowany sposób odprowadzania wód opadowych i roztopowych, ko</w:t>
      </w:r>
      <w:r w:rsidR="00E26414">
        <w:t>nieczne jest zatem uściślenie w </w:t>
      </w:r>
      <w:r w:rsidR="00B10666" w:rsidRPr="00B10666">
        <w:t xml:space="preserve">tym zakresie poprzez określenie, że </w:t>
      </w:r>
      <w:r w:rsidR="00E26414">
        <w:t>przepis dotyczy wód opadowych i </w:t>
      </w:r>
      <w:r w:rsidR="00B10666" w:rsidRPr="00B10666">
        <w:t xml:space="preserve">roztopowych ujętych w systemy kanalizacyjne. Rezygnacja z wprowadzenia powyższego przepisu może spowodować zagrożenie pogorszenia jakości wód podziemnych. </w:t>
      </w:r>
    </w:p>
    <w:p w:rsidR="00AD5F4F" w:rsidRPr="00AD5F4F" w:rsidRDefault="00AC3DA9" w:rsidP="00E26414">
      <w:pPr>
        <w:pStyle w:val="NIEARTTEKSTtekstnieartykuowanynppodstprawnarozplubpreambua"/>
        <w:ind w:left="364" w:hanging="364"/>
      </w:pPr>
      <w:r>
        <w:t>3</w:t>
      </w:r>
      <w:r w:rsidR="00E26414">
        <w:t>.</w:t>
      </w:r>
      <w:r w:rsidR="00E26414">
        <w:tab/>
      </w:r>
      <w:r w:rsidR="00AD5F4F">
        <w:t xml:space="preserve">Proponuje się zmianę brzmienia art. 101 ustawy </w:t>
      </w:r>
      <w:r w:rsidR="00690101">
        <w:t>–</w:t>
      </w:r>
      <w:r w:rsidR="00AD5F4F">
        <w:t xml:space="preserve"> Prawo wodne, w celu wymienienia w nim obok zakładów pobierających wodę czy przeznaczających </w:t>
      </w:r>
      <w:r w:rsidR="00AD5F4F">
        <w:lastRenderedPageBreak/>
        <w:t>ścieki do rolniczego wykorzystania, także zakład</w:t>
      </w:r>
      <w:r w:rsidR="002E10FF">
        <w:t>ów</w:t>
      </w:r>
      <w:r w:rsidR="00AD5F4F">
        <w:t xml:space="preserve"> wprowadzając</w:t>
      </w:r>
      <w:r w:rsidR="002E10FF">
        <w:t>ych</w:t>
      </w:r>
      <w:r w:rsidR="00AD5F4F">
        <w:t xml:space="preserve"> ścieki do wód lub do ziemi. Te podmioty również muszą być zobowiązane do prowadzenia p</w:t>
      </w:r>
      <w:r w:rsidR="00B10666">
        <w:t>omiarów. Korekta tego przepisu pociąga</w:t>
      </w:r>
      <w:r w:rsidR="00AD5F4F">
        <w:t xml:space="preserve"> za sobą zmianę art. 147 ustawy </w:t>
      </w:r>
      <w:r w:rsidR="00690101">
        <w:t>–</w:t>
      </w:r>
      <w:r w:rsidR="00AD5F4F">
        <w:t xml:space="preserve"> Prawo ochrony środowiska, który pozostał niezmieniony w zakresie obowiązku prowadzenia pomiarów ilości pobieranej wody oraz wielkości emisji, czyli jakości i ilości ścieków wprowadzanych do wód lub do ziemi.</w:t>
      </w:r>
    </w:p>
    <w:p w:rsidR="000823A5" w:rsidRDefault="00AC3DA9" w:rsidP="00E26414">
      <w:pPr>
        <w:pStyle w:val="NIEARTTEKSTtekstnieartykuowanynppodstprawnarozplubpreambua"/>
        <w:ind w:left="364" w:hanging="364"/>
      </w:pPr>
      <w:r>
        <w:t>4</w:t>
      </w:r>
      <w:r w:rsidR="00E26414">
        <w:t>.</w:t>
      </w:r>
      <w:r w:rsidR="00E26414">
        <w:tab/>
      </w:r>
      <w:r w:rsidR="00EB701A" w:rsidRPr="00EB701A">
        <w:t>Celem dodania ust. 13a do art. 166</w:t>
      </w:r>
      <w:r w:rsidR="001C349D">
        <w:t xml:space="preserve"> ustawy</w:t>
      </w:r>
      <w:r w:rsidR="00A11B70">
        <w:t xml:space="preserve"> </w:t>
      </w:r>
      <w:r w:rsidR="00377415">
        <w:t xml:space="preserve">jest wyjaśnienie wątpliwości interpretacyjnych </w:t>
      </w:r>
      <w:r w:rsidR="002E10FF">
        <w:t>w zakresie</w:t>
      </w:r>
      <w:r w:rsidR="00377415">
        <w:t xml:space="preserve"> stosowania</w:t>
      </w:r>
      <w:r w:rsidR="000823A5">
        <w:t xml:space="preserve"> przepisów dotyczących postępowania uzgodnieniowego dla zabudowy i zagospodarowania terenu na obszarach szczególnego zagrożenia powodzią w przypadku prowadzenia analogicznych postępowań na obszarze pasa technicznego. Efektem proponowanej zmiany będzie wyeliminowanie wątpliwości in</w:t>
      </w:r>
      <w:r w:rsidR="0024218D">
        <w:t>terpretacyjnych w tym zakresie.</w:t>
      </w:r>
    </w:p>
    <w:p w:rsidR="00AD5F4F" w:rsidRDefault="00AC3DA9" w:rsidP="00E26414">
      <w:pPr>
        <w:pStyle w:val="NIEARTTEKSTtekstnieartykuowanynppodstprawnarozplubpreambua"/>
        <w:ind w:left="364" w:hanging="364"/>
      </w:pPr>
      <w:r>
        <w:t>5</w:t>
      </w:r>
      <w:r w:rsidR="00E26414">
        <w:t>.</w:t>
      </w:r>
      <w:r w:rsidR="00E26414">
        <w:tab/>
      </w:r>
      <w:r w:rsidR="00AD5F4F">
        <w:t>Proponowana zmiana</w:t>
      </w:r>
      <w:r w:rsidR="00377415">
        <w:t xml:space="preserve"> art. 196 ust. 11</w:t>
      </w:r>
      <w:r w:rsidR="00AD5F4F">
        <w:t xml:space="preserve"> jest konieczna</w:t>
      </w:r>
      <w:r w:rsidR="00B50411">
        <w:t>,</w:t>
      </w:r>
      <w:r w:rsidR="00AD5F4F">
        <w:t xml:space="preserve"> aby usunąć występujący błąd. Przepis ten nakłada na właściciela urządzenia melioracji wodnych obowiązek zgłoszenia tego urządzenia do Wód Polskich w celu wpisania go do ewidencji melioracji wodnych.</w:t>
      </w:r>
    </w:p>
    <w:p w:rsidR="00AD5F4F" w:rsidRDefault="00AD5F4F" w:rsidP="00E26414">
      <w:pPr>
        <w:pStyle w:val="NIEARTTEKSTtekstnieartykuowanynppodstprawnarozplubpreambua"/>
        <w:ind w:left="364" w:firstLine="0"/>
      </w:pPr>
      <w:r>
        <w:t xml:space="preserve">W obecnym brzmieniu obowiązek ten dotyczy urządzenia melioracji wodnych, wykonanego w trybie, o którym mowa w art. 199 ust. 2 ustawy </w:t>
      </w:r>
      <w:r w:rsidR="00690101">
        <w:t>–</w:t>
      </w:r>
      <w:r>
        <w:t xml:space="preserve"> Prawo wodne</w:t>
      </w:r>
      <w:r w:rsidR="00B50411">
        <w:t>,</w:t>
      </w:r>
      <w:r>
        <w:t xml:space="preserve"> tj.</w:t>
      </w:r>
      <w:r w:rsidR="00690101">
        <w:t> </w:t>
      </w:r>
      <w:r>
        <w:t>na koszt Skarbu Państwa. Jednak zgodnie z art. 203 tej ustawy, wykonywanie urządzeń melioracji wodnych na koszt Skarbu Państwa należy do Wód Polskich. Wody Polskie są więc w posiadaniu wszystkich niezbędnych informacji i</w:t>
      </w:r>
      <w:r w:rsidR="00690101">
        <w:t> </w:t>
      </w:r>
      <w:r>
        <w:t>dokumentów wymaganych do ujęcia tych urządzeń i obszarów w prowadzonej przez siebie ewidencji melioracji wodnych. Informacjami tymi nie dysponują natomiast właściciele urządzeń. W tej sytuacji urządzenia te powinny być ujmowane w</w:t>
      </w:r>
      <w:r w:rsidR="00E26414">
        <w:t> </w:t>
      </w:r>
      <w:r>
        <w:t>ewidencji melioracyjnej na podstawie dokumentów będących w posiadaniu Wód Polskich.</w:t>
      </w:r>
    </w:p>
    <w:p w:rsidR="000823A5" w:rsidRDefault="00AD5F4F" w:rsidP="00E26414">
      <w:pPr>
        <w:pStyle w:val="NIEARTTEKSTtekstnieartykuowanynppodstprawnarozplubpreambua"/>
        <w:ind w:left="364" w:firstLine="0"/>
      </w:pPr>
      <w:r>
        <w:t>Wskazany w art. 196 ust. 11 obowiązek zgłaszania urządzeń do Wód Polskich, w</w:t>
      </w:r>
      <w:r w:rsidR="00E26414">
        <w:t> </w:t>
      </w:r>
      <w:r>
        <w:t>celu wpisania do ewidencji melioracji wodnych, nie powinien więc dotyczyć urządzeń wykonywanych w trybie art. 199 ust. 2, tj. na koszt Skarbu Państwa, lecz urządzeń wykonywanych w trybie art. 199 ust. 1, czyli przez właścicieli gruntów.</w:t>
      </w:r>
    </w:p>
    <w:p w:rsidR="008D227E" w:rsidRPr="008D227E" w:rsidRDefault="00AC3DA9" w:rsidP="00E26414">
      <w:pPr>
        <w:pStyle w:val="NIEARTTEKSTtekstnieartykuowanynppodstprawnarozplubpreambua"/>
        <w:ind w:left="364" w:hanging="364"/>
      </w:pPr>
      <w:r>
        <w:t>6</w:t>
      </w:r>
      <w:r w:rsidR="00E26414">
        <w:t>.</w:t>
      </w:r>
      <w:r w:rsidR="00E26414">
        <w:tab/>
      </w:r>
      <w:r w:rsidR="008D227E">
        <w:t>Proponuje się</w:t>
      </w:r>
      <w:r w:rsidR="008D227E" w:rsidRPr="008D227E">
        <w:t xml:space="preserve"> doprecyzowanie przepisu art. 201 ustawy – Prawo wodne, który obliguje Wody Polskie do ustalenia, w drodze decyzji, wysokości części opłaty </w:t>
      </w:r>
      <w:r w:rsidR="008D227E" w:rsidRPr="008D227E">
        <w:lastRenderedPageBreak/>
        <w:t>melioracyjnej dla właściciela gruntu. Opłata ta s</w:t>
      </w:r>
      <w:r w:rsidR="00E26414">
        <w:t>tanowi dochód budżetu państwa i </w:t>
      </w:r>
      <w:r w:rsidR="008D227E" w:rsidRPr="008D227E">
        <w:t>wnoszona jest na centralny rachunek bieżący budżetu państwa za pośrednictwem rachunku bankowego właściwego wojewody (art. 201 ust. 2 i 3 ww. ustawy). Należy jednak wskazać, że z obecnego brzmienia przepisu nie wynika, jaki jest tryb przekazywania opłaty melioracyjnej, w szczególności czy środki te powinny być przekazywane przez właścicieli gruntów na r</w:t>
      </w:r>
      <w:r w:rsidR="00E26414">
        <w:t>achunek bankowy Wód Polskich, a </w:t>
      </w:r>
      <w:r w:rsidR="008D227E" w:rsidRPr="008D227E">
        <w:t>następnie na rachunek bankowy wojewody, czy też bezpośrednio na rachunek wojewody, oraz w jakim terminie Wody Polskie powinny dokonywać tego przekazania (w przypadku określenia, że wpłaty wpływają najpierw na rachunek Wód Polskich).</w:t>
      </w:r>
      <w:r w:rsidR="00377415">
        <w:t xml:space="preserve"> Proponuje się zmianę przepisu art. 201, który przesądzi, że Wody Polskie będą przekazywać wpływy z tytułu opłaty melioracyjnej na rachunek </w:t>
      </w:r>
      <w:r w:rsidR="00377415" w:rsidRPr="00377415">
        <w:t>bieżący dochodów budżetowych ministra właściwego do spraw gospodarki wodnej</w:t>
      </w:r>
      <w:r w:rsidR="00377415">
        <w:t>.</w:t>
      </w:r>
    </w:p>
    <w:p w:rsidR="00AC3DA9" w:rsidRDefault="00E26414" w:rsidP="00E26414">
      <w:pPr>
        <w:pStyle w:val="NIEARTTEKSTtekstnieartykuowanynppodstprawnarozplubpreambua"/>
        <w:ind w:left="364" w:hanging="364"/>
      </w:pPr>
      <w:r>
        <w:t>7.</w:t>
      </w:r>
      <w:r>
        <w:tab/>
      </w:r>
      <w:r w:rsidR="00AC3DA9">
        <w:t xml:space="preserve">Proponowane rozszerzenie obecnego art. 216 ustawy </w:t>
      </w:r>
      <w:r w:rsidR="00690101">
        <w:t>–</w:t>
      </w:r>
      <w:r w:rsidR="00AC3DA9">
        <w:t xml:space="preserve"> Prawo wodne o nowy ust. 6 zakłada wprowadzenie unormowania, zgodnie z którym urządzenia wodne „</w:t>
      </w:r>
      <w:r w:rsidR="00AC3DA9" w:rsidRPr="00AC3DA9">
        <w:t>które zostały wykonane albo są wykonywane</w:t>
      </w:r>
      <w:r w:rsidR="00AC3DA9">
        <w:t xml:space="preserve"> przez Wody Polskie” zarówno na gruntach pokrytych śródlądowymi wodami płynącymi, jak i na „będącymi własnością Skarbu Państwa nieruchomościach niebędących gruntami pokrytymi śródlądowymi wodami płynącymi” stanowić mają własność Skarbu Państwa. Przepis art. 216 ust. 5 ustawy – Prawo wodne przesądza, że urządzenia wodne lub ich części oraz budowle i ich części stanowią odrębny przedmiot własności od gruntów, na których się znajdują. W ślad za tym rozwiązaniem nowy ust. 6 przypisuje</w:t>
      </w:r>
      <w:r w:rsidR="00AC3DA9" w:rsidRPr="00AC3DA9">
        <w:t xml:space="preserve"> Skarbowi Państwa własność określonych obiektów</w:t>
      </w:r>
      <w:r w:rsidR="00AC3DA9">
        <w:t xml:space="preserve">, </w:t>
      </w:r>
      <w:r w:rsidR="00AC3DA9" w:rsidRPr="00AC3DA9">
        <w:t>które zostały wykonane albo są wykonywane</w:t>
      </w:r>
      <w:r w:rsidR="00AC3DA9">
        <w:t xml:space="preserve"> przez Wody Polskie.</w:t>
      </w:r>
      <w:r w:rsidR="00AC3DA9" w:rsidRPr="00AC3DA9">
        <w:t xml:space="preserve"> </w:t>
      </w:r>
    </w:p>
    <w:p w:rsidR="00AC3DA9" w:rsidRDefault="00E26414" w:rsidP="00E26414">
      <w:pPr>
        <w:pStyle w:val="NIEARTTEKSTtekstnieartykuowanynppodstprawnarozplubpreambua"/>
        <w:ind w:left="364" w:hanging="364"/>
      </w:pPr>
      <w:r>
        <w:t>8.</w:t>
      </w:r>
      <w:r>
        <w:tab/>
      </w:r>
      <w:r w:rsidR="008F58F7">
        <w:t xml:space="preserve">Zmiany art. 240 polegają na wyeliminowaniu </w:t>
      </w:r>
      <w:r w:rsidR="008F58F7">
        <w:rPr>
          <w:rFonts w:hint="eastAsia"/>
        </w:rPr>
        <w:t>wątpliwości</w:t>
      </w:r>
      <w:r w:rsidR="008F58F7">
        <w:t xml:space="preserve"> interpretacyjnych związanych z kompetencjami poszczególnych jednostek organizacyjnych Wód Polskich w zakresie: kontroli gospodarowania wodami, zgód wodnoprawnych, decyzji, o których mowa w art. 343 ust. 2, 3 i 6 ustawy – Prawo wodne, prowadzenia spraw, w których organem wyższego stopnia jest Prezes KZGW</w:t>
      </w:r>
      <w:r w:rsidR="008F58F7" w:rsidRPr="008F58F7">
        <w:t xml:space="preserve"> </w:t>
      </w:r>
      <w:r w:rsidR="008F58F7">
        <w:t>oraz uzgadniania</w:t>
      </w:r>
      <w:r w:rsidR="008F58F7" w:rsidRPr="008F58F7">
        <w:t xml:space="preserve"> list programów priorytetowych Narodoweg</w:t>
      </w:r>
      <w:r>
        <w:t>o Funduszu Ochrony Środowiska i </w:t>
      </w:r>
      <w:r w:rsidR="008F58F7" w:rsidRPr="008F58F7">
        <w:t>Gospodarki Wodnej</w:t>
      </w:r>
      <w:r w:rsidR="008F58F7">
        <w:t>.</w:t>
      </w:r>
    </w:p>
    <w:p w:rsidR="000823A5" w:rsidRDefault="00794C3C" w:rsidP="00E26414">
      <w:pPr>
        <w:pStyle w:val="NIEARTTEKSTtekstnieartykuowanynppodstprawnarozplubpreambua"/>
        <w:ind w:left="364" w:hanging="364"/>
      </w:pPr>
      <w:r>
        <w:t>9</w:t>
      </w:r>
      <w:r w:rsidR="00E26414">
        <w:t>.</w:t>
      </w:r>
      <w:r w:rsidR="00E26414">
        <w:tab/>
      </w:r>
      <w:r w:rsidR="0024218D">
        <w:t>Celem zmiany</w:t>
      </w:r>
      <w:r w:rsidR="00911179">
        <w:t xml:space="preserve"> </w:t>
      </w:r>
      <w:r w:rsidR="00CA5F56">
        <w:t xml:space="preserve">art. 264 i </w:t>
      </w:r>
      <w:r w:rsidR="00B50411">
        <w:t xml:space="preserve">art. </w:t>
      </w:r>
      <w:r w:rsidR="00CA5F56">
        <w:t>265</w:t>
      </w:r>
      <w:r w:rsidR="00060647">
        <w:t xml:space="preserve"> ustawy</w:t>
      </w:r>
      <w:r w:rsidR="00911179">
        <w:t xml:space="preserve"> jest</w:t>
      </w:r>
      <w:r w:rsidR="000823A5">
        <w:t xml:space="preserve"> umożliwienie podmiotom, które mają zawarte umowy z Wodami Polskimi</w:t>
      </w:r>
      <w:r w:rsidR="00B50411">
        <w:t>,</w:t>
      </w:r>
      <w:r w:rsidR="000823A5">
        <w:t xml:space="preserve"> kontynuacji umów bez konieczności </w:t>
      </w:r>
      <w:r w:rsidR="000823A5">
        <w:lastRenderedPageBreak/>
        <w:t>przeprowadzania przetargu. Proponowana zmiana nie wpłynie na obowiązek uzyskania zgody organu nadzorującego odnośnie do planowanego rozporządzenia nieruchomością, jak również nie zaburzy transparentności procedury. Zmiana będzie skutkowała również utrwaleniem wizerunku Wód Polskich jako rzetelnego kontrahenta</w:t>
      </w:r>
      <w:r w:rsidR="00911179">
        <w:t xml:space="preserve"> w dłuższej perspektywie czasu.</w:t>
      </w:r>
    </w:p>
    <w:p w:rsidR="00794C3C" w:rsidRDefault="00E26414" w:rsidP="00E26414">
      <w:pPr>
        <w:pStyle w:val="NIEARTTEKSTtekstnieartykuowanynppodstprawnarozplubpreambua"/>
        <w:ind w:left="364" w:hanging="364"/>
      </w:pPr>
      <w:r>
        <w:t>10.</w:t>
      </w:r>
      <w:r>
        <w:tab/>
      </w:r>
      <w:r w:rsidR="002E10FF">
        <w:t>Celem z</w:t>
      </w:r>
      <w:r w:rsidR="00B50411">
        <w:t>m</w:t>
      </w:r>
      <w:r w:rsidR="00794C3C">
        <w:t>ian</w:t>
      </w:r>
      <w:r w:rsidR="002E10FF">
        <w:t>y</w:t>
      </w:r>
      <w:r w:rsidR="00794C3C">
        <w:t xml:space="preserve"> art. 264 ust. 9 </w:t>
      </w:r>
      <w:r w:rsidR="002E10FF">
        <w:t xml:space="preserve">jest </w:t>
      </w:r>
      <w:r w:rsidR="00794C3C">
        <w:t>rozwiąz</w:t>
      </w:r>
      <w:r w:rsidR="002E10FF">
        <w:t>anie</w:t>
      </w:r>
      <w:r w:rsidR="00794C3C">
        <w:t xml:space="preserve"> problem</w:t>
      </w:r>
      <w:r w:rsidR="002E10FF">
        <w:t>u</w:t>
      </w:r>
      <w:r w:rsidR="00794C3C">
        <w:t>, czy podmiot, jakim są Wody Polskie, realizując swoje uprawnienia wynikające z art. 264 ust. 1 ustawy, działa we własnym imieniu i na swoją rzecz, czy też może</w:t>
      </w:r>
      <w:r w:rsidR="00FB5212">
        <w:t xml:space="preserve"> rozporządza nieruchomościami w </w:t>
      </w:r>
      <w:r w:rsidR="00794C3C">
        <w:t>imieniu i na rzecz Skarbu Państwa. Jest to kwe</w:t>
      </w:r>
      <w:r w:rsidR="00FB5212">
        <w:t>stia, która budzi wątpliwości w </w:t>
      </w:r>
      <w:r w:rsidR="00794C3C">
        <w:t>praktyce szczególnie w kontekście przyjętej przez ustawodawcę konstrukcji prawnej, przewidującej potwierdzanie reprezentacji Skarbu Państwa oraz wykonywania praw właścicielskich Skarbu Państwa przez Wody Polskie w trybie art. 258 ust. 10 ustawy.</w:t>
      </w:r>
    </w:p>
    <w:p w:rsidR="00794C3C" w:rsidRDefault="0060457F" w:rsidP="00FB5212">
      <w:pPr>
        <w:pStyle w:val="NIEARTTEKSTtekstnieartykuowanynppodstprawnarozplubpreambua"/>
        <w:ind w:left="364" w:hanging="364"/>
      </w:pPr>
      <w:r>
        <w:t>11</w:t>
      </w:r>
      <w:r w:rsidR="00FB5212">
        <w:t>.</w:t>
      </w:r>
      <w:r w:rsidR="00FB5212">
        <w:tab/>
      </w:r>
      <w:r w:rsidR="00794C3C" w:rsidRPr="00794C3C">
        <w:t xml:space="preserve">Propozycje zmian </w:t>
      </w:r>
      <w:r w:rsidR="00794C3C">
        <w:t>polegające na dodaniu ust. 4 w art. 269 oraz zmian</w:t>
      </w:r>
      <w:r w:rsidR="002E10FF">
        <w:t>ie</w:t>
      </w:r>
      <w:r w:rsidR="00794C3C">
        <w:t xml:space="preserve"> w </w:t>
      </w:r>
      <w:r w:rsidR="002E10FF">
        <w:t xml:space="preserve">art. </w:t>
      </w:r>
      <w:r w:rsidR="00794C3C">
        <w:t>298 pkt 3</w:t>
      </w:r>
      <w:r w:rsidR="00794C3C" w:rsidRPr="00794C3C">
        <w:t xml:space="preserve"> mają na celu wyłączenie urzędów morskich z ponoszenia opłat za wydobywanie urobku w kontekście ochrony brzegu morskiego oraz utrzymania/pogłębiania toru wodnego. Obowiązek ochrony brzegu morskiego oraz utrzymania/pogłębiania toru wodnego wynika z przepisów prawa i urzędy morskie nie powinny za tego rodzaju działania być obciążane opłatami.</w:t>
      </w:r>
    </w:p>
    <w:p w:rsidR="00794C3C" w:rsidRDefault="0060457F" w:rsidP="00FB5212">
      <w:pPr>
        <w:pStyle w:val="NIEARTTEKSTtekstnieartykuowanynppodstprawnarozplubpreambua"/>
        <w:ind w:left="364" w:hanging="364"/>
      </w:pPr>
      <w:r>
        <w:t>12</w:t>
      </w:r>
      <w:r w:rsidR="00FB5212">
        <w:t>.</w:t>
      </w:r>
      <w:r w:rsidR="00FB5212">
        <w:tab/>
      </w:r>
      <w:r w:rsidR="00794C3C">
        <w:t>Zgodnie z przepisem art. 270 ust. 4 ustawy opłatę za pobór wód do celów elektrowni wodnych ponosi się wyłącznie za ilość energii elektrycznej wyprodukowanej w obiekcie energetyki wodnej z wykorzystaniem wody pobranej zwrotnie, rozumianej jako woda, która została pobrana, wykorzystana, a następnie odprowadzona w tej samej ilości i niepogorszonej jakości, oraz za pobraną bezzwrotnie wodę technologiczną nieprzeznaczoną wprost do produkcji energii elektrycznej. Niedopuszczalne jest więc naliczanie opłaty stałej za usługi wodne dla elektrowni wodnych na podstawie przepisu art. 271 ust. 3 ustawy – Prawo wodne, który jest ogólną podstawą prawną dla ustalenia opłaty stałej za pobór wód powierzchniowych i który nie ma zastosowania dla elektrowni wodnych, ponieważ jest on wyłączony przepisem szczególnym art. 270 ust. 4 ustawy – Prawo wodne.</w:t>
      </w:r>
    </w:p>
    <w:p w:rsidR="00794C3C" w:rsidRPr="00794C3C" w:rsidRDefault="00794C3C" w:rsidP="00FB5212">
      <w:pPr>
        <w:pStyle w:val="ARTartustawynprozporzdzenia"/>
        <w:ind w:left="364" w:firstLine="0"/>
      </w:pPr>
      <w:r>
        <w:t>W związku z powyższym proponuje się zmianę art. 270 ust. 2 w celu wyeliminowania wątpliwości interpretacyjnych w tym zakresie.</w:t>
      </w:r>
    </w:p>
    <w:p w:rsidR="000823A5" w:rsidRDefault="0060457F" w:rsidP="00FB5212">
      <w:pPr>
        <w:pStyle w:val="NIEARTTEKSTtekstnieartykuowanynppodstprawnarozplubpreambua"/>
        <w:ind w:left="364" w:hanging="364"/>
      </w:pPr>
      <w:r>
        <w:lastRenderedPageBreak/>
        <w:t>13</w:t>
      </w:r>
      <w:r w:rsidR="00FB5212">
        <w:t>.</w:t>
      </w:r>
      <w:r w:rsidR="00FB5212">
        <w:tab/>
      </w:r>
      <w:r w:rsidR="00911179">
        <w:t xml:space="preserve">Celem </w:t>
      </w:r>
      <w:r w:rsidR="00060647">
        <w:t>dodania ust. 16a</w:t>
      </w:r>
      <w:r w:rsidR="00794C3C">
        <w:t xml:space="preserve"> i 16b</w:t>
      </w:r>
      <w:r w:rsidR="00060647">
        <w:t xml:space="preserve"> do art. 272 ustawy</w:t>
      </w:r>
      <w:r w:rsidR="000823A5">
        <w:t xml:space="preserve"> jest uzupełnienie regulacji dotyczącej sposobu ustalania zakresu korzystania z usług wodnych przez podmioty obowiązane do ponoszenia opłat za usługi wodne za pobór wód do celów elektrowni wodnych. Proponuje się</w:t>
      </w:r>
      <w:r w:rsidR="00B50411">
        <w:t>,</w:t>
      </w:r>
      <w:r w:rsidR="000823A5">
        <w:t xml:space="preserve"> aby podmiot obowiązany do ponoszenia opłat za usługi wodne za pobór wód do celów elektrowni wodnych przekazywał Wodom Polskim deklaracje kwartalne o ilości energii elektrycznej wyprodukowanej w obiekcie energetyki wodnej</w:t>
      </w:r>
      <w:r w:rsidR="00B50411">
        <w:t>.</w:t>
      </w:r>
      <w:r w:rsidR="000823A5">
        <w:t xml:space="preserve"> Mając na uwadze, że wysokość tej opłaty jest ustalana jako suma iloczynów jednostkowej stawki opłaty i ilości energii elektrycznej wyprodukowanej w obiekcie energetyki wodnej, wyrażonej w MWh, oraz stawki opłaty i ilości wód podziemnych lub wód powierzchniowych pobranych bezzwrotnie na potrzeby technologiczne, wyrażonej w m</w:t>
      </w:r>
      <w:r w:rsidR="000823A5" w:rsidRPr="00794C3C">
        <w:rPr>
          <w:vertAlign w:val="superscript"/>
        </w:rPr>
        <w:t>3</w:t>
      </w:r>
      <w:r w:rsidR="000823A5">
        <w:t>, nieprzeznaczonej wprost do produkcji energii elektrycznej, Wody Polskie dla ustalenia wysokości opłaty muszą dysponować informacją o ilości energii elektrycznej wyprodukowanej w obiekcie energetyki wodnej. Tej informacji nie zapewni planowany system opomiarowania poboru wód. Efektem proponowanej zmiany będzie wprowadzeni</w:t>
      </w:r>
      <w:r w:rsidR="00FD4771">
        <w:t>e</w:t>
      </w:r>
      <w:r w:rsidR="000823A5">
        <w:t xml:space="preserve"> bardziej efektywnego systemu poboru opłat za pobór wód do celów ele</w:t>
      </w:r>
      <w:r w:rsidR="00911179">
        <w:t>ktrowni wodnych.</w:t>
      </w:r>
    </w:p>
    <w:p w:rsidR="00794C3C" w:rsidRPr="00794C3C" w:rsidRDefault="0060457F" w:rsidP="00FB5212">
      <w:pPr>
        <w:pStyle w:val="NIEARTTEKSTtekstnieartykuowanynppodstprawnarozplubpreambua"/>
        <w:ind w:left="364" w:hanging="364"/>
      </w:pPr>
      <w:r>
        <w:t>14</w:t>
      </w:r>
      <w:r w:rsidR="00794C3C">
        <w:t>.</w:t>
      </w:r>
      <w:r w:rsidR="00FB5212">
        <w:tab/>
      </w:r>
      <w:r w:rsidR="0095049D">
        <w:t>Celem wprowadzenia przepisu art. 273a jest usprawnienie procedury rozpoznawania reklamacji, w przypadku gdy podmiot obowiązany do ponoszenia opłat za usługi wodne nie zgadza się z wysokością opłaty ustaloną w przekazanej informacji. Ze względu na fakt, że wniesienie reklamacji może skutkować ustaleniem przez Wody Polskie, w drodze decyzji, wysokości opłaty za usługi wodne, z punktu widzenia ekonomiki procesowej zasadne wydaje się wyłączenie stosowania wskazanych przepisów ustawy – Kodeks postępowania administracyjnego. Należy podkreślić, że podmiot obowiązany do ponoszenia opłat za usługi ma możliwość przedstawienia w treści reklamacji kompleksowej argumentacji dlaczego nie zgadza się z ustaloną w informacji wysokością opłaty. Tym samym wyłą</w:t>
      </w:r>
      <w:r w:rsidR="00FB5212">
        <w:t>czenie stosowania przepisu art. </w:t>
      </w:r>
      <w:r w:rsidR="0095049D">
        <w:t xml:space="preserve">10 § 1 oraz art. 61 § 4 ustawy – Kodeks postępowania administracyjnego nie będzie skutkowało narażeniem strony na ograniczenie prawa do aktywnego udziału w ewentualnym postępowaniu administracyjnym, albowiem z tego prawa korzysta już na etapie składania reklamacji. Jednocześnie w przypadku prowadzenia postępowania administracyjnego katalog stron jest ograniczony wyłącznie do podmiotu obowiązanego do ponoszenia opłat za usługi wodne, któremu przekazana </w:t>
      </w:r>
      <w:r w:rsidR="0095049D">
        <w:lastRenderedPageBreak/>
        <w:t>została informacja o wysokości opłaty, zawierająca również sposób jej obliczenia. Właściwe stosowanie przepisów ustawy powoduje, że</w:t>
      </w:r>
      <w:r w:rsidR="00E26414">
        <w:t xml:space="preserve"> </w:t>
      </w:r>
      <w:r w:rsidR="0095049D">
        <w:t>każdy podmiot obowiązany do ponoszenia opłat za usługi wodne ma pełną informację o praktyce stosowania przepisów ustawy przez właściwą jednostkę organizacyjną Wód Polskich na potrzeby ustalania opłat za usługi wodne.</w:t>
      </w:r>
      <w:r w:rsidR="00E26414">
        <w:t xml:space="preserve"> </w:t>
      </w:r>
      <w:r w:rsidR="0095049D">
        <w:t>Jednocześnie wyłączenie stosowania przepisów art. 10 § 1 oraz art. 61 § 4 ustawy – Kodeks postępowania administracyjnego nie będzie skutkowało brakiem możliwości przeprowadzenia postępowania wyjaśniającego w związku z wniesieniem reklamacji. Nadmienić również należy, że przepisy ustawy zapewniają sądową kontrolę decyzji wydawanych przez jednostki organizacyjne Wód Polskich właściwe w sprawach ustalania opłat za usługi wodne. Niezbędne wydaje się zatem wprowadzenie przepisu w proponowanym brzmieniu, który nie tylko usprawni proces rozpoznawania reklamacji, lecz również pozwoli na dotrzymanie ustanowionego w</w:t>
      </w:r>
      <w:r w:rsidR="00FB5212">
        <w:t> </w:t>
      </w:r>
      <w:r w:rsidR="0095049D">
        <w:t>przepisach ustawy 14-dniowego terminu na jej rozpatrzenie.</w:t>
      </w:r>
    </w:p>
    <w:p w:rsidR="007D45DD" w:rsidRDefault="0060457F" w:rsidP="00FB5212">
      <w:pPr>
        <w:pStyle w:val="NIEARTTEKSTtekstnieartykuowanynppodstprawnarozplubpreambua"/>
        <w:ind w:left="364" w:hanging="364"/>
      </w:pPr>
      <w:r>
        <w:t>15</w:t>
      </w:r>
      <w:r w:rsidR="00FB5212">
        <w:t>.</w:t>
      </w:r>
      <w:r w:rsidR="00FB5212">
        <w:tab/>
      </w:r>
      <w:r w:rsidR="007D45DD">
        <w:t xml:space="preserve">Celem </w:t>
      </w:r>
      <w:r w:rsidR="00060647">
        <w:t>dodania ust. 1a w art. 278 ustawy</w:t>
      </w:r>
      <w:r w:rsidR="007D45DD">
        <w:t xml:space="preserve"> </w:t>
      </w:r>
      <w:r w:rsidR="00B50411">
        <w:t xml:space="preserve">jest </w:t>
      </w:r>
      <w:r w:rsidR="007D45DD">
        <w:t>w</w:t>
      </w:r>
      <w:r w:rsidR="007D45DD" w:rsidRPr="007D45DD">
        <w:t>prowadzenie nowej jednostki redakcyjnej do ustawy – Prawo wodne</w:t>
      </w:r>
      <w:r w:rsidR="002E10FF">
        <w:t>, m</w:t>
      </w:r>
      <w:r w:rsidR="007D45DD" w:rsidRPr="007D45DD">
        <w:t>a</w:t>
      </w:r>
      <w:r w:rsidR="002E10FF">
        <w:t xml:space="preserve">jącej </w:t>
      </w:r>
      <w:r w:rsidR="007D45DD" w:rsidRPr="007D45DD">
        <w:t>na celu usunięcie wątpliwości interpretacyjnych, które powstały w związku z aktualnym brzmieniem przepisu art. 278 ust. 1 oraz zastosowanym w nim wewnątrzustawowym odesłaniem do art. 272 ust. 6. Na gruncie obowiązujących przepisów wątpliwości bu</w:t>
      </w:r>
      <w:r w:rsidR="00FB5212">
        <w:t>dzi sposób obliczania opłaty, o </w:t>
      </w:r>
      <w:r w:rsidR="007D45DD" w:rsidRPr="007D45DD">
        <w:t>której mowa w art. 275 ust. 4, albowiem ogólna zasada obliczania wysokości opłaty za odprowadzanie ścieków do wód lub do zie</w:t>
      </w:r>
      <w:r w:rsidR="00FB5212">
        <w:t>mi została wyrażona w ww. art. </w:t>
      </w:r>
      <w:r w:rsidR="007D45DD" w:rsidRPr="007D45DD">
        <w:t>278 ust. 1. Przywołana zasada określa sposób obliczania opłaty za wprowadzenie ścieków do wód lub do ziemi, a wyso</w:t>
      </w:r>
      <w:r w:rsidR="00FB5212">
        <w:t>kość opłaty zależy od jednego z </w:t>
      </w:r>
      <w:r w:rsidR="007D45DD" w:rsidRPr="007D45DD">
        <w:t xml:space="preserve">czterech wskaźników, przy czym na potrzeby określenia wysokości opłaty uwzględnia się wskaźnik, który powoduje opłatę najwyższą. Analogicznej regulacji brak w przypadku opłaty za usługi wodne za wprowadzanie do wód lub do ziemi ścieków z chowu lub hodowli ryb w obiektach przepływowych, charakteryzujących się poborem zwrotnym, gdzie katalog wskaźników jest zawężony w stosunku do przepisu art. 272 ust. 6 ustawy </w:t>
      </w:r>
      <w:r w:rsidR="00690101">
        <w:t>–</w:t>
      </w:r>
      <w:r w:rsidR="007D45DD" w:rsidRPr="007D45DD">
        <w:t xml:space="preserve"> Prawo wodne. Niezbędne jest zatem dodanie nowego przepisu, który pozwoli w sposób zgodny z zasadą ogólną określić wysokość opłaty za usługi wodne za wprowadzani</w:t>
      </w:r>
      <w:r w:rsidR="00FB5212">
        <w:t>e do wód lub do ziemi ścieków z </w:t>
      </w:r>
      <w:r w:rsidR="007D45DD" w:rsidRPr="007D45DD">
        <w:t>chowu lub hodowli ryb w obiektach przepływowych, charakteryzujących się poborem zwrotnym</w:t>
      </w:r>
      <w:r w:rsidR="00A019F4">
        <w:t>.</w:t>
      </w:r>
    </w:p>
    <w:p w:rsidR="0095049D" w:rsidRDefault="0060457F" w:rsidP="00FB5212">
      <w:pPr>
        <w:pStyle w:val="NIEARTTEKSTtekstnieartykuowanynppodstprawnarozplubpreambua"/>
        <w:ind w:left="364" w:hanging="364"/>
      </w:pPr>
      <w:r>
        <w:lastRenderedPageBreak/>
        <w:t>16</w:t>
      </w:r>
      <w:r w:rsidR="00FB5212">
        <w:t>.</w:t>
      </w:r>
      <w:r w:rsidR="00FB5212">
        <w:tab/>
      </w:r>
      <w:r w:rsidR="0095049D" w:rsidRPr="0095049D">
        <w:t xml:space="preserve">Celem dodania art. 279a do ustawy jest ustalenie minimalnego progu, od którego pobiera się opłatę za usługi wodne. Proponuje się przyjąć zasadę, że opłaty za usługi wodne nie będzie się wnosić, jeżeli jej wysokość ustalona przez Wody Polskie albo wójta, burmistrza lub prezydenta miasta nie przekroczy 20 zł. W takich przypadkach nie będzie obowiązku wysyłania do podmiotów informacji o wysokości opłaty. Kwotę 20 zł przyjęto jako próg opłacalności wysyłania korespondencji w sprawie informacji o wysokości opłaty. Wprowadzenie minimalnego progu wysokości opłaty za usługi wodne podyktowane jest względami ekonomicznymi, gdyż wysokość opłaty stałej za usługi wodne oblicza się wyłącznie na podstawie wydanych pozwoleń wodnoprawnych </w:t>
      </w:r>
      <w:r w:rsidR="00FB5212">
        <w:t>oraz pozwoleń zintegrowanych. W </w:t>
      </w:r>
      <w:r w:rsidR="0095049D" w:rsidRPr="0095049D">
        <w:t>przypadkach, w których wydane pozwolenia wodnoprawne uprawniają do poboru wód podziemnych w ilości maksymalnie 0,4</w:t>
      </w:r>
      <w:r w:rsidR="00B50411">
        <w:t xml:space="preserve"> </w:t>
      </w:r>
      <w:r w:rsidR="0095049D" w:rsidRPr="0095049D">
        <w:t>m</w:t>
      </w:r>
      <w:r w:rsidR="0095049D" w:rsidRPr="0095049D">
        <w:rPr>
          <w:vertAlign w:val="superscript"/>
        </w:rPr>
        <w:t>3</w:t>
      </w:r>
      <w:r w:rsidR="0095049D" w:rsidRPr="0095049D">
        <w:t>/godzinę – a zatem poniżej maksymalnie 10</w:t>
      </w:r>
      <w:r w:rsidR="00B50411">
        <w:t xml:space="preserve"> </w:t>
      </w:r>
      <w:r w:rsidR="0095049D" w:rsidRPr="0095049D">
        <w:t>m</w:t>
      </w:r>
      <w:r w:rsidR="0095049D" w:rsidRPr="0095049D">
        <w:rPr>
          <w:vertAlign w:val="superscript"/>
        </w:rPr>
        <w:t>3</w:t>
      </w:r>
      <w:r w:rsidR="0095049D" w:rsidRPr="0095049D">
        <w:t>/dobę, jak również wód powierzchniowych w ilości nieprzekraczającej 0,8</w:t>
      </w:r>
      <w:r w:rsidR="00B50411">
        <w:t xml:space="preserve"> </w:t>
      </w:r>
      <w:r w:rsidR="0095049D" w:rsidRPr="0095049D">
        <w:t>m</w:t>
      </w:r>
      <w:r w:rsidR="0095049D" w:rsidRPr="0095049D">
        <w:rPr>
          <w:vertAlign w:val="superscript"/>
        </w:rPr>
        <w:t>3</w:t>
      </w:r>
      <w:r w:rsidR="0095049D" w:rsidRPr="0095049D">
        <w:t>/godzinę – a zatem poniżej 20</w:t>
      </w:r>
      <w:r w:rsidR="00B50411">
        <w:t xml:space="preserve"> </w:t>
      </w:r>
      <w:r w:rsidR="0095049D" w:rsidRPr="0095049D">
        <w:t>m</w:t>
      </w:r>
      <w:r w:rsidR="0095049D" w:rsidRPr="0095049D">
        <w:rPr>
          <w:vertAlign w:val="superscript"/>
        </w:rPr>
        <w:t>3</w:t>
      </w:r>
      <w:r w:rsidR="0095049D" w:rsidRPr="0095049D">
        <w:t>/dobę, wysokość opłaty za usługi wodne będzie wynosiła około 20 zł. Koszt wysłania informacj</w:t>
      </w:r>
      <w:r w:rsidR="002E10FF">
        <w:t>i</w:t>
      </w:r>
      <w:r w:rsidR="0095049D" w:rsidRPr="0095049D">
        <w:t xml:space="preserve"> za zwrotnym potwierdzeniem odbioru, koszty wytworzenia i przygotowania informacji oraz wydania decyzji wskutek wniesienia reklamacji, która także jest doręczana za zwrotnym potwierdzeniem odbioru</w:t>
      </w:r>
      <w:r w:rsidR="00B50411">
        <w:t>,</w:t>
      </w:r>
      <w:r w:rsidR="0095049D" w:rsidRPr="0095049D">
        <w:t xml:space="preserve"> przekroczą koszty realnych przychodów z tytułu usług wodnych. Proponowana regulacja stanowi </w:t>
      </w:r>
      <w:r w:rsidR="0095049D" w:rsidRPr="00B50411">
        <w:rPr>
          <w:i/>
        </w:rPr>
        <w:t>mutatis mutandis</w:t>
      </w:r>
      <w:r w:rsidR="0095049D" w:rsidRPr="0095049D">
        <w:t xml:space="preserve"> instytucji umorzenia zaległości podatkowej, gdy zachodzi u</w:t>
      </w:r>
      <w:r w:rsidR="00FB5212">
        <w:t>zasadnione przypuszczenie, że w </w:t>
      </w:r>
      <w:r w:rsidR="0095049D" w:rsidRPr="0095049D">
        <w:t>postępowaniu egzekucyjnym nie uzyska się kwoty przewyższającej wydatki egzekucyjne, która to instytucja jest wyrażon</w:t>
      </w:r>
      <w:r w:rsidR="00B50411">
        <w:t>a</w:t>
      </w:r>
      <w:r w:rsidR="0095049D" w:rsidRPr="0095049D">
        <w:t xml:space="preserve"> w przepisach ustawy – Ordynacja podatkowa. Na gruncie ustawy – Prawo wodne w powyższych przypadkach zachodzi uzasadnione przypuszczenie, że koszty sporządzenia informacji będą przewyższać wpływy z tytułu opłaty stałej za usługi wodne.</w:t>
      </w:r>
    </w:p>
    <w:p w:rsidR="00A019F4" w:rsidRDefault="0060457F" w:rsidP="00FB5212">
      <w:pPr>
        <w:pStyle w:val="NIEARTTEKSTtekstnieartykuowanynppodstprawnarozplubpreambua"/>
        <w:ind w:left="364" w:hanging="364"/>
      </w:pPr>
      <w:r>
        <w:t>17</w:t>
      </w:r>
      <w:r w:rsidR="00FB5212">
        <w:t>.</w:t>
      </w:r>
      <w:r w:rsidR="00FB5212">
        <w:tab/>
      </w:r>
      <w:r w:rsidR="00A019F4">
        <w:t>Modyfik</w:t>
      </w:r>
      <w:r w:rsidR="00B50411">
        <w:t>acja przepisu art. 288 pkt 3 ma</w:t>
      </w:r>
      <w:r w:rsidR="00A019F4">
        <w:t xml:space="preserve"> na celu optymalizację systemu naliczania opłat za usługi wodne w odniesieniu do elektrowni i elektrociepłowni z otwartymi obiegami chłodzenia, przy jednoczesnym dostosowaniu do realiów dokonywania pomiarów poboru wód i wprowadzania wód chłodniczych w ww. podmiotach. </w:t>
      </w:r>
    </w:p>
    <w:p w:rsidR="00A019F4" w:rsidRDefault="00A019F4" w:rsidP="00FB5212">
      <w:pPr>
        <w:pStyle w:val="ARTartustawynprozporzdzenia"/>
        <w:ind w:left="364" w:firstLine="0"/>
      </w:pPr>
      <w:r>
        <w:t>W przypadku wód pobranych do celów zapewnienia funkcjonowania systemów chłodzenia elektrowni i elektrociepłowni (nowy art. 552 ust. 2</w:t>
      </w:r>
      <w:r w:rsidR="002E10FF">
        <w:t>f</w:t>
      </w:r>
      <w:r>
        <w:t xml:space="preserve"> ustawy </w:t>
      </w:r>
      <w:r w:rsidR="00690101">
        <w:t>–</w:t>
      </w:r>
      <w:r>
        <w:t xml:space="preserve"> Prawo wodne) konieczne będzie </w:t>
      </w:r>
      <w:r w:rsidR="00690101">
        <w:t>–</w:t>
      </w:r>
      <w:r>
        <w:t xml:space="preserve"> zgodnie z nowymi regulacjami </w:t>
      </w:r>
      <w:r w:rsidR="00690101">
        <w:t>–</w:t>
      </w:r>
      <w:r>
        <w:t xml:space="preserve"> podanie w ww. oświadczeniu wolumenu bezzwrotnie pobranych wód, wyrażonego w </w:t>
      </w:r>
      <w:r w:rsidR="002E10FF">
        <w:t>da</w:t>
      </w:r>
      <w:r>
        <w:t>m</w:t>
      </w:r>
      <w:r w:rsidRPr="004F33BA">
        <w:rPr>
          <w:vertAlign w:val="superscript"/>
        </w:rPr>
        <w:t>3</w:t>
      </w:r>
      <w:r>
        <w:t xml:space="preserve">. </w:t>
      </w:r>
      <w:r>
        <w:lastRenderedPageBreak/>
        <w:t>Przekazanie danych z dokładnością do m</w:t>
      </w:r>
      <w:r w:rsidRPr="004F33BA">
        <w:rPr>
          <w:vertAlign w:val="superscript"/>
        </w:rPr>
        <w:t>3</w:t>
      </w:r>
      <w:r>
        <w:t xml:space="preserve"> jest niezmiernie trudne do zrealizowania w przypadku jednostek wytwórczych energii elektrycznej i ciepła z otwartymi obiegami chłodzenia ze względu na specyfikę techniczną ww. systemów (obecnie elektrownie i elektrociepłownie z otwartymi obiegami chłodzenia nie dysponują przyrządami lub systemami pomiarowymi, które podlegałyby prawnej kontroli metrologicznej i umożliwiałyby pomiar ilo</w:t>
      </w:r>
      <w:r w:rsidR="00FB5212">
        <w:t>ści bezzwrotnie pobranych wód z </w:t>
      </w:r>
      <w:r>
        <w:t>dokładnością do m</w:t>
      </w:r>
      <w:r w:rsidRPr="00A019F4">
        <w:rPr>
          <w:vertAlign w:val="superscript"/>
        </w:rPr>
        <w:t>3</w:t>
      </w:r>
      <w:r>
        <w:t>).</w:t>
      </w:r>
    </w:p>
    <w:p w:rsidR="00A019F4" w:rsidRDefault="0060457F" w:rsidP="00FB5212">
      <w:pPr>
        <w:pStyle w:val="NIEARTTEKSTtekstnieartykuowanynppodstprawnarozplubpreambua"/>
        <w:ind w:left="364" w:hanging="364"/>
      </w:pPr>
      <w:r>
        <w:t>18</w:t>
      </w:r>
      <w:r w:rsidR="00FB5212">
        <w:t>.</w:t>
      </w:r>
      <w:r w:rsidR="00FB5212">
        <w:tab/>
      </w:r>
      <w:r w:rsidR="00A019F4">
        <w:t>Proponuj</w:t>
      </w:r>
      <w:r w:rsidR="00B50411">
        <w:t>e</w:t>
      </w:r>
      <w:r w:rsidR="00A019F4">
        <w:t xml:space="preserve"> się zmianę art. 289 ustawy </w:t>
      </w:r>
      <w:r w:rsidR="00690101">
        <w:t>–</w:t>
      </w:r>
      <w:r w:rsidR="00A019F4">
        <w:t xml:space="preserve"> Prawo wodne, poprzez nadanie mu następującego brzmienia: „</w:t>
      </w:r>
      <w:r w:rsidR="0095049D" w:rsidRPr="0095049D">
        <w:t>W przypadkach, o któr</w:t>
      </w:r>
      <w:r w:rsidR="00FB5212">
        <w:t>ych mowa w art. 286, art. 287 i </w:t>
      </w:r>
      <w:r w:rsidR="0095049D" w:rsidRPr="0095049D">
        <w:t>art. 290, właściwy organ Inspekcji Ochrony Środowiska wymierza opłatę podwyższoną, o której mowa w art. 280 pkt 2 lit. b,</w:t>
      </w:r>
      <w:r w:rsidR="00FB5212">
        <w:t xml:space="preserve"> za przekroczenie stwierdzone w </w:t>
      </w:r>
      <w:r w:rsidR="0095049D" w:rsidRPr="0095049D">
        <w:t>roku kalendarzowym</w:t>
      </w:r>
      <w:r w:rsidR="00A019F4">
        <w:t>”.</w:t>
      </w:r>
    </w:p>
    <w:p w:rsidR="00A019F4" w:rsidRDefault="00A019F4" w:rsidP="00FB5212">
      <w:pPr>
        <w:pStyle w:val="ARTartustawynprozporzdzenia"/>
        <w:ind w:left="364" w:firstLine="0"/>
      </w:pPr>
      <w:r>
        <w:t xml:space="preserve">Aktualne brzmienie art. 289 </w:t>
      </w:r>
      <w:r w:rsidR="002E10FF">
        <w:t>stanowi</w:t>
      </w:r>
      <w:r>
        <w:t>, że w przypadkach określonych w art. 286 wymierza się opłatę podwyższoną za przekroczenie stwierdzone w roku kalendarzowym. Natomiast brak jest takiego określenia dla przypadków określonych w art. 287 oraz 290. W związku z tym, że we wszystkich tych przypadkach, określonych w art. 286, art. 287 oraz art. 290, wymierza się opłatę podwyższoną za przekroczenie stwierdzone w ro</w:t>
      </w:r>
      <w:r w:rsidR="00FB5212">
        <w:t>ku kalendarzowym, należy w art. </w:t>
      </w:r>
      <w:r>
        <w:t>289 dodać również art. 287 i art. 290.</w:t>
      </w:r>
    </w:p>
    <w:p w:rsidR="00980769" w:rsidRDefault="00A019F4" w:rsidP="00FB5212">
      <w:pPr>
        <w:pStyle w:val="ARTartustawynprozporzdzenia"/>
        <w:ind w:left="364" w:firstLine="0"/>
      </w:pPr>
      <w:r>
        <w:t>Brak takiego doprecyzowania rodzi wątpliwości co do okresu, za jaki ma być wymierzona opłata podwyższona, przy decyzjach ustalających wysokość opłat podwyższonych w sytuacjach określonych w art. 287 oraz w art. 290.</w:t>
      </w:r>
    </w:p>
    <w:p w:rsidR="0095049D" w:rsidRDefault="0060457F" w:rsidP="00FB5212">
      <w:pPr>
        <w:pStyle w:val="NIEARTTEKSTtekstnieartykuowanynppodstprawnarozplubpreambua"/>
        <w:ind w:left="364" w:hanging="364"/>
      </w:pPr>
      <w:r>
        <w:t>19</w:t>
      </w:r>
      <w:r w:rsidR="00FB5212">
        <w:t>.</w:t>
      </w:r>
      <w:r w:rsidR="00FB5212">
        <w:tab/>
      </w:r>
      <w:r w:rsidR="0095049D">
        <w:t>P</w:t>
      </w:r>
      <w:r w:rsidR="00332D55">
        <w:t>roponuje się</w:t>
      </w:r>
      <w:r w:rsidR="00A019F4">
        <w:t xml:space="preserve"> nadanie art. 303 ust. 2 ww. ustawy następującego brzmienia: „2.</w:t>
      </w:r>
      <w:r w:rsidR="00690101">
        <w:t> </w:t>
      </w:r>
      <w:r w:rsidR="00A019F4">
        <w:t xml:space="preserve">Podmioty korzystające z usług wodnych, wprowadzające ścieki do wód lub do ziemi, zapewniają pobieranie próbek przez akredytowane laboratoria, o których mowa w przepisach ustawy z dnia 30 sierpnia 2002 r. o systemie oceny zgodności, oraz dokonują badania jakości ścieków </w:t>
      </w:r>
      <w:r w:rsidR="00332D55">
        <w:t xml:space="preserve">w tych laboratoriach.”. </w:t>
      </w:r>
    </w:p>
    <w:p w:rsidR="00A019F4" w:rsidRDefault="00A019F4" w:rsidP="00FB5212">
      <w:pPr>
        <w:pStyle w:val="ARTartustawynprozporzdzenia"/>
        <w:ind w:left="364" w:firstLine="0"/>
      </w:pPr>
      <w:r>
        <w:t>Konstrukcja art. 286 wskazuje, że przekroczenie warunków pozwolenia wodnoprawnego lub zintegrowanego w zakresie jakości ścieków można stwierdzić tylko, jeżeli podmiot prowadzi pomiary ilości, stanu i składu ścieków (...) oraz jeżeli prowadzi je w laboratorium akredytowanym.</w:t>
      </w:r>
      <w:r w:rsidR="00FB5212">
        <w:t xml:space="preserve"> Natomiast obowiązek pomiarów w </w:t>
      </w:r>
      <w:r>
        <w:t xml:space="preserve">laboratoriach akredytowanych mają tylko podmioty wymienione w art. 303 ust. 2, </w:t>
      </w:r>
      <w:r>
        <w:lastRenderedPageBreak/>
        <w:t>tj. wprowadzające ścieki w ilości powyżej 0,01 m</w:t>
      </w:r>
      <w:r w:rsidRPr="00BE4B42">
        <w:rPr>
          <w:vertAlign w:val="superscript"/>
        </w:rPr>
        <w:t>3</w:t>
      </w:r>
      <w:r>
        <w:t>/s. Oznacza to, że w przypadku podmiotów, które nie muszą prowadzić pomiarów w laboratoriach akredytowanych (poniżej 0,01 m</w:t>
      </w:r>
      <w:r w:rsidRPr="00BE4B42">
        <w:rPr>
          <w:vertAlign w:val="superscript"/>
        </w:rPr>
        <w:t>3</w:t>
      </w:r>
      <w:r>
        <w:t xml:space="preserve">/s), nie można stwierdzić przekroczenia na podstawie art. 286 ani na podstawie żadnego innego przepisu. </w:t>
      </w:r>
    </w:p>
    <w:p w:rsidR="00333BC8" w:rsidRDefault="0060457F" w:rsidP="00FB5212">
      <w:pPr>
        <w:pStyle w:val="NIEARTTEKSTtekstnieartykuowanynppodstprawnarozplubpreambua"/>
        <w:ind w:left="364" w:hanging="364"/>
      </w:pPr>
      <w:r>
        <w:t>20</w:t>
      </w:r>
      <w:r w:rsidR="00FB5212">
        <w:t>.</w:t>
      </w:r>
      <w:r w:rsidR="00FB5212">
        <w:tab/>
      </w:r>
      <w:r w:rsidR="00333BC8">
        <w:t xml:space="preserve">Na podstawie art. 149 ust. 2 ustawy </w:t>
      </w:r>
      <w:r w:rsidR="00690101">
        <w:t>–</w:t>
      </w:r>
      <w:r w:rsidR="00333BC8">
        <w:t xml:space="preserve"> Prawo ochrony środowiska, wydane jest rozporządzenie, które określa niezmieniony i aktualnie obowiązujący wzór prezentacji wyników pomiarów ilości pobieranej wody oraz ilości i jakości ścieków wprowadzanych do wód lub do ziemi. Przepis art. 304 ustawy </w:t>
      </w:r>
      <w:r w:rsidR="00690101">
        <w:t>–</w:t>
      </w:r>
      <w:r w:rsidR="00333BC8">
        <w:t xml:space="preserve"> Prawo wodne nie określa natomiast formy i układu przekazywanych danych, co powoduje, że nie wiadomo, w jakiej postaci te dane mają być przedkładane do organów w nim wymienionych.</w:t>
      </w:r>
      <w:r w:rsidR="00014A43">
        <w:t xml:space="preserve"> </w:t>
      </w:r>
      <w:r w:rsidR="00333BC8">
        <w:t>W związku z tym, że w dwóch różnych ustawach zawarte są obowiązujące przepisy dotyczące tego samego obowi</w:t>
      </w:r>
      <w:r w:rsidR="00FB5212">
        <w:t>ązku (ilości wody oraz ilości i </w:t>
      </w:r>
      <w:r w:rsidR="00333BC8">
        <w:t xml:space="preserve">jakości ścieków), proponuje się dodanie w art. 304 ustawy </w:t>
      </w:r>
      <w:r w:rsidR="00690101">
        <w:t>–</w:t>
      </w:r>
      <w:r w:rsidR="00333BC8">
        <w:t xml:space="preserve"> Prawo wodne upoważnienia do wydania aktu wykonawczego, który będzie określał formę i układ, w jakim mają być przekazywane wyniki pomiarów, o których mowa w tym przepisie.</w:t>
      </w:r>
      <w:r w:rsidR="00014A43">
        <w:t xml:space="preserve"> W związku ze zmianą art. 304 zmieniono przepis karny art. 477 pkt 12 ustawy.</w:t>
      </w:r>
    </w:p>
    <w:p w:rsidR="00333BC8" w:rsidRDefault="0060457F" w:rsidP="00FB5212">
      <w:pPr>
        <w:pStyle w:val="NIEARTTEKSTtekstnieartykuowanynppodstprawnarozplubpreambua"/>
        <w:ind w:left="364" w:hanging="364"/>
      </w:pPr>
      <w:r>
        <w:t>21</w:t>
      </w:r>
      <w:r w:rsidR="00FB5212">
        <w:t>.</w:t>
      </w:r>
      <w:r w:rsidR="00FB5212">
        <w:tab/>
      </w:r>
      <w:r w:rsidR="00333BC8">
        <w:t xml:space="preserve">W związku z faktem, że wojewodowie sprawują nadzór nad związkami spółek wodnych, proponuje się dostosowanie art. </w:t>
      </w:r>
      <w:r w:rsidR="00333BC8" w:rsidRPr="00333BC8">
        <w:t>331 w ust. 1 pkt 11</w:t>
      </w:r>
      <w:r w:rsidR="00333BC8">
        <w:t xml:space="preserve"> ustawy poprzez wskazanie, że to wojewodowie są ź</w:t>
      </w:r>
      <w:r w:rsidR="00333BC8" w:rsidRPr="00333BC8">
        <w:t>ródłami danych dla systemu informacyjnego gospodarowania wodami</w:t>
      </w:r>
      <w:r w:rsidR="00333BC8">
        <w:t>.</w:t>
      </w:r>
    </w:p>
    <w:p w:rsidR="00A019F4" w:rsidRDefault="0060457F" w:rsidP="00FB5212">
      <w:pPr>
        <w:pStyle w:val="NIEARTTEKSTtekstnieartykuowanynppodstprawnarozplubpreambua"/>
        <w:ind w:left="364" w:hanging="364"/>
      </w:pPr>
      <w:r>
        <w:t>22</w:t>
      </w:r>
      <w:r w:rsidR="00FB5212">
        <w:t>.</w:t>
      </w:r>
      <w:r w:rsidR="00FB5212">
        <w:tab/>
      </w:r>
      <w:r w:rsidR="0063447C">
        <w:t>Proponuje się dokonanie</w:t>
      </w:r>
      <w:r w:rsidR="00A019F4">
        <w:t xml:space="preserve"> zmiany brzmienia art. 335 ust. 5 ustawy </w:t>
      </w:r>
      <w:r w:rsidR="00690101">
        <w:t>–</w:t>
      </w:r>
      <w:r w:rsidR="00A019F4">
        <w:t xml:space="preserve"> Prawo wodne. Jego wykładnia w związku z art. 334 pkt 2 i 3 ustawy </w:t>
      </w:r>
      <w:r w:rsidR="00690101">
        <w:t>–</w:t>
      </w:r>
      <w:r w:rsidR="00A019F4">
        <w:t xml:space="preserve"> Prawo wodne rodzi bowiem wątpliwości w zakresie kontroli dotyczącej ochrony wód przed zanieczyszczeniami pochodzącymi ze źródeł rolniczych, określonej w art. 108</w:t>
      </w:r>
      <w:r w:rsidR="0063447C">
        <w:t xml:space="preserve"> ustawy</w:t>
      </w:r>
      <w:r w:rsidR="00FB5212">
        <w:t>. Z art. 334 pkt 2 i </w:t>
      </w:r>
      <w:r w:rsidR="00A019F4">
        <w:t>3</w:t>
      </w:r>
      <w:r w:rsidR="0063447C">
        <w:t xml:space="preserve"> ustawy</w:t>
      </w:r>
      <w:r w:rsidR="00A019F4">
        <w:t xml:space="preserve"> można wywieść, że IOŚ kontroluje tylko podmioty posiadające pozwolenia wodnoprawne i zintegrowane, co może oznaczać, że realizacja zadań określonych w art. 108</w:t>
      </w:r>
      <w:r w:rsidR="0063447C">
        <w:t xml:space="preserve"> ustawy</w:t>
      </w:r>
      <w:r w:rsidR="00A019F4">
        <w:t xml:space="preserve"> dotyczy również tylko takich podmiotów. Skoro IOŚ realizuje kontrole wymienione w 108</w:t>
      </w:r>
      <w:r w:rsidR="0063447C">
        <w:t xml:space="preserve"> ustawy</w:t>
      </w:r>
      <w:r w:rsidR="00A019F4">
        <w:t xml:space="preserve"> tylko wobec podmiotów posiadających pozwolenia wodnoprawne lub zintegrowane, to istnieje wątpliwość, kto kontroluje pozostałe podmioty, o których mowa w art. 102</w:t>
      </w:r>
      <w:r w:rsidR="0063447C">
        <w:t xml:space="preserve"> ustawy</w:t>
      </w:r>
      <w:r w:rsidR="00A019F4">
        <w:t>.</w:t>
      </w:r>
    </w:p>
    <w:p w:rsidR="00A019F4" w:rsidRDefault="0060457F" w:rsidP="00FB5212">
      <w:pPr>
        <w:pStyle w:val="NIEARTTEKSTtekstnieartykuowanynppodstprawnarozplubpreambua"/>
        <w:ind w:left="364" w:hanging="364"/>
      </w:pPr>
      <w:r>
        <w:lastRenderedPageBreak/>
        <w:t>23</w:t>
      </w:r>
      <w:r w:rsidR="00FB5212">
        <w:t>.</w:t>
      </w:r>
      <w:r w:rsidR="00FB5212">
        <w:tab/>
      </w:r>
      <w:r w:rsidR="0063447C">
        <w:t>Proponuje się</w:t>
      </w:r>
      <w:r w:rsidR="00A019F4">
        <w:t xml:space="preserve"> wprowadzenie do projektu ustawy regulacji uchylającej art. 388 ust. 2 pkt 5 i 9 ustawy </w:t>
      </w:r>
      <w:r w:rsidR="00690101">
        <w:t>–</w:t>
      </w:r>
      <w:r w:rsidR="00A019F4">
        <w:t xml:space="preserve"> Prawo wodne. Nie znajduje uzasadnienia wymienienie w art. 388 ust. 2 pkt 5 decyzji o zezwoleniu na prowadzenie obiektu unieszkodliwiania odpadów wydobywczych wydawanej na podstawie przepisów ustawy </w:t>
      </w:r>
      <w:r w:rsidR="00B50411">
        <w:t>o</w:t>
      </w:r>
      <w:r w:rsidR="00A019F4">
        <w:t xml:space="preserve"> odpadach wydobywczych. Zauważyć bowiem należy, że obiekt unieszkodliwiania odpadów wydobywczych, to w istocie swoiste składowisko odpadów wydobywczych, a więc odpadów innych niż niebezpieczne lub obojętne, które pochodzą z wydobycia, poszukiwania i przetwarzania kopalin (obiektów unieszkodliwiania odpadów niebezpiecznych brak w RP). Wyróżnienie tego typu obiektu w sytuacji, gdy inne składowiska odpadów</w:t>
      </w:r>
      <w:r w:rsidR="002E10FF">
        <w:t xml:space="preserve"> </w:t>
      </w:r>
      <w:r w:rsidR="00FB5212">
        <w:t>będą uzyskiwać w</w:t>
      </w:r>
      <w:r w:rsidR="00A019F4">
        <w:t>w</w:t>
      </w:r>
      <w:r w:rsidR="00FB5212">
        <w:t>.</w:t>
      </w:r>
      <w:r w:rsidR="00A019F4">
        <w:t xml:space="preserve"> pozwolenie wodnoprawne (lub zgłoszenie wodnoprawne) na zasadach ogólnych, nie znajduje </w:t>
      </w:r>
      <w:r w:rsidR="004F33BA">
        <w:t>uzasadnienia</w:t>
      </w:r>
      <w:r w:rsidR="00A019F4">
        <w:t>.</w:t>
      </w:r>
    </w:p>
    <w:p w:rsidR="004F33BA" w:rsidRDefault="004F33BA" w:rsidP="00FB5212">
      <w:pPr>
        <w:pStyle w:val="ARTartustawynprozporzdzenia"/>
        <w:ind w:left="364" w:firstLine="0"/>
      </w:pPr>
      <w:r>
        <w:t>Nie znajduje również uzasadnienia</w:t>
      </w:r>
      <w:r w:rsidRPr="004F33BA">
        <w:t xml:space="preserve"> obligatoryjny wymóg przed uzyskaniem zezwolenia na zbieranie odpadów, zezwol</w:t>
      </w:r>
      <w:r w:rsidR="00FB5212">
        <w:t>enia na przetwarzanie odpadów i </w:t>
      </w:r>
      <w:r w:rsidRPr="004F33BA">
        <w:t>zezwolenia na zbieranie i przetwarzanie odpadów wydawanych na podstawie przepisów ustawy o odpadach (art. 388 ust. 2 pkt 9). Fakt ten powoduje, że nawet przy zbieraniu lub przetwarzaniu odpadów obojętnych (np. tworzyw sztucznych, gruzu etc.) wnioskodawca będzie zobligowany do ubiegania się o przyjęcie zgłoszenia wodnoprawnego, które w przypadku jego zbędności zakończy się wydaniem zaświadczenia.</w:t>
      </w:r>
    </w:p>
    <w:p w:rsidR="0095132C" w:rsidRDefault="0060457F" w:rsidP="00FB5212">
      <w:pPr>
        <w:pStyle w:val="NIEARTTEKSTtekstnieartykuowanynppodstprawnarozplubpreambua"/>
        <w:ind w:left="364" w:hanging="364"/>
      </w:pPr>
      <w:r>
        <w:t>24</w:t>
      </w:r>
      <w:r w:rsidR="00FB5212">
        <w:t>.</w:t>
      </w:r>
      <w:r w:rsidR="00FB5212">
        <w:tab/>
      </w:r>
      <w:r w:rsidR="0065616B">
        <w:t xml:space="preserve">Celem </w:t>
      </w:r>
      <w:r w:rsidR="0095132C">
        <w:t>wprowadzeni</w:t>
      </w:r>
      <w:r w:rsidR="00B50411">
        <w:t>a</w:t>
      </w:r>
      <w:r w:rsidR="0095132C">
        <w:t xml:space="preserve"> ust. 4 w art. 394 w proponowanym brzmieniu jest usprawnienie procedury uzyskiwania zgód wodnoprawnych, w przypadku przedsięwzięć, w ramach których prowadzone są równocześnie działania wymagające uzyskania odpowiednio pozwolenia wodnoprawnego oraz zgłoszenia wodnoprawnego. Dodanie przepisu będzie skutkowało obowiązkiem złożenia jednej dokumentacji, do jednej jednostki organizacyjnej Wód Polskich, a zatem z punktu widzenia ekonomiki procesowej będzie korzystne dla wnioskodawców. Wprowadzenie przepisu będzie sprzyjało koordynacji działań dotyczących jednego zamierzenia inwestycyjnego, którego realizacja wymaga obecnie zastosowania dwóch odrębnych procedur prowadzonych przez odrębne jednostki organizacyjne Wód Polskich.</w:t>
      </w:r>
    </w:p>
    <w:p w:rsidR="0095132C" w:rsidRDefault="0060457F" w:rsidP="00FB5212">
      <w:pPr>
        <w:pStyle w:val="NIEARTTEKSTtekstnieartykuowanynppodstprawnarozplubpreambua"/>
        <w:ind w:left="364" w:hanging="364"/>
      </w:pPr>
      <w:r>
        <w:t>25</w:t>
      </w:r>
      <w:r w:rsidR="00FB5212">
        <w:t>.</w:t>
      </w:r>
      <w:r w:rsidR="00FB5212">
        <w:tab/>
      </w:r>
      <w:r w:rsidR="0095132C">
        <w:t>Celem zmiany w art. 395 ustawy</w:t>
      </w:r>
      <w:r w:rsidR="002E10FF">
        <w:t>,</w:t>
      </w:r>
      <w:r w:rsidR="0095132C">
        <w:t xml:space="preserve"> poprzez d</w:t>
      </w:r>
      <w:r w:rsidR="00FB5212">
        <w:t>odanie pkt 14</w:t>
      </w:r>
      <w:r w:rsidR="002E10FF">
        <w:t>,</w:t>
      </w:r>
      <w:r w:rsidR="00FB5212">
        <w:t xml:space="preserve"> jest zwolnienie z </w:t>
      </w:r>
      <w:r w:rsidR="0095132C">
        <w:t xml:space="preserve">obowiązku posiadania pozwolenia wodnoprawnego </w:t>
      </w:r>
      <w:r w:rsidR="002E10FF">
        <w:t xml:space="preserve">w przypadku </w:t>
      </w:r>
      <w:r w:rsidR="0095132C" w:rsidRPr="0095132C">
        <w:t>lokalizowani</w:t>
      </w:r>
      <w:r w:rsidR="002E10FF">
        <w:t>a</w:t>
      </w:r>
      <w:r w:rsidR="0095132C" w:rsidRPr="0095132C">
        <w:t xml:space="preserve"> </w:t>
      </w:r>
      <w:r w:rsidR="0095132C" w:rsidRPr="0095132C">
        <w:lastRenderedPageBreak/>
        <w:t>tymczasowych (do 180 dni) obiektów budowlanych na obszarach szczególnego zagrożenia powodzią</w:t>
      </w:r>
      <w:r w:rsidR="0095132C">
        <w:t>. Lokalizowanie tymczasowych obiektów budowlanych, tak jak sama nazwa wskazuje stawianych na krótki czas, właśnie ze względu na „tymczasowość” powinno być zwolnione z konieczności uzyskania pozwolenia wodnoprawnego albo zgłoszenia wodnoprawnego. Chodzi tu przede wszystkim o obiekty sezonowe, wykorzystywane w sezonie turystycznym, które potem są rozbierane.</w:t>
      </w:r>
    </w:p>
    <w:p w:rsidR="0095132C" w:rsidRDefault="0095132C" w:rsidP="00FB5212">
      <w:pPr>
        <w:pStyle w:val="ARTartustawynprozporzdzenia"/>
        <w:ind w:left="364" w:firstLine="0"/>
      </w:pPr>
      <w:r>
        <w:t>W sezonie letnim na plaży w obszarze pasa technicznego, który jest równocześnie obszarem szczególnego zagrożenia powodzią, lokalizowanych jest kilkaset tymczasowych obiektów związanych z obsługą ruchu turystycznego. Obiekty te ze względu na swój tymczasowy charakter nie mają znaczącego wpływu na wykonywanie zadań administracji morskiej związanych z ochroną przed powodzią od strony morza. Lokalizacja takich obiektów nie zwiększa również zagrożenia powodziowego od strony morza.</w:t>
      </w:r>
    </w:p>
    <w:p w:rsidR="0095132C" w:rsidRPr="0095132C" w:rsidRDefault="0060457F" w:rsidP="00FB5212">
      <w:pPr>
        <w:pStyle w:val="NIEARTTEKSTtekstnieartykuowanynppodstprawnarozplubpreambua"/>
        <w:ind w:left="364" w:hanging="364"/>
      </w:pPr>
      <w:r>
        <w:t>26</w:t>
      </w:r>
      <w:r w:rsidR="00FB5212">
        <w:t>.</w:t>
      </w:r>
      <w:r w:rsidR="00FB5212">
        <w:tab/>
      </w:r>
      <w:r w:rsidR="0095132C">
        <w:t>Celem uchylenia ust. 5 w art. 397 ustawy jest przekazanie kompetencji w zakresie ocen wodnoprawnych wyłącznie dyrektorom regionalnych zarządów gospodarki wodnej. Zgodnie z obecnymi przepisami oceny wodnoprawne są wydawane przez Dyrektora RZGW (art. 397 ust. 3 pkt 1</w:t>
      </w:r>
      <w:r w:rsidR="002E10FF">
        <w:t xml:space="preserve"> lit. </w:t>
      </w:r>
      <w:r w:rsidR="0095132C">
        <w:t xml:space="preserve">b). </w:t>
      </w:r>
      <w:r w:rsidR="006B22D7">
        <w:t>N</w:t>
      </w:r>
      <w:r w:rsidR="0095132C">
        <w:t>ależy</w:t>
      </w:r>
      <w:r w:rsidR="006B22D7">
        <w:t xml:space="preserve"> zauważyć</w:t>
      </w:r>
      <w:r w:rsidR="0095132C">
        <w:t xml:space="preserve">, że dla danego przedsięwzięcia wydawane mogą być pozwolenia wodnoprawne na różny zakres </w:t>
      </w:r>
      <w:r w:rsidR="00690101">
        <w:t>–</w:t>
      </w:r>
      <w:r w:rsidR="0095132C">
        <w:t xml:space="preserve"> tym samym przez różne organy. Ryzyko wystąpienia błędów na etapie prowadzonych postępowań OOŚ jest bardzo realne, a błędy proceduralne popełnione na etapie wydawania </w:t>
      </w:r>
      <w:r w:rsidR="002E10FF">
        <w:t>decyzji o środowiskowych uwarunkowaniach</w:t>
      </w:r>
      <w:r w:rsidR="0095132C">
        <w:t xml:space="preserve"> mogą zablokować całą realizację inwestycji.</w:t>
      </w:r>
    </w:p>
    <w:p w:rsidR="0095132C" w:rsidRDefault="0060457F" w:rsidP="00FB5212">
      <w:pPr>
        <w:pStyle w:val="NIEARTTEKSTtekstnieartykuowanynppodstprawnarozplubpreambua"/>
        <w:ind w:left="364" w:hanging="364"/>
      </w:pPr>
      <w:r>
        <w:t>27</w:t>
      </w:r>
      <w:r w:rsidR="00FB5212">
        <w:t>.</w:t>
      </w:r>
      <w:r w:rsidR="00FB5212">
        <w:tab/>
      </w:r>
      <w:r w:rsidR="0095132C" w:rsidRPr="0095132C">
        <w:t>Celem zmiany art. 401 ust. 4 ustawy jest zlikwi</w:t>
      </w:r>
      <w:r w:rsidR="00FB5212">
        <w:t>dowanie obowiązków związanych z </w:t>
      </w:r>
      <w:r w:rsidR="0095132C" w:rsidRPr="0095132C">
        <w:t>ogłaszaniem w prasie lokalnej informacji o wszczęciu postępowań w sprawie wydania pozwolenia wodnoprawnego. Efektem tej zmiany będzie skrócenie postępowań i zmniejszenie obowiązków administracyjnych przez organy Wód Polskich prowadzące tysiące postępowań administracyjnych w sprawie pozwoleń wodnoprawnych.</w:t>
      </w:r>
    </w:p>
    <w:p w:rsidR="006B22D7" w:rsidRDefault="0060457F" w:rsidP="00FB5212">
      <w:pPr>
        <w:pStyle w:val="NIEARTTEKSTtekstnieartykuowanynppodstprawnarozplubpreambua"/>
        <w:ind w:left="364" w:hanging="364"/>
      </w:pPr>
      <w:r>
        <w:t>28</w:t>
      </w:r>
      <w:r w:rsidR="00FB5212">
        <w:t>.</w:t>
      </w:r>
      <w:r w:rsidR="00FB5212">
        <w:tab/>
      </w:r>
      <w:r w:rsidR="00766F48" w:rsidRPr="00766F48">
        <w:t xml:space="preserve">W chwili </w:t>
      </w:r>
      <w:r w:rsidR="00766F48">
        <w:t>obecnej d</w:t>
      </w:r>
      <w:r w:rsidR="00766F48" w:rsidRPr="00766F48">
        <w:t>yrektorzy RZGW</w:t>
      </w:r>
      <w:r w:rsidR="002E10FF">
        <w:t>,</w:t>
      </w:r>
      <w:r w:rsidR="00766F48" w:rsidRPr="00766F48">
        <w:t xml:space="preserve"> powołując się na art. 439 traktują ww. deklarację wodną jako deklarację zgodności. W efekcie odmawiają wydania takich oświadczeń, gdyż inwestycje nie posiadają oceny wodnoprawnej. Dochodzi do </w:t>
      </w:r>
      <w:r w:rsidR="00766F48" w:rsidRPr="00766F48">
        <w:lastRenderedPageBreak/>
        <w:t>nielogicznej sytuacji, że projekty, dla których uzyskano</w:t>
      </w:r>
      <w:r w:rsidR="00A24A24">
        <w:t xml:space="preserve"> </w:t>
      </w:r>
      <w:r w:rsidR="00766F48" w:rsidRPr="00766F48">
        <w:t xml:space="preserve">już </w:t>
      </w:r>
      <w:r w:rsidR="002E10FF">
        <w:t>decyzję o środowiskowych uwarunkowaniach</w:t>
      </w:r>
      <w:r w:rsidR="00766F48" w:rsidRPr="00766F48">
        <w:t xml:space="preserve"> oraz inne decyzje niezbędne do ich realizacji (w tym pozwolenia wodnoprawne)</w:t>
      </w:r>
      <w:r w:rsidR="00B50411">
        <w:t>,</w:t>
      </w:r>
      <w:r w:rsidR="00766F48" w:rsidRPr="00766F48">
        <w:t xml:space="preserve"> aby uzyskać oświadczenie niezbędne na potrzeby aplikowania o środki unijne, muszą uzyskać dodatkową decyzję administracyjną.</w:t>
      </w:r>
      <w:r w:rsidR="00A24A24">
        <w:t xml:space="preserve"> Proponuje</w:t>
      </w:r>
      <w:r w:rsidR="00FB5212">
        <w:t xml:space="preserve"> się wprowadzenie przepisu art. </w:t>
      </w:r>
      <w:r w:rsidR="00A24A24">
        <w:t>440a, który będzie regulował sytuację wy</w:t>
      </w:r>
      <w:r w:rsidR="00FB5212">
        <w:t>dawania deklaracji zgodności, w </w:t>
      </w:r>
      <w:r w:rsidR="00A24A24">
        <w:t>przypadkach w których nie wydano oceny wodnoprawnej.</w:t>
      </w:r>
    </w:p>
    <w:p w:rsidR="0066688F" w:rsidRDefault="0060457F" w:rsidP="00FB5212">
      <w:pPr>
        <w:pStyle w:val="NIEARTTEKSTtekstnieartykuowanynppodstprawnarozplubpreambua"/>
        <w:ind w:left="364" w:hanging="364"/>
      </w:pPr>
      <w:r>
        <w:t>29</w:t>
      </w:r>
      <w:r w:rsidR="00FB5212">
        <w:t>.</w:t>
      </w:r>
      <w:r w:rsidR="00FB5212">
        <w:tab/>
      </w:r>
      <w:r w:rsidR="0066688F" w:rsidRPr="0066688F">
        <w:t>Podstawow</w:t>
      </w:r>
      <w:r w:rsidR="00B50411">
        <w:t>ym</w:t>
      </w:r>
      <w:r w:rsidR="0066688F" w:rsidRPr="0066688F">
        <w:t xml:space="preserve"> założeniem wprowadzonym w ustawie – Prawo wodne jest ustalanie wysokości opłat za usługi wodne przez Państwowe Gospodarstwo Wodne Wody Polskie . To PGW Wody Polskie ustala wysokość opłaty, jednak uzasadnienie tej wysokości musi oprzeć na wiarygodnych informacjach. Żeby te informacje zdobyć, należy mierzyć ilość pobieranej wody oraz ilość i temperaturę odprowadzanych ścieków za pomocą obiektywnie wiarygodnych i legalnych przyrządów. </w:t>
      </w:r>
      <w:r w:rsidR="00FB5212">
        <w:t>Przed 1 </w:t>
      </w:r>
      <w:r w:rsidR="0066688F">
        <w:t xml:space="preserve">stycznia 2018 r. sprawy opłat za pobór wód i wprowadzanie ścieków do wód lub do ziemi regulowała ustawa z </w:t>
      </w:r>
      <w:r w:rsidR="00B50411">
        <w:t xml:space="preserve">dnia </w:t>
      </w:r>
      <w:r w:rsidR="0066688F">
        <w:t>27 kwietnia 2001 r</w:t>
      </w:r>
      <w:r w:rsidR="00FB5212">
        <w:t>. – Prawo ochrony środowiska. W </w:t>
      </w:r>
      <w:r w:rsidR="0066688F">
        <w:t>odniesieniu do opłat za wodę i ścieki</w:t>
      </w:r>
      <w:r w:rsidR="00E26414">
        <w:t xml:space="preserve"> </w:t>
      </w:r>
      <w:r w:rsidR="0066688F">
        <w:t>stosowano więc zasadę samodzielnego ustalania wysokości opłat za korzystanie ze środowiska przez te same podmioty, których opłata dotyczy. Oznaczało to, że podmioty te samodzielnie ustalały wysokość opłaty i wnosiły ją na rachunki urzędów marszałkowskich.</w:t>
      </w:r>
    </w:p>
    <w:p w:rsidR="0066688F" w:rsidRDefault="0066688F" w:rsidP="00FB5212">
      <w:pPr>
        <w:pStyle w:val="NIEARTTEKSTtekstnieartykuowanynppodstprawnarozplubpreambua"/>
        <w:ind w:left="364" w:firstLine="0"/>
      </w:pPr>
      <w:r>
        <w:t>Problemem pozostaje ustalanie wysokości opłat za pobór wód w okresie przejściowym do dnia 1 stycznia 2021 r. Po tym okresie p</w:t>
      </w:r>
      <w:r w:rsidRPr="0066688F">
        <w:t>odmiot korzystający z</w:t>
      </w:r>
      <w:r w:rsidR="00FB5212">
        <w:t> </w:t>
      </w:r>
      <w:r w:rsidRPr="0066688F">
        <w:t>usług wodnych dokonujący</w:t>
      </w:r>
      <w:r>
        <w:t xml:space="preserve"> w szczególności</w:t>
      </w:r>
      <w:r w:rsidRPr="0066688F">
        <w:t xml:space="preserve"> poboru wód powierzchniowych lub podziemnych w ramach usług wodnych jest obowiązany do stosowania przyrządów pomiarowych umożliwiających pomiar ilości pobranych wód.</w:t>
      </w:r>
    </w:p>
    <w:p w:rsidR="000823A5" w:rsidRDefault="001C349D" w:rsidP="00FB5212">
      <w:pPr>
        <w:pStyle w:val="NIEARTTEKSTtekstnieartykuowanynppodstprawnarozplubpreambua"/>
        <w:ind w:left="364" w:firstLine="0"/>
      </w:pPr>
      <w:r>
        <w:t xml:space="preserve">Celem zmiany </w:t>
      </w:r>
      <w:r w:rsidR="00436686">
        <w:t>art. 552 ustawy</w:t>
      </w:r>
      <w:r w:rsidR="000823A5">
        <w:t xml:space="preserve"> jest wprowadzenie regulacji, na podstawie której do dnia 31 grudnia 2020 r. podmioty korzystające z usług wodnych będą obowiązane składać Wodom Polskim</w:t>
      </w:r>
      <w:r w:rsidR="006B22D7">
        <w:t xml:space="preserve"> oraz wójtom, burmistrzom oraz prezydentom miast</w:t>
      </w:r>
      <w:r w:rsidR="000823A5">
        <w:t xml:space="preserve"> oświadczenia. Na podstawie oświadczeń będą ustalone opłaty za usługi wodne. Rekomendowanym rozwiązaniem jest zestawienie informacji niezbędnych do określenia wysokości opłaty zmiennej za korzystanie z usług wodnych. Wprowadzenie tej regulacji pozwoli w sposób jednoznaczny rozwiać wszelkie wątpliwości interpretacyjne odnośnie do informacji wykorzystywanych przez Wody </w:t>
      </w:r>
      <w:r w:rsidR="000823A5">
        <w:lastRenderedPageBreak/>
        <w:t>Polskie na okoliczność ustalania wysokości opłaty zmiennej za korzystanie z usług wodnych. Jednocześnie znaczna część zakładów korzystających z usług wodnych prowadzi</w:t>
      </w:r>
      <w:r w:rsidR="00E26414">
        <w:t xml:space="preserve"> </w:t>
      </w:r>
      <w:r w:rsidR="000823A5">
        <w:t>pomiary ilości pobieranych wód oraz ścieków wprowadzanych do wód lub do ziemi, czy to w sposób ciągły, czy też okresowy, tym samym posiada dane, które odzwierciedlają rzeczywisty zakres korzystania z usług wodnych. Regulacja może wydawać się dodatkowym obciążeniem dla zakładów, jednakże ma ona na celu ograniczenie ewentualnej ingerencji Wód Polskich w działalność prowadzoną przez zakłady, jak również minimalizację obc</w:t>
      </w:r>
      <w:r w:rsidR="003D627D">
        <w:t>iążeń, które wiązałyby się w</w:t>
      </w:r>
      <w:r w:rsidR="00FB5212">
        <w:t> </w:t>
      </w:r>
      <w:r w:rsidR="003D627D">
        <w:t>szczególności z kontrolą</w:t>
      </w:r>
      <w:r w:rsidR="000823A5">
        <w:t xml:space="preserve"> go</w:t>
      </w:r>
      <w:r w:rsidR="003D627D">
        <w:t>spodarowania wodami na terenie z</w:t>
      </w:r>
      <w:r w:rsidR="000823A5">
        <w:t>akładów. Przygotowanie przez Wody Polskie wzor</w:t>
      </w:r>
      <w:r w:rsidR="003D627D">
        <w:t>ów oświadczeń składanych przez z</w:t>
      </w:r>
      <w:r w:rsidR="000823A5">
        <w:t>akłady korzystające z usług wodnych będzie skutkowało nie tylko ujednoliceniem zakresu przekazywanych informacji, lecz również pozwoli na poszerzenie wiedzy w</w:t>
      </w:r>
      <w:r w:rsidR="00FB5212">
        <w:t> </w:t>
      </w:r>
      <w:r w:rsidR="000823A5">
        <w:t>zakresie systemu opłat za usługi wodne w zakładach korzystających z tych usług. Projektowana regulacja zapewni również transparentność działań Wód Polskich przy obliczaniu wysokości opłaty za usługi wodne i przekazywaniu zakł</w:t>
      </w:r>
      <w:r w:rsidR="00EC3A8C">
        <w:t>adom informacji w tym zakresie.</w:t>
      </w:r>
    </w:p>
    <w:p w:rsidR="0066688F" w:rsidRPr="0066688F" w:rsidRDefault="0066688F" w:rsidP="00FB5212">
      <w:pPr>
        <w:pStyle w:val="ARTartustawynprozporzdzenia"/>
        <w:ind w:left="364" w:firstLine="0"/>
      </w:pPr>
      <w:r>
        <w:t xml:space="preserve">Podmioty obowiązane do ponoszenia opłat za usługi wodne </w:t>
      </w:r>
      <w:r w:rsidRPr="0066688F">
        <w:t>są obowiązane do przekazywania wyników prowadzonych pomiarów ilości pobieranych wód podziemnych i wód powierzchniowych oraz ilości i jakości ścieków wprowadzanych do wód lub do ziemi, w zakresie określonym w pozwoleniu wodnoprawny</w:t>
      </w:r>
      <w:r>
        <w:t xml:space="preserve">m albo pozwoleniu zintegrowanym, </w:t>
      </w:r>
      <w:r w:rsidR="00FB5212">
        <w:t>na podstawie art. 304 ustawy, w </w:t>
      </w:r>
      <w:r>
        <w:t xml:space="preserve">związku z czym obowiązki w zakresie przekazywania oświadczeń nie będą nowym obowiązkiem w zakresie posiadania przyrządów pomiarowych, ponieważ już na gruncie powszechnie obowiązujących przepisów prowadzą pomiary, </w:t>
      </w:r>
      <w:r w:rsidR="003E76BB">
        <w:t>które mogą być wykorzystane w celu realizacji projektowanego</w:t>
      </w:r>
      <w:r>
        <w:t xml:space="preserve"> art. </w:t>
      </w:r>
      <w:r w:rsidR="003E76BB">
        <w:t>552 ustawy.</w:t>
      </w:r>
    </w:p>
    <w:p w:rsidR="00766F48" w:rsidRPr="00766F48" w:rsidRDefault="00766F48" w:rsidP="00FB5212">
      <w:pPr>
        <w:pStyle w:val="ARTartustawynprozporzdzenia"/>
        <w:ind w:firstLine="0"/>
        <w:rPr>
          <w:u w:val="single"/>
        </w:rPr>
      </w:pPr>
      <w:r w:rsidRPr="00766F48">
        <w:rPr>
          <w:u w:val="single"/>
        </w:rPr>
        <w:t xml:space="preserve">Zmiany w ustawie z dnia 12 stycznia 1991 r. o podatkach i opłatach lokalnych </w:t>
      </w:r>
    </w:p>
    <w:p w:rsidR="00537BCB" w:rsidRDefault="002E10FF" w:rsidP="00FB5212">
      <w:pPr>
        <w:pStyle w:val="ARTartustawynprozporzdzenia"/>
        <w:ind w:firstLine="0"/>
      </w:pPr>
      <w:r>
        <w:t xml:space="preserve">Z </w:t>
      </w:r>
      <w:r w:rsidR="00537BCB">
        <w:t>tytułu zwolnienia z podatku od nieruchomości za grunt</w:t>
      </w:r>
      <w:r w:rsidR="00FB5716">
        <w:t>y</w:t>
      </w:r>
      <w:r w:rsidR="00537BCB">
        <w:t xml:space="preserve"> pokryte wodami gminom przysługuje zwrot utraconych dochodów:</w:t>
      </w:r>
    </w:p>
    <w:p w:rsidR="00537BCB" w:rsidRDefault="00FB5212" w:rsidP="00FB5212">
      <w:pPr>
        <w:pStyle w:val="ARTartustawynprozporzdzenia"/>
        <w:ind w:left="364" w:hanging="364"/>
      </w:pPr>
      <w:r>
        <w:t>1)</w:t>
      </w:r>
      <w:r>
        <w:tab/>
      </w:r>
      <w:r w:rsidR="00537BCB">
        <w:t xml:space="preserve">za rok 2018 i lata następne </w:t>
      </w:r>
      <w:r w:rsidR="00690101">
        <w:t>–</w:t>
      </w:r>
      <w:r w:rsidR="00537BCB">
        <w:t xml:space="preserve"> ze środków Państwowego Gospodarstwa Wodnego Wody Polskie;</w:t>
      </w:r>
    </w:p>
    <w:p w:rsidR="00537BCB" w:rsidRDefault="00FB5212" w:rsidP="00FB5212">
      <w:pPr>
        <w:pStyle w:val="ARTartustawynprozporzdzenia"/>
        <w:ind w:left="364" w:hanging="364"/>
      </w:pPr>
      <w:r>
        <w:t>2)</w:t>
      </w:r>
      <w:r>
        <w:tab/>
      </w:r>
      <w:r w:rsidR="003D627D">
        <w:t>za rok 2017 i lata wcześniejsze</w:t>
      </w:r>
      <w:r w:rsidR="00537BCB">
        <w:t xml:space="preserve"> </w:t>
      </w:r>
      <w:r w:rsidR="00690101">
        <w:t>–</w:t>
      </w:r>
      <w:r w:rsidR="00537BCB">
        <w:t xml:space="preserve"> ze środków wojewódzkich funduszy ochrony środowiska i gospodarki</w:t>
      </w:r>
      <w:r w:rsidR="00B50411">
        <w:t xml:space="preserve"> wodnej.</w:t>
      </w:r>
    </w:p>
    <w:p w:rsidR="00436686" w:rsidRPr="00436686" w:rsidRDefault="00537BCB" w:rsidP="00FB5212">
      <w:pPr>
        <w:pStyle w:val="ARTartustawynprozporzdzenia"/>
        <w:ind w:firstLine="0"/>
      </w:pPr>
      <w:r>
        <w:lastRenderedPageBreak/>
        <w:t>S</w:t>
      </w:r>
      <w:r w:rsidRPr="00537BCB">
        <w:t>zczegółowy sposób i tryb zwrotu utraconych dochodów</w:t>
      </w:r>
      <w:r>
        <w:t>, o których mowa powyżej</w:t>
      </w:r>
      <w:r w:rsidR="002E10FF">
        <w:t xml:space="preserve"> w pkt 1</w:t>
      </w:r>
      <w:r w:rsidR="00B50411">
        <w:t>,</w:t>
      </w:r>
      <w:r>
        <w:t xml:space="preserve"> zostanie określony w rozporządzeniu ministra właściwego do spraw gospodarki wodnej.</w:t>
      </w:r>
      <w:r w:rsidRPr="00537BCB">
        <w:t xml:space="preserve"> </w:t>
      </w:r>
    </w:p>
    <w:p w:rsidR="00E87D1E" w:rsidRPr="00E87D1E" w:rsidRDefault="00E87D1E" w:rsidP="00FB5212">
      <w:pPr>
        <w:pStyle w:val="NIEARTTEKSTtekstnieartykuowanynppodstprawnarozplubpreambua"/>
        <w:ind w:firstLine="0"/>
        <w:rPr>
          <w:u w:val="single"/>
        </w:rPr>
      </w:pPr>
      <w:r w:rsidRPr="00E87D1E">
        <w:rPr>
          <w:u w:val="single"/>
        </w:rPr>
        <w:t xml:space="preserve">Zmiany ustawy z dnia 27 kwietnia 2001 r. </w:t>
      </w:r>
      <w:r w:rsidR="00690101">
        <w:rPr>
          <w:u w:val="single"/>
        </w:rPr>
        <w:t>–</w:t>
      </w:r>
      <w:r w:rsidRPr="00E87D1E">
        <w:rPr>
          <w:u w:val="single"/>
        </w:rPr>
        <w:t xml:space="preserve"> Prawo ochrony środowiska</w:t>
      </w:r>
    </w:p>
    <w:p w:rsidR="003E76BB" w:rsidRDefault="003B4598" w:rsidP="00FB5212">
      <w:pPr>
        <w:pStyle w:val="NIEARTTEKSTtekstnieartykuowanynppodstprawnarozplubpreambua"/>
        <w:ind w:left="350" w:hanging="350"/>
      </w:pPr>
      <w:r w:rsidRPr="003B4598">
        <w:rPr>
          <w:bCs w:val="0"/>
        </w:rPr>
        <w:t>1.</w:t>
      </w:r>
      <w:r w:rsidR="00FB5212">
        <w:tab/>
      </w:r>
      <w:r w:rsidR="003E76BB">
        <w:t>Celem zmiany art. 147 ust. 1 jest dostosowanie do ustawy – Prawo wodne.</w:t>
      </w:r>
    </w:p>
    <w:p w:rsidR="003B4598" w:rsidRDefault="00FB5212" w:rsidP="00FB5212">
      <w:pPr>
        <w:pStyle w:val="NIEARTTEKSTtekstnieartykuowanynppodstprawnarozplubpreambua"/>
        <w:ind w:left="350" w:hanging="350"/>
      </w:pPr>
      <w:r>
        <w:t>2.</w:t>
      </w:r>
      <w:r>
        <w:tab/>
      </w:r>
      <w:r w:rsidR="003B4598">
        <w:t xml:space="preserve">Celem zmiany art. 185 ust. 1a ustawy – Prawo ochrony środowiska jest dostosowanie jego brzmienia do art. 212 ust. 1 ustawy – Prawo </w:t>
      </w:r>
      <w:r w:rsidR="00F37819">
        <w:t xml:space="preserve">wodne. </w:t>
      </w:r>
      <w:r w:rsidR="00F37819" w:rsidRPr="00F37819">
        <w:t>Prawa właścicielskie w stosunku do wód publicznych stanowiących w</w:t>
      </w:r>
      <w:r w:rsidR="00F37819">
        <w:t xml:space="preserve">łasność Skarbu Państwa wykonują oprócz Państwowego Gospodarstwa Wodnego Wody Polskie </w:t>
      </w:r>
      <w:r w:rsidR="00F37819">
        <w:rPr>
          <w:rFonts w:hint="eastAsia"/>
        </w:rPr>
        <w:t>również</w:t>
      </w:r>
      <w:r w:rsidR="00F37819">
        <w:t xml:space="preserve"> minister właściwy do spraw gospodarki wodnej oraz minister właściwy do spraw żeglugi śródlądowej. W związku z powyższym te organy powinny być odpowiednio stronami </w:t>
      </w:r>
      <w:r w:rsidR="00F37819" w:rsidRPr="00F37819">
        <w:t>postępowania o wydanie pozwolenia zintegrowanego obejmującego korzystanie z wód obejmujące pobór wód lub wprowadzanie ścieków do wód lub do ziemi</w:t>
      </w:r>
      <w:r w:rsidR="00F37819">
        <w:t>.</w:t>
      </w:r>
    </w:p>
    <w:p w:rsidR="00E87D1E" w:rsidRDefault="0060457F" w:rsidP="00FB5212">
      <w:pPr>
        <w:pStyle w:val="NIEARTTEKSTtekstnieartykuowanynppodstprawnarozplubpreambua"/>
        <w:ind w:left="350" w:hanging="350"/>
      </w:pPr>
      <w:r>
        <w:t>3</w:t>
      </w:r>
      <w:r w:rsidR="00FB5212">
        <w:t>.</w:t>
      </w:r>
      <w:r w:rsidR="00FB5212">
        <w:tab/>
      </w:r>
      <w:r w:rsidR="00E87D1E" w:rsidRPr="00701B83">
        <w:t xml:space="preserve">Celem zmian proponowanych w ustawie </w:t>
      </w:r>
      <w:r w:rsidR="00690101">
        <w:t>–</w:t>
      </w:r>
      <w:r w:rsidR="00E87D1E" w:rsidRPr="00701B83">
        <w:t xml:space="preserve"> Prawo ochrony śro</w:t>
      </w:r>
      <w:r w:rsidR="00690101">
        <w:t xml:space="preserve">dowiska przepisami art. </w:t>
      </w:r>
      <w:r w:rsidR="002E10FF">
        <w:t>3</w:t>
      </w:r>
      <w:r w:rsidR="00690101">
        <w:t xml:space="preserve"> pkt </w:t>
      </w:r>
      <w:r w:rsidR="002E10FF">
        <w:t>3</w:t>
      </w:r>
      <w:r w:rsidR="00690101">
        <w:t>–</w:t>
      </w:r>
      <w:r w:rsidR="002E10FF">
        <w:t>6</w:t>
      </w:r>
      <w:r w:rsidR="00E87D1E" w:rsidRPr="00701B83">
        <w:t xml:space="preserve"> jest konieczność poprawnego wprowadzenia w art. 202 ust. 1, art. 203 ust. 3, art. 208 ust. 1 oraz </w:t>
      </w:r>
      <w:r w:rsidR="00FB5716">
        <w:t>w</w:t>
      </w:r>
      <w:r w:rsidR="00E87D1E" w:rsidRPr="00701B83">
        <w:t xml:space="preserve"> art. 211 ust</w:t>
      </w:r>
      <w:r w:rsidR="00B50411">
        <w:t>.</w:t>
      </w:r>
      <w:r w:rsidR="00E87D1E" w:rsidRPr="00701B83">
        <w:t xml:space="preserve"> 1 ustawy </w:t>
      </w:r>
      <w:r w:rsidR="00690101">
        <w:t>–</w:t>
      </w:r>
      <w:r w:rsidR="00E87D1E" w:rsidRPr="00701B83">
        <w:t xml:space="preserve"> Prawo ochrony środowiska konsekwencji zmiany art. 181 ust. 1 tej ustawy. Ta zmiana nie została konsekwentnie zastosowana w pozostałych przepisach dotyczących wymogów dla wydawania pozwoleń zintegrowanych w Poś. Bez zmiany art. 202 ust. 1, art. 208 ust. 1 oraz art. 211 ust. 1 organ wydający pozwolenie zintegrowane nie będzie mógł zastosować wymogów określonych dla pozwoleń wodnoprawnych na wprowadzanie ścieków do wód lub do ziemi. Biorąc pod uwagę fakt, że pozwolenie wodnoprawne na wprowadzanie ścieków do wód lub do ziemi nie jest wymagane w przypadku obowiązku posiadania pozwolenia zintegrowanego, brak zmian wyżej wskazanych przepisów spowoduje brak możliwości ustalania warunków dla emisji ścieków do wód lub do ziemi w ramach pozwolenia zintegrowanego.</w:t>
      </w:r>
    </w:p>
    <w:p w:rsidR="00F37819" w:rsidRDefault="0060457F" w:rsidP="00FB5212">
      <w:pPr>
        <w:pStyle w:val="NIEARTTEKSTtekstnieartykuowanynppodstprawnarozplubpreambua"/>
        <w:ind w:left="350" w:hanging="350"/>
      </w:pPr>
      <w:r>
        <w:t>4</w:t>
      </w:r>
      <w:r w:rsidR="00FB5212">
        <w:t>.</w:t>
      </w:r>
      <w:r w:rsidR="00FB5212">
        <w:tab/>
      </w:r>
      <w:r w:rsidR="00F37819">
        <w:t>Proponuje się w art. 400h w ust. 2 pkt 4 nadać następujące brzmienie: „4)</w:t>
      </w:r>
      <w:r w:rsidR="00FB5212">
        <w:t> </w:t>
      </w:r>
      <w:r w:rsidR="00F37819">
        <w:t xml:space="preserve">uchwalanie, z uwzględnieniem strategii, programów i dokumentów programowych, o których mowa w art. 14 ust. 1, i list przedsięwzięć priorytetowych przedkładanych przez wojewódzkie fundusze, planu działalności i zatwierdzanie list priorytetowych programów Narodowego Funduszu, do dnia 31 stycznia każdego </w:t>
      </w:r>
      <w:r w:rsidR="00F37819">
        <w:lastRenderedPageBreak/>
        <w:t>roku; listy programów priorytetowych w części dotyczącej gospodarki wodnej wymagają uzgodnienia z Prezesem Państwowego Gospodarstwa Wodnego Wody Polskie;”.</w:t>
      </w:r>
    </w:p>
    <w:p w:rsidR="00F37819" w:rsidRPr="00F37819" w:rsidRDefault="00F37819" w:rsidP="00FB5212">
      <w:pPr>
        <w:pStyle w:val="ARTartustawynprozporzdzenia"/>
        <w:ind w:left="350" w:firstLine="0"/>
      </w:pPr>
      <w:r>
        <w:t>Celem projektowanego przepisu jest zdecydowanie, że NFOŚiGW będzie uzgadniał listy programów priorytetowych w części dotyczące</w:t>
      </w:r>
      <w:r w:rsidR="00FB5212">
        <w:t>j gospodarki wodnej jedynie z </w:t>
      </w:r>
      <w:r>
        <w:t>Prezesem Państwowego Gospodarstw</w:t>
      </w:r>
      <w:r w:rsidR="00FB5212">
        <w:t>a Wodnego Wody Polskie, a nie z </w:t>
      </w:r>
      <w:r>
        <w:t>dyrektorami regionalnych zarządów gospodarki wodnej. W ten sposób zostanie zapewniona lepsza koordynacja procesu uzgodnienia tych list. W poprzednim stanie prawnym (przed dniem 1 stycznia 2018 r.), NFOŚiGW uzgadniał listy programów priorytetowych w części dotyczącej gospodarki wodnej z Prezesem Krajowego Zarządu Gospodarki Wodnej.</w:t>
      </w:r>
    </w:p>
    <w:p w:rsidR="00F37819" w:rsidRDefault="00F37819" w:rsidP="00FB5212">
      <w:pPr>
        <w:pStyle w:val="ARTartustawynprozporzdzenia"/>
        <w:ind w:firstLine="0"/>
        <w:rPr>
          <w:u w:val="single"/>
        </w:rPr>
      </w:pPr>
      <w:r w:rsidRPr="00F37819">
        <w:rPr>
          <w:u w:val="single"/>
        </w:rPr>
        <w:t>Zmiany ustawy z dnia 3 października 2008 r. o udostępnianiu informacji o środowisku i</w:t>
      </w:r>
      <w:r w:rsidR="00690101">
        <w:rPr>
          <w:u w:val="single"/>
        </w:rPr>
        <w:t> </w:t>
      </w:r>
      <w:r w:rsidRPr="00F37819">
        <w:rPr>
          <w:u w:val="single"/>
        </w:rPr>
        <w:t>jego ochronie, udziale społeczeństwa w ochronie środowiska oraz o ocenach oddziaływania na środowisko</w:t>
      </w:r>
    </w:p>
    <w:p w:rsidR="00F37819" w:rsidRPr="00F37819" w:rsidRDefault="00F37819" w:rsidP="00FB5212">
      <w:pPr>
        <w:pStyle w:val="ARTartustawynprozporzdzenia"/>
        <w:ind w:firstLine="0"/>
      </w:pPr>
      <w:r>
        <w:t>Zmiana polegająca na dodaniu art. 6a ustawy</w:t>
      </w:r>
      <w:r w:rsidRPr="00F37819">
        <w:t xml:space="preserve"> ma </w:t>
      </w:r>
      <w:r w:rsidR="00FB5716">
        <w:t xml:space="preserve">na </w:t>
      </w:r>
      <w:r w:rsidRPr="00F37819">
        <w:t>celu usprawnienie opiniowania i</w:t>
      </w:r>
      <w:r w:rsidR="00FB5212">
        <w:t> </w:t>
      </w:r>
      <w:r w:rsidRPr="00F37819">
        <w:t xml:space="preserve">uzgadniania </w:t>
      </w:r>
      <w:r w:rsidR="00EE35C5">
        <w:t xml:space="preserve">w szczególności </w:t>
      </w:r>
      <w:r w:rsidRPr="00F37819">
        <w:t xml:space="preserve">przez organy Wód Polskich tych przedsięwzięć, </w:t>
      </w:r>
      <w:r w:rsidR="00EE35C5">
        <w:t>które mają być zlokalizowane między innymi</w:t>
      </w:r>
      <w:r w:rsidRPr="00F37819">
        <w:t xml:space="preserve"> na terenie właściwości kilku dyrektorów regionalnych zarządów gospodarki wodnej</w:t>
      </w:r>
      <w:r w:rsidR="00EE35C5">
        <w:t xml:space="preserve"> Wód Polskich</w:t>
      </w:r>
      <w:r w:rsidRPr="00F37819">
        <w:t>. W t</w:t>
      </w:r>
      <w:r w:rsidR="00EE35C5">
        <w:t>akich wypadkach zasadne jest, żeby</w:t>
      </w:r>
      <w:r w:rsidRPr="00F37819">
        <w:t xml:space="preserve"> opinię lub uzgodnienie wydał tylko jeden organ</w:t>
      </w:r>
      <w:r w:rsidR="0080445E">
        <w:t xml:space="preserve"> Wód Polskich</w:t>
      </w:r>
      <w:r w:rsidRPr="00F37819">
        <w:t xml:space="preserve">, co jest spójne z art. 21 § 1 pkt 1 ustawy z dnia 14 czerwca 1960 r. </w:t>
      </w:r>
      <w:r w:rsidR="00690101">
        <w:t>–</w:t>
      </w:r>
      <w:r w:rsidRPr="00F37819">
        <w:t xml:space="preserve"> Kodeks postępowania administracyjnego, zgodnie z którym</w:t>
      </w:r>
      <w:r w:rsidR="00B50411">
        <w:t>:</w:t>
      </w:r>
      <w:r w:rsidRPr="00F37819">
        <w:t xml:space="preserve"> </w:t>
      </w:r>
      <w:r w:rsidR="00304836">
        <w:t>„</w:t>
      </w:r>
      <w:r w:rsidRPr="00F37819">
        <w:t>Jeżeli nieruchomość położona jest na obszarze właściwości dwóch lub więcej organów, orzekanie należy do organu, na którego obszarze znajduje się większa część nieruchomości”. Dotychczasowa praktyka orzecznicza organów wskazuje, że wskazany przepis Kodeksu postępowania administracyjnego nie był stosowany w przypadku postępowań wpadkowych (opiniowanie lub uzgadnianie), zatem zasadnym jest wprowadzenie przepisu, który usunie wątpliwości w tym zakresie.</w:t>
      </w:r>
      <w:r w:rsidR="0084136E">
        <w:t xml:space="preserve"> Projektowana regulacja nie dotyczy opinii lub uzgodnień dokonywanych przez organy jednostek samorządu terytorialnego.</w:t>
      </w:r>
    </w:p>
    <w:p w:rsidR="00E87D1E" w:rsidRPr="00AC27BA" w:rsidRDefault="00AC27BA" w:rsidP="00FB5212">
      <w:pPr>
        <w:pStyle w:val="NIEARTTEKSTtekstnieartykuowanynppodstprawnarozplubpreambua"/>
        <w:ind w:firstLine="0"/>
        <w:rPr>
          <w:u w:val="single"/>
        </w:rPr>
      </w:pPr>
      <w:r w:rsidRPr="00AC27BA">
        <w:rPr>
          <w:u w:val="single"/>
        </w:rPr>
        <w:t>Zmiany ustawy z dnia 8 lipca 2010 r. o szczególnych zasadach przygotowania do realizacji inwestycji w zakresie budowli przeciwpowodziowych</w:t>
      </w:r>
    </w:p>
    <w:p w:rsidR="008E486C" w:rsidRDefault="008E486C" w:rsidP="00FB5212">
      <w:pPr>
        <w:pStyle w:val="NIEARTTEKSTtekstnieartykuowanynppodstprawnarozplubpreambua"/>
        <w:ind w:firstLine="0"/>
      </w:pPr>
      <w:r>
        <w:t>Proponuje się zmienić</w:t>
      </w:r>
      <w:r w:rsidR="00AC27BA">
        <w:t xml:space="preserve"> art. 2 us</w:t>
      </w:r>
      <w:r>
        <w:t>tawy poprzez dodanie</w:t>
      </w:r>
      <w:r w:rsidR="00AC27BA">
        <w:t xml:space="preserve"> do zakresu definicji budowli przewc</w:t>
      </w:r>
      <w:r>
        <w:t xml:space="preserve">iwpowodziowej „stopni wodnych”. </w:t>
      </w:r>
      <w:r w:rsidR="00AC27BA">
        <w:t xml:space="preserve">Uzasadnieniem zmiany jest doprecyzowanie </w:t>
      </w:r>
      <w:r w:rsidR="00AC27BA">
        <w:lastRenderedPageBreak/>
        <w:t>zakresu tych jednobrzmiących definicji w celu wykluczenia potencjalnych wątpliwości interpretacyjnych co do tego, czy stopnie wodne są budowlami przeciwpowodziowymi.</w:t>
      </w:r>
    </w:p>
    <w:p w:rsidR="00537BCB" w:rsidRPr="00537BCB" w:rsidRDefault="00537BCB" w:rsidP="00FB5212">
      <w:pPr>
        <w:pStyle w:val="ARTartustawynprozporzdzenia"/>
        <w:ind w:firstLine="0"/>
        <w:rPr>
          <w:u w:val="single"/>
        </w:rPr>
      </w:pPr>
      <w:r w:rsidRPr="00537BCB">
        <w:rPr>
          <w:u w:val="single"/>
        </w:rPr>
        <w:t>Przepisy przejściowe</w:t>
      </w:r>
    </w:p>
    <w:p w:rsidR="00537BCB" w:rsidRDefault="00304836" w:rsidP="00FB5212">
      <w:pPr>
        <w:pStyle w:val="ARTartustawynprozporzdzenia"/>
        <w:ind w:left="308" w:hanging="308"/>
      </w:pPr>
      <w:r w:rsidRPr="00304836">
        <w:t>1.</w:t>
      </w:r>
      <w:r w:rsidR="00FB5212">
        <w:tab/>
      </w:r>
      <w:r w:rsidR="00537BCB" w:rsidRPr="00537BCB">
        <w:t>Rekomendowane jest dodanie przepisu przejściowego określającego właściwość wojewódzkich funduszy ochrony środowiska i gospodarki wodnej do dokonania zwrotu gminom utraconych dochodów z tytułu podatków od nieruchomości od gruntów pod wodami powierzchniowymi płynącymi jezior oraz</w:t>
      </w:r>
      <w:r w:rsidR="00E26414">
        <w:t xml:space="preserve"> </w:t>
      </w:r>
      <w:r w:rsidR="00537BCB" w:rsidRPr="00537BCB">
        <w:t xml:space="preserve">gruntów zajętych pod sztuczne zbiorniki wodne za 2017 r. </w:t>
      </w:r>
      <w:r w:rsidR="00537BCB">
        <w:t>Wzór wniosku o zwrot utraconych dochodów za 2017 r.</w:t>
      </w:r>
      <w:r w:rsidR="0084136E">
        <w:t xml:space="preserve"> i lata wcześniejsze</w:t>
      </w:r>
      <w:r w:rsidR="00537BCB">
        <w:t xml:space="preserve"> zostanie określony w załączniku do ustawy. </w:t>
      </w:r>
      <w:r w:rsidR="00537BCB" w:rsidRPr="00537BCB">
        <w:t>Efektem wprowadzonej zmiany będzie wyeliminowanie wątpliwości interpretacyjnych w tym zakresie.</w:t>
      </w:r>
    </w:p>
    <w:p w:rsidR="00304836" w:rsidRDefault="00FB5212" w:rsidP="00FB5212">
      <w:pPr>
        <w:pStyle w:val="ARTartustawynprozporzdzenia"/>
        <w:ind w:left="308" w:hanging="308"/>
      </w:pPr>
      <w:r>
        <w:t>2.</w:t>
      </w:r>
      <w:r>
        <w:tab/>
      </w:r>
      <w:r w:rsidR="00304836">
        <w:t xml:space="preserve">Proponuje się wprowadzenie przepisu przejściowego, który będzie </w:t>
      </w:r>
      <w:r w:rsidR="00304836" w:rsidRPr="00942E89">
        <w:rPr>
          <w:i/>
        </w:rPr>
        <w:t>expressis verbis</w:t>
      </w:r>
      <w:r w:rsidR="00304836">
        <w:t xml:space="preserve"> przesądzał, że do spraw wszczętych i niezakończonych przed dniem wejścia w życie niniejszej ustawy, dotyczących pozwoleń wodnoprawnych oraz pozwoleń zintegrowanych stosuje się przepisy ustawy – Prawo wodne oraz ustawy – Prawo ochrony środowiska w brzmieniu nadanym przez procedowany projekt ustawy.</w:t>
      </w:r>
    </w:p>
    <w:p w:rsidR="00304836" w:rsidRDefault="00FB5212" w:rsidP="00FB5212">
      <w:pPr>
        <w:pStyle w:val="ARTartustawynprozporzdzenia"/>
        <w:ind w:left="308" w:hanging="308"/>
      </w:pPr>
      <w:r>
        <w:t>3.</w:t>
      </w:r>
      <w:r>
        <w:tab/>
      </w:r>
      <w:r w:rsidR="00304836" w:rsidRPr="00304836">
        <w:t>Proponuje się wprowadzenie przepisu przejściowego</w:t>
      </w:r>
      <w:r w:rsidR="00304836">
        <w:t>,</w:t>
      </w:r>
      <w:r>
        <w:t xml:space="preserve"> </w:t>
      </w:r>
      <w:r w:rsidR="00942E89">
        <w:t>który</w:t>
      </w:r>
      <w:r w:rsidR="002E10FF">
        <w:t xml:space="preserve"> będzie stanowił, że</w:t>
      </w:r>
      <w:r>
        <w:t xml:space="preserve"> w </w:t>
      </w:r>
      <w:r w:rsidR="00304836">
        <w:t>sprawach</w:t>
      </w:r>
      <w:r w:rsidR="00304836" w:rsidRPr="00304836">
        <w:t xml:space="preserve"> </w:t>
      </w:r>
      <w:r w:rsidR="009A2A71">
        <w:t xml:space="preserve">wszczętych i niezakończonych przed dniem wejścia w życie niniejszej ustawy </w:t>
      </w:r>
      <w:r w:rsidR="00304836">
        <w:t xml:space="preserve">dotyczących decyzji o środowiskowych uwarunkowaniach oraz decyzji, przed których wydaniem przeprowadza się ponowną ocenę oddziaływania na środowisko, stosuje się przepis art. </w:t>
      </w:r>
      <w:r w:rsidR="009A2A71">
        <w:t>397 w brzmieniu nadanym niniejszą ustawą, czyli przepis nowy</w:t>
      </w:r>
      <w:r w:rsidR="00304836">
        <w:t>.</w:t>
      </w:r>
      <w:r w:rsidR="00EE76D2">
        <w:t xml:space="preserve"> Dodatkowo, w związku z faktem przejęcia kompetencji od </w:t>
      </w:r>
      <w:r w:rsidR="00EE76D2">
        <w:rPr>
          <w:rFonts w:hint="eastAsia"/>
        </w:rPr>
        <w:t>zarządów</w:t>
      </w:r>
      <w:r w:rsidR="00EE76D2">
        <w:t xml:space="preserve"> zlewni</w:t>
      </w:r>
      <w:r w:rsidR="0084136E">
        <w:t xml:space="preserve"> Wód Polskich</w:t>
      </w:r>
      <w:r w:rsidR="00EE76D2">
        <w:t xml:space="preserve"> przez dyrektorów regionalnych zarządów gospodarki wodnej</w:t>
      </w:r>
      <w:r w:rsidR="0084136E">
        <w:t xml:space="preserve"> Wód Polskich</w:t>
      </w:r>
      <w:r w:rsidR="00EE76D2">
        <w:t xml:space="preserve"> proponuje się wprowadzenie odpowiednich przepisów określających skuteczność dotychczasowych czynności oraz kwestię przekazania spraw w toku.</w:t>
      </w:r>
    </w:p>
    <w:p w:rsidR="00E200A6" w:rsidRPr="00537BCB" w:rsidRDefault="00FB5212" w:rsidP="00FB5212">
      <w:pPr>
        <w:pStyle w:val="ARTartustawynprozporzdzenia"/>
        <w:ind w:left="308" w:hanging="308"/>
      </w:pPr>
      <w:r>
        <w:t>4.</w:t>
      </w:r>
      <w:r>
        <w:tab/>
      </w:r>
      <w:r w:rsidR="00E200A6" w:rsidRPr="00E200A6">
        <w:t xml:space="preserve">Wprowadzenie w ustawie z dnia 3 października 2008 r. o udostępnianiu informacji </w:t>
      </w:r>
      <w:r>
        <w:t>o </w:t>
      </w:r>
      <w:r w:rsidR="00E200A6" w:rsidRPr="00E200A6">
        <w:t>środowisku i jego ochronie, udziale społeczeńst</w:t>
      </w:r>
      <w:r>
        <w:t>wa w ochronie środowiska oraz o </w:t>
      </w:r>
      <w:r w:rsidR="00E200A6" w:rsidRPr="00E200A6">
        <w:t>ocenach oddziaływania na środowisko</w:t>
      </w:r>
      <w:r w:rsidR="00E200A6">
        <w:t xml:space="preserve"> nowego art. 6a, spowodowało konieczność wprowadzenia regulacji przejściowej określającej, że d</w:t>
      </w:r>
      <w:r>
        <w:t>o spraw wszczętych i </w:t>
      </w:r>
      <w:r w:rsidR="00E200A6" w:rsidRPr="00E200A6">
        <w:t xml:space="preserve">niezakończonych przed dniem wejścia w życie niniejszej ustawy dotyczących decyzji o środowiskowych uwarunkowaniach oraz decyzji, przed wydaniem której </w:t>
      </w:r>
      <w:r w:rsidR="00E200A6" w:rsidRPr="00E200A6">
        <w:lastRenderedPageBreak/>
        <w:t>jest przeprowadzana ponowna ocena oddziaływania na środowisko</w:t>
      </w:r>
      <w:r w:rsidR="00E200A6">
        <w:t>, stosuje się przepisy dotychczasowe.</w:t>
      </w:r>
    </w:p>
    <w:p w:rsidR="004A637A" w:rsidRDefault="00E200A6" w:rsidP="00FB5212">
      <w:pPr>
        <w:pStyle w:val="ARTartustawynprozporzdzenia"/>
        <w:ind w:left="308" w:hanging="308"/>
      </w:pPr>
      <w:r>
        <w:t>5</w:t>
      </w:r>
      <w:r w:rsidR="003E76BB" w:rsidRPr="003E76BB">
        <w:t>.</w:t>
      </w:r>
      <w:r w:rsidR="00FB5212">
        <w:tab/>
      </w:r>
      <w:r>
        <w:t>Proponuje się</w:t>
      </w:r>
      <w:r w:rsidR="003E76BB">
        <w:t xml:space="preserve"> </w:t>
      </w:r>
      <w:r>
        <w:t xml:space="preserve">wprowadzenie regulacji przewidującej, </w:t>
      </w:r>
      <w:r w:rsidR="003E76BB">
        <w:t>że p</w:t>
      </w:r>
      <w:r w:rsidR="00FB5212">
        <w:t>odmioty korzystające z </w:t>
      </w:r>
      <w:r w:rsidR="003E76BB" w:rsidRPr="003E76BB">
        <w:t>usług wodnych składają Państwowemu Gospodarstwu Wodnemu Wody</w:t>
      </w:r>
      <w:r w:rsidR="003E76BB">
        <w:t xml:space="preserve"> Polskie pierwsze oświadczenia w zakresie usług wodnych</w:t>
      </w:r>
      <w:r w:rsidR="003E76BB" w:rsidRPr="003E76BB">
        <w:t>, za pierwszy pełny kwartał przypadający po dniu wejścia w życie ustawy.</w:t>
      </w:r>
    </w:p>
    <w:p w:rsidR="003E76BB" w:rsidRDefault="00E200A6" w:rsidP="00FB5212">
      <w:pPr>
        <w:pStyle w:val="ARTartustawynprozporzdzenia"/>
        <w:ind w:left="308" w:hanging="308"/>
      </w:pPr>
      <w:r>
        <w:t>6</w:t>
      </w:r>
      <w:r w:rsidR="00FB5212">
        <w:t>.</w:t>
      </w:r>
      <w:r w:rsidR="00FB5212">
        <w:tab/>
      </w:r>
      <w:r w:rsidR="003E76BB">
        <w:t>W związku ze zmianami dotyczącymi prowadzenia postępowań w zakresie reklamacji proponuje się przepis przejściowy, zgodnie z którym d</w:t>
      </w:r>
      <w:r w:rsidR="003E76BB" w:rsidRPr="003E76BB">
        <w:t xml:space="preserve">o spraw wszczętych i niezakończonych przed dniem wejścia w życie ustawy dotyczących reklamacji, o których mowa w art. 273 ust. 1 ustawy </w:t>
      </w:r>
      <w:r w:rsidR="003E76BB">
        <w:t>– Prawo wodne</w:t>
      </w:r>
      <w:r w:rsidR="003E76BB" w:rsidRPr="003E76BB">
        <w:t xml:space="preserve">, stosuje się przepisy ustawy </w:t>
      </w:r>
      <w:r w:rsidR="003E76BB">
        <w:t>– Prawo wodne</w:t>
      </w:r>
      <w:r w:rsidR="003E76BB" w:rsidRPr="003E76BB">
        <w:t xml:space="preserve"> w brzmieniu dotychczasowym.</w:t>
      </w:r>
    </w:p>
    <w:p w:rsidR="003E76BB" w:rsidRDefault="00E200A6" w:rsidP="00FB5212">
      <w:pPr>
        <w:pStyle w:val="ARTartustawynprozporzdzenia"/>
        <w:ind w:left="308" w:hanging="308"/>
      </w:pPr>
      <w:r>
        <w:t>7</w:t>
      </w:r>
      <w:r w:rsidR="003E76BB">
        <w:t>.</w:t>
      </w:r>
      <w:r w:rsidR="00FB5212">
        <w:tab/>
      </w:r>
      <w:r w:rsidR="00185954">
        <w:t>W</w:t>
      </w:r>
      <w:r w:rsidR="003E76BB">
        <w:t xml:space="preserve"> związku z faktem, że w projekcie ustawy proponuje się rozwiązanie, zgodnie </w:t>
      </w:r>
      <w:r w:rsidR="00FB5212">
        <w:t>z </w:t>
      </w:r>
      <w:r w:rsidR="003E76BB">
        <w:t xml:space="preserve">którym </w:t>
      </w:r>
      <w:r w:rsidR="00185954">
        <w:t>ustala się minimalny próg</w:t>
      </w:r>
      <w:r w:rsidR="00185954" w:rsidRPr="00185954">
        <w:t>, od którego pob</w:t>
      </w:r>
      <w:r w:rsidR="00185954">
        <w:t>iera się opłatę za usługi wodne, zachodzi potrzeba wprowadzenia przepisu przejściowego, który pozwoli na równe traktowanie wszystkich podmiotów. Rekomen</w:t>
      </w:r>
      <w:r w:rsidR="00FB5212">
        <w:t>duje się rozwiązanie, zgodnie z </w:t>
      </w:r>
      <w:r w:rsidR="00185954">
        <w:t>którym minimalny próg opłaty stałej stosuje się od 2019 r., natomiast minimalny próg opłaty zmiennej od pierwszego pełnego</w:t>
      </w:r>
      <w:r w:rsidR="00185954" w:rsidRPr="00185954">
        <w:t xml:space="preserve"> kwartał</w:t>
      </w:r>
      <w:r w:rsidR="00185954">
        <w:t>u przypadającego</w:t>
      </w:r>
      <w:r w:rsidR="00185954" w:rsidRPr="00185954">
        <w:t xml:space="preserve"> po dniu wejścia w życie ustawy</w:t>
      </w:r>
      <w:r w:rsidR="00185954">
        <w:t>.</w:t>
      </w:r>
    </w:p>
    <w:p w:rsidR="00185954" w:rsidRPr="003E76BB" w:rsidRDefault="00E200A6" w:rsidP="00FB5212">
      <w:pPr>
        <w:pStyle w:val="ARTartustawynprozporzdzenia"/>
        <w:ind w:left="308" w:hanging="308"/>
      </w:pPr>
      <w:r>
        <w:t>8</w:t>
      </w:r>
      <w:r w:rsidR="00FB5212">
        <w:t>.</w:t>
      </w:r>
      <w:r w:rsidR="00FB5212">
        <w:tab/>
      </w:r>
      <w:r w:rsidR="00185954">
        <w:t>Proponuje się rozwiązanie przejściowe, zgodnie z którym w</w:t>
      </w:r>
      <w:r w:rsidR="00185954" w:rsidRPr="00185954">
        <w:t>łaściciel urządzenia melioracji wodnych, które nie zostało wykonane na koszt Skarbu Państwa i które zostało wykonane po dniu wejścia w życie ustawy zmienianej w art. 1, zgłasza to urządzenie do Wód Polskich w terminie 60 dni od dnia wejścia w życie niniejszej ustawy.</w:t>
      </w:r>
    </w:p>
    <w:p w:rsidR="00E87D1E" w:rsidRPr="008E486C" w:rsidRDefault="00E87D1E" w:rsidP="00FB5212">
      <w:pPr>
        <w:pStyle w:val="NIEARTTEKSTtekstnieartykuowanynppodstprawnarozplubpreambua"/>
        <w:ind w:firstLine="0"/>
        <w:rPr>
          <w:u w:val="single"/>
        </w:rPr>
      </w:pPr>
      <w:r w:rsidRPr="008E486C">
        <w:rPr>
          <w:u w:val="single"/>
        </w:rPr>
        <w:t>Notyfikacja</w:t>
      </w:r>
    </w:p>
    <w:p w:rsidR="008E486C" w:rsidRDefault="008E486C" w:rsidP="00FB5212">
      <w:pPr>
        <w:pStyle w:val="NIEARTTEKSTtekstnieartykuowanynppodstprawnarozplubpreambua"/>
        <w:ind w:firstLine="0"/>
      </w:pPr>
      <w:r>
        <w:t xml:space="preserve">Projekt </w:t>
      </w:r>
      <w:r w:rsidR="00185954">
        <w:t>ustawy</w:t>
      </w:r>
      <w:r>
        <w:t xml:space="preserve">, zgodnie z rozporządzeniem Rady Ministrów z dnia 23 grudnia 2002 r. w sprawie sposobu funkcjonowania krajowego systemu notyfikacji norm i aktów prawnych (Dz. U. poz. 2039 oraz z 2004 r. poz. 597), nie wymaga notyfikacji. </w:t>
      </w:r>
    </w:p>
    <w:p w:rsidR="00185954" w:rsidRDefault="00185954" w:rsidP="00FB5212">
      <w:pPr>
        <w:pStyle w:val="ARTartustawynprozporzdzenia"/>
        <w:ind w:firstLine="0"/>
      </w:pPr>
      <w:r>
        <w:t>Projekt ustawy nie wymagał zasięgnięcia opinii, dokonania konsultacji albo uzgodnienia z organami i instytucjami Unii Europejskiej, w tym Europejskim Bankiem Centralnym</w:t>
      </w:r>
      <w:r w:rsidR="0032286F">
        <w:t>.</w:t>
      </w:r>
    </w:p>
    <w:p w:rsidR="0032286F" w:rsidRPr="0032286F" w:rsidRDefault="0032286F" w:rsidP="00FB5212">
      <w:pPr>
        <w:pStyle w:val="ARTartustawynprozporzdzenia"/>
        <w:keepNext/>
        <w:ind w:firstLine="0"/>
        <w:rPr>
          <w:u w:val="single"/>
        </w:rPr>
      </w:pPr>
      <w:r w:rsidRPr="0032286F">
        <w:rPr>
          <w:u w:val="single"/>
        </w:rPr>
        <w:lastRenderedPageBreak/>
        <w:t>Wpływ na przedsiębiorców</w:t>
      </w:r>
    </w:p>
    <w:p w:rsidR="0032286F" w:rsidRDefault="00F813A4" w:rsidP="00FB5212">
      <w:pPr>
        <w:pStyle w:val="ARTartustawynprozporzdzenia"/>
        <w:keepNext/>
        <w:ind w:firstLine="0"/>
      </w:pPr>
      <w:r>
        <w:t>Projektowana ustawa będzie miała wpływ</w:t>
      </w:r>
      <w:r w:rsidR="0032286F" w:rsidRPr="0032286F">
        <w:t xml:space="preserve"> na działalność mikroprzedsiębiorców oraz małych i </w:t>
      </w:r>
      <w:r>
        <w:t>średnich przedsiębiorców.</w:t>
      </w:r>
    </w:p>
    <w:p w:rsidR="00F813A4" w:rsidRDefault="00F813A4" w:rsidP="00FB5212">
      <w:pPr>
        <w:pStyle w:val="ARTartustawynprozporzdzenia"/>
        <w:ind w:firstLine="0"/>
        <w:rPr>
          <w:u w:val="single"/>
        </w:rPr>
      </w:pPr>
      <w:r w:rsidRPr="00F813A4">
        <w:rPr>
          <w:u w:val="single"/>
        </w:rPr>
        <w:t xml:space="preserve">Wpływ </w:t>
      </w:r>
      <w:r w:rsidR="006822B9">
        <w:rPr>
          <w:u w:val="single"/>
        </w:rPr>
        <w:t xml:space="preserve">na </w:t>
      </w:r>
      <w:r w:rsidRPr="00F813A4">
        <w:rPr>
          <w:u w:val="single"/>
        </w:rPr>
        <w:t>sytuację ekonomiczną i społeczną rodziny, a także osób niepeł</w:t>
      </w:r>
      <w:r>
        <w:rPr>
          <w:u w:val="single"/>
        </w:rPr>
        <w:t>nosprawnych oraz osób starszych</w:t>
      </w:r>
    </w:p>
    <w:p w:rsidR="00F813A4" w:rsidRPr="00F813A4" w:rsidRDefault="00F813A4" w:rsidP="00FB5212">
      <w:pPr>
        <w:pStyle w:val="ARTartustawynprozporzdzenia"/>
        <w:ind w:firstLine="0"/>
      </w:pPr>
      <w:r w:rsidRPr="00F813A4">
        <w:t>Projektowana ustawa nie ma wpływu na sytuację ekonomiczną i społeczną rodziny, a</w:t>
      </w:r>
      <w:r w:rsidR="00FB5212">
        <w:t> </w:t>
      </w:r>
      <w:r w:rsidRPr="00F813A4">
        <w:t>także osób niepełnosprawnych oraz osób starszych.</w:t>
      </w:r>
    </w:p>
    <w:p w:rsidR="008E486C" w:rsidRDefault="008E486C" w:rsidP="00FB5212">
      <w:pPr>
        <w:pStyle w:val="ARTartustawynprozporzdzenia"/>
        <w:ind w:firstLine="0"/>
        <w:rPr>
          <w:u w:val="single"/>
        </w:rPr>
      </w:pPr>
      <w:r w:rsidRPr="008E486C">
        <w:rPr>
          <w:u w:val="single"/>
        </w:rPr>
        <w:t>Lobbing</w:t>
      </w:r>
    </w:p>
    <w:p w:rsidR="0032286F" w:rsidRDefault="008E486C" w:rsidP="00FB5212">
      <w:pPr>
        <w:pStyle w:val="ARTartustawynprozporzdzenia"/>
        <w:ind w:firstLine="0"/>
      </w:pPr>
      <w:r w:rsidRPr="008E486C">
        <w:t xml:space="preserve">Projekt </w:t>
      </w:r>
      <w:r w:rsidR="007F4038">
        <w:t>ustawy</w:t>
      </w:r>
      <w:r w:rsidRPr="008E486C">
        <w:t xml:space="preserve">, zgodnie z art. 5 ustawy z dnia 7 lipca 2005 r. o działalności lobbingowej w procesie stanowienia prawa (Dz. </w:t>
      </w:r>
      <w:r w:rsidR="00460920">
        <w:t>U. z 2017 r. poz. 248) został</w:t>
      </w:r>
      <w:r w:rsidRPr="008E486C">
        <w:t xml:space="preserve"> zamieszczony w Biuletynie Informacji Publicznej Rządowego Centrum Legislacji.</w:t>
      </w:r>
      <w:r w:rsidR="00460920">
        <w:t xml:space="preserve"> Nie odnotowano zgłoszenia zainteresowania pracami nad tą ustawą ze strony podmiotów wykonujących działalność lobbingową w procesie stanowienia prawa.</w:t>
      </w:r>
    </w:p>
    <w:p w:rsidR="008E486C" w:rsidRPr="008E486C" w:rsidRDefault="008E486C" w:rsidP="00FB5212">
      <w:pPr>
        <w:pStyle w:val="ARTartustawynprozporzdzenia"/>
        <w:ind w:firstLine="0"/>
        <w:rPr>
          <w:u w:val="single"/>
        </w:rPr>
      </w:pPr>
      <w:r w:rsidRPr="008E486C">
        <w:rPr>
          <w:u w:val="single"/>
        </w:rPr>
        <w:t>Zgodność z prawem UE</w:t>
      </w:r>
    </w:p>
    <w:p w:rsidR="00E87D1E" w:rsidRDefault="007F4038" w:rsidP="00FB5212">
      <w:pPr>
        <w:pStyle w:val="NIEARTTEKSTtekstnieartykuowanynppodstprawnarozplubpreambua"/>
        <w:ind w:firstLine="0"/>
      </w:pPr>
      <w:r>
        <w:t>Projekt ustawy</w:t>
      </w:r>
      <w:r w:rsidR="008E486C">
        <w:t xml:space="preserve"> jest zgodny z prawem Unii Europejskiej.</w:t>
      </w:r>
    </w:p>
    <w:p w:rsidR="00E87D1E" w:rsidRDefault="00E87D1E" w:rsidP="00FB5212">
      <w:pPr>
        <w:pStyle w:val="NIEARTTEKSTtekstnieartykuowanynppodstprawnarozplubpreambua"/>
        <w:ind w:firstLine="0"/>
        <w:rPr>
          <w:u w:val="single"/>
        </w:rPr>
      </w:pPr>
      <w:r w:rsidRPr="00E87D1E">
        <w:rPr>
          <w:u w:val="single"/>
        </w:rPr>
        <w:t xml:space="preserve">Wejście w życie </w:t>
      </w:r>
    </w:p>
    <w:p w:rsidR="008E486C" w:rsidRDefault="008E486C" w:rsidP="00FB5212">
      <w:pPr>
        <w:pStyle w:val="ARTartustawynprozporzdzenia"/>
        <w:ind w:firstLine="0"/>
      </w:pPr>
      <w:r w:rsidRPr="008E486C">
        <w:t xml:space="preserve">Zakłada się, że </w:t>
      </w:r>
      <w:r>
        <w:t>ustawa wejdzie w życie w II</w:t>
      </w:r>
      <w:r w:rsidRPr="008E486C">
        <w:t xml:space="preserve"> kwartale 2018 r.</w:t>
      </w:r>
    </w:p>
    <w:p w:rsidR="00185954" w:rsidRDefault="00185954" w:rsidP="00FB5212">
      <w:pPr>
        <w:pStyle w:val="ARTartustawynprozporzdzenia"/>
        <w:ind w:firstLine="0"/>
      </w:pPr>
      <w:r>
        <w:t xml:space="preserve">W związku z koniecznością dostosowania się podmiotów do przepisów art. 101 ust. 1 oraz </w:t>
      </w:r>
      <w:r w:rsidR="00EE76D2">
        <w:t xml:space="preserve">303 ust. 2 ustawy – Prawo wodne wydłużono okres </w:t>
      </w:r>
      <w:r w:rsidR="00EE76D2" w:rsidRPr="00942E89">
        <w:rPr>
          <w:i/>
        </w:rPr>
        <w:t>vacatio legis</w:t>
      </w:r>
      <w:r w:rsidR="00EE76D2">
        <w:t xml:space="preserve"> do 90 dni.</w:t>
      </w:r>
    </w:p>
    <w:p w:rsidR="00EE76D2" w:rsidRPr="008E486C" w:rsidRDefault="00EE76D2" w:rsidP="00FB5212">
      <w:pPr>
        <w:pStyle w:val="ARTartustawynprozporzdzenia"/>
        <w:ind w:firstLine="0"/>
      </w:pPr>
      <w:r>
        <w:t xml:space="preserve">Zakłada się, że przepis określający deklaracje składane przez elektrownie wodne wejdzie w życie od 1 stycznia 2021 r., natomiast w okresie przejściowym elektrownie wodne będą objęte projektowanym przepisem art. 552, określającym oświadczenia. </w:t>
      </w:r>
    </w:p>
    <w:sectPr w:rsidR="00EE76D2" w:rsidRPr="008E486C" w:rsidSect="00E26414">
      <w:footerReference w:type="default" r:id="rId8"/>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1CC" w:rsidRDefault="00A731CC">
      <w:pPr>
        <w:spacing w:line="240" w:lineRule="auto"/>
      </w:pPr>
      <w:r>
        <w:separator/>
      </w:r>
    </w:p>
  </w:endnote>
  <w:endnote w:type="continuationSeparator" w:id="0">
    <w:p w:rsidR="00A731CC" w:rsidRDefault="00A731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754973"/>
      <w:docPartObj>
        <w:docPartGallery w:val="Page Numbers (Bottom of Page)"/>
        <w:docPartUnique/>
      </w:docPartObj>
    </w:sdtPr>
    <w:sdtEndPr/>
    <w:sdtContent>
      <w:p w:rsidR="005C0F20" w:rsidRDefault="005C0F20" w:rsidP="005C0F20">
        <w:pPr>
          <w:pStyle w:val="Stopka"/>
          <w:jc w:val="center"/>
        </w:pPr>
        <w:r>
          <w:fldChar w:fldCharType="begin"/>
        </w:r>
        <w:r>
          <w:instrText>PAGE   \* MERGEFORMAT</w:instrText>
        </w:r>
        <w:r>
          <w:fldChar w:fldCharType="separate"/>
        </w:r>
        <w:r w:rsidR="00E17554">
          <w:rPr>
            <w:noProof/>
          </w:rPr>
          <w:t>19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1CC" w:rsidRDefault="00A731CC">
      <w:pPr>
        <w:spacing w:line="240" w:lineRule="auto"/>
      </w:pPr>
      <w:r>
        <w:separator/>
      </w:r>
    </w:p>
  </w:footnote>
  <w:footnote w:type="continuationSeparator" w:id="0">
    <w:p w:rsidR="00A731CC" w:rsidRDefault="00A731C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15436"/>
    <w:multiLevelType w:val="hybridMultilevel"/>
    <w:tmpl w:val="3E56DABA"/>
    <w:lvl w:ilvl="0" w:tplc="5B66F63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nsid w:val="420F04B2"/>
    <w:multiLevelType w:val="hybridMultilevel"/>
    <w:tmpl w:val="8F32E80C"/>
    <w:lvl w:ilvl="0" w:tplc="69F0972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nsid w:val="54272F7F"/>
    <w:multiLevelType w:val="hybridMultilevel"/>
    <w:tmpl w:val="9DC4E3AA"/>
    <w:lvl w:ilvl="0" w:tplc="7D62BD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77875591"/>
    <w:multiLevelType w:val="hybridMultilevel"/>
    <w:tmpl w:val="DB9E00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D1E"/>
    <w:rsid w:val="00010D7A"/>
    <w:rsid w:val="00014A43"/>
    <w:rsid w:val="00060647"/>
    <w:rsid w:val="000823A5"/>
    <w:rsid w:val="000B3505"/>
    <w:rsid w:val="000E12DB"/>
    <w:rsid w:val="000F23BE"/>
    <w:rsid w:val="001611C9"/>
    <w:rsid w:val="00185954"/>
    <w:rsid w:val="001C349D"/>
    <w:rsid w:val="0024218D"/>
    <w:rsid w:val="002E10FF"/>
    <w:rsid w:val="00304836"/>
    <w:rsid w:val="0032286F"/>
    <w:rsid w:val="00332D55"/>
    <w:rsid w:val="003334E1"/>
    <w:rsid w:val="00333BC8"/>
    <w:rsid w:val="00377415"/>
    <w:rsid w:val="003906A9"/>
    <w:rsid w:val="003B4598"/>
    <w:rsid w:val="003D627D"/>
    <w:rsid w:val="003E76BB"/>
    <w:rsid w:val="00436686"/>
    <w:rsid w:val="00460920"/>
    <w:rsid w:val="004A637A"/>
    <w:rsid w:val="004D47FB"/>
    <w:rsid w:val="004F33BA"/>
    <w:rsid w:val="004F3804"/>
    <w:rsid w:val="0050319F"/>
    <w:rsid w:val="00537BCB"/>
    <w:rsid w:val="00581434"/>
    <w:rsid w:val="005A21DC"/>
    <w:rsid w:val="005C0F20"/>
    <w:rsid w:val="0060457F"/>
    <w:rsid w:val="0063447C"/>
    <w:rsid w:val="0065616B"/>
    <w:rsid w:val="0066688F"/>
    <w:rsid w:val="006822B9"/>
    <w:rsid w:val="00690101"/>
    <w:rsid w:val="006B22D7"/>
    <w:rsid w:val="006F442F"/>
    <w:rsid w:val="00766F48"/>
    <w:rsid w:val="00794C3C"/>
    <w:rsid w:val="007A68E8"/>
    <w:rsid w:val="007D45DD"/>
    <w:rsid w:val="007D747B"/>
    <w:rsid w:val="007F4038"/>
    <w:rsid w:val="0080445E"/>
    <w:rsid w:val="0084136E"/>
    <w:rsid w:val="008D227E"/>
    <w:rsid w:val="008E486C"/>
    <w:rsid w:val="008F58F7"/>
    <w:rsid w:val="008F75F0"/>
    <w:rsid w:val="00911179"/>
    <w:rsid w:val="00942E89"/>
    <w:rsid w:val="00944BD1"/>
    <w:rsid w:val="0095049D"/>
    <w:rsid w:val="0095132C"/>
    <w:rsid w:val="00980769"/>
    <w:rsid w:val="009A2A71"/>
    <w:rsid w:val="009C354D"/>
    <w:rsid w:val="00A019F4"/>
    <w:rsid w:val="00A11B70"/>
    <w:rsid w:val="00A24A24"/>
    <w:rsid w:val="00A731CC"/>
    <w:rsid w:val="00A91010"/>
    <w:rsid w:val="00A96CFB"/>
    <w:rsid w:val="00AB68B3"/>
    <w:rsid w:val="00AC27BA"/>
    <w:rsid w:val="00AC3DA9"/>
    <w:rsid w:val="00AC6BBE"/>
    <w:rsid w:val="00AD5F4F"/>
    <w:rsid w:val="00B10666"/>
    <w:rsid w:val="00B50411"/>
    <w:rsid w:val="00B93D64"/>
    <w:rsid w:val="00BE4B42"/>
    <w:rsid w:val="00C11B11"/>
    <w:rsid w:val="00C95C28"/>
    <w:rsid w:val="00C96BEA"/>
    <w:rsid w:val="00CA5F56"/>
    <w:rsid w:val="00CE03A4"/>
    <w:rsid w:val="00DC5391"/>
    <w:rsid w:val="00DD2D3D"/>
    <w:rsid w:val="00DE64CF"/>
    <w:rsid w:val="00E00CDE"/>
    <w:rsid w:val="00E17554"/>
    <w:rsid w:val="00E200A6"/>
    <w:rsid w:val="00E26414"/>
    <w:rsid w:val="00E67640"/>
    <w:rsid w:val="00E87D1E"/>
    <w:rsid w:val="00E93779"/>
    <w:rsid w:val="00EA6918"/>
    <w:rsid w:val="00EB701A"/>
    <w:rsid w:val="00EC3A8C"/>
    <w:rsid w:val="00EE35C5"/>
    <w:rsid w:val="00EE76D2"/>
    <w:rsid w:val="00EF404F"/>
    <w:rsid w:val="00F37819"/>
    <w:rsid w:val="00F813A4"/>
    <w:rsid w:val="00FB5212"/>
    <w:rsid w:val="00FB5716"/>
    <w:rsid w:val="00FD4771"/>
    <w:rsid w:val="00FD5C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7D1E"/>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87D1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E87D1E"/>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E87D1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E87D1E"/>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87D1E"/>
    <w:rPr>
      <w:bCs/>
    </w:rPr>
  </w:style>
  <w:style w:type="paragraph" w:customStyle="1" w:styleId="PKTpunkt">
    <w:name w:val="PKT – punkt"/>
    <w:uiPriority w:val="13"/>
    <w:qFormat/>
    <w:rsid w:val="00E87D1E"/>
    <w:pPr>
      <w:spacing w:after="0" w:line="360" w:lineRule="auto"/>
      <w:ind w:left="510" w:hanging="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E87D1E"/>
    <w:rPr>
      <w:i/>
    </w:rPr>
  </w:style>
  <w:style w:type="character" w:styleId="Odwoaniedokomentarza">
    <w:name w:val="annotation reference"/>
    <w:basedOn w:val="Domylnaczcionkaakapitu"/>
    <w:uiPriority w:val="99"/>
    <w:semiHidden/>
    <w:unhideWhenUsed/>
    <w:rsid w:val="000B3505"/>
    <w:rPr>
      <w:sz w:val="16"/>
      <w:szCs w:val="16"/>
    </w:rPr>
  </w:style>
  <w:style w:type="paragraph" w:styleId="Tekstkomentarza">
    <w:name w:val="annotation text"/>
    <w:basedOn w:val="Normalny"/>
    <w:link w:val="TekstkomentarzaZnak"/>
    <w:uiPriority w:val="99"/>
    <w:semiHidden/>
    <w:unhideWhenUsed/>
    <w:rsid w:val="000B3505"/>
    <w:pPr>
      <w:spacing w:line="240" w:lineRule="auto"/>
    </w:pPr>
    <w:rPr>
      <w:sz w:val="20"/>
    </w:rPr>
  </w:style>
  <w:style w:type="character" w:customStyle="1" w:styleId="TekstkomentarzaZnak">
    <w:name w:val="Tekst komentarza Znak"/>
    <w:basedOn w:val="Domylnaczcionkaakapitu"/>
    <w:link w:val="Tekstkomentarza"/>
    <w:uiPriority w:val="99"/>
    <w:semiHidden/>
    <w:rsid w:val="000B3505"/>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B3505"/>
    <w:rPr>
      <w:b/>
      <w:bCs/>
    </w:rPr>
  </w:style>
  <w:style w:type="character" w:customStyle="1" w:styleId="TematkomentarzaZnak">
    <w:name w:val="Temat komentarza Znak"/>
    <w:basedOn w:val="TekstkomentarzaZnak"/>
    <w:link w:val="Tematkomentarza"/>
    <w:uiPriority w:val="99"/>
    <w:semiHidden/>
    <w:rsid w:val="000B3505"/>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0B350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3505"/>
    <w:rPr>
      <w:rFonts w:ascii="Tahoma" w:eastAsiaTheme="minorEastAsia" w:hAnsi="Tahoma" w:cs="Tahoma"/>
      <w:sz w:val="16"/>
      <w:szCs w:val="16"/>
      <w:lang w:eastAsia="pl-PL"/>
    </w:rPr>
  </w:style>
  <w:style w:type="paragraph" w:styleId="Tekstprzypisukocowego">
    <w:name w:val="endnote text"/>
    <w:basedOn w:val="Normalny"/>
    <w:link w:val="TekstprzypisukocowegoZnak"/>
    <w:uiPriority w:val="99"/>
    <w:semiHidden/>
    <w:unhideWhenUsed/>
    <w:rsid w:val="00EE76D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E76D2"/>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EE76D2"/>
    <w:rPr>
      <w:vertAlign w:val="superscript"/>
    </w:rPr>
  </w:style>
  <w:style w:type="paragraph" w:styleId="Stopka">
    <w:name w:val="footer"/>
    <w:basedOn w:val="Normalny"/>
    <w:link w:val="StopkaZnak"/>
    <w:uiPriority w:val="99"/>
    <w:unhideWhenUsed/>
    <w:rsid w:val="005C0F20"/>
    <w:pPr>
      <w:tabs>
        <w:tab w:val="center" w:pos="4536"/>
        <w:tab w:val="right" w:pos="9072"/>
      </w:tabs>
      <w:spacing w:line="240" w:lineRule="auto"/>
    </w:pPr>
  </w:style>
  <w:style w:type="character" w:customStyle="1" w:styleId="StopkaZnak">
    <w:name w:val="Stopka Znak"/>
    <w:basedOn w:val="Domylnaczcionkaakapitu"/>
    <w:link w:val="Stopka"/>
    <w:uiPriority w:val="99"/>
    <w:rsid w:val="005C0F20"/>
    <w:rPr>
      <w:rFonts w:ascii="Times New Roman" w:eastAsiaTheme="minorEastAsia" w:hAnsi="Times New Roman"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7D1E"/>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87D1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E87D1E"/>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E87D1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E87D1E"/>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87D1E"/>
    <w:rPr>
      <w:bCs/>
    </w:rPr>
  </w:style>
  <w:style w:type="paragraph" w:customStyle="1" w:styleId="PKTpunkt">
    <w:name w:val="PKT – punkt"/>
    <w:uiPriority w:val="13"/>
    <w:qFormat/>
    <w:rsid w:val="00E87D1E"/>
    <w:pPr>
      <w:spacing w:after="0" w:line="360" w:lineRule="auto"/>
      <w:ind w:left="510" w:hanging="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E87D1E"/>
    <w:rPr>
      <w:i/>
    </w:rPr>
  </w:style>
  <w:style w:type="character" w:styleId="Odwoaniedokomentarza">
    <w:name w:val="annotation reference"/>
    <w:basedOn w:val="Domylnaczcionkaakapitu"/>
    <w:uiPriority w:val="99"/>
    <w:semiHidden/>
    <w:unhideWhenUsed/>
    <w:rsid w:val="000B3505"/>
    <w:rPr>
      <w:sz w:val="16"/>
      <w:szCs w:val="16"/>
    </w:rPr>
  </w:style>
  <w:style w:type="paragraph" w:styleId="Tekstkomentarza">
    <w:name w:val="annotation text"/>
    <w:basedOn w:val="Normalny"/>
    <w:link w:val="TekstkomentarzaZnak"/>
    <w:uiPriority w:val="99"/>
    <w:semiHidden/>
    <w:unhideWhenUsed/>
    <w:rsid w:val="000B3505"/>
    <w:pPr>
      <w:spacing w:line="240" w:lineRule="auto"/>
    </w:pPr>
    <w:rPr>
      <w:sz w:val="20"/>
    </w:rPr>
  </w:style>
  <w:style w:type="character" w:customStyle="1" w:styleId="TekstkomentarzaZnak">
    <w:name w:val="Tekst komentarza Znak"/>
    <w:basedOn w:val="Domylnaczcionkaakapitu"/>
    <w:link w:val="Tekstkomentarza"/>
    <w:uiPriority w:val="99"/>
    <w:semiHidden/>
    <w:rsid w:val="000B3505"/>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B3505"/>
    <w:rPr>
      <w:b/>
      <w:bCs/>
    </w:rPr>
  </w:style>
  <w:style w:type="character" w:customStyle="1" w:styleId="TematkomentarzaZnak">
    <w:name w:val="Temat komentarza Znak"/>
    <w:basedOn w:val="TekstkomentarzaZnak"/>
    <w:link w:val="Tematkomentarza"/>
    <w:uiPriority w:val="99"/>
    <w:semiHidden/>
    <w:rsid w:val="000B3505"/>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0B350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3505"/>
    <w:rPr>
      <w:rFonts w:ascii="Tahoma" w:eastAsiaTheme="minorEastAsia" w:hAnsi="Tahoma" w:cs="Tahoma"/>
      <w:sz w:val="16"/>
      <w:szCs w:val="16"/>
      <w:lang w:eastAsia="pl-PL"/>
    </w:rPr>
  </w:style>
  <w:style w:type="paragraph" w:styleId="Tekstprzypisukocowego">
    <w:name w:val="endnote text"/>
    <w:basedOn w:val="Normalny"/>
    <w:link w:val="TekstprzypisukocowegoZnak"/>
    <w:uiPriority w:val="99"/>
    <w:semiHidden/>
    <w:unhideWhenUsed/>
    <w:rsid w:val="00EE76D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E76D2"/>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EE76D2"/>
    <w:rPr>
      <w:vertAlign w:val="superscript"/>
    </w:rPr>
  </w:style>
  <w:style w:type="paragraph" w:styleId="Stopka">
    <w:name w:val="footer"/>
    <w:basedOn w:val="Normalny"/>
    <w:link w:val="StopkaZnak"/>
    <w:uiPriority w:val="99"/>
    <w:unhideWhenUsed/>
    <w:rsid w:val="005C0F20"/>
    <w:pPr>
      <w:tabs>
        <w:tab w:val="center" w:pos="4536"/>
        <w:tab w:val="right" w:pos="9072"/>
      </w:tabs>
      <w:spacing w:line="240" w:lineRule="auto"/>
    </w:pPr>
  </w:style>
  <w:style w:type="character" w:customStyle="1" w:styleId="StopkaZnak">
    <w:name w:val="Stopka Znak"/>
    <w:basedOn w:val="Domylnaczcionkaakapitu"/>
    <w:link w:val="Stopka"/>
    <w:uiPriority w:val="99"/>
    <w:rsid w:val="005C0F20"/>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6080</Words>
  <Characters>36481</Characters>
  <Application>Microsoft Office Word</Application>
  <DocSecurity>0</DocSecurity>
  <Lines>304</Lines>
  <Paragraphs>84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42477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Sztobryn Mateusz</dc:creator>
  <cp:lastModifiedBy>Ewa A. Genert</cp:lastModifiedBy>
  <cp:revision>2</cp:revision>
  <cp:lastPrinted>2018-06-04T06:35:00Z</cp:lastPrinted>
  <dcterms:created xsi:type="dcterms:W3CDTF">2018-06-14T12:22:00Z</dcterms:created>
  <dcterms:modified xsi:type="dcterms:W3CDTF">2018-06-14T12:22:00Z</dcterms:modified>
</cp:coreProperties>
</file>