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7FB" w:rsidRPr="000137FB" w:rsidRDefault="000137FB" w:rsidP="006377CA">
      <w:pPr>
        <w:suppressAutoHyphens/>
        <w:autoSpaceDE w:val="0"/>
        <w:autoSpaceDN w:val="0"/>
        <w:adjustRightInd w:val="0"/>
        <w:spacing w:before="60" w:after="60" w:line="360" w:lineRule="auto"/>
        <w:jc w:val="center"/>
        <w:rPr>
          <w:rFonts w:ascii="Times New Roman" w:eastAsia="Times New Roman" w:hAnsi="Times New Roman" w:cs="Times New Roman"/>
          <w:bCs/>
          <w:sz w:val="24"/>
          <w:szCs w:val="20"/>
          <w:lang w:eastAsia="pl-PL"/>
        </w:rPr>
      </w:pPr>
      <w:bookmarkStart w:id="0" w:name="_GoBack"/>
      <w:bookmarkEnd w:id="0"/>
      <w:r w:rsidRPr="000137FB">
        <w:rPr>
          <w:rFonts w:ascii="Times New Roman" w:eastAsia="Times New Roman" w:hAnsi="Times New Roman" w:cs="Times New Roman"/>
          <w:bCs/>
          <w:sz w:val="24"/>
          <w:szCs w:val="20"/>
          <w:lang w:eastAsia="pl-PL"/>
        </w:rPr>
        <w:t>UZASADNIENIE</w:t>
      </w:r>
    </w:p>
    <w:p w:rsidR="000137FB" w:rsidRPr="000137FB" w:rsidRDefault="000137FB" w:rsidP="006377CA">
      <w:pPr>
        <w:suppressAutoHyphens/>
        <w:autoSpaceDE w:val="0"/>
        <w:autoSpaceDN w:val="0"/>
        <w:adjustRightInd w:val="0"/>
        <w:spacing w:before="24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Charakter nowelizowanej ustawy z dnia 20 lutego 2015 r. o rozwoju lokalnym z</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udziałem lokalnej społeczności (Dz. U. z 2018 r. poz. 140), zwanej dalej „ustawą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RLKS”, jest zdeterminowany regulacjami wspólnotowymi, przede wszystkim regulacjami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Rybackiego oraz uchylającego rozporządzenie Rady (WE) nr 1083/2006 (Dz. Urz. UE L 347 z 20.12.2013, str. 320</w:t>
      </w:r>
      <w:r w:rsidR="00B04A91">
        <w:rPr>
          <w:rFonts w:ascii="Times New Roman" w:eastAsia="Times New Roman" w:hAnsi="Times New Roman" w:cs="Times New Roman"/>
          <w:bCs/>
          <w:sz w:val="24"/>
          <w:szCs w:val="20"/>
          <w:lang w:eastAsia="pl-PL"/>
        </w:rPr>
        <w:t>,</w:t>
      </w:r>
      <w:r w:rsidRPr="000137FB">
        <w:rPr>
          <w:rFonts w:ascii="Times New Roman" w:eastAsia="Times New Roman" w:hAnsi="Times New Roman" w:cs="Times New Roman"/>
          <w:bCs/>
          <w:sz w:val="24"/>
          <w:szCs w:val="20"/>
          <w:lang w:eastAsia="pl-PL"/>
        </w:rPr>
        <w:t xml:space="preserve"> z późn. zm.), zwanego dalej „rozporządzeniem 1303/2013”, w szczególności dyspozycjami zawartymi w art. 32</w:t>
      </w:r>
      <w:r w:rsidR="006377CA">
        <w:rPr>
          <w:rFonts w:ascii="Times New Roman" w:eastAsia="Times New Roman" w:hAnsi="Times New Roman" w:cs="Times New Roman"/>
          <w:bCs/>
          <w:sz w:val="24"/>
          <w:szCs w:val="20"/>
          <w:lang w:eastAsia="pl-PL"/>
        </w:rPr>
        <w:t>–</w:t>
      </w:r>
      <w:r w:rsidRPr="000137FB">
        <w:rPr>
          <w:rFonts w:ascii="Times New Roman" w:eastAsia="Times New Roman" w:hAnsi="Times New Roman" w:cs="Times New Roman"/>
          <w:bCs/>
          <w:sz w:val="24"/>
          <w:szCs w:val="20"/>
          <w:lang w:eastAsia="pl-PL"/>
        </w:rPr>
        <w:t>35, oraz w przepisach wydanych w trybie tego rozporządzenia, oraz regulacjami aktów prawnych wydanych na ich podstawie, jak również innych przepisów Unii Europejskiej dotyczących tego zakresu spraw.</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Ustawa o RLKS tworzy podstawy prawne realizacji rozwoju lokalnego kierowanego przez społeczność, zwanego dalej „RLKS”, o którym mowa w części drugiej w tytule III w</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rozdziale II (art. 32</w:t>
      </w:r>
      <w:r w:rsidR="006377CA">
        <w:rPr>
          <w:rFonts w:ascii="Times New Roman" w:eastAsia="Times New Roman" w:hAnsi="Times New Roman" w:cs="Times New Roman"/>
          <w:bCs/>
          <w:sz w:val="24"/>
          <w:szCs w:val="20"/>
          <w:lang w:eastAsia="pl-PL"/>
        </w:rPr>
        <w:t>–</w:t>
      </w:r>
      <w:r w:rsidRPr="000137FB">
        <w:rPr>
          <w:rFonts w:ascii="Times New Roman" w:eastAsia="Times New Roman" w:hAnsi="Times New Roman" w:cs="Times New Roman"/>
          <w:bCs/>
          <w:sz w:val="24"/>
          <w:szCs w:val="20"/>
          <w:lang w:eastAsia="pl-PL"/>
        </w:rPr>
        <w:t>35) rozporządzenia nr 1303/2013. RLKS bazuje na metodzie LEADER, która w ram</w:t>
      </w:r>
      <w:r w:rsidR="006377CA">
        <w:rPr>
          <w:rFonts w:ascii="Times New Roman" w:eastAsia="Times New Roman" w:hAnsi="Times New Roman" w:cs="Times New Roman"/>
          <w:bCs/>
          <w:sz w:val="24"/>
          <w:szCs w:val="20"/>
          <w:lang w:eastAsia="pl-PL"/>
        </w:rPr>
        <w:t>ach perspektywy finansowej 2007–</w:t>
      </w:r>
      <w:r w:rsidRPr="000137FB">
        <w:rPr>
          <w:rFonts w:ascii="Times New Roman" w:eastAsia="Times New Roman" w:hAnsi="Times New Roman" w:cs="Times New Roman"/>
          <w:bCs/>
          <w:sz w:val="24"/>
          <w:szCs w:val="20"/>
          <w:lang w:eastAsia="pl-PL"/>
        </w:rPr>
        <w:t>2013 miała zastosowanie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realizacji osi 4 Leader (podejścia LEADER) w ramach programów rozwoju obszarów wiejskich oraz osi priorytetowej 4 zrównoważony rozwój obszarów zależnych głównie od rybactwa w ramach programów współfinansowanych ze środków Europejskiego Funduszu Rybackiego w</w:t>
      </w:r>
      <w:r w:rsidR="006377CA">
        <w:rPr>
          <w:rFonts w:ascii="Times New Roman" w:eastAsia="Times New Roman" w:hAnsi="Times New Roman" w:cs="Times New Roman"/>
          <w:bCs/>
          <w:sz w:val="24"/>
          <w:szCs w:val="20"/>
          <w:lang w:eastAsia="pl-PL"/>
        </w:rPr>
        <w:t xml:space="preserve"> perspektywie finansowej 2007–</w:t>
      </w:r>
      <w:r w:rsidRPr="000137FB">
        <w:rPr>
          <w:rFonts w:ascii="Times New Roman" w:eastAsia="Times New Roman" w:hAnsi="Times New Roman" w:cs="Times New Roman"/>
          <w:bCs/>
          <w:sz w:val="24"/>
          <w:szCs w:val="20"/>
          <w:lang w:eastAsia="pl-PL"/>
        </w:rPr>
        <w:t>2013.</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W aktualnej perspektywie finansowania polityk Unii Europejskiej (UE)</w:t>
      </w:r>
      <w:r w:rsidR="006377CA">
        <w:rPr>
          <w:rFonts w:ascii="Times New Roman" w:eastAsia="Times New Roman" w:hAnsi="Times New Roman" w:cs="Times New Roman"/>
          <w:bCs/>
          <w:sz w:val="24"/>
          <w:szCs w:val="20"/>
          <w:lang w:eastAsia="pl-PL"/>
        </w:rPr>
        <w:t xml:space="preserve"> z budżetu UE (2014–</w:t>
      </w:r>
      <w:r w:rsidRPr="000137FB">
        <w:rPr>
          <w:rFonts w:ascii="Times New Roman" w:eastAsia="Times New Roman" w:hAnsi="Times New Roman" w:cs="Times New Roman"/>
          <w:bCs/>
          <w:sz w:val="24"/>
          <w:szCs w:val="20"/>
          <w:lang w:eastAsia="pl-PL"/>
        </w:rPr>
        <w:t xml:space="preserve">2020) RLKS stanowi nowy instrument rozwoju terytorialnego UE mający zastosowanie nie tylko w ramach polityki rozwoju obszarów wiejskich (II filar wspólnej polityki rolnej), przy udziale Europejskiego Funduszu Rolnego na rzecz Rozwoju Obszarów Wiejskich (EFRROW), oraz wspólnej polityki rybackiej, przy udziale Europejskiego Funduszu Morskiego i Rybackiego (EFMR), ale także w ramach polityki spójności realizowanej przy udziale Europejskiego Funduszu Rozwoju Regionalnego </w:t>
      </w:r>
      <w:r w:rsidRPr="000137FB">
        <w:rPr>
          <w:rFonts w:ascii="Times New Roman" w:eastAsia="Times New Roman" w:hAnsi="Times New Roman" w:cs="Times New Roman"/>
          <w:bCs/>
          <w:sz w:val="24"/>
          <w:szCs w:val="20"/>
          <w:lang w:eastAsia="pl-PL"/>
        </w:rPr>
        <w:lastRenderedPageBreak/>
        <w:t>(EFRR) i</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Europejskiego Funduszu Społecznego (EFS). Zgodnie z art. 32 ust. 1 rozporządzenia nr 1303/2013 RLKS jest wspierany ze środków EFRROW, określany nazwą LEADER i może być wspierany ze środków EFRR, EFS lub EFMR, zwanych dalej „EFSI”.</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Obligatoryjność realizacji RLKS w ramach programu współfinansowanego z</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EFRROW została potwierdzona w przepisach ustawy z dnia 20 lutego 2015 r. o wspieraniu rozwoju obszarów wiejskich z</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 xml:space="preserve">udziałem środków Europejskiego Funduszu Rolnego na Rzecz Rozwoju Obszarów Wiejskich w ramach Programu </w:t>
      </w:r>
      <w:r w:rsidR="006377CA">
        <w:rPr>
          <w:rFonts w:ascii="Times New Roman" w:eastAsia="Times New Roman" w:hAnsi="Times New Roman" w:cs="Times New Roman"/>
          <w:bCs/>
          <w:sz w:val="24"/>
          <w:szCs w:val="20"/>
          <w:lang w:eastAsia="pl-PL"/>
        </w:rPr>
        <w:t>Rozwoju Obszarów Wiejskich 2014–</w:t>
      </w:r>
      <w:r w:rsidRPr="000137FB">
        <w:rPr>
          <w:rFonts w:ascii="Times New Roman" w:eastAsia="Times New Roman" w:hAnsi="Times New Roman" w:cs="Times New Roman"/>
          <w:bCs/>
          <w:sz w:val="24"/>
          <w:szCs w:val="20"/>
          <w:lang w:eastAsia="pl-PL"/>
        </w:rPr>
        <w:t>2020 (Dz. U. z 2018 r. poz. 627) w</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art. 3 w ust. 1 w pkt 14 (działanie „Wsparcie dla rozwoju lokalnego w</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ramach inicjatywy LEADER”), przy czym zgodnie z art. 3 ust. 3 tej ustawy wspieranie RLKS w ramach powyższego działania odbywać się będzie na zasadach określonych w</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ustawie o RLKS,</w:t>
      </w:r>
      <w:r w:rsidR="006377CA">
        <w:rPr>
          <w:rFonts w:ascii="Times New Roman" w:eastAsia="Times New Roman" w:hAnsi="Times New Roman" w:cs="Times New Roman"/>
          <w:bCs/>
          <w:sz w:val="24"/>
          <w:szCs w:val="20"/>
          <w:lang w:eastAsia="pl-PL"/>
        </w:rPr>
        <w:t xml:space="preserve"> a w zakresie nieuregulowanym w tych przepisach –</w:t>
      </w:r>
      <w:r w:rsidRPr="000137FB">
        <w:rPr>
          <w:rFonts w:ascii="Times New Roman" w:eastAsia="Times New Roman" w:hAnsi="Times New Roman" w:cs="Times New Roman"/>
          <w:bCs/>
          <w:sz w:val="24"/>
          <w:szCs w:val="20"/>
          <w:lang w:eastAsia="pl-PL"/>
        </w:rPr>
        <w:t xml:space="preserve"> na zasadach określonych w przepisach dotyczących poszczególnych EFSI.</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Projektowana ustawa ma zapewnić usprawnienie i zwiększyć efektywność systemu wdrażania RLKS. Zmiany w projektowanej ustawie wynikają z doświadczeń zebranych z wdrażania RLKS, w szczególności ze środków EFSI innych niż EFRROW.</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Zmiana projektowana w art. 1 pkt 1 i 2 ustawy zmieniającej pozwoli na rozwianie wątpliwości dotyczących zakresu oceny operacji przez lokalną grupę działania (LGD) podczas procesu wyboru operacji, gdyż art. 21 ust. 4 pkt 1 ustawy o RLKS stanowi, iż rada dokonuje wyboru operacji (…) spośród operacji, które są zgodne ze strategią rozwoju lokalnego (LSR), a zgodnie z art. 21 ust. 2 pkt 2 ustawy o RLKS przez operację zgodną z</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LSR rozumie się operację, która jest zgodna z programem, w ramach którego jest planowana realizacja tej operacji, w tym z warunkami, o których mowa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art. 19 ust. 4 pkt 2 lit. a (…), tj. z warunkami udzielenia wsparcia obowiązującymi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ramach naboru. Obecne</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brzmienie art. 19 (zawartość ogłoszenia o naborze wniosków) ust. 4 pkt 2 lit. a ustawy o RLKS, tj. „warunki udzielenia wsparcia”, jest zbliżone do brzmienia art. 17 ust. 1 i</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art.</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23 ust. 3 ustawy o RLKS, które stanowią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warunkach udzielenia wsparcia, które są</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weryfikowane przez zarząd województwa, co budzi wątpliwości interpretacyjne przedmiotowego przepisu. Intencją prawodawcy było, aby w ogłoszeniu o naborze wniosków zawarte były dodatkowe, określone przez LGD warunki wyboru operacji wynikające z LSR, a</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nie warunki udzielenia wsparcia,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 xml:space="preserve">których mowa w art. 17 ust. 1 ustawy o RLKS, określone w przepisach regulujących </w:t>
      </w:r>
      <w:r w:rsidRPr="000137FB">
        <w:rPr>
          <w:rFonts w:ascii="Times New Roman" w:eastAsia="Times New Roman" w:hAnsi="Times New Roman" w:cs="Times New Roman"/>
          <w:bCs/>
          <w:sz w:val="24"/>
          <w:szCs w:val="20"/>
          <w:lang w:eastAsia="pl-PL"/>
        </w:rPr>
        <w:lastRenderedPageBreak/>
        <w:t>zasady wsparcia z udziałem poszczególnych EFSI lub</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na podstawie tych przepisów, których spełnienie jest warunkiem udzielenia wsparcia i</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których mowa w art. 23 ustawy o RLKS. Z tego względu proponuje się w art. 19 ust. 4 pkt</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2 dodanie nowej lit.</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 xml:space="preserve">aa, w której wskazuje się, że ogłoszenie o naborze wniosków zawierać będzie także warunki wyboru operacji, które LGD może określić </w:t>
      </w:r>
      <w:r w:rsidRPr="000137FB">
        <w:rPr>
          <w:rFonts w:ascii="Times New Roman" w:eastAsia="Times New Roman" w:hAnsi="Times New Roman" w:cs="Times New Roman"/>
          <w:sz w:val="24"/>
          <w:szCs w:val="20"/>
          <w:lang w:eastAsia="pl-PL"/>
        </w:rPr>
        <w:t>dla danego naboru wniosków w</w:t>
      </w:r>
      <w:r w:rsidR="006377CA">
        <w:rPr>
          <w:rFonts w:ascii="Times New Roman" w:eastAsia="Times New Roman" w:hAnsi="Times New Roman" w:cs="Times New Roman"/>
          <w:sz w:val="24"/>
          <w:szCs w:val="20"/>
          <w:lang w:eastAsia="pl-PL"/>
        </w:rPr>
        <w:t> </w:t>
      </w:r>
      <w:r w:rsidRPr="000137FB">
        <w:rPr>
          <w:rFonts w:ascii="Times New Roman" w:eastAsia="Times New Roman" w:hAnsi="Times New Roman" w:cs="Times New Roman"/>
          <w:sz w:val="24"/>
          <w:szCs w:val="20"/>
          <w:lang w:eastAsia="pl-PL"/>
        </w:rPr>
        <w:t xml:space="preserve">celu zapewnienia najpełniejszej spójności operacji z LSR. Jednocześnie proponuje się dodanie w zmienianej ustawie nowego art. 18a (art. 1 pkt 1 projektowanej ustawy), który wskazywałby na możliwość określenia przez LGD takich warunków wyboru operacji. Takie rozwiązanie całkowicie rozwieje wątpliwości interpretacyjne w zakresie możliwości określenia przez LGD specyficznych </w:t>
      </w:r>
      <w:r w:rsidRPr="000137FB">
        <w:rPr>
          <w:rFonts w:ascii="Times New Roman" w:eastAsia="Times New Roman" w:hAnsi="Times New Roman" w:cs="Times New Roman"/>
          <w:bCs/>
          <w:sz w:val="24"/>
          <w:szCs w:val="20"/>
          <w:lang w:eastAsia="pl-PL"/>
        </w:rPr>
        <w:t xml:space="preserve">dla danego naboru </w:t>
      </w:r>
      <w:r w:rsidRPr="000137FB">
        <w:rPr>
          <w:rFonts w:ascii="Times New Roman" w:eastAsia="Times New Roman" w:hAnsi="Times New Roman" w:cs="Times New Roman"/>
          <w:sz w:val="24"/>
          <w:szCs w:val="20"/>
          <w:lang w:eastAsia="pl-PL"/>
        </w:rPr>
        <w:t xml:space="preserve">warunków wyboru operacji, które są </w:t>
      </w:r>
      <w:r w:rsidRPr="000137FB">
        <w:rPr>
          <w:rFonts w:ascii="Times New Roman" w:eastAsia="Times New Roman" w:hAnsi="Times New Roman" w:cs="Times New Roman"/>
          <w:bCs/>
          <w:sz w:val="24"/>
          <w:szCs w:val="20"/>
          <w:lang w:eastAsia="pl-PL"/>
        </w:rPr>
        <w:t>tworzone na bazie analizy aktualnego stanu wdrażania LSR oraz treści samego LSR. Warunki wyboru operacji jako takie mogą mieć charakter przedmiotowy (czyli odnosić się do operacji) lub podmiotowy (czyli odnosić się do wnioskodawcy). Przykładowo warunkiem wyboru operacji w ramach danego naboru mogłoby być wskazanie, że w ramach naboru wsparcie będzie udzielone dla konkretnych kodów PKD, co podyktowane jest potrzebą zapewnienia osiągnięcia konkretnych wskaźników LSR, albo skierowanie naboru do określonej grupy wnioskodawców (np. stowarzyszeń działającyc</w:t>
      </w:r>
      <w:r w:rsidR="006377CA">
        <w:rPr>
          <w:rFonts w:ascii="Times New Roman" w:eastAsia="Times New Roman" w:hAnsi="Times New Roman" w:cs="Times New Roman"/>
          <w:bCs/>
          <w:sz w:val="24"/>
          <w:szCs w:val="20"/>
          <w:lang w:eastAsia="pl-PL"/>
        </w:rPr>
        <w:t>h w sferze ochrony środowiska) –</w:t>
      </w:r>
      <w:r w:rsidR="00B04A91">
        <w:rPr>
          <w:rFonts w:ascii="Times New Roman" w:eastAsia="Times New Roman" w:hAnsi="Times New Roman" w:cs="Times New Roman"/>
          <w:bCs/>
          <w:sz w:val="24"/>
          <w:szCs w:val="20"/>
          <w:lang w:eastAsia="pl-PL"/>
        </w:rPr>
        <w:t xml:space="preserve"> pod warunkiem</w:t>
      </w:r>
      <w:r w:rsidRPr="000137FB">
        <w:rPr>
          <w:rFonts w:ascii="Times New Roman" w:eastAsia="Times New Roman" w:hAnsi="Times New Roman" w:cs="Times New Roman"/>
          <w:bCs/>
          <w:sz w:val="24"/>
          <w:szCs w:val="20"/>
          <w:lang w:eastAsia="pl-PL"/>
        </w:rPr>
        <w:t xml:space="preserve"> że taki „profil docelowego beneficjenta” wynika z LSR, a</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np.</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w ramach dotychczasowych naborów wnioskodawcami były organizacje pozarządowe, ale zajmujące się wspieraniem kultury. W związku z powyższym konieczne jest także wprowadzenie zmiany w art. 21 w ust. 2 w pkt 2, co znalazło odzwierciedlenie w art. 1 pkt 3 lit. c ustawy zmieniającej. Jednocześnie z doświadczeń wynikających z wdrażania wielofunduszowego RLKS,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szczególności ze środków EFRR i EFS, wynika, że pożądane jest, aby w ogłoszeniu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naborze wniosków, oprócz kryteriów wyboru operacji oraz warunków wyboru operacji, znalazły się także warunki udzielenia wsparcia, o których mowa w art. 17 ust.</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1 ustawy o RLKS, określone w przepisach regulujących zasady wsparcia z</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udziałem poszczególnych EFSI lub na podstawie tych przepisów, których spełnienie jest warunkiem udzielenia wsparcia i o których mowa w art. 23 ustawy o RLKS, co znalazło odzwierciedlenie w art. 1 pkt 2 lit. a ustawy zmieniającej. Rozwiązanie takie zapewni wnioskodawcy kompleksową informację na temat zasad i warunków udzielenia wsparcia ze środków poszczególnych EFSI, co przyczyni się do prawidłowego przygotowania założeń operacji oraz wniosku o udzielenie wsparcia. Należy zwrócić uwagę, że o ile warunki udzielenia wsparcia, o których mowa w art. 17 ust. 1 ustawy o RLKS, określone w przepisach regulujących zasady udzielenia wsparcia z udziałem poszczególnych EFSI lub na podstawie tych przepisów, znajdą się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ogłoszeniu o naborze wniosków, to warunki te, z uwagi na swoją złożoność, często charakter wymagający specjalistycznej wiedzy lub dostępu do baz danych, do których LGD dostępu nie posiadają, nie będą elementem szczegółowego badania przez LGD podczas dokonywania oceny zgodności operacji z LSR. Zakres ewentualnego badania tych warunków będzie indywidualnie ustalony dla poszczególnych EFSI, a badanie to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odbywać się będzie w ramach oceny zgodności operacji z LSR, jako ocena zgodności z</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programem (art. 21 ust. 2 pkt 2 ustawy o RLKS). Przedmiotowe rozwiązanie znalazło odzwierciedlenie w art. 1 pkt 3 lit. c ustawy zmieniającej.</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Ponadto proponuje się nadać nowe brzmienie ust. 6 w art. 23 ustawy o RLKS, który stanowi o ograniczeniu w zakresie możliwości dokonywania istotnej modyfikacji wniosku 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udzielenie wsparcia w procesie uzupełnienia tego wniosku prowadzonego na etapie oceny dokonywanej przez zarząd województwa, oraz po ust. 5 dodać ust. 5a dotyczący aktualizacji kwoty wsparcia. Nowe brzmienie art. 23 ust. 6 ma na celu wskazanie jasnego zakazu dokonywania modyfikacji mającej wpływ na wynik wyboru operacji dokonany przez LGD, a</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tym samym zapewnić ma, że ewentualne zmiany we</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wniosku nie będą miały negatywnego wpływu na realizację LSR, co jest kluczowe z</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punktu widzenia LGD. Regulacja, o której mowa w ust. 5a, ma charakter fakultatywny co oznacza, że zarząd województwa ma możliwość a nie obowiązek wzywania wnioskodawcy do modyfikacji wnioskowanej kwoty wsparcia oraz innych zmian we wniosku wynikających ze zmiany tej kwoty w sytuacji ustalenia przez LGD kwoty wsparcia niżej niż wnioskowana przez podmiot ubiegający się 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wsparcie. Fakultatywność takiego rozwiązania jest zabiegiem pożądanym ze względu na odmienne systemy wdrażania i rozwiązania proceduralne przyjęte dla poszczególnych EFSI. Zmiana ta spowoduje usunięcie przeszkody w postaci braku spójności między treścią wniosku o udzielenie wsparcia złożonego przez wnioskodawcę do LGD np.</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zakresie kwoty wsparcia, a kwotą wsparcia ustaloną przez LGD w wyniku postępowania w sprawie wyboru operacji prowadzonego w trybie art. 21 ustawy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RLKS, co jest sygnalizowane, jako przeszkoda we wdrażaniu RLKS w przypadku realizacji operacji ze środków EFRR i EFS. Także z</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 xml:space="preserve">doświadczeń we wdrażaniu RLKS </w:t>
      </w:r>
      <w:r w:rsidR="003E4190">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 xml:space="preserve">w przypadku realizacji operacji ze środków EFRR i EFS </w:t>
      </w:r>
      <w:r w:rsidR="003E4190">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wynika zmiana treści art.</w:t>
      </w:r>
      <w:r w:rsidR="003E4190">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23 ust. 5 ustawy o RLKS, dotycząca możliwości wydłużenia terminu na usunięcie braków, oczywistych omyłek oraz innych nieprawidłowości we wniosku 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udzielenie wsparcia (w tym np. w zakresie nieprawidłowego wypełnienia wniosku, tj.</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w</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sposób niezgodny z</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zasadami określonymi w instrukcji jego wypełniania) zidentyfikowanych przez zarząd województwa w trakcie jego oceny. Zmiana ta usunie także ewentualne przeszkody do zastosowania przez zarząd województwa trybu negocjacji z</w:t>
      </w:r>
      <w:r w:rsidR="00B04A91">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wnioskodawcą, na wzór rozwiązania przewidzianego w art. 45 ustawy z dnia 11 lipca 2014</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r. o zasadach realizacji programów w zakresie polityki spójności finansowanych w</w:t>
      </w:r>
      <w:r w:rsidR="00B04A91">
        <w:rPr>
          <w:rFonts w:ascii="Times New Roman" w:eastAsia="Times New Roman" w:hAnsi="Times New Roman" w:cs="Times New Roman"/>
          <w:bCs/>
          <w:sz w:val="24"/>
          <w:szCs w:val="20"/>
          <w:lang w:eastAsia="pl-PL"/>
        </w:rPr>
        <w:t> </w:t>
      </w:r>
      <w:r w:rsidR="006377CA">
        <w:rPr>
          <w:rFonts w:ascii="Times New Roman" w:eastAsia="Times New Roman" w:hAnsi="Times New Roman" w:cs="Times New Roman"/>
          <w:bCs/>
          <w:sz w:val="24"/>
          <w:szCs w:val="20"/>
          <w:lang w:eastAsia="pl-PL"/>
        </w:rPr>
        <w:t>perspektywie 2014–</w:t>
      </w:r>
      <w:r w:rsidRPr="000137FB">
        <w:rPr>
          <w:rFonts w:ascii="Times New Roman" w:eastAsia="Times New Roman" w:hAnsi="Times New Roman" w:cs="Times New Roman"/>
          <w:bCs/>
          <w:sz w:val="24"/>
          <w:szCs w:val="20"/>
          <w:lang w:eastAsia="pl-PL"/>
        </w:rPr>
        <w:t>2020 (Dz.</w:t>
      </w:r>
      <w:r w:rsidR="003E4190">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U. z 2016 r. poz. 217, z późn. zm.) – w przypadku realizacji operacji ze środków EFRR i EFS. Przedmiotowe rozwiązanie znalazło odzwierciedlenie w</w:t>
      </w:r>
      <w:r w:rsidR="006377CA">
        <w:rPr>
          <w:rFonts w:ascii="Times New Roman" w:eastAsia="Times New Roman" w:hAnsi="Times New Roman" w:cs="Times New Roman"/>
          <w:bCs/>
          <w:sz w:val="24"/>
          <w:szCs w:val="20"/>
          <w:lang w:eastAsia="pl-PL"/>
        </w:rPr>
        <w:t xml:space="preserve"> art. 1 pkt 4 lit. b–</w:t>
      </w:r>
      <w:r w:rsidRPr="000137FB">
        <w:rPr>
          <w:rFonts w:ascii="Times New Roman" w:eastAsia="Times New Roman" w:hAnsi="Times New Roman" w:cs="Times New Roman"/>
          <w:bCs/>
          <w:sz w:val="24"/>
          <w:szCs w:val="20"/>
          <w:lang w:eastAsia="pl-PL"/>
        </w:rPr>
        <w:t>e ustawy zmieniającej.</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Z doświadczeń z wdrażania RLKS wynika, że konstrukcja przepisów ustawy o RLKS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zakresie terminów na dokonanie przez LGD oceny zgodności operacji z LSR, wyboru operacji oraz ustalenia kwoty wsparcia (art. 21 ust. 1 ustawy o RLKS), wydłużenia tego terminu w przypadku wezwania przez LGD podmiotu ubiegającego się o wsparcie do złożenia wyjaśnień lub dokumentów (art.</w:t>
      </w:r>
      <w:r w:rsidR="00C62920">
        <w:rPr>
          <w:rFonts w:ascii="Times New Roman" w:eastAsia="Times New Roman" w:hAnsi="Times New Roman" w:cs="Times New Roman"/>
          <w:bCs/>
          <w:sz w:val="24"/>
          <w:szCs w:val="20"/>
          <w:lang w:eastAsia="pl-PL"/>
        </w:rPr>
        <w:t xml:space="preserve"> 21</w:t>
      </w:r>
      <w:r w:rsidRPr="000137FB">
        <w:rPr>
          <w:rFonts w:ascii="Times New Roman" w:eastAsia="Times New Roman" w:hAnsi="Times New Roman" w:cs="Times New Roman"/>
          <w:bCs/>
          <w:sz w:val="24"/>
          <w:szCs w:val="20"/>
          <w:lang w:eastAsia="pl-PL"/>
        </w:rPr>
        <w:t xml:space="preserve"> ust. 1a i 1b ustawy o RLKS), terminu na poinformowanie przez LGD podmiotu ubiegającego się o wsparcie o wyniku wyboru operacji (art. 21 ust. 5 ustawy o RLKS), a także terminu na przekazanie przez LGD zarządowi województwa wniosków o udzielenie wsparcia wraz z dokumentami potwierdzającymi dokonanie wyboru operacji, jest mało przejrzysta i stanowi przeszkodę w prawidłowym zastosowaniu przedmiotowych przepisów. W związku z</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 xml:space="preserve">powyższym proponuje się uproszczenie przepisów w tym zakresie i wskazanie jednego, 60-dniowego, </w:t>
      </w:r>
      <w:r w:rsidR="003E4190">
        <w:rPr>
          <w:rFonts w:ascii="Times New Roman" w:eastAsia="Times New Roman" w:hAnsi="Times New Roman" w:cs="Times New Roman"/>
          <w:bCs/>
          <w:sz w:val="24"/>
          <w:szCs w:val="20"/>
          <w:lang w:eastAsia="pl-PL"/>
        </w:rPr>
        <w:t xml:space="preserve">ostatecznego terminu, w </w:t>
      </w:r>
      <w:r w:rsidR="0069613A" w:rsidRPr="00BD12CD">
        <w:rPr>
          <w:rFonts w:ascii="Times New Roman" w:eastAsia="Calibri" w:hAnsi="Times New Roman"/>
          <w:color w:val="000000"/>
          <w:spacing w:val="-2"/>
        </w:rPr>
        <w:t>którego</w:t>
      </w:r>
      <w:r w:rsidR="0069613A">
        <w:rPr>
          <w:rFonts w:ascii="Times New Roman" w:eastAsia="Times New Roman" w:hAnsi="Times New Roman" w:cs="Times New Roman"/>
          <w:bCs/>
          <w:sz w:val="24"/>
          <w:szCs w:val="20"/>
          <w:lang w:eastAsia="pl-PL"/>
        </w:rPr>
        <w:t xml:space="preserve"> </w:t>
      </w:r>
      <w:r w:rsidR="003E4190">
        <w:rPr>
          <w:rFonts w:ascii="Times New Roman" w:eastAsia="Times New Roman" w:hAnsi="Times New Roman" w:cs="Times New Roman"/>
          <w:bCs/>
          <w:sz w:val="24"/>
          <w:szCs w:val="20"/>
          <w:lang w:eastAsia="pl-PL"/>
        </w:rPr>
        <w:t>trakcie</w:t>
      </w:r>
      <w:r w:rsidRPr="000137FB">
        <w:rPr>
          <w:rFonts w:ascii="Times New Roman" w:eastAsia="Times New Roman" w:hAnsi="Times New Roman" w:cs="Times New Roman"/>
          <w:bCs/>
          <w:sz w:val="24"/>
          <w:szCs w:val="20"/>
          <w:lang w:eastAsia="pl-PL"/>
        </w:rPr>
        <w:t xml:space="preserve"> LGD ma obowiązek dokonać wszystkich powyższych czynności. Z</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obecnego brzmienia przepisów wynika, że termin na poinformowanie przez LGD podmiotu ubiegającego się o wsparcie o</w:t>
      </w:r>
      <w:r w:rsidR="00B04A91">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wyniku wyboru operacji (art. 21 ust. 5 ustawy o RLKS) wynosi 52 lub 59</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dni, w</w:t>
      </w:r>
      <w:r w:rsidR="00B04A91">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zależności o</w:t>
      </w:r>
      <w:r w:rsidR="002B10B6">
        <w:rPr>
          <w:rFonts w:ascii="Times New Roman" w:eastAsia="Times New Roman" w:hAnsi="Times New Roman" w:cs="Times New Roman"/>
          <w:bCs/>
          <w:sz w:val="24"/>
          <w:szCs w:val="20"/>
          <w:lang w:eastAsia="pl-PL"/>
        </w:rPr>
        <w:t>d</w:t>
      </w:r>
      <w:r w:rsidRPr="000137FB">
        <w:rPr>
          <w:rFonts w:ascii="Times New Roman" w:eastAsia="Times New Roman" w:hAnsi="Times New Roman" w:cs="Times New Roman"/>
          <w:bCs/>
          <w:sz w:val="24"/>
          <w:szCs w:val="20"/>
          <w:lang w:eastAsia="pl-PL"/>
        </w:rPr>
        <w:t xml:space="preserve"> tego, czy termin ulegał wydłużeniu z powodu wezwania przez LGD podmiotu ubiegającego się o wsparcie do złożenia wyjaśnień lub dokumentów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trakcie rozpatrywania przez LGD wniosku o udzielenie wsparcia. Z doświadczeń z</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wdrażania RLKS wynika, że możliwość wzywania przez LGD podmiotu ubiegającego się o</w:t>
      </w:r>
      <w:r w:rsidR="00B04A91">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wsparcie do złożenia wyjaśnień lub dokumentów w trakcie rozpatrywania przez LGD wniosku 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udzielenie wsparcia jest powszechnie stosowana, co oznacza, że w</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praktyce termin, o którym mowa w art. 21 ust. 5 ustawy o RLKS wynosi zawsze 59</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dni. Proponowana zmiana ułatwi praktyczne zastosowanie przepisów, jednocześnie nie powodując nadmiernego wydłużenia terminu na dokonanie wyboru operacji oraz poinformowanie podmiotów ubiegających się 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wsparc</w:t>
      </w:r>
      <w:r w:rsidR="002B10B6">
        <w:rPr>
          <w:rFonts w:ascii="Times New Roman" w:eastAsia="Times New Roman" w:hAnsi="Times New Roman" w:cs="Times New Roman"/>
          <w:bCs/>
          <w:sz w:val="24"/>
          <w:szCs w:val="20"/>
          <w:lang w:eastAsia="pl-PL"/>
        </w:rPr>
        <w:t>ie o wyniku tego wyboru. Należy</w:t>
      </w:r>
      <w:r w:rsidRPr="000137FB">
        <w:rPr>
          <w:rFonts w:ascii="Times New Roman" w:eastAsia="Times New Roman" w:hAnsi="Times New Roman" w:cs="Times New Roman"/>
          <w:bCs/>
          <w:sz w:val="24"/>
          <w:szCs w:val="20"/>
          <w:lang w:eastAsia="pl-PL"/>
        </w:rPr>
        <w:t xml:space="preserve"> bowiem zauważyć, że wezwanie choćby jednego podmiotu ubiegającego się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wsparcie do złożenia wyjaśnień lub dokumentów powoduje automatyczne wydłużenie terminu na dokonanie wyboru wszystkich operacji w ramach tego naboru, a więc ma przełożenie na długość oczekiwania pozostałych podmiotów ubiegających się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wsparcie na rozstrzygnięcie LGD w zakresie ich operacji. Przedmiotowe rozwiązanie znalazło odzwierciedlenie w art. 1 pkt 3 lit. a, b i d oraz pkt 4 lit. a ustawy zmieniającej.</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Dla zapewnienia jednolitych reguł wyboru operacji w ramach jednego naboru wniosków 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udzielenie wsparcia oraz równego traktowania podmiotów ubiegających się o wsparcie, proponowana regulacja przejściowa zawarta w § 2 projektowanej ustawy przewiduje stosowanie przepisów dotychczasowych do postępowań w sprawie wyboru operacji niezakończonych przed dniem wejścia w życie projektowanej ustawy, a</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wszczętych w ramach „naborów” wniosków o udzielenie wsparcia, które rozpoczęły bieg przed dniem wejścia w</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życie projektowanej ustawy. Dzięki takiemu rozwiązaniu zapewnione zostanie zachowanie wobec wszystkich podmiotów ubiegających się o</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wsparcie, którzy złożyli wnioski o</w:t>
      </w:r>
      <w:r w:rsidR="006377CA">
        <w:rPr>
          <w:rFonts w:ascii="Times New Roman" w:eastAsia="Times New Roman" w:hAnsi="Times New Roman" w:cs="Times New Roman"/>
          <w:bCs/>
          <w:sz w:val="24"/>
          <w:szCs w:val="20"/>
          <w:lang w:eastAsia="pl-PL"/>
        </w:rPr>
        <w:t xml:space="preserve"> </w:t>
      </w:r>
      <w:r w:rsidRPr="000137FB">
        <w:rPr>
          <w:rFonts w:ascii="Times New Roman" w:eastAsia="Times New Roman" w:hAnsi="Times New Roman" w:cs="Times New Roman"/>
          <w:bCs/>
          <w:sz w:val="24"/>
          <w:szCs w:val="20"/>
          <w:lang w:eastAsia="pl-PL"/>
        </w:rPr>
        <w:t>udzielenie wsparcia w ramach tego samego „naboru” wniosków, takich samych, dotychczasowych reguł wyboru operacji, niezależnie od tego, czy wniosek został złożony przed dniem wejścia w życie ustawy czy po tym dniu.</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Wprowadzenie przedmiotowych przepisów (które mają zapewnić usprawnienie i</w:t>
      </w:r>
      <w:r w:rsidR="006377CA">
        <w:rPr>
          <w:rFonts w:ascii="Times New Roman" w:eastAsia="Times New Roman" w:hAnsi="Times New Roman" w:cs="Times New Roman"/>
          <w:bCs/>
          <w:sz w:val="24"/>
          <w:szCs w:val="20"/>
          <w:lang w:eastAsia="pl-PL"/>
        </w:rPr>
        <w:t> </w:t>
      </w:r>
      <w:r w:rsidRPr="000137FB">
        <w:rPr>
          <w:rFonts w:ascii="Times New Roman" w:eastAsia="Times New Roman" w:hAnsi="Times New Roman" w:cs="Times New Roman"/>
          <w:bCs/>
          <w:sz w:val="24"/>
          <w:szCs w:val="20"/>
          <w:lang w:eastAsia="pl-PL"/>
        </w:rPr>
        <w:t>zwiększenie efektywności systemu wdrażania RLKS) może mieć pozytywny wpływ na działalność mikroprzedsiębiorców oraz małych i średnich przedsiębiorców, którym może być udzielone wsparcie zgodnie ze zmienianą ustawą, w szczególności przez wprowadzenie czytelnych zasad dochodzenia tego wsparcia.</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Ustawa jest zgodna z prawem Unii Europejskiej.</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Projekt ustawy nie zawiera przepisów technicznych, w związku z tym nie podlega obowiązkowi notyfikacji w rozumieniu rozporzą</w:t>
      </w:r>
      <w:r w:rsidR="006377CA">
        <w:rPr>
          <w:rFonts w:ascii="Times New Roman" w:eastAsia="Times New Roman" w:hAnsi="Times New Roman" w:cs="Times New Roman"/>
          <w:bCs/>
          <w:sz w:val="24"/>
          <w:szCs w:val="20"/>
          <w:lang w:eastAsia="pl-PL"/>
        </w:rPr>
        <w:t>dzenia Rady Ministrów z dnia 23 </w:t>
      </w:r>
      <w:r w:rsidRPr="000137FB">
        <w:rPr>
          <w:rFonts w:ascii="Times New Roman" w:eastAsia="Times New Roman" w:hAnsi="Times New Roman" w:cs="Times New Roman"/>
          <w:bCs/>
          <w:sz w:val="24"/>
          <w:szCs w:val="20"/>
          <w:lang w:eastAsia="pl-PL"/>
        </w:rPr>
        <w:t>grudnia 2002 r. w sprawie sposobu funkcjonowania krajowego systemu notyfikacji norm i aktów prawnych (Dz. U. poz. 2039 oraz z 2004 r. poz. 597).</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Projekt ustawy wraz z wszelkimi dokumentami dotyczącymi prac nad tym projektem został udostępniony w Biuletynie Informacji Publicznej na stronie podmiotowej Ministerstwa Rolnictwa i Rozwoju Wsi, zgodnie z przepisami ustawy z dnia 7 lipca 2005 r. o działalności lobbingowej w procesie stanowienia prawa (Dz. U. z 2017 r. p</w:t>
      </w:r>
      <w:r w:rsidR="006377CA">
        <w:rPr>
          <w:rFonts w:ascii="Times New Roman" w:eastAsia="Times New Roman" w:hAnsi="Times New Roman" w:cs="Times New Roman"/>
          <w:bCs/>
          <w:sz w:val="24"/>
          <w:szCs w:val="20"/>
          <w:lang w:eastAsia="pl-PL"/>
        </w:rPr>
        <w:t>oz. </w:t>
      </w:r>
      <w:r w:rsidRPr="000137FB">
        <w:rPr>
          <w:rFonts w:ascii="Times New Roman" w:eastAsia="Times New Roman" w:hAnsi="Times New Roman" w:cs="Times New Roman"/>
          <w:bCs/>
          <w:sz w:val="24"/>
          <w:szCs w:val="20"/>
          <w:lang w:eastAsia="pl-PL"/>
        </w:rPr>
        <w:t>248), oraz w Biuletynie Informacji Publicznej na stronie podmiotowej Rządowego Centrum Legislacji.</w:t>
      </w:r>
    </w:p>
    <w:p w:rsidR="000137FB" w:rsidRPr="000137FB" w:rsidRDefault="000137FB" w:rsidP="006377C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0"/>
          <w:lang w:eastAsia="pl-PL"/>
        </w:rPr>
      </w:pPr>
      <w:r w:rsidRPr="000137FB">
        <w:rPr>
          <w:rFonts w:ascii="Times New Roman" w:eastAsia="Times New Roman" w:hAnsi="Times New Roman" w:cs="Times New Roman"/>
          <w:bCs/>
          <w:sz w:val="24"/>
          <w:szCs w:val="20"/>
          <w:lang w:eastAsia="pl-PL"/>
        </w:rPr>
        <w:t>Projekt ustawy został ujęty w Wykazie prac legislacyjnych Rady Ministrów.</w:t>
      </w:r>
    </w:p>
    <w:sectPr w:rsidR="000137FB" w:rsidRPr="000137FB" w:rsidSect="006377CA">
      <w:footerReference w:type="default" r:id="rId6"/>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7CA" w:rsidRDefault="006377CA" w:rsidP="006377CA">
      <w:pPr>
        <w:spacing w:after="0" w:line="240" w:lineRule="auto"/>
      </w:pPr>
      <w:r>
        <w:separator/>
      </w:r>
    </w:p>
  </w:endnote>
  <w:endnote w:type="continuationSeparator" w:id="0">
    <w:p w:rsidR="006377CA" w:rsidRDefault="006377CA" w:rsidP="00637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086359"/>
      <w:docPartObj>
        <w:docPartGallery w:val="Page Numbers (Bottom of Page)"/>
        <w:docPartUnique/>
      </w:docPartObj>
    </w:sdtPr>
    <w:sdtEndPr>
      <w:rPr>
        <w:rFonts w:ascii="Times New Roman" w:hAnsi="Times New Roman" w:cs="Times New Roman"/>
        <w:sz w:val="24"/>
        <w:szCs w:val="24"/>
      </w:rPr>
    </w:sdtEndPr>
    <w:sdtContent>
      <w:p w:rsidR="006377CA" w:rsidRPr="006377CA" w:rsidRDefault="006377CA" w:rsidP="006377CA">
        <w:pPr>
          <w:pStyle w:val="Stopka"/>
          <w:jc w:val="center"/>
          <w:rPr>
            <w:rFonts w:ascii="Times New Roman" w:hAnsi="Times New Roman" w:cs="Times New Roman"/>
            <w:sz w:val="24"/>
            <w:szCs w:val="24"/>
          </w:rPr>
        </w:pPr>
        <w:r w:rsidRPr="006377CA">
          <w:rPr>
            <w:rFonts w:ascii="Times New Roman" w:hAnsi="Times New Roman" w:cs="Times New Roman"/>
            <w:sz w:val="24"/>
            <w:szCs w:val="24"/>
          </w:rPr>
          <w:fldChar w:fldCharType="begin"/>
        </w:r>
        <w:r w:rsidRPr="006377CA">
          <w:rPr>
            <w:rFonts w:ascii="Times New Roman" w:hAnsi="Times New Roman" w:cs="Times New Roman"/>
            <w:sz w:val="24"/>
            <w:szCs w:val="24"/>
          </w:rPr>
          <w:instrText>PAGE   \* MERGEFORMAT</w:instrText>
        </w:r>
        <w:r w:rsidRPr="006377CA">
          <w:rPr>
            <w:rFonts w:ascii="Times New Roman" w:hAnsi="Times New Roman" w:cs="Times New Roman"/>
            <w:sz w:val="24"/>
            <w:szCs w:val="24"/>
          </w:rPr>
          <w:fldChar w:fldCharType="separate"/>
        </w:r>
        <w:r w:rsidR="00EF1861">
          <w:rPr>
            <w:rFonts w:ascii="Times New Roman" w:hAnsi="Times New Roman" w:cs="Times New Roman"/>
            <w:noProof/>
            <w:sz w:val="24"/>
            <w:szCs w:val="24"/>
          </w:rPr>
          <w:t>2</w:t>
        </w:r>
        <w:r w:rsidRPr="006377C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7CA" w:rsidRDefault="006377CA" w:rsidP="006377CA">
      <w:pPr>
        <w:spacing w:after="0" w:line="240" w:lineRule="auto"/>
      </w:pPr>
      <w:r>
        <w:separator/>
      </w:r>
    </w:p>
  </w:footnote>
  <w:footnote w:type="continuationSeparator" w:id="0">
    <w:p w:rsidR="006377CA" w:rsidRDefault="006377CA" w:rsidP="006377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7FB"/>
    <w:rsid w:val="000137FB"/>
    <w:rsid w:val="001E062C"/>
    <w:rsid w:val="002B10B6"/>
    <w:rsid w:val="003E4190"/>
    <w:rsid w:val="006377CA"/>
    <w:rsid w:val="0069613A"/>
    <w:rsid w:val="009C3DFE"/>
    <w:rsid w:val="00B04A91"/>
    <w:rsid w:val="00C62920"/>
    <w:rsid w:val="00EF18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C32009-A999-48F0-BE0E-BB494A428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377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377CA"/>
  </w:style>
  <w:style w:type="paragraph" w:styleId="Stopka">
    <w:name w:val="footer"/>
    <w:basedOn w:val="Normalny"/>
    <w:link w:val="StopkaZnak"/>
    <w:uiPriority w:val="99"/>
    <w:unhideWhenUsed/>
    <w:rsid w:val="006377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377CA"/>
  </w:style>
  <w:style w:type="paragraph" w:styleId="Tekstdymka">
    <w:name w:val="Balloon Text"/>
    <w:basedOn w:val="Normalny"/>
    <w:link w:val="TekstdymkaZnak"/>
    <w:uiPriority w:val="99"/>
    <w:semiHidden/>
    <w:unhideWhenUsed/>
    <w:rsid w:val="00C6292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629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2218</Words>
  <Characters>13313</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Chmielewska Róża</dc:creator>
  <cp:lastModifiedBy>Grażyna D. Grabowska</cp:lastModifiedBy>
  <cp:revision>2</cp:revision>
  <cp:lastPrinted>2018-06-21T12:05:00Z</cp:lastPrinted>
  <dcterms:created xsi:type="dcterms:W3CDTF">2018-06-27T16:24:00Z</dcterms:created>
  <dcterms:modified xsi:type="dcterms:W3CDTF">2018-06-27T16:24:00Z</dcterms:modified>
</cp:coreProperties>
</file>