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40" w:rsidRPr="00253B40" w:rsidRDefault="00DC25FD" w:rsidP="00253B40">
      <w:pPr>
        <w:jc w:val="right"/>
        <w:rPr>
          <w:rFonts w:ascii="Tahoma" w:eastAsia="Times New Roman" w:hAnsi="Tahoma" w:cs="Tahoma"/>
          <w:sz w:val="24"/>
          <w:szCs w:val="24"/>
        </w:rPr>
      </w:pPr>
      <w:bookmarkStart w:id="0" w:name="_GoBack"/>
      <w:bookmarkEnd w:id="0"/>
      <w:r w:rsidRPr="00253B40">
        <w:rPr>
          <w:rFonts w:ascii="Tahoma" w:eastAsia="Times New Roman" w:hAnsi="Tahoma" w:cs="Tahoma"/>
          <w:sz w:val="24"/>
          <w:szCs w:val="24"/>
        </w:rPr>
        <w:t xml:space="preserve">Projekt </w:t>
      </w:r>
    </w:p>
    <w:p w:rsidR="00213AC9" w:rsidRDefault="00213AC9" w:rsidP="00253B40">
      <w:pPr>
        <w:jc w:val="center"/>
        <w:rPr>
          <w:rFonts w:ascii="Tahoma" w:eastAsia="Times New Roman" w:hAnsi="Tahoma" w:cs="Tahoma"/>
          <w:sz w:val="24"/>
          <w:szCs w:val="24"/>
        </w:rPr>
      </w:pPr>
    </w:p>
    <w:p w:rsidR="00253B40" w:rsidRPr="00253B40" w:rsidRDefault="00253B40" w:rsidP="00253B40">
      <w:pPr>
        <w:jc w:val="center"/>
        <w:rPr>
          <w:rFonts w:ascii="Tahoma" w:eastAsia="Times New Roman" w:hAnsi="Tahoma" w:cs="Tahoma"/>
          <w:sz w:val="24"/>
          <w:szCs w:val="24"/>
        </w:rPr>
      </w:pPr>
      <w:r>
        <w:rPr>
          <w:rFonts w:ascii="Tahoma" w:eastAsia="Times New Roman" w:hAnsi="Tahoma" w:cs="Tahoma"/>
          <w:sz w:val="24"/>
          <w:szCs w:val="24"/>
        </w:rPr>
        <w:t>U</w:t>
      </w:r>
      <w:r w:rsidR="00DC25FD" w:rsidRPr="00253B40">
        <w:rPr>
          <w:rFonts w:ascii="Tahoma" w:eastAsia="Times New Roman" w:hAnsi="Tahoma" w:cs="Tahoma"/>
          <w:sz w:val="24"/>
          <w:szCs w:val="24"/>
        </w:rPr>
        <w:t>staw</w:t>
      </w:r>
      <w:r w:rsidRPr="00253B40">
        <w:rPr>
          <w:rFonts w:ascii="Tahoma" w:eastAsia="Times New Roman" w:hAnsi="Tahoma" w:cs="Tahoma"/>
          <w:sz w:val="24"/>
          <w:szCs w:val="24"/>
        </w:rPr>
        <w:t>a</w:t>
      </w:r>
    </w:p>
    <w:p w:rsidR="00253B40" w:rsidRPr="00253B40" w:rsidRDefault="00253B40" w:rsidP="00253B40">
      <w:pPr>
        <w:jc w:val="center"/>
        <w:rPr>
          <w:rFonts w:ascii="Tahoma" w:eastAsia="Times New Roman" w:hAnsi="Tahoma" w:cs="Tahoma"/>
          <w:sz w:val="24"/>
          <w:szCs w:val="24"/>
        </w:rPr>
      </w:pPr>
      <w:r w:rsidRPr="00253B40">
        <w:rPr>
          <w:rFonts w:ascii="Tahoma" w:eastAsia="Times New Roman" w:hAnsi="Tahoma" w:cs="Tahoma"/>
          <w:sz w:val="24"/>
          <w:szCs w:val="24"/>
        </w:rPr>
        <w:t>z dnia …..……. 2018 r.</w:t>
      </w:r>
    </w:p>
    <w:p w:rsidR="00DC25FD" w:rsidRPr="00753837" w:rsidRDefault="00DC25FD" w:rsidP="00253B40">
      <w:pPr>
        <w:jc w:val="center"/>
        <w:rPr>
          <w:rFonts w:ascii="Tahoma" w:hAnsi="Tahoma" w:cs="Tahoma"/>
          <w:b/>
          <w:sz w:val="24"/>
          <w:szCs w:val="24"/>
        </w:rPr>
      </w:pPr>
      <w:r w:rsidRPr="00753837">
        <w:rPr>
          <w:rFonts w:ascii="Tahoma" w:eastAsia="Times New Roman" w:hAnsi="Tahoma" w:cs="Tahoma"/>
          <w:b/>
          <w:sz w:val="24"/>
          <w:szCs w:val="24"/>
        </w:rPr>
        <w:t>o zmianie ustawy</w:t>
      </w:r>
      <w:r w:rsidR="00253B40" w:rsidRPr="00753837">
        <w:rPr>
          <w:rFonts w:ascii="Tahoma" w:eastAsia="Times New Roman" w:hAnsi="Tahoma" w:cs="Tahoma"/>
          <w:b/>
          <w:sz w:val="24"/>
          <w:szCs w:val="24"/>
        </w:rPr>
        <w:t xml:space="preserve"> o gospodarce nieruchomościami</w:t>
      </w:r>
    </w:p>
    <w:p w:rsidR="00DC25FD" w:rsidRPr="00753837" w:rsidRDefault="00DC25FD" w:rsidP="00253B40">
      <w:pPr>
        <w:spacing w:line="360" w:lineRule="auto"/>
        <w:jc w:val="both"/>
        <w:rPr>
          <w:rFonts w:ascii="Tahoma" w:eastAsia="Times New Roman" w:hAnsi="Tahoma" w:cs="Tahoma"/>
          <w:b/>
          <w:sz w:val="24"/>
          <w:szCs w:val="24"/>
        </w:rPr>
      </w:pPr>
    </w:p>
    <w:p w:rsidR="00253B40" w:rsidRDefault="00253B40" w:rsidP="00253B40">
      <w:pPr>
        <w:spacing w:line="360" w:lineRule="auto"/>
        <w:jc w:val="both"/>
        <w:rPr>
          <w:rFonts w:ascii="Tahoma" w:eastAsia="Times New Roman" w:hAnsi="Tahoma" w:cs="Tahoma"/>
          <w:sz w:val="24"/>
          <w:szCs w:val="24"/>
        </w:rPr>
      </w:pPr>
    </w:p>
    <w:p w:rsidR="00213AC9" w:rsidRDefault="00213AC9" w:rsidP="00253B40">
      <w:pPr>
        <w:spacing w:line="360" w:lineRule="auto"/>
        <w:jc w:val="both"/>
        <w:rPr>
          <w:rFonts w:ascii="Tahoma" w:eastAsia="Times New Roman" w:hAnsi="Tahoma" w:cs="Tahoma"/>
          <w:sz w:val="24"/>
          <w:szCs w:val="24"/>
        </w:rPr>
      </w:pPr>
    </w:p>
    <w:p w:rsidR="00253B40" w:rsidRPr="00253B40" w:rsidRDefault="00253B40" w:rsidP="00213AC9">
      <w:pPr>
        <w:spacing w:line="360" w:lineRule="auto"/>
        <w:jc w:val="both"/>
        <w:rPr>
          <w:rFonts w:ascii="Tahoma" w:hAnsi="Tahoma" w:cs="Tahoma"/>
          <w:sz w:val="24"/>
          <w:szCs w:val="24"/>
        </w:rPr>
      </w:pPr>
    </w:p>
    <w:p w:rsidR="00DC25FD" w:rsidRPr="0072360D" w:rsidRDefault="00DC25FD" w:rsidP="00213AC9">
      <w:pPr>
        <w:spacing w:line="360" w:lineRule="auto"/>
        <w:ind w:firstLine="567"/>
        <w:jc w:val="both"/>
        <w:rPr>
          <w:rFonts w:ascii="Tahoma" w:hAnsi="Tahoma" w:cs="Tahoma"/>
          <w:sz w:val="24"/>
          <w:szCs w:val="24"/>
        </w:rPr>
      </w:pPr>
      <w:r w:rsidRPr="0072360D">
        <w:rPr>
          <w:rFonts w:ascii="Tahoma" w:eastAsia="Times New Roman" w:hAnsi="Tahoma" w:cs="Tahoma"/>
          <w:b/>
          <w:sz w:val="24"/>
          <w:szCs w:val="24"/>
        </w:rPr>
        <w:t>Art. 1.</w:t>
      </w:r>
      <w:r w:rsidRPr="0072360D">
        <w:rPr>
          <w:rFonts w:ascii="Tahoma" w:eastAsia="Times New Roman" w:hAnsi="Tahoma" w:cs="Tahoma"/>
          <w:sz w:val="24"/>
          <w:szCs w:val="24"/>
        </w:rPr>
        <w:t xml:space="preserve"> W ustawie z dnia 21 sierpnia 1997 r. o gospodarce nieruchomościami </w:t>
      </w:r>
      <w:r w:rsidR="00753837" w:rsidRPr="0072360D">
        <w:rPr>
          <w:rFonts w:ascii="Tahoma" w:eastAsia="Times New Roman" w:hAnsi="Tahoma" w:cs="Tahoma"/>
          <w:sz w:val="24"/>
          <w:szCs w:val="24"/>
        </w:rPr>
        <w:br/>
      </w:r>
      <w:r w:rsidR="00253B40" w:rsidRPr="0072360D">
        <w:rPr>
          <w:rFonts w:ascii="Tahoma" w:eastAsia="Times New Roman" w:hAnsi="Tahoma" w:cs="Tahoma"/>
          <w:sz w:val="24"/>
          <w:szCs w:val="24"/>
        </w:rPr>
        <w:t>(Dz. U. z 2018 r. poz. 121</w:t>
      </w:r>
      <w:r w:rsidR="00C476F9">
        <w:rPr>
          <w:rFonts w:ascii="Tahoma" w:eastAsia="Times New Roman" w:hAnsi="Tahoma" w:cs="Tahoma"/>
          <w:sz w:val="24"/>
          <w:szCs w:val="24"/>
        </w:rPr>
        <w:t xml:space="preserve"> i 1089</w:t>
      </w:r>
      <w:r w:rsidR="00253B40" w:rsidRPr="0072360D">
        <w:rPr>
          <w:rFonts w:ascii="Tahoma" w:eastAsia="Times New Roman" w:hAnsi="Tahoma" w:cs="Tahoma"/>
          <w:sz w:val="24"/>
          <w:szCs w:val="24"/>
        </w:rPr>
        <w:t xml:space="preserve">) w art. </w:t>
      </w:r>
      <w:r w:rsidRPr="0072360D">
        <w:rPr>
          <w:rFonts w:ascii="Tahoma" w:eastAsia="Times New Roman" w:hAnsi="Tahoma" w:cs="Tahoma"/>
          <w:sz w:val="24"/>
          <w:szCs w:val="24"/>
        </w:rPr>
        <w:t xml:space="preserve">214a </w:t>
      </w:r>
      <w:r w:rsidR="00213AC9">
        <w:rPr>
          <w:rFonts w:ascii="Tahoma" w:eastAsia="Times New Roman" w:hAnsi="Tahoma" w:cs="Tahoma"/>
          <w:sz w:val="24"/>
          <w:szCs w:val="24"/>
        </w:rPr>
        <w:t xml:space="preserve">po pkt 5, kropkę zastępuje się przecinkiem, i </w:t>
      </w:r>
      <w:r w:rsidRPr="0072360D">
        <w:rPr>
          <w:rFonts w:ascii="Tahoma" w:eastAsia="Times New Roman" w:hAnsi="Tahoma" w:cs="Tahoma"/>
          <w:sz w:val="24"/>
          <w:szCs w:val="24"/>
        </w:rPr>
        <w:t>dodaje się p</w:t>
      </w:r>
      <w:r w:rsidR="00253B40" w:rsidRPr="0072360D">
        <w:rPr>
          <w:rFonts w:ascii="Tahoma" w:eastAsia="Times New Roman" w:hAnsi="Tahoma" w:cs="Tahoma"/>
          <w:sz w:val="24"/>
          <w:szCs w:val="24"/>
        </w:rPr>
        <w:t xml:space="preserve">kt </w:t>
      </w:r>
      <w:r w:rsidRPr="0072360D">
        <w:rPr>
          <w:rFonts w:ascii="Tahoma" w:eastAsia="Times New Roman" w:hAnsi="Tahoma" w:cs="Tahoma"/>
          <w:sz w:val="24"/>
          <w:szCs w:val="24"/>
        </w:rPr>
        <w:t>6 w brzmieniu:</w:t>
      </w:r>
    </w:p>
    <w:p w:rsidR="0072360D" w:rsidRDefault="00DC25FD" w:rsidP="00213AC9">
      <w:pPr>
        <w:tabs>
          <w:tab w:val="left" w:pos="851"/>
        </w:tabs>
        <w:spacing w:line="360" w:lineRule="auto"/>
        <w:ind w:left="851" w:hanging="425"/>
        <w:jc w:val="both"/>
        <w:rPr>
          <w:rFonts w:ascii="Tahoma" w:hAnsi="Tahoma" w:cs="Tahoma"/>
          <w:sz w:val="24"/>
          <w:szCs w:val="24"/>
        </w:rPr>
      </w:pPr>
      <w:r w:rsidRPr="0072360D">
        <w:rPr>
          <w:rFonts w:ascii="Tahoma" w:eastAsia="Times New Roman" w:hAnsi="Tahoma" w:cs="Tahoma"/>
          <w:sz w:val="24"/>
          <w:szCs w:val="24"/>
        </w:rPr>
        <w:t>„6)</w:t>
      </w:r>
      <w:r w:rsidR="00213AC9">
        <w:rPr>
          <w:rFonts w:ascii="Tahoma" w:eastAsia="Times New Roman" w:hAnsi="Tahoma" w:cs="Tahoma"/>
          <w:sz w:val="24"/>
          <w:szCs w:val="24"/>
        </w:rPr>
        <w:tab/>
      </w:r>
      <w:r w:rsidR="00C476F9">
        <w:rPr>
          <w:rFonts w:ascii="Tahoma" w:eastAsia="Times New Roman" w:hAnsi="Tahoma" w:cs="Tahoma"/>
          <w:bCs/>
          <w:color w:val="000000"/>
          <w:sz w:val="24"/>
          <w:szCs w:val="24"/>
          <w:lang w:eastAsia="pl-PL"/>
        </w:rPr>
        <w:t>z</w:t>
      </w:r>
      <w:r w:rsidR="0072360D" w:rsidRPr="0072360D">
        <w:rPr>
          <w:rFonts w:ascii="Tahoma" w:eastAsia="Times New Roman" w:hAnsi="Tahoma" w:cs="Tahoma"/>
          <w:bCs/>
          <w:color w:val="000000"/>
          <w:sz w:val="24"/>
          <w:szCs w:val="24"/>
          <w:lang w:eastAsia="pl-PL"/>
        </w:rPr>
        <w:t>abudowę nieruchomości budynkiem,</w:t>
      </w:r>
      <w:r w:rsidR="0072360D" w:rsidRPr="0072360D">
        <w:rPr>
          <w:rFonts w:ascii="Tahoma" w:eastAsia="Times New Roman" w:hAnsi="Tahoma" w:cs="Tahoma"/>
          <w:sz w:val="24"/>
          <w:szCs w:val="24"/>
        </w:rPr>
        <w:t xml:space="preserve"> w którym znajdują się więcej niż trzy lokale mieszkalne.”</w:t>
      </w:r>
      <w:r w:rsidR="0072360D">
        <w:rPr>
          <w:rFonts w:ascii="Tahoma" w:eastAsia="Times New Roman" w:hAnsi="Tahoma" w:cs="Tahoma"/>
          <w:sz w:val="24"/>
          <w:szCs w:val="24"/>
        </w:rPr>
        <w:t>.</w:t>
      </w:r>
    </w:p>
    <w:p w:rsidR="0072360D" w:rsidRPr="00253B40" w:rsidRDefault="0072360D" w:rsidP="00213AC9">
      <w:pPr>
        <w:spacing w:line="360" w:lineRule="auto"/>
        <w:ind w:left="426"/>
        <w:jc w:val="both"/>
        <w:rPr>
          <w:rFonts w:ascii="Tahoma" w:hAnsi="Tahoma" w:cs="Tahoma"/>
          <w:sz w:val="24"/>
          <w:szCs w:val="24"/>
        </w:rPr>
      </w:pPr>
    </w:p>
    <w:p w:rsidR="00DC25FD" w:rsidRPr="00253B40" w:rsidRDefault="00DC25FD" w:rsidP="00213AC9">
      <w:pPr>
        <w:spacing w:line="360" w:lineRule="auto"/>
        <w:ind w:firstLine="567"/>
        <w:jc w:val="both"/>
        <w:rPr>
          <w:rFonts w:ascii="Tahoma" w:hAnsi="Tahoma" w:cs="Tahoma"/>
          <w:sz w:val="24"/>
          <w:szCs w:val="24"/>
        </w:rPr>
      </w:pPr>
      <w:r w:rsidRPr="00253B40">
        <w:rPr>
          <w:rFonts w:ascii="Tahoma" w:eastAsia="Times New Roman" w:hAnsi="Tahoma" w:cs="Tahoma"/>
          <w:b/>
          <w:sz w:val="24"/>
          <w:szCs w:val="24"/>
        </w:rPr>
        <w:t>Art. 2.</w:t>
      </w:r>
      <w:r w:rsidRPr="00253B40">
        <w:rPr>
          <w:rFonts w:ascii="Tahoma" w:eastAsia="Times New Roman" w:hAnsi="Tahoma" w:cs="Tahoma"/>
          <w:sz w:val="24"/>
          <w:szCs w:val="24"/>
        </w:rPr>
        <w:t xml:space="preserve"> Ustawa wchodzi w życie w ciągu 14 dni od daty ogłoszenia.</w:t>
      </w:r>
    </w:p>
    <w:p w:rsidR="00253B40" w:rsidRPr="00253B40" w:rsidRDefault="00253B40" w:rsidP="00213AC9">
      <w:pPr>
        <w:spacing w:line="360" w:lineRule="auto"/>
        <w:jc w:val="both"/>
        <w:rPr>
          <w:rFonts w:ascii="Tahoma" w:eastAsia="Times New Roman" w:hAnsi="Tahoma" w:cs="Tahoma"/>
          <w:sz w:val="24"/>
          <w:szCs w:val="24"/>
        </w:rPr>
      </w:pPr>
    </w:p>
    <w:p w:rsidR="00253B40" w:rsidRPr="00253B40" w:rsidRDefault="00253B40" w:rsidP="00253B40">
      <w:pPr>
        <w:spacing w:line="360" w:lineRule="auto"/>
        <w:jc w:val="both"/>
        <w:rPr>
          <w:rFonts w:ascii="Tahoma" w:eastAsia="Times New Roman" w:hAnsi="Tahoma" w:cs="Tahoma"/>
          <w:sz w:val="24"/>
          <w:szCs w:val="24"/>
        </w:rPr>
      </w:pPr>
    </w:p>
    <w:p w:rsidR="00253B40" w:rsidRPr="00253B40" w:rsidRDefault="00253B40" w:rsidP="00253B40">
      <w:pPr>
        <w:spacing w:line="360" w:lineRule="auto"/>
        <w:jc w:val="both"/>
        <w:rPr>
          <w:rFonts w:ascii="Tahoma" w:eastAsia="Times New Roman" w:hAnsi="Tahoma" w:cs="Tahoma"/>
          <w:sz w:val="24"/>
          <w:szCs w:val="24"/>
        </w:rPr>
      </w:pPr>
    </w:p>
    <w:p w:rsidR="00253B40" w:rsidRPr="00253B40" w:rsidRDefault="00253B40" w:rsidP="00253B40">
      <w:pPr>
        <w:spacing w:line="360" w:lineRule="auto"/>
        <w:jc w:val="both"/>
        <w:rPr>
          <w:rFonts w:ascii="Tahoma" w:eastAsia="Times New Roman" w:hAnsi="Tahoma" w:cs="Tahoma"/>
          <w:sz w:val="24"/>
          <w:szCs w:val="24"/>
        </w:rPr>
      </w:pPr>
    </w:p>
    <w:p w:rsidR="00253B40" w:rsidRPr="00253B40" w:rsidRDefault="00253B40" w:rsidP="00253B40">
      <w:pPr>
        <w:spacing w:line="360" w:lineRule="auto"/>
        <w:jc w:val="both"/>
        <w:rPr>
          <w:rFonts w:ascii="Tahoma" w:eastAsia="Times New Roman" w:hAnsi="Tahoma" w:cs="Tahoma"/>
          <w:sz w:val="24"/>
          <w:szCs w:val="24"/>
        </w:rPr>
      </w:pPr>
    </w:p>
    <w:p w:rsidR="00253B40" w:rsidRPr="00253B40" w:rsidRDefault="00253B40" w:rsidP="00253B40">
      <w:pPr>
        <w:spacing w:line="360" w:lineRule="auto"/>
        <w:jc w:val="both"/>
        <w:rPr>
          <w:rFonts w:ascii="Tahoma" w:eastAsia="Times New Roman" w:hAnsi="Tahoma" w:cs="Tahoma"/>
          <w:sz w:val="24"/>
          <w:szCs w:val="24"/>
        </w:rPr>
      </w:pPr>
    </w:p>
    <w:p w:rsidR="00253B40" w:rsidRPr="00253B40" w:rsidRDefault="00253B40" w:rsidP="00253B40">
      <w:pPr>
        <w:spacing w:line="360" w:lineRule="auto"/>
        <w:jc w:val="both"/>
        <w:rPr>
          <w:rFonts w:ascii="Tahoma" w:eastAsia="Times New Roman" w:hAnsi="Tahoma" w:cs="Tahoma"/>
          <w:sz w:val="24"/>
          <w:szCs w:val="24"/>
        </w:rPr>
      </w:pPr>
    </w:p>
    <w:p w:rsidR="00253B40" w:rsidRPr="00253B40" w:rsidRDefault="00253B40" w:rsidP="00253B40">
      <w:pPr>
        <w:spacing w:line="360" w:lineRule="auto"/>
        <w:jc w:val="both"/>
        <w:rPr>
          <w:rFonts w:ascii="Tahoma" w:eastAsia="Times New Roman" w:hAnsi="Tahoma" w:cs="Tahoma"/>
          <w:sz w:val="24"/>
          <w:szCs w:val="24"/>
        </w:rPr>
      </w:pPr>
    </w:p>
    <w:p w:rsidR="00213AC9" w:rsidRDefault="00213AC9" w:rsidP="00253B40">
      <w:pPr>
        <w:spacing w:line="360" w:lineRule="auto"/>
        <w:jc w:val="both"/>
        <w:rPr>
          <w:rFonts w:ascii="Tahoma" w:eastAsia="Times New Roman" w:hAnsi="Tahoma" w:cs="Tahoma"/>
          <w:sz w:val="24"/>
          <w:szCs w:val="24"/>
        </w:rPr>
      </w:pPr>
    </w:p>
    <w:p w:rsidR="00DC25FD" w:rsidRDefault="00213AC9" w:rsidP="00E60854">
      <w:pPr>
        <w:spacing w:line="360" w:lineRule="auto"/>
        <w:jc w:val="center"/>
        <w:rPr>
          <w:rFonts w:ascii="Tahoma" w:eastAsia="Times New Roman" w:hAnsi="Tahoma" w:cs="Tahoma"/>
          <w:sz w:val="24"/>
          <w:szCs w:val="24"/>
        </w:rPr>
      </w:pPr>
      <w:r>
        <w:rPr>
          <w:rFonts w:ascii="Tahoma" w:eastAsia="Times New Roman" w:hAnsi="Tahoma" w:cs="Tahoma"/>
          <w:sz w:val="24"/>
          <w:szCs w:val="24"/>
        </w:rPr>
        <w:lastRenderedPageBreak/>
        <w:t>Uzasadnienie</w:t>
      </w:r>
    </w:p>
    <w:p w:rsidR="00213AC9" w:rsidRDefault="00213AC9" w:rsidP="00E60854">
      <w:pPr>
        <w:spacing w:line="360" w:lineRule="auto"/>
        <w:jc w:val="center"/>
        <w:rPr>
          <w:rFonts w:ascii="Tahoma" w:hAnsi="Tahoma" w:cs="Tahoma"/>
          <w:sz w:val="24"/>
          <w:szCs w:val="24"/>
        </w:rPr>
      </w:pPr>
    </w:p>
    <w:p w:rsidR="00213AC9" w:rsidRPr="00253B40" w:rsidRDefault="00213AC9" w:rsidP="00E60854">
      <w:pPr>
        <w:spacing w:line="360" w:lineRule="auto"/>
        <w:jc w:val="center"/>
        <w:rPr>
          <w:rFonts w:ascii="Tahoma" w:hAnsi="Tahoma" w:cs="Tahoma"/>
          <w:sz w:val="24"/>
          <w:szCs w:val="24"/>
        </w:rPr>
      </w:pPr>
    </w:p>
    <w:p w:rsidR="006B5952" w:rsidRDefault="00C476F9" w:rsidP="00253B40">
      <w:pPr>
        <w:spacing w:line="360" w:lineRule="auto"/>
        <w:jc w:val="both"/>
        <w:rPr>
          <w:rFonts w:ascii="Tahoma" w:eastAsia="Times New Roman" w:hAnsi="Tahoma" w:cs="Tahoma"/>
          <w:sz w:val="24"/>
          <w:szCs w:val="24"/>
        </w:rPr>
      </w:pPr>
      <w:r>
        <w:rPr>
          <w:rFonts w:ascii="Tahoma" w:eastAsia="Times New Roman" w:hAnsi="Tahoma" w:cs="Tahoma"/>
          <w:sz w:val="24"/>
          <w:szCs w:val="24"/>
        </w:rPr>
        <w:t xml:space="preserve">Zgodnie z art. </w:t>
      </w:r>
      <w:r w:rsidR="00DC25FD" w:rsidRPr="00253B40">
        <w:rPr>
          <w:rFonts w:ascii="Tahoma" w:eastAsia="Times New Roman" w:hAnsi="Tahoma" w:cs="Tahoma"/>
          <w:sz w:val="24"/>
          <w:szCs w:val="24"/>
        </w:rPr>
        <w:t xml:space="preserve">214a </w:t>
      </w:r>
      <w:r>
        <w:rPr>
          <w:rFonts w:ascii="Tahoma" w:eastAsia="Times New Roman" w:hAnsi="Tahoma" w:cs="Tahoma"/>
          <w:sz w:val="24"/>
          <w:szCs w:val="24"/>
        </w:rPr>
        <w:t xml:space="preserve">ustawy </w:t>
      </w:r>
      <w:r w:rsidRPr="0072360D">
        <w:rPr>
          <w:rFonts w:ascii="Tahoma" w:eastAsia="Times New Roman" w:hAnsi="Tahoma" w:cs="Tahoma"/>
          <w:sz w:val="24"/>
          <w:szCs w:val="24"/>
        </w:rPr>
        <w:t>z dnia 21 sierpnia 1997 r. o gospodarce nieruchomościami (Dz. U. z 2018 r. poz. 121</w:t>
      </w:r>
      <w:r>
        <w:rPr>
          <w:rFonts w:ascii="Tahoma" w:eastAsia="Times New Roman" w:hAnsi="Tahoma" w:cs="Tahoma"/>
          <w:sz w:val="24"/>
          <w:szCs w:val="24"/>
        </w:rPr>
        <w:t xml:space="preserve"> i 1089</w:t>
      </w:r>
      <w:r w:rsidRPr="0072360D">
        <w:rPr>
          <w:rFonts w:ascii="Tahoma" w:eastAsia="Times New Roman" w:hAnsi="Tahoma" w:cs="Tahoma"/>
          <w:sz w:val="24"/>
          <w:szCs w:val="24"/>
        </w:rPr>
        <w:t xml:space="preserve">) </w:t>
      </w:r>
      <w:r w:rsidR="00DC25FD" w:rsidRPr="00253B40">
        <w:rPr>
          <w:rFonts w:ascii="Tahoma" w:eastAsia="Times New Roman" w:hAnsi="Tahoma" w:cs="Tahoma"/>
          <w:sz w:val="24"/>
          <w:szCs w:val="24"/>
        </w:rPr>
        <w:t xml:space="preserve">przewiduje przypadki, w których można odmówić ustanowienia użytkowania wieczystego na rzecz poprzedniego właściciela gruntu </w:t>
      </w:r>
      <w:r w:rsidR="00213AC9">
        <w:rPr>
          <w:rFonts w:ascii="Tahoma" w:eastAsia="Times New Roman" w:hAnsi="Tahoma" w:cs="Tahoma"/>
          <w:sz w:val="24"/>
          <w:szCs w:val="24"/>
        </w:rPr>
        <w:br/>
      </w:r>
      <w:r w:rsidR="00DC25FD" w:rsidRPr="00253B40">
        <w:rPr>
          <w:rFonts w:ascii="Tahoma" w:eastAsia="Times New Roman" w:hAnsi="Tahoma" w:cs="Tahoma"/>
          <w:sz w:val="24"/>
          <w:szCs w:val="24"/>
        </w:rPr>
        <w:t>w rozumieniu art. 7 ust</w:t>
      </w:r>
      <w:r>
        <w:rPr>
          <w:rFonts w:ascii="Tahoma" w:eastAsia="Times New Roman" w:hAnsi="Tahoma" w:cs="Tahoma"/>
          <w:sz w:val="24"/>
          <w:szCs w:val="24"/>
        </w:rPr>
        <w:t>.</w:t>
      </w:r>
      <w:r w:rsidR="00DC25FD" w:rsidRPr="00253B40">
        <w:rPr>
          <w:rFonts w:ascii="Tahoma" w:eastAsia="Times New Roman" w:hAnsi="Tahoma" w:cs="Tahoma"/>
          <w:sz w:val="24"/>
          <w:szCs w:val="24"/>
        </w:rPr>
        <w:t xml:space="preserve"> 1 dekretu z dnia 26 października 1945 r. o własności </w:t>
      </w:r>
      <w:r w:rsidR="00213AC9">
        <w:rPr>
          <w:rFonts w:ascii="Tahoma" w:eastAsia="Times New Roman" w:hAnsi="Tahoma" w:cs="Tahoma"/>
          <w:sz w:val="24"/>
          <w:szCs w:val="24"/>
        </w:rPr>
        <w:br/>
      </w:r>
      <w:r w:rsidR="00DC25FD" w:rsidRPr="00253B40">
        <w:rPr>
          <w:rFonts w:ascii="Tahoma" w:eastAsia="Times New Roman" w:hAnsi="Tahoma" w:cs="Tahoma"/>
          <w:sz w:val="24"/>
          <w:szCs w:val="24"/>
        </w:rPr>
        <w:t>i użytkowaniu gruntów na obszarze m.st. Warszawy.</w:t>
      </w:r>
    </w:p>
    <w:p w:rsidR="00DC25FD" w:rsidRPr="00253B40" w:rsidRDefault="00DC25FD" w:rsidP="00253B40">
      <w:pPr>
        <w:spacing w:line="360" w:lineRule="auto"/>
        <w:jc w:val="both"/>
        <w:rPr>
          <w:rFonts w:ascii="Tahoma" w:hAnsi="Tahoma" w:cs="Tahoma"/>
          <w:sz w:val="24"/>
          <w:szCs w:val="24"/>
        </w:rPr>
      </w:pPr>
      <w:r w:rsidRPr="00253B40">
        <w:rPr>
          <w:rFonts w:ascii="Tahoma" w:eastAsia="Times New Roman" w:hAnsi="Tahoma" w:cs="Tahoma"/>
          <w:sz w:val="24"/>
          <w:szCs w:val="24"/>
        </w:rPr>
        <w:t xml:space="preserve">Zgodnie z obecnym brzmieniem </w:t>
      </w:r>
      <w:r w:rsidR="00C476F9">
        <w:rPr>
          <w:rFonts w:ascii="Tahoma" w:eastAsia="Times New Roman" w:hAnsi="Tahoma" w:cs="Tahoma"/>
          <w:sz w:val="24"/>
          <w:szCs w:val="24"/>
        </w:rPr>
        <w:t xml:space="preserve">ww. </w:t>
      </w:r>
      <w:r w:rsidRPr="00253B40">
        <w:rPr>
          <w:rFonts w:ascii="Tahoma" w:eastAsia="Times New Roman" w:hAnsi="Tahoma" w:cs="Tahoma"/>
          <w:sz w:val="24"/>
          <w:szCs w:val="24"/>
        </w:rPr>
        <w:t xml:space="preserve">przepisu można odmówić ustanowienia użytkowania wieczystego m.in. jeśli nieruchomość jest wykorzystywana na cele publiczne, jeśli została sprzedana lub oddana w użytkowanie wieczyste na rzecz osób trzecich, jeśli brak jest możliwość podziału nieruchomości, której tylko część jest przedmiotem roszczenia. Podstawą odmowy może być również fakt zabudowy nieruchomości przez Skarb Państwa lub jednostkę samorząd terytorialnego, dokonaną po 26 października 1945 r., jeśli wartość zabudowy znacznie przewyższa wartość zajętego na ten cel gruntu oraz odbudowę lub remont budynków, dokonanych </w:t>
      </w:r>
      <w:r w:rsidR="00213AC9">
        <w:rPr>
          <w:rFonts w:ascii="Tahoma" w:eastAsia="Times New Roman" w:hAnsi="Tahoma" w:cs="Tahoma"/>
          <w:sz w:val="24"/>
          <w:szCs w:val="24"/>
        </w:rPr>
        <w:br/>
      </w:r>
      <w:r w:rsidRPr="00253B40">
        <w:rPr>
          <w:rFonts w:ascii="Tahoma" w:eastAsia="Times New Roman" w:hAnsi="Tahoma" w:cs="Tahoma"/>
          <w:sz w:val="24"/>
          <w:szCs w:val="24"/>
        </w:rPr>
        <w:t>ze środków publicznych, zniszczonych w latach 1939-1945 więcej niż w 66%.</w:t>
      </w:r>
    </w:p>
    <w:p w:rsidR="00DC25FD" w:rsidRPr="00253B40" w:rsidRDefault="00C476F9" w:rsidP="00253B40">
      <w:pPr>
        <w:spacing w:line="360" w:lineRule="auto"/>
        <w:jc w:val="both"/>
        <w:rPr>
          <w:rFonts w:ascii="Tahoma" w:hAnsi="Tahoma" w:cs="Tahoma"/>
          <w:sz w:val="24"/>
          <w:szCs w:val="24"/>
        </w:rPr>
      </w:pPr>
      <w:r>
        <w:rPr>
          <w:rFonts w:ascii="Tahoma" w:eastAsia="Times New Roman" w:hAnsi="Tahoma" w:cs="Tahoma"/>
          <w:sz w:val="24"/>
          <w:szCs w:val="24"/>
        </w:rPr>
        <w:t xml:space="preserve">W niniejszym projekcie ustawy </w:t>
      </w:r>
      <w:r w:rsidR="00DC25FD" w:rsidRPr="00253B40">
        <w:rPr>
          <w:rFonts w:ascii="Tahoma" w:eastAsia="Times New Roman" w:hAnsi="Tahoma" w:cs="Tahoma"/>
          <w:sz w:val="24"/>
          <w:szCs w:val="24"/>
        </w:rPr>
        <w:t xml:space="preserve">proponuje się dodać kolejną przesłankę do odmowy ustanowienia użytkowania wieczystego. Zgodnie z proponowanymi zapisami możliwe będzie wydanie decyzji odmownej, jeśli na nieruchomości znajduje się budynek, </w:t>
      </w:r>
      <w:r w:rsidR="00213AC9">
        <w:rPr>
          <w:rFonts w:ascii="Tahoma" w:eastAsia="Times New Roman" w:hAnsi="Tahoma" w:cs="Tahoma"/>
          <w:sz w:val="24"/>
          <w:szCs w:val="24"/>
        </w:rPr>
        <w:br/>
      </w:r>
      <w:r w:rsidR="00DC25FD" w:rsidRPr="00253B40">
        <w:rPr>
          <w:rFonts w:ascii="Tahoma" w:eastAsia="Times New Roman" w:hAnsi="Tahoma" w:cs="Tahoma"/>
          <w:sz w:val="24"/>
          <w:szCs w:val="24"/>
        </w:rPr>
        <w:t xml:space="preserve">w którym znajdują się więcej niż trzy lokale mieszkalne.  </w:t>
      </w:r>
    </w:p>
    <w:p w:rsidR="00DC25FD" w:rsidRPr="00253B40" w:rsidRDefault="00C476F9" w:rsidP="00253B40">
      <w:pPr>
        <w:spacing w:line="360" w:lineRule="auto"/>
        <w:jc w:val="both"/>
        <w:rPr>
          <w:rFonts w:ascii="Tahoma" w:hAnsi="Tahoma" w:cs="Tahoma"/>
          <w:sz w:val="24"/>
          <w:szCs w:val="24"/>
        </w:rPr>
      </w:pPr>
      <w:r>
        <w:rPr>
          <w:rFonts w:ascii="Tahoma" w:eastAsia="Times New Roman" w:hAnsi="Tahoma" w:cs="Tahoma"/>
          <w:sz w:val="24"/>
          <w:szCs w:val="24"/>
        </w:rPr>
        <w:t>Projekt ma</w:t>
      </w:r>
      <w:r w:rsidR="00DC25FD" w:rsidRPr="00253B40">
        <w:rPr>
          <w:rFonts w:ascii="Tahoma" w:eastAsia="Times New Roman" w:hAnsi="Tahoma" w:cs="Tahoma"/>
          <w:sz w:val="24"/>
          <w:szCs w:val="24"/>
        </w:rPr>
        <w:t xml:space="preserve"> na celu uporządkowanie sytuacji prawnej budynków mieszkalnych, będących w posiadaniu m.st. Warszawy lub Skarbu Państwa, leżących na terenie objętym działaniem dekretu z dnia 26 października 1945 r. o własności i użytkowaniu gruntów na obszarze m. st. Warszawy.</w:t>
      </w:r>
    </w:p>
    <w:p w:rsidR="00DC25FD" w:rsidRPr="00253B40" w:rsidRDefault="00DC25FD" w:rsidP="00253B40">
      <w:pPr>
        <w:spacing w:line="360" w:lineRule="auto"/>
        <w:jc w:val="both"/>
        <w:rPr>
          <w:rFonts w:ascii="Tahoma" w:hAnsi="Tahoma" w:cs="Tahoma"/>
          <w:sz w:val="24"/>
          <w:szCs w:val="24"/>
        </w:rPr>
      </w:pPr>
      <w:r w:rsidRPr="00253B40">
        <w:rPr>
          <w:rFonts w:ascii="Tahoma" w:eastAsia="Times New Roman" w:hAnsi="Tahoma" w:cs="Tahoma"/>
          <w:sz w:val="24"/>
          <w:szCs w:val="24"/>
        </w:rPr>
        <w:t xml:space="preserve">W chwili obecnej, choć dekret Bieruta wszedł w życie ponad 70 lat temu, cały czas los kilkuset budynków z lokalami komunalnymi jest niepewny. Nie wiadomo czy byli </w:t>
      </w:r>
      <w:r w:rsidRPr="00253B40">
        <w:rPr>
          <w:rFonts w:ascii="Tahoma" w:eastAsia="Times New Roman" w:hAnsi="Tahoma" w:cs="Tahoma"/>
          <w:sz w:val="24"/>
          <w:szCs w:val="24"/>
        </w:rPr>
        <w:lastRenderedPageBreak/>
        <w:t xml:space="preserve">właściciele będą się ubiegać o ich zwrot i czy zrobią to skutecznie. Jeżeli bowiem nawet pozostaje w mocy decyzja odmawiająca przyznania własności czasowej (wydana </w:t>
      </w:r>
      <w:r w:rsidR="00213AC9">
        <w:rPr>
          <w:rFonts w:ascii="Tahoma" w:eastAsia="Times New Roman" w:hAnsi="Tahoma" w:cs="Tahoma"/>
          <w:sz w:val="24"/>
          <w:szCs w:val="24"/>
        </w:rPr>
        <w:br/>
      </w:r>
      <w:r w:rsidRPr="00253B40">
        <w:rPr>
          <w:rFonts w:ascii="Tahoma" w:eastAsia="Times New Roman" w:hAnsi="Tahoma" w:cs="Tahoma"/>
          <w:sz w:val="24"/>
          <w:szCs w:val="24"/>
        </w:rPr>
        <w:t>w latach 50-70 XX w.), może ona ciągle zostać wyeliminowana z obrotu prawnego. Więc choć formalnie jest to nieruchomość bez roszczeń, de facto w każdej chwili mogą się one pojawić. W przypadku wielu nieruchomości, do których formalnie zgłoszone są roszczenia, przez lata strony postępowania nie podejmują żadnych czynności i nie ma możliwości zakończyć postępowania dekretowego. Mając na względzie historyczne zawiłości organ często ma poważne trudności z ustaleniem następców prawnych dotychczasowych właścicieli. Druga Wojna Światowa, holokaust, powojenne emigrację wraz z zniszczeniem dokumentacji archiwalnych to przyczyny, z powodu których czasem określenie wszystkich następców prawnych dawnych właścicieli jest wręcz niemożliwe.</w:t>
      </w:r>
    </w:p>
    <w:p w:rsidR="00DC25FD" w:rsidRPr="00253B40" w:rsidRDefault="00DC25FD" w:rsidP="00253B40">
      <w:pPr>
        <w:spacing w:line="360" w:lineRule="auto"/>
        <w:jc w:val="both"/>
        <w:rPr>
          <w:rFonts w:ascii="Tahoma" w:hAnsi="Tahoma" w:cs="Tahoma"/>
          <w:sz w:val="24"/>
          <w:szCs w:val="24"/>
        </w:rPr>
      </w:pPr>
      <w:r w:rsidRPr="00253B40">
        <w:rPr>
          <w:rFonts w:ascii="Tahoma" w:eastAsia="Times New Roman" w:hAnsi="Tahoma" w:cs="Tahoma"/>
          <w:sz w:val="24"/>
          <w:szCs w:val="24"/>
        </w:rPr>
        <w:t xml:space="preserve">Odczuwają to przede wszystkim lokatorzy tych budynków. Nie wiedzą czy </w:t>
      </w:r>
      <w:r w:rsidR="00213AC9">
        <w:rPr>
          <w:rFonts w:ascii="Tahoma" w:eastAsia="Times New Roman" w:hAnsi="Tahoma" w:cs="Tahoma"/>
          <w:sz w:val="24"/>
          <w:szCs w:val="24"/>
        </w:rPr>
        <w:br/>
      </w:r>
      <w:r w:rsidRPr="00253B40">
        <w:rPr>
          <w:rFonts w:ascii="Tahoma" w:eastAsia="Times New Roman" w:hAnsi="Tahoma" w:cs="Tahoma"/>
          <w:sz w:val="24"/>
          <w:szCs w:val="24"/>
        </w:rPr>
        <w:t xml:space="preserve">w najbliższych latach będą mogli dalej zamieszkiwać w swoich mieszkaniach, a ma to znaczenie dla ich planów życiowych takich chociażby jak wybór przedszkola czy szkoły dla dziecka. Brak uregulowania stanu prawnego nieruchomości wpływa też na możliwości inwestycyjne miasta. Roszczenia do nieruchomości  powodują, że miasto wykonuje jedynie remonty konieczne, co w przypadku budynków przedwojennych jest często niewystarczające. Również decyzje o przyłączeniu centralnego ogrzewania czy innych mediów do budynku może stać pod znakiem zapytania ze względu na nieuregulowany stan prawny do nieruchomości. </w:t>
      </w:r>
    </w:p>
    <w:p w:rsidR="00DC25FD" w:rsidRPr="00253B40" w:rsidRDefault="00213AC9" w:rsidP="00253B40">
      <w:pPr>
        <w:spacing w:line="360" w:lineRule="auto"/>
        <w:jc w:val="both"/>
        <w:rPr>
          <w:rFonts w:ascii="Tahoma" w:hAnsi="Tahoma" w:cs="Tahoma"/>
          <w:sz w:val="24"/>
          <w:szCs w:val="24"/>
        </w:rPr>
      </w:pPr>
      <w:r>
        <w:rPr>
          <w:rFonts w:ascii="Tahoma" w:eastAsia="Times New Roman" w:hAnsi="Tahoma" w:cs="Tahoma"/>
          <w:sz w:val="24"/>
          <w:szCs w:val="24"/>
        </w:rPr>
        <w:t>Zgodnie z projektem</w:t>
      </w:r>
      <w:r w:rsidR="00DC25FD" w:rsidRPr="00253B40">
        <w:rPr>
          <w:rFonts w:ascii="Tahoma" w:eastAsia="Times New Roman" w:hAnsi="Tahoma" w:cs="Tahoma"/>
          <w:sz w:val="24"/>
          <w:szCs w:val="24"/>
        </w:rPr>
        <w:t xml:space="preserve">, odmowa ustanowienia użytkowania wieczystego, będzie uzależniona od liczby lokali mieszkalnych w budynku. Odmowa będzie możliwa </w:t>
      </w:r>
      <w:r>
        <w:rPr>
          <w:rFonts w:ascii="Tahoma" w:eastAsia="Times New Roman" w:hAnsi="Tahoma" w:cs="Tahoma"/>
          <w:sz w:val="24"/>
          <w:szCs w:val="24"/>
        </w:rPr>
        <w:br/>
      </w:r>
      <w:r w:rsidR="00DC25FD" w:rsidRPr="00253B40">
        <w:rPr>
          <w:rFonts w:ascii="Tahoma" w:eastAsia="Times New Roman" w:hAnsi="Tahoma" w:cs="Tahoma"/>
          <w:sz w:val="24"/>
          <w:szCs w:val="24"/>
        </w:rPr>
        <w:t>w przypadku budynków z więcej niż trzema lokalami mieszkalnymi. Chodzi o to aby nie blokować zwrotów w naturze domów jednorodzinnych czy innych mniejszych nieruchomości mieszkalnych.</w:t>
      </w:r>
    </w:p>
    <w:p w:rsidR="00DC25FD" w:rsidRDefault="000825B3" w:rsidP="00253B40">
      <w:pPr>
        <w:spacing w:line="360" w:lineRule="auto"/>
        <w:jc w:val="both"/>
        <w:rPr>
          <w:rFonts w:ascii="Tahoma" w:eastAsia="Times New Roman" w:hAnsi="Tahoma" w:cs="Tahoma"/>
          <w:sz w:val="24"/>
          <w:szCs w:val="24"/>
        </w:rPr>
      </w:pPr>
      <w:r>
        <w:rPr>
          <w:rFonts w:ascii="Tahoma" w:eastAsia="Times New Roman" w:hAnsi="Tahoma" w:cs="Tahoma"/>
          <w:sz w:val="24"/>
          <w:szCs w:val="24"/>
        </w:rPr>
        <w:t xml:space="preserve">Przedmiot projektu nie jest objęty prawem Unii Europejskiej. </w:t>
      </w:r>
    </w:p>
    <w:p w:rsidR="00C53B03" w:rsidRDefault="00C53B03" w:rsidP="00253B40">
      <w:pPr>
        <w:spacing w:line="360" w:lineRule="auto"/>
        <w:jc w:val="both"/>
        <w:rPr>
          <w:rFonts w:ascii="Tahoma" w:eastAsia="Times New Roman" w:hAnsi="Tahoma" w:cs="Tahoma"/>
          <w:sz w:val="24"/>
          <w:szCs w:val="24"/>
        </w:rPr>
      </w:pPr>
    </w:p>
    <w:p w:rsidR="00C53B03" w:rsidRDefault="00C53B03" w:rsidP="00253B40">
      <w:pPr>
        <w:spacing w:line="360" w:lineRule="auto"/>
        <w:jc w:val="both"/>
        <w:rPr>
          <w:rFonts w:ascii="Tahoma" w:eastAsia="Times New Roman" w:hAnsi="Tahoma" w:cs="Tahoma"/>
          <w:sz w:val="24"/>
          <w:szCs w:val="24"/>
        </w:rPr>
      </w:pPr>
    </w:p>
    <w:p w:rsidR="00C53B03" w:rsidRDefault="00C53B03" w:rsidP="00253B40">
      <w:pPr>
        <w:spacing w:line="360" w:lineRule="auto"/>
        <w:jc w:val="both"/>
        <w:rPr>
          <w:rFonts w:ascii="Tahoma" w:eastAsia="Times New Roman" w:hAnsi="Tahoma" w:cs="Tahoma"/>
          <w:sz w:val="24"/>
          <w:szCs w:val="24"/>
        </w:rPr>
      </w:pPr>
    </w:p>
    <w:p w:rsidR="00D5549C" w:rsidRPr="00253B40" w:rsidRDefault="00D5549C" w:rsidP="00253B40">
      <w:pPr>
        <w:spacing w:line="360" w:lineRule="auto"/>
        <w:rPr>
          <w:rFonts w:ascii="Tahoma" w:hAnsi="Tahoma" w:cs="Tahoma"/>
          <w:sz w:val="24"/>
          <w:szCs w:val="24"/>
        </w:rPr>
      </w:pPr>
    </w:p>
    <w:sectPr w:rsidR="00D5549C" w:rsidRPr="00253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35D"/>
    <w:rsid w:val="000825B3"/>
    <w:rsid w:val="00213AC9"/>
    <w:rsid w:val="00226E56"/>
    <w:rsid w:val="00253B40"/>
    <w:rsid w:val="006B5952"/>
    <w:rsid w:val="0072360D"/>
    <w:rsid w:val="00753837"/>
    <w:rsid w:val="007E40CB"/>
    <w:rsid w:val="00BC235D"/>
    <w:rsid w:val="00C476F9"/>
    <w:rsid w:val="00C53B03"/>
    <w:rsid w:val="00D5549C"/>
    <w:rsid w:val="00DC25FD"/>
    <w:rsid w:val="00DC4D55"/>
    <w:rsid w:val="00E60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25FD"/>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538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383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25FD"/>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538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3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24254">
      <w:bodyDiv w:val="1"/>
      <w:marLeft w:val="0"/>
      <w:marRight w:val="0"/>
      <w:marTop w:val="0"/>
      <w:marBottom w:val="0"/>
      <w:divBdr>
        <w:top w:val="none" w:sz="0" w:space="0" w:color="auto"/>
        <w:left w:val="none" w:sz="0" w:space="0" w:color="auto"/>
        <w:bottom w:val="none" w:sz="0" w:space="0" w:color="auto"/>
        <w:right w:val="none" w:sz="0" w:space="0" w:color="auto"/>
      </w:divBdr>
      <w:divsChild>
        <w:div w:id="2033265241">
          <w:marLeft w:val="0"/>
          <w:marRight w:val="0"/>
          <w:marTop w:val="0"/>
          <w:marBottom w:val="0"/>
          <w:divBdr>
            <w:top w:val="none" w:sz="0" w:space="0" w:color="auto"/>
            <w:left w:val="none" w:sz="0" w:space="0" w:color="auto"/>
            <w:bottom w:val="none" w:sz="0" w:space="0" w:color="auto"/>
            <w:right w:val="none" w:sz="0" w:space="0" w:color="auto"/>
          </w:divBdr>
          <w:divsChild>
            <w:div w:id="956327863">
              <w:marLeft w:val="0"/>
              <w:marRight w:val="0"/>
              <w:marTop w:val="0"/>
              <w:marBottom w:val="0"/>
              <w:divBdr>
                <w:top w:val="none" w:sz="0" w:space="0" w:color="auto"/>
                <w:left w:val="none" w:sz="0" w:space="0" w:color="auto"/>
                <w:bottom w:val="none" w:sz="0" w:space="0" w:color="auto"/>
                <w:right w:val="none" w:sz="0" w:space="0" w:color="auto"/>
              </w:divBdr>
            </w:div>
          </w:divsChild>
        </w:div>
        <w:div w:id="996954001">
          <w:marLeft w:val="0"/>
          <w:marRight w:val="0"/>
          <w:marTop w:val="0"/>
          <w:marBottom w:val="0"/>
          <w:divBdr>
            <w:top w:val="none" w:sz="0" w:space="0" w:color="auto"/>
            <w:left w:val="none" w:sz="0" w:space="0" w:color="auto"/>
            <w:bottom w:val="none" w:sz="0" w:space="0" w:color="auto"/>
            <w:right w:val="none" w:sz="0" w:space="0" w:color="auto"/>
          </w:divBdr>
        </w:div>
      </w:divsChild>
    </w:div>
    <w:div w:id="1368525004">
      <w:bodyDiv w:val="1"/>
      <w:marLeft w:val="0"/>
      <w:marRight w:val="0"/>
      <w:marTop w:val="0"/>
      <w:marBottom w:val="0"/>
      <w:divBdr>
        <w:top w:val="none" w:sz="0" w:space="0" w:color="auto"/>
        <w:left w:val="none" w:sz="0" w:space="0" w:color="auto"/>
        <w:bottom w:val="none" w:sz="0" w:space="0" w:color="auto"/>
        <w:right w:val="none" w:sz="0" w:space="0" w:color="auto"/>
      </w:divBdr>
    </w:div>
    <w:div w:id="1443572407">
      <w:bodyDiv w:val="1"/>
      <w:marLeft w:val="0"/>
      <w:marRight w:val="0"/>
      <w:marTop w:val="0"/>
      <w:marBottom w:val="0"/>
      <w:divBdr>
        <w:top w:val="none" w:sz="0" w:space="0" w:color="auto"/>
        <w:left w:val="none" w:sz="0" w:space="0" w:color="auto"/>
        <w:bottom w:val="none" w:sz="0" w:space="0" w:color="auto"/>
        <w:right w:val="none" w:sz="0" w:space="0" w:color="auto"/>
      </w:divBdr>
      <w:divsChild>
        <w:div w:id="1998413184">
          <w:marLeft w:val="0"/>
          <w:marRight w:val="0"/>
          <w:marTop w:val="0"/>
          <w:marBottom w:val="0"/>
          <w:divBdr>
            <w:top w:val="none" w:sz="0" w:space="0" w:color="auto"/>
            <w:left w:val="none" w:sz="0" w:space="0" w:color="auto"/>
            <w:bottom w:val="none" w:sz="0" w:space="0" w:color="auto"/>
            <w:right w:val="none" w:sz="0" w:space="0" w:color="auto"/>
          </w:divBdr>
        </w:div>
        <w:div w:id="1194347577">
          <w:marLeft w:val="0"/>
          <w:marRight w:val="0"/>
          <w:marTop w:val="0"/>
          <w:marBottom w:val="0"/>
          <w:divBdr>
            <w:top w:val="none" w:sz="0" w:space="0" w:color="auto"/>
            <w:left w:val="none" w:sz="0" w:space="0" w:color="auto"/>
            <w:bottom w:val="none" w:sz="0" w:space="0" w:color="auto"/>
            <w:right w:val="none" w:sz="0" w:space="0" w:color="auto"/>
          </w:divBdr>
          <w:divsChild>
            <w:div w:id="49191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7707">
      <w:bodyDiv w:val="1"/>
      <w:marLeft w:val="0"/>
      <w:marRight w:val="0"/>
      <w:marTop w:val="0"/>
      <w:marBottom w:val="0"/>
      <w:divBdr>
        <w:top w:val="none" w:sz="0" w:space="0" w:color="auto"/>
        <w:left w:val="none" w:sz="0" w:space="0" w:color="auto"/>
        <w:bottom w:val="none" w:sz="0" w:space="0" w:color="auto"/>
        <w:right w:val="none" w:sz="0" w:space="0" w:color="auto"/>
      </w:divBdr>
      <w:divsChild>
        <w:div w:id="638457124">
          <w:marLeft w:val="0"/>
          <w:marRight w:val="0"/>
          <w:marTop w:val="0"/>
          <w:marBottom w:val="0"/>
          <w:divBdr>
            <w:top w:val="none" w:sz="0" w:space="0" w:color="auto"/>
            <w:left w:val="none" w:sz="0" w:space="0" w:color="auto"/>
            <w:bottom w:val="none" w:sz="0" w:space="0" w:color="auto"/>
            <w:right w:val="none" w:sz="0" w:space="0" w:color="auto"/>
          </w:divBdr>
          <w:divsChild>
            <w:div w:id="1722710496">
              <w:marLeft w:val="0"/>
              <w:marRight w:val="0"/>
              <w:marTop w:val="0"/>
              <w:marBottom w:val="0"/>
              <w:divBdr>
                <w:top w:val="none" w:sz="0" w:space="0" w:color="auto"/>
                <w:left w:val="none" w:sz="0" w:space="0" w:color="auto"/>
                <w:bottom w:val="none" w:sz="0" w:space="0" w:color="auto"/>
                <w:right w:val="none" w:sz="0" w:space="0" w:color="auto"/>
              </w:divBdr>
              <w:divsChild>
                <w:div w:id="14150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6257">
          <w:marLeft w:val="0"/>
          <w:marRight w:val="0"/>
          <w:marTop w:val="0"/>
          <w:marBottom w:val="0"/>
          <w:divBdr>
            <w:top w:val="none" w:sz="0" w:space="0" w:color="auto"/>
            <w:left w:val="none" w:sz="0" w:space="0" w:color="auto"/>
            <w:bottom w:val="none" w:sz="0" w:space="0" w:color="auto"/>
            <w:right w:val="none" w:sz="0" w:space="0" w:color="auto"/>
          </w:divBdr>
          <w:divsChild>
            <w:div w:id="773478792">
              <w:marLeft w:val="0"/>
              <w:marRight w:val="0"/>
              <w:marTop w:val="0"/>
              <w:marBottom w:val="0"/>
              <w:divBdr>
                <w:top w:val="none" w:sz="0" w:space="0" w:color="auto"/>
                <w:left w:val="none" w:sz="0" w:space="0" w:color="auto"/>
                <w:bottom w:val="none" w:sz="0" w:space="0" w:color="auto"/>
                <w:right w:val="none" w:sz="0" w:space="0" w:color="auto"/>
              </w:divBdr>
              <w:divsChild>
                <w:div w:id="123624209">
                  <w:marLeft w:val="480"/>
                  <w:marRight w:val="0"/>
                  <w:marTop w:val="0"/>
                  <w:marBottom w:val="0"/>
                  <w:divBdr>
                    <w:top w:val="none" w:sz="0" w:space="0" w:color="auto"/>
                    <w:left w:val="none" w:sz="0" w:space="0" w:color="auto"/>
                    <w:bottom w:val="none" w:sz="0" w:space="0" w:color="auto"/>
                    <w:right w:val="none" w:sz="0" w:space="0" w:color="auto"/>
                  </w:divBdr>
                </w:div>
              </w:divsChild>
            </w:div>
            <w:div w:id="178854727">
              <w:marLeft w:val="0"/>
              <w:marRight w:val="0"/>
              <w:marTop w:val="0"/>
              <w:marBottom w:val="0"/>
              <w:divBdr>
                <w:top w:val="none" w:sz="0" w:space="0" w:color="auto"/>
                <w:left w:val="none" w:sz="0" w:space="0" w:color="auto"/>
                <w:bottom w:val="none" w:sz="0" w:space="0" w:color="auto"/>
                <w:right w:val="none" w:sz="0" w:space="0" w:color="auto"/>
              </w:divBdr>
              <w:divsChild>
                <w:div w:id="1676683534">
                  <w:marLeft w:val="480"/>
                  <w:marRight w:val="0"/>
                  <w:marTop w:val="0"/>
                  <w:marBottom w:val="0"/>
                  <w:divBdr>
                    <w:top w:val="none" w:sz="0" w:space="0" w:color="auto"/>
                    <w:left w:val="none" w:sz="0" w:space="0" w:color="auto"/>
                    <w:bottom w:val="none" w:sz="0" w:space="0" w:color="auto"/>
                    <w:right w:val="none" w:sz="0" w:space="0" w:color="auto"/>
                  </w:divBdr>
                </w:div>
              </w:divsChild>
            </w:div>
            <w:div w:id="1858502578">
              <w:marLeft w:val="0"/>
              <w:marRight w:val="0"/>
              <w:marTop w:val="0"/>
              <w:marBottom w:val="0"/>
              <w:divBdr>
                <w:top w:val="none" w:sz="0" w:space="0" w:color="auto"/>
                <w:left w:val="none" w:sz="0" w:space="0" w:color="auto"/>
                <w:bottom w:val="none" w:sz="0" w:space="0" w:color="auto"/>
                <w:right w:val="none" w:sz="0" w:space="0" w:color="auto"/>
              </w:divBdr>
              <w:divsChild>
                <w:div w:id="2083135803">
                  <w:marLeft w:val="480"/>
                  <w:marRight w:val="0"/>
                  <w:marTop w:val="0"/>
                  <w:marBottom w:val="0"/>
                  <w:divBdr>
                    <w:top w:val="none" w:sz="0" w:space="0" w:color="auto"/>
                    <w:left w:val="none" w:sz="0" w:space="0" w:color="auto"/>
                    <w:bottom w:val="none" w:sz="0" w:space="0" w:color="auto"/>
                    <w:right w:val="none" w:sz="0" w:space="0" w:color="auto"/>
                  </w:divBdr>
                </w:div>
              </w:divsChild>
            </w:div>
            <w:div w:id="1190335918">
              <w:marLeft w:val="0"/>
              <w:marRight w:val="0"/>
              <w:marTop w:val="0"/>
              <w:marBottom w:val="0"/>
              <w:divBdr>
                <w:top w:val="none" w:sz="0" w:space="0" w:color="auto"/>
                <w:left w:val="none" w:sz="0" w:space="0" w:color="auto"/>
                <w:bottom w:val="none" w:sz="0" w:space="0" w:color="auto"/>
                <w:right w:val="none" w:sz="0" w:space="0" w:color="auto"/>
              </w:divBdr>
              <w:divsChild>
                <w:div w:id="281573102">
                  <w:marLeft w:val="480"/>
                  <w:marRight w:val="0"/>
                  <w:marTop w:val="0"/>
                  <w:marBottom w:val="0"/>
                  <w:divBdr>
                    <w:top w:val="none" w:sz="0" w:space="0" w:color="auto"/>
                    <w:left w:val="none" w:sz="0" w:space="0" w:color="auto"/>
                    <w:bottom w:val="none" w:sz="0" w:space="0" w:color="auto"/>
                    <w:right w:val="none" w:sz="0" w:space="0" w:color="auto"/>
                  </w:divBdr>
                </w:div>
              </w:divsChild>
            </w:div>
            <w:div w:id="1679773689">
              <w:marLeft w:val="0"/>
              <w:marRight w:val="0"/>
              <w:marTop w:val="0"/>
              <w:marBottom w:val="0"/>
              <w:divBdr>
                <w:top w:val="none" w:sz="0" w:space="0" w:color="auto"/>
                <w:left w:val="none" w:sz="0" w:space="0" w:color="auto"/>
                <w:bottom w:val="none" w:sz="0" w:space="0" w:color="auto"/>
                <w:right w:val="none" w:sz="0" w:space="0" w:color="auto"/>
              </w:divBdr>
              <w:divsChild>
                <w:div w:id="13062037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3628</Characters>
  <Application>Microsoft Office Word</Application>
  <DocSecurity>0</DocSecurity>
  <Lines>67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A. Genert</dc:creator>
  <cp:lastModifiedBy>Ewa A. Genert</cp:lastModifiedBy>
  <cp:revision>2</cp:revision>
  <cp:lastPrinted>2018-06-05T09:05:00Z</cp:lastPrinted>
  <dcterms:created xsi:type="dcterms:W3CDTF">2018-07-03T10:13:00Z</dcterms:created>
  <dcterms:modified xsi:type="dcterms:W3CDTF">2018-07-03T10:13:00Z</dcterms:modified>
</cp:coreProperties>
</file>