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A24" w:rsidRPr="00D24A24" w:rsidRDefault="00D24A24" w:rsidP="00D24A24">
      <w:pPr>
        <w:keepNext/>
        <w:suppressAutoHyphens/>
        <w:spacing w:after="120" w:line="360" w:lineRule="auto"/>
        <w:jc w:val="center"/>
        <w:rPr>
          <w:rFonts w:ascii="Times" w:eastAsia="Times New Roman" w:hAnsi="Times" w:cs="Times New Roman"/>
          <w:bCs/>
          <w:caps/>
          <w:kern w:val="24"/>
          <w:sz w:val="24"/>
          <w:szCs w:val="24"/>
          <w:lang w:eastAsia="pl-PL"/>
        </w:rPr>
      </w:pPr>
      <w:bookmarkStart w:id="0" w:name="_GoBack"/>
      <w:bookmarkEnd w:id="0"/>
      <w:r w:rsidRPr="00D24A24">
        <w:rPr>
          <w:rFonts w:ascii="Times" w:eastAsia="Times New Roman" w:hAnsi="Times" w:cs="Times New Roman"/>
          <w:bCs/>
          <w:caps/>
          <w:kern w:val="24"/>
          <w:sz w:val="24"/>
          <w:szCs w:val="24"/>
          <w:lang w:eastAsia="pl-PL"/>
        </w:rPr>
        <w:t>uzasadnienie</w:t>
      </w:r>
    </w:p>
    <w:p w:rsidR="00D24A24" w:rsidRPr="00D24A24" w:rsidRDefault="00D24A24" w:rsidP="00D24A24">
      <w:pPr>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Rozwój energooszczędnego budownictwa drewnianego może być jednym z czynników wpływających na zwiększenie dostępności mieszkań na potrzeby społeczeństwa oraz pozytywnie</w:t>
      </w:r>
      <w:r>
        <w:rPr>
          <w:rFonts w:ascii="Times" w:eastAsia="Times New Roman" w:hAnsi="Times" w:cs="Arial"/>
          <w:bCs/>
          <w:sz w:val="24"/>
          <w:szCs w:val="20"/>
          <w:lang w:eastAsia="pl-PL"/>
        </w:rPr>
        <w:t xml:space="preserve"> </w:t>
      </w:r>
      <w:r w:rsidRPr="00D24A24">
        <w:rPr>
          <w:rFonts w:ascii="Times" w:eastAsia="Times New Roman" w:hAnsi="Times" w:cs="Arial"/>
          <w:bCs/>
          <w:sz w:val="24"/>
          <w:szCs w:val="20"/>
          <w:lang w:eastAsia="pl-PL"/>
        </w:rPr>
        <w:t>wpływać na rozwój nowoczesnych technologii w kraju. Jednocześnie drewno jest materiałem naturalnym i odnawialnym, podlega w 100% recyklingowi lub biodegradacji. Drewno niesie najniższy ślad węglowy w porównaniu z innymi materiałami budowlanymi – do produkcji drewna nie są wymagane wysokoenergetyczne paliwa kopalne, jak w przypadku cegły, stali czy plastiku.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związku z tym, że budowane obecnie budynki drewniane mają częstokroć parametry budynków energooszczędnych, pośrednio wpływa to także na zmniejszenie zanieczyszczeń środowiska powodowanych przez tzw. „niską emisję”. Budynki o</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konstrukcji drewnianej mają także wiele innych zalet, w szczególności:</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Pr>
          <w:rFonts w:ascii="Times" w:eastAsia="Times New Roman" w:hAnsi="Times" w:cs="Arial"/>
          <w:bCs/>
          <w:sz w:val="24"/>
          <w:szCs w:val="20"/>
          <w:lang w:eastAsia="pl-PL"/>
        </w:rPr>
        <w:tab/>
      </w:r>
      <w:r w:rsidRPr="00D24A24">
        <w:rPr>
          <w:rFonts w:ascii="Times" w:eastAsia="Times New Roman" w:hAnsi="Times" w:cs="Arial"/>
          <w:bCs/>
          <w:sz w:val="24"/>
          <w:szCs w:val="20"/>
          <w:lang w:eastAsia="pl-PL"/>
        </w:rPr>
        <w:t>krótki czas budowy (budowa domu składanego na placu budowy trwa około trzech</w:t>
      </w:r>
      <w:r>
        <w:rPr>
          <w:rFonts w:ascii="Times" w:eastAsia="Times New Roman" w:hAnsi="Times" w:cs="Arial"/>
          <w:bCs/>
          <w:sz w:val="24"/>
          <w:szCs w:val="20"/>
          <w:lang w:eastAsia="pl-PL"/>
        </w:rPr>
        <w:t xml:space="preserve"> –</w:t>
      </w:r>
      <w:r w:rsidRPr="00D24A24">
        <w:rPr>
          <w:rFonts w:ascii="Times" w:eastAsia="Times New Roman" w:hAnsi="Times" w:cs="Arial"/>
          <w:bCs/>
          <w:sz w:val="24"/>
          <w:szCs w:val="20"/>
          <w:lang w:eastAsia="pl-PL"/>
        </w:rPr>
        <w:t xml:space="preserve"> pięciu miesięcy),</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Pr>
          <w:rFonts w:ascii="Times" w:eastAsia="Times New Roman" w:hAnsi="Times" w:cs="Arial"/>
          <w:bCs/>
          <w:sz w:val="24"/>
          <w:szCs w:val="20"/>
          <w:lang w:eastAsia="pl-PL"/>
        </w:rPr>
        <w:tab/>
      </w:r>
      <w:r w:rsidRPr="00D24A24">
        <w:rPr>
          <w:rFonts w:ascii="Times" w:eastAsia="Times New Roman" w:hAnsi="Times" w:cs="Arial"/>
          <w:bCs/>
          <w:sz w:val="24"/>
          <w:szCs w:val="20"/>
          <w:lang w:eastAsia="pl-PL"/>
        </w:rPr>
        <w:t>energooszczędność, niskie koszty zużycia energii (koszty utrzymania domu drewnianego są dużo niższe niż domu wzniesionego w technologii tradycyjnej; wpływ na to mają zastosowane materiały i technologia, które powodują, że domy drewniane są domami energooszczędnymi),</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Pr>
          <w:rFonts w:ascii="Times" w:eastAsia="Times New Roman" w:hAnsi="Times" w:cs="Arial"/>
          <w:bCs/>
          <w:sz w:val="24"/>
          <w:szCs w:val="20"/>
          <w:lang w:eastAsia="pl-PL"/>
        </w:rPr>
        <w:tab/>
      </w:r>
      <w:r w:rsidRPr="00D24A24">
        <w:rPr>
          <w:rFonts w:ascii="Times" w:eastAsia="Times New Roman" w:hAnsi="Times" w:cs="Arial"/>
          <w:bCs/>
          <w:sz w:val="24"/>
          <w:szCs w:val="20"/>
          <w:lang w:eastAsia="pl-PL"/>
        </w:rPr>
        <w:t>mały ciężar konstrukcji (drewno jest relatywnie lekkie, więc ogranicza do minimum wielkość fundamentów, dzięki czemu ich koszt jest niższy, mniej też kosztuje transport materiałów na budowę, powyższe umożliwia budowanie na terenach słabonośnych),</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4)</w:t>
      </w:r>
      <w:r>
        <w:rPr>
          <w:rFonts w:ascii="Times" w:eastAsia="Times New Roman" w:hAnsi="Times" w:cs="Arial"/>
          <w:bCs/>
          <w:sz w:val="24"/>
          <w:szCs w:val="20"/>
          <w:lang w:eastAsia="pl-PL"/>
        </w:rPr>
        <w:tab/>
      </w:r>
      <w:r w:rsidRPr="00D24A24">
        <w:rPr>
          <w:rFonts w:ascii="Times" w:eastAsia="Times New Roman" w:hAnsi="Times" w:cs="Arial"/>
          <w:bCs/>
          <w:sz w:val="24"/>
          <w:szCs w:val="20"/>
          <w:lang w:eastAsia="pl-PL"/>
        </w:rPr>
        <w:t>niewielką grubość ścian zewnętrznych (ze względu na grubość ścian powierzchnia domu drewnianego będzie o około 8–10% większa od powierzchni domu murowanego),</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5)</w:t>
      </w:r>
      <w:r>
        <w:rPr>
          <w:rFonts w:ascii="Times" w:eastAsia="Times New Roman" w:hAnsi="Times" w:cs="Arial"/>
          <w:bCs/>
          <w:sz w:val="24"/>
          <w:szCs w:val="20"/>
          <w:lang w:eastAsia="pl-PL"/>
        </w:rPr>
        <w:tab/>
      </w:r>
      <w:r w:rsidRPr="00D24A24">
        <w:rPr>
          <w:rFonts w:ascii="Times" w:eastAsia="Times New Roman" w:hAnsi="Times" w:cs="Arial"/>
          <w:bCs/>
          <w:sz w:val="24"/>
          <w:szCs w:val="20"/>
          <w:lang w:eastAsia="pl-PL"/>
        </w:rPr>
        <w:t>trwałość i wytrzymałość konstrukcji (drewno doskonale izoluje wysoką temperaturę pożaru od pozostałych pomieszczeń, drewno jest wytrzymałe na rozciąganie),</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6)</w:t>
      </w:r>
      <w:r>
        <w:rPr>
          <w:rFonts w:ascii="Times" w:eastAsia="Times New Roman" w:hAnsi="Times" w:cs="Arial"/>
          <w:bCs/>
          <w:sz w:val="24"/>
          <w:szCs w:val="20"/>
          <w:lang w:eastAsia="pl-PL"/>
        </w:rPr>
        <w:tab/>
      </w:r>
      <w:r w:rsidRPr="00D24A24">
        <w:rPr>
          <w:rFonts w:ascii="Times" w:eastAsia="Times New Roman" w:hAnsi="Times" w:cs="Arial"/>
          <w:bCs/>
          <w:sz w:val="24"/>
          <w:szCs w:val="20"/>
          <w:lang w:eastAsia="pl-PL"/>
        </w:rPr>
        <w:t>odporność na warunki atmosferyczne (wiatry),</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7)</w:t>
      </w:r>
      <w:r>
        <w:rPr>
          <w:rFonts w:ascii="Times" w:eastAsia="Times New Roman" w:hAnsi="Times" w:cs="Arial"/>
          <w:bCs/>
          <w:sz w:val="24"/>
          <w:szCs w:val="20"/>
          <w:lang w:eastAsia="pl-PL"/>
        </w:rPr>
        <w:tab/>
      </w:r>
      <w:r w:rsidRPr="00D24A24">
        <w:rPr>
          <w:rFonts w:ascii="Times" w:eastAsia="Times New Roman" w:hAnsi="Times" w:cs="Arial"/>
          <w:bCs/>
          <w:sz w:val="24"/>
          <w:szCs w:val="20"/>
          <w:lang w:eastAsia="pl-PL"/>
        </w:rPr>
        <w:t>łatwość przebudowy i modernizacji (konstrukcje modułowe, powtarzalne),</w:t>
      </w:r>
    </w:p>
    <w:p w:rsidR="00D24A24" w:rsidRPr="00D24A24" w:rsidRDefault="00D24A24" w:rsidP="00D24A24">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8)</w:t>
      </w:r>
      <w:r w:rsidRPr="00D24A24">
        <w:rPr>
          <w:rFonts w:ascii="Times" w:eastAsia="Times New Roman" w:hAnsi="Times" w:cs="Arial"/>
          <w:bCs/>
          <w:sz w:val="24"/>
          <w:szCs w:val="20"/>
          <w:lang w:eastAsia="pl-PL"/>
        </w:rPr>
        <w:tab/>
        <w:t>brak sezonowości (możliwość budowy o każdej porze roku).</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Biorąc pod uwagę powyższe zalety energooszczędnego budownictwa drewnianego</w:t>
      </w:r>
      <w:r w:rsidR="00FC6D35">
        <w:rPr>
          <w:rFonts w:ascii="Times" w:eastAsia="Times New Roman" w:hAnsi="Times" w:cs="Arial"/>
          <w:bCs/>
          <w:sz w:val="24"/>
          <w:szCs w:val="20"/>
          <w:lang w:eastAsia="pl-PL"/>
        </w:rPr>
        <w:t>,</w:t>
      </w:r>
      <w:r w:rsidRPr="00D24A24">
        <w:rPr>
          <w:rFonts w:ascii="Times" w:eastAsia="Times New Roman" w:hAnsi="Times" w:cs="Arial"/>
          <w:bCs/>
          <w:sz w:val="24"/>
          <w:szCs w:val="20"/>
          <w:lang w:eastAsia="pl-PL"/>
        </w:rPr>
        <w:t xml:space="preserve"> proponuje się dodanie w ramach systemu prawnego uregulowań, na mocy których </w:t>
      </w:r>
      <w:r w:rsidRPr="00D24A24">
        <w:rPr>
          <w:rFonts w:ascii="Times" w:eastAsia="Times New Roman" w:hAnsi="Times" w:cs="Arial"/>
          <w:bCs/>
          <w:sz w:val="24"/>
          <w:szCs w:val="20"/>
          <w:lang w:eastAsia="pl-PL"/>
        </w:rPr>
        <w:lastRenderedPageBreak/>
        <w:t>utworzony zostanie podmiot, którego zadaniem będzie wspieranie budownictwa mieszkaniowego w Polsce przy wykorzystaniu technologii energooszczędnego budownictwa drewnianego. Mając na uwadze szerokie perspektywy rozwojowe drewnianego budownictwa mieszkaniowego w Europie Zachodniej (ciągle zwiększający się odsetek domów drewnianych w stosunku do tradycyjnego budownictwa murowanego)</w:t>
      </w:r>
      <w:r w:rsidR="00FC6D35">
        <w:rPr>
          <w:rFonts w:ascii="Times" w:eastAsia="Times New Roman" w:hAnsi="Times" w:cs="Arial"/>
          <w:bCs/>
          <w:sz w:val="24"/>
          <w:szCs w:val="20"/>
          <w:lang w:eastAsia="pl-PL"/>
        </w:rPr>
        <w:t>,</w:t>
      </w:r>
      <w:r w:rsidRPr="00D24A24">
        <w:rPr>
          <w:rFonts w:ascii="Times" w:eastAsia="Times New Roman" w:hAnsi="Times" w:cs="Arial"/>
          <w:bCs/>
          <w:sz w:val="24"/>
          <w:szCs w:val="20"/>
          <w:lang w:eastAsia="pl-PL"/>
        </w:rPr>
        <w:t xml:space="preserve"> zasadne jest podjęcie działań mających na celu ustalanie ram prawnych ułatwiających rozwój tego budownictwa w Polsce.</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W związku z powyższym w projekcie ustawy przewiduje się utworzenie nowego podmiotu działającego w formie spółki akcyjnej i pełniącego rolę inwestora rozwijającego drewniane budownictwo mieszkaniowe.</w:t>
      </w:r>
      <w:r>
        <w:rPr>
          <w:rFonts w:ascii="Times" w:eastAsia="Times New Roman" w:hAnsi="Times" w:cs="Arial"/>
          <w:bCs/>
          <w:sz w:val="24"/>
          <w:szCs w:val="20"/>
          <w:lang w:eastAsia="pl-PL"/>
        </w:rPr>
        <w:t xml:space="preserve"> Użycie w projekcie wyrażenia „</w:t>
      </w:r>
      <w:r w:rsidRPr="00D24A24">
        <w:rPr>
          <w:rFonts w:ascii="Times" w:eastAsia="Times New Roman" w:hAnsi="Times" w:cs="Arial"/>
          <w:bCs/>
          <w:sz w:val="24"/>
          <w:szCs w:val="20"/>
          <w:lang w:eastAsia="pl-PL"/>
        </w:rPr>
        <w:t>energo</w:t>
      </w:r>
      <w:r>
        <w:rPr>
          <w:rFonts w:ascii="Times" w:eastAsia="Times New Roman" w:hAnsi="Times" w:cs="Arial"/>
          <w:bCs/>
          <w:sz w:val="24"/>
          <w:szCs w:val="20"/>
          <w:lang w:eastAsia="pl-PL"/>
        </w:rPr>
        <w:t>oszczędne budownictwo drewniane”</w:t>
      </w:r>
      <w:r w:rsidRPr="00D24A24">
        <w:rPr>
          <w:rFonts w:ascii="Times" w:eastAsia="Times New Roman" w:hAnsi="Times" w:cs="Arial"/>
          <w:bCs/>
          <w:sz w:val="24"/>
          <w:szCs w:val="20"/>
          <w:lang w:eastAsia="pl-PL"/>
        </w:rPr>
        <w:t xml:space="preserve"> wskazuje na kierunek przedmiotu działalności Polskich Domów Drewnianych Spółki Akcyjnej, zwanej dalej „Spółką”, która powinna zapewnić, aby realizowane przez nią inwestycje zapewniały jak najniższe współczynniki przenikania ciepła, szczelność powietrzną budynków i tym samym efektywność energetyczną.</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Przedmiotowe nieruchomości mieszkalne po ich wybudowaniu przeznaczone zostałyby na wynajem i najem z dojściem do własności, dla osób o umiarkowanych dochodach.</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 xml:space="preserve">Ze względu na przedmiot działalności jednym z założycieli Spółki będzie Skarb Państwa </w:t>
      </w:r>
      <w:r>
        <w:rPr>
          <w:rFonts w:ascii="Times" w:eastAsia="Times New Roman" w:hAnsi="Times" w:cs="Arial"/>
          <w:bCs/>
          <w:sz w:val="24"/>
          <w:szCs w:val="20"/>
          <w:lang w:eastAsia="pl-PL"/>
        </w:rPr>
        <w:t>–</w:t>
      </w:r>
      <w:r w:rsidRPr="00D24A24">
        <w:rPr>
          <w:rFonts w:ascii="Times" w:eastAsia="Times New Roman" w:hAnsi="Times" w:cs="Arial"/>
          <w:bCs/>
          <w:sz w:val="24"/>
          <w:szCs w:val="20"/>
          <w:lang w:eastAsia="pl-PL"/>
        </w:rPr>
        <w:t xml:space="preserve"> Państwowe Gospodarstwo Leśne Lasy Państwowe. Skarb Państwa </w:t>
      </w:r>
      <w:r>
        <w:rPr>
          <w:rFonts w:ascii="Times" w:eastAsia="Times New Roman" w:hAnsi="Times" w:cs="Arial"/>
          <w:bCs/>
          <w:sz w:val="24"/>
          <w:szCs w:val="20"/>
          <w:lang w:eastAsia="pl-PL"/>
        </w:rPr>
        <w:t>–</w:t>
      </w:r>
      <w:r w:rsidRPr="00D24A24">
        <w:rPr>
          <w:rFonts w:ascii="Times" w:eastAsia="Times New Roman" w:hAnsi="Times" w:cs="Arial"/>
          <w:bCs/>
          <w:sz w:val="24"/>
          <w:szCs w:val="20"/>
          <w:lang w:eastAsia="pl-PL"/>
        </w:rPr>
        <w:t xml:space="preserve"> Państwowe Gospodarstwo Leśne Lasy Państwowe dysponuje gruntami niezalesionymi, na których mogą powstawać nowe budynki mieszkalne. Oprócz Lasów Państwowych założycielami Spółki będą także Narodowy Fundusz Ochrony Środowiska i Gospodarki Wodnej (NFOŚiGW) oraz Bank Ochrony Środowiska, których jednym ze statutowych zadań jest wspieranie finansowe przedsięwzięć proekologicznych i energooszczędnych. </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W art. 44a ust. 2 wprowadzono rozwiązanie uprawniające Dyrektora Generalnego Lasów Państwowych do samodzielnego złożenia w imieniu Skarbu Państwa oświadczenia woli o utworzeniu Spółki oraz do wykonywania wszelkich praw z akcji należących do Lasów Państwowych. Powyższa regulacja ma na celu wyłączenie</w:t>
      </w:r>
      <w:r>
        <w:rPr>
          <w:rFonts w:ascii="Times" w:eastAsia="Times New Roman" w:hAnsi="Times" w:cs="Arial"/>
          <w:bCs/>
          <w:sz w:val="24"/>
          <w:szCs w:val="20"/>
          <w:lang w:eastAsia="pl-PL"/>
        </w:rPr>
        <w:t xml:space="preserve"> stosowania art. 7 ust. 1 pkt 2–</w:t>
      </w:r>
      <w:r w:rsidRPr="00D24A24">
        <w:rPr>
          <w:rFonts w:ascii="Times" w:eastAsia="Times New Roman" w:hAnsi="Times" w:cs="Arial"/>
          <w:bCs/>
          <w:sz w:val="24"/>
          <w:szCs w:val="20"/>
          <w:lang w:eastAsia="pl-PL"/>
        </w:rPr>
        <w:t>4 ustawy z dnia 16 grudnia 2016 r. o zasadach zarządzania mieniem państwowym (Dz.</w:t>
      </w:r>
      <w:r>
        <w:rPr>
          <w:rFonts w:ascii="Times" w:eastAsia="Times New Roman" w:hAnsi="Times" w:cs="Arial"/>
          <w:bCs/>
          <w:sz w:val="24"/>
          <w:szCs w:val="20"/>
          <w:lang w:eastAsia="pl-PL"/>
        </w:rPr>
        <w:t xml:space="preserve"> </w:t>
      </w:r>
      <w:r w:rsidRPr="00D24A24">
        <w:rPr>
          <w:rFonts w:ascii="Times" w:eastAsia="Times New Roman" w:hAnsi="Times" w:cs="Arial"/>
          <w:bCs/>
          <w:sz w:val="24"/>
          <w:szCs w:val="20"/>
          <w:lang w:eastAsia="pl-PL"/>
        </w:rPr>
        <w:t xml:space="preserve">U. </w:t>
      </w:r>
      <w:r w:rsidR="00521758">
        <w:rPr>
          <w:rFonts w:ascii="Times" w:eastAsia="Times New Roman" w:hAnsi="Times" w:cs="Arial"/>
          <w:bCs/>
          <w:sz w:val="24"/>
          <w:szCs w:val="20"/>
          <w:lang w:eastAsia="pl-PL"/>
        </w:rPr>
        <w:t xml:space="preserve">z 2018 r. </w:t>
      </w:r>
      <w:r w:rsidRPr="00D24A24">
        <w:rPr>
          <w:rFonts w:ascii="Times" w:eastAsia="Times New Roman" w:hAnsi="Times" w:cs="Arial"/>
          <w:bCs/>
          <w:sz w:val="24"/>
          <w:szCs w:val="20"/>
          <w:lang w:eastAsia="pl-PL"/>
        </w:rPr>
        <w:t xml:space="preserve">poz. </w:t>
      </w:r>
      <w:r w:rsidR="00521758">
        <w:rPr>
          <w:rFonts w:ascii="Times" w:eastAsia="Times New Roman" w:hAnsi="Times" w:cs="Arial"/>
          <w:bCs/>
          <w:sz w:val="24"/>
          <w:szCs w:val="20"/>
          <w:lang w:eastAsia="pl-PL"/>
        </w:rPr>
        <w:t>1182</w:t>
      </w:r>
      <w:r w:rsidRPr="00D24A24">
        <w:rPr>
          <w:rFonts w:ascii="Times" w:eastAsia="Times New Roman" w:hAnsi="Times" w:cs="Arial"/>
          <w:bCs/>
          <w:sz w:val="24"/>
          <w:szCs w:val="20"/>
          <w:lang w:eastAsia="pl-PL"/>
        </w:rPr>
        <w:t xml:space="preserve">), co usprawni i przyspieszy </w:t>
      </w:r>
      <w:r w:rsidRPr="00D24A24">
        <w:rPr>
          <w:rFonts w:ascii="Times" w:eastAsia="Times New Roman" w:hAnsi="Times" w:cs="Arial"/>
          <w:bCs/>
          <w:sz w:val="24"/>
          <w:szCs w:val="20"/>
          <w:lang w:eastAsia="pl-PL"/>
        </w:rPr>
        <w:lastRenderedPageBreak/>
        <w:t xml:space="preserve">czynności podejmowane w ramach utworzenia Spółki, prowadzenia jej spraw oraz jej reprezentowania na zewnątrz. Przepis ten stanowić będzie jednocześnie </w:t>
      </w:r>
      <w:r w:rsidRPr="00D24A24">
        <w:rPr>
          <w:rFonts w:ascii="Times" w:eastAsia="Times New Roman" w:hAnsi="Times" w:cs="Arial"/>
          <w:bCs/>
          <w:i/>
          <w:sz w:val="24"/>
          <w:szCs w:val="20"/>
          <w:lang w:eastAsia="pl-PL"/>
        </w:rPr>
        <w:t xml:space="preserve">lex </w:t>
      </w:r>
      <w:proofErr w:type="spellStart"/>
      <w:r w:rsidRPr="00D24A24">
        <w:rPr>
          <w:rFonts w:ascii="Times" w:eastAsia="Times New Roman" w:hAnsi="Times" w:cs="Arial"/>
          <w:bCs/>
          <w:i/>
          <w:sz w:val="24"/>
          <w:szCs w:val="20"/>
          <w:lang w:eastAsia="pl-PL"/>
        </w:rPr>
        <w:t>specialis</w:t>
      </w:r>
      <w:proofErr w:type="spellEnd"/>
      <w:r w:rsidRPr="00D24A24">
        <w:rPr>
          <w:rFonts w:ascii="Times" w:eastAsia="Times New Roman" w:hAnsi="Times" w:cs="Arial"/>
          <w:bCs/>
          <w:sz w:val="24"/>
          <w:szCs w:val="20"/>
          <w:lang w:eastAsia="pl-PL"/>
        </w:rPr>
        <w:t xml:space="preserve">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 xml:space="preserve">stosunku do art. 42 ust. 3 ustawy z dnia 28 września 1991 r. o lasach (Dz. U. z 2017 r. poz. 788, z </w:t>
      </w:r>
      <w:proofErr w:type="spellStart"/>
      <w:r w:rsidRPr="00D24A24">
        <w:rPr>
          <w:rFonts w:ascii="Times" w:eastAsia="Times New Roman" w:hAnsi="Times" w:cs="Arial"/>
          <w:bCs/>
          <w:sz w:val="24"/>
          <w:szCs w:val="20"/>
          <w:lang w:eastAsia="pl-PL"/>
        </w:rPr>
        <w:t>późn</w:t>
      </w:r>
      <w:proofErr w:type="spellEnd"/>
      <w:r w:rsidRPr="00D24A24">
        <w:rPr>
          <w:rFonts w:ascii="Times" w:eastAsia="Times New Roman" w:hAnsi="Times" w:cs="Arial"/>
          <w:bCs/>
          <w:sz w:val="24"/>
          <w:szCs w:val="20"/>
          <w:lang w:eastAsia="pl-PL"/>
        </w:rPr>
        <w:t>. zm.).</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Przewiduje się, że kapitał zakładowy Spółki będzie pokrywany zarówno przez wniesienie wkładów pieniężnych, jak i niepieniężnych, co umożliwi wniesienie,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 xml:space="preserve">drodze aportu, gruntów niezalesionych, znajdujących się w zarządzie Lasów Państwowych, które są lub mogą być przeznaczone pod budownictwo mieszkaniowe. Ze względu jednak na fakt, iż ustawowym celem Lasów Państwowych, będących </w:t>
      </w:r>
      <w:proofErr w:type="spellStart"/>
      <w:r w:rsidRPr="00BF7A37">
        <w:rPr>
          <w:rFonts w:ascii="Times" w:eastAsia="Times New Roman" w:hAnsi="Times" w:cs="Arial"/>
          <w:bCs/>
          <w:i/>
          <w:sz w:val="24"/>
          <w:szCs w:val="20"/>
          <w:lang w:eastAsia="pl-PL"/>
        </w:rPr>
        <w:t>statio</w:t>
      </w:r>
      <w:proofErr w:type="spellEnd"/>
      <w:r w:rsidRPr="00BF7A37">
        <w:rPr>
          <w:rFonts w:ascii="Times" w:eastAsia="Times New Roman" w:hAnsi="Times" w:cs="Arial"/>
          <w:bCs/>
          <w:i/>
          <w:sz w:val="24"/>
          <w:szCs w:val="20"/>
          <w:lang w:eastAsia="pl-PL"/>
        </w:rPr>
        <w:t xml:space="preserve"> </w:t>
      </w:r>
      <w:proofErr w:type="spellStart"/>
      <w:r w:rsidRPr="00BF7A37">
        <w:rPr>
          <w:rFonts w:ascii="Times" w:eastAsia="Times New Roman" w:hAnsi="Times" w:cs="Arial"/>
          <w:bCs/>
          <w:i/>
          <w:sz w:val="24"/>
          <w:szCs w:val="20"/>
          <w:lang w:eastAsia="pl-PL"/>
        </w:rPr>
        <w:t>fisci</w:t>
      </w:r>
      <w:proofErr w:type="spellEnd"/>
      <w:r w:rsidRPr="00D24A24">
        <w:rPr>
          <w:rFonts w:ascii="Times" w:eastAsia="Times New Roman" w:hAnsi="Times" w:cs="Arial"/>
          <w:bCs/>
          <w:sz w:val="24"/>
          <w:szCs w:val="20"/>
          <w:lang w:eastAsia="pl-PL"/>
        </w:rPr>
        <w:t xml:space="preserve"> Skarbu Państwa, jest dbanie o zachowanie areału leśnego Polski, spośród gruntów mogących stanowić aport do Spółki wyłączono grunty leśne w rozumieniu ustawy z</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dnia 3 lutego 1995 r. o ochronie gruntów rolnych i leśnych (Dz. U. z 2017 r. poz.</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1161) oraz grunty użytkowane na cele obronności i bezpieczeństwa państwa. Powyższe rozwiązanie zapewni także, że nie zostaną naruszone społeczne potrzeby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zakresie prawa obywateli do korzystania z lasów państwowych zagwarantowane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 xml:space="preserve">art. 26 ust. 1 ustawy z dnia 28 września 1991 r. o lasach. Ze względu na potrzebę zabezpieczenia interesów Skarbu Państwa przez uniemożliwianie wyzbywania się przez Spółkę gruntów w celu innym niż jej statutowa działalność w projekcie przewidziano, że grunty wniesione tytułem aportu będą mogły być zbywane jedynie po ich zabudowaniu budynkami mieszkalnymi, przez które należy rozumieć, zgodnie z </w:t>
      </w:r>
      <w:bookmarkStart w:id="1" w:name="_Hlk515029508"/>
      <w:r w:rsidRPr="00D24A24">
        <w:rPr>
          <w:rFonts w:ascii="Times" w:eastAsia="Times New Roman" w:hAnsi="Times" w:cs="Arial"/>
          <w:bCs/>
          <w:sz w:val="24"/>
          <w:szCs w:val="20"/>
          <w:lang w:eastAsia="pl-PL"/>
        </w:rPr>
        <w:t>§ 3 pkt</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4 rozporządzenia Ministra Infrastruktury z dnia 12 kwietnia 2002 r. w sprawie warunków technicznych, jakim powinny odpowiada</w:t>
      </w:r>
      <w:r w:rsidRPr="00D24A24">
        <w:rPr>
          <w:rFonts w:ascii="Times" w:eastAsia="Times New Roman" w:hAnsi="Times" w:cs="Arial" w:hint="eastAsia"/>
          <w:bCs/>
          <w:sz w:val="24"/>
          <w:szCs w:val="20"/>
          <w:lang w:eastAsia="pl-PL"/>
        </w:rPr>
        <w:t>ć</w:t>
      </w:r>
      <w:r w:rsidRPr="00D24A24">
        <w:rPr>
          <w:rFonts w:ascii="Times" w:eastAsia="Times New Roman" w:hAnsi="Times" w:cs="Arial"/>
          <w:bCs/>
          <w:sz w:val="24"/>
          <w:szCs w:val="20"/>
          <w:lang w:eastAsia="pl-PL"/>
        </w:rPr>
        <w:t xml:space="preserve"> budynki i ich usytuowanie</w:t>
      </w:r>
      <w:r w:rsidRPr="00D24A24" w:rsidDel="00F10C0E">
        <w:rPr>
          <w:rFonts w:ascii="Times" w:eastAsia="Times New Roman" w:hAnsi="Times" w:cs="Arial"/>
          <w:bCs/>
          <w:sz w:val="24"/>
          <w:szCs w:val="20"/>
          <w:lang w:eastAsia="pl-PL"/>
        </w:rPr>
        <w:t xml:space="preserve"> </w:t>
      </w:r>
      <w:r w:rsidRPr="00D24A24">
        <w:rPr>
          <w:rFonts w:ascii="Times" w:eastAsia="Times New Roman" w:hAnsi="Times" w:cs="Arial"/>
          <w:bCs/>
          <w:sz w:val="24"/>
          <w:szCs w:val="20"/>
          <w:lang w:eastAsia="pl-PL"/>
        </w:rPr>
        <w:t xml:space="preserve">(Dz. U. z 2015 r. poz. 1422, z </w:t>
      </w:r>
      <w:proofErr w:type="spellStart"/>
      <w:r w:rsidRPr="00D24A24">
        <w:rPr>
          <w:rFonts w:ascii="Times" w:eastAsia="Times New Roman" w:hAnsi="Times" w:cs="Arial"/>
          <w:bCs/>
          <w:sz w:val="24"/>
          <w:szCs w:val="20"/>
          <w:lang w:eastAsia="pl-PL"/>
        </w:rPr>
        <w:t>późn</w:t>
      </w:r>
      <w:proofErr w:type="spellEnd"/>
      <w:r w:rsidRPr="00D24A24">
        <w:rPr>
          <w:rFonts w:ascii="Times" w:eastAsia="Times New Roman" w:hAnsi="Times" w:cs="Arial"/>
          <w:bCs/>
          <w:sz w:val="24"/>
          <w:szCs w:val="20"/>
          <w:lang w:eastAsia="pl-PL"/>
        </w:rPr>
        <w:t>. zm.)</w:t>
      </w:r>
      <w:bookmarkEnd w:id="1"/>
      <w:r w:rsidRPr="00D24A24">
        <w:rPr>
          <w:rFonts w:ascii="Times" w:eastAsia="Times New Roman" w:hAnsi="Times" w:cs="Arial"/>
          <w:bCs/>
          <w:sz w:val="24"/>
          <w:szCs w:val="20"/>
          <w:lang w:eastAsia="pl-PL"/>
        </w:rPr>
        <w:t>, budynki mieszkalne jedno- i wielorodzinne. Wkład pieniężny NFOŚiGW zostanie sfinansowany z funduszu podstawowego NFOŚiGW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 xml:space="preserve">latach </w:t>
      </w:r>
      <w:r>
        <w:rPr>
          <w:rFonts w:ascii="Times" w:eastAsia="Times New Roman" w:hAnsi="Times" w:cs="Arial"/>
          <w:bCs/>
          <w:sz w:val="24"/>
          <w:szCs w:val="20"/>
          <w:lang w:eastAsia="pl-PL"/>
        </w:rPr>
        <w:t>2018–</w:t>
      </w:r>
      <w:r w:rsidRPr="00D24A24">
        <w:rPr>
          <w:rFonts w:ascii="Times" w:eastAsia="Times New Roman" w:hAnsi="Times" w:cs="Arial"/>
          <w:bCs/>
          <w:sz w:val="24"/>
          <w:szCs w:val="20"/>
          <w:lang w:eastAsia="pl-PL"/>
        </w:rPr>
        <w:t xml:space="preserve">2023. </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Określony został przedmiot działalności Spółki. Szerokie określenie przedmiotu działalności (przewidujące oprócz budownictwa także zarząd nieruchomościami, produkcję drewna konstrukcyjnego, tworzenie i pozyskiwanie nowych technologii) jest konieczne ze względu na fakt, iż drewniane budownictwo mieszkaniowe jest w Polsce ciągle działalnością rozwijającą się. W związku z powyższym przewiduje się m.in., że Spółka będzie dążyła do pozyskiwania lub tworzenia nowych technologii w zakresie produkcji drewna, co umożliwi także innym podmiotom komercyjnym korzystanie z</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 xml:space="preserve">przyjętych rozwiązań i tym samym wpłynie stymulująco na rozwój całej branży. </w:t>
      </w:r>
      <w:r w:rsidRPr="00D24A24">
        <w:rPr>
          <w:rFonts w:ascii="Times" w:eastAsia="Times New Roman" w:hAnsi="Times" w:cs="Arial"/>
          <w:bCs/>
          <w:sz w:val="24"/>
          <w:szCs w:val="20"/>
          <w:lang w:eastAsia="pl-PL"/>
        </w:rPr>
        <w:lastRenderedPageBreak/>
        <w:t>Obecnie zdecydowana większość drewna konstrukcyjnego używanego przy budowie domów po pozyskaniu w formie surowca w Polsce transportowana jest za granicę, gdzie wyspecjalizowane firmy przygotowują drewno do stanu niezbędnego do wykorzystania budowlanego. Dopiero potem drewno trafia do polskich firm, w których jest stosowane do produkcji prefabrykatów. Posiadanie rodzimej technologii może pozytywnie wpłynąć na budownictwo drewniane i może w przyszłości spowodować znaczne obniżenie kosztów, tym samym wpłynie na spadek cen nieruchomości. Ewentualne uruchomienie linii technologicznej produkcji drewna konstrukcyjnego pozytywnie wpłynie na rynek pracy.</w:t>
      </w:r>
      <w:r>
        <w:rPr>
          <w:rFonts w:ascii="Times" w:eastAsia="Times New Roman" w:hAnsi="Times" w:cs="Arial"/>
          <w:bCs/>
          <w:sz w:val="24"/>
          <w:szCs w:val="20"/>
          <w:lang w:eastAsia="pl-PL"/>
        </w:rPr>
        <w:t xml:space="preserve"> </w:t>
      </w:r>
      <w:r w:rsidRPr="00D24A24">
        <w:rPr>
          <w:rFonts w:ascii="Times" w:eastAsia="Times New Roman" w:hAnsi="Times" w:cs="Arial"/>
          <w:bCs/>
          <w:sz w:val="24"/>
          <w:szCs w:val="20"/>
          <w:lang w:eastAsia="pl-PL"/>
        </w:rPr>
        <w:t>Jednocześnie umożliwienie wynajmowania lokali mieszkalnych wiąże się z koniecznością przyznania uprawnień do zarządzania nieruchomościami.</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 xml:space="preserve">Ustrój projektowanej Spółki będzie opierał się w znacznej mierze na regulacjach określonych w ustawie z dnia 15 września 2000 r. </w:t>
      </w:r>
      <w:r>
        <w:rPr>
          <w:rFonts w:ascii="Times" w:eastAsia="Times New Roman" w:hAnsi="Times" w:cs="Arial"/>
          <w:bCs/>
          <w:sz w:val="24"/>
          <w:szCs w:val="20"/>
          <w:lang w:eastAsia="pl-PL"/>
        </w:rPr>
        <w:t>–</w:t>
      </w:r>
      <w:r w:rsidRPr="00D24A24">
        <w:rPr>
          <w:rFonts w:ascii="Times" w:eastAsia="Times New Roman" w:hAnsi="Times" w:cs="Arial"/>
          <w:bCs/>
          <w:sz w:val="24"/>
          <w:szCs w:val="20"/>
          <w:lang w:eastAsia="pl-PL"/>
        </w:rPr>
        <w:t xml:space="preserve"> Kodeks spółek handlowych (Dz. U. z 2017 r. poz. 1577, z </w:t>
      </w:r>
      <w:proofErr w:type="spellStart"/>
      <w:r w:rsidRPr="00D24A24">
        <w:rPr>
          <w:rFonts w:ascii="Times" w:eastAsia="Times New Roman" w:hAnsi="Times" w:cs="Arial"/>
          <w:bCs/>
          <w:sz w:val="24"/>
          <w:szCs w:val="20"/>
          <w:lang w:eastAsia="pl-PL"/>
        </w:rPr>
        <w:t>późn</w:t>
      </w:r>
      <w:proofErr w:type="spellEnd"/>
      <w:r w:rsidRPr="00D24A24">
        <w:rPr>
          <w:rFonts w:ascii="Times" w:eastAsia="Times New Roman" w:hAnsi="Times" w:cs="Arial"/>
          <w:bCs/>
          <w:sz w:val="24"/>
          <w:szCs w:val="20"/>
          <w:lang w:eastAsia="pl-PL"/>
        </w:rPr>
        <w:t>. zm.), z nieznacznymi modyfikacjami wskazanymi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projektowanej ustawie. Projektowane regulacje nie wykraczają poza ogólne założenia obowiązujące w powszechnym prawie spółek. W art. 44d ust. 1 i 2 przyjęto, że Spółka będzie emitowała zarówno akcje imienne, jak i akcje na okaziciela, przy czym akcje imienne wydawane założycielom Spółki nie będą mogły być zbywane ani obciążane. Jedynym odstępstwem od powyższej reguły będzie możliwość zbycia lub obciążenia akcji na rzecz Skarbu Państwa. Uniemożliwi to zbycie przez Skarb Państwa oraz pozostałych założycieli wszystkich akcji imiennych i tym samym doprowadzenie do sytuacji, w której kontrola nad Spółką przeszłaby w ręce podmiotu niepublicznego. Z</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 xml:space="preserve">kolei w projektowanym art. 44d ust. 3 wprowadzono mechanizmy zabezpieczające Skarb Państwa i gwarantujące, że udział Skarbu Państwa w kapitale zakładowym będzie wynosił ponad 25%, a wraz z pozostałymi założycielami Skarb Państwa będzie posiadał ponad 50% w kapitale zakładowym oraz ponad 50% w liczbie głosów przypadających na wszystkie akcje Spółki. Proponowane rozwiązanie zapewni zachowanie przez Skarb Państwa oraz pozostałych założycieli kontroli nad Spółką nawet po dopuszczeniu jej akcji do obrotu i ewentualnym nabyciu ich przez podmioty prywatne. Obowiązki nałożone w tym przepisie na założycieli oraz Skarb Państwa zachowują charakter proporcjonalny oraz nie naruszają praw innych akcjonariuszy. Podyktowane one zostały potrzebą zapewnienia realizacji polityki </w:t>
      </w:r>
      <w:r w:rsidR="003B3D14">
        <w:rPr>
          <w:rFonts w:ascii="Times" w:eastAsia="Times New Roman" w:hAnsi="Times" w:cs="Arial"/>
          <w:bCs/>
          <w:sz w:val="24"/>
          <w:szCs w:val="20"/>
          <w:lang w:eastAsia="pl-PL"/>
        </w:rPr>
        <w:t>r</w:t>
      </w:r>
      <w:r w:rsidRPr="00D24A24">
        <w:rPr>
          <w:rFonts w:ascii="Times" w:eastAsia="Times New Roman" w:hAnsi="Times" w:cs="Arial"/>
          <w:bCs/>
          <w:sz w:val="24"/>
          <w:szCs w:val="20"/>
          <w:lang w:eastAsia="pl-PL"/>
        </w:rPr>
        <w:t xml:space="preserve">ządu w zakresie mieszkalnictwa, chronicznie w Polsce niedoinwestowanego oraz trudno dostępnego dla przeciętnie zarabiających </w:t>
      </w:r>
      <w:r w:rsidRPr="00D24A24">
        <w:rPr>
          <w:rFonts w:ascii="Times" w:eastAsia="Times New Roman" w:hAnsi="Times" w:cs="Arial"/>
          <w:bCs/>
          <w:sz w:val="24"/>
          <w:szCs w:val="20"/>
          <w:lang w:eastAsia="pl-PL"/>
        </w:rPr>
        <w:lastRenderedPageBreak/>
        <w:t>obywateli, a zatem realizują nadrzędne względy interesu publicznego. Przepis ten jest zatem odpowiedni do zamierzonego celu (zapewnienie podstawowej dostępności mieszkań) i nie wykracza poza to, co niezbędne do jego osiągnięcia (ograniczenia nałożone na Skarb Państwa mają stosunkowo nieznaczny charakter).</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Przewidziano również regulacje mające na celu zapewnienie nadzoru Skarbu Państwa oraz pozostałych założycieli nad Spółką także po uzyskaniu przez Spółkę statusu spółki publicznej oraz dopuszczeniu akcji Spółki do obrotu na rynku regulowanym</w:t>
      </w:r>
      <w:r w:rsidR="00FC6D35">
        <w:rPr>
          <w:rFonts w:ascii="Times" w:eastAsia="Times New Roman" w:hAnsi="Times" w:cs="Arial"/>
          <w:bCs/>
          <w:sz w:val="24"/>
          <w:szCs w:val="20"/>
          <w:lang w:eastAsia="pl-PL"/>
        </w:rPr>
        <w:t>,</w:t>
      </w:r>
      <w:r w:rsidRPr="00D24A24">
        <w:rPr>
          <w:rFonts w:ascii="Times" w:eastAsia="Times New Roman" w:hAnsi="Times" w:cs="Arial"/>
          <w:bCs/>
          <w:sz w:val="24"/>
          <w:szCs w:val="20"/>
          <w:lang w:eastAsia="pl-PL"/>
        </w:rPr>
        <w:t xml:space="preserve"> wskazując, że określone postanowienia ustawy obowiązują także w takiej sytuacji (art. 44d ust. 4).</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W projekcie ustanowiono mechanizm zabezpieczający przed czynnościami mającymi na celu pozbawienie Skarbu Państwa i pozostałych założycieli pozycji dominującej przez wprowadzenie sankcji nieważności (art. 44d ust. 6) dla wszystkich czynności prawnych niezgodnych z ustanawianymi regułami.</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W celu zapewnienia właściwego nadzoru nad Spółką i utrzymania kontroli w rękach akcjonariuszy przewidziano, że obligacje zamienne oraz obligacje z prawem pierwszeństwa mogą być skierowane wyłącznie do każdoczesnych akcjonariuszy Spółki. Obligacje zamienne oraz z prawem pierwszeństwa nie mogą być przedmiotem obrotu.</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Projekt ma także na celu zabezpieczenie nadzoru Skarbu Państwa nad Spółką przez uzależnienie od zgody Rady Ministrów ewentualnego połączenia lub podziału Spółki (art. 44f), co zapobiegnie swobodnemu i niekontrolowanemu zbywaniu majątku publicznego w drodze ww. instytucji.</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Projekt zawiera podstawowe regulacje dotyczące organów Spółki, tj. rady nadzorczej i</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zarządu. W szczególności przyznaje kompetencję do powoływania rady nadzorczej walnemu zgromadzeniu akcjonariuszy.</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D24A24">
        <w:rPr>
          <w:rFonts w:ascii="Times" w:eastAsia="Times New Roman" w:hAnsi="Times" w:cs="Arial"/>
          <w:bCs/>
          <w:sz w:val="24"/>
          <w:szCs w:val="20"/>
          <w:lang w:eastAsia="pl-PL"/>
        </w:rPr>
        <w:t>Szczegółowo kwestie dotyczące Spółki będzie regulował statut. W zakresie nieuregulowanym do Spółki zastosowanie znajdą przepisy Kodeksu spółek handlowych oraz ustawy z dnia 16 grudnia 2016 r.</w:t>
      </w:r>
      <w:r>
        <w:rPr>
          <w:rFonts w:ascii="Times" w:eastAsia="Times New Roman" w:hAnsi="Times" w:cs="Arial"/>
          <w:bCs/>
          <w:sz w:val="24"/>
          <w:szCs w:val="20"/>
          <w:lang w:eastAsia="pl-PL"/>
        </w:rPr>
        <w:t xml:space="preserve"> </w:t>
      </w:r>
      <w:r w:rsidRPr="00D24A24">
        <w:rPr>
          <w:rFonts w:ascii="Times" w:eastAsia="Times New Roman" w:hAnsi="Times" w:cs="Arial"/>
          <w:bCs/>
          <w:sz w:val="24"/>
          <w:szCs w:val="20"/>
          <w:lang w:eastAsia="pl-PL"/>
        </w:rPr>
        <w:t>o zasadach zarządzania mieniem państwowym. Wyjątek stanowić będzie powołanie pierwszego zarządu Spółki, przy którym nie będzie konieczne przeprowadzenia postępowania kwalifikacyjnego, ze względu na fakt, że zgodnie z art. 313 Kodeksu spółek handlowyc</w:t>
      </w:r>
      <w:r w:rsidR="003B3D14">
        <w:rPr>
          <w:rFonts w:ascii="Times" w:eastAsia="Times New Roman" w:hAnsi="Times" w:cs="Arial"/>
          <w:bCs/>
          <w:sz w:val="24"/>
          <w:szCs w:val="20"/>
          <w:lang w:eastAsia="pl-PL"/>
        </w:rPr>
        <w:t>h warunkiem utworzenia Spółki w </w:t>
      </w:r>
      <w:r w:rsidRPr="00D24A24">
        <w:rPr>
          <w:rFonts w:ascii="Times" w:eastAsia="Times New Roman" w:hAnsi="Times" w:cs="Arial"/>
          <w:bCs/>
          <w:sz w:val="24"/>
          <w:szCs w:val="20"/>
          <w:lang w:eastAsia="pl-PL"/>
        </w:rPr>
        <w:t>organizacji jest uprzednie powołanie rady nadzorczej i zarządu. W</w:t>
      </w:r>
      <w:r>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 xml:space="preserve">związku </w:t>
      </w:r>
      <w:r w:rsidRPr="00D24A24">
        <w:rPr>
          <w:rFonts w:ascii="Times" w:eastAsia="Times New Roman" w:hAnsi="Times" w:cs="Arial"/>
          <w:bCs/>
          <w:sz w:val="24"/>
          <w:szCs w:val="20"/>
          <w:lang w:eastAsia="pl-PL"/>
        </w:rPr>
        <w:lastRenderedPageBreak/>
        <w:t>z</w:t>
      </w:r>
      <w:r w:rsidR="003B3D14">
        <w:rPr>
          <w:rFonts w:ascii="Times" w:eastAsia="Times New Roman" w:hAnsi="Times" w:cs="Arial"/>
          <w:bCs/>
          <w:sz w:val="24"/>
          <w:szCs w:val="20"/>
          <w:lang w:eastAsia="pl-PL"/>
        </w:rPr>
        <w:t> </w:t>
      </w:r>
      <w:r w:rsidRPr="00D24A24">
        <w:rPr>
          <w:rFonts w:ascii="Times" w:eastAsia="Times New Roman" w:hAnsi="Times" w:cs="Arial"/>
          <w:bCs/>
          <w:sz w:val="24"/>
          <w:szCs w:val="20"/>
          <w:lang w:eastAsia="pl-PL"/>
        </w:rPr>
        <w:t>powyższym przy tworzeniu Spółki brak będzie podmiotów uprawnionych do przeprowadzenia postępowania kwalifikacyjnego.</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D24A24">
        <w:rPr>
          <w:rFonts w:ascii="Times" w:eastAsia="Times New Roman" w:hAnsi="Times" w:cs="Arial"/>
          <w:sz w:val="24"/>
          <w:szCs w:val="20"/>
          <w:lang w:eastAsia="pl-PL"/>
        </w:rPr>
        <w:t>Projektowana ustawa pozytywnie wpłynie na konkurencyjność sektora mikro-, małych i</w:t>
      </w:r>
      <w:r>
        <w:rPr>
          <w:rFonts w:ascii="Times" w:eastAsia="Times New Roman" w:hAnsi="Times" w:cs="Arial"/>
          <w:sz w:val="24"/>
          <w:szCs w:val="20"/>
          <w:lang w:eastAsia="pl-PL"/>
        </w:rPr>
        <w:t> </w:t>
      </w:r>
      <w:r w:rsidRPr="00D24A24">
        <w:rPr>
          <w:rFonts w:ascii="Times" w:eastAsia="Times New Roman" w:hAnsi="Times" w:cs="Arial"/>
          <w:sz w:val="24"/>
          <w:szCs w:val="20"/>
          <w:lang w:eastAsia="pl-PL"/>
        </w:rPr>
        <w:t>średnich przedsiębiorstw, zarówno bezpośrednio związanych z</w:t>
      </w:r>
      <w:r>
        <w:rPr>
          <w:rFonts w:ascii="Times" w:eastAsia="Times New Roman" w:hAnsi="Times" w:cs="Arial"/>
          <w:sz w:val="24"/>
          <w:szCs w:val="20"/>
          <w:lang w:eastAsia="pl-PL"/>
        </w:rPr>
        <w:t xml:space="preserve"> </w:t>
      </w:r>
      <w:r w:rsidRPr="00D24A24">
        <w:rPr>
          <w:rFonts w:ascii="Times" w:eastAsia="Times New Roman" w:hAnsi="Times" w:cs="Arial"/>
          <w:sz w:val="24"/>
          <w:szCs w:val="20"/>
          <w:lang w:eastAsia="pl-PL"/>
        </w:rPr>
        <w:t>przemysłem budownictwa drewnianego, jak i świadczących inne usługi na ich rzecz, przez</w:t>
      </w:r>
      <w:r>
        <w:rPr>
          <w:rFonts w:ascii="Times" w:eastAsia="Times New Roman" w:hAnsi="Times" w:cs="Arial"/>
          <w:sz w:val="24"/>
          <w:szCs w:val="20"/>
          <w:lang w:eastAsia="pl-PL"/>
        </w:rPr>
        <w:t xml:space="preserve"> </w:t>
      </w:r>
      <w:r w:rsidRPr="00D24A24">
        <w:rPr>
          <w:rFonts w:ascii="Times" w:eastAsia="Times New Roman" w:hAnsi="Times" w:cs="Arial"/>
          <w:sz w:val="24"/>
          <w:szCs w:val="20"/>
          <w:lang w:eastAsia="pl-PL"/>
        </w:rPr>
        <w:t>zwiększenie skali zamówień i działalności inwestycyjnej Spółki.</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D24A24">
        <w:rPr>
          <w:rFonts w:ascii="Times" w:eastAsia="Times New Roman" w:hAnsi="Times" w:cs="Arial"/>
          <w:sz w:val="24"/>
          <w:szCs w:val="20"/>
          <w:lang w:eastAsia="pl-PL"/>
        </w:rPr>
        <w:t>Projekt ustawy nie wymaga przedstawienia właściwym instytucjom i organom Unii Europejskiej</w:t>
      </w:r>
      <w:r w:rsidR="00783924">
        <w:rPr>
          <w:rFonts w:ascii="Times" w:eastAsia="Times New Roman" w:hAnsi="Times" w:cs="Arial"/>
          <w:sz w:val="24"/>
          <w:szCs w:val="20"/>
          <w:lang w:eastAsia="pl-PL"/>
        </w:rPr>
        <w:t>,</w:t>
      </w:r>
      <w:r w:rsidRPr="00D24A24">
        <w:rPr>
          <w:rFonts w:ascii="Times" w:eastAsia="Times New Roman" w:hAnsi="Times" w:cs="Arial"/>
          <w:sz w:val="24"/>
          <w:szCs w:val="20"/>
          <w:lang w:eastAsia="pl-PL"/>
        </w:rPr>
        <w:t xml:space="preserve"> </w:t>
      </w:r>
      <w:r w:rsidR="00FC6D35">
        <w:rPr>
          <w:rFonts w:ascii="Times" w:eastAsia="Times New Roman" w:hAnsi="Times" w:cs="Arial"/>
          <w:sz w:val="24"/>
          <w:szCs w:val="20"/>
          <w:lang w:eastAsia="pl-PL"/>
        </w:rPr>
        <w:t>w tym</w:t>
      </w:r>
      <w:r w:rsidRPr="00D24A24">
        <w:rPr>
          <w:rFonts w:ascii="Times" w:eastAsia="Times New Roman" w:hAnsi="Times" w:cs="Arial"/>
          <w:sz w:val="24"/>
          <w:szCs w:val="20"/>
          <w:lang w:eastAsia="pl-PL"/>
        </w:rPr>
        <w:t xml:space="preserve"> Europejskiemu Bankowi Centralnemu. </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D24A24">
        <w:rPr>
          <w:rFonts w:ascii="Times" w:eastAsia="Times New Roman" w:hAnsi="Times" w:cs="Arial"/>
          <w:sz w:val="24"/>
          <w:szCs w:val="20"/>
          <w:lang w:eastAsia="pl-PL"/>
        </w:rPr>
        <w:t>Stosownie do art. 5 ustawy z dnia 7 lipca 2005 r. o działalności lobbingowej w</w:t>
      </w:r>
      <w:r>
        <w:rPr>
          <w:rFonts w:ascii="Times" w:eastAsia="Times New Roman" w:hAnsi="Times" w:cs="Arial"/>
          <w:sz w:val="24"/>
          <w:szCs w:val="20"/>
          <w:lang w:eastAsia="pl-PL"/>
        </w:rPr>
        <w:t xml:space="preserve"> </w:t>
      </w:r>
      <w:r w:rsidRPr="00D24A24">
        <w:rPr>
          <w:rFonts w:ascii="Times" w:eastAsia="Times New Roman" w:hAnsi="Times" w:cs="Arial"/>
          <w:sz w:val="24"/>
          <w:szCs w:val="20"/>
          <w:lang w:eastAsia="pl-PL"/>
        </w:rPr>
        <w:t>procesie stanowienia prawa (Dz. U. z 2017 r. poz. 248) projekt ustawy został zamieszczony w</w:t>
      </w:r>
      <w:r>
        <w:rPr>
          <w:rFonts w:ascii="Times" w:eastAsia="Times New Roman" w:hAnsi="Times" w:cs="Arial"/>
          <w:sz w:val="24"/>
          <w:szCs w:val="20"/>
          <w:lang w:eastAsia="pl-PL"/>
        </w:rPr>
        <w:t> </w:t>
      </w:r>
      <w:r w:rsidRPr="00D24A24">
        <w:rPr>
          <w:rFonts w:ascii="Times" w:eastAsia="Times New Roman" w:hAnsi="Times" w:cs="Arial"/>
          <w:sz w:val="24"/>
          <w:szCs w:val="20"/>
          <w:lang w:eastAsia="pl-PL"/>
        </w:rPr>
        <w:t>Biuletynie Informacji Publicznej, na stronie podmiotowej Rządowego Centrum Legislacji, w serwisie Rządowy Proces Legislacyjny.</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D24A24">
        <w:rPr>
          <w:rFonts w:ascii="Times" w:eastAsia="Times New Roman" w:hAnsi="Times" w:cs="Arial"/>
          <w:sz w:val="24"/>
          <w:szCs w:val="20"/>
          <w:lang w:eastAsia="pl-PL"/>
        </w:rPr>
        <w:t xml:space="preserve">Projekt ustawy nie zawiera przepisów technicznych i w związku z tym nie podlega procedurze notyfikacji w rozumieniu </w:t>
      </w:r>
      <w:r w:rsidR="00FC6D35">
        <w:rPr>
          <w:rFonts w:ascii="Times" w:eastAsia="Times New Roman" w:hAnsi="Times" w:cs="Arial"/>
          <w:sz w:val="24"/>
          <w:szCs w:val="20"/>
          <w:lang w:eastAsia="pl-PL"/>
        </w:rPr>
        <w:t xml:space="preserve">przepisów </w:t>
      </w:r>
      <w:r w:rsidRPr="00D24A24">
        <w:rPr>
          <w:rFonts w:ascii="Times" w:eastAsia="Times New Roman" w:hAnsi="Times" w:cs="Arial"/>
          <w:sz w:val="24"/>
          <w:szCs w:val="20"/>
          <w:lang w:eastAsia="pl-PL"/>
        </w:rPr>
        <w:t>rozporządzenia Rady Ministrów z dnia 23 grudnia 2002 r. w sprawie sposobu funkcjonowania krajowego systemu notyfikacji norm i</w:t>
      </w:r>
      <w:r>
        <w:rPr>
          <w:rFonts w:ascii="Times" w:eastAsia="Times New Roman" w:hAnsi="Times" w:cs="Arial"/>
          <w:sz w:val="24"/>
          <w:szCs w:val="20"/>
          <w:lang w:eastAsia="pl-PL"/>
        </w:rPr>
        <w:t> </w:t>
      </w:r>
      <w:r w:rsidRPr="00D24A24">
        <w:rPr>
          <w:rFonts w:ascii="Times" w:eastAsia="Times New Roman" w:hAnsi="Times" w:cs="Arial"/>
          <w:sz w:val="24"/>
          <w:szCs w:val="20"/>
          <w:lang w:eastAsia="pl-PL"/>
        </w:rPr>
        <w:t xml:space="preserve">aktów prawnych (Dz. U. poz. 2039, z </w:t>
      </w:r>
      <w:proofErr w:type="spellStart"/>
      <w:r w:rsidRPr="00D24A24">
        <w:rPr>
          <w:rFonts w:ascii="Times" w:eastAsia="Times New Roman" w:hAnsi="Times" w:cs="Arial"/>
          <w:sz w:val="24"/>
          <w:szCs w:val="20"/>
          <w:lang w:eastAsia="pl-PL"/>
        </w:rPr>
        <w:t>późn</w:t>
      </w:r>
      <w:proofErr w:type="spellEnd"/>
      <w:r w:rsidRPr="00D24A24">
        <w:rPr>
          <w:rFonts w:ascii="Times" w:eastAsia="Times New Roman" w:hAnsi="Times" w:cs="Arial"/>
          <w:sz w:val="24"/>
          <w:szCs w:val="20"/>
          <w:lang w:eastAsia="pl-PL"/>
        </w:rPr>
        <w:t>. zm.).</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D24A24">
        <w:rPr>
          <w:rFonts w:ascii="Times" w:eastAsia="Times New Roman" w:hAnsi="Times" w:cs="Arial"/>
          <w:sz w:val="24"/>
          <w:szCs w:val="20"/>
          <w:lang w:eastAsia="pl-PL"/>
        </w:rPr>
        <w:t xml:space="preserve">Projekt ustawy jest zgodny z prawem Unii Europejskiej. </w:t>
      </w:r>
    </w:p>
    <w:p w:rsidR="00D24A24" w:rsidRPr="00D24A24" w:rsidRDefault="00D24A24" w:rsidP="00D24A24">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D24A24">
        <w:rPr>
          <w:rFonts w:ascii="Times" w:eastAsia="Times New Roman" w:hAnsi="Times" w:cs="Arial"/>
          <w:sz w:val="24"/>
          <w:szCs w:val="20"/>
          <w:lang w:eastAsia="pl-PL"/>
        </w:rPr>
        <w:t xml:space="preserve">Przewiduje się, że ustawa wejdzie w życie z dniem następującym po dniu ogłoszenia. Taki termin nie stoi w sprzeczności z zasadami demokratycznego państwa prawnego, gdyż ustawa nie wprowadza obowiązków dla obywateli. Z kolei założyciele Spółki, na których ustawa oddziałuje, brali udział w pracach nad projektem i proponowany termin </w:t>
      </w:r>
      <w:r w:rsidRPr="00783924">
        <w:rPr>
          <w:rFonts w:ascii="Times" w:eastAsia="Times New Roman" w:hAnsi="Times" w:cs="Arial"/>
          <w:i/>
          <w:sz w:val="24"/>
          <w:szCs w:val="20"/>
          <w:lang w:eastAsia="pl-PL"/>
        </w:rPr>
        <w:t>vacatio legis</w:t>
      </w:r>
      <w:r w:rsidRPr="00D24A24">
        <w:rPr>
          <w:rFonts w:ascii="Times" w:eastAsia="Times New Roman" w:hAnsi="Times" w:cs="Arial"/>
          <w:sz w:val="24"/>
          <w:szCs w:val="20"/>
          <w:lang w:eastAsia="pl-PL"/>
        </w:rPr>
        <w:t xml:space="preserve"> jest wystarczający, aby mogli się oni dostosować do nowej regulacji. Jednocześnie jak najszybsze rozpoczęcie działalności przez Spółkę jest zgodne z</w:t>
      </w:r>
      <w:r>
        <w:rPr>
          <w:rFonts w:ascii="Times" w:eastAsia="Times New Roman" w:hAnsi="Times" w:cs="Arial"/>
          <w:sz w:val="24"/>
          <w:szCs w:val="20"/>
          <w:lang w:eastAsia="pl-PL"/>
        </w:rPr>
        <w:t> </w:t>
      </w:r>
      <w:r w:rsidRPr="00D24A24">
        <w:rPr>
          <w:rFonts w:ascii="Times" w:eastAsia="Times New Roman" w:hAnsi="Times" w:cs="Arial"/>
          <w:sz w:val="24"/>
          <w:szCs w:val="20"/>
          <w:lang w:eastAsia="pl-PL"/>
        </w:rPr>
        <w:t>interesem publicznym.</w:t>
      </w:r>
    </w:p>
    <w:p w:rsidR="00D24A24" w:rsidRPr="00D24A24" w:rsidRDefault="00D24A24">
      <w:pPr>
        <w:rPr>
          <w:rFonts w:ascii="Times New Roman" w:hAnsi="Times New Roman" w:cs="Times New Roman"/>
          <w:sz w:val="20"/>
          <w:szCs w:val="20"/>
        </w:rPr>
      </w:pPr>
    </w:p>
    <w:sectPr w:rsidR="00D24A24" w:rsidRPr="00D24A24" w:rsidSect="00D24A24">
      <w:footerReference w:type="default" r:id="rId6"/>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674" w:rsidRDefault="00040674" w:rsidP="00040674">
      <w:pPr>
        <w:spacing w:after="0" w:line="240" w:lineRule="auto"/>
      </w:pPr>
      <w:r>
        <w:separator/>
      </w:r>
    </w:p>
  </w:endnote>
  <w:endnote w:type="continuationSeparator" w:id="0">
    <w:p w:rsidR="00040674" w:rsidRDefault="00040674" w:rsidP="00040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290546"/>
      <w:docPartObj>
        <w:docPartGallery w:val="Page Numbers (Bottom of Page)"/>
        <w:docPartUnique/>
      </w:docPartObj>
    </w:sdtPr>
    <w:sdtEndPr>
      <w:rPr>
        <w:rFonts w:ascii="Times New Roman" w:hAnsi="Times New Roman" w:cs="Times New Roman"/>
        <w:sz w:val="24"/>
        <w:szCs w:val="24"/>
      </w:rPr>
    </w:sdtEndPr>
    <w:sdtContent>
      <w:p w:rsidR="00040674" w:rsidRPr="00040674" w:rsidRDefault="00040674" w:rsidP="00040674">
        <w:pPr>
          <w:pStyle w:val="Stopka"/>
          <w:jc w:val="center"/>
          <w:rPr>
            <w:rFonts w:ascii="Times New Roman" w:hAnsi="Times New Roman" w:cs="Times New Roman"/>
            <w:sz w:val="24"/>
            <w:szCs w:val="24"/>
          </w:rPr>
        </w:pPr>
        <w:r w:rsidRPr="00040674">
          <w:rPr>
            <w:rFonts w:ascii="Times New Roman" w:hAnsi="Times New Roman" w:cs="Times New Roman"/>
            <w:sz w:val="24"/>
            <w:szCs w:val="24"/>
          </w:rPr>
          <w:fldChar w:fldCharType="begin"/>
        </w:r>
        <w:r w:rsidRPr="00040674">
          <w:rPr>
            <w:rFonts w:ascii="Times New Roman" w:hAnsi="Times New Roman" w:cs="Times New Roman"/>
            <w:sz w:val="24"/>
            <w:szCs w:val="24"/>
          </w:rPr>
          <w:instrText>PAGE   \* MERGEFORMAT</w:instrText>
        </w:r>
        <w:r w:rsidRPr="00040674">
          <w:rPr>
            <w:rFonts w:ascii="Times New Roman" w:hAnsi="Times New Roman" w:cs="Times New Roman"/>
            <w:sz w:val="24"/>
            <w:szCs w:val="24"/>
          </w:rPr>
          <w:fldChar w:fldCharType="separate"/>
        </w:r>
        <w:r w:rsidR="00F933E1">
          <w:rPr>
            <w:rFonts w:ascii="Times New Roman" w:hAnsi="Times New Roman" w:cs="Times New Roman"/>
            <w:noProof/>
            <w:sz w:val="24"/>
            <w:szCs w:val="24"/>
          </w:rPr>
          <w:t>6</w:t>
        </w:r>
        <w:r w:rsidRPr="0004067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674" w:rsidRDefault="00040674" w:rsidP="00040674">
      <w:pPr>
        <w:spacing w:after="0" w:line="240" w:lineRule="auto"/>
      </w:pPr>
      <w:r>
        <w:separator/>
      </w:r>
    </w:p>
  </w:footnote>
  <w:footnote w:type="continuationSeparator" w:id="0">
    <w:p w:rsidR="00040674" w:rsidRDefault="00040674" w:rsidP="000406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A24"/>
    <w:rsid w:val="00040674"/>
    <w:rsid w:val="001E062C"/>
    <w:rsid w:val="003B3D14"/>
    <w:rsid w:val="00521758"/>
    <w:rsid w:val="00783924"/>
    <w:rsid w:val="009C3DFE"/>
    <w:rsid w:val="00BF7A37"/>
    <w:rsid w:val="00D24A24"/>
    <w:rsid w:val="00F933E1"/>
    <w:rsid w:val="00FC6D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5554AA-3E5F-42F7-86B6-014477AB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24A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24A24"/>
  </w:style>
  <w:style w:type="paragraph" w:styleId="Stopka">
    <w:name w:val="footer"/>
    <w:basedOn w:val="Normalny"/>
    <w:link w:val="StopkaZnak"/>
    <w:uiPriority w:val="99"/>
    <w:unhideWhenUsed/>
    <w:rsid w:val="000406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0674"/>
  </w:style>
  <w:style w:type="paragraph" w:styleId="Tekstdymka">
    <w:name w:val="Balloon Text"/>
    <w:basedOn w:val="Normalny"/>
    <w:link w:val="TekstdymkaZnak"/>
    <w:uiPriority w:val="99"/>
    <w:semiHidden/>
    <w:unhideWhenUsed/>
    <w:rsid w:val="0004067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06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1922</Words>
  <Characters>11538</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Chmielewska Róża</dc:creator>
  <cp:lastModifiedBy>Grażyna D. Grabowska</cp:lastModifiedBy>
  <cp:revision>2</cp:revision>
  <dcterms:created xsi:type="dcterms:W3CDTF">2018-07-04T14:17:00Z</dcterms:created>
  <dcterms:modified xsi:type="dcterms:W3CDTF">2018-07-04T14:17:00Z</dcterms:modified>
</cp:coreProperties>
</file>