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323" w:rsidRPr="00D9053D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D9053D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Dane Krajowego Rejestru Długów (KRD) wskazują, że pomimo iż mieszkańcy wsi zadłużają się zdecydowanie rzadziej niż mieszkańcy miast, to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kwota zaległych zobowiązań mieszkańców wsi w ostatnich latach niepokojąco wzrosła.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Ponad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% zarejestrowanych w KRD zobowiązań mieszkańców wsi dotyczy banków i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instytucji finansowych. Możliwości restrukturyzacji zadłużenia prowadzonej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podstawie funkcjonującej ustawy z dnia 15 maja 2015 r – Prawo restrukturyzacyjne (Dz.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U. z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2017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 poz. 1508,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późn. zm.) stwarzają szansę częściowej redukcji zadłużenia. Natomiast projektowana restrukturyzacja zadłużenia podmiotów prowadzących gospodarstwa rolne umożliwi natychmiastową spłatę „starego” – częściowo zrestrukturyzowanego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we wcześniejszym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postępowaniu restrukturyzacyjnym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zadłużenia, ale tylko związanego z prowadzeniem działalności rolniczej. Dodatkowe możliwości restrukturyzacji zadłużenia dotyczyć będą wyłącznie producentów rolnych prowadzących gospodarstwa rolne będących małym, średnim lub dużym przedsiębiorstwem w rozumieniu przepisów unijnych ze względu na specyfikę prowadzenia gospodarstw rolnych w Polsce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w większości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ich rodzinnego charakteru. Stosownie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 art. 23 Konstytucji Rzeczypospolitej Polskiej podstawą ustroju rolnego państwa polskiego jest gospodarstwo rodzinne. Ograniczenie podmiotów prowadzących gospodarstwa rolne do wsparcia w formie przejęcia długu przez Krajowy Ośrodek Wsparcia Rolnictwa (KOWR) do właścicieli nieruchomości rolnych wiąże się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równoważnym przejęciem przez KOWR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nieruchomości rolnych do Zasobu Własności Rolnej Skarbu Państwa.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Proponowane rozwiązania uwzględniają warunki społeczno-gospodarcze wdrażania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projektowanego kompleksowego programu wsparcia producentów rolnych. Dotychczas realizowane przez Agencję Restrukturyzacji i Modernizacji Rolnictwa programy pomocy krajowej zostały zgłoszone lub notyfikowane w Komisji Europejskiej na podstawie unijnych zasad pomocy państwa w rolnictwie. Proponowany program będzie notyfikowany w Komisji Europejskiej jako zgodny z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wytycznymi Komisji Europejskiej dotyczącymi pomocy państwa na ratowanie i</w:t>
      </w:r>
      <w:r w:rsidR="00D9053D" w:rsidRP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restrukturyzację</w:t>
      </w:r>
      <w:r w:rsidR="00D9053D" w:rsidRP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przedsiębiorstw niefinansowych znajdujących się w trudnej sytuacji (Dz. Urz. UE </w:t>
      </w:r>
      <w:r w:rsidR="00772924" w:rsidRP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 </w:t>
      </w:r>
      <w:r w:rsidR="009336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249 </w:t>
      </w:r>
      <w:r w:rsidRP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</w:t>
      </w:r>
      <w:r w:rsidR="007729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31.07.</w:t>
      </w:r>
      <w:r w:rsidRP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2014</w:t>
      </w:r>
      <w:r w:rsidR="007729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str. 1</w:t>
      </w:r>
      <w:r w:rsidRP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Wsparcie producentów rolnych zgodnie 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projektem ustawy umożliwi im spłatę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zadłużenia bez zgody wierzycieli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restrukturyzację zadłużenia producenta rolnego, gdyż nie będzie powodowało zmniejszenia kwot długu do spłaty.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Projektowanej ustawy nie stosuje się do podmiotów prowadzących gospodarstwo rolne, wobec których toczy się postępowanie restrukturyzacyjne na podstawie przepisów ustawy z dnia 15 maja 2015 r. – Prawo restrukturyzacyjne. Projektowana ustawa wyłącza również podmioty prowadzące gospodarstwa rolne w likwidacji lub w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upadłości,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które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takim procesom podlegają, tzn. nie są osobami fizycznymi prowadzącymi gospodarstwa rolne nieprowadzącymi jednocześnie działalności gospodarczej lub zawodowej.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projekcie proponuje się:</w:t>
      </w:r>
    </w:p>
    <w:p w:rsidR="00EE3323" w:rsidRPr="00EE3323" w:rsidRDefault="00EE3323" w:rsidP="00D9053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udzielanie przez Agencję Restrukturyzacji i Modernizacji Rolnictwa dopłat do oprocentowania bankowych kredytów restrukturyzacyjnych w celu restrukturyzacji zadłużenia podmiotów prowadzących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gospodarstwo rolne znajdujące się w trudnej sytuacji ekonomicznej,</w:t>
      </w:r>
    </w:p>
    <w:p w:rsidR="00EE3323" w:rsidRPr="00EE3323" w:rsidRDefault="00EE3323" w:rsidP="00D9053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udzielanie przez Agencję Restrukturyzacji i Modernizacji Rolnictwa pożyczek na spłatę zadłużenia podmiotów prowadzących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gospodarstwo rolne znajdujące się w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trudnej sytuacji ekonomicznej,</w:t>
      </w:r>
    </w:p>
    <w:p w:rsidR="00EE3323" w:rsidRPr="00EE3323" w:rsidRDefault="00EE3323" w:rsidP="00D9053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udzielanie przez </w:t>
      </w:r>
      <w:r w:rsidR="004D73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KOWR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gwarancji spłaty bankowych kredytów restrukturyzacyjnych,</w:t>
      </w:r>
    </w:p>
    <w:p w:rsidR="00EE3323" w:rsidRPr="00EE3323" w:rsidRDefault="00EE3323" w:rsidP="00D9053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przejęcie zadłużenia podmiotów prowadzących gospodarstwo rolne przez K</w:t>
      </w:r>
      <w:r w:rsidR="009336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OWR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Restrukturyzacją może być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objęty podmiot prowadzący gospodarstwo rolne, który:</w:t>
      </w:r>
    </w:p>
    <w:p w:rsidR="00496C04" w:rsidRDefault="00933685" w:rsidP="00496C04">
      <w:p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1) </w:t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jest osobą fizyczną, osobą prawną albo jednostką organizacyjną nieposiadającą osobowości prawnej, której ustawa przyznaje zdolność prawną,</w:t>
      </w:r>
    </w:p>
    <w:p w:rsidR="00496C04" w:rsidRDefault="00933685" w:rsidP="00496C04">
      <w:p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>ma miejsce zamieszkania lub siedzibę na terytorium Rzeczypospolitej Polskiej,</w:t>
      </w:r>
    </w:p>
    <w:p w:rsidR="00496C04" w:rsidRDefault="00933685" w:rsidP="00496C04">
      <w:p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3) 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>jest właścicielem gospodarstwa rolnego w rozumieniu przepisów ustawy z dnia 15</w:t>
      </w:r>
      <w:r w:rsidR="00D9053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 1984 r. o podatku rolnym</w:t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:rsidR="00EE3323" w:rsidRPr="00EE3323" w:rsidRDefault="00933685" w:rsidP="00496C04">
      <w:p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4) </w:t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jest małym, 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średnim lub dużym przedsiębiorstwem w rozumieniu załącznika I do rozporządzenia Komisji (UE)</w:t>
      </w:r>
      <w:r w:rsidR="00D9053D" w:rsidRPr="00D905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>702/2014 z dnia 25 czerwca 2014 r. uznającego niektóre kategorie pomocy w sektorach rolnym</w:t>
      </w:r>
      <w:r w:rsidR="00496C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D9053D" w:rsidRPr="00D905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>leśnym oraz na obszarach wiejskich za zgodne z rynkiem wewnętrznym w zastoso</w:t>
      </w:r>
      <w:r w:rsidR="00D9053D">
        <w:rPr>
          <w:rFonts w:ascii="Times New Roman" w:eastAsia="Times New Roman" w:hAnsi="Times New Roman" w:cs="Times New Roman"/>
          <w:sz w:val="24"/>
          <w:szCs w:val="24"/>
          <w:lang w:eastAsia="pl-PL"/>
        </w:rPr>
        <w:t>waniu art. 107 i 108 Traktatu o 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funkcjonowaniu Unii Europejskiej, </w:t>
      </w:r>
    </w:p>
    <w:p w:rsidR="00EE3323" w:rsidRPr="00EE3323" w:rsidRDefault="00933685" w:rsidP="00496C04">
      <w:p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5) 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>co najmniej od 3 lat</w:t>
      </w:r>
      <w:r w:rsidR="00496C0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licząc od dnia powstania obowiązku podatkowego w zakresie podatku rolnego z tytułu posiadania gospodarstwa rolnego</w:t>
      </w:r>
      <w:r w:rsidR="00496C0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prowadzi działalność rolniczą w rozumieniu przepisów ustawy z dnia 15 listopada 1984 r. o podatku rolnym, </w:t>
      </w:r>
    </w:p>
    <w:p w:rsidR="00EE3323" w:rsidRPr="00EE3323" w:rsidRDefault="00933685" w:rsidP="00496C04">
      <w:p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niewypłacalny w rozumieniu przepisów ustawy z dnia 28 lutego 2003 r. </w:t>
      </w:r>
      <w:r w:rsidR="005762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Prawo upadłościowe albo </w:t>
      </w:r>
    </w:p>
    <w:p w:rsidR="00EE3323" w:rsidRPr="00EE3323" w:rsidRDefault="00933685" w:rsidP="00496C04">
      <w:p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7) </w:t>
      </w:r>
      <w:r w:rsidR="00EE3323" w:rsidRPr="00EE3323">
        <w:rPr>
          <w:rFonts w:ascii="Times New Roman" w:eastAsia="Times New Roman" w:hAnsi="Times New Roman" w:cs="Times New Roman"/>
          <w:sz w:val="24"/>
          <w:szCs w:val="24"/>
          <w:lang w:eastAsia="pl-PL"/>
        </w:rPr>
        <w:t>jest zagrożony</w:t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niewypłacalnością w rozumieniu przepisów ustawy z dnia 15 maja 2015 r. </w:t>
      </w:r>
      <w:r w:rsidR="005762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raw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restrukturyzacyjne.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Restrukturyzacji podlegać będą długi o charakterze pieniężnym,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które powstały w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związku z prowadzeniem działalności rolniczej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obejmujące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kapitał, odsetki i inne opłaty związane z obsługą zadłużenia.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Wniosek o pomoc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podmiot prowadzący gospodarstwo rolne składa na formularzu opracowanym i udostępnionym przez:</w:t>
      </w:r>
    </w:p>
    <w:p w:rsidR="00EE3323" w:rsidRPr="00EE3323" w:rsidRDefault="00D9053D" w:rsidP="00D9053D">
      <w:pPr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Agencję Restrukturyzacji i Modernizacji Rolnictwa na jej stronie internetowej do kierownika biura powiatowego </w:t>
      </w:r>
      <w:r w:rsidR="009336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tej </w:t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Agencji właściwego ze względu na miejsce zamieszkania lub siedzibę podmiotu prowadzącego gospodarstwo rolne – w przypadku restrukturyzacji w formie pożyczki,</w:t>
      </w:r>
    </w:p>
    <w:p w:rsidR="00EE3323" w:rsidRPr="00EE3323" w:rsidRDefault="00D9053D" w:rsidP="00D9053D">
      <w:pPr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9336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KOWR</w:t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jego stronie internetowej do oddziału terenowego K</w:t>
      </w:r>
      <w:r w:rsidR="009336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OWR, </w:t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którego zasięg terytorialny obejmuje obszar województwa, na którym położone są nieruchomości podmiotu prowadzącego gospodarstwo rolne, wnioskującego o pomoc, o której mowa w art. 3 pkt 2 i 3, a w przypadku województwa zachodniopomorskiego do oddziału terenowego K</w:t>
      </w:r>
      <w:r w:rsidR="009336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OWR</w:t>
      </w:r>
      <w:r w:rsidR="00EE3323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którego zasięg terytorialny obejmuje obszar powiatu, na którym jest położona taka nieruchomość – w pozostałych przypadkach. 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Pozytywne rozpatrzenie wniosku będzie uzależni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one od spełnienia określonych w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projektowanych przepisach warunków oraz dostępnoś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ci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środków w planie finansowym Agencji Restrukturyzacji Modernizacji Rolnictwa (ARiMR) lub KOWR</w:t>
      </w:r>
      <w:r w:rsidR="000909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danym roku budżetowym. Projektowana ustawa nie gwarantuje restrukturyzacji bez spełnienia tych warunków. Ograniczenie podmiotów prowadzących gospodarstwa rolne do wsparcia w formie przejęcia długu przez KOWR do właścicieli nieruchomości rolnych wiąże się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równoważnym przejęciem przez KOWR nieruchomości rolnych do Zasobu Własności Rolnej Skarbu Państwa.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Wniosek o kredyt restrukturyzacyjny podmiot prowadz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ący gospodarstwo rolne składa w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banku kredytującym, z którym A</w:t>
      </w:r>
      <w:r w:rsidR="000909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RiMR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będzie miała podpisaną umowę o współpracy. Oprocentowanie kredytu restrukturyzacyjnego dla banku będzie korzystniejsze od innych kredytów preferencyjnych ze względu na to, że udzielany będzie podmiotowi, który utracił płynność finansową. Stosownie do przepisów prawa bankowego decyzje o udzieleniu kredytu bankowego podejmuje bank. Dopłaty do oprocentowania będą wypłacane przez ARiMR na podstawie umowy zawartej przez ARiMR z bankiem kredytującym – bez udziału producenta rolnego. Mechanizm ten funkcjonuje od 1994 r. i nie budzi zastrzeżeń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żadnej ze stron: ARiMR, banku kredytującego i kredytobiorcy – producenta rolnego. ARiMR będzie zawierała umowy w sprawie dopłat do oprocentowania kredytów restrukturyzacyjnych ze wszystkimi 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bankami, które o to wystąpią. W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projekcie ustawy określono podstawowe elementy umowy zawieranej przez ARiMR z bankami udzielającymi kredytów restrukturyzacyjnych, które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kumulują doś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wiadczenia z wieloletniej praktyki umów zawieranych z bankami kredytującymi producentów rolnych z kredytów z dopłatami do oprocentowania ze środków z budżetu państwa. Brak realizacji planu restrukturyzacji będzie podstawą do żądania zwrotu od kredytobiorcy dopłat do oprocentowania kredytu restrukturyzacyjnego i będzie traktowany jako złamanie przez kredytobiorcę zasad udzielenia tego</w:t>
      </w:r>
      <w:r w:rsidR="000909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preferencyjnego kredytu i brak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podstawy do udzielenia pomocy publicznej.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Należy pamiętać, że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musz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być wypełnione zobowiązania dotyczące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zwrotu pomocy państwa udzielonej niezgodnie z prawem z uwzględnieniem tzw. klauzula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Deggendorf-a.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Umowa o udzielenie gwarancji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będzie z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wierana na wniosek podmiotu prowadzącego gospodarstwo rolne, zgodnie z odrębnymi przepisami dotyczącymi gwarancji. W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projektowanej ustawie nie przewiduje się szczególnych odstępstw od powszechnie obowiązujących zasad. Umowa o udzielenie gwarancji będzie stanowiła podstawę wpisu </w:t>
      </w:r>
      <w:r w:rsidR="00090940"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hipoteki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</w:t>
      </w:r>
      <w:r w:rsidR="000909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księgi wieczystej.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Formy pomocy polegające na udzielaniu dopłat do oprocentowania bankowych kredytów na restrukturyzację zadłużenia, pożyczek na spłatę zadłużenia oraz gwarancji spłaty zadłużenia bę</w:t>
      </w:r>
      <w:r w:rsidR="000909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warunkowane przedsta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wieniem przez wnioskodawcę, tj.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podmiot prowadzący gospodarstwo rolne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planu restrukturyzacji gospodarstwa rolnego zaakceptowanego przez właściwego na miejsce </w:t>
      </w:r>
      <w:r w:rsidR="000909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położenia gospodarstwa rolnego d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yrektora wojewódzkiego ośrodka doradztwa rolniczego. W planie restrukturyzacji gospodarstwa rolnego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określona będzie kwota kredytu lub pożyczki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niezbędna do odzyskania płynności finansowej umożliwiająca zapewnienie długotrwałej zdolności gospodarstwa rolnego do konkurowania na rynku rolnym.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Opracowanie i realizacja planu restrukturyzacji wynika z wytycznych Komisji Europejskiej dotyczących pomocy państwa na ratowanie i restrukturyzację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przedsiębiorstw niefinansowych znajdujących się w trudnej sytuacji. Ocena dyrektora wojewódzkiego ośrodka doradztwa rolniczego (WODR) w zakresie realności wykonania planu restrukturyzacji, którego efektem będzie odzyskanie płynności finansowej gospodarstwa rolnego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będzie dokonywana na podstawie dostępnych danych ekonomicznych o gospodarstwach rolnych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prowadzących produkcję rolną na obszarze działania WODR. W szczególności dane te będą pochodziły z prowadzonych w ramach finansowanego z budżetu państwa programu rachunkowości rolnej – Polskiego FADN. Wskazanie 30</w:t>
      </w:r>
      <w:r w:rsidR="00357B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dniowego terminu dyrektorowi WODR na akceptację lub uzasadnioną odmowę akceptacji planu restrukturyzacji jest konsekwencją przyjęcia uwag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organizacji rolniczych wnoszących o skrócenie terminu.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decyzji podmiotu prowadzącego gospodarstwo rolne o przekazaniu użytków rolnych do Zasobu Własności Rolnej Skarbu Państwa w zamian za przejęcie zadłużenia gospodarstwa rolnego przez K</w:t>
      </w:r>
      <w:r w:rsidR="000909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OWR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dotychczasowy właściciel gospodarstwa rolnego będzie mógł korzystać z prawa pierwszeństwa do:</w:t>
      </w:r>
    </w:p>
    <w:p w:rsidR="00EE3323" w:rsidRPr="00EE3323" w:rsidRDefault="00EE3323" w:rsidP="00D9053D">
      <w:pPr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dzierżawy przekazanych do Zasobu Własności Rolnej Skarbu Państwa nieruchomości rolnych;</w:t>
      </w:r>
    </w:p>
    <w:p w:rsidR="00EE3323" w:rsidRPr="00EE3323" w:rsidRDefault="00EE3323" w:rsidP="00D9053D">
      <w:pPr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zakupu przekazanych do Zasobu Własności Rolnej Skarbu Państwa nieruchomości rolnych w okresie nie krótszym niż po upływie pięciu lat od dnia przejęcia nieruchomości rolnych przekazanych do Zasobu Własności Rolnej Skarbu Państwa.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Aby umożliwić producentowi rolnemu odkupienie nieruchomości przekazanych na rzecz Skarbu Państwa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będą mogły te nieruchomości zostać sprzedane przez K</w:t>
      </w:r>
      <w:r w:rsidR="000909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OWR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terminie 20 lat od dnia przeniesienia ich własności na rzecz Skarbu Państwa na rzecz innych podmiotów.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braku możliwości uwolnienia hipoteki nieruchomości rolnych producenci rolni będą mogli przeprowadzać postępowanie restrukturyzacyjne na podstawie obecnie obowiązujących przepisów umożliwiających postępowanie sanacyjne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również producentom rolnym.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Uwzględniając wydatki jak i dochody gotówkowe oraz majątkowe, gdzie dochody będą stanowiły środki ze spłat pożyczek oraz z tytułu prowizji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 udzielonych gwarancji kredytowych</w:t>
      </w:r>
      <w:r w:rsid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niezbędne jest zabezpieczenie dodatkowych środków budżetowych na udzielanie projektowanej pomocy wyłącznie do 2024 r.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Wprowadzenie projektowanych przepisów będzie miało wpływ na działalność mikroprzedsiębiorców oraz małych i średnich, a także dużych przedsiębiorców. Możliwość uzyskania pomocy na spłatę zobowiązań cywilnoprawnych wpłynie na poprawę płynności finansowej gospodarstw rolnych, a tym samym docelowo na wzrost ich konkurencyjności na rynku Unii Europejskiej. 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danych z banków współpracujących z A</w:t>
      </w:r>
      <w:r w:rsidR="000909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RiMR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wynika, że problemy ze spłatą kredytów bankowych ma 1690 producentów rolnych na kwotę 158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640 tys. zł.</w:t>
      </w:r>
    </w:p>
    <w:p w:rsidR="00EE3323" w:rsidRPr="00496C04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Pomoc określona w art. 3 zostanie notyfikowana Komisji Europejskiej i będzie mogła być udzielana w okresie obowiązywania pozytywnej </w:t>
      </w:r>
      <w:r w:rsidR="000909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decyzji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Komisji Europejskiej. Przy zgłoszeniu wniosku notyfikacyjnego zostaną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uwzględnione wymogi określone w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496C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Wytycznych dotyczących pomocy państwa na ratowanie i restrukturyzację przedsiębiorstw niefinansowych znajdujących si w trudnej sytuacji.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Program pomocy zostanie notyfikowany w Komisji Europejskiej na okres do końca 2020 roku ze względu na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okres obowiązywania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wytycznych dotyczących udzielania pomocy państwa w rolnictwie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latach 2014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2020.</w:t>
      </w:r>
      <w:r w:rsidR="00D9053D" w:rsidRP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razie potrzeby kontynuowania programu poza 2020 rok notyfikacja zostanie ponowiona.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 ustawy nie podlega procedurze notyfikacji w rozumieniu przepisów rozporządzenia Rady Ministrów z dnia 23 grudnia 2002 r. w sprawie sposobu funkcjonowania krajowego systemu notyfikacji norm i aktów prawnych (Dz. U. poz.</w:t>
      </w:r>
      <w:r w:rsidR="00D905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2039, z późn. zm.), ponieważ nie zawiera przepisów technicznych.</w:t>
      </w:r>
    </w:p>
    <w:p w:rsidR="00EE3323" w:rsidRPr="00EE3323" w:rsidRDefault="00EE3323" w:rsidP="00D9053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Stosownie do art. 5 ustawy z dnia 7 lipca 2005 r. o działalności lobbingowej w procesie stanowienia prawa (Dz. U. z 2017 r. poz. 248) projekt ustawy został zamieszczony na stronie internetowej Biuletynu Informacji Publicznej Ministerstwa Rolnictwa i Rozwoju Wsi, a także na stronie podmiotowej Rządowego Centrum Legislacji.</w:t>
      </w:r>
    </w:p>
    <w:p w:rsidR="00E250CC" w:rsidRPr="00653E01" w:rsidRDefault="00E250CC" w:rsidP="00E250CC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653E01">
        <w:rPr>
          <w:rFonts w:ascii="Times" w:eastAsia="Times New Roman" w:hAnsi="Times" w:cs="Arial"/>
          <w:bCs/>
          <w:sz w:val="24"/>
          <w:szCs w:val="20"/>
          <w:lang w:eastAsia="pl-PL"/>
        </w:rPr>
        <w:t>Projekt ustawy został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653E01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ujęty w 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W</w:t>
      </w:r>
      <w:r w:rsidRPr="00653E01">
        <w:rPr>
          <w:rFonts w:ascii="Times" w:eastAsia="Times New Roman" w:hAnsi="Times" w:cs="Arial"/>
          <w:bCs/>
          <w:sz w:val="24"/>
          <w:szCs w:val="20"/>
          <w:lang w:eastAsia="pl-PL"/>
        </w:rPr>
        <w:t>ykazie prac legislacyjnych Rady Ministrów.</w:t>
      </w:r>
    </w:p>
    <w:sectPr w:rsidR="00E250CC" w:rsidRPr="00653E01" w:rsidSect="00D9053D">
      <w:footerReference w:type="default" r:id="rId9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53D" w:rsidRDefault="00D9053D" w:rsidP="00D9053D">
      <w:pPr>
        <w:spacing w:after="0" w:line="240" w:lineRule="auto"/>
      </w:pPr>
      <w:r>
        <w:separator/>
      </w:r>
    </w:p>
  </w:endnote>
  <w:endnote w:type="continuationSeparator" w:id="0">
    <w:p w:rsidR="00D9053D" w:rsidRDefault="00D9053D" w:rsidP="00D90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601019681"/>
      <w:docPartObj>
        <w:docPartGallery w:val="Page Numbers (Bottom of Page)"/>
        <w:docPartUnique/>
      </w:docPartObj>
    </w:sdtPr>
    <w:sdtEndPr/>
    <w:sdtContent>
      <w:p w:rsidR="00D9053D" w:rsidRPr="00D9053D" w:rsidRDefault="00D9053D" w:rsidP="00D9053D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905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053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905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5A36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D9053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53D" w:rsidRDefault="00D9053D" w:rsidP="00D9053D">
      <w:pPr>
        <w:spacing w:after="0" w:line="240" w:lineRule="auto"/>
      </w:pPr>
      <w:r>
        <w:separator/>
      </w:r>
    </w:p>
  </w:footnote>
  <w:footnote w:type="continuationSeparator" w:id="0">
    <w:p w:rsidR="00D9053D" w:rsidRDefault="00D9053D" w:rsidP="00D905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A41BE"/>
    <w:multiLevelType w:val="hybridMultilevel"/>
    <w:tmpl w:val="77BE5A3A"/>
    <w:lvl w:ilvl="0" w:tplc="D0586488">
      <w:start w:val="1"/>
      <w:numFmt w:val="decimal"/>
      <w:lvlText w:val="%1)"/>
      <w:lvlJc w:val="left"/>
      <w:pPr>
        <w:ind w:left="370" w:hanging="360"/>
      </w:pPr>
      <w:rPr>
        <w:rFonts w:ascii="Times" w:eastAsia="Times New Roman" w:hAnsi="Times" w:cs="Arial"/>
      </w:rPr>
    </w:lvl>
    <w:lvl w:ilvl="1" w:tplc="04150019">
      <w:start w:val="1"/>
      <w:numFmt w:val="lowerLetter"/>
      <w:lvlText w:val="%2."/>
      <w:lvlJc w:val="left"/>
      <w:pPr>
        <w:ind w:left="1090" w:hanging="360"/>
      </w:pPr>
    </w:lvl>
    <w:lvl w:ilvl="2" w:tplc="0415001B">
      <w:start w:val="1"/>
      <w:numFmt w:val="lowerRoman"/>
      <w:lvlText w:val="%3."/>
      <w:lvlJc w:val="right"/>
      <w:pPr>
        <w:ind w:left="1810" w:hanging="180"/>
      </w:pPr>
    </w:lvl>
    <w:lvl w:ilvl="3" w:tplc="0415000F">
      <w:start w:val="1"/>
      <w:numFmt w:val="decimal"/>
      <w:lvlText w:val="%4."/>
      <w:lvlJc w:val="left"/>
      <w:pPr>
        <w:ind w:left="2530" w:hanging="360"/>
      </w:pPr>
    </w:lvl>
    <w:lvl w:ilvl="4" w:tplc="04150019">
      <w:start w:val="1"/>
      <w:numFmt w:val="lowerLetter"/>
      <w:lvlText w:val="%5."/>
      <w:lvlJc w:val="left"/>
      <w:pPr>
        <w:ind w:left="3250" w:hanging="360"/>
      </w:pPr>
    </w:lvl>
    <w:lvl w:ilvl="5" w:tplc="0415001B">
      <w:start w:val="1"/>
      <w:numFmt w:val="lowerRoman"/>
      <w:lvlText w:val="%6."/>
      <w:lvlJc w:val="right"/>
      <w:pPr>
        <w:ind w:left="3970" w:hanging="180"/>
      </w:pPr>
    </w:lvl>
    <w:lvl w:ilvl="6" w:tplc="0415000F">
      <w:start w:val="1"/>
      <w:numFmt w:val="decimal"/>
      <w:lvlText w:val="%7."/>
      <w:lvlJc w:val="left"/>
      <w:pPr>
        <w:ind w:left="4690" w:hanging="360"/>
      </w:pPr>
    </w:lvl>
    <w:lvl w:ilvl="7" w:tplc="04150019">
      <w:start w:val="1"/>
      <w:numFmt w:val="lowerLetter"/>
      <w:lvlText w:val="%8."/>
      <w:lvlJc w:val="left"/>
      <w:pPr>
        <w:ind w:left="5410" w:hanging="360"/>
      </w:pPr>
    </w:lvl>
    <w:lvl w:ilvl="8" w:tplc="0415001B">
      <w:start w:val="1"/>
      <w:numFmt w:val="lowerRoman"/>
      <w:lvlText w:val="%9."/>
      <w:lvlJc w:val="right"/>
      <w:pPr>
        <w:ind w:left="6130" w:hanging="180"/>
      </w:pPr>
    </w:lvl>
  </w:abstractNum>
  <w:abstractNum w:abstractNumId="1">
    <w:nsid w:val="54494989"/>
    <w:multiLevelType w:val="hybridMultilevel"/>
    <w:tmpl w:val="B0C88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F532A7"/>
    <w:multiLevelType w:val="hybridMultilevel"/>
    <w:tmpl w:val="28FEE2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323"/>
    <w:rsid w:val="00090940"/>
    <w:rsid w:val="001E062C"/>
    <w:rsid w:val="00335A36"/>
    <w:rsid w:val="00357B5F"/>
    <w:rsid w:val="00381361"/>
    <w:rsid w:val="00496C04"/>
    <w:rsid w:val="004D737D"/>
    <w:rsid w:val="00576247"/>
    <w:rsid w:val="00772924"/>
    <w:rsid w:val="00933685"/>
    <w:rsid w:val="009C3DFE"/>
    <w:rsid w:val="00D9053D"/>
    <w:rsid w:val="00E250CC"/>
    <w:rsid w:val="00EE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0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053D"/>
  </w:style>
  <w:style w:type="paragraph" w:styleId="Stopka">
    <w:name w:val="footer"/>
    <w:basedOn w:val="Normalny"/>
    <w:link w:val="StopkaZnak"/>
    <w:uiPriority w:val="99"/>
    <w:unhideWhenUsed/>
    <w:rsid w:val="00D90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053D"/>
  </w:style>
  <w:style w:type="character" w:styleId="Odwoaniedokomentarza">
    <w:name w:val="annotation reference"/>
    <w:basedOn w:val="Domylnaczcionkaakapitu"/>
    <w:uiPriority w:val="99"/>
    <w:semiHidden/>
    <w:unhideWhenUsed/>
    <w:rsid w:val="00E250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50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50C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50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50C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5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0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0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053D"/>
  </w:style>
  <w:style w:type="paragraph" w:styleId="Stopka">
    <w:name w:val="footer"/>
    <w:basedOn w:val="Normalny"/>
    <w:link w:val="StopkaZnak"/>
    <w:uiPriority w:val="99"/>
    <w:unhideWhenUsed/>
    <w:rsid w:val="00D90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053D"/>
  </w:style>
  <w:style w:type="character" w:styleId="Odwoaniedokomentarza">
    <w:name w:val="annotation reference"/>
    <w:basedOn w:val="Domylnaczcionkaakapitu"/>
    <w:uiPriority w:val="99"/>
    <w:semiHidden/>
    <w:unhideWhenUsed/>
    <w:rsid w:val="00E250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50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50C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50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50C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5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0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F837D-73DA-4112-94A7-869A20257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1900</Words>
  <Characters>11403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Chmielewska Róża</dc:creator>
  <cp:lastModifiedBy>Ewa A. Genert</cp:lastModifiedBy>
  <cp:revision>2</cp:revision>
  <cp:lastPrinted>2018-06-06T08:35:00Z</cp:lastPrinted>
  <dcterms:created xsi:type="dcterms:W3CDTF">2018-07-05T10:45:00Z</dcterms:created>
  <dcterms:modified xsi:type="dcterms:W3CDTF">2018-07-05T10:45:00Z</dcterms:modified>
</cp:coreProperties>
</file>