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52C4" w:rsidRDefault="008852C4" w:rsidP="00A66A4B">
      <w:pPr>
        <w:pStyle w:val="OZNRODZAKTUtznustawalubrozporzdzenieiorganwydajcy"/>
      </w:pPr>
      <w:bookmarkStart w:id="0" w:name="_GoBack"/>
      <w:bookmarkEnd w:id="0"/>
    </w:p>
    <w:p w:rsidR="0011257D" w:rsidRPr="0011257D" w:rsidRDefault="0011257D" w:rsidP="0011257D">
      <w:pPr>
        <w:pStyle w:val="DATAAKTUdatauchwalenialubwydaniaaktu"/>
      </w:pPr>
    </w:p>
    <w:p w:rsidR="00A66A4B" w:rsidRPr="00A66A4B" w:rsidRDefault="00A66A4B" w:rsidP="00A66A4B">
      <w:pPr>
        <w:pStyle w:val="OZNRODZAKTUtznustawalubrozporzdzenieiorganwydajcy"/>
      </w:pPr>
      <w:r w:rsidRPr="00A66A4B">
        <w:t>UCHWAŁA</w:t>
      </w:r>
    </w:p>
    <w:p w:rsidR="00A66A4B" w:rsidRPr="00A66A4B" w:rsidRDefault="00A66A4B" w:rsidP="00A66A4B">
      <w:pPr>
        <w:pStyle w:val="OZNRODZAKTUtznustawalubrozporzdzenieiorganwydajcy"/>
      </w:pPr>
      <w:r w:rsidRPr="00A66A4B">
        <w:t>SENATU RZECZYPOSPOLITEJ POLSKIEJ</w:t>
      </w:r>
    </w:p>
    <w:p w:rsidR="00A66A4B" w:rsidRPr="00A66A4B" w:rsidRDefault="00A66A4B" w:rsidP="00A66A4B">
      <w:pPr>
        <w:pStyle w:val="DATAAKTUdatauchwalenialubwydaniaaktu"/>
      </w:pPr>
      <w:r w:rsidRPr="00A66A4B">
        <w:t xml:space="preserve">z dnia </w:t>
      </w:r>
      <w:r w:rsidR="008D3C09">
        <w:t>29 czerwca 2018 r.</w:t>
      </w:r>
    </w:p>
    <w:p w:rsidR="00A66A4B" w:rsidRPr="00A66A4B" w:rsidRDefault="00B1776A" w:rsidP="00A66A4B">
      <w:pPr>
        <w:pStyle w:val="TYTUAKTUprzedmiotregulacjiustawylubrozporzdzenia"/>
      </w:pPr>
      <w:r w:rsidRPr="00B1776A">
        <w:t>w sprawie wniesienia do Sejmu projektu ustawy</w:t>
      </w:r>
      <w:r w:rsidR="00736F68">
        <w:t xml:space="preserve"> </w:t>
      </w:r>
      <w:r w:rsidR="00736F68" w:rsidRPr="00736F68">
        <w:t>o zmianie ustawy o postępowaniu wobec osób z zaburzeniami psychicznymi stwarzających zagrożenie życia, zdrowia lub wolności seksualnej innych osób</w:t>
      </w:r>
      <w:r w:rsidRPr="0011257D">
        <w:t xml:space="preserve"> </w:t>
      </w:r>
    </w:p>
    <w:p w:rsidR="00B1776A" w:rsidRPr="00B1776A" w:rsidRDefault="00B1776A" w:rsidP="00B1776A">
      <w:pPr>
        <w:pStyle w:val="NIEARTTEKSTtekstnieartykuowanynppreambua"/>
      </w:pPr>
      <w:r w:rsidRPr="00B1776A">
        <w:t xml:space="preserve">Na podstawie art. 118 ust. 1 Konstytucji Rzeczypospolitej Polskiej z dnia 2 kwietnia 1997 r., Senat wnosi do Sejmu Rzeczypospolitej Polskiej projekt ustawy </w:t>
      </w:r>
      <w:r w:rsidR="00736F68" w:rsidRPr="0085092F">
        <w:rPr>
          <w:rFonts w:ascii="Arial" w:hAnsi="Arial"/>
          <w:b/>
          <w:color w:val="7030A0"/>
          <w:sz w:val="20"/>
        </w:rPr>
        <w:t xml:space="preserve">o </w:t>
      </w:r>
      <w:r w:rsidR="00736F68" w:rsidRPr="00736F68">
        <w:t>zmianie ustawy o postępowaniu wobec osób z zaburzeniami psychicznymi stwarzających zagrożenie życia, zdrowia lub wolności seksualnej innych osób</w:t>
      </w:r>
      <w:r w:rsidRPr="00B1776A">
        <w:t>.</w:t>
      </w:r>
    </w:p>
    <w:p w:rsidR="00B1776A" w:rsidRPr="00B1776A" w:rsidRDefault="00B1776A" w:rsidP="00B1776A">
      <w:pPr>
        <w:pStyle w:val="NIEARTTEKSTtekstnieartykuowanynppreambua"/>
      </w:pPr>
      <w:r w:rsidRPr="00B1776A">
        <w:t xml:space="preserve">Jednocześnie upoważnia senatora </w:t>
      </w:r>
      <w:r w:rsidR="00736F68" w:rsidRPr="00B275C7">
        <w:t>Rafał</w:t>
      </w:r>
      <w:r w:rsidR="00736F68">
        <w:t>a</w:t>
      </w:r>
      <w:r w:rsidR="00736F68" w:rsidRPr="00B275C7">
        <w:t xml:space="preserve"> </w:t>
      </w:r>
      <w:hyperlink r:id="rId7" w:history="1">
        <w:r w:rsidR="00736F68" w:rsidRPr="00B275C7">
          <w:t>Ambrozik</w:t>
        </w:r>
      </w:hyperlink>
      <w:r w:rsidR="00736F68">
        <w:t xml:space="preserve">a </w:t>
      </w:r>
      <w:r w:rsidR="00BE7F18">
        <w:t>do reprezentowania Senatu w </w:t>
      </w:r>
      <w:r w:rsidRPr="00B1776A">
        <w:t>pracach nad projektem.</w:t>
      </w:r>
    </w:p>
    <w:p w:rsidR="00E63BAC" w:rsidRDefault="00E63BAC" w:rsidP="00E63BAC">
      <w:pPr>
        <w:pStyle w:val="ARTartustawynprozporzdzenia"/>
      </w:pPr>
    </w:p>
    <w:p w:rsidR="00E63BAC" w:rsidRDefault="00E63BAC" w:rsidP="00E63BAC">
      <w:pPr>
        <w:pStyle w:val="ARTartustawynprozporzdzenia"/>
      </w:pPr>
    </w:p>
    <w:p w:rsidR="00E63BAC" w:rsidRDefault="00E63BAC" w:rsidP="00E63BAC">
      <w:pPr>
        <w:pStyle w:val="ARTartustawynprozporzdzenia"/>
      </w:pPr>
    </w:p>
    <w:p w:rsidR="0011257D" w:rsidRDefault="0011257D" w:rsidP="0011257D">
      <w:pPr>
        <w:pStyle w:val="Tekstpodstawowy"/>
        <w:tabs>
          <w:tab w:val="center" w:pos="6237"/>
        </w:tabs>
        <w:spacing w:line="240" w:lineRule="auto"/>
        <w:ind w:right="-2"/>
        <w:rPr>
          <w:b/>
        </w:rPr>
      </w:pPr>
      <w:r>
        <w:rPr>
          <w:b/>
        </w:rPr>
        <w:tab/>
        <w:t>MARSZAŁEK SENATU</w:t>
      </w:r>
    </w:p>
    <w:p w:rsidR="0011257D" w:rsidRDefault="0011257D" w:rsidP="0011257D">
      <w:pPr>
        <w:pStyle w:val="Tekstpodstawowy"/>
        <w:tabs>
          <w:tab w:val="center" w:pos="6237"/>
        </w:tabs>
        <w:spacing w:line="240" w:lineRule="auto"/>
        <w:rPr>
          <w:b/>
        </w:rPr>
      </w:pPr>
    </w:p>
    <w:p w:rsidR="0011257D" w:rsidRDefault="0011257D" w:rsidP="0011257D">
      <w:pPr>
        <w:pStyle w:val="Tekstpodstawowy"/>
        <w:tabs>
          <w:tab w:val="center" w:pos="6237"/>
        </w:tabs>
        <w:spacing w:line="240" w:lineRule="auto"/>
        <w:rPr>
          <w:b/>
        </w:rPr>
      </w:pPr>
    </w:p>
    <w:p w:rsidR="0011257D" w:rsidRDefault="0011257D" w:rsidP="0011257D">
      <w:pPr>
        <w:pStyle w:val="Tekstpodstawowy"/>
        <w:tabs>
          <w:tab w:val="center" w:pos="6237"/>
        </w:tabs>
        <w:spacing w:line="240" w:lineRule="auto"/>
        <w:rPr>
          <w:b/>
        </w:rPr>
      </w:pPr>
    </w:p>
    <w:p w:rsidR="0011257D" w:rsidRDefault="0011257D" w:rsidP="0011257D">
      <w:pPr>
        <w:pStyle w:val="Tekstpodstawowy"/>
        <w:tabs>
          <w:tab w:val="center" w:pos="6237"/>
        </w:tabs>
        <w:spacing w:line="240" w:lineRule="auto"/>
        <w:rPr>
          <w:b/>
        </w:rPr>
      </w:pPr>
    </w:p>
    <w:p w:rsidR="0011257D" w:rsidRDefault="0011257D" w:rsidP="0011257D">
      <w:pPr>
        <w:pStyle w:val="Tekstpodstawowy"/>
        <w:tabs>
          <w:tab w:val="center" w:pos="6237"/>
        </w:tabs>
        <w:spacing w:line="240" w:lineRule="auto"/>
        <w:ind w:right="-2"/>
        <w:rPr>
          <w:b/>
        </w:rPr>
      </w:pPr>
      <w:r>
        <w:rPr>
          <w:b/>
        </w:rPr>
        <w:tab/>
        <w:t>Stanisław KARCZEWSKI</w:t>
      </w:r>
    </w:p>
    <w:p w:rsidR="00DF647C" w:rsidRDefault="00DF647C" w:rsidP="0011257D">
      <w:pPr>
        <w:pStyle w:val="Tekstpodstawowy"/>
        <w:tabs>
          <w:tab w:val="center" w:pos="6237"/>
        </w:tabs>
        <w:spacing w:line="240" w:lineRule="auto"/>
        <w:ind w:right="-2"/>
        <w:rPr>
          <w:b/>
        </w:rPr>
        <w:sectPr w:rsidR="00DF647C" w:rsidSect="008852C4">
          <w:headerReference w:type="default" r:id="rId8"/>
          <w:pgSz w:w="11906" w:h="16838"/>
          <w:pgMar w:top="846" w:right="1435" w:bottom="1559" w:left="1418" w:header="709" w:footer="709" w:gutter="0"/>
          <w:cols w:space="708"/>
          <w:titlePg/>
          <w:docGrid w:linePitch="254"/>
        </w:sectPr>
      </w:pPr>
    </w:p>
    <w:p w:rsidR="0006454F" w:rsidRDefault="0006454F" w:rsidP="00D42A0D">
      <w:pPr>
        <w:pStyle w:val="OZNPROJEKTUwskazaniedatylubwersjiprojektu"/>
      </w:pPr>
      <w:r>
        <w:lastRenderedPageBreak/>
        <w:t>projekt</w:t>
      </w:r>
    </w:p>
    <w:p w:rsidR="0006454F" w:rsidRPr="00E000DC" w:rsidRDefault="0006454F" w:rsidP="004810D7">
      <w:pPr>
        <w:pStyle w:val="OZNRODZAKTUtznustawalubrozporzdzenieiorganwydajcy"/>
      </w:pPr>
      <w:r w:rsidRPr="004810D7">
        <w:t>ustawa</w:t>
      </w:r>
    </w:p>
    <w:p w:rsidR="0006454F" w:rsidRDefault="0006454F" w:rsidP="00912118">
      <w:pPr>
        <w:pStyle w:val="DATAAKTUdatauchwalenialubwydaniaaktu"/>
      </w:pPr>
      <w:r w:rsidRPr="00E000DC">
        <w:t>z dnia</w:t>
      </w:r>
      <w:r>
        <w:t xml:space="preserve"> </w:t>
      </w:r>
    </w:p>
    <w:p w:rsidR="0006454F" w:rsidRDefault="0006454F" w:rsidP="004810D7">
      <w:pPr>
        <w:pStyle w:val="TYTUAKTUprzedmiotregulacjiustawylubrozporzdzenia"/>
      </w:pPr>
      <w:r>
        <w:t>o zmianie ustawy o postępowaniu wobec osób z zaburzeniami psychicznymi stwarzających zagrożenie życia, zdrowia lub wolności seksualnej innych osób</w:t>
      </w:r>
    </w:p>
    <w:p w:rsidR="0006454F" w:rsidRDefault="0006454F" w:rsidP="000F76D7">
      <w:pPr>
        <w:pStyle w:val="ARTartustawynprozporzdzenia"/>
      </w:pPr>
      <w:r w:rsidRPr="006443F8">
        <w:rPr>
          <w:rStyle w:val="Ppogrubienie"/>
        </w:rPr>
        <w:t>Art. 1.</w:t>
      </w:r>
      <w:r w:rsidRPr="000F76D7">
        <w:t xml:space="preserve"> W ustawie z dnia </w:t>
      </w:r>
      <w:r>
        <w:t>22</w:t>
      </w:r>
      <w:r w:rsidRPr="000F76D7">
        <w:t xml:space="preserve"> </w:t>
      </w:r>
      <w:r>
        <w:t>listopada</w:t>
      </w:r>
      <w:r w:rsidRPr="000F76D7">
        <w:t xml:space="preserve"> </w:t>
      </w:r>
      <w:r>
        <w:t>2013 r.</w:t>
      </w:r>
      <w:r w:rsidRPr="000F76D7">
        <w:t xml:space="preserve"> o </w:t>
      </w:r>
      <w:r>
        <w:t>postępowaniu wobec osób z </w:t>
      </w:r>
      <w:r w:rsidRPr="00422826">
        <w:t xml:space="preserve">zaburzeniami psychicznymi stwarzających zagrożenie życia, zdrowia lub wolności seksualnej innych osób </w:t>
      </w:r>
      <w:r w:rsidRPr="000F76D7">
        <w:t>(Dz. U. z 20</w:t>
      </w:r>
      <w:r>
        <w:t>14 r.</w:t>
      </w:r>
      <w:r w:rsidRPr="000F76D7">
        <w:t xml:space="preserve"> poz.</w:t>
      </w:r>
      <w:r>
        <w:t xml:space="preserve"> 24, z 2015 r. poz. </w:t>
      </w:r>
      <w:r w:rsidRPr="00EC7C7E">
        <w:t>396 oraz z 2016 r. poz.</w:t>
      </w:r>
      <w:r>
        <w:t xml:space="preserve"> </w:t>
      </w:r>
      <w:r w:rsidRPr="00EC7C7E">
        <w:t>2205</w:t>
      </w:r>
      <w:r>
        <w:t>) w art. 46:</w:t>
      </w:r>
    </w:p>
    <w:p w:rsidR="0006454F" w:rsidRDefault="0006454F" w:rsidP="005268DA">
      <w:pPr>
        <w:pStyle w:val="PKTpunkt"/>
      </w:pPr>
      <w:r>
        <w:t>1)</w:t>
      </w:r>
      <w:r>
        <w:tab/>
        <w:t>ust. 1 otrzymuje brzmienie:</w:t>
      </w:r>
    </w:p>
    <w:p w:rsidR="0006454F" w:rsidRDefault="0006454F" w:rsidP="005268DA">
      <w:pPr>
        <w:pStyle w:val="ZUSTzmustartykuempunktem"/>
      </w:pPr>
      <w:r>
        <w:t xml:space="preserve">„1. Nie rzadziej niż raz na 6 </w:t>
      </w:r>
      <w:r w:rsidRPr="005268DA">
        <w:t>miesięcy</w:t>
      </w:r>
      <w:r>
        <w:t xml:space="preserve"> sąd, na podstawie opinii o stanie zdrowia </w:t>
      </w:r>
      <w:r w:rsidRPr="008353D3">
        <w:t>osoby stwarzającej zagrożenie</w:t>
      </w:r>
      <w:r>
        <w:t xml:space="preserve"> umieszczonej w Ośrodku</w:t>
      </w:r>
      <w:r w:rsidRPr="001B4103">
        <w:t xml:space="preserve"> oraz informacji o wynikach postępowania terapeutycznego,</w:t>
      </w:r>
      <w:r w:rsidRPr="008353D3">
        <w:t xml:space="preserve"> </w:t>
      </w:r>
      <w:r>
        <w:t>ustala czy dalszy pobyt w Ośrodku osoby stwarzającej zagrożenie</w:t>
      </w:r>
      <w:r w:rsidRPr="00AA2AFE">
        <w:t xml:space="preserve"> </w:t>
      </w:r>
      <w:r>
        <w:t>jest niezbędny.”;</w:t>
      </w:r>
    </w:p>
    <w:p w:rsidR="0006454F" w:rsidRPr="005268DA" w:rsidRDefault="0006454F" w:rsidP="005268DA">
      <w:pPr>
        <w:pStyle w:val="PKTpunkt"/>
      </w:pPr>
      <w:r>
        <w:t>2)</w:t>
      </w:r>
      <w:r>
        <w:tab/>
      </w:r>
      <w:r w:rsidRPr="005268DA">
        <w:t>po ust. 1 dodaje się ust. 1a w brzmieniu:</w:t>
      </w:r>
    </w:p>
    <w:p w:rsidR="0006454F" w:rsidRPr="005268DA" w:rsidRDefault="0006454F" w:rsidP="005268DA">
      <w:pPr>
        <w:pStyle w:val="ZUSTzmustartykuempunktem"/>
      </w:pPr>
      <w:r w:rsidRPr="005268DA">
        <w:t>„1a. Do sporządzenia</w:t>
      </w:r>
      <w:r>
        <w:t xml:space="preserve"> opinii, o których</w:t>
      </w:r>
      <w:r w:rsidRPr="005268DA">
        <w:t xml:space="preserve"> mowa w ust. 1, sąd powołuje:</w:t>
      </w:r>
    </w:p>
    <w:p w:rsidR="0006454F" w:rsidRPr="005268DA" w:rsidRDefault="0006454F" w:rsidP="005268DA">
      <w:pPr>
        <w:pStyle w:val="ZPKTzmpktartykuempunktem"/>
      </w:pPr>
      <w:r w:rsidRPr="005268DA">
        <w:t>1)</w:t>
      </w:r>
      <w:r w:rsidRPr="005268DA">
        <w:tab/>
        <w:t>dwóch biegłych lekarzy psychiatrów;</w:t>
      </w:r>
    </w:p>
    <w:p w:rsidR="0006454F" w:rsidRDefault="0006454F" w:rsidP="005268DA">
      <w:pPr>
        <w:pStyle w:val="ZPKTzmpktartykuempunktem"/>
      </w:pPr>
      <w:r w:rsidRPr="005268DA">
        <w:t>2)</w:t>
      </w:r>
      <w:r w:rsidRPr="005268DA">
        <w:tab/>
        <w:t>w sprawach osób z zaburzeniami osobowości ponadto biegłego psychologa, a</w:t>
      </w:r>
      <w:r>
        <w:t> </w:t>
      </w:r>
      <w:r w:rsidRPr="005268DA">
        <w:t>w</w:t>
      </w:r>
      <w:r>
        <w:t> </w:t>
      </w:r>
      <w:r w:rsidRPr="005268DA">
        <w:t>sprawach osób z zaburzeniami preferencji seksualnych – ponadto biegłego lekarza seksuologa lub certyfik</w:t>
      </w:r>
      <w:r>
        <w:t>owanego psychologa seksuologa.”;</w:t>
      </w:r>
    </w:p>
    <w:p w:rsidR="0006454F" w:rsidRDefault="0006454F" w:rsidP="005268DA">
      <w:pPr>
        <w:pStyle w:val="PKTpunkt"/>
      </w:pPr>
      <w:r>
        <w:t>3)</w:t>
      </w:r>
      <w:r>
        <w:tab/>
        <w:t>ust. 2</w:t>
      </w:r>
      <w:r w:rsidRPr="005268DA">
        <w:t xml:space="preserve"> otrzymuje brzmienie:</w:t>
      </w:r>
    </w:p>
    <w:p w:rsidR="0006454F" w:rsidRDefault="0006454F" w:rsidP="006E7C5B">
      <w:pPr>
        <w:pStyle w:val="ZUSTzmustartykuempunktem"/>
      </w:pPr>
      <w:r>
        <w:t xml:space="preserve">„2. </w:t>
      </w:r>
      <w:r w:rsidRPr="005268DA">
        <w:t>Kierownik Ośrodka co 6 miesięcy przesyła do sądu informację o wynikach postępowania terapeutycznego; informację taką jest obowiązany przesłać bezzwłocznie, jeżeli w związku ze zmianą stanu zdrowia tej osoby uzna, że jej dalszy pobyt</w:t>
      </w:r>
      <w:r>
        <w:t xml:space="preserve"> w Ośrodku nie jest konieczny.”.</w:t>
      </w:r>
    </w:p>
    <w:p w:rsidR="0006454F" w:rsidRDefault="0006454F" w:rsidP="00C64BE1">
      <w:pPr>
        <w:pStyle w:val="ARTartustawynprozporzdzenia"/>
      </w:pPr>
      <w:r w:rsidRPr="00AF3CA1">
        <w:rPr>
          <w:rStyle w:val="Ppogrubienie"/>
        </w:rPr>
        <w:t xml:space="preserve">Art. </w:t>
      </w:r>
      <w:r>
        <w:rPr>
          <w:rStyle w:val="Ppogrubienie"/>
        </w:rPr>
        <w:t>2</w:t>
      </w:r>
      <w:r w:rsidRPr="00AF3CA1">
        <w:rPr>
          <w:rStyle w:val="Ppogrubienie"/>
        </w:rPr>
        <w:t>.</w:t>
      </w:r>
      <w:r w:rsidRPr="000F76D7">
        <w:t xml:space="preserve"> Ustawa wchodzi w życie po upływie </w:t>
      </w:r>
      <w:r>
        <w:t>14 dni</w:t>
      </w:r>
      <w:r w:rsidRPr="000F76D7">
        <w:t xml:space="preserve"> od dnia ogłoszenia.</w:t>
      </w:r>
    </w:p>
    <w:p w:rsidR="0006454F" w:rsidRDefault="0006454F" w:rsidP="00613011">
      <w:pPr>
        <w:pStyle w:val="OZNRODZAKTUtznustawalubrozporzdzenieiorganwydajcy"/>
        <w:sectPr w:rsidR="0006454F" w:rsidSect="00DF647C">
          <w:headerReference w:type="default" r:id="rId9"/>
          <w:pgSz w:w="11906" w:h="16838"/>
          <w:pgMar w:top="846" w:right="1435" w:bottom="1559" w:left="1418" w:header="709" w:footer="709" w:gutter="0"/>
          <w:pgNumType w:start="1"/>
          <w:cols w:space="708"/>
          <w:titlePg/>
          <w:docGrid w:linePitch="254"/>
        </w:sectPr>
      </w:pPr>
    </w:p>
    <w:p w:rsidR="0006454F" w:rsidRPr="00613011" w:rsidRDefault="0006454F" w:rsidP="00613011">
      <w:pPr>
        <w:pStyle w:val="OZNRODZAKTUtznustawalubrozporzdzenieiorganwydajcy"/>
      </w:pPr>
      <w:r w:rsidRPr="00613011">
        <w:lastRenderedPageBreak/>
        <w:t>UZASADNIENIE</w:t>
      </w:r>
    </w:p>
    <w:p w:rsidR="0006454F" w:rsidRDefault="0006454F" w:rsidP="0015321A">
      <w:pPr>
        <w:pStyle w:val="NIEARTTEKSTtekstnieartykuowanynppodstprawnarozplubpreambua"/>
      </w:pPr>
    </w:p>
    <w:p w:rsidR="0006454F" w:rsidRPr="0015321A" w:rsidRDefault="0006454F" w:rsidP="0015321A">
      <w:pPr>
        <w:pStyle w:val="NIEARTTEKSTtekstnieartykuowanynppodstprawnarozplubpreambua"/>
        <w:ind w:firstLine="0"/>
        <w:rPr>
          <w:rStyle w:val="Ppogrubienie"/>
        </w:rPr>
      </w:pPr>
      <w:r w:rsidRPr="0015321A">
        <w:rPr>
          <w:rStyle w:val="Ppogrubienie"/>
        </w:rPr>
        <w:t>1. Cel projektowanej ustawy</w:t>
      </w:r>
    </w:p>
    <w:p w:rsidR="0006454F" w:rsidRDefault="0006454F" w:rsidP="00221CC4">
      <w:pPr>
        <w:pStyle w:val="NIEARTTEKSTtekstnieartykuowanynppodstprawnarozplubpreambua"/>
      </w:pPr>
      <w:r w:rsidRPr="00B14E14">
        <w:t xml:space="preserve">Projektowana ustawa o zmianie ustawy </w:t>
      </w:r>
      <w:r w:rsidRPr="003E1F54">
        <w:t>o postępowaniu wobec osób z zaburzeniami psychicznymi stwarzających zagrożenie życia, zdrowia lub wolności seksualnej innych osób</w:t>
      </w:r>
      <w:r w:rsidRPr="00B14E14">
        <w:t xml:space="preserve"> ma na celu </w:t>
      </w:r>
      <w:r>
        <w:t>dostosowanie systemu prawa do</w:t>
      </w:r>
      <w:r w:rsidRPr="00B14E14">
        <w:t xml:space="preserve"> wyroku Trybunału Konstytucyjnego</w:t>
      </w:r>
      <w:r w:rsidRPr="00510A18">
        <w:t xml:space="preserve"> z dnia </w:t>
      </w:r>
      <w:r>
        <w:t xml:space="preserve">23 listopada 2016 </w:t>
      </w:r>
      <w:r w:rsidRPr="00510A18">
        <w:t xml:space="preserve">r. (sygn. akt </w:t>
      </w:r>
      <w:r>
        <w:t>K</w:t>
      </w:r>
      <w:r w:rsidRPr="00510A18">
        <w:t xml:space="preserve"> </w:t>
      </w:r>
      <w:r>
        <w:t>6</w:t>
      </w:r>
      <w:r w:rsidRPr="00510A18">
        <w:t>/1</w:t>
      </w:r>
      <w:r>
        <w:t>4</w:t>
      </w:r>
      <w:r w:rsidRPr="00510A18">
        <w:t>)</w:t>
      </w:r>
      <w:r>
        <w:t xml:space="preserve">, </w:t>
      </w:r>
      <w:r w:rsidRPr="00B14E14">
        <w:t>stwierdzając</w:t>
      </w:r>
      <w:r>
        <w:t>ego</w:t>
      </w:r>
      <w:r w:rsidRPr="00B14E14">
        <w:t xml:space="preserve"> niezgodność</w:t>
      </w:r>
      <w:r>
        <w:t xml:space="preserve"> </w:t>
      </w:r>
      <w:r w:rsidRPr="005259D4">
        <w:t xml:space="preserve">art. </w:t>
      </w:r>
      <w:r>
        <w:t xml:space="preserve">46 ust. 1 </w:t>
      </w:r>
      <w:r w:rsidRPr="00221CC4">
        <w:t>ustawy z</w:t>
      </w:r>
      <w:r>
        <w:t> </w:t>
      </w:r>
      <w:r w:rsidRPr="00221CC4">
        <w:t xml:space="preserve">dnia </w:t>
      </w:r>
      <w:r>
        <w:t xml:space="preserve">22 listopada </w:t>
      </w:r>
      <w:r>
        <w:rPr>
          <w:spacing w:val="-2"/>
        </w:rPr>
        <w:t xml:space="preserve">2013 r. </w:t>
      </w:r>
      <w:r w:rsidRPr="003E1F54">
        <w:t xml:space="preserve">o postępowaniu wobec osób z zaburzeniami psychicznymi </w:t>
      </w:r>
      <w:r w:rsidRPr="003259C1">
        <w:rPr>
          <w:spacing w:val="-2"/>
        </w:rPr>
        <w:t>stwarzających zagrożenie życia, zdrowia lub wolności seksualnej innych osób (Dz. U. z 201</w:t>
      </w:r>
      <w:r>
        <w:rPr>
          <w:spacing w:val="-2"/>
        </w:rPr>
        <w:t>4</w:t>
      </w:r>
      <w:r w:rsidRPr="003259C1">
        <w:rPr>
          <w:spacing w:val="-2"/>
        </w:rPr>
        <w:t xml:space="preserve"> r.</w:t>
      </w:r>
      <w:r w:rsidRPr="00221CC4">
        <w:t xml:space="preserve"> poz. </w:t>
      </w:r>
      <w:r>
        <w:t>24</w:t>
      </w:r>
      <w:r w:rsidRPr="00221CC4">
        <w:t xml:space="preserve"> z</w:t>
      </w:r>
      <w:r>
        <w:t xml:space="preserve"> </w:t>
      </w:r>
      <w:r w:rsidRPr="00221CC4">
        <w:t xml:space="preserve">późn. zm.; dalej jako </w:t>
      </w:r>
      <w:r>
        <w:t>ustawa o postępowaniu wobec osób stwarzających zagrożenie lub upwozp</w:t>
      </w:r>
      <w:r w:rsidRPr="00221CC4">
        <w:t>)</w:t>
      </w:r>
      <w:r>
        <w:t xml:space="preserve"> z Konstytucją. </w:t>
      </w:r>
      <w:r w:rsidRPr="00510A18">
        <w:t xml:space="preserve">Sentencja </w:t>
      </w:r>
      <w:r>
        <w:t>powołanego orzeczenia</w:t>
      </w:r>
      <w:r w:rsidRPr="00510A18">
        <w:t xml:space="preserve"> została opublikowana w Dz. U. </w:t>
      </w:r>
      <w:r>
        <w:t>z dnia 29 grudnia 2016 r., poz. 2205)</w:t>
      </w:r>
      <w:r w:rsidRPr="00510A18">
        <w:t xml:space="preserve">. Pełny tekst </w:t>
      </w:r>
      <w:r>
        <w:t xml:space="preserve">rozstrzygnięcia wraz z </w:t>
      </w:r>
      <w:r w:rsidRPr="00510A18">
        <w:t xml:space="preserve">uzasadnieniem ukazał się w OTK ZU </w:t>
      </w:r>
      <w:r>
        <w:t>A poz. 98</w:t>
      </w:r>
      <w:r w:rsidRPr="00510A18">
        <w:t>.</w:t>
      </w:r>
    </w:p>
    <w:p w:rsidR="0006454F" w:rsidRPr="0015321A" w:rsidRDefault="0006454F" w:rsidP="0015321A"/>
    <w:p w:rsidR="0006454F" w:rsidRPr="0015321A" w:rsidRDefault="0006454F" w:rsidP="00C50587">
      <w:pPr>
        <w:rPr>
          <w:rStyle w:val="Ppogrubienie"/>
        </w:rPr>
      </w:pPr>
      <w:r w:rsidRPr="0015321A">
        <w:rPr>
          <w:rStyle w:val="Ppogrubienie"/>
        </w:rPr>
        <w:t>2. Przedmiot i istota wypowiedzi Trybunału Konstytucyjnego</w:t>
      </w:r>
    </w:p>
    <w:p w:rsidR="0006454F" w:rsidRDefault="0006454F" w:rsidP="00EC7DAC">
      <w:pPr>
        <w:pStyle w:val="ARTartustawynprozporzdzenia"/>
        <w:rPr>
          <w:spacing w:val="-2"/>
        </w:rPr>
      </w:pPr>
      <w:r w:rsidRPr="004B14A8">
        <w:rPr>
          <w:spacing w:val="-2"/>
        </w:rPr>
        <w:t>T</w:t>
      </w:r>
      <w:r>
        <w:rPr>
          <w:spacing w:val="-2"/>
        </w:rPr>
        <w:t>rybunał</w:t>
      </w:r>
      <w:r w:rsidRPr="004B14A8">
        <w:rPr>
          <w:spacing w:val="-2"/>
        </w:rPr>
        <w:t xml:space="preserve"> orzekł, że</w:t>
      </w:r>
      <w:r>
        <w:rPr>
          <w:spacing w:val="-2"/>
        </w:rPr>
        <w:t xml:space="preserve"> art. 46 ust. 1 ustawy o postępowaniu wobec osób stwarzających zagrożenie w </w:t>
      </w:r>
      <w:r w:rsidRPr="00493BD3">
        <w:rPr>
          <w:spacing w:val="-2"/>
        </w:rPr>
        <w:t>zakresie, w jakim przewiduje sporządzanie opinii w sprawie niezbędności dalszego pobytu w Krajowym Ośrodku Zapobiegania Zachowaniom Dyssocjalnym tylko przez jednego lekarza psychiatrę, jest niezgodny z art. 41 ust. 1 w związku z art. 31 ust. 3</w:t>
      </w:r>
      <w:r>
        <w:rPr>
          <w:spacing w:val="-2"/>
        </w:rPr>
        <w:t xml:space="preserve"> </w:t>
      </w:r>
      <w:r w:rsidRPr="0015145B">
        <w:rPr>
          <w:spacing w:val="-2"/>
        </w:rPr>
        <w:t>Konstytucji.</w:t>
      </w:r>
    </w:p>
    <w:p w:rsidR="0006454F" w:rsidRDefault="0006454F" w:rsidP="00EC7DAC">
      <w:pPr>
        <w:pStyle w:val="ARTartustawynprozporzdzenia"/>
      </w:pPr>
      <w:r w:rsidRPr="0006454F">
        <w:t xml:space="preserve">W myśl zakwestionowanego przepisu, </w:t>
      </w:r>
      <w:r>
        <w:t>nie rzadziej niż raz na 6 miesięcy sąd, na podstawie opinii lekarza psychiatry oraz wyników postępowania terapeutycznego, ustala, czy jest niezbędny dalszy pobyt w Ośrodku osoby stwarzającej zagrożenie.</w:t>
      </w:r>
      <w:r w:rsidRPr="0006454F">
        <w:t xml:space="preserve"> Z przytoczonym postanowieniem współgra dyspozycja art. 46 ust. 2 upwozp, wedle której k</w:t>
      </w:r>
      <w:r>
        <w:t>ierownik Ośrodka co 6 miesięcy przesyła do sądu opinię lekarza psychiatry o stanie zdrowia osoby stwarzającej zagrożenie umieszczonej w Ośrodku i o wynikach postępowania terapeutycznego; opinię taką jest obowiązany przesłać bezzwłocznie, jeżeli w związku ze zmianą stanu zdrowia tej osoby uzna, że jej dalszy pobyt w Ośrodku nie jest konieczny.</w:t>
      </w:r>
    </w:p>
    <w:p w:rsidR="0006454F" w:rsidRDefault="0006454F" w:rsidP="00F465D5">
      <w:pPr>
        <w:pStyle w:val="ARTartustawynprozporzdzenia"/>
      </w:pPr>
      <w:r>
        <w:t xml:space="preserve">Trybunał Konstytucyjny uznał, że istota przedłożonego mu zagadnienia sprowadza się do warunków </w:t>
      </w:r>
      <w:r w:rsidRPr="00DA5D43">
        <w:rPr>
          <w:spacing w:val="-4"/>
        </w:rPr>
        <w:t>ograniczenia wolności osobistej, a konkretnie wymogów związanych z udziałem</w:t>
      </w:r>
      <w:r>
        <w:t xml:space="preserve"> (opinią) lekarzy specjalistów w procesie oceny zasadności ograniczenia tej wolności.</w:t>
      </w:r>
    </w:p>
    <w:p w:rsidR="0006454F" w:rsidRDefault="0006454F" w:rsidP="00F465D5">
      <w:pPr>
        <w:pStyle w:val="ARTartustawynprozporzdzenia"/>
        <w:rPr>
          <w:szCs w:val="24"/>
        </w:rPr>
      </w:pPr>
      <w:r>
        <w:lastRenderedPageBreak/>
        <w:t xml:space="preserve">Zdaniem TK, art. </w:t>
      </w:r>
      <w:r w:rsidRPr="00127C92">
        <w:rPr>
          <w:szCs w:val="24"/>
        </w:rPr>
        <w:t>41 ust.</w:t>
      </w:r>
      <w:r>
        <w:rPr>
          <w:szCs w:val="24"/>
        </w:rPr>
        <w:t xml:space="preserve"> </w:t>
      </w:r>
      <w:r w:rsidRPr="00127C92">
        <w:rPr>
          <w:szCs w:val="24"/>
        </w:rPr>
        <w:t xml:space="preserve">1 Konstytucji, </w:t>
      </w:r>
      <w:r>
        <w:rPr>
          <w:szCs w:val="24"/>
        </w:rPr>
        <w:t xml:space="preserve">z </w:t>
      </w:r>
      <w:r w:rsidRPr="00127C92">
        <w:rPr>
          <w:szCs w:val="24"/>
        </w:rPr>
        <w:t>któr</w:t>
      </w:r>
      <w:r>
        <w:rPr>
          <w:szCs w:val="24"/>
        </w:rPr>
        <w:t xml:space="preserve">ego płynie </w:t>
      </w:r>
      <w:r w:rsidRPr="00127C92">
        <w:rPr>
          <w:szCs w:val="24"/>
        </w:rPr>
        <w:t>gwaran</w:t>
      </w:r>
      <w:r>
        <w:rPr>
          <w:szCs w:val="24"/>
        </w:rPr>
        <w:t>cja</w:t>
      </w:r>
      <w:r w:rsidRPr="00127C92">
        <w:rPr>
          <w:szCs w:val="24"/>
        </w:rPr>
        <w:t xml:space="preserve"> </w:t>
      </w:r>
      <w:r>
        <w:rPr>
          <w:szCs w:val="24"/>
        </w:rPr>
        <w:t>wolności osobistej,</w:t>
      </w:r>
      <w:r w:rsidRPr="00127C92">
        <w:rPr>
          <w:szCs w:val="24"/>
        </w:rPr>
        <w:t xml:space="preserve"> powinien być interpretowany zgodnie ze standardem dopuszczalności ograniczenia wolności osobistej określonym w</w:t>
      </w:r>
      <w:r>
        <w:rPr>
          <w:szCs w:val="24"/>
        </w:rPr>
        <w:t xml:space="preserve"> </w:t>
      </w:r>
      <w:r w:rsidRPr="00127C92">
        <w:rPr>
          <w:szCs w:val="24"/>
        </w:rPr>
        <w:t>orzecznictwie E</w:t>
      </w:r>
      <w:r>
        <w:rPr>
          <w:szCs w:val="24"/>
        </w:rPr>
        <w:t xml:space="preserve">uropejskiego </w:t>
      </w:r>
      <w:r w:rsidRPr="00127C92">
        <w:rPr>
          <w:szCs w:val="24"/>
        </w:rPr>
        <w:t>T</w:t>
      </w:r>
      <w:r>
        <w:rPr>
          <w:szCs w:val="24"/>
        </w:rPr>
        <w:t xml:space="preserve">rybunału </w:t>
      </w:r>
      <w:r w:rsidRPr="00127C92">
        <w:rPr>
          <w:szCs w:val="24"/>
        </w:rPr>
        <w:t>P</w:t>
      </w:r>
      <w:r>
        <w:rPr>
          <w:szCs w:val="24"/>
        </w:rPr>
        <w:t xml:space="preserve">raw </w:t>
      </w:r>
      <w:r w:rsidRPr="00127C92">
        <w:rPr>
          <w:szCs w:val="24"/>
        </w:rPr>
        <w:t>Cz</w:t>
      </w:r>
      <w:r>
        <w:rPr>
          <w:szCs w:val="24"/>
        </w:rPr>
        <w:t>łowieka</w:t>
      </w:r>
      <w:r w:rsidRPr="00127C92">
        <w:rPr>
          <w:szCs w:val="24"/>
        </w:rPr>
        <w:t xml:space="preserve"> na gruncie art.</w:t>
      </w:r>
      <w:r>
        <w:rPr>
          <w:szCs w:val="24"/>
        </w:rPr>
        <w:t xml:space="preserve"> </w:t>
      </w:r>
      <w:r w:rsidRPr="00127C92">
        <w:rPr>
          <w:szCs w:val="24"/>
        </w:rPr>
        <w:t>5 ust.</w:t>
      </w:r>
      <w:r>
        <w:rPr>
          <w:szCs w:val="24"/>
        </w:rPr>
        <w:t xml:space="preserve"> </w:t>
      </w:r>
      <w:r w:rsidRPr="00127C92">
        <w:rPr>
          <w:szCs w:val="24"/>
        </w:rPr>
        <w:t xml:space="preserve">1 lit. </w:t>
      </w:r>
      <w:r>
        <w:rPr>
          <w:szCs w:val="24"/>
        </w:rPr>
        <w:t>e Konwencji o ochronie praw człowieka i podstawowych wolności, jako że</w:t>
      </w:r>
      <w:r w:rsidRPr="00127C92">
        <w:rPr>
          <w:szCs w:val="24"/>
        </w:rPr>
        <w:t xml:space="preserve"> przedmiotem </w:t>
      </w:r>
      <w:r>
        <w:rPr>
          <w:szCs w:val="24"/>
        </w:rPr>
        <w:t>rozstrzygnięć</w:t>
      </w:r>
      <w:r w:rsidRPr="00127C92">
        <w:rPr>
          <w:szCs w:val="24"/>
        </w:rPr>
        <w:t xml:space="preserve"> ETPCz były już </w:t>
      </w:r>
      <w:r>
        <w:rPr>
          <w:szCs w:val="24"/>
        </w:rPr>
        <w:t>sprawy</w:t>
      </w:r>
      <w:r w:rsidRPr="00127C92">
        <w:rPr>
          <w:szCs w:val="24"/>
        </w:rPr>
        <w:t xml:space="preserve"> dotyczące </w:t>
      </w:r>
      <w:r>
        <w:rPr>
          <w:szCs w:val="24"/>
        </w:rPr>
        <w:t xml:space="preserve">analogicznych kwestii jak ta poddana kognicji sądu konstytucyjnego. M.in. w sprawie Winterwerp </w:t>
      </w:r>
      <w:r w:rsidRPr="00127C92">
        <w:rPr>
          <w:iCs/>
          <w:szCs w:val="24"/>
        </w:rPr>
        <w:t>p</w:t>
      </w:r>
      <w:r>
        <w:rPr>
          <w:iCs/>
          <w:szCs w:val="24"/>
        </w:rPr>
        <w:t>rzeciwko</w:t>
      </w:r>
      <w:r w:rsidRPr="00127C92">
        <w:rPr>
          <w:iCs/>
          <w:szCs w:val="24"/>
        </w:rPr>
        <w:t xml:space="preserve"> Holandii</w:t>
      </w:r>
      <w:r w:rsidRPr="00127C92">
        <w:rPr>
          <w:szCs w:val="24"/>
        </w:rPr>
        <w:t xml:space="preserve"> </w:t>
      </w:r>
      <w:r>
        <w:rPr>
          <w:szCs w:val="24"/>
        </w:rPr>
        <w:t xml:space="preserve">(wyrok </w:t>
      </w:r>
      <w:r w:rsidRPr="00127C92">
        <w:rPr>
          <w:szCs w:val="24"/>
        </w:rPr>
        <w:t>z</w:t>
      </w:r>
      <w:r>
        <w:rPr>
          <w:szCs w:val="24"/>
        </w:rPr>
        <w:t xml:space="preserve"> dnia </w:t>
      </w:r>
      <w:r w:rsidRPr="00127C92">
        <w:rPr>
          <w:szCs w:val="24"/>
        </w:rPr>
        <w:t>24</w:t>
      </w:r>
      <w:r>
        <w:rPr>
          <w:szCs w:val="24"/>
        </w:rPr>
        <w:t xml:space="preserve"> </w:t>
      </w:r>
      <w:r w:rsidRPr="00127C92">
        <w:rPr>
          <w:szCs w:val="24"/>
        </w:rPr>
        <w:t xml:space="preserve">października 1979 r. </w:t>
      </w:r>
      <w:r>
        <w:rPr>
          <w:szCs w:val="24"/>
        </w:rPr>
        <w:t>nr skargi</w:t>
      </w:r>
      <w:r w:rsidRPr="00127C92">
        <w:rPr>
          <w:szCs w:val="24"/>
        </w:rPr>
        <w:t xml:space="preserve"> 6301/73</w:t>
      </w:r>
      <w:r>
        <w:rPr>
          <w:szCs w:val="24"/>
        </w:rPr>
        <w:t>), Europejski Trybunał wywiódł, że „</w:t>
      </w:r>
      <w:r w:rsidRPr="00127C92">
        <w:rPr>
          <w:szCs w:val="24"/>
        </w:rPr>
        <w:t xml:space="preserve">osoby pozbawione wolności na czas nieokreślony mają prawo odwołać się do sądu dowodząc, że </w:t>
      </w:r>
      <w:r w:rsidRPr="00555EDC">
        <w:rPr>
          <w:spacing w:val="-2"/>
          <w:szCs w:val="24"/>
        </w:rPr>
        <w:t xml:space="preserve">okoliczności sprawy przestały uzasadniać dalsze przetrzymywanie w szpitalu psychiatrycznym </w:t>
      </w:r>
      <w:r w:rsidRPr="00127C92">
        <w:rPr>
          <w:szCs w:val="24"/>
        </w:rPr>
        <w:t>lub w</w:t>
      </w:r>
      <w:r>
        <w:rPr>
          <w:szCs w:val="24"/>
        </w:rPr>
        <w:t xml:space="preserve"> </w:t>
      </w:r>
      <w:r w:rsidRPr="00127C92">
        <w:rPr>
          <w:szCs w:val="24"/>
        </w:rPr>
        <w:t>innym specjalnym zakładzie i</w:t>
      </w:r>
      <w:r>
        <w:rPr>
          <w:szCs w:val="24"/>
        </w:rPr>
        <w:t xml:space="preserve"> </w:t>
      </w:r>
      <w:r w:rsidRPr="00127C92">
        <w:rPr>
          <w:szCs w:val="24"/>
        </w:rPr>
        <w:t xml:space="preserve">domagać się zwolnienia </w:t>
      </w:r>
      <w:r>
        <w:rPr>
          <w:szCs w:val="24"/>
        </w:rPr>
        <w:t>(…</w:t>
      </w:r>
      <w:r w:rsidRPr="00127C92">
        <w:rPr>
          <w:szCs w:val="24"/>
        </w:rPr>
        <w:t>). Nikt nie może być umieszczony lub przetrzymywany w</w:t>
      </w:r>
      <w:r>
        <w:rPr>
          <w:szCs w:val="24"/>
        </w:rPr>
        <w:t xml:space="preserve"> </w:t>
      </w:r>
      <w:r w:rsidRPr="00127C92">
        <w:rPr>
          <w:szCs w:val="24"/>
        </w:rPr>
        <w:t>zakładzie psychiatrycznym bez ustalenia przez</w:t>
      </w:r>
      <w:r>
        <w:rPr>
          <w:szCs w:val="24"/>
        </w:rPr>
        <w:t xml:space="preserve"> </w:t>
      </w:r>
      <w:r w:rsidRPr="00127C92">
        <w:rPr>
          <w:szCs w:val="24"/>
        </w:rPr>
        <w:t>lekarzy, że stan, w</w:t>
      </w:r>
      <w:r>
        <w:rPr>
          <w:szCs w:val="24"/>
        </w:rPr>
        <w:t xml:space="preserve"> </w:t>
      </w:r>
      <w:r w:rsidRPr="00127C92">
        <w:rPr>
          <w:szCs w:val="24"/>
        </w:rPr>
        <w:t xml:space="preserve">jakim się znajduje, wymaga </w:t>
      </w:r>
      <w:r w:rsidRPr="00DB237D">
        <w:rPr>
          <w:spacing w:val="-2"/>
          <w:szCs w:val="24"/>
        </w:rPr>
        <w:t>przymusowej hospitalizacji. Z wyjątkiem przypadków nagłych i z zastrzeżeniem, że arbitralne</w:t>
      </w:r>
      <w:r w:rsidRPr="00127C92">
        <w:rPr>
          <w:szCs w:val="24"/>
        </w:rPr>
        <w:t xml:space="preserve"> pozbawienie wolności nigdy nie jest zgodne z</w:t>
      </w:r>
      <w:r>
        <w:rPr>
          <w:szCs w:val="24"/>
        </w:rPr>
        <w:t xml:space="preserve"> </w:t>
      </w:r>
      <w:r w:rsidRPr="00127C92">
        <w:rPr>
          <w:szCs w:val="24"/>
        </w:rPr>
        <w:t>prawem – nikogo nie można pozbawić wolności bez</w:t>
      </w:r>
      <w:r>
        <w:rPr>
          <w:szCs w:val="24"/>
        </w:rPr>
        <w:t xml:space="preserve"> </w:t>
      </w:r>
      <w:r w:rsidRPr="00127C92">
        <w:rPr>
          <w:szCs w:val="24"/>
        </w:rPr>
        <w:t>przekonujących, obiektywnych opinii lekarskich wskazujących na chorobę umysłową; rodzaj i</w:t>
      </w:r>
      <w:r>
        <w:rPr>
          <w:szCs w:val="24"/>
        </w:rPr>
        <w:t xml:space="preserve"> </w:t>
      </w:r>
      <w:r w:rsidRPr="00127C92">
        <w:rPr>
          <w:szCs w:val="24"/>
        </w:rPr>
        <w:t>stopień zaburzeń musi wskazywać na potrzebę przymusowego odosobnienia, a</w:t>
      </w:r>
      <w:r>
        <w:rPr>
          <w:szCs w:val="24"/>
        </w:rPr>
        <w:t xml:space="preserve"> </w:t>
      </w:r>
      <w:r w:rsidRPr="00127C92">
        <w:rPr>
          <w:szCs w:val="24"/>
        </w:rPr>
        <w:t xml:space="preserve">środek taki jest dopuszczalny wyłącznie pod warunkiem ich utrzymywania </w:t>
      </w:r>
      <w:r w:rsidRPr="0069005A">
        <w:rPr>
          <w:spacing w:val="-2"/>
          <w:szCs w:val="24"/>
        </w:rPr>
        <w:t>się”. To stanowisko ETPCz podtrzymał w późniejszych orzeczeniach</w:t>
      </w:r>
      <w:r>
        <w:rPr>
          <w:spacing w:val="-2"/>
          <w:szCs w:val="24"/>
        </w:rPr>
        <w:t xml:space="preserve">, w tym w </w:t>
      </w:r>
      <w:r w:rsidRPr="0069005A">
        <w:rPr>
          <w:spacing w:val="-2"/>
          <w:szCs w:val="24"/>
        </w:rPr>
        <w:t>wyroku z dnia</w:t>
      </w:r>
      <w:r>
        <w:rPr>
          <w:szCs w:val="24"/>
        </w:rPr>
        <w:t xml:space="preserve"> 5 listopada 1981 r. (X przeciwko Wielkiej Brytanii, 7215/75) czy też wyroku z dnia 23 lutego 1984 r. (Luberti przeciwko Włochom, 9019/80).</w:t>
      </w:r>
    </w:p>
    <w:p w:rsidR="0006454F" w:rsidRDefault="0006454F" w:rsidP="00F465D5">
      <w:pPr>
        <w:pStyle w:val="ARTartustawynprozporzdzenia"/>
        <w:rPr>
          <w:szCs w:val="24"/>
        </w:rPr>
      </w:pPr>
      <w:r w:rsidRPr="00A80022">
        <w:rPr>
          <w:spacing w:val="-2"/>
        </w:rPr>
        <w:t>Z kolei Trybunał Konstytucyjny, wypowiadając się na temat konieczności poszanowania</w:t>
      </w:r>
      <w:r>
        <w:t xml:space="preserve"> wolności osobistej, podkreślał wielokrotnie, że „wolność osobista człowieka jest </w:t>
      </w:r>
      <w:r w:rsidRPr="00127C92">
        <w:rPr>
          <w:szCs w:val="24"/>
        </w:rPr>
        <w:t>jednym z</w:t>
      </w:r>
      <w:r>
        <w:rPr>
          <w:szCs w:val="24"/>
        </w:rPr>
        <w:t>   </w:t>
      </w:r>
      <w:r w:rsidRPr="00127C92">
        <w:rPr>
          <w:szCs w:val="24"/>
        </w:rPr>
        <w:t>kilku jego najbardziej fundamentalnych praw; jest silnie powiązana z</w:t>
      </w:r>
      <w:r>
        <w:rPr>
          <w:szCs w:val="24"/>
        </w:rPr>
        <w:t xml:space="preserve"> </w:t>
      </w:r>
      <w:r w:rsidRPr="00127C92">
        <w:rPr>
          <w:szCs w:val="24"/>
        </w:rPr>
        <w:t>prawem do bezpieczeństwa osobistego (zob. art.</w:t>
      </w:r>
      <w:r>
        <w:rPr>
          <w:szCs w:val="24"/>
        </w:rPr>
        <w:t xml:space="preserve"> </w:t>
      </w:r>
      <w:r w:rsidRPr="00127C92">
        <w:rPr>
          <w:szCs w:val="24"/>
        </w:rPr>
        <w:t>5 ust.</w:t>
      </w:r>
      <w:r>
        <w:rPr>
          <w:szCs w:val="24"/>
        </w:rPr>
        <w:t xml:space="preserve"> </w:t>
      </w:r>
      <w:r w:rsidRPr="00127C92">
        <w:rPr>
          <w:szCs w:val="24"/>
        </w:rPr>
        <w:t xml:space="preserve">1 </w:t>
      </w:r>
      <w:r w:rsidRPr="00127C92">
        <w:rPr>
          <w:i/>
          <w:iCs/>
          <w:szCs w:val="24"/>
        </w:rPr>
        <w:t>in fine</w:t>
      </w:r>
      <w:r w:rsidRPr="00127C92">
        <w:rPr>
          <w:szCs w:val="24"/>
        </w:rPr>
        <w:t xml:space="preserve"> EKPC). Obie te wartości gwarantują wolność każdego od arbitralności organów władz publicznych, chronią każdego od strachu przed własnym państwem, w</w:t>
      </w:r>
      <w:r>
        <w:rPr>
          <w:szCs w:val="24"/>
        </w:rPr>
        <w:t xml:space="preserve"> </w:t>
      </w:r>
      <w:r w:rsidRPr="00127C92">
        <w:rPr>
          <w:szCs w:val="24"/>
        </w:rPr>
        <w:t xml:space="preserve">tym także przed motywowanym politycznie pozbawieniem </w:t>
      </w:r>
      <w:r w:rsidRPr="00F20BB3">
        <w:rPr>
          <w:szCs w:val="24"/>
        </w:rPr>
        <w:t>wolności w</w:t>
      </w:r>
      <w:r>
        <w:rPr>
          <w:szCs w:val="24"/>
        </w:rPr>
        <w:t xml:space="preserve"> </w:t>
      </w:r>
      <w:r w:rsidRPr="00F20BB3">
        <w:rPr>
          <w:szCs w:val="24"/>
        </w:rPr>
        <w:t xml:space="preserve">jakiejkolwiek formie”. TK zwracał </w:t>
      </w:r>
      <w:r>
        <w:rPr>
          <w:szCs w:val="24"/>
        </w:rPr>
        <w:t>równi</w:t>
      </w:r>
      <w:r w:rsidRPr="00F20BB3">
        <w:rPr>
          <w:szCs w:val="24"/>
        </w:rPr>
        <w:t>eż uwagę na proceduralne aspekty związane z</w:t>
      </w:r>
      <w:r>
        <w:rPr>
          <w:szCs w:val="24"/>
        </w:rPr>
        <w:t xml:space="preserve"> </w:t>
      </w:r>
      <w:r w:rsidRPr="00F20BB3">
        <w:rPr>
          <w:szCs w:val="24"/>
        </w:rPr>
        <w:t>sądową weryfikacją zgłoszonej przez biegłych konieczności połączenia badania psychiatrycznego</w:t>
      </w:r>
      <w:r>
        <w:rPr>
          <w:szCs w:val="24"/>
        </w:rPr>
        <w:t xml:space="preserve"> oskarżonego z obserwacją w zakładzie leczniczym (wyrok z dnia 10 lipca 2007 r., sygn. akt SK 50/06).</w:t>
      </w:r>
    </w:p>
    <w:p w:rsidR="0006454F" w:rsidRDefault="0006454F" w:rsidP="00F465D5">
      <w:pPr>
        <w:pStyle w:val="ARTartustawynprozporzdzenia"/>
        <w:rPr>
          <w:szCs w:val="24"/>
        </w:rPr>
      </w:pPr>
      <w:r>
        <w:rPr>
          <w:szCs w:val="24"/>
        </w:rPr>
        <w:t xml:space="preserve">Odnosząc powyższe standardy do problemu rozpatrywanego w sprawie K 6/14 Trybunał wskazał, że na ustawodawcy </w:t>
      </w:r>
      <w:r w:rsidRPr="009A50E6">
        <w:rPr>
          <w:spacing w:val="-5"/>
          <w:szCs w:val="24"/>
        </w:rPr>
        <w:t>ciąży obowiązek takiego u</w:t>
      </w:r>
      <w:r>
        <w:rPr>
          <w:spacing w:val="-5"/>
          <w:szCs w:val="24"/>
        </w:rPr>
        <w:t>normo</w:t>
      </w:r>
      <w:r w:rsidRPr="009A50E6">
        <w:rPr>
          <w:spacing w:val="-5"/>
          <w:szCs w:val="24"/>
        </w:rPr>
        <w:t xml:space="preserve">wania problematyki pozbawienia </w:t>
      </w:r>
      <w:r w:rsidRPr="009A50E6">
        <w:rPr>
          <w:spacing w:val="-5"/>
          <w:szCs w:val="24"/>
        </w:rPr>
        <w:lastRenderedPageBreak/>
        <w:t xml:space="preserve">wolności osoby </w:t>
      </w:r>
      <w:r>
        <w:rPr>
          <w:szCs w:val="24"/>
        </w:rPr>
        <w:t>stwarzającej zagrożenie, by</w:t>
      </w:r>
      <w:r w:rsidRPr="00127C92">
        <w:rPr>
          <w:szCs w:val="24"/>
        </w:rPr>
        <w:t xml:space="preserve"> </w:t>
      </w:r>
      <w:r>
        <w:rPr>
          <w:szCs w:val="24"/>
        </w:rPr>
        <w:t xml:space="preserve">w przepisach został </w:t>
      </w:r>
      <w:r w:rsidRPr="00127C92">
        <w:rPr>
          <w:szCs w:val="24"/>
        </w:rPr>
        <w:t>uwzględni</w:t>
      </w:r>
      <w:r>
        <w:rPr>
          <w:szCs w:val="24"/>
        </w:rPr>
        <w:t>ony</w:t>
      </w:r>
      <w:r w:rsidRPr="00127C92">
        <w:rPr>
          <w:szCs w:val="24"/>
        </w:rPr>
        <w:t xml:space="preserve"> nakaz okresowej kontroli sądowej, czy stan i</w:t>
      </w:r>
      <w:r>
        <w:rPr>
          <w:szCs w:val="24"/>
        </w:rPr>
        <w:t xml:space="preserve"> </w:t>
      </w:r>
      <w:r w:rsidRPr="00127C92">
        <w:rPr>
          <w:szCs w:val="24"/>
        </w:rPr>
        <w:t>poziom zaburzenia psychicznego pacjenta Ośrodka uzasadnia przedłużeni</w:t>
      </w:r>
      <w:r>
        <w:rPr>
          <w:szCs w:val="24"/>
        </w:rPr>
        <w:t>e</w:t>
      </w:r>
      <w:r w:rsidRPr="00127C92">
        <w:rPr>
          <w:szCs w:val="24"/>
        </w:rPr>
        <w:t xml:space="preserve"> na określony interwał terapii w</w:t>
      </w:r>
      <w:r>
        <w:rPr>
          <w:szCs w:val="24"/>
        </w:rPr>
        <w:t xml:space="preserve"> </w:t>
      </w:r>
      <w:r w:rsidRPr="00127C92">
        <w:rPr>
          <w:szCs w:val="24"/>
        </w:rPr>
        <w:t xml:space="preserve">tym Ośrodku. </w:t>
      </w:r>
      <w:r>
        <w:rPr>
          <w:szCs w:val="24"/>
        </w:rPr>
        <w:t xml:space="preserve">Z tego jednak punktu widzenia za niewystarczający należy </w:t>
      </w:r>
      <w:r w:rsidRPr="00D060E7">
        <w:rPr>
          <w:spacing w:val="-2"/>
          <w:szCs w:val="24"/>
        </w:rPr>
        <w:t>uznać wymóg pozyskania opinii tylko jednego lekarza psychiatry oraz wyników postępowania</w:t>
      </w:r>
      <w:r>
        <w:rPr>
          <w:szCs w:val="24"/>
        </w:rPr>
        <w:t xml:space="preserve"> terapeutycznego, ponieważ stanowi to wyraźne obniżenie standardu proceduralnego. Za taką konkluzją przemawia choćby przytoczona już wypowiedź ETPCz, akcentująca potrzebę uwzględniania przez sąd, który decyduje czy to o  izolacji, czy też o jej utrzymaniu, </w:t>
      </w:r>
      <w:r w:rsidRPr="00B72DD4">
        <w:rPr>
          <w:spacing w:val="-2"/>
          <w:szCs w:val="24"/>
        </w:rPr>
        <w:t xml:space="preserve">„przekonujących i obiektywnych opinii lekarskich”. </w:t>
      </w:r>
      <w:r>
        <w:rPr>
          <w:spacing w:val="-2"/>
          <w:szCs w:val="24"/>
        </w:rPr>
        <w:t>W ocenie</w:t>
      </w:r>
      <w:r w:rsidRPr="00B72DD4">
        <w:rPr>
          <w:spacing w:val="-2"/>
          <w:szCs w:val="24"/>
        </w:rPr>
        <w:t xml:space="preserve"> TK, jedna opinia lekarza psychiatry,</w:t>
      </w:r>
      <w:r w:rsidRPr="00127C92">
        <w:rPr>
          <w:szCs w:val="24"/>
        </w:rPr>
        <w:t xml:space="preserve"> zatrudnionego w</w:t>
      </w:r>
      <w:r>
        <w:rPr>
          <w:szCs w:val="24"/>
        </w:rPr>
        <w:t xml:space="preserve"> </w:t>
      </w:r>
      <w:r w:rsidRPr="00127C92">
        <w:rPr>
          <w:szCs w:val="24"/>
        </w:rPr>
        <w:t xml:space="preserve">Ośrodku takich ustawowych oraz konwencyjnych gwarancji nie zapewnia, także jeżeli </w:t>
      </w:r>
      <w:r>
        <w:rPr>
          <w:szCs w:val="24"/>
        </w:rPr>
        <w:t xml:space="preserve">dodatkowo </w:t>
      </w:r>
      <w:r w:rsidRPr="00127C92">
        <w:rPr>
          <w:szCs w:val="24"/>
        </w:rPr>
        <w:t>sąd wysłucha opinii lekarza psychiatry, który wydał opinię w</w:t>
      </w:r>
      <w:r>
        <w:rPr>
          <w:szCs w:val="24"/>
        </w:rPr>
        <w:t xml:space="preserve"> </w:t>
      </w:r>
      <w:r w:rsidRPr="00127C92">
        <w:rPr>
          <w:szCs w:val="24"/>
        </w:rPr>
        <w:t>sprawie umieszczenia w</w:t>
      </w:r>
      <w:r>
        <w:rPr>
          <w:szCs w:val="24"/>
        </w:rPr>
        <w:t xml:space="preserve"> </w:t>
      </w:r>
      <w:r w:rsidRPr="00127C92">
        <w:rPr>
          <w:szCs w:val="24"/>
        </w:rPr>
        <w:t>Ośrodku</w:t>
      </w:r>
      <w:r>
        <w:rPr>
          <w:szCs w:val="24"/>
        </w:rPr>
        <w:t xml:space="preserve"> (por. art. 47 ust. 2 upwozp)</w:t>
      </w:r>
      <w:r w:rsidRPr="00127C92">
        <w:rPr>
          <w:szCs w:val="24"/>
        </w:rPr>
        <w:t>.</w:t>
      </w:r>
    </w:p>
    <w:p w:rsidR="0006454F" w:rsidRDefault="0006454F" w:rsidP="00F465D5">
      <w:pPr>
        <w:pStyle w:val="ARTartustawynprozporzdzenia"/>
        <w:rPr>
          <w:szCs w:val="24"/>
        </w:rPr>
      </w:pPr>
      <w:r>
        <w:rPr>
          <w:szCs w:val="24"/>
        </w:rPr>
        <w:t xml:space="preserve">Minimalna gwarancja, jaka przysługuje umieszczonemu w Ośrodku, w istocie zawiera się więc w art. 11 upwozp (opinia </w:t>
      </w:r>
      <w:r w:rsidRPr="00CC15FC">
        <w:rPr>
          <w:spacing w:val="-2"/>
        </w:rPr>
        <w:t>dwóch biegłych lekarzy psychiatrów</w:t>
      </w:r>
      <w:r>
        <w:rPr>
          <w:spacing w:val="-2"/>
        </w:rPr>
        <w:t>, a w razie potrzeby również specjalisty z zakresu psychologii lub seksuologii)</w:t>
      </w:r>
      <w:r>
        <w:rPr>
          <w:szCs w:val="24"/>
        </w:rPr>
        <w:t>. Trybunał zaakcentował ponadto, że „[o]</w:t>
      </w:r>
      <w:r w:rsidRPr="00127C92">
        <w:rPr>
          <w:szCs w:val="24"/>
        </w:rPr>
        <w:t>bowiązek zwrócenia się sądu</w:t>
      </w:r>
      <w:r>
        <w:rPr>
          <w:szCs w:val="24"/>
        </w:rPr>
        <w:t xml:space="preserve"> o </w:t>
      </w:r>
      <w:r w:rsidRPr="00127C92">
        <w:rPr>
          <w:szCs w:val="24"/>
        </w:rPr>
        <w:t xml:space="preserve">wydanie opinii przez dwóch biegłych wzmacnia gwarancje procesowe skazanego, którego dotyczy </w:t>
      </w:r>
      <w:r w:rsidRPr="002B34AA">
        <w:rPr>
          <w:spacing w:val="-2"/>
          <w:szCs w:val="24"/>
        </w:rPr>
        <w:t>wniosek o</w:t>
      </w:r>
      <w:r>
        <w:rPr>
          <w:spacing w:val="-2"/>
          <w:szCs w:val="24"/>
        </w:rPr>
        <w:t xml:space="preserve"> </w:t>
      </w:r>
      <w:r w:rsidRPr="002B34AA">
        <w:rPr>
          <w:spacing w:val="-2"/>
          <w:szCs w:val="24"/>
        </w:rPr>
        <w:t xml:space="preserve">umieszczenie w Ośrodku </w:t>
      </w:r>
      <w:r>
        <w:rPr>
          <w:spacing w:val="-2"/>
          <w:szCs w:val="24"/>
        </w:rPr>
        <w:t>(…)</w:t>
      </w:r>
      <w:r w:rsidRPr="002B34AA">
        <w:rPr>
          <w:spacing w:val="-2"/>
          <w:szCs w:val="24"/>
        </w:rPr>
        <w:t xml:space="preserve"> Z</w:t>
      </w:r>
      <w:r>
        <w:rPr>
          <w:spacing w:val="-2"/>
          <w:szCs w:val="24"/>
        </w:rPr>
        <w:t> </w:t>
      </w:r>
      <w:r w:rsidRPr="002B34AA">
        <w:rPr>
          <w:spacing w:val="-2"/>
          <w:szCs w:val="24"/>
        </w:rPr>
        <w:t>orzecznictwa</w:t>
      </w:r>
      <w:r w:rsidRPr="00127C92">
        <w:rPr>
          <w:szCs w:val="24"/>
        </w:rPr>
        <w:t xml:space="preserve"> SN wynika jasno, że w</w:t>
      </w:r>
      <w:r>
        <w:rPr>
          <w:szCs w:val="24"/>
        </w:rPr>
        <w:t xml:space="preserve"> </w:t>
      </w:r>
      <w:r w:rsidRPr="00127C92">
        <w:rPr>
          <w:szCs w:val="24"/>
        </w:rPr>
        <w:t>przypadku dwóch opinii biegłych sąd nie może oprzeć się wyłącznie na jednej z</w:t>
      </w:r>
      <w:r>
        <w:rPr>
          <w:szCs w:val="24"/>
        </w:rPr>
        <w:t xml:space="preserve"> </w:t>
      </w:r>
      <w:r w:rsidRPr="00127C92">
        <w:rPr>
          <w:szCs w:val="24"/>
        </w:rPr>
        <w:t>nich, całkowicie pomijając treść drugiej. Jeżeli wnioski biegłych stoją ze sobą w</w:t>
      </w:r>
      <w:r>
        <w:rPr>
          <w:szCs w:val="24"/>
        </w:rPr>
        <w:t xml:space="preserve"> </w:t>
      </w:r>
      <w:r w:rsidRPr="00127C92">
        <w:rPr>
          <w:szCs w:val="24"/>
        </w:rPr>
        <w:t>sprzeczności, sąd jest zobowiązany do nawiązania i</w:t>
      </w:r>
      <w:r>
        <w:rPr>
          <w:szCs w:val="24"/>
        </w:rPr>
        <w:t xml:space="preserve"> </w:t>
      </w:r>
      <w:r w:rsidRPr="00127C92">
        <w:rPr>
          <w:szCs w:val="24"/>
        </w:rPr>
        <w:t>ustosunkowania się również do wniosków końcowych wyrażonych przez drugiego z</w:t>
      </w:r>
      <w:r>
        <w:rPr>
          <w:szCs w:val="24"/>
        </w:rPr>
        <w:t xml:space="preserve"> </w:t>
      </w:r>
      <w:r w:rsidRPr="00127C92">
        <w:rPr>
          <w:szCs w:val="24"/>
        </w:rPr>
        <w:t>biegłych</w:t>
      </w:r>
      <w:r>
        <w:rPr>
          <w:szCs w:val="24"/>
        </w:rPr>
        <w:t>”</w:t>
      </w:r>
      <w:r w:rsidRPr="00127C92">
        <w:rPr>
          <w:szCs w:val="24"/>
        </w:rPr>
        <w:t>.</w:t>
      </w:r>
    </w:p>
    <w:p w:rsidR="0006454F" w:rsidRPr="00A60360" w:rsidRDefault="0006454F" w:rsidP="00F465D5">
      <w:pPr>
        <w:pStyle w:val="ARTartustawynprozporzdzenia"/>
        <w:rPr>
          <w:rStyle w:val="IGindeksgrny"/>
        </w:rPr>
      </w:pPr>
      <w:r>
        <w:rPr>
          <w:szCs w:val="24"/>
        </w:rPr>
        <w:t>Ostatecznie TK skonkludował, że „</w:t>
      </w:r>
      <w:r w:rsidRPr="00127C92">
        <w:rPr>
          <w:szCs w:val="24"/>
        </w:rPr>
        <w:t>sąd, także gdy orzeka w</w:t>
      </w:r>
      <w:r>
        <w:rPr>
          <w:szCs w:val="24"/>
        </w:rPr>
        <w:t xml:space="preserve"> </w:t>
      </w:r>
      <w:r w:rsidRPr="00127C92">
        <w:rPr>
          <w:szCs w:val="24"/>
        </w:rPr>
        <w:t>co najmniej 6.miesiecznych interwałach w</w:t>
      </w:r>
      <w:r>
        <w:rPr>
          <w:szCs w:val="24"/>
        </w:rPr>
        <w:t xml:space="preserve"> </w:t>
      </w:r>
      <w:r w:rsidRPr="00127C92">
        <w:rPr>
          <w:szCs w:val="24"/>
        </w:rPr>
        <w:t>sprawie konieczności przedłużenia</w:t>
      </w:r>
      <w:r>
        <w:rPr>
          <w:szCs w:val="24"/>
        </w:rPr>
        <w:t xml:space="preserve"> o </w:t>
      </w:r>
      <w:r w:rsidRPr="00127C92">
        <w:rPr>
          <w:szCs w:val="24"/>
        </w:rPr>
        <w:t>kolejne pół roku terapii umieszczonego w Ośrodku powinien dysponować opinią dwóch psychiatrów niezwiązanych instytucjonalnie z </w:t>
      </w:r>
      <w:r>
        <w:rPr>
          <w:szCs w:val="24"/>
        </w:rPr>
        <w:t> </w:t>
      </w:r>
      <w:r w:rsidRPr="00127C92">
        <w:rPr>
          <w:szCs w:val="24"/>
        </w:rPr>
        <w:t>Ośrodkiem, a w</w:t>
      </w:r>
      <w:r>
        <w:rPr>
          <w:szCs w:val="24"/>
        </w:rPr>
        <w:t xml:space="preserve"> </w:t>
      </w:r>
      <w:r w:rsidRPr="00127C92">
        <w:rPr>
          <w:szCs w:val="24"/>
        </w:rPr>
        <w:t>sprawie osoby</w:t>
      </w:r>
      <w:r>
        <w:rPr>
          <w:szCs w:val="24"/>
        </w:rPr>
        <w:t xml:space="preserve"> o </w:t>
      </w:r>
      <w:r w:rsidRPr="00127C92">
        <w:rPr>
          <w:szCs w:val="24"/>
        </w:rPr>
        <w:t>zaburzonej osobowości ponadto biegłego psychologa, zaś w </w:t>
      </w:r>
      <w:r>
        <w:rPr>
          <w:szCs w:val="24"/>
        </w:rPr>
        <w:t> </w:t>
      </w:r>
      <w:r w:rsidRPr="00127C92">
        <w:rPr>
          <w:szCs w:val="24"/>
        </w:rPr>
        <w:t>sprawie osoby z</w:t>
      </w:r>
      <w:r>
        <w:rPr>
          <w:szCs w:val="24"/>
        </w:rPr>
        <w:t xml:space="preserve"> </w:t>
      </w:r>
      <w:r w:rsidRPr="00127C92">
        <w:rPr>
          <w:szCs w:val="24"/>
        </w:rPr>
        <w:t>zaburzeniami preferencji seksualnych –</w:t>
      </w:r>
      <w:r>
        <w:rPr>
          <w:szCs w:val="24"/>
        </w:rPr>
        <w:t xml:space="preserve"> </w:t>
      </w:r>
      <w:r w:rsidRPr="00127C92">
        <w:rPr>
          <w:szCs w:val="24"/>
        </w:rPr>
        <w:t>biegłego lekarza seksuologa lub</w:t>
      </w:r>
      <w:r>
        <w:rPr>
          <w:szCs w:val="24"/>
        </w:rPr>
        <w:t xml:space="preserve"> </w:t>
      </w:r>
      <w:r w:rsidRPr="00127C92">
        <w:rPr>
          <w:szCs w:val="24"/>
        </w:rPr>
        <w:t>certyfikowanego psychologa seksuologa</w:t>
      </w:r>
      <w:r>
        <w:rPr>
          <w:szCs w:val="24"/>
        </w:rPr>
        <w:t>”</w:t>
      </w:r>
      <w:r w:rsidRPr="00127C92">
        <w:rPr>
          <w:szCs w:val="24"/>
        </w:rPr>
        <w:t>.</w:t>
      </w:r>
    </w:p>
    <w:p w:rsidR="0006454F" w:rsidRPr="0015321A" w:rsidRDefault="0006454F" w:rsidP="0015321A"/>
    <w:p w:rsidR="0006454F" w:rsidRPr="0015321A" w:rsidRDefault="0006454F" w:rsidP="00C50587">
      <w:pPr>
        <w:rPr>
          <w:rStyle w:val="Ppogrubienie"/>
        </w:rPr>
      </w:pPr>
      <w:r w:rsidRPr="0015321A">
        <w:rPr>
          <w:rStyle w:val="Ppogrubienie"/>
        </w:rPr>
        <w:t>3. Różnice między dotychczasowym a projektowanym stanem prawnym</w:t>
      </w:r>
    </w:p>
    <w:p w:rsidR="0006454F" w:rsidRDefault="0006454F" w:rsidP="00F63F37">
      <w:pPr>
        <w:pStyle w:val="ARTartustawynprozporzdzenia"/>
      </w:pPr>
      <w:r>
        <w:t xml:space="preserve">Mając na względzie przedstawioną wypowiedź Trybunału Konstytucyjnego proponuje się nadanie nowego brzmienia art. 46 ust. 1 i 2 ustawy o postępowaniu </w:t>
      </w:r>
      <w:r w:rsidRPr="004C4368">
        <w:rPr>
          <w:spacing w:val="-2"/>
        </w:rPr>
        <w:t>wobec osób stwarzających zagrożenie oraz dodanie w tym artykule nowej jednostki redakcyjnej</w:t>
      </w:r>
      <w:r>
        <w:t xml:space="preserve"> (ust. 1a). </w:t>
      </w:r>
      <w:r>
        <w:lastRenderedPageBreak/>
        <w:t xml:space="preserve">W przypadku art. 46 ust. 1 i 2 projektowana zmiana polega na rozgraniczeniu opinii o stanie zdrowia </w:t>
      </w:r>
      <w:r w:rsidRPr="008353D3">
        <w:t>osoby stwarzającej zagrożenie</w:t>
      </w:r>
      <w:r>
        <w:t xml:space="preserve"> umieszczonej w Ośrodku oraz </w:t>
      </w:r>
      <w:r w:rsidRPr="00A71D38">
        <w:t>informacji o wynikach postępowania terapeutycznego</w:t>
      </w:r>
      <w:r>
        <w:t xml:space="preserve">. Decyzja sądu co do potrzeby dalszej internacji </w:t>
      </w:r>
      <w:r w:rsidRPr="002727BD">
        <w:rPr>
          <w:spacing w:val="-2"/>
        </w:rPr>
        <w:t xml:space="preserve">w Ośrodku </w:t>
      </w:r>
      <w:r>
        <w:t xml:space="preserve">nadal </w:t>
      </w:r>
      <w:r w:rsidRPr="002727BD">
        <w:rPr>
          <w:spacing w:val="-2"/>
        </w:rPr>
        <w:t>będzie podejmowana po rozważeniu elementów związanych zarówno ze zdrowiem</w:t>
      </w:r>
      <w:r>
        <w:t xml:space="preserve"> </w:t>
      </w:r>
      <w:r w:rsidRPr="002F7F16">
        <w:rPr>
          <w:spacing w:val="-2"/>
        </w:rPr>
        <w:t>osoby stwarzającej zagrożenie, jak i jej postępami w terapii. Niemniej</w:t>
      </w:r>
      <w:r>
        <w:t xml:space="preserve"> zaopiniowanie tego pierwszego będzie należało do kompetencji biegłych powoływanych </w:t>
      </w:r>
      <w:r w:rsidRPr="009F1BD4">
        <w:rPr>
          <w:spacing w:val="-2"/>
        </w:rPr>
        <w:t>zgodnie z art. 46 ust. 1a, natomiast obowiązek poinformowania sądu o wynikach postępowania</w:t>
      </w:r>
      <w:r>
        <w:t xml:space="preserve"> terapeutycznego będzie spoczywał na kierowniku Ośrodka, przy czym zakres tego obowiązku nie ulegnie zmianie (informacja ma być przesyłana co 6 miesięcy, a jeżeli okaże się, że stan zdrowia osoby umieszczonej w  Ośrodku przemawia za wypisaniem jej, kierownik będzie musiał przesłać informację o wynikach postępowania terapeutycznego bezzwłocznie).</w:t>
      </w:r>
    </w:p>
    <w:p w:rsidR="0006454F" w:rsidRDefault="0006454F" w:rsidP="00F63F37">
      <w:pPr>
        <w:pStyle w:val="ARTartustawynprozporzdzenia"/>
      </w:pPr>
      <w:r>
        <w:t xml:space="preserve">Jednocześnie wskutek proponowanej nowelizacji art. 46 ust. 1 upwozp poprawiona zostanie redakcja tego przepisu. Z kolei z art. 46 ust. 2 wykreślone zostanie zdanie drugie, które – przesądzając o braku wynagrodzenia za sporządzenie opinii o stanie zdrowia osoby </w:t>
      </w:r>
      <w:r w:rsidRPr="002F7F16">
        <w:rPr>
          <w:spacing w:val="-2"/>
        </w:rPr>
        <w:t>stwarzającej zagrożenie</w:t>
      </w:r>
      <w:r>
        <w:rPr>
          <w:spacing w:val="-2"/>
        </w:rPr>
        <w:t xml:space="preserve"> – w obecnym stanie prawnym potwierdza istnienie instytucjonalnego związku między lekarzem psychiatrą a Ośrodkiem.</w:t>
      </w:r>
    </w:p>
    <w:p w:rsidR="0006454F" w:rsidRDefault="0006454F" w:rsidP="00F63F37">
      <w:pPr>
        <w:pStyle w:val="ARTartustawynprozporzdzenia"/>
      </w:pPr>
      <w:r>
        <w:t>W następstwie dodania w art. 46 przepisu oznaczonego jako ust. 1a sąd zyska podstawę prawną do powołania biegłych. W konsekwencji nie tylko na etapie orzekania o zasadności umieszczenia osoby stwarzającej zagrożenie w Ośrodku, ale także przy każdym cyklicznym badaniu konieczności dalszego przedłużenia internacji w  Ośrodku standardem stanie się wydawanie opinii o stanie zdrowia osoby poddanej tej procedurze przez dwóch lekarzy psychiatrów, a jeżeli osoba przebywająca w Ośrodku wykazuje zaburzenia osobowości lub zaburzenia preferencji seksualnych – dodatkowo również przez biegłego psychologa lub biegłego lekarza seksuologa albo certyfikowanego psychologa seksuologa.</w:t>
      </w:r>
    </w:p>
    <w:p w:rsidR="0006454F" w:rsidRDefault="0006454F" w:rsidP="00F66500">
      <w:pPr>
        <w:pStyle w:val="Tekstpodstawowy"/>
        <w:keepNext/>
        <w:spacing w:before="360"/>
        <w:rPr>
          <w:b/>
          <w:szCs w:val="24"/>
        </w:rPr>
      </w:pPr>
      <w:r>
        <w:rPr>
          <w:b/>
          <w:szCs w:val="24"/>
        </w:rPr>
        <w:t>4. Konsultacje</w:t>
      </w:r>
    </w:p>
    <w:p w:rsidR="0006454F" w:rsidRPr="00F66500" w:rsidRDefault="0006454F" w:rsidP="00F66500">
      <w:pPr>
        <w:pStyle w:val="ARTartustawynprozporzdzenia"/>
        <w:rPr>
          <w:rStyle w:val="Ppogrubienie"/>
          <w:b w:val="0"/>
        </w:rPr>
      </w:pPr>
      <w:r>
        <w:t>Nadesłane w ramach konsultacji opinie i uwagi są zamieszczone na senackiej stronie internetowej. Wyniki konsultacji przedstawiono w Ocenie Skutków Regulacji.</w:t>
      </w:r>
    </w:p>
    <w:p w:rsidR="0006454F" w:rsidRDefault="0006454F" w:rsidP="0015321A">
      <w:pPr>
        <w:rPr>
          <w:rStyle w:val="Ppogrubienie"/>
        </w:rPr>
      </w:pPr>
    </w:p>
    <w:p w:rsidR="0006454F" w:rsidRPr="0015321A" w:rsidRDefault="0006454F" w:rsidP="0015321A">
      <w:pPr>
        <w:rPr>
          <w:rStyle w:val="Ppogrubienie"/>
        </w:rPr>
      </w:pPr>
      <w:r>
        <w:rPr>
          <w:rStyle w:val="Ppogrubienie"/>
        </w:rPr>
        <w:t xml:space="preserve">5. </w:t>
      </w:r>
      <w:r w:rsidRPr="0015321A">
        <w:rPr>
          <w:rStyle w:val="Ppogrubienie"/>
        </w:rPr>
        <w:t>Oświadczenie o zgodności z prawem Unii Europejskiej</w:t>
      </w:r>
    </w:p>
    <w:p w:rsidR="0006454F" w:rsidRPr="00613011" w:rsidRDefault="0006454F" w:rsidP="00730DA0">
      <w:pPr>
        <w:pStyle w:val="NIEARTTEKSTtekstnieartykuowanynppodstprawnarozplubpreambua"/>
      </w:pPr>
      <w:r w:rsidRPr="0015321A">
        <w:t>Zakres przedmiotowy projektowanej ustawy nie jest objęty prawem Unii Europejskiej.</w:t>
      </w:r>
    </w:p>
    <w:p w:rsidR="0006454F" w:rsidRDefault="0006454F" w:rsidP="0006454F">
      <w:pPr>
        <w:pStyle w:val="OZNRODZAKTUtznustawalubrozporzdzenieiorganwydajcy"/>
        <w:rPr>
          <w:b w:val="0"/>
        </w:rPr>
        <w:sectPr w:rsidR="0006454F" w:rsidSect="0006454F">
          <w:headerReference w:type="default" r:id="rId10"/>
          <w:pgSz w:w="11906" w:h="16838"/>
          <w:pgMar w:top="1560" w:right="1435" w:bottom="1559" w:left="1418" w:header="709" w:footer="709" w:gutter="0"/>
          <w:pgNumType w:start="1"/>
          <w:cols w:space="708"/>
          <w:titlePg/>
          <w:docGrid w:linePitch="254"/>
        </w:sectPr>
      </w:pPr>
    </w:p>
    <w:tbl>
      <w:tblPr>
        <w:tblW w:w="1094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96"/>
        <w:gridCol w:w="647"/>
        <w:gridCol w:w="890"/>
        <w:gridCol w:w="270"/>
        <w:gridCol w:w="144"/>
        <w:gridCol w:w="155"/>
        <w:gridCol w:w="187"/>
        <w:gridCol w:w="383"/>
        <w:gridCol w:w="548"/>
        <w:gridCol w:w="6"/>
        <w:gridCol w:w="16"/>
        <w:gridCol w:w="569"/>
        <w:gridCol w:w="353"/>
        <w:gridCol w:w="217"/>
        <w:gridCol w:w="115"/>
        <w:gridCol w:w="455"/>
        <w:gridCol w:w="80"/>
        <w:gridCol w:w="71"/>
        <w:gridCol w:w="419"/>
        <w:gridCol w:w="113"/>
        <w:gridCol w:w="405"/>
        <w:gridCol w:w="51"/>
        <w:gridCol w:w="570"/>
        <w:gridCol w:w="317"/>
        <w:gridCol w:w="253"/>
        <w:gridCol w:w="570"/>
        <w:gridCol w:w="115"/>
        <w:gridCol w:w="1422"/>
        <w:gridCol w:w="10"/>
      </w:tblGrid>
      <w:tr w:rsidR="00F10F4F" w:rsidRPr="00F10F4F" w:rsidTr="00CE46B1">
        <w:trPr>
          <w:gridAfter w:val="1"/>
          <w:wAfter w:w="10" w:type="dxa"/>
          <w:trHeight w:val="1611"/>
        </w:trPr>
        <w:tc>
          <w:tcPr>
            <w:tcW w:w="6631" w:type="dxa"/>
            <w:gridSpan w:val="17"/>
          </w:tcPr>
          <w:p w:rsidR="00F10F4F" w:rsidRPr="00F10F4F" w:rsidRDefault="00F10F4F" w:rsidP="00F10F4F">
            <w:pPr>
              <w:widowControl/>
              <w:autoSpaceDE/>
              <w:autoSpaceDN/>
              <w:adjustRightInd/>
              <w:spacing w:before="120" w:line="240" w:lineRule="auto"/>
              <w:ind w:hanging="45"/>
              <w:jc w:val="left"/>
              <w:rPr>
                <w:rFonts w:eastAsia="Calibri" w:cs="Times New Roman"/>
                <w:color w:val="000000"/>
                <w:sz w:val="22"/>
                <w:szCs w:val="22"/>
                <w:lang w:eastAsia="en-US"/>
              </w:rPr>
            </w:pPr>
            <w:bookmarkStart w:id="1" w:name="t1"/>
            <w:r w:rsidRPr="00F10F4F">
              <w:rPr>
                <w:rFonts w:eastAsia="Calibri" w:cs="Times New Roman"/>
                <w:b/>
                <w:color w:val="000000"/>
                <w:sz w:val="22"/>
                <w:szCs w:val="22"/>
                <w:lang w:eastAsia="en-US"/>
              </w:rPr>
              <w:lastRenderedPageBreak/>
              <w:t>Tytuł projektu:</w:t>
            </w:r>
          </w:p>
          <w:p w:rsidR="00F10F4F" w:rsidRPr="00F10F4F" w:rsidRDefault="00F10F4F" w:rsidP="00F10F4F">
            <w:pPr>
              <w:widowControl/>
              <w:autoSpaceDE/>
              <w:autoSpaceDN/>
              <w:adjustRightInd/>
              <w:spacing w:line="240" w:lineRule="auto"/>
              <w:ind w:hanging="34"/>
              <w:rPr>
                <w:rFonts w:eastAsia="Calibri" w:cs="Times New Roman"/>
                <w:color w:val="000000"/>
                <w:sz w:val="22"/>
                <w:szCs w:val="22"/>
                <w:lang w:eastAsia="en-US"/>
              </w:rPr>
            </w:pPr>
            <w:r w:rsidRPr="00F10F4F">
              <w:rPr>
                <w:rFonts w:eastAsia="Calibri" w:cs="Times New Roman"/>
                <w:color w:val="000000"/>
                <w:sz w:val="22"/>
                <w:szCs w:val="22"/>
                <w:lang w:eastAsia="en-US"/>
              </w:rPr>
              <w:t>Ustawa o zmianie ustawy o postępowaniu wobec osób z zaburzeniami psychicznymi stwarzających zagrożenie życia, zdrowia lub wolności seksualnej innych osób</w:t>
            </w:r>
          </w:p>
          <w:bookmarkEnd w:id="1"/>
          <w:p w:rsidR="00F10F4F" w:rsidRPr="00F10F4F" w:rsidRDefault="00F10F4F" w:rsidP="00F10F4F">
            <w:pPr>
              <w:widowControl/>
              <w:autoSpaceDE/>
              <w:autoSpaceDN/>
              <w:adjustRightInd/>
              <w:spacing w:line="240" w:lineRule="auto"/>
              <w:ind w:hanging="34"/>
              <w:jc w:val="left"/>
              <w:rPr>
                <w:rFonts w:eastAsia="Calibri" w:cs="Times New Roman"/>
                <w:color w:val="000000"/>
                <w:sz w:val="22"/>
                <w:szCs w:val="22"/>
                <w:lang w:eastAsia="en-US"/>
              </w:rPr>
            </w:pPr>
          </w:p>
          <w:p w:rsidR="00F10F4F" w:rsidRPr="00F10F4F" w:rsidRDefault="00F10F4F" w:rsidP="00F10F4F">
            <w:pPr>
              <w:widowControl/>
              <w:autoSpaceDE/>
              <w:autoSpaceDN/>
              <w:adjustRightInd/>
              <w:spacing w:line="240" w:lineRule="auto"/>
              <w:jc w:val="left"/>
              <w:rPr>
                <w:rFonts w:eastAsia="Calibri" w:cs="Times New Roman"/>
                <w:b/>
                <w:sz w:val="22"/>
                <w:szCs w:val="22"/>
                <w:lang w:eastAsia="en-US"/>
              </w:rPr>
            </w:pPr>
            <w:r w:rsidRPr="00F10F4F">
              <w:rPr>
                <w:rFonts w:eastAsia="Calibri" w:cs="Times New Roman"/>
                <w:b/>
                <w:sz w:val="22"/>
                <w:szCs w:val="22"/>
                <w:lang w:eastAsia="en-US"/>
              </w:rPr>
              <w:t>Przedstawiciel wnioskodawcy:</w:t>
            </w:r>
          </w:p>
          <w:p w:rsidR="00F10F4F" w:rsidRPr="00F10F4F" w:rsidRDefault="00F10F4F" w:rsidP="00F10F4F">
            <w:pPr>
              <w:widowControl/>
              <w:autoSpaceDE/>
              <w:autoSpaceDN/>
              <w:adjustRightInd/>
              <w:spacing w:line="240" w:lineRule="auto"/>
              <w:jc w:val="left"/>
              <w:rPr>
                <w:rFonts w:eastAsia="Calibri" w:cs="Times New Roman"/>
                <w:sz w:val="22"/>
                <w:szCs w:val="22"/>
                <w:lang w:eastAsia="en-US"/>
              </w:rPr>
            </w:pPr>
            <w:r w:rsidRPr="00F10F4F">
              <w:rPr>
                <w:rFonts w:eastAsia="Calibri" w:cs="Times New Roman"/>
                <w:sz w:val="22"/>
                <w:szCs w:val="22"/>
                <w:lang w:eastAsia="en-US"/>
              </w:rPr>
              <w:t>senator Marek Pęk</w:t>
            </w:r>
          </w:p>
          <w:p w:rsidR="00F10F4F" w:rsidRPr="00F10F4F" w:rsidRDefault="00F10F4F" w:rsidP="00F10F4F">
            <w:pPr>
              <w:widowControl/>
              <w:autoSpaceDE/>
              <w:autoSpaceDN/>
              <w:adjustRightInd/>
              <w:spacing w:line="240" w:lineRule="auto"/>
              <w:ind w:hanging="45"/>
              <w:jc w:val="left"/>
              <w:rPr>
                <w:rFonts w:eastAsia="Calibri" w:cs="Times New Roman"/>
                <w:b/>
                <w:color w:val="000000"/>
                <w:sz w:val="22"/>
                <w:szCs w:val="22"/>
                <w:lang w:eastAsia="en-US"/>
              </w:rPr>
            </w:pPr>
          </w:p>
          <w:p w:rsidR="00F10F4F" w:rsidRPr="00F10F4F" w:rsidRDefault="00F10F4F" w:rsidP="00F10F4F">
            <w:pPr>
              <w:widowControl/>
              <w:autoSpaceDE/>
              <w:autoSpaceDN/>
              <w:adjustRightInd/>
              <w:spacing w:line="240" w:lineRule="auto"/>
              <w:ind w:hanging="45"/>
              <w:jc w:val="left"/>
              <w:rPr>
                <w:rFonts w:eastAsia="Calibri" w:cs="Times New Roman"/>
                <w:b/>
                <w:color w:val="000000"/>
                <w:sz w:val="22"/>
                <w:szCs w:val="22"/>
                <w:lang w:eastAsia="en-US"/>
              </w:rPr>
            </w:pPr>
            <w:r w:rsidRPr="00F10F4F">
              <w:rPr>
                <w:rFonts w:eastAsia="Calibri" w:cs="Times New Roman"/>
                <w:b/>
                <w:color w:val="000000"/>
                <w:sz w:val="22"/>
                <w:szCs w:val="22"/>
                <w:lang w:eastAsia="en-US"/>
              </w:rPr>
              <w:t>Osoby odpowiedzialne za projekt w Biurze Legislacyjnym:</w:t>
            </w:r>
          </w:p>
          <w:p w:rsidR="00F10F4F" w:rsidRPr="00F10F4F" w:rsidRDefault="00F10F4F" w:rsidP="00F10F4F">
            <w:pPr>
              <w:widowControl/>
              <w:autoSpaceDE/>
              <w:autoSpaceDN/>
              <w:adjustRightInd/>
              <w:spacing w:line="240" w:lineRule="auto"/>
              <w:ind w:hanging="45"/>
              <w:jc w:val="left"/>
              <w:rPr>
                <w:rFonts w:eastAsia="Calibri" w:cs="Times New Roman"/>
                <w:b/>
                <w:color w:val="000000"/>
                <w:sz w:val="22"/>
                <w:szCs w:val="22"/>
                <w:lang w:eastAsia="en-US"/>
              </w:rPr>
            </w:pPr>
            <w:r w:rsidRPr="00F10F4F">
              <w:rPr>
                <w:rFonts w:eastAsia="Calibri" w:cs="Times New Roman"/>
                <w:sz w:val="22"/>
                <w:szCs w:val="22"/>
                <w:lang w:eastAsia="en-US"/>
              </w:rPr>
              <w:t>Katarzyna Konieczko, ekspert ds. legislacji, tel. 22 694 9557</w:t>
            </w:r>
          </w:p>
          <w:p w:rsidR="00F10F4F" w:rsidRPr="00F10F4F" w:rsidRDefault="00F10F4F" w:rsidP="00F10F4F">
            <w:pPr>
              <w:widowControl/>
              <w:autoSpaceDE/>
              <w:autoSpaceDN/>
              <w:adjustRightInd/>
              <w:spacing w:line="240" w:lineRule="auto"/>
              <w:ind w:hanging="45"/>
              <w:jc w:val="left"/>
              <w:rPr>
                <w:rFonts w:eastAsia="Calibri" w:cs="Times New Roman"/>
                <w:color w:val="000000"/>
                <w:sz w:val="22"/>
                <w:szCs w:val="22"/>
                <w:lang w:val="en-US" w:eastAsia="en-US"/>
              </w:rPr>
            </w:pPr>
            <w:r w:rsidRPr="00F10F4F">
              <w:rPr>
                <w:rFonts w:eastAsia="Calibri" w:cs="Times New Roman"/>
                <w:color w:val="000000"/>
                <w:sz w:val="22"/>
                <w:szCs w:val="22"/>
                <w:lang w:val="en-US" w:eastAsia="en-US"/>
              </w:rPr>
              <w:t>Beata Mandylis, legislator, tel. 694 9340</w:t>
            </w:r>
          </w:p>
          <w:p w:rsidR="00F10F4F" w:rsidRPr="00F10F4F" w:rsidRDefault="00F10F4F" w:rsidP="00F10F4F">
            <w:pPr>
              <w:widowControl/>
              <w:autoSpaceDE/>
              <w:autoSpaceDN/>
              <w:adjustRightInd/>
              <w:spacing w:line="240" w:lineRule="auto"/>
              <w:ind w:hanging="45"/>
              <w:jc w:val="left"/>
              <w:rPr>
                <w:rFonts w:eastAsia="Calibri" w:cs="Times New Roman"/>
                <w:color w:val="000000"/>
                <w:sz w:val="22"/>
                <w:szCs w:val="22"/>
                <w:lang w:val="en-US" w:eastAsia="en-US"/>
              </w:rPr>
            </w:pPr>
            <w:r w:rsidRPr="00F10F4F">
              <w:rPr>
                <w:rFonts w:eastAsia="Calibri" w:cs="Times New Roman"/>
                <w:color w:val="000000"/>
                <w:sz w:val="22"/>
                <w:szCs w:val="22"/>
                <w:lang w:val="en-US" w:eastAsia="en-US"/>
              </w:rPr>
              <w:t>Marian Fałek, ekspert ds. OSR, tel. 22 694 9097</w:t>
            </w:r>
          </w:p>
        </w:tc>
        <w:tc>
          <w:tcPr>
            <w:tcW w:w="4306" w:type="dxa"/>
            <w:gridSpan w:val="11"/>
            <w:shd w:val="clear" w:color="auto" w:fill="FFFFFF"/>
          </w:tcPr>
          <w:p w:rsidR="00F10F4F" w:rsidRPr="00F10F4F" w:rsidRDefault="00F10F4F" w:rsidP="00F10F4F">
            <w:pPr>
              <w:widowControl/>
              <w:autoSpaceDE/>
              <w:autoSpaceDN/>
              <w:adjustRightInd/>
              <w:spacing w:before="120" w:line="240" w:lineRule="auto"/>
              <w:jc w:val="left"/>
              <w:rPr>
                <w:rFonts w:eastAsia="Calibri" w:cs="Times New Roman"/>
                <w:b/>
                <w:sz w:val="22"/>
                <w:szCs w:val="22"/>
                <w:lang w:eastAsia="en-US"/>
              </w:rPr>
            </w:pPr>
            <w:r w:rsidRPr="00F10F4F">
              <w:rPr>
                <w:rFonts w:eastAsia="Calibri" w:cs="Times New Roman"/>
                <w:b/>
                <w:sz w:val="22"/>
                <w:szCs w:val="22"/>
                <w:lang w:eastAsia="en-US"/>
              </w:rPr>
              <w:t xml:space="preserve">Data sporządzenia: </w:t>
            </w:r>
            <w:r w:rsidRPr="00F10F4F">
              <w:rPr>
                <w:rFonts w:eastAsia="Calibri" w:cs="Times New Roman"/>
                <w:sz w:val="22"/>
                <w:szCs w:val="22"/>
                <w:lang w:eastAsia="en-US"/>
              </w:rPr>
              <w:t>8 czerwca 2018 r.</w:t>
            </w:r>
            <w:r w:rsidRPr="00F10F4F">
              <w:rPr>
                <w:rFonts w:eastAsia="Calibri" w:cs="Times New Roman"/>
                <w:b/>
                <w:sz w:val="22"/>
                <w:szCs w:val="22"/>
                <w:lang w:eastAsia="en-US"/>
              </w:rPr>
              <w:t xml:space="preserve"> </w:t>
            </w:r>
            <w:r w:rsidRPr="00F10F4F">
              <w:rPr>
                <w:rFonts w:eastAsia="Calibri" w:cs="Times New Roman"/>
                <w:b/>
                <w:sz w:val="22"/>
                <w:szCs w:val="22"/>
                <w:lang w:eastAsia="en-US"/>
              </w:rPr>
              <w:br/>
            </w:r>
          </w:p>
          <w:p w:rsidR="00F10F4F" w:rsidRPr="00F10F4F" w:rsidRDefault="00F10F4F" w:rsidP="00F10F4F">
            <w:pPr>
              <w:widowControl/>
              <w:autoSpaceDE/>
              <w:autoSpaceDN/>
              <w:adjustRightInd/>
              <w:spacing w:line="240" w:lineRule="auto"/>
              <w:jc w:val="left"/>
              <w:rPr>
                <w:rFonts w:eastAsia="Calibri" w:cs="Times New Roman"/>
                <w:b/>
                <w:sz w:val="22"/>
                <w:szCs w:val="22"/>
                <w:lang w:eastAsia="en-US"/>
              </w:rPr>
            </w:pPr>
          </w:p>
          <w:p w:rsidR="00F10F4F" w:rsidRPr="00F10F4F" w:rsidRDefault="00F10F4F" w:rsidP="00F10F4F">
            <w:pPr>
              <w:widowControl/>
              <w:autoSpaceDE/>
              <w:autoSpaceDN/>
              <w:adjustRightInd/>
              <w:spacing w:line="240" w:lineRule="auto"/>
              <w:jc w:val="left"/>
              <w:rPr>
                <w:rFonts w:eastAsia="Calibri" w:cs="Times New Roman"/>
                <w:b/>
                <w:sz w:val="22"/>
                <w:szCs w:val="22"/>
                <w:lang w:eastAsia="en-US"/>
              </w:rPr>
            </w:pPr>
          </w:p>
          <w:p w:rsidR="00F10F4F" w:rsidRPr="00F10F4F" w:rsidRDefault="00F10F4F" w:rsidP="00F10F4F">
            <w:pPr>
              <w:widowControl/>
              <w:autoSpaceDE/>
              <w:autoSpaceDN/>
              <w:adjustRightInd/>
              <w:spacing w:line="240" w:lineRule="auto"/>
              <w:jc w:val="left"/>
              <w:rPr>
                <w:rFonts w:eastAsia="Calibri" w:cs="Times New Roman"/>
                <w:b/>
                <w:sz w:val="22"/>
                <w:szCs w:val="22"/>
                <w:lang w:eastAsia="en-US"/>
              </w:rPr>
            </w:pPr>
          </w:p>
          <w:p w:rsidR="00F10F4F" w:rsidRPr="00F10F4F" w:rsidRDefault="00F10F4F" w:rsidP="00F10F4F">
            <w:pPr>
              <w:widowControl/>
              <w:autoSpaceDE/>
              <w:autoSpaceDN/>
              <w:adjustRightInd/>
              <w:spacing w:line="240" w:lineRule="auto"/>
              <w:jc w:val="left"/>
              <w:rPr>
                <w:rFonts w:eastAsia="Calibri" w:cs="Times New Roman"/>
                <w:sz w:val="22"/>
                <w:szCs w:val="22"/>
                <w:lang w:eastAsia="en-US"/>
              </w:rPr>
            </w:pPr>
            <w:r w:rsidRPr="00F10F4F">
              <w:rPr>
                <w:rFonts w:eastAsia="Calibri" w:cs="Times New Roman"/>
                <w:b/>
                <w:sz w:val="22"/>
                <w:szCs w:val="22"/>
                <w:lang w:eastAsia="en-US"/>
              </w:rPr>
              <w:t xml:space="preserve">Źródło:  </w:t>
            </w:r>
            <w:r w:rsidRPr="00F10F4F">
              <w:rPr>
                <w:rFonts w:eastAsia="Calibri" w:cs="Times New Roman"/>
                <w:sz w:val="22"/>
                <w:szCs w:val="22"/>
                <w:lang w:eastAsia="en-US"/>
              </w:rPr>
              <w:t>wyrok TK</w:t>
            </w:r>
          </w:p>
          <w:p w:rsidR="00F10F4F" w:rsidRPr="00F10F4F" w:rsidRDefault="00F10F4F" w:rsidP="00F10F4F">
            <w:pPr>
              <w:widowControl/>
              <w:autoSpaceDE/>
              <w:autoSpaceDN/>
              <w:adjustRightInd/>
              <w:spacing w:line="240" w:lineRule="auto"/>
              <w:jc w:val="left"/>
              <w:rPr>
                <w:rFonts w:eastAsia="Calibri" w:cs="Times New Roman"/>
                <w:b/>
                <w:color w:val="000000"/>
                <w:sz w:val="22"/>
                <w:szCs w:val="22"/>
                <w:lang w:eastAsia="en-US"/>
              </w:rPr>
            </w:pPr>
          </w:p>
          <w:p w:rsidR="00F10F4F" w:rsidRPr="00F10F4F" w:rsidRDefault="00F10F4F" w:rsidP="00F10F4F">
            <w:pPr>
              <w:widowControl/>
              <w:autoSpaceDE/>
              <w:autoSpaceDN/>
              <w:adjustRightInd/>
              <w:spacing w:line="240" w:lineRule="auto"/>
              <w:jc w:val="left"/>
              <w:rPr>
                <w:rFonts w:eastAsia="Calibri" w:cs="Times New Roman"/>
                <w:b/>
                <w:color w:val="000000"/>
                <w:sz w:val="22"/>
                <w:szCs w:val="22"/>
                <w:lang w:eastAsia="en-US"/>
              </w:rPr>
            </w:pPr>
          </w:p>
          <w:p w:rsidR="00F10F4F" w:rsidRPr="00F10F4F" w:rsidRDefault="00F10F4F" w:rsidP="00F10F4F">
            <w:pPr>
              <w:widowControl/>
              <w:autoSpaceDE/>
              <w:autoSpaceDN/>
              <w:adjustRightInd/>
              <w:spacing w:line="240" w:lineRule="auto"/>
              <w:jc w:val="left"/>
              <w:rPr>
                <w:rFonts w:eastAsia="Calibri" w:cs="Times New Roman"/>
                <w:color w:val="000000"/>
                <w:sz w:val="22"/>
                <w:szCs w:val="22"/>
                <w:lang w:eastAsia="en-US"/>
              </w:rPr>
            </w:pPr>
            <w:r w:rsidRPr="00F10F4F">
              <w:rPr>
                <w:rFonts w:eastAsia="Calibri" w:cs="Times New Roman"/>
                <w:b/>
                <w:color w:val="000000"/>
                <w:sz w:val="22"/>
                <w:szCs w:val="22"/>
                <w:lang w:eastAsia="en-US"/>
              </w:rPr>
              <w:t>Nr druku: 775, 775 S</w:t>
            </w:r>
          </w:p>
          <w:p w:rsidR="00F10F4F" w:rsidRPr="00F10F4F" w:rsidRDefault="00F10F4F" w:rsidP="00F10F4F">
            <w:pPr>
              <w:widowControl/>
              <w:autoSpaceDE/>
              <w:autoSpaceDN/>
              <w:adjustRightInd/>
              <w:spacing w:line="240" w:lineRule="auto"/>
              <w:jc w:val="left"/>
              <w:rPr>
                <w:rFonts w:eastAsia="Calibri" w:cs="Times New Roman"/>
                <w:color w:val="000000"/>
                <w:sz w:val="28"/>
                <w:szCs w:val="28"/>
                <w:lang w:eastAsia="en-US"/>
              </w:rPr>
            </w:pPr>
          </w:p>
        </w:tc>
      </w:tr>
      <w:tr w:rsidR="00F10F4F" w:rsidRPr="00F10F4F" w:rsidTr="00CE46B1">
        <w:trPr>
          <w:gridAfter w:val="1"/>
          <w:wAfter w:w="10" w:type="dxa"/>
          <w:trHeight w:val="142"/>
        </w:trPr>
        <w:tc>
          <w:tcPr>
            <w:tcW w:w="10937" w:type="dxa"/>
            <w:gridSpan w:val="28"/>
            <w:shd w:val="clear" w:color="auto" w:fill="99CCFF"/>
          </w:tcPr>
          <w:p w:rsidR="00F10F4F" w:rsidRPr="00F10F4F" w:rsidRDefault="00F10F4F" w:rsidP="00F10F4F">
            <w:pPr>
              <w:widowControl/>
              <w:autoSpaceDE/>
              <w:autoSpaceDN/>
              <w:adjustRightInd/>
              <w:spacing w:line="240" w:lineRule="auto"/>
              <w:ind w:left="57"/>
              <w:jc w:val="center"/>
              <w:rPr>
                <w:rFonts w:eastAsia="Calibri" w:cs="Times New Roman"/>
                <w:b/>
                <w:color w:val="FFFFFF"/>
                <w:sz w:val="32"/>
                <w:szCs w:val="32"/>
                <w:lang w:eastAsia="en-US"/>
              </w:rPr>
            </w:pPr>
            <w:r w:rsidRPr="00F10F4F">
              <w:rPr>
                <w:rFonts w:eastAsia="Calibri" w:cs="Times New Roman"/>
                <w:b/>
                <w:color w:val="FFFFFF"/>
                <w:sz w:val="32"/>
                <w:szCs w:val="32"/>
                <w:lang w:eastAsia="en-US"/>
              </w:rPr>
              <w:t>OCENA SKUTKÓW REGULACJI</w:t>
            </w:r>
          </w:p>
        </w:tc>
      </w:tr>
      <w:tr w:rsidR="00F10F4F" w:rsidRPr="00F10F4F" w:rsidTr="00CE46B1">
        <w:trPr>
          <w:gridAfter w:val="1"/>
          <w:wAfter w:w="10" w:type="dxa"/>
          <w:trHeight w:val="333"/>
        </w:trPr>
        <w:tc>
          <w:tcPr>
            <w:tcW w:w="10937" w:type="dxa"/>
            <w:gridSpan w:val="28"/>
            <w:shd w:val="clear" w:color="auto" w:fill="99CCFF"/>
            <w:vAlign w:val="center"/>
          </w:tcPr>
          <w:p w:rsidR="00F10F4F" w:rsidRPr="00F10F4F" w:rsidRDefault="00F10F4F" w:rsidP="00F10F4F">
            <w:pPr>
              <w:widowControl/>
              <w:numPr>
                <w:ilvl w:val="0"/>
                <w:numId w:val="45"/>
              </w:numPr>
              <w:autoSpaceDE/>
              <w:autoSpaceDN/>
              <w:adjustRightInd/>
              <w:spacing w:before="60" w:after="60" w:line="240" w:lineRule="auto"/>
              <w:ind w:left="318" w:hanging="284"/>
              <w:jc w:val="left"/>
              <w:rPr>
                <w:rFonts w:eastAsia="Calibri" w:cs="Times New Roman"/>
                <w:b/>
                <w:color w:val="000000"/>
                <w:sz w:val="22"/>
                <w:szCs w:val="22"/>
                <w:lang w:eastAsia="en-US"/>
              </w:rPr>
            </w:pPr>
            <w:r w:rsidRPr="00F10F4F">
              <w:rPr>
                <w:rFonts w:eastAsia="Calibri" w:cs="Times New Roman"/>
                <w:b/>
                <w:sz w:val="22"/>
                <w:szCs w:val="22"/>
                <w:lang w:eastAsia="en-US"/>
              </w:rPr>
              <w:t>Jaki problem jest rozwiązywany?</w:t>
            </w:r>
            <w:bookmarkStart w:id="2" w:name="Wybór1"/>
            <w:bookmarkEnd w:id="2"/>
          </w:p>
        </w:tc>
      </w:tr>
      <w:tr w:rsidR="00F10F4F" w:rsidRPr="00F10F4F" w:rsidTr="00CE46B1">
        <w:trPr>
          <w:gridAfter w:val="1"/>
          <w:wAfter w:w="10" w:type="dxa"/>
          <w:trHeight w:val="142"/>
        </w:trPr>
        <w:tc>
          <w:tcPr>
            <w:tcW w:w="10937" w:type="dxa"/>
            <w:gridSpan w:val="28"/>
            <w:shd w:val="clear" w:color="auto" w:fill="FFFFFF"/>
          </w:tcPr>
          <w:p w:rsidR="00F10F4F" w:rsidRPr="00F10F4F" w:rsidRDefault="00F10F4F" w:rsidP="00F10F4F">
            <w:pPr>
              <w:widowControl/>
              <w:spacing w:line="240" w:lineRule="auto"/>
              <w:rPr>
                <w:rFonts w:eastAsia="Calibri" w:cs="Times New Roman"/>
                <w:bCs/>
                <w:sz w:val="22"/>
                <w:szCs w:val="22"/>
              </w:rPr>
            </w:pPr>
          </w:p>
          <w:p w:rsidR="00F10F4F" w:rsidRPr="00F10F4F" w:rsidRDefault="00F10F4F" w:rsidP="00F10F4F">
            <w:pPr>
              <w:widowControl/>
              <w:spacing w:line="240" w:lineRule="auto"/>
              <w:rPr>
                <w:rFonts w:eastAsia="Calibri" w:cs="Times New Roman"/>
                <w:bCs/>
                <w:sz w:val="22"/>
                <w:szCs w:val="22"/>
              </w:rPr>
            </w:pPr>
            <w:r w:rsidRPr="00F10F4F">
              <w:rPr>
                <w:rFonts w:eastAsia="Calibri" w:cs="Times New Roman"/>
                <w:bCs/>
                <w:sz w:val="22"/>
                <w:szCs w:val="22"/>
              </w:rPr>
              <w:t xml:space="preserve">Trybunał Konstytucyjny (TK) w wyroku z dnia 23 listopada 2016 r. (sygn. akt K 6/14) stwierdził niezgodność art. 46 ust. 1 </w:t>
            </w:r>
            <w:r w:rsidRPr="00F10F4F">
              <w:rPr>
                <w:rFonts w:eastAsia="Calibri" w:cs="Times New Roman"/>
                <w:bCs/>
                <w:i/>
                <w:sz w:val="22"/>
                <w:szCs w:val="22"/>
              </w:rPr>
              <w:t>ustawy z dnia 22 listopada 2013 r. o postępowaniu wobec osób z zaburzeniami psychicznymi stwarzających zagrożenie życia, zdrowia lub wolności seksualnej innych osób</w:t>
            </w:r>
            <w:r w:rsidRPr="00F10F4F">
              <w:rPr>
                <w:rFonts w:eastAsia="Calibri" w:cs="Times New Roman"/>
                <w:bCs/>
                <w:sz w:val="22"/>
                <w:szCs w:val="22"/>
              </w:rPr>
              <w:t xml:space="preserve"> z Konstytucją. TK wyraził takie stanowisko, ponieważ procedura, która definiuje niezbędne działania, jakie muszą zostać spełnione przy podejmowaniu decyzji o dalszym przedłużeniu pobytu w </w:t>
            </w:r>
            <w:r w:rsidRPr="00F10F4F">
              <w:rPr>
                <w:rFonts w:eastAsia="Calibri" w:cs="Times New Roman"/>
                <w:bCs/>
                <w:i/>
                <w:sz w:val="22"/>
                <w:szCs w:val="22"/>
              </w:rPr>
              <w:t>Krajowym Ośrodku Zapobiegania Zachowaniom Dyssocjalnym</w:t>
            </w:r>
            <w:r w:rsidRPr="00F10F4F">
              <w:rPr>
                <w:rFonts w:eastAsia="Calibri" w:cs="Times New Roman"/>
                <w:bCs/>
                <w:sz w:val="22"/>
                <w:szCs w:val="22"/>
              </w:rPr>
              <w:t xml:space="preserve"> (dalej: </w:t>
            </w:r>
            <w:r w:rsidRPr="00F10F4F">
              <w:rPr>
                <w:rFonts w:eastAsia="Calibri" w:cs="Times New Roman"/>
                <w:bCs/>
                <w:i/>
                <w:sz w:val="22"/>
                <w:szCs w:val="22"/>
              </w:rPr>
              <w:t>Ośrodku</w:t>
            </w:r>
            <w:r w:rsidRPr="00F10F4F">
              <w:rPr>
                <w:rFonts w:eastAsia="Calibri" w:cs="Times New Roman"/>
                <w:bCs/>
                <w:sz w:val="22"/>
                <w:szCs w:val="22"/>
              </w:rPr>
              <w:t>) osoby stwarzającej zagrożenie, przewiduje wymóg pozyskania opinii tylko jednego lekarza psychiatry oraz wyników postępowania terapeutycznego. W ocenie TK procedura ta stanowi wyraźne obniżenie standardu dopuszczalności ograniczenia wolności osobistej osoby stwarzającej zagrożenie, gdyż jedna opinia lekarza psychiatry zatrudnionego w </w:t>
            </w:r>
            <w:r w:rsidRPr="00F10F4F">
              <w:rPr>
                <w:rFonts w:eastAsia="Calibri" w:cs="Times New Roman"/>
                <w:bCs/>
                <w:i/>
                <w:sz w:val="22"/>
                <w:szCs w:val="22"/>
              </w:rPr>
              <w:t>Ośrodku</w:t>
            </w:r>
            <w:r w:rsidRPr="00F10F4F">
              <w:rPr>
                <w:rFonts w:eastAsia="Calibri" w:cs="Times New Roman"/>
                <w:bCs/>
                <w:sz w:val="22"/>
                <w:szCs w:val="22"/>
              </w:rPr>
              <w:t xml:space="preserve"> takich konstytucyjnych oraz konwencyjnych gwarancji nie zapewnia.  </w:t>
            </w:r>
          </w:p>
          <w:p w:rsidR="00F10F4F" w:rsidRPr="00F10F4F" w:rsidRDefault="00F10F4F" w:rsidP="00F10F4F">
            <w:pPr>
              <w:widowControl/>
              <w:spacing w:line="240" w:lineRule="auto"/>
              <w:rPr>
                <w:rFonts w:eastAsia="Calibri" w:cs="Times New Roman"/>
                <w:bCs/>
                <w:sz w:val="22"/>
                <w:szCs w:val="22"/>
              </w:rPr>
            </w:pPr>
          </w:p>
        </w:tc>
      </w:tr>
      <w:tr w:rsidR="00F10F4F" w:rsidRPr="00F10F4F" w:rsidTr="00CE46B1">
        <w:trPr>
          <w:gridAfter w:val="1"/>
          <w:wAfter w:w="10" w:type="dxa"/>
          <w:trHeight w:val="142"/>
        </w:trPr>
        <w:tc>
          <w:tcPr>
            <w:tcW w:w="10937" w:type="dxa"/>
            <w:gridSpan w:val="28"/>
            <w:shd w:val="clear" w:color="auto" w:fill="99CCFF"/>
            <w:vAlign w:val="center"/>
          </w:tcPr>
          <w:p w:rsidR="00F10F4F" w:rsidRPr="00F10F4F" w:rsidRDefault="00F10F4F" w:rsidP="00F10F4F">
            <w:pPr>
              <w:widowControl/>
              <w:numPr>
                <w:ilvl w:val="0"/>
                <w:numId w:val="45"/>
              </w:numPr>
              <w:autoSpaceDE/>
              <w:autoSpaceDN/>
              <w:adjustRightInd/>
              <w:spacing w:before="60" w:after="60" w:line="240" w:lineRule="auto"/>
              <w:ind w:left="318" w:hanging="284"/>
              <w:jc w:val="left"/>
              <w:rPr>
                <w:rFonts w:eastAsia="Calibri" w:cs="Times New Roman"/>
                <w:b/>
                <w:color w:val="000000"/>
                <w:sz w:val="22"/>
                <w:szCs w:val="22"/>
                <w:lang w:eastAsia="en-US"/>
              </w:rPr>
            </w:pPr>
            <w:r w:rsidRPr="00F10F4F">
              <w:rPr>
                <w:rFonts w:eastAsia="Calibri" w:cs="Times New Roman"/>
                <w:b/>
                <w:color w:val="000000"/>
                <w:spacing w:val="-2"/>
                <w:sz w:val="22"/>
                <w:szCs w:val="22"/>
                <w:lang w:eastAsia="en-US"/>
              </w:rPr>
              <w:t>Rekomendowane rozwiązanie, w tym planowane narzędzia interwencji, i oczekiwany efekt.</w:t>
            </w:r>
          </w:p>
        </w:tc>
      </w:tr>
      <w:tr w:rsidR="00F10F4F" w:rsidRPr="00F10F4F" w:rsidTr="00CE46B1">
        <w:trPr>
          <w:gridAfter w:val="1"/>
          <w:wAfter w:w="10" w:type="dxa"/>
          <w:trHeight w:val="142"/>
        </w:trPr>
        <w:tc>
          <w:tcPr>
            <w:tcW w:w="10937" w:type="dxa"/>
            <w:gridSpan w:val="28"/>
            <w:shd w:val="clear" w:color="auto" w:fill="auto"/>
          </w:tcPr>
          <w:p w:rsidR="00F10F4F" w:rsidRPr="00F10F4F" w:rsidRDefault="00F10F4F" w:rsidP="00F10F4F">
            <w:pPr>
              <w:widowControl/>
              <w:autoSpaceDE/>
              <w:autoSpaceDN/>
              <w:adjustRightInd/>
              <w:spacing w:line="240" w:lineRule="auto"/>
              <w:rPr>
                <w:rFonts w:eastAsia="Calibri" w:cs="Times New Roman"/>
                <w:color w:val="000000"/>
                <w:spacing w:val="-2"/>
                <w:sz w:val="22"/>
                <w:szCs w:val="22"/>
                <w:lang w:eastAsia="en-US"/>
              </w:rPr>
            </w:pPr>
            <w:r w:rsidRPr="00F10F4F">
              <w:rPr>
                <w:rFonts w:eastAsia="Calibri" w:cs="Times New Roman"/>
                <w:color w:val="000000"/>
                <w:spacing w:val="-2"/>
                <w:sz w:val="22"/>
                <w:szCs w:val="22"/>
                <w:lang w:eastAsia="en-US"/>
              </w:rPr>
              <w:t xml:space="preserve">Rekomendowane rozwiązanie w postaci projektu </w:t>
            </w:r>
            <w:r w:rsidRPr="00F10F4F">
              <w:rPr>
                <w:rFonts w:eastAsia="Calibri" w:cs="Times New Roman"/>
                <w:i/>
                <w:color w:val="000000"/>
                <w:sz w:val="22"/>
                <w:szCs w:val="22"/>
                <w:lang w:eastAsia="en-US"/>
              </w:rPr>
              <w:t>ustawy o zmianie ustawy o postępowaniu wobec osób z zaburzeniami psychicznymi stwarzających zagrożenie życia, zdrowia lub wolności seksualnej innych osób</w:t>
            </w:r>
            <w:r w:rsidRPr="00F10F4F">
              <w:rPr>
                <w:rFonts w:eastAsia="Calibri" w:cs="Times New Roman"/>
                <w:color w:val="000000"/>
                <w:sz w:val="22"/>
                <w:szCs w:val="22"/>
                <w:lang w:eastAsia="en-US"/>
              </w:rPr>
              <w:t xml:space="preserve"> </w:t>
            </w:r>
            <w:r w:rsidRPr="00F10F4F">
              <w:rPr>
                <w:rFonts w:eastAsia="Calibri" w:cs="Times New Roman"/>
                <w:color w:val="000000"/>
                <w:spacing w:val="-2"/>
                <w:sz w:val="22"/>
                <w:szCs w:val="22"/>
                <w:lang w:eastAsia="en-US"/>
              </w:rPr>
              <w:t>wprowadza następujące zmiany:</w:t>
            </w:r>
          </w:p>
          <w:p w:rsidR="00F10F4F" w:rsidRPr="00F10F4F" w:rsidRDefault="00F10F4F" w:rsidP="00F10F4F">
            <w:pPr>
              <w:widowControl/>
              <w:autoSpaceDE/>
              <w:autoSpaceDN/>
              <w:adjustRightInd/>
              <w:spacing w:line="240" w:lineRule="auto"/>
              <w:rPr>
                <w:rFonts w:eastAsia="Calibri" w:cs="Times New Roman"/>
                <w:color w:val="000000"/>
                <w:spacing w:val="-2"/>
                <w:sz w:val="22"/>
                <w:szCs w:val="22"/>
                <w:lang w:eastAsia="en-US"/>
              </w:rPr>
            </w:pPr>
          </w:p>
          <w:p w:rsidR="00F10F4F" w:rsidRPr="00F10F4F" w:rsidRDefault="00F10F4F" w:rsidP="00F10F4F">
            <w:pPr>
              <w:widowControl/>
              <w:numPr>
                <w:ilvl w:val="0"/>
                <w:numId w:val="46"/>
              </w:numPr>
              <w:autoSpaceDE/>
              <w:autoSpaceDN/>
              <w:adjustRightInd/>
              <w:spacing w:line="240" w:lineRule="auto"/>
              <w:contextualSpacing/>
              <w:jc w:val="left"/>
              <w:rPr>
                <w:rFonts w:eastAsia="Calibri" w:cs="Times New Roman"/>
                <w:color w:val="000000"/>
                <w:spacing w:val="-2"/>
                <w:sz w:val="22"/>
                <w:szCs w:val="22"/>
                <w:lang w:eastAsia="en-US"/>
              </w:rPr>
            </w:pPr>
            <w:r w:rsidRPr="00F10F4F">
              <w:rPr>
                <w:rFonts w:eastAsia="Calibri" w:cs="Times New Roman"/>
                <w:color w:val="000000"/>
                <w:spacing w:val="-2"/>
                <w:sz w:val="22"/>
                <w:szCs w:val="22"/>
                <w:lang w:eastAsia="en-US"/>
              </w:rPr>
              <w:t xml:space="preserve">sąd będzie ustalał czy niezbędny jest dalszy pobyt w </w:t>
            </w:r>
            <w:r w:rsidRPr="00F10F4F">
              <w:rPr>
                <w:rFonts w:eastAsia="Calibri" w:cs="Times New Roman"/>
                <w:i/>
                <w:color w:val="000000"/>
                <w:sz w:val="22"/>
                <w:szCs w:val="22"/>
                <w:lang w:eastAsia="en-US"/>
              </w:rPr>
              <w:t xml:space="preserve">Ośrodku </w:t>
            </w:r>
            <w:r w:rsidRPr="00F10F4F">
              <w:rPr>
                <w:rFonts w:eastAsia="Calibri" w:cs="Times New Roman"/>
                <w:color w:val="000000"/>
                <w:spacing w:val="-2"/>
                <w:sz w:val="22"/>
                <w:szCs w:val="22"/>
                <w:lang w:eastAsia="en-US"/>
              </w:rPr>
              <w:t>osoby stwarzającej zagrożenie, na podstawie opinii sporządzonej przez co najmniej dwóch biegłych lekarzy psychiatrów, ponadto w sprawach osób z zaburzeniami osobowości biegłego psychologa, a w sprawach osób z zaburzeniami preferencji seksualnych biegłego lekarza seksuologa lub certyfikowanego psychologa seksuologa,</w:t>
            </w:r>
          </w:p>
          <w:p w:rsidR="00F10F4F" w:rsidRPr="00F10F4F" w:rsidRDefault="00F10F4F" w:rsidP="00F10F4F">
            <w:pPr>
              <w:widowControl/>
              <w:numPr>
                <w:ilvl w:val="0"/>
                <w:numId w:val="46"/>
              </w:numPr>
              <w:autoSpaceDE/>
              <w:autoSpaceDN/>
              <w:adjustRightInd/>
              <w:spacing w:line="240" w:lineRule="auto"/>
              <w:contextualSpacing/>
              <w:jc w:val="left"/>
              <w:rPr>
                <w:rFonts w:eastAsia="Calibri" w:cs="Times New Roman"/>
                <w:color w:val="000000"/>
                <w:spacing w:val="-2"/>
                <w:sz w:val="22"/>
                <w:szCs w:val="22"/>
                <w:lang w:eastAsia="en-US"/>
              </w:rPr>
            </w:pPr>
            <w:r w:rsidRPr="00F10F4F">
              <w:rPr>
                <w:rFonts w:eastAsia="Calibri" w:cs="Times New Roman"/>
                <w:color w:val="000000"/>
                <w:spacing w:val="-2"/>
                <w:sz w:val="22"/>
                <w:szCs w:val="22"/>
                <w:lang w:eastAsia="en-US"/>
              </w:rPr>
              <w:t xml:space="preserve">kierownik </w:t>
            </w:r>
            <w:r w:rsidRPr="00F10F4F">
              <w:rPr>
                <w:rFonts w:eastAsia="Calibri" w:cs="Times New Roman"/>
                <w:i/>
                <w:color w:val="000000"/>
                <w:sz w:val="22"/>
                <w:szCs w:val="22"/>
                <w:lang w:eastAsia="en-US"/>
              </w:rPr>
              <w:t xml:space="preserve">Ośrodka </w:t>
            </w:r>
            <w:r w:rsidRPr="00F10F4F">
              <w:rPr>
                <w:rFonts w:eastAsia="Calibri" w:cs="Times New Roman"/>
                <w:color w:val="000000"/>
                <w:spacing w:val="-2"/>
                <w:sz w:val="22"/>
                <w:szCs w:val="22"/>
                <w:lang w:eastAsia="en-US"/>
              </w:rPr>
              <w:t>zobowiązany</w:t>
            </w:r>
            <w:r w:rsidRPr="00F10F4F">
              <w:rPr>
                <w:rFonts w:eastAsia="Calibri" w:cs="Times New Roman"/>
                <w:color w:val="000000"/>
                <w:sz w:val="22"/>
                <w:szCs w:val="22"/>
                <w:lang w:eastAsia="en-US"/>
              </w:rPr>
              <w:t xml:space="preserve"> będzie</w:t>
            </w:r>
            <w:r w:rsidRPr="00F10F4F">
              <w:rPr>
                <w:rFonts w:eastAsia="Calibri" w:cs="Times New Roman"/>
                <w:color w:val="000000"/>
                <w:spacing w:val="-2"/>
                <w:sz w:val="22"/>
                <w:szCs w:val="22"/>
                <w:lang w:eastAsia="en-US"/>
              </w:rPr>
              <w:t xml:space="preserve"> przesłać do sądu co 6 miesięcy jedynie informację o wynikach postępowania terapeutycznego.</w:t>
            </w:r>
          </w:p>
          <w:p w:rsidR="00F10F4F" w:rsidRPr="00F10F4F" w:rsidRDefault="00F10F4F" w:rsidP="00F10F4F">
            <w:pPr>
              <w:widowControl/>
              <w:autoSpaceDE/>
              <w:autoSpaceDN/>
              <w:adjustRightInd/>
              <w:spacing w:line="240" w:lineRule="auto"/>
              <w:rPr>
                <w:rFonts w:eastAsia="Calibri" w:cs="Times New Roman"/>
                <w:color w:val="000000"/>
                <w:spacing w:val="-2"/>
                <w:sz w:val="22"/>
                <w:szCs w:val="22"/>
                <w:lang w:eastAsia="en-US"/>
              </w:rPr>
            </w:pPr>
          </w:p>
          <w:p w:rsidR="00F10F4F" w:rsidRPr="00F10F4F" w:rsidRDefault="00F10F4F" w:rsidP="00F10F4F">
            <w:pPr>
              <w:widowControl/>
              <w:autoSpaceDE/>
              <w:autoSpaceDN/>
              <w:adjustRightInd/>
              <w:spacing w:line="240" w:lineRule="auto"/>
              <w:rPr>
                <w:rFonts w:eastAsia="Calibri" w:cs="Times New Roman"/>
                <w:color w:val="000000"/>
                <w:spacing w:val="-2"/>
                <w:sz w:val="22"/>
                <w:szCs w:val="22"/>
                <w:lang w:eastAsia="en-US"/>
              </w:rPr>
            </w:pPr>
            <w:r w:rsidRPr="00F10F4F">
              <w:rPr>
                <w:rFonts w:eastAsia="Calibri" w:cs="Times New Roman"/>
                <w:color w:val="000000"/>
                <w:spacing w:val="-2"/>
                <w:sz w:val="22"/>
                <w:szCs w:val="22"/>
                <w:lang w:eastAsia="en-US"/>
              </w:rPr>
              <w:t xml:space="preserve">Efektem przedmiotowej regulacji będzie podwyższenie standardu procedury orzekania o zasadności przedłużenia pobytu umieszczonej w </w:t>
            </w:r>
            <w:r w:rsidRPr="00F10F4F">
              <w:rPr>
                <w:rFonts w:eastAsia="Calibri" w:cs="Times New Roman"/>
                <w:i/>
                <w:color w:val="000000"/>
                <w:spacing w:val="-2"/>
                <w:sz w:val="22"/>
                <w:szCs w:val="22"/>
                <w:lang w:eastAsia="en-US"/>
              </w:rPr>
              <w:t>Ośrodku</w:t>
            </w:r>
            <w:r w:rsidRPr="00F10F4F">
              <w:rPr>
                <w:rFonts w:eastAsia="Calibri" w:cs="Times New Roman"/>
                <w:color w:val="000000"/>
                <w:spacing w:val="-2"/>
                <w:sz w:val="22"/>
                <w:szCs w:val="22"/>
                <w:lang w:eastAsia="en-US"/>
              </w:rPr>
              <w:t xml:space="preserve"> osoby stwarzającej zagrożenie. Przedmiotowa regulacja dostosuje system prawa do wyroku TK.</w:t>
            </w:r>
          </w:p>
        </w:tc>
      </w:tr>
      <w:tr w:rsidR="00F10F4F" w:rsidRPr="00F10F4F" w:rsidTr="00CE46B1">
        <w:trPr>
          <w:gridAfter w:val="1"/>
          <w:wAfter w:w="10" w:type="dxa"/>
          <w:trHeight w:val="307"/>
        </w:trPr>
        <w:tc>
          <w:tcPr>
            <w:tcW w:w="10937" w:type="dxa"/>
            <w:gridSpan w:val="28"/>
            <w:shd w:val="clear" w:color="auto" w:fill="99CCFF"/>
            <w:vAlign w:val="center"/>
          </w:tcPr>
          <w:p w:rsidR="00F10F4F" w:rsidRPr="00F10F4F" w:rsidRDefault="00F10F4F" w:rsidP="00F10F4F">
            <w:pPr>
              <w:widowControl/>
              <w:numPr>
                <w:ilvl w:val="0"/>
                <w:numId w:val="45"/>
              </w:numPr>
              <w:autoSpaceDE/>
              <w:autoSpaceDN/>
              <w:adjustRightInd/>
              <w:spacing w:before="60" w:after="60" w:line="240" w:lineRule="auto"/>
              <w:ind w:left="318" w:hanging="284"/>
              <w:jc w:val="left"/>
              <w:rPr>
                <w:rFonts w:eastAsia="Calibri" w:cs="Times New Roman"/>
                <w:b/>
                <w:color w:val="000000"/>
                <w:sz w:val="22"/>
                <w:szCs w:val="22"/>
                <w:lang w:eastAsia="en-US"/>
              </w:rPr>
            </w:pPr>
            <w:r w:rsidRPr="00F10F4F">
              <w:rPr>
                <w:rFonts w:eastAsia="Calibri" w:cs="Times New Roman"/>
                <w:b/>
                <w:spacing w:val="-2"/>
                <w:sz w:val="22"/>
                <w:szCs w:val="22"/>
                <w:lang w:eastAsia="en-US"/>
              </w:rPr>
              <w:t>Jak problem został rozwiązany w innych krajach, w szczególności krajach członkowskich OECD/UE</w:t>
            </w:r>
            <w:r w:rsidRPr="00F10F4F">
              <w:rPr>
                <w:rFonts w:eastAsia="Calibri" w:cs="Times New Roman"/>
                <w:b/>
                <w:color w:val="000000"/>
                <w:sz w:val="22"/>
                <w:szCs w:val="22"/>
                <w:lang w:eastAsia="en-US"/>
              </w:rPr>
              <w:t>?</w:t>
            </w:r>
            <w:r w:rsidRPr="00F10F4F">
              <w:rPr>
                <w:rFonts w:eastAsia="Calibri" w:cs="Times New Roman"/>
                <w:i/>
                <w:color w:val="000000"/>
                <w:sz w:val="22"/>
                <w:szCs w:val="22"/>
                <w:lang w:eastAsia="en-US"/>
              </w:rPr>
              <w:t xml:space="preserve"> </w:t>
            </w:r>
          </w:p>
        </w:tc>
      </w:tr>
      <w:tr w:rsidR="00F10F4F" w:rsidRPr="00F10F4F" w:rsidTr="00CE46B1">
        <w:trPr>
          <w:gridAfter w:val="1"/>
          <w:wAfter w:w="10" w:type="dxa"/>
          <w:trHeight w:val="142"/>
        </w:trPr>
        <w:tc>
          <w:tcPr>
            <w:tcW w:w="10937" w:type="dxa"/>
            <w:gridSpan w:val="28"/>
            <w:shd w:val="clear" w:color="auto" w:fill="auto"/>
          </w:tcPr>
          <w:p w:rsidR="00F10F4F" w:rsidRPr="00F10F4F" w:rsidRDefault="00F10F4F" w:rsidP="00F10F4F">
            <w:pPr>
              <w:widowControl/>
              <w:autoSpaceDE/>
              <w:autoSpaceDN/>
              <w:adjustRightInd/>
              <w:spacing w:line="240" w:lineRule="auto"/>
              <w:rPr>
                <w:rFonts w:eastAsia="Calibri" w:cs="Times New Roman"/>
                <w:color w:val="000000"/>
                <w:spacing w:val="-2"/>
                <w:sz w:val="22"/>
                <w:szCs w:val="22"/>
                <w:lang w:eastAsia="en-US"/>
              </w:rPr>
            </w:pPr>
            <w:r w:rsidRPr="00F10F4F">
              <w:rPr>
                <w:rFonts w:eastAsia="Calibri" w:cs="Times New Roman"/>
                <w:color w:val="000000"/>
                <w:spacing w:val="-2"/>
                <w:sz w:val="22"/>
                <w:szCs w:val="22"/>
                <w:lang w:eastAsia="en-US"/>
              </w:rPr>
              <w:t>W systemach prawnych państw (np.: Czech, Francji, Niemiec, Norwegii, Szwajcarii, Stanów Zjednoczonych), w sprawach stosowania środków izolacyjnych wobec osób niebezpiecznych ze względu na ich głębokie zaburzenia osobowości i stwarzanego wskutek tego zagrożenia dla innych przewidziany jest udział biegłych, zazwyczaj lekarzy psychiatrów, psychologów, seksuologów, neurologów, opracowujących ekspertyzy dla sądu odnośnie do podsądnych. W Szwajcarii zgodnie z kodeksem karnym sąd powołuje co najmniej dwóch biegłych do przygotowania opinii na potrzeby postępowania (podobnie w Niemczech). Wagę powołania dwóch biegłych podkreślił czeski Sąd Konstytucyjny.</w:t>
            </w:r>
          </w:p>
        </w:tc>
      </w:tr>
      <w:tr w:rsidR="00F10F4F" w:rsidRPr="00F10F4F" w:rsidTr="00CE46B1">
        <w:trPr>
          <w:gridAfter w:val="1"/>
          <w:wAfter w:w="10" w:type="dxa"/>
          <w:trHeight w:val="359"/>
        </w:trPr>
        <w:tc>
          <w:tcPr>
            <w:tcW w:w="10937" w:type="dxa"/>
            <w:gridSpan w:val="28"/>
            <w:shd w:val="clear" w:color="auto" w:fill="99CCFF"/>
            <w:vAlign w:val="center"/>
          </w:tcPr>
          <w:p w:rsidR="00F10F4F" w:rsidRPr="00F10F4F" w:rsidRDefault="00F10F4F" w:rsidP="00F10F4F">
            <w:pPr>
              <w:widowControl/>
              <w:numPr>
                <w:ilvl w:val="0"/>
                <w:numId w:val="45"/>
              </w:numPr>
              <w:autoSpaceDE/>
              <w:autoSpaceDN/>
              <w:adjustRightInd/>
              <w:spacing w:before="60" w:after="60" w:line="240" w:lineRule="auto"/>
              <w:ind w:left="318" w:hanging="284"/>
              <w:jc w:val="left"/>
              <w:rPr>
                <w:rFonts w:eastAsia="Calibri" w:cs="Times New Roman"/>
                <w:b/>
                <w:color w:val="000000"/>
                <w:sz w:val="22"/>
                <w:szCs w:val="22"/>
                <w:lang w:eastAsia="en-US"/>
              </w:rPr>
            </w:pPr>
            <w:r w:rsidRPr="00F10F4F">
              <w:rPr>
                <w:rFonts w:eastAsia="Calibri" w:cs="Times New Roman"/>
                <w:b/>
                <w:color w:val="000000"/>
                <w:sz w:val="22"/>
                <w:szCs w:val="22"/>
                <w:lang w:eastAsia="en-US"/>
              </w:rPr>
              <w:t>Podmioty, na które oddziałuje projekt.</w:t>
            </w:r>
          </w:p>
        </w:tc>
      </w:tr>
      <w:tr w:rsidR="00F10F4F" w:rsidRPr="00F10F4F" w:rsidTr="00CE46B1">
        <w:trPr>
          <w:gridAfter w:val="1"/>
          <w:wAfter w:w="10" w:type="dxa"/>
          <w:trHeight w:val="142"/>
        </w:trPr>
        <w:tc>
          <w:tcPr>
            <w:tcW w:w="3403" w:type="dxa"/>
            <w:gridSpan w:val="4"/>
            <w:shd w:val="clear" w:color="auto" w:fill="auto"/>
          </w:tcPr>
          <w:p w:rsidR="00F10F4F" w:rsidRPr="00F10F4F" w:rsidRDefault="00F10F4F" w:rsidP="00F10F4F">
            <w:pPr>
              <w:widowControl/>
              <w:autoSpaceDE/>
              <w:autoSpaceDN/>
              <w:adjustRightInd/>
              <w:spacing w:before="40" w:line="240" w:lineRule="auto"/>
              <w:jc w:val="center"/>
              <w:rPr>
                <w:rFonts w:eastAsia="Calibri" w:cs="Times New Roman"/>
                <w:color w:val="000000"/>
                <w:spacing w:val="-2"/>
                <w:sz w:val="22"/>
                <w:szCs w:val="22"/>
                <w:lang w:eastAsia="en-US"/>
              </w:rPr>
            </w:pPr>
            <w:r w:rsidRPr="00F10F4F">
              <w:rPr>
                <w:rFonts w:eastAsia="Calibri" w:cs="Times New Roman"/>
                <w:color w:val="000000"/>
                <w:spacing w:val="-2"/>
                <w:sz w:val="22"/>
                <w:szCs w:val="22"/>
                <w:lang w:eastAsia="en-US"/>
              </w:rPr>
              <w:t>Grupa</w:t>
            </w:r>
          </w:p>
        </w:tc>
        <w:tc>
          <w:tcPr>
            <w:tcW w:w="1417" w:type="dxa"/>
            <w:gridSpan w:val="5"/>
            <w:shd w:val="clear" w:color="auto" w:fill="auto"/>
          </w:tcPr>
          <w:p w:rsidR="00F10F4F" w:rsidRPr="00F10F4F" w:rsidRDefault="00F10F4F" w:rsidP="00F10F4F">
            <w:pPr>
              <w:widowControl/>
              <w:autoSpaceDE/>
              <w:autoSpaceDN/>
              <w:adjustRightInd/>
              <w:spacing w:before="40" w:line="240" w:lineRule="auto"/>
              <w:jc w:val="center"/>
              <w:rPr>
                <w:rFonts w:eastAsia="Calibri" w:cs="Times New Roman"/>
                <w:color w:val="000000"/>
                <w:spacing w:val="-2"/>
                <w:sz w:val="22"/>
                <w:szCs w:val="22"/>
                <w:lang w:eastAsia="en-US"/>
              </w:rPr>
            </w:pPr>
            <w:r w:rsidRPr="00F10F4F">
              <w:rPr>
                <w:rFonts w:eastAsia="Calibri" w:cs="Times New Roman"/>
                <w:color w:val="000000"/>
                <w:spacing w:val="-2"/>
                <w:sz w:val="22"/>
                <w:szCs w:val="22"/>
                <w:lang w:eastAsia="en-US"/>
              </w:rPr>
              <w:t>Wielkość</w:t>
            </w:r>
          </w:p>
        </w:tc>
        <w:tc>
          <w:tcPr>
            <w:tcW w:w="1276" w:type="dxa"/>
            <w:gridSpan w:val="6"/>
            <w:shd w:val="clear" w:color="auto" w:fill="auto"/>
          </w:tcPr>
          <w:p w:rsidR="00F10F4F" w:rsidRPr="00F10F4F" w:rsidRDefault="00F10F4F" w:rsidP="00F10F4F">
            <w:pPr>
              <w:widowControl/>
              <w:autoSpaceDE/>
              <w:autoSpaceDN/>
              <w:adjustRightInd/>
              <w:spacing w:before="40" w:line="240" w:lineRule="auto"/>
              <w:jc w:val="center"/>
              <w:rPr>
                <w:rFonts w:eastAsia="Calibri" w:cs="Times New Roman"/>
                <w:color w:val="000000"/>
                <w:spacing w:val="-2"/>
                <w:sz w:val="22"/>
                <w:szCs w:val="22"/>
                <w:lang w:eastAsia="en-US"/>
              </w:rPr>
            </w:pPr>
            <w:r w:rsidRPr="00F10F4F">
              <w:rPr>
                <w:rFonts w:eastAsia="Calibri" w:cs="Times New Roman"/>
                <w:color w:val="000000"/>
                <w:spacing w:val="-2"/>
                <w:sz w:val="22"/>
                <w:szCs w:val="22"/>
                <w:lang w:eastAsia="en-US"/>
              </w:rPr>
              <w:t>Źródło danych</w:t>
            </w:r>
            <w:r w:rsidRPr="00F10F4F" w:rsidDel="00260F33">
              <w:rPr>
                <w:rFonts w:eastAsia="Calibri" w:cs="Times New Roman"/>
                <w:color w:val="000000"/>
                <w:spacing w:val="-2"/>
                <w:sz w:val="22"/>
                <w:szCs w:val="22"/>
                <w:lang w:eastAsia="en-US"/>
              </w:rPr>
              <w:t xml:space="preserve"> </w:t>
            </w:r>
          </w:p>
        </w:tc>
        <w:tc>
          <w:tcPr>
            <w:tcW w:w="4841" w:type="dxa"/>
            <w:gridSpan w:val="13"/>
            <w:shd w:val="clear" w:color="auto" w:fill="auto"/>
          </w:tcPr>
          <w:p w:rsidR="00F10F4F" w:rsidRPr="00F10F4F" w:rsidRDefault="00F10F4F" w:rsidP="00F10F4F">
            <w:pPr>
              <w:widowControl/>
              <w:autoSpaceDE/>
              <w:autoSpaceDN/>
              <w:adjustRightInd/>
              <w:spacing w:before="40" w:line="240" w:lineRule="auto"/>
              <w:jc w:val="center"/>
              <w:rPr>
                <w:rFonts w:eastAsia="Calibri" w:cs="Times New Roman"/>
                <w:color w:val="000000"/>
                <w:spacing w:val="-2"/>
                <w:sz w:val="22"/>
                <w:szCs w:val="22"/>
                <w:lang w:eastAsia="en-US"/>
              </w:rPr>
            </w:pPr>
            <w:r w:rsidRPr="00F10F4F">
              <w:rPr>
                <w:rFonts w:eastAsia="Calibri" w:cs="Times New Roman"/>
                <w:color w:val="000000"/>
                <w:spacing w:val="-2"/>
                <w:sz w:val="22"/>
                <w:szCs w:val="22"/>
                <w:lang w:eastAsia="en-US"/>
              </w:rPr>
              <w:t>Oddziaływanie</w:t>
            </w:r>
          </w:p>
        </w:tc>
      </w:tr>
      <w:tr w:rsidR="00F10F4F" w:rsidRPr="00F10F4F" w:rsidTr="00CE46B1">
        <w:trPr>
          <w:gridAfter w:val="1"/>
          <w:wAfter w:w="10" w:type="dxa"/>
          <w:trHeight w:val="142"/>
        </w:trPr>
        <w:tc>
          <w:tcPr>
            <w:tcW w:w="3403" w:type="dxa"/>
            <w:gridSpan w:val="4"/>
            <w:shd w:val="clear" w:color="auto" w:fill="auto"/>
            <w:vAlign w:val="center"/>
          </w:tcPr>
          <w:p w:rsidR="00F10F4F" w:rsidRPr="00F10F4F" w:rsidRDefault="00F10F4F" w:rsidP="00F10F4F">
            <w:pPr>
              <w:widowControl/>
              <w:autoSpaceDE/>
              <w:autoSpaceDN/>
              <w:adjustRightInd/>
              <w:spacing w:line="240" w:lineRule="auto"/>
              <w:jc w:val="center"/>
              <w:rPr>
                <w:rFonts w:eastAsia="Calibri" w:cs="Times New Roman"/>
                <w:color w:val="000000"/>
                <w:spacing w:val="-2"/>
                <w:sz w:val="22"/>
                <w:szCs w:val="22"/>
                <w:lang w:eastAsia="en-US"/>
              </w:rPr>
            </w:pPr>
            <w:r w:rsidRPr="00F10F4F">
              <w:rPr>
                <w:rFonts w:eastAsia="Calibri" w:cs="Times New Roman"/>
                <w:color w:val="000000"/>
                <w:spacing w:val="-2"/>
                <w:sz w:val="22"/>
                <w:szCs w:val="22"/>
                <w:lang w:eastAsia="en-US"/>
              </w:rPr>
              <w:t xml:space="preserve">osoby stwarzające zagrożenie umieszczone w </w:t>
            </w:r>
            <w:r w:rsidRPr="00F10F4F">
              <w:rPr>
                <w:rFonts w:eastAsia="Calibri" w:cs="Times New Roman"/>
                <w:i/>
                <w:color w:val="000000"/>
                <w:sz w:val="22"/>
                <w:szCs w:val="22"/>
                <w:lang w:eastAsia="en-US"/>
              </w:rPr>
              <w:t xml:space="preserve">Ośrodku </w:t>
            </w:r>
          </w:p>
        </w:tc>
        <w:tc>
          <w:tcPr>
            <w:tcW w:w="1417" w:type="dxa"/>
            <w:gridSpan w:val="5"/>
            <w:shd w:val="clear" w:color="auto" w:fill="auto"/>
          </w:tcPr>
          <w:p w:rsidR="00F10F4F" w:rsidRPr="00F10F4F" w:rsidRDefault="00F10F4F" w:rsidP="00F10F4F">
            <w:pPr>
              <w:widowControl/>
              <w:autoSpaceDE/>
              <w:autoSpaceDN/>
              <w:adjustRightInd/>
              <w:spacing w:line="240" w:lineRule="auto"/>
              <w:jc w:val="center"/>
              <w:rPr>
                <w:rFonts w:eastAsia="Calibri" w:cs="Times New Roman"/>
                <w:color w:val="000000"/>
                <w:spacing w:val="-2"/>
                <w:sz w:val="22"/>
                <w:szCs w:val="22"/>
                <w:lang w:eastAsia="en-US"/>
              </w:rPr>
            </w:pPr>
            <w:r w:rsidRPr="00F10F4F">
              <w:rPr>
                <w:rFonts w:eastAsia="Calibri" w:cs="Times New Roman"/>
                <w:color w:val="000000"/>
                <w:spacing w:val="-2"/>
                <w:sz w:val="22"/>
                <w:szCs w:val="22"/>
                <w:lang w:eastAsia="en-US"/>
              </w:rPr>
              <w:t>aktualnie</w:t>
            </w:r>
          </w:p>
          <w:p w:rsidR="00F10F4F" w:rsidRPr="00F10F4F" w:rsidRDefault="00F10F4F" w:rsidP="00F10F4F">
            <w:pPr>
              <w:widowControl/>
              <w:autoSpaceDE/>
              <w:autoSpaceDN/>
              <w:adjustRightInd/>
              <w:spacing w:line="240" w:lineRule="auto"/>
              <w:jc w:val="center"/>
              <w:rPr>
                <w:rFonts w:eastAsia="Calibri" w:cs="Times New Roman"/>
                <w:color w:val="000000"/>
                <w:spacing w:val="-2"/>
                <w:sz w:val="22"/>
                <w:szCs w:val="22"/>
                <w:lang w:eastAsia="en-US"/>
              </w:rPr>
            </w:pPr>
            <w:r w:rsidRPr="00F10F4F">
              <w:rPr>
                <w:rFonts w:eastAsia="Calibri" w:cs="Times New Roman"/>
                <w:color w:val="000000"/>
                <w:spacing w:val="-2"/>
                <w:sz w:val="22"/>
                <w:szCs w:val="22"/>
                <w:lang w:eastAsia="en-US"/>
              </w:rPr>
              <w:t>52 pacjentów</w:t>
            </w:r>
          </w:p>
        </w:tc>
        <w:tc>
          <w:tcPr>
            <w:tcW w:w="1276" w:type="dxa"/>
            <w:gridSpan w:val="6"/>
            <w:shd w:val="clear" w:color="auto" w:fill="auto"/>
          </w:tcPr>
          <w:p w:rsidR="00F10F4F" w:rsidRPr="00F10F4F" w:rsidRDefault="00F10F4F" w:rsidP="00F10F4F">
            <w:pPr>
              <w:widowControl/>
              <w:autoSpaceDE/>
              <w:autoSpaceDN/>
              <w:adjustRightInd/>
              <w:spacing w:line="240" w:lineRule="auto"/>
              <w:jc w:val="center"/>
              <w:rPr>
                <w:rFonts w:eastAsia="Calibri" w:cs="Times New Roman"/>
                <w:color w:val="000000"/>
                <w:spacing w:val="-2"/>
                <w:sz w:val="22"/>
                <w:szCs w:val="22"/>
                <w:lang w:eastAsia="en-US"/>
              </w:rPr>
            </w:pPr>
            <w:r w:rsidRPr="00F10F4F">
              <w:rPr>
                <w:rFonts w:eastAsia="Calibri" w:cs="Times New Roman"/>
                <w:color w:val="000000"/>
                <w:spacing w:val="-2"/>
                <w:sz w:val="22"/>
                <w:szCs w:val="22"/>
                <w:lang w:eastAsia="en-US"/>
              </w:rPr>
              <w:t>Minister Zdrowia</w:t>
            </w:r>
          </w:p>
        </w:tc>
        <w:tc>
          <w:tcPr>
            <w:tcW w:w="4841" w:type="dxa"/>
            <w:gridSpan w:val="13"/>
            <w:shd w:val="clear" w:color="auto" w:fill="auto"/>
            <w:vAlign w:val="center"/>
          </w:tcPr>
          <w:p w:rsidR="00F10F4F" w:rsidRPr="00F10F4F" w:rsidRDefault="00F10F4F" w:rsidP="00F10F4F">
            <w:pPr>
              <w:widowControl/>
              <w:autoSpaceDE/>
              <w:autoSpaceDN/>
              <w:adjustRightInd/>
              <w:spacing w:line="240" w:lineRule="auto"/>
              <w:rPr>
                <w:rFonts w:eastAsia="Calibri" w:cs="Times New Roman"/>
                <w:color w:val="000000"/>
                <w:spacing w:val="-2"/>
                <w:sz w:val="22"/>
                <w:szCs w:val="22"/>
                <w:lang w:eastAsia="en-US"/>
              </w:rPr>
            </w:pPr>
            <w:r w:rsidRPr="00F10F4F">
              <w:rPr>
                <w:rFonts w:eastAsia="Calibri" w:cs="Times New Roman"/>
                <w:color w:val="000000"/>
                <w:spacing w:val="-2"/>
                <w:sz w:val="22"/>
                <w:szCs w:val="22"/>
                <w:lang w:eastAsia="en-US"/>
              </w:rPr>
              <w:t xml:space="preserve">podwyższenie standardu procedury wydawania opinii o zasadności dalszego pobytu w </w:t>
            </w:r>
            <w:r w:rsidRPr="00F10F4F">
              <w:rPr>
                <w:rFonts w:eastAsia="Calibri" w:cs="Times New Roman"/>
                <w:i/>
                <w:color w:val="000000"/>
                <w:spacing w:val="-2"/>
                <w:sz w:val="22"/>
                <w:szCs w:val="22"/>
                <w:lang w:eastAsia="en-US"/>
              </w:rPr>
              <w:t>Ośrodku</w:t>
            </w:r>
          </w:p>
        </w:tc>
      </w:tr>
      <w:tr w:rsidR="00F10F4F" w:rsidRPr="00F10F4F" w:rsidTr="00CE46B1">
        <w:trPr>
          <w:gridAfter w:val="1"/>
          <w:wAfter w:w="10" w:type="dxa"/>
          <w:trHeight w:val="142"/>
        </w:trPr>
        <w:tc>
          <w:tcPr>
            <w:tcW w:w="3403" w:type="dxa"/>
            <w:gridSpan w:val="4"/>
            <w:shd w:val="clear" w:color="auto" w:fill="auto"/>
            <w:vAlign w:val="center"/>
          </w:tcPr>
          <w:p w:rsidR="00F10F4F" w:rsidRPr="00F10F4F" w:rsidRDefault="00F10F4F" w:rsidP="00F10F4F">
            <w:pPr>
              <w:widowControl/>
              <w:autoSpaceDE/>
              <w:autoSpaceDN/>
              <w:adjustRightInd/>
              <w:spacing w:line="240" w:lineRule="auto"/>
              <w:jc w:val="center"/>
              <w:rPr>
                <w:rFonts w:eastAsia="Calibri" w:cs="Times New Roman"/>
                <w:color w:val="000000"/>
                <w:spacing w:val="-2"/>
                <w:sz w:val="22"/>
                <w:szCs w:val="22"/>
                <w:lang w:eastAsia="en-US"/>
              </w:rPr>
            </w:pPr>
            <w:r w:rsidRPr="00F10F4F">
              <w:rPr>
                <w:rFonts w:eastAsia="Calibri" w:cs="Times New Roman"/>
                <w:color w:val="000000"/>
                <w:spacing w:val="-2"/>
                <w:sz w:val="22"/>
                <w:szCs w:val="22"/>
                <w:lang w:eastAsia="en-US"/>
              </w:rPr>
              <w:t>biegli (lekarz psychiatra, psycholog,  lekarz seksuolog lub certyfikowany psycholog seksuolog)</w:t>
            </w:r>
          </w:p>
        </w:tc>
        <w:tc>
          <w:tcPr>
            <w:tcW w:w="1417" w:type="dxa"/>
            <w:gridSpan w:val="5"/>
            <w:shd w:val="clear" w:color="auto" w:fill="auto"/>
          </w:tcPr>
          <w:p w:rsidR="00F10F4F" w:rsidRPr="00F10F4F" w:rsidRDefault="00F10F4F" w:rsidP="00F10F4F">
            <w:pPr>
              <w:widowControl/>
              <w:autoSpaceDE/>
              <w:autoSpaceDN/>
              <w:adjustRightInd/>
              <w:spacing w:line="240" w:lineRule="auto"/>
              <w:jc w:val="left"/>
              <w:rPr>
                <w:rFonts w:eastAsia="Calibri" w:cs="Times New Roman"/>
                <w:color w:val="000000"/>
                <w:spacing w:val="-2"/>
                <w:sz w:val="22"/>
                <w:szCs w:val="22"/>
                <w:lang w:eastAsia="en-US"/>
              </w:rPr>
            </w:pPr>
          </w:p>
        </w:tc>
        <w:tc>
          <w:tcPr>
            <w:tcW w:w="1276" w:type="dxa"/>
            <w:gridSpan w:val="6"/>
            <w:shd w:val="clear" w:color="auto" w:fill="auto"/>
          </w:tcPr>
          <w:p w:rsidR="00F10F4F" w:rsidRPr="00F10F4F" w:rsidRDefault="00F10F4F" w:rsidP="00F10F4F">
            <w:pPr>
              <w:widowControl/>
              <w:autoSpaceDE/>
              <w:autoSpaceDN/>
              <w:adjustRightInd/>
              <w:spacing w:line="240" w:lineRule="auto"/>
              <w:jc w:val="left"/>
              <w:rPr>
                <w:rFonts w:eastAsia="Calibri" w:cs="Times New Roman"/>
                <w:color w:val="000000"/>
                <w:spacing w:val="-2"/>
                <w:sz w:val="22"/>
                <w:szCs w:val="22"/>
                <w:lang w:eastAsia="en-US"/>
              </w:rPr>
            </w:pPr>
          </w:p>
        </w:tc>
        <w:tc>
          <w:tcPr>
            <w:tcW w:w="4841" w:type="dxa"/>
            <w:gridSpan w:val="13"/>
            <w:shd w:val="clear" w:color="auto" w:fill="auto"/>
            <w:vAlign w:val="center"/>
          </w:tcPr>
          <w:p w:rsidR="00F10F4F" w:rsidRPr="00F10F4F" w:rsidRDefault="00F10F4F" w:rsidP="00F10F4F">
            <w:pPr>
              <w:widowControl/>
              <w:autoSpaceDE/>
              <w:autoSpaceDN/>
              <w:adjustRightInd/>
              <w:spacing w:line="240" w:lineRule="auto"/>
              <w:rPr>
                <w:rFonts w:eastAsia="Calibri" w:cs="Times New Roman"/>
                <w:color w:val="000000"/>
                <w:spacing w:val="-2"/>
                <w:sz w:val="22"/>
                <w:szCs w:val="22"/>
                <w:lang w:eastAsia="en-US"/>
              </w:rPr>
            </w:pPr>
            <w:r w:rsidRPr="00F10F4F">
              <w:rPr>
                <w:rFonts w:eastAsia="Calibri" w:cs="Times New Roman"/>
                <w:color w:val="000000"/>
                <w:spacing w:val="-2"/>
                <w:sz w:val="22"/>
                <w:szCs w:val="22"/>
                <w:lang w:eastAsia="en-US"/>
              </w:rPr>
              <w:t>sporządzanie opinii o stanie zdrowia osoby stwarzającej zagrożenie, która została umieszczona w </w:t>
            </w:r>
            <w:r w:rsidRPr="00F10F4F">
              <w:rPr>
                <w:rFonts w:eastAsia="Calibri" w:cs="Times New Roman"/>
                <w:i/>
                <w:color w:val="000000"/>
                <w:sz w:val="22"/>
                <w:szCs w:val="22"/>
                <w:lang w:eastAsia="en-US"/>
              </w:rPr>
              <w:t>Ośrodku</w:t>
            </w:r>
          </w:p>
        </w:tc>
      </w:tr>
      <w:tr w:rsidR="00F10F4F" w:rsidRPr="00F10F4F" w:rsidTr="00CE46B1">
        <w:trPr>
          <w:gridAfter w:val="1"/>
          <w:wAfter w:w="10" w:type="dxa"/>
          <w:trHeight w:val="142"/>
        </w:trPr>
        <w:tc>
          <w:tcPr>
            <w:tcW w:w="3403" w:type="dxa"/>
            <w:gridSpan w:val="4"/>
            <w:shd w:val="clear" w:color="auto" w:fill="auto"/>
            <w:vAlign w:val="center"/>
          </w:tcPr>
          <w:p w:rsidR="00F10F4F" w:rsidRPr="00F10F4F" w:rsidRDefault="00F10F4F" w:rsidP="00F10F4F">
            <w:pPr>
              <w:widowControl/>
              <w:tabs>
                <w:tab w:val="left" w:pos="1560"/>
              </w:tabs>
              <w:autoSpaceDE/>
              <w:autoSpaceDN/>
              <w:adjustRightInd/>
              <w:spacing w:line="240" w:lineRule="auto"/>
              <w:jc w:val="center"/>
              <w:rPr>
                <w:rFonts w:eastAsia="Calibri" w:cs="Times New Roman"/>
                <w:color w:val="000000"/>
                <w:sz w:val="22"/>
                <w:szCs w:val="22"/>
                <w:lang w:eastAsia="en-US"/>
              </w:rPr>
            </w:pPr>
            <w:r w:rsidRPr="00F10F4F">
              <w:rPr>
                <w:rFonts w:eastAsia="Calibri" w:cs="Times New Roman"/>
                <w:color w:val="000000"/>
                <w:sz w:val="22"/>
                <w:szCs w:val="22"/>
                <w:lang w:eastAsia="en-US"/>
              </w:rPr>
              <w:t xml:space="preserve">kierownik </w:t>
            </w:r>
            <w:r w:rsidRPr="00F10F4F">
              <w:rPr>
                <w:rFonts w:eastAsia="Calibri" w:cs="Times New Roman"/>
                <w:i/>
                <w:color w:val="000000"/>
                <w:sz w:val="22"/>
                <w:szCs w:val="22"/>
                <w:lang w:eastAsia="en-US"/>
              </w:rPr>
              <w:t xml:space="preserve">Ośrodka </w:t>
            </w:r>
          </w:p>
        </w:tc>
        <w:tc>
          <w:tcPr>
            <w:tcW w:w="1417" w:type="dxa"/>
            <w:gridSpan w:val="5"/>
            <w:shd w:val="clear" w:color="auto" w:fill="auto"/>
            <w:vAlign w:val="center"/>
          </w:tcPr>
          <w:p w:rsidR="00F10F4F" w:rsidRPr="00F10F4F" w:rsidRDefault="00F10F4F" w:rsidP="00F10F4F">
            <w:pPr>
              <w:widowControl/>
              <w:autoSpaceDE/>
              <w:autoSpaceDN/>
              <w:adjustRightInd/>
              <w:spacing w:line="240" w:lineRule="auto"/>
              <w:jc w:val="center"/>
              <w:rPr>
                <w:rFonts w:eastAsia="Calibri" w:cs="Times New Roman"/>
                <w:color w:val="000000"/>
                <w:spacing w:val="-2"/>
                <w:sz w:val="22"/>
                <w:szCs w:val="22"/>
                <w:lang w:eastAsia="en-US"/>
              </w:rPr>
            </w:pPr>
            <w:r w:rsidRPr="00F10F4F">
              <w:rPr>
                <w:rFonts w:eastAsia="Calibri" w:cs="Times New Roman"/>
                <w:color w:val="000000"/>
                <w:spacing w:val="-2"/>
                <w:sz w:val="22"/>
                <w:szCs w:val="22"/>
                <w:lang w:eastAsia="en-US"/>
              </w:rPr>
              <w:t>1</w:t>
            </w:r>
          </w:p>
        </w:tc>
        <w:tc>
          <w:tcPr>
            <w:tcW w:w="1276" w:type="dxa"/>
            <w:gridSpan w:val="6"/>
            <w:shd w:val="clear" w:color="auto" w:fill="auto"/>
            <w:vAlign w:val="center"/>
          </w:tcPr>
          <w:p w:rsidR="00F10F4F" w:rsidRPr="00F10F4F" w:rsidRDefault="00F10F4F" w:rsidP="00F10F4F">
            <w:pPr>
              <w:widowControl/>
              <w:autoSpaceDE/>
              <w:autoSpaceDN/>
              <w:adjustRightInd/>
              <w:spacing w:line="240" w:lineRule="auto"/>
              <w:jc w:val="center"/>
              <w:rPr>
                <w:rFonts w:eastAsia="Calibri" w:cs="Times New Roman"/>
                <w:color w:val="000000"/>
                <w:spacing w:val="-2"/>
                <w:sz w:val="22"/>
                <w:szCs w:val="22"/>
                <w:lang w:eastAsia="en-US"/>
              </w:rPr>
            </w:pPr>
            <w:r w:rsidRPr="00F10F4F">
              <w:rPr>
                <w:rFonts w:eastAsia="Calibri" w:cs="Times New Roman"/>
                <w:color w:val="000000"/>
                <w:spacing w:val="-2"/>
                <w:sz w:val="22"/>
                <w:szCs w:val="22"/>
                <w:lang w:eastAsia="en-US"/>
              </w:rPr>
              <w:t>ustawa</w:t>
            </w:r>
          </w:p>
        </w:tc>
        <w:tc>
          <w:tcPr>
            <w:tcW w:w="4841" w:type="dxa"/>
            <w:gridSpan w:val="13"/>
            <w:shd w:val="clear" w:color="auto" w:fill="auto"/>
            <w:vAlign w:val="center"/>
          </w:tcPr>
          <w:p w:rsidR="00F10F4F" w:rsidRPr="00F10F4F" w:rsidRDefault="00F10F4F" w:rsidP="00F10F4F">
            <w:pPr>
              <w:widowControl/>
              <w:autoSpaceDE/>
              <w:autoSpaceDN/>
              <w:adjustRightInd/>
              <w:spacing w:line="240" w:lineRule="auto"/>
              <w:rPr>
                <w:rFonts w:eastAsia="Calibri" w:cs="Times New Roman"/>
                <w:color w:val="000000"/>
                <w:spacing w:val="-2"/>
                <w:sz w:val="22"/>
                <w:szCs w:val="22"/>
                <w:lang w:eastAsia="en-US"/>
              </w:rPr>
            </w:pPr>
            <w:r w:rsidRPr="00F10F4F">
              <w:rPr>
                <w:rFonts w:eastAsia="Calibri" w:cs="Times New Roman"/>
                <w:color w:val="000000"/>
                <w:spacing w:val="-2"/>
                <w:sz w:val="22"/>
                <w:szCs w:val="22"/>
                <w:lang w:eastAsia="en-US"/>
              </w:rPr>
              <w:t xml:space="preserve">przestrzeganie podwyższonego standardu procedury o zasadności przedłużenia pobytu osoby w </w:t>
            </w:r>
            <w:r w:rsidRPr="00F10F4F">
              <w:rPr>
                <w:rFonts w:eastAsia="Calibri" w:cs="Times New Roman"/>
                <w:i/>
                <w:color w:val="000000"/>
                <w:spacing w:val="-2"/>
                <w:sz w:val="22"/>
                <w:szCs w:val="22"/>
                <w:lang w:eastAsia="en-US"/>
              </w:rPr>
              <w:t>Ośrodku</w:t>
            </w:r>
          </w:p>
        </w:tc>
      </w:tr>
      <w:tr w:rsidR="00F10F4F" w:rsidRPr="00F10F4F" w:rsidTr="00CE46B1">
        <w:trPr>
          <w:gridAfter w:val="1"/>
          <w:wAfter w:w="10" w:type="dxa"/>
          <w:trHeight w:val="142"/>
        </w:trPr>
        <w:tc>
          <w:tcPr>
            <w:tcW w:w="3403" w:type="dxa"/>
            <w:gridSpan w:val="4"/>
            <w:shd w:val="clear" w:color="auto" w:fill="auto"/>
            <w:vAlign w:val="center"/>
          </w:tcPr>
          <w:p w:rsidR="00F10F4F" w:rsidRPr="00F10F4F" w:rsidRDefault="00F10F4F" w:rsidP="00F10F4F">
            <w:pPr>
              <w:widowControl/>
              <w:tabs>
                <w:tab w:val="left" w:pos="1560"/>
              </w:tabs>
              <w:autoSpaceDE/>
              <w:autoSpaceDN/>
              <w:adjustRightInd/>
              <w:spacing w:line="240" w:lineRule="auto"/>
              <w:jc w:val="center"/>
              <w:rPr>
                <w:rFonts w:eastAsia="Calibri" w:cs="Times New Roman"/>
                <w:color w:val="000000"/>
                <w:sz w:val="22"/>
                <w:szCs w:val="22"/>
                <w:lang w:eastAsia="en-US"/>
              </w:rPr>
            </w:pPr>
            <w:r w:rsidRPr="00F10F4F">
              <w:rPr>
                <w:rFonts w:eastAsia="Calibri" w:cs="Times New Roman"/>
                <w:color w:val="000000"/>
                <w:sz w:val="22"/>
                <w:szCs w:val="22"/>
                <w:lang w:eastAsia="en-US"/>
              </w:rPr>
              <w:t xml:space="preserve">Sąd Okręgowy w Płocku </w:t>
            </w:r>
          </w:p>
        </w:tc>
        <w:tc>
          <w:tcPr>
            <w:tcW w:w="1417" w:type="dxa"/>
            <w:gridSpan w:val="5"/>
            <w:shd w:val="clear" w:color="auto" w:fill="auto"/>
            <w:vAlign w:val="center"/>
          </w:tcPr>
          <w:p w:rsidR="00F10F4F" w:rsidRPr="00F10F4F" w:rsidRDefault="00F10F4F" w:rsidP="00F10F4F">
            <w:pPr>
              <w:widowControl/>
              <w:autoSpaceDE/>
              <w:autoSpaceDN/>
              <w:adjustRightInd/>
              <w:spacing w:line="240" w:lineRule="auto"/>
              <w:jc w:val="center"/>
              <w:rPr>
                <w:rFonts w:eastAsia="Calibri" w:cs="Times New Roman"/>
                <w:color w:val="000000"/>
                <w:spacing w:val="-2"/>
                <w:sz w:val="22"/>
                <w:szCs w:val="22"/>
                <w:lang w:eastAsia="en-US"/>
              </w:rPr>
            </w:pPr>
            <w:r w:rsidRPr="00F10F4F">
              <w:rPr>
                <w:rFonts w:eastAsia="Calibri" w:cs="Times New Roman"/>
                <w:color w:val="000000"/>
                <w:spacing w:val="-2"/>
                <w:sz w:val="22"/>
                <w:szCs w:val="22"/>
                <w:lang w:eastAsia="en-US"/>
              </w:rPr>
              <w:t>1</w:t>
            </w:r>
          </w:p>
        </w:tc>
        <w:tc>
          <w:tcPr>
            <w:tcW w:w="1276" w:type="dxa"/>
            <w:gridSpan w:val="6"/>
            <w:shd w:val="clear" w:color="auto" w:fill="auto"/>
          </w:tcPr>
          <w:p w:rsidR="00F10F4F" w:rsidRPr="00F10F4F" w:rsidRDefault="00F10F4F" w:rsidP="00F10F4F">
            <w:pPr>
              <w:widowControl/>
              <w:autoSpaceDE/>
              <w:autoSpaceDN/>
              <w:adjustRightInd/>
              <w:spacing w:line="240" w:lineRule="auto"/>
              <w:jc w:val="left"/>
              <w:rPr>
                <w:rFonts w:eastAsia="Calibri" w:cs="Times New Roman"/>
                <w:color w:val="000000"/>
                <w:spacing w:val="-2"/>
                <w:sz w:val="22"/>
                <w:szCs w:val="22"/>
                <w:lang w:eastAsia="en-US"/>
              </w:rPr>
            </w:pPr>
          </w:p>
        </w:tc>
        <w:tc>
          <w:tcPr>
            <w:tcW w:w="4841" w:type="dxa"/>
            <w:gridSpan w:val="13"/>
            <w:shd w:val="clear" w:color="auto" w:fill="auto"/>
          </w:tcPr>
          <w:p w:rsidR="00F10F4F" w:rsidRPr="00F10F4F" w:rsidRDefault="00F10F4F" w:rsidP="00F10F4F">
            <w:pPr>
              <w:widowControl/>
              <w:autoSpaceDE/>
              <w:autoSpaceDN/>
              <w:adjustRightInd/>
              <w:spacing w:line="240" w:lineRule="auto"/>
              <w:rPr>
                <w:rFonts w:eastAsia="Calibri" w:cs="Times New Roman"/>
                <w:color w:val="000000"/>
                <w:spacing w:val="-2"/>
                <w:sz w:val="22"/>
                <w:szCs w:val="22"/>
                <w:lang w:eastAsia="en-US"/>
              </w:rPr>
            </w:pPr>
            <w:r w:rsidRPr="00F10F4F">
              <w:rPr>
                <w:rFonts w:eastAsia="Calibri" w:cs="Times New Roman"/>
                <w:color w:val="000000"/>
                <w:spacing w:val="-2"/>
                <w:sz w:val="22"/>
                <w:szCs w:val="22"/>
                <w:lang w:eastAsia="en-US"/>
              </w:rPr>
              <w:t xml:space="preserve">ustalanie co 6 miesięcy o zasadności przedłużenia pobytu osoby stwarzającej zagrożenie w </w:t>
            </w:r>
            <w:r w:rsidRPr="00F10F4F">
              <w:rPr>
                <w:rFonts w:eastAsia="Calibri" w:cs="Times New Roman"/>
                <w:i/>
                <w:color w:val="000000"/>
                <w:sz w:val="22"/>
                <w:szCs w:val="22"/>
                <w:lang w:eastAsia="en-US"/>
              </w:rPr>
              <w:t>Ośrodku</w:t>
            </w:r>
          </w:p>
        </w:tc>
      </w:tr>
      <w:tr w:rsidR="00F10F4F" w:rsidRPr="00F10F4F" w:rsidTr="00CE46B1">
        <w:trPr>
          <w:gridAfter w:val="1"/>
          <w:wAfter w:w="10" w:type="dxa"/>
          <w:trHeight w:val="302"/>
        </w:trPr>
        <w:tc>
          <w:tcPr>
            <w:tcW w:w="10937" w:type="dxa"/>
            <w:gridSpan w:val="28"/>
            <w:shd w:val="clear" w:color="auto" w:fill="99CCFF"/>
            <w:vAlign w:val="center"/>
          </w:tcPr>
          <w:p w:rsidR="00F10F4F" w:rsidRPr="00F10F4F" w:rsidRDefault="00F10F4F" w:rsidP="00F10F4F">
            <w:pPr>
              <w:widowControl/>
              <w:numPr>
                <w:ilvl w:val="0"/>
                <w:numId w:val="45"/>
              </w:numPr>
              <w:autoSpaceDE/>
              <w:autoSpaceDN/>
              <w:adjustRightInd/>
              <w:spacing w:before="60" w:after="60" w:line="240" w:lineRule="auto"/>
              <w:ind w:left="318" w:hanging="284"/>
              <w:jc w:val="left"/>
              <w:rPr>
                <w:rFonts w:eastAsia="Calibri" w:cs="Times New Roman"/>
                <w:b/>
                <w:color w:val="000000"/>
                <w:sz w:val="22"/>
                <w:szCs w:val="22"/>
                <w:lang w:eastAsia="en-US"/>
              </w:rPr>
            </w:pPr>
            <w:r w:rsidRPr="00F10F4F">
              <w:rPr>
                <w:rFonts w:eastAsia="Calibri" w:cs="Times New Roman"/>
                <w:b/>
                <w:color w:val="000000"/>
                <w:sz w:val="22"/>
                <w:szCs w:val="22"/>
                <w:lang w:eastAsia="en-US"/>
              </w:rPr>
              <w:lastRenderedPageBreak/>
              <w:t>Informacje na temat zakresu, czasu trwania i podsumowanie wyników konsultacji</w:t>
            </w:r>
          </w:p>
        </w:tc>
      </w:tr>
      <w:tr w:rsidR="00F10F4F" w:rsidRPr="00F10F4F" w:rsidTr="00CE46B1">
        <w:trPr>
          <w:gridAfter w:val="1"/>
          <w:wAfter w:w="10" w:type="dxa"/>
          <w:trHeight w:val="342"/>
        </w:trPr>
        <w:tc>
          <w:tcPr>
            <w:tcW w:w="10937" w:type="dxa"/>
            <w:gridSpan w:val="28"/>
            <w:shd w:val="clear" w:color="auto" w:fill="FFFFFF"/>
          </w:tcPr>
          <w:p w:rsidR="00F10F4F" w:rsidRPr="00F10F4F" w:rsidRDefault="00F10F4F" w:rsidP="00F10F4F">
            <w:pPr>
              <w:widowControl/>
              <w:autoSpaceDE/>
              <w:autoSpaceDN/>
              <w:adjustRightInd/>
              <w:spacing w:line="240" w:lineRule="auto"/>
              <w:rPr>
                <w:rFonts w:eastAsia="Calibri" w:cs="Times New Roman"/>
                <w:color w:val="000000"/>
                <w:spacing w:val="-2"/>
                <w:sz w:val="22"/>
                <w:szCs w:val="22"/>
                <w:lang w:eastAsia="en-US"/>
              </w:rPr>
            </w:pPr>
            <w:r w:rsidRPr="00F10F4F">
              <w:rPr>
                <w:rFonts w:eastAsia="Calibri" w:cs="Times New Roman"/>
                <w:color w:val="000000"/>
                <w:spacing w:val="-2"/>
                <w:sz w:val="22"/>
                <w:szCs w:val="22"/>
                <w:lang w:eastAsia="en-US"/>
              </w:rPr>
              <w:t xml:space="preserve">Projekt w dniu 25 kwietnia 2018 r. został przesłany do zaopiniowania przez następujące instytucje: Ministerstwo Sprawiedliwości, Ministerstwo Zdrowia, Krajowy Ośrodek Zapobiegania Zachowaniom Dyssocjalnym, Polskie Towarzystwo Psychiatrii Sądowej, Polskie Towarzystwo Psychiatryczne, Sąd Najwyższy, Krajową Radę Sądownictwa, Helsińską Fundację Praw Człowieka, Rzecznika Praw Obywatelskich, Stowarzyszenie Sędziów Polskich </w:t>
            </w:r>
            <w:r w:rsidRPr="00F10F4F">
              <w:rPr>
                <w:rFonts w:eastAsia="Calibri" w:cs="Times New Roman"/>
                <w:i/>
                <w:color w:val="000000"/>
                <w:spacing w:val="-2"/>
                <w:sz w:val="22"/>
                <w:szCs w:val="22"/>
                <w:lang w:eastAsia="en-US"/>
              </w:rPr>
              <w:t>„Iustitia”</w:t>
            </w:r>
            <w:r w:rsidRPr="00F10F4F">
              <w:rPr>
                <w:rFonts w:eastAsia="Calibri" w:cs="Times New Roman"/>
                <w:color w:val="000000"/>
                <w:spacing w:val="-2"/>
                <w:sz w:val="22"/>
                <w:szCs w:val="22"/>
                <w:lang w:eastAsia="en-US"/>
              </w:rPr>
              <w:t xml:space="preserve">, Prokuratorię Generalną Rzeczypospolitej Polskiej, Krajową Radę Radców Prawnych, Naczelną Radę Adwokacką.   </w:t>
            </w:r>
          </w:p>
          <w:p w:rsidR="00F10F4F" w:rsidRPr="00F10F4F" w:rsidRDefault="00F10F4F" w:rsidP="00F10F4F">
            <w:pPr>
              <w:widowControl/>
              <w:autoSpaceDE/>
              <w:autoSpaceDN/>
              <w:adjustRightInd/>
              <w:spacing w:line="240" w:lineRule="auto"/>
              <w:rPr>
                <w:rFonts w:eastAsia="Calibri" w:cs="Times New Roman"/>
                <w:color w:val="000000"/>
                <w:spacing w:val="-2"/>
                <w:sz w:val="22"/>
                <w:szCs w:val="22"/>
                <w:u w:val="single"/>
                <w:lang w:eastAsia="en-US"/>
              </w:rPr>
            </w:pPr>
          </w:p>
          <w:p w:rsidR="00F10F4F" w:rsidRPr="00F10F4F" w:rsidRDefault="00F10F4F" w:rsidP="00F10F4F">
            <w:pPr>
              <w:widowControl/>
              <w:autoSpaceDE/>
              <w:autoSpaceDN/>
              <w:adjustRightInd/>
              <w:spacing w:line="240" w:lineRule="auto"/>
              <w:rPr>
                <w:rFonts w:eastAsia="Calibri" w:cs="Times New Roman"/>
                <w:color w:val="000000"/>
                <w:spacing w:val="-2"/>
                <w:sz w:val="22"/>
                <w:szCs w:val="22"/>
                <w:lang w:eastAsia="en-US"/>
              </w:rPr>
            </w:pPr>
            <w:r w:rsidRPr="00F10F4F">
              <w:rPr>
                <w:rFonts w:eastAsia="Calibri" w:cs="Times New Roman"/>
                <w:color w:val="000000"/>
                <w:spacing w:val="-2"/>
                <w:sz w:val="22"/>
                <w:szCs w:val="22"/>
                <w:u w:val="single"/>
                <w:lang w:eastAsia="en-US"/>
              </w:rPr>
              <w:t>Krajowa Rada Sądownictwa</w:t>
            </w:r>
            <w:r w:rsidRPr="00F10F4F">
              <w:rPr>
                <w:rFonts w:eastAsia="Calibri" w:cs="Times New Roman"/>
                <w:color w:val="000000"/>
                <w:spacing w:val="-2"/>
                <w:sz w:val="22"/>
                <w:szCs w:val="22"/>
                <w:lang w:eastAsia="en-US"/>
              </w:rPr>
              <w:t xml:space="preserve"> zaopiniowała projekt ustawy pozytywnie, nie zgłaszając uwag.</w:t>
            </w:r>
          </w:p>
          <w:p w:rsidR="00F10F4F" w:rsidRPr="00F10F4F" w:rsidRDefault="00F10F4F" w:rsidP="00F10F4F">
            <w:pPr>
              <w:widowControl/>
              <w:autoSpaceDE/>
              <w:autoSpaceDN/>
              <w:adjustRightInd/>
              <w:spacing w:line="240" w:lineRule="auto"/>
              <w:rPr>
                <w:rFonts w:eastAsia="Calibri" w:cs="Times New Roman"/>
                <w:color w:val="000000"/>
                <w:spacing w:val="-2"/>
                <w:sz w:val="22"/>
                <w:szCs w:val="22"/>
                <w:lang w:eastAsia="en-US"/>
              </w:rPr>
            </w:pPr>
          </w:p>
          <w:p w:rsidR="00F10F4F" w:rsidRPr="00F10F4F" w:rsidRDefault="00F10F4F" w:rsidP="00F10F4F">
            <w:pPr>
              <w:widowControl/>
              <w:autoSpaceDE/>
              <w:autoSpaceDN/>
              <w:adjustRightInd/>
              <w:spacing w:line="240" w:lineRule="auto"/>
              <w:rPr>
                <w:rFonts w:eastAsia="Calibri" w:cs="Times New Roman"/>
                <w:color w:val="000000"/>
                <w:spacing w:val="-2"/>
                <w:sz w:val="22"/>
                <w:szCs w:val="22"/>
                <w:lang w:eastAsia="en-US"/>
              </w:rPr>
            </w:pPr>
            <w:r w:rsidRPr="00F10F4F">
              <w:rPr>
                <w:rFonts w:eastAsia="Calibri" w:cs="Times New Roman"/>
                <w:color w:val="000000"/>
                <w:spacing w:val="-2"/>
                <w:sz w:val="22"/>
                <w:szCs w:val="22"/>
                <w:u w:val="single"/>
                <w:lang w:eastAsia="en-US"/>
              </w:rPr>
              <w:t>Sąd Najwyższy</w:t>
            </w:r>
            <w:r w:rsidRPr="00F10F4F">
              <w:rPr>
                <w:rFonts w:eastAsia="Calibri" w:cs="Times New Roman"/>
                <w:color w:val="000000"/>
                <w:spacing w:val="-2"/>
                <w:sz w:val="22"/>
                <w:szCs w:val="22"/>
                <w:lang w:eastAsia="en-US"/>
              </w:rPr>
              <w:t xml:space="preserve"> wypowiedział się z aprobatą o projektowanych rozwiązaniach.</w:t>
            </w:r>
          </w:p>
          <w:p w:rsidR="00F10F4F" w:rsidRPr="00F10F4F" w:rsidRDefault="00F10F4F" w:rsidP="00F10F4F">
            <w:pPr>
              <w:widowControl/>
              <w:autoSpaceDE/>
              <w:autoSpaceDN/>
              <w:adjustRightInd/>
              <w:spacing w:line="240" w:lineRule="auto"/>
              <w:rPr>
                <w:rFonts w:eastAsia="Calibri" w:cs="Times New Roman"/>
                <w:color w:val="000000"/>
                <w:spacing w:val="-2"/>
                <w:sz w:val="22"/>
                <w:szCs w:val="22"/>
                <w:lang w:eastAsia="en-US"/>
              </w:rPr>
            </w:pPr>
          </w:p>
          <w:p w:rsidR="00F10F4F" w:rsidRPr="00F10F4F" w:rsidRDefault="00F10F4F" w:rsidP="00F10F4F">
            <w:pPr>
              <w:widowControl/>
              <w:autoSpaceDE/>
              <w:autoSpaceDN/>
              <w:adjustRightInd/>
              <w:spacing w:line="240" w:lineRule="auto"/>
              <w:rPr>
                <w:rFonts w:eastAsia="Calibri" w:cs="Times New Roman"/>
                <w:color w:val="000000"/>
                <w:spacing w:val="-2"/>
                <w:sz w:val="22"/>
                <w:szCs w:val="22"/>
                <w:lang w:eastAsia="en-US"/>
              </w:rPr>
            </w:pPr>
            <w:r w:rsidRPr="00F10F4F">
              <w:rPr>
                <w:rFonts w:eastAsia="Calibri" w:cs="Times New Roman"/>
                <w:color w:val="000000"/>
                <w:spacing w:val="-2"/>
                <w:sz w:val="22"/>
                <w:szCs w:val="22"/>
                <w:u w:val="single"/>
                <w:lang w:eastAsia="en-US"/>
              </w:rPr>
              <w:t>Prokuratoria Generalna Rzeczypospolitej Polskiej</w:t>
            </w:r>
            <w:r w:rsidRPr="00F10F4F">
              <w:rPr>
                <w:rFonts w:eastAsia="Calibri" w:cs="Times New Roman"/>
                <w:color w:val="000000"/>
                <w:spacing w:val="-2"/>
                <w:sz w:val="22"/>
                <w:szCs w:val="22"/>
                <w:lang w:eastAsia="en-US"/>
              </w:rPr>
              <w:t xml:space="preserve"> wyraziła pogląd, że projektowana ustawa nie budzi zastrzeżeń merytorycznych i nie wniosła uwag do przedłożonego projektu. </w:t>
            </w:r>
          </w:p>
          <w:p w:rsidR="00F10F4F" w:rsidRPr="00F10F4F" w:rsidRDefault="00F10F4F" w:rsidP="00F10F4F">
            <w:pPr>
              <w:widowControl/>
              <w:autoSpaceDE/>
              <w:autoSpaceDN/>
              <w:adjustRightInd/>
              <w:spacing w:line="240" w:lineRule="auto"/>
              <w:rPr>
                <w:rFonts w:eastAsia="Calibri" w:cs="Times New Roman"/>
                <w:color w:val="000000"/>
                <w:spacing w:val="-2"/>
                <w:sz w:val="22"/>
                <w:szCs w:val="22"/>
                <w:lang w:eastAsia="en-US"/>
              </w:rPr>
            </w:pPr>
          </w:p>
          <w:p w:rsidR="00F10F4F" w:rsidRPr="00F10F4F" w:rsidRDefault="00F10F4F" w:rsidP="00F10F4F">
            <w:pPr>
              <w:widowControl/>
              <w:autoSpaceDE/>
              <w:autoSpaceDN/>
              <w:adjustRightInd/>
              <w:spacing w:line="240" w:lineRule="auto"/>
              <w:rPr>
                <w:rFonts w:eastAsia="Calibri" w:cs="Times New Roman"/>
                <w:color w:val="000000"/>
                <w:spacing w:val="-2"/>
                <w:sz w:val="22"/>
                <w:szCs w:val="22"/>
                <w:lang w:eastAsia="en-US"/>
              </w:rPr>
            </w:pPr>
            <w:r w:rsidRPr="00F10F4F">
              <w:rPr>
                <w:rFonts w:eastAsia="Calibri" w:cs="Times New Roman"/>
                <w:color w:val="000000"/>
                <w:spacing w:val="-2"/>
                <w:sz w:val="22"/>
                <w:szCs w:val="22"/>
                <w:u w:val="single"/>
                <w:lang w:eastAsia="en-US"/>
              </w:rPr>
              <w:t>Minister Zdrowia</w:t>
            </w:r>
            <w:r w:rsidRPr="00F10F4F">
              <w:rPr>
                <w:rFonts w:eastAsia="Calibri" w:cs="Times New Roman"/>
                <w:color w:val="000000"/>
                <w:spacing w:val="-2"/>
                <w:sz w:val="22"/>
                <w:szCs w:val="22"/>
                <w:lang w:eastAsia="en-US"/>
              </w:rPr>
              <w:t xml:space="preserve"> wyraził opinię, że nie do zaakceptowania jest zmiana zredagowana w art. 46 ust. 2 projektu ustawy, w świetle której to Kierownik Krajowego Ośrodka Zapobiegania Zachowaniom Dyssocjalnym byłby obowiązany do przesłania do sądu opinii sporządzonej przez biegłych sądowych. Ponadto wyrażony został pogląd, że opinię w sprawie rozwiązań zaproponowanych w projekcie ustawy powinien wyrazić Minister Sprawiedliwości, a także zaproponowano włączenie do zakresu proponowanych zmian nowelizację art. 56 ust. 2, której celem byłoby zwiększenie dofinansowania </w:t>
            </w:r>
          </w:p>
          <w:p w:rsidR="00F10F4F" w:rsidRPr="00F10F4F" w:rsidRDefault="00F10F4F" w:rsidP="00F10F4F">
            <w:pPr>
              <w:widowControl/>
              <w:autoSpaceDE/>
              <w:autoSpaceDN/>
              <w:adjustRightInd/>
              <w:spacing w:line="240" w:lineRule="auto"/>
              <w:rPr>
                <w:rFonts w:eastAsia="Calibri" w:cs="Times New Roman"/>
                <w:color w:val="000000"/>
                <w:spacing w:val="-2"/>
                <w:sz w:val="22"/>
                <w:szCs w:val="22"/>
                <w:lang w:eastAsia="en-US"/>
              </w:rPr>
            </w:pPr>
            <w:r w:rsidRPr="00F10F4F">
              <w:rPr>
                <w:rFonts w:eastAsia="Calibri" w:cs="Times New Roman"/>
                <w:color w:val="000000"/>
                <w:spacing w:val="-2"/>
                <w:sz w:val="22"/>
                <w:szCs w:val="22"/>
                <w:lang w:eastAsia="en-US"/>
              </w:rPr>
              <w:t xml:space="preserve">Krajowego Ośrodka Zapobiegania Zachowaniom Dyssocjalnym. </w:t>
            </w:r>
          </w:p>
          <w:p w:rsidR="00F10F4F" w:rsidRPr="00F10F4F" w:rsidRDefault="00F10F4F" w:rsidP="00F10F4F">
            <w:pPr>
              <w:widowControl/>
              <w:autoSpaceDE/>
              <w:autoSpaceDN/>
              <w:adjustRightInd/>
              <w:spacing w:line="240" w:lineRule="auto"/>
              <w:rPr>
                <w:rFonts w:eastAsia="Calibri" w:cs="Times New Roman"/>
                <w:color w:val="000000"/>
                <w:spacing w:val="-2"/>
                <w:sz w:val="22"/>
                <w:szCs w:val="22"/>
                <w:lang w:eastAsia="en-US"/>
              </w:rPr>
            </w:pPr>
          </w:p>
          <w:p w:rsidR="00F10F4F" w:rsidRPr="00F10F4F" w:rsidRDefault="00F10F4F" w:rsidP="00F10F4F">
            <w:pPr>
              <w:widowControl/>
              <w:autoSpaceDE/>
              <w:autoSpaceDN/>
              <w:adjustRightInd/>
              <w:spacing w:line="240" w:lineRule="auto"/>
              <w:rPr>
                <w:rFonts w:eastAsia="Calibri" w:cs="Times New Roman"/>
                <w:color w:val="000000"/>
                <w:spacing w:val="-2"/>
                <w:sz w:val="22"/>
                <w:szCs w:val="22"/>
                <w:lang w:eastAsia="en-US"/>
              </w:rPr>
            </w:pPr>
            <w:r w:rsidRPr="00F10F4F">
              <w:rPr>
                <w:rFonts w:eastAsia="Calibri" w:cs="Times New Roman"/>
                <w:color w:val="000000"/>
                <w:spacing w:val="-2"/>
                <w:sz w:val="22"/>
                <w:szCs w:val="22"/>
                <w:u w:val="single"/>
                <w:lang w:eastAsia="en-US"/>
              </w:rPr>
              <w:t xml:space="preserve">Rzecznik Praw Obywatelskich </w:t>
            </w:r>
            <w:r w:rsidRPr="00F10F4F">
              <w:rPr>
                <w:rFonts w:eastAsia="Calibri" w:cs="Times New Roman"/>
                <w:color w:val="000000"/>
                <w:spacing w:val="-2"/>
                <w:sz w:val="22"/>
                <w:szCs w:val="22"/>
                <w:lang w:eastAsia="en-US"/>
              </w:rPr>
              <w:t xml:space="preserve">wskazał, że projekt ustawy realizuje orzeczenie TK w zakresie dostosowania do zgodności z Konstytucją RP przepisu art. 46 ust. 1. Jednakże pomimo podniesienia standardu w zakresie wydawania opinii na temat zasadności dalszego pobytu pacjenta przez takich biegłych, jacy przedstawili opinie w toku procedury umieszczenia w Ośrodku, w dalszym ciągu </w:t>
            </w:r>
            <w:r w:rsidRPr="00F10F4F">
              <w:rPr>
                <w:rFonts w:eastAsia="Calibri" w:cs="Times New Roman"/>
                <w:i/>
                <w:color w:val="000000"/>
                <w:spacing w:val="-2"/>
                <w:sz w:val="22"/>
                <w:szCs w:val="22"/>
                <w:lang w:eastAsia="en-US"/>
              </w:rPr>
              <w:t>ustawa o postępowaniu wobec osób z zaburzeniami psychicznymi stwarzających zagrożenie życia, zdrowia lub wolności seksualnej innych osób</w:t>
            </w:r>
            <w:r w:rsidRPr="00F10F4F">
              <w:rPr>
                <w:rFonts w:eastAsia="Calibri" w:cs="Times New Roman"/>
                <w:color w:val="000000"/>
                <w:spacing w:val="-2"/>
                <w:sz w:val="22"/>
                <w:szCs w:val="22"/>
                <w:lang w:eastAsia="en-US"/>
              </w:rPr>
              <w:t xml:space="preserve"> będzie wywoływała wątpliwości konstytucyjne. RPO zwrócił uwagę na to, że zgodnie z art. 46 ust. 3 sąd, po analizie opinii biegłych oraz wyników postępowania terapeutycznego, nie wydaje orzeczenia, które sankcjonowałoby potrzebę dalszego pobytu pacjenta w Ośrodku. Faktycznie zatem następuje przedłużenie pozbawienia wolności pacjenta bez orzeczenia sądu, na które przysługiwałby środek zaskarżenia. Ponadto Rzecznik Praw Obywatelskich uzasadnił potrzebę nowelizacji ustawy, wykraczającej poza ramy projektu senackiego. </w:t>
            </w:r>
          </w:p>
          <w:p w:rsidR="00F10F4F" w:rsidRPr="00F10F4F" w:rsidRDefault="00F10F4F" w:rsidP="00F10F4F">
            <w:pPr>
              <w:widowControl/>
              <w:autoSpaceDE/>
              <w:autoSpaceDN/>
              <w:adjustRightInd/>
              <w:spacing w:line="240" w:lineRule="auto"/>
              <w:rPr>
                <w:rFonts w:eastAsia="Calibri" w:cs="Times New Roman"/>
                <w:color w:val="000000"/>
                <w:spacing w:val="-2"/>
                <w:sz w:val="22"/>
                <w:szCs w:val="22"/>
                <w:lang w:eastAsia="en-US"/>
              </w:rPr>
            </w:pPr>
          </w:p>
          <w:p w:rsidR="00F10F4F" w:rsidRPr="00F10F4F" w:rsidRDefault="00F10F4F" w:rsidP="00F10F4F">
            <w:pPr>
              <w:widowControl/>
              <w:autoSpaceDE/>
              <w:autoSpaceDN/>
              <w:adjustRightInd/>
              <w:spacing w:line="240" w:lineRule="auto"/>
              <w:rPr>
                <w:rFonts w:eastAsia="Calibri" w:cs="Times New Roman"/>
                <w:color w:val="000000"/>
                <w:spacing w:val="-2"/>
                <w:sz w:val="22"/>
                <w:szCs w:val="22"/>
                <w:u w:val="single"/>
                <w:lang w:eastAsia="en-US"/>
              </w:rPr>
            </w:pPr>
            <w:r w:rsidRPr="00F10F4F">
              <w:rPr>
                <w:rFonts w:eastAsia="Calibri" w:cs="Times New Roman"/>
                <w:color w:val="000000"/>
                <w:spacing w:val="-2"/>
                <w:sz w:val="22"/>
                <w:szCs w:val="22"/>
                <w:u w:val="single"/>
                <w:lang w:eastAsia="en-US"/>
              </w:rPr>
              <w:t>Rzecznik Praw Pacjenta</w:t>
            </w:r>
            <w:r w:rsidRPr="00F10F4F">
              <w:rPr>
                <w:rFonts w:eastAsia="Calibri" w:cs="Times New Roman"/>
                <w:color w:val="000000"/>
                <w:spacing w:val="-2"/>
                <w:sz w:val="22"/>
                <w:szCs w:val="22"/>
                <w:lang w:eastAsia="en-US"/>
              </w:rPr>
              <w:t xml:space="preserve"> nie zgłosił zastrzeżeń do projektu.</w:t>
            </w:r>
            <w:r w:rsidRPr="00F10F4F">
              <w:rPr>
                <w:rFonts w:eastAsia="Calibri" w:cs="Times New Roman"/>
                <w:color w:val="000000"/>
                <w:spacing w:val="-2"/>
                <w:sz w:val="22"/>
                <w:szCs w:val="22"/>
                <w:u w:val="single"/>
                <w:lang w:eastAsia="en-US"/>
              </w:rPr>
              <w:t xml:space="preserve"> </w:t>
            </w:r>
          </w:p>
          <w:p w:rsidR="00F10F4F" w:rsidRPr="00F10F4F" w:rsidRDefault="00F10F4F" w:rsidP="00F10F4F">
            <w:pPr>
              <w:widowControl/>
              <w:autoSpaceDE/>
              <w:autoSpaceDN/>
              <w:adjustRightInd/>
              <w:spacing w:line="240" w:lineRule="auto"/>
              <w:rPr>
                <w:rFonts w:eastAsia="Calibri" w:cs="Times New Roman"/>
                <w:color w:val="000000"/>
                <w:spacing w:val="-2"/>
                <w:sz w:val="22"/>
                <w:szCs w:val="22"/>
                <w:u w:val="single"/>
                <w:lang w:eastAsia="en-US"/>
              </w:rPr>
            </w:pPr>
          </w:p>
          <w:p w:rsidR="00F10F4F" w:rsidRPr="00F10F4F" w:rsidRDefault="00F10F4F" w:rsidP="00F10F4F">
            <w:pPr>
              <w:widowControl/>
              <w:autoSpaceDE/>
              <w:autoSpaceDN/>
              <w:adjustRightInd/>
              <w:spacing w:line="240" w:lineRule="auto"/>
              <w:rPr>
                <w:rFonts w:eastAsia="Calibri" w:cs="Times New Roman"/>
                <w:color w:val="000000"/>
                <w:spacing w:val="-2"/>
                <w:sz w:val="22"/>
                <w:szCs w:val="22"/>
                <w:lang w:eastAsia="en-US"/>
              </w:rPr>
            </w:pPr>
            <w:r w:rsidRPr="00F10F4F">
              <w:rPr>
                <w:rFonts w:eastAsia="Calibri" w:cs="Times New Roman"/>
                <w:color w:val="000000"/>
                <w:spacing w:val="-2"/>
                <w:sz w:val="22"/>
                <w:szCs w:val="22"/>
                <w:u w:val="single"/>
                <w:lang w:eastAsia="en-US"/>
              </w:rPr>
              <w:t>Polskie Towarzystwo Psychiatrii Sądowej</w:t>
            </w:r>
            <w:r w:rsidRPr="00F10F4F">
              <w:rPr>
                <w:rFonts w:eastAsia="Calibri" w:cs="Times New Roman"/>
                <w:color w:val="000000"/>
                <w:spacing w:val="-2"/>
                <w:sz w:val="22"/>
                <w:szCs w:val="22"/>
                <w:lang w:eastAsia="en-US"/>
              </w:rPr>
              <w:t xml:space="preserve"> wyraziło pogląd, że proponowana zmiana legislacyjna ma uzasadnienie merytoryczne i prawne, dlatego nie neguje potrzeby wprowadzenia zmian. </w:t>
            </w:r>
          </w:p>
          <w:p w:rsidR="00F10F4F" w:rsidRPr="00F10F4F" w:rsidRDefault="00F10F4F" w:rsidP="00F10F4F">
            <w:pPr>
              <w:widowControl/>
              <w:autoSpaceDE/>
              <w:autoSpaceDN/>
              <w:adjustRightInd/>
              <w:spacing w:line="240" w:lineRule="auto"/>
              <w:rPr>
                <w:rFonts w:eastAsia="Calibri" w:cs="Times New Roman"/>
                <w:color w:val="000000"/>
                <w:spacing w:val="-2"/>
                <w:sz w:val="22"/>
                <w:szCs w:val="22"/>
                <w:lang w:eastAsia="en-US"/>
              </w:rPr>
            </w:pPr>
          </w:p>
          <w:p w:rsidR="00F10F4F" w:rsidRPr="00F10F4F" w:rsidRDefault="00F10F4F" w:rsidP="00F10F4F">
            <w:pPr>
              <w:widowControl/>
              <w:autoSpaceDE/>
              <w:autoSpaceDN/>
              <w:adjustRightInd/>
              <w:spacing w:line="240" w:lineRule="auto"/>
              <w:rPr>
                <w:rFonts w:eastAsia="Calibri" w:cs="Times New Roman"/>
                <w:color w:val="000000"/>
                <w:spacing w:val="-2"/>
                <w:sz w:val="22"/>
                <w:szCs w:val="22"/>
                <w:u w:val="single"/>
                <w:lang w:eastAsia="en-US"/>
              </w:rPr>
            </w:pPr>
            <w:r w:rsidRPr="00F10F4F">
              <w:rPr>
                <w:rFonts w:eastAsia="Calibri" w:cs="Times New Roman"/>
                <w:color w:val="000000"/>
                <w:spacing w:val="-2"/>
                <w:sz w:val="22"/>
                <w:szCs w:val="22"/>
                <w:u w:val="single"/>
                <w:lang w:eastAsia="en-US"/>
              </w:rPr>
              <w:t>Krajowy Ośrodek Zapobiegania Zachowanion Dyssocjalnym</w:t>
            </w:r>
            <w:r w:rsidRPr="00F10F4F">
              <w:rPr>
                <w:rFonts w:eastAsia="Calibri" w:cs="Times New Roman"/>
                <w:color w:val="000000"/>
                <w:spacing w:val="-2"/>
                <w:sz w:val="22"/>
                <w:szCs w:val="22"/>
                <w:lang w:eastAsia="en-US"/>
              </w:rPr>
              <w:t xml:space="preserve"> poinformował, że w okresie ostatnich trzech lat przebywało 55 pacjentów, co pół roku jest sporządzana opinia o stanie zdrowia pacjenta, a czas potrzebnym do postawienia diagnozy to ok. 3 miesiące.</w:t>
            </w:r>
          </w:p>
          <w:p w:rsidR="00F10F4F" w:rsidRPr="00F10F4F" w:rsidRDefault="00F10F4F" w:rsidP="00F10F4F">
            <w:pPr>
              <w:widowControl/>
              <w:autoSpaceDE/>
              <w:autoSpaceDN/>
              <w:adjustRightInd/>
              <w:spacing w:line="240" w:lineRule="auto"/>
              <w:rPr>
                <w:rFonts w:eastAsia="Calibri" w:cs="Times New Roman"/>
                <w:color w:val="000000"/>
                <w:spacing w:val="-2"/>
                <w:sz w:val="22"/>
                <w:szCs w:val="22"/>
                <w:lang w:eastAsia="en-US"/>
              </w:rPr>
            </w:pPr>
          </w:p>
          <w:p w:rsidR="00F10F4F" w:rsidRPr="00F10F4F" w:rsidRDefault="00F10F4F" w:rsidP="00F10F4F">
            <w:pPr>
              <w:widowControl/>
              <w:autoSpaceDE/>
              <w:autoSpaceDN/>
              <w:adjustRightInd/>
              <w:spacing w:line="240" w:lineRule="auto"/>
              <w:rPr>
                <w:rFonts w:eastAsia="Calibri" w:cs="Times New Roman"/>
                <w:color w:val="000000"/>
                <w:spacing w:val="-2"/>
                <w:sz w:val="22"/>
                <w:szCs w:val="22"/>
                <w:lang w:eastAsia="en-US"/>
              </w:rPr>
            </w:pPr>
            <w:r w:rsidRPr="00F10F4F">
              <w:rPr>
                <w:rFonts w:eastAsia="Calibri" w:cs="Times New Roman"/>
                <w:color w:val="000000"/>
                <w:spacing w:val="-2"/>
                <w:sz w:val="22"/>
                <w:szCs w:val="22"/>
                <w:u w:val="single"/>
                <w:lang w:eastAsia="en-US"/>
              </w:rPr>
              <w:t>Minister Sprawiedliwości</w:t>
            </w:r>
            <w:r w:rsidRPr="00F10F4F">
              <w:rPr>
                <w:rFonts w:eastAsia="Calibri" w:cs="Times New Roman"/>
                <w:color w:val="000000"/>
                <w:spacing w:val="-2"/>
                <w:sz w:val="22"/>
                <w:szCs w:val="22"/>
                <w:lang w:eastAsia="en-US"/>
              </w:rPr>
              <w:t xml:space="preserve"> zaakcentował, że TK jednoznacznie wskazywał na potrzebę zapewnienia, by opinie o stanie zdrowia osoby umieszczonej w Ośrodku sporządzali biegli nie tylko określonych specjalności i w określonej liczbie, lecz aby dodatkowo nie byli oni powiązani instytucjonalnie z Krajowym Ośrodkiem Zapobiegania Zachowaniom Dyssocjalnym. W konsekwencji biegłym tym powinno przysługiwać wynagrodzenie. Dlatego Minister Sprawiedliwości zasugerował skreślenie zdania drugiego w nowelizowanym art. 46 ust. 2. Ponadto Minister Sprawiedliwości zaznaczył, że zamieszczenie w projektowanym brzmieniu art. 46 ust. 1 odesłania do art. 11 </w:t>
            </w:r>
            <w:r w:rsidRPr="00F10F4F">
              <w:rPr>
                <w:rFonts w:eastAsia="Calibri" w:cs="Times New Roman"/>
                <w:i/>
                <w:color w:val="000000"/>
                <w:spacing w:val="-2"/>
                <w:sz w:val="22"/>
                <w:szCs w:val="22"/>
                <w:lang w:eastAsia="en-US"/>
              </w:rPr>
              <w:t>ustawy o postępowaniu wobec osób z zaburzeniami psychicznymi stwarzających zagrożenie życia, zdrowia lub wolności seksualnej innych osób</w:t>
            </w:r>
            <w:r w:rsidRPr="00F10F4F">
              <w:rPr>
                <w:rFonts w:eastAsia="Calibri" w:cs="Times New Roman"/>
                <w:color w:val="000000"/>
                <w:spacing w:val="-2"/>
                <w:sz w:val="22"/>
                <w:szCs w:val="22"/>
                <w:lang w:eastAsia="en-US"/>
              </w:rPr>
              <w:t xml:space="preserve"> może sugerować, iż opinię w trybie tego pierwszego przepisu powinni sporządzać ci sami biegli, którzy wypowiadali się na etapie rozstrzygania o zasadności umieszczenia w Ośrodku.</w:t>
            </w:r>
          </w:p>
          <w:p w:rsidR="00F10F4F" w:rsidRPr="00F10F4F" w:rsidRDefault="00F10F4F" w:rsidP="00F10F4F">
            <w:pPr>
              <w:widowControl/>
              <w:autoSpaceDE/>
              <w:autoSpaceDN/>
              <w:adjustRightInd/>
              <w:spacing w:line="240" w:lineRule="auto"/>
              <w:rPr>
                <w:rFonts w:eastAsia="Calibri" w:cs="Times New Roman"/>
                <w:color w:val="000000"/>
                <w:spacing w:val="-2"/>
                <w:sz w:val="22"/>
                <w:szCs w:val="22"/>
                <w:lang w:eastAsia="en-US"/>
              </w:rPr>
            </w:pPr>
          </w:p>
          <w:p w:rsidR="00F10F4F" w:rsidRPr="00F10F4F" w:rsidRDefault="00F10F4F" w:rsidP="00F10F4F">
            <w:pPr>
              <w:widowControl/>
              <w:autoSpaceDE/>
              <w:autoSpaceDN/>
              <w:adjustRightInd/>
              <w:spacing w:line="240" w:lineRule="auto"/>
              <w:rPr>
                <w:rFonts w:eastAsia="Calibri" w:cs="Times New Roman"/>
                <w:color w:val="000000"/>
                <w:spacing w:val="-2"/>
                <w:sz w:val="22"/>
                <w:szCs w:val="22"/>
                <w:lang w:eastAsia="en-US"/>
              </w:rPr>
            </w:pPr>
            <w:r w:rsidRPr="00F10F4F">
              <w:rPr>
                <w:rFonts w:eastAsia="Calibri" w:cs="Times New Roman"/>
                <w:color w:val="000000"/>
                <w:spacing w:val="-2"/>
                <w:sz w:val="22"/>
                <w:szCs w:val="22"/>
                <w:lang w:eastAsia="en-US"/>
              </w:rPr>
              <w:t xml:space="preserve">Na posiedzeniu Komisji Praw Człowieka, Praworządności i Petycji, Komisji Ustawodawczej oraz Komisji Zdrowia, którego przedmiotem było I czytanie projektu, wniesiono poprawki czyniące zadość uwagom Ministra Sprawiedliwości oraz wychodzące naprzeciw tym zastrzeżeniom Ministra Zdrowia, które odnosiły się do nałożenia na Kierownika Krajowego Ośrodka Zapobiegania Zachowaniom Dyssocjalnym obowiązku przesyłania do sądu opinii biegłych. Uwagi RPO oceniono jako wychodzące w znacznej mierze poza zakres realizacji wyroku TK wydanego w sprawie </w:t>
            </w:r>
            <w:r w:rsidRPr="00F10F4F">
              <w:rPr>
                <w:rFonts w:eastAsia="Calibri" w:cs="Times New Roman"/>
                <w:bCs/>
                <w:sz w:val="22"/>
                <w:szCs w:val="22"/>
              </w:rPr>
              <w:t xml:space="preserve">K 6/14. Podobnie miała się kwestia konieczności nowelizacji </w:t>
            </w:r>
            <w:r w:rsidRPr="00F10F4F">
              <w:rPr>
                <w:rFonts w:eastAsia="Calibri" w:cs="Times New Roman"/>
                <w:color w:val="000000"/>
                <w:spacing w:val="-2"/>
                <w:sz w:val="22"/>
                <w:szCs w:val="22"/>
                <w:lang w:eastAsia="en-US"/>
              </w:rPr>
              <w:t>art. 56 ust. 2, zgłoszona przez Ministra Zdrowia.</w:t>
            </w:r>
          </w:p>
          <w:p w:rsidR="00F10F4F" w:rsidRPr="00F10F4F" w:rsidRDefault="00F10F4F" w:rsidP="00F10F4F">
            <w:pPr>
              <w:widowControl/>
              <w:autoSpaceDE/>
              <w:autoSpaceDN/>
              <w:adjustRightInd/>
              <w:spacing w:line="240" w:lineRule="auto"/>
              <w:rPr>
                <w:rFonts w:eastAsia="Calibri" w:cs="Times New Roman"/>
                <w:color w:val="000000"/>
                <w:spacing w:val="-2"/>
                <w:sz w:val="22"/>
                <w:szCs w:val="22"/>
                <w:u w:val="single"/>
                <w:lang w:eastAsia="en-US"/>
              </w:rPr>
            </w:pPr>
          </w:p>
          <w:p w:rsidR="00F10F4F" w:rsidRPr="00F10F4F" w:rsidRDefault="00F10F4F" w:rsidP="00F10F4F">
            <w:pPr>
              <w:widowControl/>
              <w:autoSpaceDE/>
              <w:autoSpaceDN/>
              <w:adjustRightInd/>
              <w:spacing w:line="240" w:lineRule="auto"/>
              <w:rPr>
                <w:rFonts w:eastAsia="Calibri" w:cs="Times New Roman"/>
                <w:color w:val="000000"/>
                <w:spacing w:val="-2"/>
                <w:sz w:val="22"/>
                <w:szCs w:val="22"/>
                <w:lang w:eastAsia="en-US"/>
              </w:rPr>
            </w:pPr>
            <w:r w:rsidRPr="00F10F4F">
              <w:rPr>
                <w:rFonts w:eastAsia="Calibri" w:cs="Times New Roman"/>
                <w:color w:val="000000"/>
                <w:spacing w:val="-2"/>
                <w:sz w:val="22"/>
                <w:szCs w:val="22"/>
                <w:lang w:eastAsia="en-US"/>
              </w:rPr>
              <w:t>Pozostałe podmioty nie przedstawiły opinii. Nadesłane opinie i uwagi są zamieszczone na senackiej stronie internetowej.</w:t>
            </w:r>
          </w:p>
          <w:p w:rsidR="00F10F4F" w:rsidRDefault="00F10F4F" w:rsidP="00F10F4F">
            <w:pPr>
              <w:widowControl/>
              <w:autoSpaceDE/>
              <w:autoSpaceDN/>
              <w:adjustRightInd/>
              <w:spacing w:line="240" w:lineRule="auto"/>
              <w:rPr>
                <w:rFonts w:eastAsia="Calibri" w:cs="Times New Roman"/>
                <w:color w:val="000000"/>
                <w:spacing w:val="-2"/>
                <w:sz w:val="22"/>
                <w:szCs w:val="22"/>
                <w:lang w:eastAsia="en-US"/>
              </w:rPr>
            </w:pPr>
          </w:p>
          <w:p w:rsidR="00F10F4F" w:rsidRPr="00F10F4F" w:rsidRDefault="00F10F4F" w:rsidP="00F10F4F">
            <w:pPr>
              <w:widowControl/>
              <w:autoSpaceDE/>
              <w:autoSpaceDN/>
              <w:adjustRightInd/>
              <w:spacing w:line="240" w:lineRule="auto"/>
              <w:rPr>
                <w:rFonts w:eastAsia="Calibri" w:cs="Times New Roman"/>
                <w:color w:val="000000"/>
                <w:spacing w:val="-2"/>
                <w:sz w:val="22"/>
                <w:szCs w:val="22"/>
                <w:lang w:eastAsia="en-US"/>
              </w:rPr>
            </w:pPr>
          </w:p>
          <w:p w:rsidR="00F10F4F" w:rsidRPr="00F10F4F" w:rsidRDefault="00F10F4F" w:rsidP="00F10F4F">
            <w:pPr>
              <w:widowControl/>
              <w:autoSpaceDE/>
              <w:autoSpaceDN/>
              <w:adjustRightInd/>
              <w:spacing w:line="240" w:lineRule="auto"/>
              <w:rPr>
                <w:rFonts w:eastAsia="Calibri" w:cs="Times New Roman"/>
                <w:color w:val="000000"/>
                <w:spacing w:val="-2"/>
                <w:sz w:val="22"/>
                <w:szCs w:val="22"/>
                <w:lang w:eastAsia="en-US"/>
              </w:rPr>
            </w:pPr>
          </w:p>
        </w:tc>
      </w:tr>
      <w:tr w:rsidR="00F10F4F" w:rsidRPr="00F10F4F" w:rsidTr="00CE46B1">
        <w:trPr>
          <w:gridAfter w:val="1"/>
          <w:wAfter w:w="10" w:type="dxa"/>
          <w:trHeight w:val="363"/>
        </w:trPr>
        <w:tc>
          <w:tcPr>
            <w:tcW w:w="10937" w:type="dxa"/>
            <w:gridSpan w:val="28"/>
            <w:shd w:val="clear" w:color="auto" w:fill="99CCFF"/>
            <w:vAlign w:val="center"/>
          </w:tcPr>
          <w:p w:rsidR="00F10F4F" w:rsidRPr="00F10F4F" w:rsidRDefault="00F10F4F" w:rsidP="00F10F4F">
            <w:pPr>
              <w:widowControl/>
              <w:numPr>
                <w:ilvl w:val="0"/>
                <w:numId w:val="45"/>
              </w:numPr>
              <w:autoSpaceDE/>
              <w:autoSpaceDN/>
              <w:adjustRightInd/>
              <w:spacing w:before="60" w:after="60" w:line="240" w:lineRule="auto"/>
              <w:ind w:left="318" w:hanging="284"/>
              <w:jc w:val="left"/>
              <w:rPr>
                <w:rFonts w:eastAsia="Calibri" w:cs="Times New Roman"/>
                <w:b/>
                <w:color w:val="000000"/>
                <w:sz w:val="22"/>
                <w:szCs w:val="22"/>
                <w:lang w:eastAsia="en-US"/>
              </w:rPr>
            </w:pPr>
            <w:r w:rsidRPr="00F10F4F">
              <w:rPr>
                <w:rFonts w:eastAsia="Calibri" w:cs="Times New Roman"/>
                <w:b/>
                <w:color w:val="000000"/>
                <w:sz w:val="22"/>
                <w:szCs w:val="22"/>
                <w:lang w:eastAsia="en-US"/>
              </w:rPr>
              <w:lastRenderedPageBreak/>
              <w:t xml:space="preserve"> Wpływ na sektor finansów publicznych.</w:t>
            </w:r>
          </w:p>
        </w:tc>
      </w:tr>
      <w:tr w:rsidR="00F10F4F" w:rsidRPr="00F10F4F" w:rsidTr="00CE46B1">
        <w:trPr>
          <w:gridAfter w:val="1"/>
          <w:wAfter w:w="10" w:type="dxa"/>
          <w:trHeight w:val="142"/>
        </w:trPr>
        <w:tc>
          <w:tcPr>
            <w:tcW w:w="3133" w:type="dxa"/>
            <w:gridSpan w:val="3"/>
            <w:vMerge w:val="restart"/>
            <w:shd w:val="clear" w:color="auto" w:fill="FFFFFF"/>
          </w:tcPr>
          <w:p w:rsidR="00F10F4F" w:rsidRPr="00F10F4F" w:rsidRDefault="00F10F4F" w:rsidP="00F10F4F">
            <w:pPr>
              <w:widowControl/>
              <w:autoSpaceDE/>
              <w:autoSpaceDN/>
              <w:adjustRightInd/>
              <w:spacing w:before="40" w:after="40" w:line="276" w:lineRule="auto"/>
              <w:jc w:val="left"/>
              <w:rPr>
                <w:rFonts w:eastAsia="Calibri" w:cs="Times New Roman"/>
                <w:i/>
                <w:color w:val="000000"/>
                <w:sz w:val="21"/>
                <w:szCs w:val="21"/>
                <w:lang w:eastAsia="en-US"/>
              </w:rPr>
            </w:pPr>
            <w:r w:rsidRPr="00F10F4F">
              <w:rPr>
                <w:rFonts w:eastAsia="Calibri" w:cs="Times New Roman"/>
                <w:color w:val="000000"/>
                <w:sz w:val="21"/>
                <w:szCs w:val="21"/>
                <w:lang w:eastAsia="en-US"/>
              </w:rPr>
              <w:t>(ceny stałe z 2018 r.)</w:t>
            </w:r>
          </w:p>
        </w:tc>
        <w:tc>
          <w:tcPr>
            <w:tcW w:w="7804" w:type="dxa"/>
            <w:gridSpan w:val="25"/>
            <w:shd w:val="clear" w:color="auto" w:fill="FFFFFF"/>
          </w:tcPr>
          <w:p w:rsidR="00F10F4F" w:rsidRPr="00F10F4F" w:rsidRDefault="00F10F4F" w:rsidP="00F10F4F">
            <w:pPr>
              <w:widowControl/>
              <w:autoSpaceDE/>
              <w:autoSpaceDN/>
              <w:adjustRightInd/>
              <w:spacing w:before="40" w:after="40" w:line="240" w:lineRule="auto"/>
              <w:jc w:val="center"/>
              <w:rPr>
                <w:rFonts w:eastAsia="Calibri" w:cs="Times New Roman"/>
                <w:i/>
                <w:color w:val="000000"/>
                <w:spacing w:val="-2"/>
                <w:sz w:val="21"/>
                <w:szCs w:val="21"/>
                <w:lang w:eastAsia="en-US"/>
              </w:rPr>
            </w:pPr>
            <w:r w:rsidRPr="00F10F4F">
              <w:rPr>
                <w:rFonts w:eastAsia="Calibri" w:cs="Times New Roman"/>
                <w:color w:val="000000"/>
                <w:sz w:val="21"/>
                <w:szCs w:val="21"/>
                <w:lang w:eastAsia="en-US"/>
              </w:rPr>
              <w:t>Skutki w okresie 10 lat od wejścia w życie zmian [mln zł]</w:t>
            </w:r>
          </w:p>
        </w:tc>
      </w:tr>
      <w:tr w:rsidR="00F10F4F" w:rsidRPr="00F10F4F" w:rsidTr="00CE46B1">
        <w:trPr>
          <w:gridAfter w:val="1"/>
          <w:wAfter w:w="10" w:type="dxa"/>
          <w:trHeight w:val="142"/>
        </w:trPr>
        <w:tc>
          <w:tcPr>
            <w:tcW w:w="3133" w:type="dxa"/>
            <w:gridSpan w:val="3"/>
            <w:vMerge/>
            <w:shd w:val="clear" w:color="auto" w:fill="FFFFFF"/>
          </w:tcPr>
          <w:p w:rsidR="00F10F4F" w:rsidRPr="00F10F4F" w:rsidRDefault="00F10F4F" w:rsidP="00F10F4F">
            <w:pPr>
              <w:widowControl/>
              <w:autoSpaceDE/>
              <w:autoSpaceDN/>
              <w:adjustRightInd/>
              <w:spacing w:before="40" w:after="40" w:line="240" w:lineRule="auto"/>
              <w:jc w:val="left"/>
              <w:rPr>
                <w:rFonts w:eastAsia="Calibri" w:cs="Times New Roman"/>
                <w:i/>
                <w:color w:val="000000"/>
                <w:sz w:val="21"/>
                <w:szCs w:val="21"/>
                <w:lang w:eastAsia="en-US"/>
              </w:rPr>
            </w:pPr>
          </w:p>
        </w:tc>
        <w:tc>
          <w:tcPr>
            <w:tcW w:w="569" w:type="dxa"/>
            <w:gridSpan w:val="3"/>
            <w:shd w:val="clear" w:color="auto" w:fill="FFFFFF"/>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w:t>
            </w:r>
          </w:p>
        </w:tc>
        <w:tc>
          <w:tcPr>
            <w:tcW w:w="570" w:type="dxa"/>
            <w:gridSpan w:val="2"/>
            <w:shd w:val="clear" w:color="auto" w:fill="FFFFFF"/>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1</w:t>
            </w:r>
          </w:p>
        </w:tc>
        <w:tc>
          <w:tcPr>
            <w:tcW w:w="570" w:type="dxa"/>
            <w:gridSpan w:val="3"/>
            <w:shd w:val="clear" w:color="auto" w:fill="FFFFFF"/>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2</w:t>
            </w:r>
          </w:p>
        </w:tc>
        <w:tc>
          <w:tcPr>
            <w:tcW w:w="569" w:type="dxa"/>
            <w:shd w:val="clear" w:color="auto" w:fill="FFFFFF"/>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3</w:t>
            </w:r>
          </w:p>
        </w:tc>
        <w:tc>
          <w:tcPr>
            <w:tcW w:w="570" w:type="dxa"/>
            <w:gridSpan w:val="2"/>
            <w:shd w:val="clear" w:color="auto" w:fill="FFFFFF"/>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4</w:t>
            </w:r>
          </w:p>
        </w:tc>
        <w:tc>
          <w:tcPr>
            <w:tcW w:w="570" w:type="dxa"/>
            <w:gridSpan w:val="2"/>
            <w:shd w:val="clear" w:color="auto" w:fill="FFFFFF"/>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5</w:t>
            </w:r>
          </w:p>
        </w:tc>
        <w:tc>
          <w:tcPr>
            <w:tcW w:w="570" w:type="dxa"/>
            <w:gridSpan w:val="3"/>
            <w:shd w:val="clear" w:color="auto" w:fill="FFFFFF"/>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6</w:t>
            </w:r>
          </w:p>
        </w:tc>
        <w:tc>
          <w:tcPr>
            <w:tcW w:w="569" w:type="dxa"/>
            <w:gridSpan w:val="3"/>
            <w:shd w:val="clear" w:color="auto" w:fill="FFFFFF"/>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7</w:t>
            </w:r>
          </w:p>
        </w:tc>
        <w:tc>
          <w:tcPr>
            <w:tcW w:w="570" w:type="dxa"/>
            <w:shd w:val="clear" w:color="auto" w:fill="FFFFFF"/>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8</w:t>
            </w:r>
          </w:p>
        </w:tc>
        <w:tc>
          <w:tcPr>
            <w:tcW w:w="570" w:type="dxa"/>
            <w:gridSpan w:val="2"/>
            <w:shd w:val="clear" w:color="auto" w:fill="FFFFFF"/>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9</w:t>
            </w:r>
          </w:p>
        </w:tc>
        <w:tc>
          <w:tcPr>
            <w:tcW w:w="570" w:type="dxa"/>
            <w:shd w:val="clear" w:color="auto" w:fill="FFFFFF"/>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10</w:t>
            </w:r>
          </w:p>
        </w:tc>
        <w:tc>
          <w:tcPr>
            <w:tcW w:w="1537" w:type="dxa"/>
            <w:gridSpan w:val="2"/>
            <w:shd w:val="clear" w:color="auto" w:fill="FFFFFF"/>
          </w:tcPr>
          <w:p w:rsidR="00F10F4F" w:rsidRPr="00F10F4F" w:rsidRDefault="00F10F4F" w:rsidP="00F10F4F">
            <w:pPr>
              <w:widowControl/>
              <w:autoSpaceDE/>
              <w:autoSpaceDN/>
              <w:adjustRightInd/>
              <w:spacing w:before="40" w:after="40" w:line="240" w:lineRule="auto"/>
              <w:jc w:val="center"/>
              <w:rPr>
                <w:rFonts w:eastAsia="Calibri" w:cs="Times New Roman"/>
                <w:i/>
                <w:color w:val="000000"/>
                <w:spacing w:val="-2"/>
                <w:sz w:val="21"/>
                <w:szCs w:val="21"/>
                <w:lang w:eastAsia="en-US"/>
              </w:rPr>
            </w:pPr>
            <w:r w:rsidRPr="00F10F4F">
              <w:rPr>
                <w:rFonts w:eastAsia="Calibri" w:cs="Times New Roman"/>
                <w:i/>
                <w:color w:val="000000"/>
                <w:spacing w:val="-2"/>
                <w:sz w:val="21"/>
                <w:szCs w:val="21"/>
                <w:lang w:eastAsia="en-US"/>
              </w:rPr>
              <w:t>Łącznie (0-10)</w:t>
            </w:r>
          </w:p>
        </w:tc>
      </w:tr>
      <w:tr w:rsidR="00F10F4F" w:rsidRPr="00F10F4F" w:rsidTr="00CE46B1">
        <w:trPr>
          <w:trHeight w:val="321"/>
        </w:trPr>
        <w:tc>
          <w:tcPr>
            <w:tcW w:w="3133" w:type="dxa"/>
            <w:gridSpan w:val="3"/>
            <w:shd w:val="clear" w:color="auto" w:fill="FFFFFF"/>
            <w:vAlign w:val="center"/>
          </w:tcPr>
          <w:p w:rsidR="00F10F4F" w:rsidRPr="00F10F4F" w:rsidRDefault="00F10F4F" w:rsidP="00F10F4F">
            <w:pPr>
              <w:widowControl/>
              <w:autoSpaceDE/>
              <w:autoSpaceDN/>
              <w:adjustRightInd/>
              <w:spacing w:line="240" w:lineRule="auto"/>
              <w:jc w:val="left"/>
              <w:rPr>
                <w:rFonts w:eastAsia="Calibri" w:cs="Times New Roman"/>
                <w:color w:val="000000"/>
                <w:sz w:val="21"/>
                <w:szCs w:val="21"/>
                <w:lang w:eastAsia="en-US"/>
              </w:rPr>
            </w:pPr>
            <w:r w:rsidRPr="00F10F4F">
              <w:rPr>
                <w:rFonts w:eastAsia="Calibri" w:cs="Times New Roman"/>
                <w:color w:val="000000"/>
                <w:sz w:val="21"/>
                <w:szCs w:val="21"/>
                <w:lang w:eastAsia="en-US"/>
              </w:rPr>
              <w:t>Dochody ogółem</w:t>
            </w:r>
          </w:p>
        </w:tc>
        <w:tc>
          <w:tcPr>
            <w:tcW w:w="569" w:type="dxa"/>
            <w:gridSpan w:val="3"/>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w:t>
            </w:r>
          </w:p>
        </w:tc>
        <w:tc>
          <w:tcPr>
            <w:tcW w:w="570" w:type="dxa"/>
            <w:gridSpan w:val="2"/>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w:t>
            </w:r>
          </w:p>
        </w:tc>
        <w:tc>
          <w:tcPr>
            <w:tcW w:w="570" w:type="dxa"/>
            <w:gridSpan w:val="3"/>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w:t>
            </w:r>
          </w:p>
        </w:tc>
        <w:tc>
          <w:tcPr>
            <w:tcW w:w="569" w:type="dxa"/>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w:t>
            </w:r>
          </w:p>
        </w:tc>
        <w:tc>
          <w:tcPr>
            <w:tcW w:w="570" w:type="dxa"/>
            <w:gridSpan w:val="2"/>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w:t>
            </w:r>
          </w:p>
        </w:tc>
        <w:tc>
          <w:tcPr>
            <w:tcW w:w="570" w:type="dxa"/>
            <w:gridSpan w:val="2"/>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w:t>
            </w:r>
          </w:p>
        </w:tc>
        <w:tc>
          <w:tcPr>
            <w:tcW w:w="570" w:type="dxa"/>
            <w:gridSpan w:val="3"/>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w:t>
            </w:r>
          </w:p>
        </w:tc>
        <w:tc>
          <w:tcPr>
            <w:tcW w:w="569" w:type="dxa"/>
            <w:gridSpan w:val="3"/>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w:t>
            </w:r>
          </w:p>
        </w:tc>
        <w:tc>
          <w:tcPr>
            <w:tcW w:w="570" w:type="dxa"/>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w:t>
            </w:r>
          </w:p>
        </w:tc>
        <w:tc>
          <w:tcPr>
            <w:tcW w:w="570" w:type="dxa"/>
            <w:gridSpan w:val="2"/>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w:t>
            </w:r>
          </w:p>
        </w:tc>
        <w:tc>
          <w:tcPr>
            <w:tcW w:w="570" w:type="dxa"/>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w:t>
            </w:r>
          </w:p>
        </w:tc>
        <w:tc>
          <w:tcPr>
            <w:tcW w:w="1547" w:type="dxa"/>
            <w:gridSpan w:val="3"/>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pacing w:val="-2"/>
                <w:sz w:val="21"/>
                <w:szCs w:val="21"/>
                <w:lang w:eastAsia="en-US"/>
              </w:rPr>
            </w:pPr>
            <w:r w:rsidRPr="00F10F4F">
              <w:rPr>
                <w:rFonts w:eastAsia="Calibri" w:cs="Times New Roman"/>
                <w:color w:val="000000"/>
                <w:spacing w:val="-2"/>
                <w:sz w:val="21"/>
                <w:szCs w:val="21"/>
                <w:lang w:eastAsia="en-US"/>
              </w:rPr>
              <w:t>0</w:t>
            </w:r>
          </w:p>
        </w:tc>
      </w:tr>
      <w:tr w:rsidR="00F10F4F" w:rsidRPr="00F10F4F" w:rsidTr="00CE46B1">
        <w:trPr>
          <w:trHeight w:val="330"/>
        </w:trPr>
        <w:tc>
          <w:tcPr>
            <w:tcW w:w="3133" w:type="dxa"/>
            <w:gridSpan w:val="3"/>
            <w:shd w:val="clear" w:color="auto" w:fill="FFFFFF"/>
            <w:vAlign w:val="center"/>
          </w:tcPr>
          <w:p w:rsidR="00F10F4F" w:rsidRPr="00F10F4F" w:rsidRDefault="00F10F4F" w:rsidP="00F10F4F">
            <w:pPr>
              <w:widowControl/>
              <w:autoSpaceDE/>
              <w:autoSpaceDN/>
              <w:adjustRightInd/>
              <w:spacing w:line="240" w:lineRule="auto"/>
              <w:jc w:val="left"/>
              <w:rPr>
                <w:rFonts w:eastAsia="Calibri" w:cs="Times New Roman"/>
                <w:color w:val="000000"/>
                <w:sz w:val="21"/>
                <w:szCs w:val="21"/>
                <w:lang w:eastAsia="en-US"/>
              </w:rPr>
            </w:pPr>
            <w:r w:rsidRPr="00F10F4F">
              <w:rPr>
                <w:rFonts w:eastAsia="Calibri" w:cs="Times New Roman"/>
                <w:color w:val="000000"/>
                <w:sz w:val="21"/>
                <w:szCs w:val="21"/>
                <w:lang w:eastAsia="en-US"/>
              </w:rPr>
              <w:t>Wydatki ogółem</w:t>
            </w:r>
          </w:p>
        </w:tc>
        <w:tc>
          <w:tcPr>
            <w:tcW w:w="569" w:type="dxa"/>
            <w:gridSpan w:val="3"/>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w:t>
            </w:r>
          </w:p>
        </w:tc>
        <w:tc>
          <w:tcPr>
            <w:tcW w:w="570" w:type="dxa"/>
            <w:gridSpan w:val="2"/>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0,3</w:t>
            </w:r>
          </w:p>
        </w:tc>
        <w:tc>
          <w:tcPr>
            <w:tcW w:w="570" w:type="dxa"/>
            <w:gridSpan w:val="3"/>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0,3</w:t>
            </w:r>
          </w:p>
        </w:tc>
        <w:tc>
          <w:tcPr>
            <w:tcW w:w="569" w:type="dxa"/>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0,3</w:t>
            </w:r>
          </w:p>
        </w:tc>
        <w:tc>
          <w:tcPr>
            <w:tcW w:w="570" w:type="dxa"/>
            <w:gridSpan w:val="2"/>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0,3</w:t>
            </w:r>
          </w:p>
        </w:tc>
        <w:tc>
          <w:tcPr>
            <w:tcW w:w="570" w:type="dxa"/>
            <w:gridSpan w:val="2"/>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0,3</w:t>
            </w:r>
          </w:p>
        </w:tc>
        <w:tc>
          <w:tcPr>
            <w:tcW w:w="570" w:type="dxa"/>
            <w:gridSpan w:val="3"/>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0,3</w:t>
            </w:r>
          </w:p>
        </w:tc>
        <w:tc>
          <w:tcPr>
            <w:tcW w:w="569" w:type="dxa"/>
            <w:gridSpan w:val="3"/>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0,3</w:t>
            </w:r>
          </w:p>
        </w:tc>
        <w:tc>
          <w:tcPr>
            <w:tcW w:w="570" w:type="dxa"/>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0,3</w:t>
            </w:r>
          </w:p>
        </w:tc>
        <w:tc>
          <w:tcPr>
            <w:tcW w:w="570" w:type="dxa"/>
            <w:gridSpan w:val="2"/>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0,3</w:t>
            </w:r>
          </w:p>
        </w:tc>
        <w:tc>
          <w:tcPr>
            <w:tcW w:w="570" w:type="dxa"/>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0,3</w:t>
            </w:r>
          </w:p>
        </w:tc>
        <w:tc>
          <w:tcPr>
            <w:tcW w:w="1547" w:type="dxa"/>
            <w:gridSpan w:val="3"/>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3</w:t>
            </w:r>
          </w:p>
        </w:tc>
      </w:tr>
      <w:tr w:rsidR="00F10F4F" w:rsidRPr="00F10F4F" w:rsidTr="00CE46B1">
        <w:trPr>
          <w:trHeight w:val="360"/>
        </w:trPr>
        <w:tc>
          <w:tcPr>
            <w:tcW w:w="3133" w:type="dxa"/>
            <w:gridSpan w:val="3"/>
            <w:shd w:val="clear" w:color="auto" w:fill="FFFFFF"/>
            <w:vAlign w:val="center"/>
          </w:tcPr>
          <w:p w:rsidR="00F10F4F" w:rsidRPr="00F10F4F" w:rsidRDefault="00F10F4F" w:rsidP="00F10F4F">
            <w:pPr>
              <w:widowControl/>
              <w:autoSpaceDE/>
              <w:autoSpaceDN/>
              <w:adjustRightInd/>
              <w:spacing w:line="240" w:lineRule="auto"/>
              <w:jc w:val="left"/>
              <w:rPr>
                <w:rFonts w:eastAsia="Calibri" w:cs="Times New Roman"/>
                <w:color w:val="000000"/>
                <w:sz w:val="21"/>
                <w:szCs w:val="21"/>
                <w:lang w:eastAsia="en-US"/>
              </w:rPr>
            </w:pPr>
            <w:r w:rsidRPr="00F10F4F">
              <w:rPr>
                <w:rFonts w:eastAsia="Calibri" w:cs="Times New Roman"/>
                <w:color w:val="000000"/>
                <w:sz w:val="21"/>
                <w:szCs w:val="21"/>
                <w:lang w:eastAsia="en-US"/>
              </w:rPr>
              <w:t>Saldo ogółem</w:t>
            </w:r>
          </w:p>
        </w:tc>
        <w:tc>
          <w:tcPr>
            <w:tcW w:w="569" w:type="dxa"/>
            <w:gridSpan w:val="3"/>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w:t>
            </w:r>
          </w:p>
        </w:tc>
        <w:tc>
          <w:tcPr>
            <w:tcW w:w="570" w:type="dxa"/>
            <w:gridSpan w:val="2"/>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-0,3</w:t>
            </w:r>
          </w:p>
        </w:tc>
        <w:tc>
          <w:tcPr>
            <w:tcW w:w="570" w:type="dxa"/>
            <w:gridSpan w:val="3"/>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-0,3</w:t>
            </w:r>
          </w:p>
        </w:tc>
        <w:tc>
          <w:tcPr>
            <w:tcW w:w="569" w:type="dxa"/>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-0,3</w:t>
            </w:r>
          </w:p>
        </w:tc>
        <w:tc>
          <w:tcPr>
            <w:tcW w:w="570" w:type="dxa"/>
            <w:gridSpan w:val="2"/>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-0,3</w:t>
            </w:r>
          </w:p>
        </w:tc>
        <w:tc>
          <w:tcPr>
            <w:tcW w:w="570" w:type="dxa"/>
            <w:gridSpan w:val="2"/>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-0,3</w:t>
            </w:r>
          </w:p>
        </w:tc>
        <w:tc>
          <w:tcPr>
            <w:tcW w:w="570" w:type="dxa"/>
            <w:gridSpan w:val="3"/>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-0,3</w:t>
            </w:r>
          </w:p>
        </w:tc>
        <w:tc>
          <w:tcPr>
            <w:tcW w:w="569" w:type="dxa"/>
            <w:gridSpan w:val="3"/>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-0,3</w:t>
            </w:r>
          </w:p>
        </w:tc>
        <w:tc>
          <w:tcPr>
            <w:tcW w:w="570" w:type="dxa"/>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-0,3</w:t>
            </w:r>
          </w:p>
        </w:tc>
        <w:tc>
          <w:tcPr>
            <w:tcW w:w="570" w:type="dxa"/>
            <w:gridSpan w:val="2"/>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-0,3</w:t>
            </w:r>
          </w:p>
        </w:tc>
        <w:tc>
          <w:tcPr>
            <w:tcW w:w="570" w:type="dxa"/>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-0,3</w:t>
            </w:r>
          </w:p>
        </w:tc>
        <w:tc>
          <w:tcPr>
            <w:tcW w:w="1547" w:type="dxa"/>
            <w:gridSpan w:val="3"/>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-3</w:t>
            </w:r>
          </w:p>
        </w:tc>
      </w:tr>
      <w:tr w:rsidR="00F10F4F" w:rsidRPr="00F10F4F" w:rsidTr="00CE46B1">
        <w:trPr>
          <w:gridAfter w:val="1"/>
          <w:wAfter w:w="10" w:type="dxa"/>
          <w:trHeight w:val="348"/>
        </w:trPr>
        <w:tc>
          <w:tcPr>
            <w:tcW w:w="2243" w:type="dxa"/>
            <w:gridSpan w:val="2"/>
            <w:shd w:val="clear" w:color="auto" w:fill="FFFFFF"/>
            <w:vAlign w:val="center"/>
          </w:tcPr>
          <w:p w:rsidR="00F10F4F" w:rsidRPr="00F10F4F" w:rsidRDefault="00F10F4F" w:rsidP="00F10F4F">
            <w:pPr>
              <w:widowControl/>
              <w:autoSpaceDE/>
              <w:autoSpaceDN/>
              <w:adjustRightInd/>
              <w:spacing w:line="240" w:lineRule="auto"/>
              <w:jc w:val="left"/>
              <w:rPr>
                <w:rFonts w:eastAsia="Calibri" w:cs="Times New Roman"/>
                <w:color w:val="000000"/>
                <w:sz w:val="21"/>
                <w:szCs w:val="21"/>
                <w:lang w:eastAsia="en-US"/>
              </w:rPr>
            </w:pPr>
            <w:r w:rsidRPr="00F10F4F">
              <w:rPr>
                <w:rFonts w:eastAsia="Calibri" w:cs="Times New Roman"/>
                <w:color w:val="000000"/>
                <w:sz w:val="21"/>
                <w:szCs w:val="21"/>
                <w:lang w:eastAsia="en-US"/>
              </w:rPr>
              <w:t xml:space="preserve">Źródła finansowania </w:t>
            </w:r>
          </w:p>
        </w:tc>
        <w:tc>
          <w:tcPr>
            <w:tcW w:w="8694" w:type="dxa"/>
            <w:gridSpan w:val="26"/>
            <w:shd w:val="clear" w:color="auto" w:fill="FFFFFF"/>
            <w:vAlign w:val="center"/>
          </w:tcPr>
          <w:p w:rsidR="00F10F4F" w:rsidRPr="00F10F4F" w:rsidRDefault="00F10F4F" w:rsidP="00F10F4F">
            <w:pPr>
              <w:widowControl/>
              <w:spacing w:line="240" w:lineRule="auto"/>
              <w:rPr>
                <w:rFonts w:eastAsia="Calibri" w:cs="Times New Roman"/>
                <w:color w:val="000000"/>
                <w:szCs w:val="24"/>
              </w:rPr>
            </w:pPr>
            <w:r w:rsidRPr="00F10F4F">
              <w:rPr>
                <w:rFonts w:eastAsia="Calibri" w:cs="Times New Roman"/>
                <w:color w:val="000000"/>
                <w:sz w:val="22"/>
                <w:szCs w:val="22"/>
              </w:rPr>
              <w:t xml:space="preserve">Budżet państwa, część 15 – Sądy powszechne, w ramach limitów określonych w </w:t>
            </w:r>
            <w:r w:rsidRPr="00F10F4F">
              <w:rPr>
                <w:rFonts w:eastAsia="Calibri" w:cs="Times New Roman"/>
                <w:i/>
                <w:color w:val="000000"/>
                <w:sz w:val="22"/>
                <w:szCs w:val="22"/>
              </w:rPr>
              <w:t xml:space="preserve">ustawie </w:t>
            </w:r>
            <w:r w:rsidRPr="00F10F4F">
              <w:rPr>
                <w:rFonts w:eastAsia="Calibri" w:cs="Times New Roman"/>
                <w:bCs/>
                <w:i/>
                <w:color w:val="000000"/>
                <w:sz w:val="22"/>
                <w:szCs w:val="22"/>
              </w:rPr>
              <w:t>o postępowaniu wobec osób z zaburzeniami psychicznymi stwarzających zagrożenie życia, zdrowia lub wolności seksualnej innych osób</w:t>
            </w:r>
            <w:r w:rsidRPr="00F10F4F">
              <w:rPr>
                <w:rFonts w:eastAsia="Calibri" w:cs="Times New Roman"/>
                <w:bCs/>
                <w:i/>
                <w:color w:val="000000"/>
                <w:sz w:val="23"/>
                <w:szCs w:val="23"/>
              </w:rPr>
              <w:t>.</w:t>
            </w:r>
          </w:p>
        </w:tc>
      </w:tr>
      <w:tr w:rsidR="00F10F4F" w:rsidRPr="00F10F4F" w:rsidTr="00CE46B1">
        <w:trPr>
          <w:gridAfter w:val="1"/>
          <w:wAfter w:w="10" w:type="dxa"/>
          <w:trHeight w:val="1258"/>
        </w:trPr>
        <w:tc>
          <w:tcPr>
            <w:tcW w:w="2243" w:type="dxa"/>
            <w:gridSpan w:val="2"/>
            <w:shd w:val="clear" w:color="auto" w:fill="FFFFFF"/>
          </w:tcPr>
          <w:p w:rsidR="00F10F4F" w:rsidRPr="00F10F4F" w:rsidRDefault="00F10F4F" w:rsidP="00F10F4F">
            <w:pPr>
              <w:widowControl/>
              <w:autoSpaceDE/>
              <w:autoSpaceDN/>
              <w:adjustRightInd/>
              <w:spacing w:line="240" w:lineRule="auto"/>
              <w:jc w:val="left"/>
              <w:rPr>
                <w:rFonts w:eastAsia="Calibri" w:cs="Times New Roman"/>
                <w:color w:val="000000"/>
                <w:sz w:val="21"/>
                <w:szCs w:val="21"/>
                <w:lang w:eastAsia="en-US"/>
              </w:rPr>
            </w:pPr>
            <w:r w:rsidRPr="00F10F4F">
              <w:rPr>
                <w:rFonts w:eastAsia="Calibri" w:cs="Times New Roman"/>
                <w:color w:val="000000"/>
                <w:sz w:val="21"/>
                <w:szCs w:val="21"/>
                <w:lang w:eastAsia="en-US"/>
              </w:rPr>
              <w:t>Dodatkowe informacje, w tym wskazanie źródeł danych i przyjętych do obliczeń założeń</w:t>
            </w:r>
          </w:p>
        </w:tc>
        <w:tc>
          <w:tcPr>
            <w:tcW w:w="8694" w:type="dxa"/>
            <w:gridSpan w:val="26"/>
            <w:shd w:val="clear" w:color="auto" w:fill="FFFFFF"/>
          </w:tcPr>
          <w:p w:rsidR="00F10F4F" w:rsidRPr="00F10F4F" w:rsidRDefault="00F10F4F" w:rsidP="00F10F4F">
            <w:pPr>
              <w:widowControl/>
              <w:autoSpaceDE/>
              <w:autoSpaceDN/>
              <w:adjustRightInd/>
              <w:spacing w:line="240" w:lineRule="auto"/>
              <w:rPr>
                <w:rFonts w:eastAsia="Calibri" w:cs="Times New Roman"/>
                <w:color w:val="000000"/>
                <w:sz w:val="22"/>
                <w:szCs w:val="22"/>
                <w:lang w:eastAsia="en-US"/>
              </w:rPr>
            </w:pPr>
            <w:r w:rsidRPr="00F10F4F">
              <w:rPr>
                <w:rFonts w:eastAsia="Calibri" w:cs="Times New Roman"/>
                <w:color w:val="000000"/>
                <w:sz w:val="22"/>
                <w:szCs w:val="22"/>
                <w:lang w:eastAsia="en-US"/>
              </w:rPr>
              <w:t xml:space="preserve">Przedmiotowa regulacja będzie powodować wzrost wydatków, gdyż realizacja podwyższonego standardu </w:t>
            </w:r>
            <w:r w:rsidRPr="00F10F4F">
              <w:rPr>
                <w:rFonts w:eastAsia="Calibri" w:cs="Times New Roman"/>
                <w:color w:val="000000"/>
                <w:spacing w:val="-2"/>
                <w:sz w:val="22"/>
                <w:szCs w:val="22"/>
                <w:lang w:eastAsia="en-US"/>
              </w:rPr>
              <w:t xml:space="preserve">w zakresie podejmowania decyzji w sprawie pobytu pacjenta w </w:t>
            </w:r>
            <w:r w:rsidRPr="00F10F4F">
              <w:rPr>
                <w:rFonts w:eastAsia="Calibri" w:cs="Times New Roman"/>
                <w:i/>
                <w:color w:val="000000"/>
                <w:sz w:val="22"/>
                <w:szCs w:val="22"/>
                <w:lang w:eastAsia="en-US"/>
              </w:rPr>
              <w:t xml:space="preserve">Ośrodku </w:t>
            </w:r>
            <w:r w:rsidRPr="00F10F4F">
              <w:rPr>
                <w:rFonts w:eastAsia="Calibri" w:cs="Times New Roman"/>
                <w:color w:val="000000"/>
                <w:sz w:val="22"/>
                <w:szCs w:val="22"/>
                <w:lang w:eastAsia="en-US"/>
              </w:rPr>
              <w:t xml:space="preserve">będzie wiązała się z koniecznością uzyskania opinii dodatkowych biegłych. Wysokość wydatków, jakie budżet państwa będzie ponosił, zależeć będzie od sposobu organizacji tego zadania, prawdopodobnie będą kształtować się w wysokości </w:t>
            </w:r>
            <w:r w:rsidRPr="00F10F4F">
              <w:rPr>
                <w:rFonts w:eastAsia="Calibri" w:cs="Times New Roman"/>
                <w:color w:val="000000"/>
                <w:sz w:val="22"/>
                <w:szCs w:val="22"/>
                <w:u w:val="single"/>
                <w:lang w:eastAsia="en-US"/>
              </w:rPr>
              <w:t>ok. 300 tys. zł/rok</w:t>
            </w:r>
            <w:r w:rsidRPr="00F10F4F">
              <w:rPr>
                <w:rFonts w:eastAsia="Calibri" w:cs="Times New Roman"/>
                <w:color w:val="000000"/>
                <w:sz w:val="22"/>
                <w:szCs w:val="22"/>
                <w:lang w:eastAsia="en-US"/>
              </w:rPr>
              <w:t xml:space="preserve">. </w:t>
            </w:r>
          </w:p>
          <w:p w:rsidR="00F10F4F" w:rsidRPr="00F10F4F" w:rsidRDefault="00F10F4F" w:rsidP="00F10F4F">
            <w:pPr>
              <w:widowControl/>
              <w:autoSpaceDE/>
              <w:autoSpaceDN/>
              <w:adjustRightInd/>
              <w:spacing w:line="240" w:lineRule="auto"/>
              <w:rPr>
                <w:rFonts w:eastAsia="Calibri" w:cs="Times New Roman"/>
                <w:color w:val="000000"/>
                <w:sz w:val="22"/>
                <w:szCs w:val="22"/>
                <w:lang w:eastAsia="en-US"/>
              </w:rPr>
            </w:pPr>
          </w:p>
          <w:p w:rsidR="00F10F4F" w:rsidRPr="00F10F4F" w:rsidRDefault="00F10F4F" w:rsidP="00F10F4F">
            <w:pPr>
              <w:widowControl/>
              <w:autoSpaceDE/>
              <w:autoSpaceDN/>
              <w:adjustRightInd/>
              <w:spacing w:line="240" w:lineRule="auto"/>
              <w:rPr>
                <w:rFonts w:eastAsia="Calibri" w:cs="Times New Roman"/>
                <w:color w:val="000000"/>
                <w:sz w:val="22"/>
                <w:szCs w:val="22"/>
                <w:lang w:eastAsia="en-US"/>
              </w:rPr>
            </w:pPr>
            <w:r w:rsidRPr="00F10F4F">
              <w:rPr>
                <w:rFonts w:eastAsia="Calibri" w:cs="Times New Roman"/>
                <w:color w:val="000000"/>
                <w:sz w:val="22"/>
                <w:szCs w:val="22"/>
                <w:lang w:eastAsia="en-US"/>
              </w:rPr>
              <w:t>Koszty zostały oszacowane przy następujących założeniach:</w:t>
            </w:r>
          </w:p>
          <w:p w:rsidR="00F10F4F" w:rsidRPr="00F10F4F" w:rsidRDefault="00F10F4F" w:rsidP="00F10F4F">
            <w:pPr>
              <w:widowControl/>
              <w:numPr>
                <w:ilvl w:val="0"/>
                <w:numId w:val="48"/>
              </w:numPr>
              <w:autoSpaceDE/>
              <w:autoSpaceDN/>
              <w:adjustRightInd/>
              <w:spacing w:line="240" w:lineRule="auto"/>
              <w:contextualSpacing/>
              <w:jc w:val="left"/>
              <w:rPr>
                <w:rFonts w:eastAsia="Calibri" w:cs="Times New Roman"/>
                <w:color w:val="000000"/>
                <w:sz w:val="22"/>
                <w:szCs w:val="22"/>
                <w:lang w:eastAsia="en-US"/>
              </w:rPr>
            </w:pPr>
            <w:r w:rsidRPr="00F10F4F">
              <w:rPr>
                <w:rFonts w:eastAsia="Calibri" w:cs="Times New Roman"/>
                <w:color w:val="000000"/>
                <w:sz w:val="22"/>
                <w:szCs w:val="22"/>
                <w:u w:val="single"/>
                <w:lang w:eastAsia="en-US"/>
              </w:rPr>
              <w:t>koszt opinii ok. 1.000 zł</w:t>
            </w:r>
            <w:r w:rsidRPr="00F10F4F">
              <w:rPr>
                <w:rFonts w:eastAsia="Calibri" w:cs="Times New Roman"/>
                <w:color w:val="000000"/>
                <w:sz w:val="22"/>
                <w:szCs w:val="22"/>
                <w:lang w:eastAsia="en-US"/>
              </w:rPr>
              <w:t xml:space="preserve">. Według informacji zamieszczonej w opracowaniu Instytutu Wymiaru Sprawiedliwości </w:t>
            </w:r>
            <w:r w:rsidRPr="00F10F4F">
              <w:rPr>
                <w:rFonts w:eastAsia="Calibri" w:cs="Times New Roman"/>
                <w:i/>
                <w:color w:val="000000"/>
                <w:sz w:val="22"/>
                <w:szCs w:val="22"/>
                <w:lang w:eastAsia="en-US"/>
              </w:rPr>
              <w:t>„Biegły w postępowaniu sądowym. Kompleksowy obraz systemu w świetle badań aktowych, ankietowych, statystycznych i ekonomicznych”</w:t>
            </w:r>
            <w:r w:rsidRPr="00F10F4F">
              <w:rPr>
                <w:rFonts w:eastAsia="Calibri" w:cs="Times New Roman"/>
                <w:color w:val="000000"/>
                <w:sz w:val="22"/>
                <w:szCs w:val="22"/>
                <w:lang w:eastAsia="en-US"/>
              </w:rPr>
              <w:t xml:space="preserve"> koszt sporządzenia opinii przez biegłych z zakresu psychiatrii, psychologii i medycyny wynosił przeciętnie niespełna 500 zł. Jednakże wydanie opinii o stanie zdrowia pacjenta Ośrodka, jest zadaniem prawdopodobnie o wiele bardziej złożonym niż analizowane przypadki przez  Instytut, co uzasadnia przyjęcie wysokości kosztu opinii biegłego w wyższej kwocie,</w:t>
            </w:r>
          </w:p>
          <w:p w:rsidR="00F10F4F" w:rsidRPr="00F10F4F" w:rsidRDefault="00F10F4F" w:rsidP="00F10F4F">
            <w:pPr>
              <w:widowControl/>
              <w:autoSpaceDE/>
              <w:autoSpaceDN/>
              <w:adjustRightInd/>
              <w:spacing w:line="240" w:lineRule="auto"/>
              <w:ind w:left="360"/>
              <w:contextualSpacing/>
              <w:rPr>
                <w:rFonts w:eastAsia="Calibri" w:cs="Times New Roman"/>
                <w:color w:val="000000"/>
                <w:sz w:val="22"/>
                <w:szCs w:val="22"/>
                <w:lang w:eastAsia="en-US"/>
              </w:rPr>
            </w:pPr>
          </w:p>
          <w:p w:rsidR="00F10F4F" w:rsidRPr="00F10F4F" w:rsidRDefault="00F10F4F" w:rsidP="00F10F4F">
            <w:pPr>
              <w:widowControl/>
              <w:numPr>
                <w:ilvl w:val="0"/>
                <w:numId w:val="48"/>
              </w:numPr>
              <w:autoSpaceDE/>
              <w:autoSpaceDN/>
              <w:adjustRightInd/>
              <w:spacing w:line="240" w:lineRule="auto"/>
              <w:contextualSpacing/>
              <w:jc w:val="left"/>
              <w:rPr>
                <w:rFonts w:eastAsia="Calibri" w:cs="Times New Roman"/>
                <w:color w:val="000000"/>
                <w:sz w:val="22"/>
                <w:szCs w:val="22"/>
                <w:lang w:eastAsia="en-US"/>
              </w:rPr>
            </w:pPr>
            <w:r w:rsidRPr="00F10F4F">
              <w:rPr>
                <w:rFonts w:eastAsia="Calibri" w:cs="Times New Roman"/>
                <w:color w:val="000000"/>
                <w:sz w:val="22"/>
                <w:szCs w:val="22"/>
                <w:u w:val="single"/>
                <w:lang w:eastAsia="en-US"/>
              </w:rPr>
              <w:t>liczbę pacjentów</w:t>
            </w:r>
            <w:r w:rsidRPr="00F10F4F">
              <w:rPr>
                <w:rFonts w:eastAsia="Calibri" w:cs="Times New Roman"/>
                <w:color w:val="000000"/>
                <w:sz w:val="22"/>
                <w:szCs w:val="22"/>
                <w:lang w:eastAsia="en-US"/>
              </w:rPr>
              <w:t xml:space="preserve"> dla których będą sporządzane opinie przyjmuje się w wysokości 52 (wg informacji Ministerstwa Zdrowia tylu obecnie przebywa pacjentów w Ośrodku),</w:t>
            </w:r>
          </w:p>
          <w:p w:rsidR="00F10F4F" w:rsidRPr="00F10F4F" w:rsidRDefault="00F10F4F" w:rsidP="00F10F4F">
            <w:pPr>
              <w:widowControl/>
              <w:autoSpaceDE/>
              <w:autoSpaceDN/>
              <w:adjustRightInd/>
              <w:spacing w:line="240" w:lineRule="auto"/>
              <w:rPr>
                <w:rFonts w:eastAsia="Calibri" w:cs="Times New Roman"/>
                <w:color w:val="000000"/>
                <w:sz w:val="22"/>
                <w:szCs w:val="22"/>
                <w:lang w:eastAsia="en-US"/>
              </w:rPr>
            </w:pPr>
          </w:p>
          <w:p w:rsidR="00F10F4F" w:rsidRPr="00F10F4F" w:rsidRDefault="00F10F4F" w:rsidP="00F10F4F">
            <w:pPr>
              <w:widowControl/>
              <w:numPr>
                <w:ilvl w:val="0"/>
                <w:numId w:val="48"/>
              </w:numPr>
              <w:autoSpaceDE/>
              <w:autoSpaceDN/>
              <w:adjustRightInd/>
              <w:spacing w:line="240" w:lineRule="auto"/>
              <w:contextualSpacing/>
              <w:jc w:val="left"/>
              <w:rPr>
                <w:rFonts w:eastAsia="Calibri" w:cs="Times New Roman"/>
                <w:color w:val="000000"/>
                <w:sz w:val="22"/>
                <w:szCs w:val="22"/>
                <w:lang w:eastAsia="en-US"/>
              </w:rPr>
            </w:pPr>
            <w:r w:rsidRPr="00F10F4F">
              <w:rPr>
                <w:rFonts w:eastAsia="Calibri" w:cs="Times New Roman"/>
                <w:color w:val="000000"/>
                <w:sz w:val="22"/>
                <w:szCs w:val="22"/>
                <w:lang w:eastAsia="en-US"/>
              </w:rPr>
              <w:t>opinie o stanie zdrowia pacjenta będą wydawane 2 razy w ciągu roku.</w:t>
            </w:r>
          </w:p>
          <w:p w:rsidR="00F10F4F" w:rsidRPr="00F10F4F" w:rsidRDefault="00F10F4F" w:rsidP="00F10F4F">
            <w:pPr>
              <w:widowControl/>
              <w:autoSpaceDE/>
              <w:autoSpaceDN/>
              <w:adjustRightInd/>
              <w:spacing w:line="240" w:lineRule="auto"/>
              <w:rPr>
                <w:rFonts w:eastAsia="Calibri" w:cs="Times New Roman"/>
                <w:b/>
                <w:color w:val="000000"/>
                <w:sz w:val="22"/>
                <w:szCs w:val="22"/>
                <w:lang w:eastAsia="en-US"/>
              </w:rPr>
            </w:pPr>
          </w:p>
          <w:p w:rsidR="00F10F4F" w:rsidRPr="00F10F4F" w:rsidRDefault="00F10F4F" w:rsidP="00F10F4F">
            <w:pPr>
              <w:widowControl/>
              <w:autoSpaceDE/>
              <w:autoSpaceDN/>
              <w:adjustRightInd/>
              <w:spacing w:line="240" w:lineRule="auto"/>
              <w:rPr>
                <w:rFonts w:eastAsia="Calibri" w:cs="Times New Roman"/>
                <w:b/>
                <w:color w:val="000000"/>
                <w:sz w:val="22"/>
                <w:szCs w:val="22"/>
                <w:lang w:eastAsia="en-US"/>
              </w:rPr>
            </w:pPr>
          </w:p>
          <w:p w:rsidR="00F10F4F" w:rsidRPr="00F10F4F" w:rsidRDefault="00F10F4F" w:rsidP="00F10F4F">
            <w:pPr>
              <w:widowControl/>
              <w:autoSpaceDE/>
              <w:autoSpaceDN/>
              <w:adjustRightInd/>
              <w:spacing w:line="240" w:lineRule="auto"/>
              <w:rPr>
                <w:rFonts w:eastAsia="Calibri" w:cs="Times New Roman"/>
                <w:color w:val="000000"/>
                <w:sz w:val="22"/>
                <w:szCs w:val="22"/>
                <w:lang w:eastAsia="en-US"/>
              </w:rPr>
            </w:pPr>
            <w:r w:rsidRPr="00F10F4F">
              <w:rPr>
                <w:rFonts w:eastAsia="Calibri" w:cs="Times New Roman"/>
                <w:b/>
                <w:color w:val="000000"/>
                <w:sz w:val="22"/>
                <w:szCs w:val="22"/>
                <w:lang w:eastAsia="en-US"/>
              </w:rPr>
              <w:t>Wpływ regulacji na limit wydatków.</w:t>
            </w:r>
            <w:r w:rsidRPr="00F10F4F">
              <w:rPr>
                <w:rFonts w:eastAsia="Calibri" w:cs="Times New Roman"/>
                <w:color w:val="000000"/>
                <w:sz w:val="22"/>
                <w:szCs w:val="22"/>
                <w:lang w:eastAsia="en-US"/>
              </w:rPr>
              <w:t xml:space="preserve"> Biorąc pod uwagę limity wydatków budżetu państwa określone w </w:t>
            </w:r>
            <w:r w:rsidRPr="00F10F4F">
              <w:rPr>
                <w:rFonts w:eastAsia="Calibri" w:cs="Times New Roman"/>
                <w:i/>
                <w:sz w:val="22"/>
                <w:szCs w:val="22"/>
                <w:lang w:eastAsia="en-US"/>
              </w:rPr>
              <w:t>ustawie</w:t>
            </w:r>
            <w:r w:rsidRPr="00F10F4F">
              <w:rPr>
                <w:rFonts w:eastAsia="Calibri" w:cs="Times New Roman"/>
                <w:i/>
                <w:color w:val="000000"/>
                <w:sz w:val="22"/>
                <w:szCs w:val="22"/>
                <w:lang w:eastAsia="en-US"/>
              </w:rPr>
              <w:t xml:space="preserve"> </w:t>
            </w:r>
            <w:r w:rsidRPr="00F10F4F">
              <w:rPr>
                <w:rFonts w:eastAsia="Calibri" w:cs="Times New Roman"/>
                <w:bCs/>
                <w:i/>
                <w:sz w:val="22"/>
                <w:szCs w:val="22"/>
                <w:lang w:eastAsia="en-US"/>
              </w:rPr>
              <w:t>o postępowaniu wobec osób z zaburzeniami psychicznymi stwarzających zagrożenie życia, zdrowia lub wolności seksualnej innych osób</w:t>
            </w:r>
            <w:r w:rsidRPr="00F10F4F">
              <w:rPr>
                <w:rFonts w:eastAsia="Calibri" w:cs="Times New Roman"/>
                <w:color w:val="000000"/>
                <w:sz w:val="22"/>
                <w:szCs w:val="22"/>
                <w:lang w:eastAsia="en-US"/>
              </w:rPr>
              <w:t xml:space="preserve"> w przypadku, gdy </w:t>
            </w:r>
            <w:r w:rsidRPr="00F10F4F">
              <w:rPr>
                <w:rFonts w:eastAsia="Calibri" w:cs="Times New Roman"/>
                <w:bCs/>
                <w:sz w:val="22"/>
                <w:szCs w:val="22"/>
                <w:lang w:eastAsia="en-US"/>
              </w:rPr>
              <w:t xml:space="preserve">przyrost wydatków z tytułu realizacji podwyższonego standardu wydawania opinii o stanie zdrowia pacjenta Ośrodka byłby w porównywalnej wysokości jak szacowane koszty ekonomiczne, wówczas poziom relacji wykonania wydatków do limitu określonego w ustawie uległby podwyższeniu prawdopodobnie o </w:t>
            </w:r>
            <w:r w:rsidRPr="00F10F4F">
              <w:rPr>
                <w:rFonts w:eastAsia="Calibri" w:cs="Times New Roman"/>
                <w:bCs/>
                <w:sz w:val="22"/>
                <w:szCs w:val="22"/>
                <w:u w:val="single"/>
                <w:lang w:eastAsia="en-US"/>
              </w:rPr>
              <w:t>ok. 1 pkt proc.,</w:t>
            </w:r>
            <w:r w:rsidRPr="00F10F4F">
              <w:rPr>
                <w:rFonts w:eastAsia="Calibri" w:cs="Times New Roman"/>
                <w:bCs/>
                <w:sz w:val="22"/>
                <w:szCs w:val="22"/>
                <w:lang w:eastAsia="en-US"/>
              </w:rPr>
              <w:t xml:space="preserve"> w warunkach 2017 r. relacja wykonania poziomu limitu ukształtowałaby się na poziomie 44%. </w:t>
            </w:r>
          </w:p>
          <w:p w:rsidR="00F10F4F" w:rsidRPr="00F10F4F" w:rsidRDefault="00F10F4F" w:rsidP="00F10F4F">
            <w:pPr>
              <w:widowControl/>
              <w:autoSpaceDE/>
              <w:autoSpaceDN/>
              <w:adjustRightInd/>
              <w:spacing w:line="240" w:lineRule="auto"/>
              <w:rPr>
                <w:rFonts w:eastAsia="Calibri" w:cs="Times New Roman"/>
                <w:color w:val="000000"/>
                <w:sz w:val="22"/>
                <w:szCs w:val="22"/>
                <w:lang w:eastAsia="en-US"/>
              </w:rPr>
            </w:pPr>
          </w:p>
          <w:p w:rsidR="00F10F4F" w:rsidRPr="00F10F4F" w:rsidRDefault="00F10F4F" w:rsidP="00F10F4F">
            <w:pPr>
              <w:widowControl/>
              <w:autoSpaceDE/>
              <w:autoSpaceDN/>
              <w:adjustRightInd/>
              <w:spacing w:line="240" w:lineRule="auto"/>
              <w:rPr>
                <w:rFonts w:eastAsia="Calibri" w:cs="Times New Roman"/>
                <w:color w:val="000000"/>
                <w:sz w:val="22"/>
                <w:szCs w:val="22"/>
                <w:lang w:eastAsia="en-US"/>
              </w:rPr>
            </w:pPr>
            <w:r w:rsidRPr="00F10F4F">
              <w:rPr>
                <w:rFonts w:eastAsia="Calibri" w:cs="Times New Roman"/>
                <w:color w:val="000000"/>
                <w:sz w:val="22"/>
                <w:szCs w:val="22"/>
                <w:lang w:eastAsia="en-US"/>
              </w:rPr>
              <w:t xml:space="preserve">Tabela: Dane nt. realizacji poziomu limitu określonego w </w:t>
            </w:r>
            <w:r w:rsidRPr="00F10F4F">
              <w:rPr>
                <w:rFonts w:eastAsia="Calibri" w:cs="Times New Roman"/>
                <w:i/>
                <w:sz w:val="22"/>
                <w:szCs w:val="22"/>
                <w:lang w:eastAsia="en-US"/>
              </w:rPr>
              <w:t>ustawie</w:t>
            </w:r>
            <w:r w:rsidRPr="00F10F4F">
              <w:rPr>
                <w:rFonts w:eastAsia="Calibri" w:cs="Times New Roman"/>
                <w:i/>
                <w:color w:val="000000"/>
                <w:sz w:val="22"/>
                <w:szCs w:val="22"/>
                <w:lang w:eastAsia="en-US"/>
              </w:rPr>
              <w:t xml:space="preserve"> </w:t>
            </w:r>
            <w:r w:rsidRPr="00F10F4F">
              <w:rPr>
                <w:rFonts w:eastAsia="Calibri" w:cs="Times New Roman"/>
                <w:bCs/>
                <w:i/>
                <w:sz w:val="22"/>
                <w:szCs w:val="22"/>
                <w:lang w:eastAsia="en-US"/>
              </w:rPr>
              <w:t xml:space="preserve">o postępowaniu wobec osób z zaburzeniami psychicznymi stwarzających zagrożenie życia, zdrowia lub wolności seksualnej innych osób, </w:t>
            </w:r>
            <w:r w:rsidRPr="00F10F4F">
              <w:rPr>
                <w:rFonts w:eastAsia="Calibri" w:cs="Times New Roman"/>
                <w:bCs/>
                <w:sz w:val="22"/>
                <w:szCs w:val="22"/>
                <w:lang w:eastAsia="en-US"/>
              </w:rPr>
              <w:t>[zł]</w:t>
            </w:r>
            <w:r w:rsidRPr="00F10F4F">
              <w:rPr>
                <w:rFonts w:eastAsia="Calibri" w:cs="Times New Roman"/>
                <w:color w:val="000000"/>
                <w:sz w:val="22"/>
                <w:szCs w:val="22"/>
                <w:lang w:eastAsia="en-US"/>
              </w:rPr>
              <w:t xml:space="preserve">.  </w:t>
            </w:r>
          </w:p>
          <w:p w:rsidR="00F10F4F" w:rsidRPr="00F10F4F" w:rsidRDefault="00F10F4F" w:rsidP="00F10F4F">
            <w:pPr>
              <w:widowControl/>
              <w:autoSpaceDE/>
              <w:autoSpaceDN/>
              <w:adjustRightInd/>
              <w:spacing w:line="240" w:lineRule="auto"/>
              <w:rPr>
                <w:rFonts w:eastAsia="Calibri" w:cs="Times New Roman"/>
                <w:color w:val="000000"/>
                <w:sz w:val="22"/>
                <w:szCs w:val="22"/>
                <w:lang w:eastAsia="en-US"/>
              </w:rPr>
            </w:pPr>
            <w:r w:rsidRPr="00F10F4F">
              <w:rPr>
                <w:rFonts w:eastAsia="Calibri" w:cs="Times New Roman"/>
                <w:noProof/>
                <w:color w:val="000000"/>
                <w:sz w:val="22"/>
                <w:szCs w:val="22"/>
              </w:rPr>
              <w:drawing>
                <wp:inline distT="0" distB="0" distL="0" distR="0" wp14:anchorId="6D4E53C6" wp14:editId="70F0B203">
                  <wp:extent cx="5379720" cy="72390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79720" cy="723900"/>
                          </a:xfrm>
                          <a:prstGeom prst="rect">
                            <a:avLst/>
                          </a:prstGeom>
                          <a:noFill/>
                          <a:ln>
                            <a:noFill/>
                          </a:ln>
                        </pic:spPr>
                      </pic:pic>
                    </a:graphicData>
                  </a:graphic>
                </wp:inline>
              </w:drawing>
            </w:r>
          </w:p>
          <w:p w:rsidR="00F10F4F" w:rsidRPr="00F10F4F" w:rsidRDefault="00F10F4F" w:rsidP="00F10F4F">
            <w:pPr>
              <w:widowControl/>
              <w:autoSpaceDE/>
              <w:autoSpaceDN/>
              <w:adjustRightInd/>
              <w:spacing w:line="240" w:lineRule="auto"/>
              <w:rPr>
                <w:rFonts w:eastAsia="Calibri" w:cs="Times New Roman"/>
                <w:color w:val="000000"/>
                <w:sz w:val="22"/>
                <w:szCs w:val="22"/>
                <w:lang w:eastAsia="en-US"/>
              </w:rPr>
            </w:pPr>
            <w:r w:rsidRPr="00F10F4F">
              <w:rPr>
                <w:rFonts w:eastAsia="Calibri" w:cs="Times New Roman"/>
                <w:color w:val="000000"/>
                <w:sz w:val="16"/>
                <w:szCs w:val="16"/>
                <w:u w:val="single"/>
                <w:lang w:eastAsia="en-US"/>
              </w:rPr>
              <w:t>Źródło</w:t>
            </w:r>
            <w:r w:rsidRPr="00F10F4F">
              <w:rPr>
                <w:rFonts w:eastAsia="Calibri" w:cs="Times New Roman"/>
                <w:color w:val="000000"/>
                <w:sz w:val="16"/>
                <w:szCs w:val="16"/>
                <w:lang w:eastAsia="en-US"/>
              </w:rPr>
              <w:t>: Ministerstwo Zdrowia, obliczenia własne</w:t>
            </w:r>
            <w:r w:rsidRPr="00F10F4F">
              <w:rPr>
                <w:rFonts w:eastAsia="Calibri" w:cs="Times New Roman"/>
                <w:color w:val="000000"/>
                <w:sz w:val="22"/>
                <w:szCs w:val="22"/>
                <w:lang w:eastAsia="en-US"/>
              </w:rPr>
              <w:t xml:space="preserve">. </w:t>
            </w:r>
          </w:p>
          <w:p w:rsidR="00F10F4F" w:rsidRPr="00F10F4F" w:rsidRDefault="00F10F4F" w:rsidP="00F10F4F">
            <w:pPr>
              <w:widowControl/>
              <w:autoSpaceDE/>
              <w:autoSpaceDN/>
              <w:adjustRightInd/>
              <w:spacing w:line="240" w:lineRule="auto"/>
              <w:rPr>
                <w:rFonts w:eastAsia="Calibri" w:cs="Times New Roman"/>
                <w:color w:val="000000"/>
                <w:sz w:val="22"/>
                <w:szCs w:val="22"/>
                <w:lang w:eastAsia="en-US"/>
              </w:rPr>
            </w:pPr>
          </w:p>
        </w:tc>
      </w:tr>
      <w:tr w:rsidR="00F10F4F" w:rsidRPr="00F10F4F" w:rsidTr="00CE46B1">
        <w:trPr>
          <w:gridAfter w:val="1"/>
          <w:wAfter w:w="10" w:type="dxa"/>
          <w:trHeight w:val="345"/>
        </w:trPr>
        <w:tc>
          <w:tcPr>
            <w:tcW w:w="10937" w:type="dxa"/>
            <w:gridSpan w:val="28"/>
            <w:shd w:val="clear" w:color="auto" w:fill="99CCFF"/>
          </w:tcPr>
          <w:p w:rsidR="00F10F4F" w:rsidRPr="00F10F4F" w:rsidRDefault="00F10F4F" w:rsidP="00F10F4F">
            <w:pPr>
              <w:widowControl/>
              <w:numPr>
                <w:ilvl w:val="0"/>
                <w:numId w:val="45"/>
              </w:numPr>
              <w:autoSpaceDE/>
              <w:autoSpaceDN/>
              <w:adjustRightInd/>
              <w:spacing w:before="120" w:after="120" w:line="240" w:lineRule="auto"/>
              <w:jc w:val="left"/>
              <w:rPr>
                <w:rFonts w:eastAsia="Calibri" w:cs="Times New Roman"/>
                <w:b/>
                <w:color w:val="000000"/>
                <w:spacing w:val="-2"/>
                <w:sz w:val="22"/>
                <w:szCs w:val="22"/>
                <w:lang w:eastAsia="en-US"/>
              </w:rPr>
            </w:pPr>
            <w:r w:rsidRPr="00F10F4F">
              <w:rPr>
                <w:rFonts w:eastAsia="Calibri" w:cs="Times New Roman"/>
                <w:b/>
                <w:color w:val="000000"/>
                <w:spacing w:val="-2"/>
                <w:sz w:val="22"/>
                <w:szCs w:val="22"/>
                <w:lang w:eastAsia="en-US"/>
              </w:rPr>
              <w:t xml:space="preserve">Wpływ na </w:t>
            </w:r>
            <w:r w:rsidRPr="00F10F4F">
              <w:rPr>
                <w:rFonts w:eastAsia="Calibri" w:cs="Times New Roman"/>
                <w:b/>
                <w:color w:val="000000"/>
                <w:sz w:val="22"/>
                <w:szCs w:val="22"/>
                <w:lang w:eastAsia="en-US"/>
              </w:rPr>
              <w:t xml:space="preserve">konkurencyjność gospodarki i przedsiębiorczość, w tym funkcjonowanie przedsiębiorców oraz na rodzinę, obywateli i gospodarstwa domowe. </w:t>
            </w:r>
          </w:p>
        </w:tc>
      </w:tr>
      <w:tr w:rsidR="00F10F4F" w:rsidRPr="00F10F4F" w:rsidTr="00CE46B1">
        <w:trPr>
          <w:gridAfter w:val="1"/>
          <w:wAfter w:w="10" w:type="dxa"/>
          <w:trHeight w:val="142"/>
        </w:trPr>
        <w:tc>
          <w:tcPr>
            <w:tcW w:w="10937" w:type="dxa"/>
            <w:gridSpan w:val="28"/>
            <w:shd w:val="clear" w:color="auto" w:fill="FFFFFF"/>
          </w:tcPr>
          <w:p w:rsidR="00F10F4F" w:rsidRPr="00F10F4F" w:rsidRDefault="00F10F4F" w:rsidP="00F10F4F">
            <w:pPr>
              <w:widowControl/>
              <w:autoSpaceDE/>
              <w:autoSpaceDN/>
              <w:adjustRightInd/>
              <w:spacing w:line="240" w:lineRule="auto"/>
              <w:jc w:val="center"/>
              <w:rPr>
                <w:rFonts w:eastAsia="Calibri" w:cs="Times New Roman"/>
                <w:color w:val="000000"/>
                <w:spacing w:val="-2"/>
                <w:sz w:val="21"/>
                <w:szCs w:val="21"/>
                <w:lang w:eastAsia="en-US"/>
              </w:rPr>
            </w:pPr>
            <w:r w:rsidRPr="00F10F4F">
              <w:rPr>
                <w:rFonts w:eastAsia="Calibri" w:cs="Times New Roman"/>
                <w:color w:val="000000"/>
                <w:spacing w:val="-2"/>
                <w:sz w:val="21"/>
                <w:szCs w:val="21"/>
                <w:lang w:eastAsia="en-US"/>
              </w:rPr>
              <w:t>Skutki</w:t>
            </w:r>
          </w:p>
        </w:tc>
      </w:tr>
      <w:tr w:rsidR="00F10F4F" w:rsidRPr="00F10F4F" w:rsidTr="00CE46B1">
        <w:trPr>
          <w:gridAfter w:val="1"/>
          <w:wAfter w:w="10" w:type="dxa"/>
          <w:trHeight w:val="142"/>
        </w:trPr>
        <w:tc>
          <w:tcPr>
            <w:tcW w:w="3889" w:type="dxa"/>
            <w:gridSpan w:val="7"/>
            <w:shd w:val="clear" w:color="auto" w:fill="FFFFFF"/>
          </w:tcPr>
          <w:p w:rsidR="00F10F4F" w:rsidRPr="00F10F4F" w:rsidRDefault="00F10F4F" w:rsidP="00F10F4F">
            <w:pPr>
              <w:widowControl/>
              <w:autoSpaceDE/>
              <w:autoSpaceDN/>
              <w:adjustRightInd/>
              <w:spacing w:line="240" w:lineRule="auto"/>
              <w:jc w:val="left"/>
              <w:rPr>
                <w:rFonts w:eastAsia="Calibri" w:cs="Times New Roman"/>
                <w:color w:val="000000"/>
                <w:sz w:val="21"/>
                <w:szCs w:val="21"/>
                <w:lang w:eastAsia="en-US"/>
              </w:rPr>
            </w:pPr>
            <w:r w:rsidRPr="00F10F4F">
              <w:rPr>
                <w:rFonts w:eastAsia="Calibri" w:cs="Times New Roman"/>
                <w:color w:val="000000"/>
                <w:sz w:val="21"/>
                <w:szCs w:val="21"/>
                <w:lang w:eastAsia="en-US"/>
              </w:rPr>
              <w:t>Czas w latach od wejścia w życie zmian</w:t>
            </w:r>
          </w:p>
        </w:tc>
        <w:tc>
          <w:tcPr>
            <w:tcW w:w="937" w:type="dxa"/>
            <w:gridSpan w:val="3"/>
            <w:shd w:val="clear" w:color="auto" w:fill="FFFFFF"/>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w:t>
            </w:r>
          </w:p>
        </w:tc>
        <w:tc>
          <w:tcPr>
            <w:tcW w:w="938" w:type="dxa"/>
            <w:gridSpan w:val="3"/>
            <w:shd w:val="clear" w:color="auto" w:fill="FFFFFF"/>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1</w:t>
            </w:r>
          </w:p>
        </w:tc>
        <w:tc>
          <w:tcPr>
            <w:tcW w:w="938" w:type="dxa"/>
            <w:gridSpan w:val="5"/>
            <w:shd w:val="clear" w:color="auto" w:fill="FFFFFF"/>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2</w:t>
            </w:r>
          </w:p>
        </w:tc>
        <w:tc>
          <w:tcPr>
            <w:tcW w:w="937" w:type="dxa"/>
            <w:gridSpan w:val="3"/>
            <w:shd w:val="clear" w:color="auto" w:fill="FFFFFF"/>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3</w:t>
            </w:r>
          </w:p>
        </w:tc>
        <w:tc>
          <w:tcPr>
            <w:tcW w:w="938" w:type="dxa"/>
            <w:gridSpan w:val="3"/>
            <w:shd w:val="clear" w:color="auto" w:fill="FFFFFF"/>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5</w:t>
            </w:r>
          </w:p>
        </w:tc>
        <w:tc>
          <w:tcPr>
            <w:tcW w:w="938" w:type="dxa"/>
            <w:gridSpan w:val="3"/>
            <w:shd w:val="clear" w:color="auto" w:fill="FFFFFF"/>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10</w:t>
            </w:r>
          </w:p>
        </w:tc>
        <w:tc>
          <w:tcPr>
            <w:tcW w:w="1422" w:type="dxa"/>
            <w:shd w:val="clear" w:color="auto" w:fill="FFFFFF"/>
          </w:tcPr>
          <w:p w:rsidR="00F10F4F" w:rsidRPr="00F10F4F" w:rsidRDefault="00F10F4F" w:rsidP="00F10F4F">
            <w:pPr>
              <w:widowControl/>
              <w:autoSpaceDE/>
              <w:autoSpaceDN/>
              <w:adjustRightInd/>
              <w:spacing w:line="240" w:lineRule="auto"/>
              <w:jc w:val="center"/>
              <w:rPr>
                <w:rFonts w:eastAsia="Calibri" w:cs="Times New Roman"/>
                <w:i/>
                <w:color w:val="000000"/>
                <w:spacing w:val="-2"/>
                <w:sz w:val="21"/>
                <w:szCs w:val="21"/>
                <w:lang w:eastAsia="en-US"/>
              </w:rPr>
            </w:pPr>
            <w:r w:rsidRPr="00F10F4F">
              <w:rPr>
                <w:rFonts w:eastAsia="Calibri" w:cs="Times New Roman"/>
                <w:i/>
                <w:color w:val="000000"/>
                <w:spacing w:val="-2"/>
                <w:sz w:val="21"/>
                <w:szCs w:val="21"/>
                <w:lang w:eastAsia="en-US"/>
              </w:rPr>
              <w:t>Łącznie</w:t>
            </w:r>
            <w:r w:rsidRPr="00F10F4F" w:rsidDel="0073273A">
              <w:rPr>
                <w:rFonts w:eastAsia="Calibri" w:cs="Times New Roman"/>
                <w:i/>
                <w:color w:val="000000"/>
                <w:spacing w:val="-2"/>
                <w:sz w:val="21"/>
                <w:szCs w:val="21"/>
                <w:lang w:eastAsia="en-US"/>
              </w:rPr>
              <w:t xml:space="preserve"> </w:t>
            </w:r>
            <w:r w:rsidRPr="00F10F4F">
              <w:rPr>
                <w:rFonts w:eastAsia="Calibri" w:cs="Times New Roman"/>
                <w:i/>
                <w:color w:val="000000"/>
                <w:spacing w:val="-2"/>
                <w:sz w:val="21"/>
                <w:szCs w:val="21"/>
                <w:lang w:eastAsia="en-US"/>
              </w:rPr>
              <w:t>(0-10)</w:t>
            </w:r>
          </w:p>
        </w:tc>
      </w:tr>
      <w:tr w:rsidR="00F10F4F" w:rsidRPr="00F10F4F" w:rsidTr="00CE46B1">
        <w:trPr>
          <w:gridAfter w:val="1"/>
          <w:wAfter w:w="10" w:type="dxa"/>
          <w:trHeight w:val="142"/>
        </w:trPr>
        <w:tc>
          <w:tcPr>
            <w:tcW w:w="1596" w:type="dxa"/>
            <w:vMerge w:val="restart"/>
            <w:shd w:val="clear" w:color="auto" w:fill="FFFFFF"/>
          </w:tcPr>
          <w:p w:rsidR="00F10F4F" w:rsidRPr="00F10F4F" w:rsidRDefault="00F10F4F" w:rsidP="00F10F4F">
            <w:pPr>
              <w:widowControl/>
              <w:autoSpaceDE/>
              <w:autoSpaceDN/>
              <w:adjustRightInd/>
              <w:spacing w:line="276" w:lineRule="auto"/>
              <w:jc w:val="left"/>
              <w:rPr>
                <w:rFonts w:eastAsia="Calibri" w:cs="Times New Roman"/>
                <w:color w:val="000000"/>
                <w:sz w:val="21"/>
                <w:szCs w:val="21"/>
                <w:lang w:eastAsia="en-US"/>
              </w:rPr>
            </w:pPr>
            <w:r w:rsidRPr="00F10F4F">
              <w:rPr>
                <w:rFonts w:eastAsia="Calibri" w:cs="Times New Roman"/>
                <w:color w:val="000000"/>
                <w:sz w:val="21"/>
                <w:szCs w:val="21"/>
                <w:lang w:eastAsia="en-US"/>
              </w:rPr>
              <w:t>W ujęciu pieniężnym</w:t>
            </w:r>
          </w:p>
          <w:p w:rsidR="00F10F4F" w:rsidRPr="00F10F4F" w:rsidRDefault="00F10F4F" w:rsidP="00F10F4F">
            <w:pPr>
              <w:widowControl/>
              <w:autoSpaceDE/>
              <w:autoSpaceDN/>
              <w:adjustRightInd/>
              <w:spacing w:line="276" w:lineRule="auto"/>
              <w:jc w:val="left"/>
              <w:rPr>
                <w:rFonts w:eastAsia="Calibri" w:cs="Times New Roman"/>
                <w:spacing w:val="-2"/>
                <w:sz w:val="21"/>
                <w:szCs w:val="21"/>
                <w:lang w:eastAsia="en-US"/>
              </w:rPr>
            </w:pPr>
            <w:r w:rsidRPr="00F10F4F">
              <w:rPr>
                <w:rFonts w:eastAsia="Calibri" w:cs="Times New Roman"/>
                <w:spacing w:val="-2"/>
                <w:sz w:val="21"/>
                <w:szCs w:val="21"/>
                <w:lang w:eastAsia="en-US"/>
              </w:rPr>
              <w:t xml:space="preserve">(w mln zł, </w:t>
            </w:r>
          </w:p>
          <w:p w:rsidR="00F10F4F" w:rsidRPr="00F10F4F" w:rsidRDefault="00F10F4F" w:rsidP="00F10F4F">
            <w:pPr>
              <w:widowControl/>
              <w:autoSpaceDE/>
              <w:autoSpaceDN/>
              <w:adjustRightInd/>
              <w:spacing w:line="240" w:lineRule="auto"/>
              <w:jc w:val="left"/>
              <w:rPr>
                <w:rFonts w:eastAsia="Calibri" w:cs="Times New Roman"/>
                <w:color w:val="000000"/>
                <w:sz w:val="21"/>
                <w:szCs w:val="21"/>
                <w:lang w:eastAsia="en-US"/>
              </w:rPr>
            </w:pPr>
            <w:r w:rsidRPr="00F10F4F">
              <w:rPr>
                <w:rFonts w:eastAsia="Calibri" w:cs="Times New Roman"/>
                <w:spacing w:val="-2"/>
                <w:sz w:val="21"/>
                <w:szCs w:val="21"/>
                <w:lang w:eastAsia="en-US"/>
              </w:rPr>
              <w:t>ceny stałe z 2018  r.)</w:t>
            </w:r>
          </w:p>
        </w:tc>
        <w:tc>
          <w:tcPr>
            <w:tcW w:w="2293" w:type="dxa"/>
            <w:gridSpan w:val="6"/>
            <w:shd w:val="clear" w:color="auto" w:fill="FFFFFF"/>
          </w:tcPr>
          <w:p w:rsidR="00F10F4F" w:rsidRPr="00F10F4F" w:rsidRDefault="00F10F4F" w:rsidP="00F10F4F">
            <w:pPr>
              <w:widowControl/>
              <w:autoSpaceDE/>
              <w:autoSpaceDN/>
              <w:adjustRightInd/>
              <w:spacing w:line="240" w:lineRule="auto"/>
              <w:jc w:val="left"/>
              <w:rPr>
                <w:rFonts w:eastAsia="Calibri" w:cs="Times New Roman"/>
                <w:color w:val="000000"/>
                <w:sz w:val="21"/>
                <w:szCs w:val="21"/>
                <w:lang w:eastAsia="en-US"/>
              </w:rPr>
            </w:pPr>
            <w:r w:rsidRPr="00F10F4F">
              <w:rPr>
                <w:rFonts w:eastAsia="Calibri" w:cs="Times New Roman"/>
                <w:color w:val="000000"/>
                <w:sz w:val="21"/>
                <w:szCs w:val="21"/>
                <w:lang w:eastAsia="en-US"/>
              </w:rPr>
              <w:t>duże przedsiębiorstwa</w:t>
            </w:r>
          </w:p>
        </w:tc>
        <w:tc>
          <w:tcPr>
            <w:tcW w:w="937" w:type="dxa"/>
            <w:gridSpan w:val="3"/>
            <w:shd w:val="clear" w:color="auto" w:fill="FFFFFF"/>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w:t>
            </w:r>
          </w:p>
        </w:tc>
        <w:tc>
          <w:tcPr>
            <w:tcW w:w="938" w:type="dxa"/>
            <w:gridSpan w:val="3"/>
            <w:shd w:val="clear" w:color="auto" w:fill="FFFFFF"/>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w:t>
            </w:r>
          </w:p>
        </w:tc>
        <w:tc>
          <w:tcPr>
            <w:tcW w:w="938" w:type="dxa"/>
            <w:gridSpan w:val="5"/>
            <w:shd w:val="clear" w:color="auto" w:fill="FFFFFF"/>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w:t>
            </w:r>
          </w:p>
        </w:tc>
        <w:tc>
          <w:tcPr>
            <w:tcW w:w="937" w:type="dxa"/>
            <w:gridSpan w:val="3"/>
            <w:shd w:val="clear" w:color="auto" w:fill="FFFFFF"/>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w:t>
            </w:r>
          </w:p>
        </w:tc>
        <w:tc>
          <w:tcPr>
            <w:tcW w:w="938" w:type="dxa"/>
            <w:gridSpan w:val="3"/>
            <w:shd w:val="clear" w:color="auto" w:fill="FFFFFF"/>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w:t>
            </w:r>
          </w:p>
        </w:tc>
        <w:tc>
          <w:tcPr>
            <w:tcW w:w="938" w:type="dxa"/>
            <w:gridSpan w:val="3"/>
            <w:shd w:val="clear" w:color="auto" w:fill="FFFFFF"/>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w:t>
            </w:r>
          </w:p>
        </w:tc>
        <w:tc>
          <w:tcPr>
            <w:tcW w:w="1422" w:type="dxa"/>
            <w:shd w:val="clear" w:color="auto" w:fill="FFFFFF"/>
          </w:tcPr>
          <w:p w:rsidR="00F10F4F" w:rsidRPr="00F10F4F" w:rsidRDefault="00F10F4F" w:rsidP="00F10F4F">
            <w:pPr>
              <w:widowControl/>
              <w:autoSpaceDE/>
              <w:autoSpaceDN/>
              <w:adjustRightInd/>
              <w:spacing w:line="240" w:lineRule="auto"/>
              <w:jc w:val="center"/>
              <w:rPr>
                <w:rFonts w:eastAsia="Calibri" w:cs="Times New Roman"/>
                <w:color w:val="000000"/>
                <w:spacing w:val="-2"/>
                <w:sz w:val="21"/>
                <w:szCs w:val="21"/>
                <w:lang w:eastAsia="en-US"/>
              </w:rPr>
            </w:pPr>
            <w:r w:rsidRPr="00F10F4F">
              <w:rPr>
                <w:rFonts w:eastAsia="Calibri" w:cs="Times New Roman"/>
                <w:color w:val="000000"/>
                <w:spacing w:val="-2"/>
                <w:sz w:val="21"/>
                <w:szCs w:val="21"/>
                <w:lang w:eastAsia="en-US"/>
              </w:rPr>
              <w:t>0</w:t>
            </w:r>
          </w:p>
        </w:tc>
      </w:tr>
      <w:tr w:rsidR="00F10F4F" w:rsidRPr="00F10F4F" w:rsidTr="00CE46B1">
        <w:trPr>
          <w:gridAfter w:val="1"/>
          <w:wAfter w:w="10" w:type="dxa"/>
          <w:trHeight w:val="142"/>
        </w:trPr>
        <w:tc>
          <w:tcPr>
            <w:tcW w:w="1596" w:type="dxa"/>
            <w:vMerge/>
            <w:shd w:val="clear" w:color="auto" w:fill="FFFFFF"/>
          </w:tcPr>
          <w:p w:rsidR="00F10F4F" w:rsidRPr="00F10F4F" w:rsidRDefault="00F10F4F" w:rsidP="00F10F4F">
            <w:pPr>
              <w:widowControl/>
              <w:autoSpaceDE/>
              <w:autoSpaceDN/>
              <w:adjustRightInd/>
              <w:spacing w:line="240" w:lineRule="auto"/>
              <w:jc w:val="left"/>
              <w:rPr>
                <w:rFonts w:eastAsia="Calibri" w:cs="Times New Roman"/>
                <w:color w:val="000000"/>
                <w:sz w:val="21"/>
                <w:szCs w:val="21"/>
                <w:lang w:eastAsia="en-US"/>
              </w:rPr>
            </w:pPr>
          </w:p>
        </w:tc>
        <w:tc>
          <w:tcPr>
            <w:tcW w:w="2293" w:type="dxa"/>
            <w:gridSpan w:val="6"/>
            <w:shd w:val="clear" w:color="auto" w:fill="FFFFFF"/>
          </w:tcPr>
          <w:p w:rsidR="00F10F4F" w:rsidRPr="00F10F4F" w:rsidRDefault="00F10F4F" w:rsidP="00F10F4F">
            <w:pPr>
              <w:widowControl/>
              <w:autoSpaceDE/>
              <w:autoSpaceDN/>
              <w:adjustRightInd/>
              <w:spacing w:line="240" w:lineRule="auto"/>
              <w:jc w:val="left"/>
              <w:rPr>
                <w:rFonts w:eastAsia="Calibri" w:cs="Times New Roman"/>
                <w:color w:val="000000"/>
                <w:sz w:val="21"/>
                <w:szCs w:val="21"/>
                <w:lang w:eastAsia="en-US"/>
              </w:rPr>
            </w:pPr>
            <w:r w:rsidRPr="00F10F4F">
              <w:rPr>
                <w:rFonts w:eastAsia="Calibri" w:cs="Times New Roman"/>
                <w:color w:val="000000"/>
                <w:sz w:val="21"/>
                <w:szCs w:val="21"/>
                <w:lang w:eastAsia="en-US"/>
              </w:rPr>
              <w:t>sektor mikro-, małych i średnich przedsiębiorstw</w:t>
            </w:r>
          </w:p>
        </w:tc>
        <w:tc>
          <w:tcPr>
            <w:tcW w:w="937" w:type="dxa"/>
            <w:gridSpan w:val="3"/>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w:t>
            </w:r>
          </w:p>
        </w:tc>
        <w:tc>
          <w:tcPr>
            <w:tcW w:w="938" w:type="dxa"/>
            <w:gridSpan w:val="3"/>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w:t>
            </w:r>
          </w:p>
        </w:tc>
        <w:tc>
          <w:tcPr>
            <w:tcW w:w="938" w:type="dxa"/>
            <w:gridSpan w:val="5"/>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w:t>
            </w:r>
          </w:p>
        </w:tc>
        <w:tc>
          <w:tcPr>
            <w:tcW w:w="937" w:type="dxa"/>
            <w:gridSpan w:val="3"/>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w:t>
            </w:r>
          </w:p>
        </w:tc>
        <w:tc>
          <w:tcPr>
            <w:tcW w:w="938" w:type="dxa"/>
            <w:gridSpan w:val="3"/>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w:t>
            </w:r>
          </w:p>
        </w:tc>
        <w:tc>
          <w:tcPr>
            <w:tcW w:w="938" w:type="dxa"/>
            <w:gridSpan w:val="3"/>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w:t>
            </w:r>
          </w:p>
        </w:tc>
        <w:tc>
          <w:tcPr>
            <w:tcW w:w="1422" w:type="dxa"/>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pacing w:val="-2"/>
                <w:sz w:val="21"/>
                <w:szCs w:val="21"/>
                <w:lang w:eastAsia="en-US"/>
              </w:rPr>
            </w:pPr>
            <w:r w:rsidRPr="00F10F4F">
              <w:rPr>
                <w:rFonts w:eastAsia="Calibri" w:cs="Times New Roman"/>
                <w:color w:val="000000"/>
                <w:spacing w:val="-2"/>
                <w:sz w:val="21"/>
                <w:szCs w:val="21"/>
                <w:lang w:eastAsia="en-US"/>
              </w:rPr>
              <w:t>0</w:t>
            </w:r>
          </w:p>
        </w:tc>
      </w:tr>
      <w:tr w:rsidR="00F10F4F" w:rsidRPr="00F10F4F" w:rsidTr="00CE46B1">
        <w:trPr>
          <w:gridAfter w:val="1"/>
          <w:wAfter w:w="10" w:type="dxa"/>
          <w:trHeight w:val="142"/>
        </w:trPr>
        <w:tc>
          <w:tcPr>
            <w:tcW w:w="1596" w:type="dxa"/>
            <w:vMerge/>
            <w:shd w:val="clear" w:color="auto" w:fill="FFFFFF"/>
          </w:tcPr>
          <w:p w:rsidR="00F10F4F" w:rsidRPr="00F10F4F" w:rsidRDefault="00F10F4F" w:rsidP="00F10F4F">
            <w:pPr>
              <w:widowControl/>
              <w:autoSpaceDE/>
              <w:autoSpaceDN/>
              <w:adjustRightInd/>
              <w:spacing w:line="240" w:lineRule="auto"/>
              <w:jc w:val="left"/>
              <w:rPr>
                <w:rFonts w:eastAsia="Calibri" w:cs="Times New Roman"/>
                <w:color w:val="000000"/>
                <w:sz w:val="21"/>
                <w:szCs w:val="21"/>
                <w:lang w:eastAsia="en-US"/>
              </w:rPr>
            </w:pPr>
          </w:p>
        </w:tc>
        <w:tc>
          <w:tcPr>
            <w:tcW w:w="2293" w:type="dxa"/>
            <w:gridSpan w:val="6"/>
            <w:shd w:val="clear" w:color="auto" w:fill="FFFFFF"/>
          </w:tcPr>
          <w:p w:rsidR="00F10F4F" w:rsidRPr="00F10F4F" w:rsidRDefault="00F10F4F" w:rsidP="00F10F4F">
            <w:pPr>
              <w:widowControl/>
              <w:autoSpaceDE/>
              <w:autoSpaceDN/>
              <w:adjustRightInd/>
              <w:spacing w:line="240" w:lineRule="auto"/>
              <w:jc w:val="left"/>
              <w:rPr>
                <w:rFonts w:eastAsia="Calibri" w:cs="Times New Roman"/>
                <w:color w:val="000000"/>
                <w:sz w:val="21"/>
                <w:szCs w:val="21"/>
                <w:lang w:eastAsia="en-US"/>
              </w:rPr>
            </w:pPr>
            <w:r w:rsidRPr="00F10F4F">
              <w:rPr>
                <w:rFonts w:eastAsia="Calibri" w:cs="Times New Roman"/>
                <w:sz w:val="21"/>
                <w:szCs w:val="21"/>
                <w:lang w:eastAsia="en-US"/>
              </w:rPr>
              <w:t>rodzina, obywatele oraz gospodarstwa domowe</w:t>
            </w:r>
          </w:p>
        </w:tc>
        <w:tc>
          <w:tcPr>
            <w:tcW w:w="937" w:type="dxa"/>
            <w:gridSpan w:val="3"/>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w:t>
            </w:r>
          </w:p>
        </w:tc>
        <w:tc>
          <w:tcPr>
            <w:tcW w:w="938" w:type="dxa"/>
            <w:gridSpan w:val="3"/>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w:t>
            </w:r>
          </w:p>
        </w:tc>
        <w:tc>
          <w:tcPr>
            <w:tcW w:w="938" w:type="dxa"/>
            <w:gridSpan w:val="5"/>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w:t>
            </w:r>
          </w:p>
        </w:tc>
        <w:tc>
          <w:tcPr>
            <w:tcW w:w="937" w:type="dxa"/>
            <w:gridSpan w:val="3"/>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w:t>
            </w:r>
          </w:p>
        </w:tc>
        <w:tc>
          <w:tcPr>
            <w:tcW w:w="938" w:type="dxa"/>
            <w:gridSpan w:val="3"/>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w:t>
            </w:r>
          </w:p>
        </w:tc>
        <w:tc>
          <w:tcPr>
            <w:tcW w:w="938" w:type="dxa"/>
            <w:gridSpan w:val="3"/>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z w:val="21"/>
                <w:szCs w:val="21"/>
                <w:lang w:eastAsia="en-US"/>
              </w:rPr>
            </w:pPr>
            <w:r w:rsidRPr="00F10F4F">
              <w:rPr>
                <w:rFonts w:eastAsia="Calibri" w:cs="Times New Roman"/>
                <w:color w:val="000000"/>
                <w:sz w:val="21"/>
                <w:szCs w:val="21"/>
                <w:lang w:eastAsia="en-US"/>
              </w:rPr>
              <w:t>0</w:t>
            </w:r>
          </w:p>
        </w:tc>
        <w:tc>
          <w:tcPr>
            <w:tcW w:w="1422" w:type="dxa"/>
            <w:shd w:val="clear" w:color="auto" w:fill="FFFFFF"/>
            <w:vAlign w:val="center"/>
          </w:tcPr>
          <w:p w:rsidR="00F10F4F" w:rsidRPr="00F10F4F" w:rsidRDefault="00F10F4F" w:rsidP="00F10F4F">
            <w:pPr>
              <w:widowControl/>
              <w:autoSpaceDE/>
              <w:autoSpaceDN/>
              <w:adjustRightInd/>
              <w:spacing w:line="240" w:lineRule="auto"/>
              <w:jc w:val="center"/>
              <w:rPr>
                <w:rFonts w:eastAsia="Calibri" w:cs="Times New Roman"/>
                <w:color w:val="000000"/>
                <w:spacing w:val="-2"/>
                <w:sz w:val="21"/>
                <w:szCs w:val="21"/>
                <w:lang w:eastAsia="en-US"/>
              </w:rPr>
            </w:pPr>
            <w:r w:rsidRPr="00F10F4F">
              <w:rPr>
                <w:rFonts w:eastAsia="Calibri" w:cs="Times New Roman"/>
                <w:color w:val="000000"/>
                <w:spacing w:val="-2"/>
                <w:sz w:val="21"/>
                <w:szCs w:val="21"/>
                <w:lang w:eastAsia="en-US"/>
              </w:rPr>
              <w:t>0</w:t>
            </w:r>
          </w:p>
        </w:tc>
      </w:tr>
      <w:tr w:rsidR="00F10F4F" w:rsidRPr="00F10F4F" w:rsidTr="00CE46B1">
        <w:trPr>
          <w:gridAfter w:val="1"/>
          <w:wAfter w:w="10" w:type="dxa"/>
          <w:trHeight w:val="142"/>
        </w:trPr>
        <w:tc>
          <w:tcPr>
            <w:tcW w:w="1596" w:type="dxa"/>
            <w:vMerge w:val="restart"/>
            <w:shd w:val="clear" w:color="auto" w:fill="FFFFFF"/>
          </w:tcPr>
          <w:p w:rsidR="00F10F4F" w:rsidRPr="00F10F4F" w:rsidRDefault="00F10F4F" w:rsidP="00F10F4F">
            <w:pPr>
              <w:widowControl/>
              <w:autoSpaceDE/>
              <w:autoSpaceDN/>
              <w:adjustRightInd/>
              <w:spacing w:line="240" w:lineRule="auto"/>
              <w:jc w:val="left"/>
              <w:rPr>
                <w:rFonts w:eastAsia="Calibri" w:cs="Times New Roman"/>
                <w:color w:val="000000"/>
                <w:sz w:val="21"/>
                <w:szCs w:val="21"/>
                <w:lang w:eastAsia="en-US"/>
              </w:rPr>
            </w:pPr>
            <w:r w:rsidRPr="00F10F4F">
              <w:rPr>
                <w:rFonts w:eastAsia="Calibri" w:cs="Times New Roman"/>
                <w:color w:val="000000"/>
                <w:sz w:val="21"/>
                <w:szCs w:val="21"/>
                <w:lang w:eastAsia="en-US"/>
              </w:rPr>
              <w:lastRenderedPageBreak/>
              <w:t>W ujęciu niepieniężnym</w:t>
            </w:r>
          </w:p>
        </w:tc>
        <w:tc>
          <w:tcPr>
            <w:tcW w:w="2293" w:type="dxa"/>
            <w:gridSpan w:val="6"/>
            <w:shd w:val="clear" w:color="auto" w:fill="FFFFFF"/>
          </w:tcPr>
          <w:p w:rsidR="00F10F4F" w:rsidRPr="00F10F4F" w:rsidRDefault="00F10F4F" w:rsidP="00F10F4F">
            <w:pPr>
              <w:widowControl/>
              <w:autoSpaceDE/>
              <w:autoSpaceDN/>
              <w:adjustRightInd/>
              <w:spacing w:line="240" w:lineRule="auto"/>
              <w:jc w:val="left"/>
              <w:rPr>
                <w:rFonts w:eastAsia="Calibri" w:cs="Times New Roman"/>
                <w:color w:val="000000"/>
                <w:sz w:val="21"/>
                <w:szCs w:val="21"/>
                <w:lang w:eastAsia="en-US"/>
              </w:rPr>
            </w:pPr>
            <w:r w:rsidRPr="00F10F4F">
              <w:rPr>
                <w:rFonts w:eastAsia="Calibri" w:cs="Times New Roman"/>
                <w:color w:val="000000"/>
                <w:sz w:val="21"/>
                <w:szCs w:val="21"/>
                <w:lang w:eastAsia="en-US"/>
              </w:rPr>
              <w:t>duże przedsiębiorstwa</w:t>
            </w:r>
          </w:p>
        </w:tc>
        <w:tc>
          <w:tcPr>
            <w:tcW w:w="7048" w:type="dxa"/>
            <w:gridSpan w:val="21"/>
            <w:shd w:val="clear" w:color="auto" w:fill="FFFFFF"/>
          </w:tcPr>
          <w:p w:rsidR="00F10F4F" w:rsidRPr="00F10F4F" w:rsidRDefault="00F10F4F" w:rsidP="00F10F4F">
            <w:pPr>
              <w:widowControl/>
              <w:autoSpaceDE/>
              <w:autoSpaceDN/>
              <w:adjustRightInd/>
              <w:spacing w:line="240" w:lineRule="auto"/>
              <w:jc w:val="left"/>
              <w:rPr>
                <w:rFonts w:eastAsia="Calibri" w:cs="Times New Roman"/>
                <w:color w:val="000000"/>
                <w:spacing w:val="-2"/>
                <w:sz w:val="21"/>
                <w:szCs w:val="21"/>
                <w:lang w:eastAsia="en-US"/>
              </w:rPr>
            </w:pPr>
            <w:r w:rsidRPr="00F10F4F">
              <w:rPr>
                <w:rFonts w:eastAsia="Calibri" w:cs="Times New Roman"/>
                <w:color w:val="000000"/>
                <w:spacing w:val="-2"/>
                <w:sz w:val="21"/>
                <w:szCs w:val="21"/>
                <w:lang w:eastAsia="en-US"/>
              </w:rPr>
              <w:t>Brak wpływu</w:t>
            </w:r>
          </w:p>
        </w:tc>
      </w:tr>
      <w:tr w:rsidR="00F10F4F" w:rsidRPr="00F10F4F" w:rsidTr="00CE46B1">
        <w:trPr>
          <w:gridAfter w:val="1"/>
          <w:wAfter w:w="10" w:type="dxa"/>
          <w:trHeight w:val="142"/>
        </w:trPr>
        <w:tc>
          <w:tcPr>
            <w:tcW w:w="1596" w:type="dxa"/>
            <w:vMerge/>
            <w:shd w:val="clear" w:color="auto" w:fill="FFFFFF"/>
          </w:tcPr>
          <w:p w:rsidR="00F10F4F" w:rsidRPr="00F10F4F" w:rsidRDefault="00F10F4F" w:rsidP="00F10F4F">
            <w:pPr>
              <w:widowControl/>
              <w:autoSpaceDE/>
              <w:autoSpaceDN/>
              <w:adjustRightInd/>
              <w:spacing w:line="240" w:lineRule="auto"/>
              <w:jc w:val="left"/>
              <w:rPr>
                <w:rFonts w:eastAsia="Calibri" w:cs="Times New Roman"/>
                <w:color w:val="000000"/>
                <w:sz w:val="21"/>
                <w:szCs w:val="21"/>
                <w:lang w:eastAsia="en-US"/>
              </w:rPr>
            </w:pPr>
          </w:p>
        </w:tc>
        <w:tc>
          <w:tcPr>
            <w:tcW w:w="2293" w:type="dxa"/>
            <w:gridSpan w:val="6"/>
            <w:shd w:val="clear" w:color="auto" w:fill="FFFFFF"/>
          </w:tcPr>
          <w:p w:rsidR="00F10F4F" w:rsidRPr="00F10F4F" w:rsidRDefault="00F10F4F" w:rsidP="00F10F4F">
            <w:pPr>
              <w:widowControl/>
              <w:autoSpaceDE/>
              <w:autoSpaceDN/>
              <w:adjustRightInd/>
              <w:spacing w:line="240" w:lineRule="auto"/>
              <w:jc w:val="left"/>
              <w:rPr>
                <w:rFonts w:eastAsia="Calibri" w:cs="Times New Roman"/>
                <w:color w:val="000000"/>
                <w:sz w:val="21"/>
                <w:szCs w:val="21"/>
                <w:lang w:eastAsia="en-US"/>
              </w:rPr>
            </w:pPr>
            <w:r w:rsidRPr="00F10F4F">
              <w:rPr>
                <w:rFonts w:eastAsia="Calibri" w:cs="Times New Roman"/>
                <w:color w:val="000000"/>
                <w:sz w:val="21"/>
                <w:szCs w:val="21"/>
                <w:lang w:eastAsia="en-US"/>
              </w:rPr>
              <w:t>sektor mikro-, małych i średnich przedsiębiorstw</w:t>
            </w:r>
          </w:p>
        </w:tc>
        <w:tc>
          <w:tcPr>
            <w:tcW w:w="7048" w:type="dxa"/>
            <w:gridSpan w:val="21"/>
            <w:shd w:val="clear" w:color="auto" w:fill="FFFFFF"/>
            <w:vAlign w:val="center"/>
          </w:tcPr>
          <w:p w:rsidR="00F10F4F" w:rsidRPr="00F10F4F" w:rsidRDefault="00F10F4F" w:rsidP="00F10F4F">
            <w:pPr>
              <w:widowControl/>
              <w:autoSpaceDE/>
              <w:autoSpaceDN/>
              <w:adjustRightInd/>
              <w:spacing w:line="240" w:lineRule="auto"/>
              <w:jc w:val="left"/>
              <w:rPr>
                <w:rFonts w:eastAsia="Calibri" w:cs="Times New Roman"/>
                <w:color w:val="000000"/>
                <w:spacing w:val="-2"/>
                <w:sz w:val="21"/>
                <w:szCs w:val="21"/>
                <w:lang w:eastAsia="en-US"/>
              </w:rPr>
            </w:pPr>
            <w:r w:rsidRPr="00F10F4F">
              <w:rPr>
                <w:rFonts w:eastAsia="Calibri" w:cs="Times New Roman"/>
                <w:color w:val="000000"/>
                <w:spacing w:val="-2"/>
                <w:sz w:val="21"/>
                <w:szCs w:val="21"/>
                <w:lang w:eastAsia="en-US"/>
              </w:rPr>
              <w:t>Brak wpływu</w:t>
            </w:r>
          </w:p>
        </w:tc>
      </w:tr>
      <w:tr w:rsidR="00F10F4F" w:rsidRPr="00F10F4F" w:rsidTr="00CE46B1">
        <w:trPr>
          <w:gridAfter w:val="1"/>
          <w:wAfter w:w="10" w:type="dxa"/>
          <w:trHeight w:val="142"/>
        </w:trPr>
        <w:tc>
          <w:tcPr>
            <w:tcW w:w="1596" w:type="dxa"/>
            <w:shd w:val="clear" w:color="auto" w:fill="FFFFFF"/>
          </w:tcPr>
          <w:p w:rsidR="00F10F4F" w:rsidRPr="00F10F4F" w:rsidRDefault="00F10F4F" w:rsidP="00F10F4F">
            <w:pPr>
              <w:widowControl/>
              <w:autoSpaceDE/>
              <w:autoSpaceDN/>
              <w:adjustRightInd/>
              <w:spacing w:line="240" w:lineRule="auto"/>
              <w:jc w:val="left"/>
              <w:rPr>
                <w:rFonts w:eastAsia="Calibri" w:cs="Times New Roman"/>
                <w:color w:val="000000"/>
                <w:sz w:val="21"/>
                <w:szCs w:val="21"/>
                <w:lang w:eastAsia="en-US"/>
              </w:rPr>
            </w:pPr>
            <w:r w:rsidRPr="00F10F4F">
              <w:rPr>
                <w:rFonts w:eastAsia="Calibri" w:cs="Times New Roman"/>
                <w:color w:val="000000"/>
                <w:sz w:val="21"/>
                <w:szCs w:val="21"/>
                <w:lang w:eastAsia="en-US"/>
              </w:rPr>
              <w:t>Niemierzalne</w:t>
            </w:r>
          </w:p>
        </w:tc>
        <w:tc>
          <w:tcPr>
            <w:tcW w:w="2293" w:type="dxa"/>
            <w:gridSpan w:val="6"/>
            <w:shd w:val="clear" w:color="auto" w:fill="FFFFFF"/>
          </w:tcPr>
          <w:p w:rsidR="00F10F4F" w:rsidRPr="00F10F4F" w:rsidRDefault="00F10F4F" w:rsidP="00F10F4F">
            <w:pPr>
              <w:widowControl/>
              <w:autoSpaceDE/>
              <w:autoSpaceDN/>
              <w:adjustRightInd/>
              <w:spacing w:line="240" w:lineRule="auto"/>
              <w:jc w:val="left"/>
              <w:rPr>
                <w:rFonts w:eastAsia="Calibri" w:cs="Times New Roman"/>
                <w:sz w:val="21"/>
                <w:szCs w:val="21"/>
                <w:lang w:eastAsia="en-US"/>
              </w:rPr>
            </w:pPr>
          </w:p>
          <w:p w:rsidR="00F10F4F" w:rsidRPr="00F10F4F" w:rsidRDefault="00F10F4F" w:rsidP="00F10F4F">
            <w:pPr>
              <w:widowControl/>
              <w:autoSpaceDE/>
              <w:autoSpaceDN/>
              <w:adjustRightInd/>
              <w:spacing w:line="240" w:lineRule="auto"/>
              <w:jc w:val="left"/>
              <w:rPr>
                <w:rFonts w:eastAsia="Calibri" w:cs="Times New Roman"/>
                <w:color w:val="000000"/>
                <w:sz w:val="21"/>
                <w:szCs w:val="21"/>
                <w:lang w:eastAsia="en-US"/>
              </w:rPr>
            </w:pPr>
            <w:r w:rsidRPr="00F10F4F">
              <w:rPr>
                <w:rFonts w:eastAsia="Calibri" w:cs="Times New Roman"/>
                <w:sz w:val="21"/>
                <w:szCs w:val="21"/>
                <w:lang w:eastAsia="en-US"/>
              </w:rPr>
              <w:t>obywatele</w:t>
            </w:r>
          </w:p>
        </w:tc>
        <w:tc>
          <w:tcPr>
            <w:tcW w:w="7048" w:type="dxa"/>
            <w:gridSpan w:val="21"/>
            <w:shd w:val="clear" w:color="auto" w:fill="FFFFFF"/>
          </w:tcPr>
          <w:p w:rsidR="00F10F4F" w:rsidRPr="00F10F4F" w:rsidRDefault="00F10F4F" w:rsidP="00F10F4F">
            <w:pPr>
              <w:widowControl/>
              <w:autoSpaceDE/>
              <w:autoSpaceDN/>
              <w:adjustRightInd/>
              <w:spacing w:line="240" w:lineRule="auto"/>
              <w:rPr>
                <w:rFonts w:eastAsia="Calibri" w:cs="Times New Roman"/>
                <w:color w:val="000000"/>
                <w:spacing w:val="-2"/>
                <w:sz w:val="22"/>
                <w:szCs w:val="22"/>
                <w:lang w:eastAsia="en-US"/>
              </w:rPr>
            </w:pPr>
            <w:r w:rsidRPr="00F10F4F">
              <w:rPr>
                <w:rFonts w:eastAsia="Calibri" w:cs="Times New Roman"/>
                <w:color w:val="000000"/>
                <w:spacing w:val="-2"/>
                <w:sz w:val="22"/>
                <w:szCs w:val="22"/>
                <w:lang w:eastAsia="en-US"/>
              </w:rPr>
              <w:t xml:space="preserve">Podwyższenie standardu procedury określającej wydawanie opinii o zasadności dalszego umieszczenia w </w:t>
            </w:r>
            <w:r w:rsidRPr="00F10F4F">
              <w:rPr>
                <w:rFonts w:eastAsia="Calibri" w:cs="Times New Roman"/>
                <w:i/>
                <w:color w:val="000000"/>
                <w:sz w:val="22"/>
                <w:szCs w:val="22"/>
                <w:lang w:eastAsia="en-US"/>
              </w:rPr>
              <w:t>Ośrodku</w:t>
            </w:r>
            <w:r w:rsidRPr="00F10F4F">
              <w:rPr>
                <w:rFonts w:eastAsia="Calibri" w:cs="Times New Roman"/>
                <w:color w:val="000000"/>
                <w:spacing w:val="-2"/>
                <w:sz w:val="22"/>
                <w:szCs w:val="22"/>
                <w:lang w:eastAsia="en-US"/>
              </w:rPr>
              <w:t xml:space="preserve"> osoby stwarzającej zagrożenie będzie: </w:t>
            </w:r>
          </w:p>
          <w:p w:rsidR="00F10F4F" w:rsidRPr="00F10F4F" w:rsidRDefault="00F10F4F" w:rsidP="00F10F4F">
            <w:pPr>
              <w:widowControl/>
              <w:numPr>
                <w:ilvl w:val="0"/>
                <w:numId w:val="47"/>
              </w:numPr>
              <w:autoSpaceDE/>
              <w:autoSpaceDN/>
              <w:adjustRightInd/>
              <w:spacing w:line="240" w:lineRule="auto"/>
              <w:contextualSpacing/>
              <w:jc w:val="left"/>
              <w:rPr>
                <w:rFonts w:eastAsia="Calibri" w:cs="Times New Roman"/>
                <w:color w:val="000000"/>
                <w:spacing w:val="-2"/>
                <w:sz w:val="22"/>
                <w:szCs w:val="22"/>
                <w:lang w:eastAsia="en-US"/>
              </w:rPr>
            </w:pPr>
            <w:r w:rsidRPr="00F10F4F">
              <w:rPr>
                <w:rFonts w:eastAsia="Calibri" w:cs="Times New Roman"/>
                <w:color w:val="000000"/>
                <w:spacing w:val="-2"/>
                <w:sz w:val="22"/>
                <w:szCs w:val="22"/>
                <w:lang w:eastAsia="en-US"/>
              </w:rPr>
              <w:t>poprzez obniżenie ryzyka popełnienia błędu pozytywnie oddziaływało na realizację celu ochrona społeczeństwa przed osobą stanowiącą zagrożenie,</w:t>
            </w:r>
          </w:p>
          <w:p w:rsidR="00F10F4F" w:rsidRPr="00F10F4F" w:rsidRDefault="00F10F4F" w:rsidP="00F10F4F">
            <w:pPr>
              <w:widowControl/>
              <w:numPr>
                <w:ilvl w:val="0"/>
                <w:numId w:val="47"/>
              </w:numPr>
              <w:autoSpaceDE/>
              <w:autoSpaceDN/>
              <w:adjustRightInd/>
              <w:spacing w:line="240" w:lineRule="auto"/>
              <w:contextualSpacing/>
              <w:jc w:val="left"/>
              <w:rPr>
                <w:rFonts w:eastAsia="Calibri" w:cs="Times New Roman"/>
                <w:color w:val="000000"/>
                <w:spacing w:val="-2"/>
                <w:sz w:val="21"/>
                <w:szCs w:val="21"/>
                <w:lang w:eastAsia="en-US"/>
              </w:rPr>
            </w:pPr>
            <w:r w:rsidRPr="00F10F4F">
              <w:rPr>
                <w:rFonts w:eastAsia="Calibri" w:cs="Times New Roman"/>
                <w:color w:val="000000"/>
                <w:spacing w:val="-2"/>
                <w:sz w:val="22"/>
                <w:szCs w:val="22"/>
                <w:lang w:eastAsia="en-US"/>
              </w:rPr>
              <w:t>wzmacniać ochronę podstawowych wolności obywatela.</w:t>
            </w:r>
          </w:p>
        </w:tc>
      </w:tr>
      <w:tr w:rsidR="00F10F4F" w:rsidRPr="00F10F4F" w:rsidTr="00CE46B1">
        <w:trPr>
          <w:gridAfter w:val="1"/>
          <w:wAfter w:w="10" w:type="dxa"/>
          <w:trHeight w:val="342"/>
        </w:trPr>
        <w:tc>
          <w:tcPr>
            <w:tcW w:w="10937" w:type="dxa"/>
            <w:gridSpan w:val="28"/>
            <w:shd w:val="clear" w:color="auto" w:fill="99CCFF"/>
            <w:vAlign w:val="center"/>
          </w:tcPr>
          <w:p w:rsidR="00F10F4F" w:rsidRPr="00F10F4F" w:rsidRDefault="00F10F4F" w:rsidP="00F10F4F">
            <w:pPr>
              <w:widowControl/>
              <w:numPr>
                <w:ilvl w:val="0"/>
                <w:numId w:val="45"/>
              </w:numPr>
              <w:autoSpaceDE/>
              <w:autoSpaceDN/>
              <w:adjustRightInd/>
              <w:spacing w:before="60" w:after="60" w:line="240" w:lineRule="auto"/>
              <w:ind w:left="318" w:hanging="284"/>
              <w:jc w:val="left"/>
              <w:rPr>
                <w:rFonts w:eastAsia="Calibri" w:cs="Times New Roman"/>
                <w:b/>
                <w:color w:val="000000"/>
                <w:sz w:val="22"/>
                <w:szCs w:val="22"/>
                <w:lang w:eastAsia="en-US"/>
              </w:rPr>
            </w:pPr>
            <w:r w:rsidRPr="00F10F4F">
              <w:rPr>
                <w:rFonts w:eastAsia="Calibri" w:cs="Times New Roman"/>
                <w:b/>
                <w:color w:val="000000"/>
                <w:sz w:val="22"/>
                <w:szCs w:val="22"/>
                <w:lang w:eastAsia="en-US"/>
              </w:rPr>
              <w:t xml:space="preserve"> Zmiana obciążeń regulacyjnych (w tym obowiązków informacyjnych) wynikających z projektu.</w:t>
            </w:r>
          </w:p>
        </w:tc>
      </w:tr>
      <w:tr w:rsidR="00F10F4F" w:rsidRPr="00F10F4F" w:rsidTr="00CE46B1">
        <w:trPr>
          <w:gridAfter w:val="1"/>
          <w:wAfter w:w="10" w:type="dxa"/>
          <w:trHeight w:val="151"/>
        </w:trPr>
        <w:tc>
          <w:tcPr>
            <w:tcW w:w="10937" w:type="dxa"/>
            <w:gridSpan w:val="28"/>
            <w:shd w:val="clear" w:color="auto" w:fill="FFFFFF"/>
          </w:tcPr>
          <w:p w:rsidR="00F10F4F" w:rsidRPr="00F10F4F" w:rsidRDefault="00F10F4F" w:rsidP="00F10F4F">
            <w:pPr>
              <w:widowControl/>
              <w:autoSpaceDE/>
              <w:autoSpaceDN/>
              <w:adjustRightInd/>
              <w:spacing w:line="240" w:lineRule="auto"/>
              <w:jc w:val="left"/>
              <w:rPr>
                <w:rFonts w:eastAsia="Calibri" w:cs="Times New Roman"/>
                <w:color w:val="000000"/>
                <w:sz w:val="22"/>
                <w:szCs w:val="22"/>
                <w:lang w:eastAsia="en-US"/>
              </w:rPr>
            </w:pPr>
            <w:r w:rsidRPr="00F10F4F">
              <w:rPr>
                <w:rFonts w:eastAsia="Calibri" w:cs="Times New Roman"/>
                <w:color w:val="000000"/>
                <w:sz w:val="22"/>
                <w:szCs w:val="22"/>
                <w:lang w:eastAsia="en-US"/>
              </w:rPr>
              <w:fldChar w:fldCharType="begin">
                <w:ffData>
                  <w:name w:val=""/>
                  <w:enabled/>
                  <w:calcOnExit w:val="0"/>
                  <w:checkBox>
                    <w:sizeAuto/>
                    <w:default w:val="1"/>
                  </w:checkBox>
                </w:ffData>
              </w:fldChar>
            </w:r>
            <w:r w:rsidRPr="00F10F4F">
              <w:rPr>
                <w:rFonts w:eastAsia="Calibri" w:cs="Times New Roman"/>
                <w:color w:val="000000"/>
                <w:sz w:val="22"/>
                <w:szCs w:val="22"/>
                <w:lang w:eastAsia="en-US"/>
              </w:rPr>
              <w:instrText xml:space="preserve"> FORMCHECKBOX </w:instrText>
            </w:r>
            <w:r w:rsidR="00DF68C2">
              <w:rPr>
                <w:rFonts w:eastAsia="Calibri" w:cs="Times New Roman"/>
                <w:color w:val="000000"/>
                <w:sz w:val="22"/>
                <w:szCs w:val="22"/>
                <w:lang w:eastAsia="en-US"/>
              </w:rPr>
            </w:r>
            <w:r w:rsidR="00DF68C2">
              <w:rPr>
                <w:rFonts w:eastAsia="Calibri" w:cs="Times New Roman"/>
                <w:color w:val="000000"/>
                <w:sz w:val="22"/>
                <w:szCs w:val="22"/>
                <w:lang w:eastAsia="en-US"/>
              </w:rPr>
              <w:fldChar w:fldCharType="separate"/>
            </w:r>
            <w:r w:rsidRPr="00F10F4F">
              <w:rPr>
                <w:rFonts w:eastAsia="Calibri" w:cs="Times New Roman"/>
                <w:color w:val="000000"/>
                <w:sz w:val="22"/>
                <w:szCs w:val="22"/>
                <w:lang w:eastAsia="en-US"/>
              </w:rPr>
              <w:fldChar w:fldCharType="end"/>
            </w:r>
            <w:r w:rsidRPr="00F10F4F">
              <w:rPr>
                <w:rFonts w:eastAsia="Calibri" w:cs="Times New Roman"/>
                <w:color w:val="000000"/>
                <w:sz w:val="22"/>
                <w:szCs w:val="22"/>
                <w:lang w:eastAsia="en-US"/>
              </w:rPr>
              <w:t xml:space="preserve"> </w:t>
            </w:r>
            <w:r w:rsidRPr="00F10F4F">
              <w:rPr>
                <w:rFonts w:eastAsia="Calibri" w:cs="Times New Roman"/>
                <w:color w:val="000000"/>
                <w:spacing w:val="-2"/>
                <w:sz w:val="22"/>
                <w:szCs w:val="22"/>
                <w:lang w:eastAsia="en-US"/>
              </w:rPr>
              <w:t>nie dotyczy</w:t>
            </w:r>
          </w:p>
        </w:tc>
      </w:tr>
      <w:tr w:rsidR="00F10F4F" w:rsidRPr="00F10F4F" w:rsidTr="00CE46B1">
        <w:trPr>
          <w:gridAfter w:val="1"/>
          <w:wAfter w:w="10" w:type="dxa"/>
          <w:trHeight w:val="142"/>
        </w:trPr>
        <w:tc>
          <w:tcPr>
            <w:tcW w:w="10937" w:type="dxa"/>
            <w:gridSpan w:val="28"/>
            <w:shd w:val="clear" w:color="auto" w:fill="99CCFF"/>
            <w:vAlign w:val="center"/>
          </w:tcPr>
          <w:p w:rsidR="00F10F4F" w:rsidRPr="00F10F4F" w:rsidRDefault="00F10F4F" w:rsidP="00F10F4F">
            <w:pPr>
              <w:widowControl/>
              <w:numPr>
                <w:ilvl w:val="0"/>
                <w:numId w:val="45"/>
              </w:numPr>
              <w:autoSpaceDE/>
              <w:autoSpaceDN/>
              <w:adjustRightInd/>
              <w:spacing w:before="60" w:after="60" w:line="240" w:lineRule="auto"/>
              <w:jc w:val="left"/>
              <w:rPr>
                <w:rFonts w:eastAsia="Calibri" w:cs="Times New Roman"/>
                <w:b/>
                <w:color w:val="000000"/>
                <w:sz w:val="22"/>
                <w:szCs w:val="22"/>
                <w:lang w:eastAsia="en-US"/>
              </w:rPr>
            </w:pPr>
            <w:r w:rsidRPr="00F10F4F">
              <w:rPr>
                <w:rFonts w:eastAsia="Calibri" w:cs="Times New Roman"/>
                <w:b/>
                <w:color w:val="000000"/>
                <w:sz w:val="22"/>
                <w:szCs w:val="22"/>
                <w:lang w:eastAsia="en-US"/>
              </w:rPr>
              <w:t xml:space="preserve">Wpływ na rynek pracy. </w:t>
            </w:r>
          </w:p>
        </w:tc>
      </w:tr>
      <w:tr w:rsidR="00F10F4F" w:rsidRPr="00F10F4F" w:rsidTr="00CE46B1">
        <w:trPr>
          <w:gridAfter w:val="1"/>
          <w:wAfter w:w="10" w:type="dxa"/>
          <w:trHeight w:val="142"/>
        </w:trPr>
        <w:tc>
          <w:tcPr>
            <w:tcW w:w="10937" w:type="dxa"/>
            <w:gridSpan w:val="28"/>
            <w:shd w:val="clear" w:color="auto" w:fill="auto"/>
          </w:tcPr>
          <w:p w:rsidR="00F10F4F" w:rsidRPr="00F10F4F" w:rsidRDefault="00F10F4F" w:rsidP="00F10F4F">
            <w:pPr>
              <w:widowControl/>
              <w:autoSpaceDE/>
              <w:autoSpaceDN/>
              <w:adjustRightInd/>
              <w:spacing w:line="240" w:lineRule="auto"/>
              <w:rPr>
                <w:rFonts w:eastAsia="Calibri" w:cs="Times New Roman"/>
                <w:color w:val="000000"/>
                <w:sz w:val="22"/>
                <w:szCs w:val="22"/>
                <w:lang w:eastAsia="en-US"/>
              </w:rPr>
            </w:pPr>
            <w:r w:rsidRPr="00F10F4F">
              <w:rPr>
                <w:rFonts w:eastAsia="Calibri" w:cs="Times New Roman"/>
                <w:color w:val="000000"/>
                <w:sz w:val="22"/>
                <w:szCs w:val="22"/>
                <w:lang w:eastAsia="en-US"/>
              </w:rPr>
              <w:t>Brak wpływu</w:t>
            </w:r>
          </w:p>
        </w:tc>
      </w:tr>
      <w:tr w:rsidR="00F10F4F" w:rsidRPr="00F10F4F" w:rsidTr="00CE46B1">
        <w:trPr>
          <w:gridAfter w:val="1"/>
          <w:wAfter w:w="10" w:type="dxa"/>
          <w:trHeight w:val="142"/>
        </w:trPr>
        <w:tc>
          <w:tcPr>
            <w:tcW w:w="10937" w:type="dxa"/>
            <w:gridSpan w:val="28"/>
            <w:shd w:val="clear" w:color="auto" w:fill="99CCFF"/>
          </w:tcPr>
          <w:p w:rsidR="00F10F4F" w:rsidRPr="00F10F4F" w:rsidRDefault="00F10F4F" w:rsidP="00F10F4F">
            <w:pPr>
              <w:widowControl/>
              <w:numPr>
                <w:ilvl w:val="0"/>
                <w:numId w:val="45"/>
              </w:numPr>
              <w:autoSpaceDE/>
              <w:autoSpaceDN/>
              <w:adjustRightInd/>
              <w:spacing w:before="60" w:after="60" w:line="240" w:lineRule="auto"/>
              <w:jc w:val="left"/>
              <w:rPr>
                <w:rFonts w:eastAsia="Calibri" w:cs="Times New Roman"/>
                <w:b/>
                <w:color w:val="000000"/>
                <w:sz w:val="22"/>
                <w:szCs w:val="22"/>
                <w:lang w:eastAsia="en-US"/>
              </w:rPr>
            </w:pPr>
            <w:r w:rsidRPr="00F10F4F">
              <w:rPr>
                <w:rFonts w:eastAsia="Calibri" w:cs="Times New Roman"/>
                <w:b/>
                <w:color w:val="000000"/>
                <w:sz w:val="22"/>
                <w:szCs w:val="22"/>
                <w:lang w:eastAsia="en-US"/>
              </w:rPr>
              <w:t>Wpływ na pozostałe obszary.</w:t>
            </w:r>
          </w:p>
        </w:tc>
      </w:tr>
      <w:tr w:rsidR="00F10F4F" w:rsidRPr="00F10F4F" w:rsidTr="00CE46B1">
        <w:trPr>
          <w:gridAfter w:val="1"/>
          <w:wAfter w:w="10" w:type="dxa"/>
          <w:trHeight w:val="1031"/>
        </w:trPr>
        <w:tc>
          <w:tcPr>
            <w:tcW w:w="3547" w:type="dxa"/>
            <w:gridSpan w:val="5"/>
            <w:shd w:val="clear" w:color="auto" w:fill="FFFFFF"/>
          </w:tcPr>
          <w:p w:rsidR="00F10F4F" w:rsidRPr="00F10F4F" w:rsidRDefault="00F10F4F" w:rsidP="00F10F4F">
            <w:pPr>
              <w:widowControl/>
              <w:autoSpaceDE/>
              <w:autoSpaceDN/>
              <w:adjustRightInd/>
              <w:spacing w:line="240" w:lineRule="auto"/>
              <w:jc w:val="left"/>
              <w:rPr>
                <w:rFonts w:eastAsia="Calibri" w:cs="Times New Roman"/>
                <w:color w:val="000000"/>
                <w:sz w:val="22"/>
                <w:szCs w:val="22"/>
                <w:lang w:eastAsia="en-US"/>
              </w:rPr>
            </w:pPr>
          </w:p>
          <w:p w:rsidR="00F10F4F" w:rsidRPr="00F10F4F" w:rsidRDefault="00F10F4F" w:rsidP="00F10F4F">
            <w:pPr>
              <w:widowControl/>
              <w:autoSpaceDE/>
              <w:autoSpaceDN/>
              <w:adjustRightInd/>
              <w:spacing w:line="240" w:lineRule="auto"/>
              <w:jc w:val="left"/>
              <w:rPr>
                <w:rFonts w:eastAsia="Calibri" w:cs="Times New Roman"/>
                <w:color w:val="000000"/>
                <w:spacing w:val="-2"/>
                <w:sz w:val="22"/>
                <w:szCs w:val="22"/>
                <w:lang w:eastAsia="en-US"/>
              </w:rPr>
            </w:pPr>
            <w:r w:rsidRPr="00F10F4F">
              <w:rPr>
                <w:rFonts w:eastAsia="Calibri" w:cs="Times New Roman"/>
                <w:color w:val="000000"/>
                <w:sz w:val="22"/>
                <w:szCs w:val="22"/>
                <w:lang w:eastAsia="en-US"/>
              </w:rPr>
              <w:fldChar w:fldCharType="begin">
                <w:ffData>
                  <w:name w:val="Wybór1"/>
                  <w:enabled/>
                  <w:calcOnExit w:val="0"/>
                  <w:checkBox>
                    <w:sizeAuto/>
                    <w:default w:val="0"/>
                  </w:checkBox>
                </w:ffData>
              </w:fldChar>
            </w:r>
            <w:r w:rsidRPr="00F10F4F">
              <w:rPr>
                <w:rFonts w:eastAsia="Calibri" w:cs="Times New Roman"/>
                <w:color w:val="000000"/>
                <w:sz w:val="22"/>
                <w:szCs w:val="22"/>
                <w:lang w:eastAsia="en-US"/>
              </w:rPr>
              <w:instrText xml:space="preserve"> FORMCHECKBOX </w:instrText>
            </w:r>
            <w:r w:rsidR="00DF68C2">
              <w:rPr>
                <w:rFonts w:eastAsia="Calibri" w:cs="Times New Roman"/>
                <w:color w:val="000000"/>
                <w:sz w:val="22"/>
                <w:szCs w:val="22"/>
                <w:lang w:eastAsia="en-US"/>
              </w:rPr>
            </w:r>
            <w:r w:rsidR="00DF68C2">
              <w:rPr>
                <w:rFonts w:eastAsia="Calibri" w:cs="Times New Roman"/>
                <w:color w:val="000000"/>
                <w:sz w:val="22"/>
                <w:szCs w:val="22"/>
                <w:lang w:eastAsia="en-US"/>
              </w:rPr>
              <w:fldChar w:fldCharType="separate"/>
            </w:r>
            <w:r w:rsidRPr="00F10F4F">
              <w:rPr>
                <w:rFonts w:eastAsia="Calibri" w:cs="Times New Roman"/>
                <w:color w:val="000000"/>
                <w:sz w:val="22"/>
                <w:szCs w:val="22"/>
                <w:lang w:eastAsia="en-US"/>
              </w:rPr>
              <w:fldChar w:fldCharType="end"/>
            </w:r>
            <w:r w:rsidRPr="00F10F4F">
              <w:rPr>
                <w:rFonts w:eastAsia="Calibri" w:cs="Times New Roman"/>
                <w:color w:val="000000"/>
                <w:sz w:val="20"/>
                <w:lang w:eastAsia="en-US"/>
              </w:rPr>
              <w:t xml:space="preserve"> </w:t>
            </w:r>
            <w:r w:rsidRPr="00F10F4F">
              <w:rPr>
                <w:rFonts w:eastAsia="Calibri" w:cs="Times New Roman"/>
                <w:color w:val="000000"/>
                <w:spacing w:val="-2"/>
                <w:sz w:val="22"/>
                <w:szCs w:val="22"/>
                <w:lang w:eastAsia="en-US"/>
              </w:rPr>
              <w:t>środowisko naturalne</w:t>
            </w:r>
          </w:p>
          <w:p w:rsidR="00F10F4F" w:rsidRPr="00F10F4F" w:rsidRDefault="00F10F4F" w:rsidP="00F10F4F">
            <w:pPr>
              <w:widowControl/>
              <w:autoSpaceDE/>
              <w:autoSpaceDN/>
              <w:adjustRightInd/>
              <w:spacing w:line="240" w:lineRule="auto"/>
              <w:jc w:val="left"/>
              <w:rPr>
                <w:rFonts w:eastAsia="Calibri" w:cs="Times New Roman"/>
                <w:color w:val="000000"/>
                <w:sz w:val="22"/>
                <w:szCs w:val="22"/>
                <w:lang w:eastAsia="en-US"/>
              </w:rPr>
            </w:pPr>
            <w:r w:rsidRPr="00F10F4F">
              <w:rPr>
                <w:rFonts w:eastAsia="Calibri" w:cs="Times New Roman"/>
                <w:color w:val="000000"/>
                <w:sz w:val="22"/>
                <w:szCs w:val="22"/>
                <w:lang w:eastAsia="en-US"/>
              </w:rPr>
              <w:fldChar w:fldCharType="begin">
                <w:ffData>
                  <w:name w:val=""/>
                  <w:enabled/>
                  <w:calcOnExit w:val="0"/>
                  <w:checkBox>
                    <w:sizeAuto/>
                    <w:default w:val="0"/>
                  </w:checkBox>
                </w:ffData>
              </w:fldChar>
            </w:r>
            <w:r w:rsidRPr="00F10F4F">
              <w:rPr>
                <w:rFonts w:eastAsia="Calibri" w:cs="Times New Roman"/>
                <w:color w:val="000000"/>
                <w:sz w:val="22"/>
                <w:szCs w:val="22"/>
                <w:lang w:eastAsia="en-US"/>
              </w:rPr>
              <w:instrText xml:space="preserve"> FORMCHECKBOX </w:instrText>
            </w:r>
            <w:r w:rsidR="00DF68C2">
              <w:rPr>
                <w:rFonts w:eastAsia="Calibri" w:cs="Times New Roman"/>
                <w:color w:val="000000"/>
                <w:sz w:val="22"/>
                <w:szCs w:val="22"/>
                <w:lang w:eastAsia="en-US"/>
              </w:rPr>
            </w:r>
            <w:r w:rsidR="00DF68C2">
              <w:rPr>
                <w:rFonts w:eastAsia="Calibri" w:cs="Times New Roman"/>
                <w:color w:val="000000"/>
                <w:sz w:val="22"/>
                <w:szCs w:val="22"/>
                <w:lang w:eastAsia="en-US"/>
              </w:rPr>
              <w:fldChar w:fldCharType="separate"/>
            </w:r>
            <w:r w:rsidRPr="00F10F4F">
              <w:rPr>
                <w:rFonts w:eastAsia="Calibri" w:cs="Times New Roman"/>
                <w:color w:val="000000"/>
                <w:sz w:val="22"/>
                <w:szCs w:val="22"/>
                <w:lang w:eastAsia="en-US"/>
              </w:rPr>
              <w:fldChar w:fldCharType="end"/>
            </w:r>
            <w:r w:rsidRPr="00F10F4F">
              <w:rPr>
                <w:rFonts w:eastAsia="Calibri" w:cs="Times New Roman"/>
                <w:color w:val="000000"/>
                <w:sz w:val="20"/>
                <w:lang w:eastAsia="en-US"/>
              </w:rPr>
              <w:t xml:space="preserve"> </w:t>
            </w:r>
            <w:r w:rsidRPr="00F10F4F">
              <w:rPr>
                <w:rFonts w:eastAsia="Calibri" w:cs="Times New Roman"/>
                <w:color w:val="000000"/>
                <w:sz w:val="22"/>
                <w:szCs w:val="22"/>
                <w:lang w:eastAsia="en-US"/>
              </w:rPr>
              <w:t>sytuacja i rozwój regionalny</w:t>
            </w:r>
          </w:p>
          <w:p w:rsidR="00F10F4F" w:rsidRPr="00F10F4F" w:rsidRDefault="00F10F4F" w:rsidP="00F10F4F">
            <w:pPr>
              <w:widowControl/>
              <w:autoSpaceDE/>
              <w:autoSpaceDN/>
              <w:adjustRightInd/>
              <w:spacing w:line="240" w:lineRule="auto"/>
              <w:jc w:val="left"/>
              <w:rPr>
                <w:rFonts w:eastAsia="Calibri" w:cs="Times New Roman"/>
                <w:color w:val="000000"/>
                <w:spacing w:val="-2"/>
                <w:sz w:val="22"/>
                <w:szCs w:val="22"/>
                <w:lang w:eastAsia="en-US"/>
              </w:rPr>
            </w:pPr>
            <w:r w:rsidRPr="00F10F4F">
              <w:rPr>
                <w:rFonts w:eastAsia="Calibri" w:cs="Times New Roman"/>
                <w:color w:val="000000"/>
                <w:sz w:val="22"/>
                <w:szCs w:val="22"/>
                <w:lang w:eastAsia="en-US"/>
              </w:rPr>
              <w:fldChar w:fldCharType="begin">
                <w:ffData>
                  <w:name w:val="Wybór1"/>
                  <w:enabled/>
                  <w:calcOnExit w:val="0"/>
                  <w:checkBox>
                    <w:sizeAuto/>
                    <w:default w:val="0"/>
                  </w:checkBox>
                </w:ffData>
              </w:fldChar>
            </w:r>
            <w:r w:rsidRPr="00F10F4F">
              <w:rPr>
                <w:rFonts w:eastAsia="Calibri" w:cs="Times New Roman"/>
                <w:color w:val="000000"/>
                <w:sz w:val="22"/>
                <w:szCs w:val="22"/>
                <w:lang w:eastAsia="en-US"/>
              </w:rPr>
              <w:instrText xml:space="preserve"> FORMCHECKBOX </w:instrText>
            </w:r>
            <w:r w:rsidR="00DF68C2">
              <w:rPr>
                <w:rFonts w:eastAsia="Calibri" w:cs="Times New Roman"/>
                <w:color w:val="000000"/>
                <w:sz w:val="22"/>
                <w:szCs w:val="22"/>
                <w:lang w:eastAsia="en-US"/>
              </w:rPr>
            </w:r>
            <w:r w:rsidR="00DF68C2">
              <w:rPr>
                <w:rFonts w:eastAsia="Calibri" w:cs="Times New Roman"/>
                <w:color w:val="000000"/>
                <w:sz w:val="22"/>
                <w:szCs w:val="22"/>
                <w:lang w:eastAsia="en-US"/>
              </w:rPr>
              <w:fldChar w:fldCharType="separate"/>
            </w:r>
            <w:r w:rsidRPr="00F10F4F">
              <w:rPr>
                <w:rFonts w:eastAsia="Calibri" w:cs="Times New Roman"/>
                <w:color w:val="000000"/>
                <w:sz w:val="22"/>
                <w:szCs w:val="22"/>
                <w:lang w:eastAsia="en-US"/>
              </w:rPr>
              <w:fldChar w:fldCharType="end"/>
            </w:r>
            <w:r w:rsidRPr="00F10F4F">
              <w:rPr>
                <w:rFonts w:eastAsia="Calibri" w:cs="Times New Roman"/>
                <w:color w:val="000000"/>
                <w:sz w:val="20"/>
                <w:lang w:eastAsia="en-US"/>
              </w:rPr>
              <w:t xml:space="preserve"> </w:t>
            </w:r>
            <w:r w:rsidRPr="00F10F4F">
              <w:rPr>
                <w:rFonts w:eastAsia="Calibri" w:cs="Times New Roman"/>
                <w:color w:val="000000"/>
                <w:spacing w:val="-2"/>
                <w:sz w:val="22"/>
                <w:szCs w:val="22"/>
                <w:lang w:eastAsia="en-US"/>
              </w:rPr>
              <w:t xml:space="preserve">inne: </w:t>
            </w:r>
          </w:p>
        </w:tc>
        <w:tc>
          <w:tcPr>
            <w:tcW w:w="3687" w:type="dxa"/>
            <w:gridSpan w:val="15"/>
            <w:shd w:val="clear" w:color="auto" w:fill="FFFFFF"/>
          </w:tcPr>
          <w:p w:rsidR="00F10F4F" w:rsidRPr="00F10F4F" w:rsidRDefault="00F10F4F" w:rsidP="00F10F4F">
            <w:pPr>
              <w:widowControl/>
              <w:autoSpaceDE/>
              <w:autoSpaceDN/>
              <w:adjustRightInd/>
              <w:spacing w:line="240" w:lineRule="auto"/>
              <w:jc w:val="left"/>
              <w:rPr>
                <w:rFonts w:eastAsia="Calibri" w:cs="Times New Roman"/>
                <w:color w:val="000000"/>
                <w:sz w:val="22"/>
                <w:szCs w:val="22"/>
                <w:lang w:eastAsia="en-US"/>
              </w:rPr>
            </w:pPr>
          </w:p>
          <w:p w:rsidR="00F10F4F" w:rsidRPr="00F10F4F" w:rsidRDefault="00F10F4F" w:rsidP="00F10F4F">
            <w:pPr>
              <w:widowControl/>
              <w:autoSpaceDE/>
              <w:autoSpaceDN/>
              <w:adjustRightInd/>
              <w:spacing w:line="240" w:lineRule="auto"/>
              <w:jc w:val="left"/>
              <w:rPr>
                <w:rFonts w:eastAsia="Calibri" w:cs="Times New Roman"/>
                <w:color w:val="000000"/>
                <w:spacing w:val="-2"/>
                <w:sz w:val="22"/>
                <w:szCs w:val="22"/>
                <w:lang w:eastAsia="en-US"/>
              </w:rPr>
            </w:pPr>
            <w:r w:rsidRPr="00F10F4F">
              <w:rPr>
                <w:rFonts w:eastAsia="Calibri" w:cs="Times New Roman"/>
                <w:color w:val="000000"/>
                <w:sz w:val="22"/>
                <w:szCs w:val="22"/>
                <w:lang w:eastAsia="en-US"/>
              </w:rPr>
              <w:fldChar w:fldCharType="begin">
                <w:ffData>
                  <w:name w:val="Wybór1"/>
                  <w:enabled/>
                  <w:calcOnExit w:val="0"/>
                  <w:checkBox>
                    <w:sizeAuto/>
                    <w:default w:val="0"/>
                  </w:checkBox>
                </w:ffData>
              </w:fldChar>
            </w:r>
            <w:r w:rsidRPr="00F10F4F">
              <w:rPr>
                <w:rFonts w:eastAsia="Calibri" w:cs="Times New Roman"/>
                <w:color w:val="000000"/>
                <w:sz w:val="22"/>
                <w:szCs w:val="22"/>
                <w:lang w:eastAsia="en-US"/>
              </w:rPr>
              <w:instrText xml:space="preserve"> FORMCHECKBOX </w:instrText>
            </w:r>
            <w:r w:rsidR="00DF68C2">
              <w:rPr>
                <w:rFonts w:eastAsia="Calibri" w:cs="Times New Roman"/>
                <w:color w:val="000000"/>
                <w:sz w:val="22"/>
                <w:szCs w:val="22"/>
                <w:lang w:eastAsia="en-US"/>
              </w:rPr>
            </w:r>
            <w:r w:rsidR="00DF68C2">
              <w:rPr>
                <w:rFonts w:eastAsia="Calibri" w:cs="Times New Roman"/>
                <w:color w:val="000000"/>
                <w:sz w:val="22"/>
                <w:szCs w:val="22"/>
                <w:lang w:eastAsia="en-US"/>
              </w:rPr>
              <w:fldChar w:fldCharType="separate"/>
            </w:r>
            <w:r w:rsidRPr="00F10F4F">
              <w:rPr>
                <w:rFonts w:eastAsia="Calibri" w:cs="Times New Roman"/>
                <w:color w:val="000000"/>
                <w:sz w:val="22"/>
                <w:szCs w:val="22"/>
                <w:lang w:eastAsia="en-US"/>
              </w:rPr>
              <w:fldChar w:fldCharType="end"/>
            </w:r>
            <w:r w:rsidRPr="00F10F4F">
              <w:rPr>
                <w:rFonts w:eastAsia="Calibri" w:cs="Times New Roman"/>
                <w:color w:val="000000"/>
                <w:sz w:val="20"/>
                <w:lang w:eastAsia="en-US"/>
              </w:rPr>
              <w:t xml:space="preserve"> </w:t>
            </w:r>
            <w:r w:rsidRPr="00F10F4F">
              <w:rPr>
                <w:rFonts w:eastAsia="Calibri" w:cs="Times New Roman"/>
                <w:color w:val="000000"/>
                <w:spacing w:val="-2"/>
                <w:sz w:val="22"/>
                <w:szCs w:val="22"/>
                <w:lang w:eastAsia="en-US"/>
              </w:rPr>
              <w:t>demografia</w:t>
            </w:r>
          </w:p>
          <w:p w:rsidR="00F10F4F" w:rsidRPr="00F10F4F" w:rsidRDefault="00F10F4F" w:rsidP="00F10F4F">
            <w:pPr>
              <w:widowControl/>
              <w:autoSpaceDE/>
              <w:autoSpaceDN/>
              <w:adjustRightInd/>
              <w:spacing w:line="240" w:lineRule="auto"/>
              <w:jc w:val="left"/>
              <w:rPr>
                <w:rFonts w:eastAsia="Calibri" w:cs="Times New Roman"/>
                <w:color w:val="000000"/>
                <w:sz w:val="22"/>
                <w:szCs w:val="22"/>
                <w:lang w:eastAsia="en-US"/>
              </w:rPr>
            </w:pPr>
            <w:r w:rsidRPr="00F10F4F">
              <w:rPr>
                <w:rFonts w:eastAsia="Calibri" w:cs="Times New Roman"/>
                <w:color w:val="000000"/>
                <w:sz w:val="22"/>
                <w:szCs w:val="22"/>
                <w:lang w:eastAsia="en-US"/>
              </w:rPr>
              <w:fldChar w:fldCharType="begin">
                <w:ffData>
                  <w:name w:val=""/>
                  <w:enabled/>
                  <w:calcOnExit w:val="0"/>
                  <w:checkBox>
                    <w:sizeAuto/>
                    <w:default w:val="0"/>
                  </w:checkBox>
                </w:ffData>
              </w:fldChar>
            </w:r>
            <w:r w:rsidRPr="00F10F4F">
              <w:rPr>
                <w:rFonts w:eastAsia="Calibri" w:cs="Times New Roman"/>
                <w:color w:val="000000"/>
                <w:sz w:val="22"/>
                <w:szCs w:val="22"/>
                <w:lang w:eastAsia="en-US"/>
              </w:rPr>
              <w:instrText xml:space="preserve"> FORMCHECKBOX </w:instrText>
            </w:r>
            <w:r w:rsidR="00DF68C2">
              <w:rPr>
                <w:rFonts w:eastAsia="Calibri" w:cs="Times New Roman"/>
                <w:color w:val="000000"/>
                <w:sz w:val="22"/>
                <w:szCs w:val="22"/>
                <w:lang w:eastAsia="en-US"/>
              </w:rPr>
            </w:r>
            <w:r w:rsidR="00DF68C2">
              <w:rPr>
                <w:rFonts w:eastAsia="Calibri" w:cs="Times New Roman"/>
                <w:color w:val="000000"/>
                <w:sz w:val="22"/>
                <w:szCs w:val="22"/>
                <w:lang w:eastAsia="en-US"/>
              </w:rPr>
              <w:fldChar w:fldCharType="separate"/>
            </w:r>
            <w:r w:rsidRPr="00F10F4F">
              <w:rPr>
                <w:rFonts w:eastAsia="Calibri" w:cs="Times New Roman"/>
                <w:color w:val="000000"/>
                <w:sz w:val="22"/>
                <w:szCs w:val="22"/>
                <w:lang w:eastAsia="en-US"/>
              </w:rPr>
              <w:fldChar w:fldCharType="end"/>
            </w:r>
            <w:r w:rsidRPr="00F10F4F">
              <w:rPr>
                <w:rFonts w:eastAsia="Calibri" w:cs="Times New Roman"/>
                <w:color w:val="000000"/>
                <w:sz w:val="20"/>
                <w:lang w:eastAsia="en-US"/>
              </w:rPr>
              <w:t xml:space="preserve"> </w:t>
            </w:r>
            <w:r w:rsidRPr="00F10F4F">
              <w:rPr>
                <w:rFonts w:eastAsia="Calibri" w:cs="Times New Roman"/>
                <w:color w:val="000000"/>
                <w:sz w:val="22"/>
                <w:szCs w:val="22"/>
                <w:lang w:eastAsia="en-US"/>
              </w:rPr>
              <w:t>mienie państwowe</w:t>
            </w:r>
          </w:p>
        </w:tc>
        <w:tc>
          <w:tcPr>
            <w:tcW w:w="3703" w:type="dxa"/>
            <w:gridSpan w:val="8"/>
            <w:shd w:val="clear" w:color="auto" w:fill="FFFFFF"/>
          </w:tcPr>
          <w:p w:rsidR="00F10F4F" w:rsidRPr="00F10F4F" w:rsidRDefault="00F10F4F" w:rsidP="00F10F4F">
            <w:pPr>
              <w:widowControl/>
              <w:autoSpaceDE/>
              <w:autoSpaceDN/>
              <w:adjustRightInd/>
              <w:spacing w:line="240" w:lineRule="auto"/>
              <w:jc w:val="left"/>
              <w:rPr>
                <w:rFonts w:eastAsia="Calibri" w:cs="Times New Roman"/>
                <w:color w:val="000000"/>
                <w:sz w:val="22"/>
                <w:szCs w:val="22"/>
                <w:lang w:eastAsia="en-US"/>
              </w:rPr>
            </w:pPr>
          </w:p>
          <w:p w:rsidR="00F10F4F" w:rsidRPr="00F10F4F" w:rsidRDefault="00F10F4F" w:rsidP="00F10F4F">
            <w:pPr>
              <w:widowControl/>
              <w:autoSpaceDE/>
              <w:autoSpaceDN/>
              <w:adjustRightInd/>
              <w:spacing w:line="240" w:lineRule="auto"/>
              <w:jc w:val="left"/>
              <w:rPr>
                <w:rFonts w:eastAsia="Calibri" w:cs="Times New Roman"/>
                <w:color w:val="000000"/>
                <w:spacing w:val="-2"/>
                <w:sz w:val="22"/>
                <w:szCs w:val="22"/>
                <w:lang w:eastAsia="en-US"/>
              </w:rPr>
            </w:pPr>
            <w:r w:rsidRPr="00F10F4F">
              <w:rPr>
                <w:rFonts w:eastAsia="Calibri" w:cs="Times New Roman"/>
                <w:color w:val="000000"/>
                <w:sz w:val="22"/>
                <w:szCs w:val="22"/>
                <w:lang w:eastAsia="en-US"/>
              </w:rPr>
              <w:fldChar w:fldCharType="begin">
                <w:ffData>
                  <w:name w:val="Wybór1"/>
                  <w:enabled/>
                  <w:calcOnExit w:val="0"/>
                  <w:checkBox>
                    <w:sizeAuto/>
                    <w:default w:val="0"/>
                  </w:checkBox>
                </w:ffData>
              </w:fldChar>
            </w:r>
            <w:r w:rsidRPr="00F10F4F">
              <w:rPr>
                <w:rFonts w:eastAsia="Calibri" w:cs="Times New Roman"/>
                <w:color w:val="000000"/>
                <w:sz w:val="22"/>
                <w:szCs w:val="22"/>
                <w:lang w:eastAsia="en-US"/>
              </w:rPr>
              <w:instrText xml:space="preserve"> FORMCHECKBOX </w:instrText>
            </w:r>
            <w:r w:rsidR="00DF68C2">
              <w:rPr>
                <w:rFonts w:eastAsia="Calibri" w:cs="Times New Roman"/>
                <w:color w:val="000000"/>
                <w:sz w:val="22"/>
                <w:szCs w:val="22"/>
                <w:lang w:eastAsia="en-US"/>
              </w:rPr>
            </w:r>
            <w:r w:rsidR="00DF68C2">
              <w:rPr>
                <w:rFonts w:eastAsia="Calibri" w:cs="Times New Roman"/>
                <w:color w:val="000000"/>
                <w:sz w:val="22"/>
                <w:szCs w:val="22"/>
                <w:lang w:eastAsia="en-US"/>
              </w:rPr>
              <w:fldChar w:fldCharType="separate"/>
            </w:r>
            <w:r w:rsidRPr="00F10F4F">
              <w:rPr>
                <w:rFonts w:eastAsia="Calibri" w:cs="Times New Roman"/>
                <w:color w:val="000000"/>
                <w:sz w:val="22"/>
                <w:szCs w:val="22"/>
                <w:lang w:eastAsia="en-US"/>
              </w:rPr>
              <w:fldChar w:fldCharType="end"/>
            </w:r>
            <w:r w:rsidRPr="00F10F4F">
              <w:rPr>
                <w:rFonts w:eastAsia="Calibri" w:cs="Times New Roman"/>
                <w:color w:val="000000"/>
                <w:sz w:val="20"/>
                <w:lang w:eastAsia="en-US"/>
              </w:rPr>
              <w:t xml:space="preserve"> </w:t>
            </w:r>
            <w:r w:rsidRPr="00F10F4F">
              <w:rPr>
                <w:rFonts w:eastAsia="Calibri" w:cs="Times New Roman"/>
                <w:color w:val="000000"/>
                <w:spacing w:val="-2"/>
                <w:sz w:val="22"/>
                <w:szCs w:val="22"/>
                <w:lang w:eastAsia="en-US"/>
              </w:rPr>
              <w:t>informatyzacja</w:t>
            </w:r>
          </w:p>
          <w:p w:rsidR="00F10F4F" w:rsidRPr="00F10F4F" w:rsidRDefault="00F10F4F" w:rsidP="00F10F4F">
            <w:pPr>
              <w:widowControl/>
              <w:autoSpaceDE/>
              <w:autoSpaceDN/>
              <w:adjustRightInd/>
              <w:spacing w:line="240" w:lineRule="auto"/>
              <w:jc w:val="left"/>
              <w:rPr>
                <w:rFonts w:eastAsia="Calibri" w:cs="Times New Roman"/>
                <w:color w:val="000000"/>
                <w:sz w:val="22"/>
                <w:szCs w:val="22"/>
                <w:lang w:eastAsia="en-US"/>
              </w:rPr>
            </w:pPr>
            <w:r w:rsidRPr="00F10F4F">
              <w:rPr>
                <w:rFonts w:eastAsia="Calibri" w:cs="Times New Roman"/>
                <w:color w:val="000000"/>
                <w:sz w:val="22"/>
                <w:szCs w:val="22"/>
                <w:lang w:eastAsia="en-US"/>
              </w:rPr>
              <w:fldChar w:fldCharType="begin">
                <w:ffData>
                  <w:name w:val=""/>
                  <w:enabled w:val="0"/>
                  <w:calcOnExit w:val="0"/>
                  <w:checkBox>
                    <w:sizeAuto/>
                    <w:default w:val="1"/>
                  </w:checkBox>
                </w:ffData>
              </w:fldChar>
            </w:r>
            <w:r w:rsidRPr="00F10F4F">
              <w:rPr>
                <w:rFonts w:eastAsia="Calibri" w:cs="Times New Roman"/>
                <w:color w:val="000000"/>
                <w:sz w:val="22"/>
                <w:szCs w:val="22"/>
                <w:lang w:eastAsia="en-US"/>
              </w:rPr>
              <w:instrText xml:space="preserve"> FORMCHECKBOX </w:instrText>
            </w:r>
            <w:r w:rsidR="00DF68C2">
              <w:rPr>
                <w:rFonts w:eastAsia="Calibri" w:cs="Times New Roman"/>
                <w:color w:val="000000"/>
                <w:sz w:val="22"/>
                <w:szCs w:val="22"/>
                <w:lang w:eastAsia="en-US"/>
              </w:rPr>
            </w:r>
            <w:r w:rsidR="00DF68C2">
              <w:rPr>
                <w:rFonts w:eastAsia="Calibri" w:cs="Times New Roman"/>
                <w:color w:val="000000"/>
                <w:sz w:val="22"/>
                <w:szCs w:val="22"/>
                <w:lang w:eastAsia="en-US"/>
              </w:rPr>
              <w:fldChar w:fldCharType="separate"/>
            </w:r>
            <w:r w:rsidRPr="00F10F4F">
              <w:rPr>
                <w:rFonts w:eastAsia="Calibri" w:cs="Times New Roman"/>
                <w:color w:val="000000"/>
                <w:sz w:val="22"/>
                <w:szCs w:val="22"/>
                <w:lang w:eastAsia="en-US"/>
              </w:rPr>
              <w:fldChar w:fldCharType="end"/>
            </w:r>
            <w:r w:rsidRPr="00F10F4F">
              <w:rPr>
                <w:rFonts w:eastAsia="Calibri" w:cs="Times New Roman"/>
                <w:color w:val="000000"/>
                <w:sz w:val="20"/>
                <w:lang w:eastAsia="en-US"/>
              </w:rPr>
              <w:t xml:space="preserve"> </w:t>
            </w:r>
            <w:r w:rsidRPr="00F10F4F">
              <w:rPr>
                <w:rFonts w:eastAsia="Calibri" w:cs="Times New Roman"/>
                <w:color w:val="000000"/>
                <w:spacing w:val="-2"/>
                <w:sz w:val="22"/>
                <w:szCs w:val="22"/>
                <w:lang w:eastAsia="en-US"/>
              </w:rPr>
              <w:t>zdrowie</w:t>
            </w:r>
          </w:p>
        </w:tc>
      </w:tr>
      <w:tr w:rsidR="00F10F4F" w:rsidRPr="00F10F4F" w:rsidTr="00CE46B1">
        <w:trPr>
          <w:gridAfter w:val="1"/>
          <w:wAfter w:w="10" w:type="dxa"/>
          <w:trHeight w:val="712"/>
        </w:trPr>
        <w:tc>
          <w:tcPr>
            <w:tcW w:w="2243" w:type="dxa"/>
            <w:gridSpan w:val="2"/>
            <w:shd w:val="clear" w:color="auto" w:fill="FFFFFF"/>
            <w:vAlign w:val="center"/>
          </w:tcPr>
          <w:p w:rsidR="00F10F4F" w:rsidRPr="00F10F4F" w:rsidRDefault="00F10F4F" w:rsidP="00F10F4F">
            <w:pPr>
              <w:widowControl/>
              <w:autoSpaceDE/>
              <w:autoSpaceDN/>
              <w:adjustRightInd/>
              <w:spacing w:line="240" w:lineRule="auto"/>
              <w:jc w:val="left"/>
              <w:rPr>
                <w:rFonts w:eastAsia="Calibri" w:cs="Times New Roman"/>
                <w:color w:val="000000"/>
                <w:sz w:val="22"/>
                <w:szCs w:val="22"/>
                <w:lang w:eastAsia="en-US"/>
              </w:rPr>
            </w:pPr>
            <w:r w:rsidRPr="00F10F4F">
              <w:rPr>
                <w:rFonts w:eastAsia="Calibri" w:cs="Times New Roman"/>
                <w:color w:val="000000"/>
                <w:sz w:val="22"/>
                <w:szCs w:val="22"/>
                <w:lang w:eastAsia="en-US"/>
              </w:rPr>
              <w:t>Omówienie wpływu</w:t>
            </w:r>
          </w:p>
        </w:tc>
        <w:tc>
          <w:tcPr>
            <w:tcW w:w="8694" w:type="dxa"/>
            <w:gridSpan w:val="26"/>
            <w:shd w:val="clear" w:color="auto" w:fill="FFFFFF"/>
            <w:vAlign w:val="center"/>
          </w:tcPr>
          <w:p w:rsidR="00F10F4F" w:rsidRPr="00F10F4F" w:rsidRDefault="00F10F4F" w:rsidP="00F10F4F">
            <w:pPr>
              <w:widowControl/>
              <w:autoSpaceDE/>
              <w:autoSpaceDN/>
              <w:adjustRightInd/>
              <w:spacing w:line="240" w:lineRule="auto"/>
              <w:rPr>
                <w:rFonts w:eastAsia="Calibri" w:cs="Times New Roman"/>
                <w:color w:val="000000"/>
                <w:spacing w:val="-2"/>
                <w:sz w:val="22"/>
                <w:szCs w:val="22"/>
                <w:lang w:eastAsia="en-US"/>
              </w:rPr>
            </w:pPr>
            <w:r w:rsidRPr="00F10F4F">
              <w:rPr>
                <w:rFonts w:eastAsia="Calibri" w:cs="Times New Roman"/>
                <w:color w:val="000000"/>
                <w:spacing w:val="-2"/>
                <w:sz w:val="22"/>
                <w:szCs w:val="22"/>
                <w:lang w:eastAsia="en-US"/>
              </w:rPr>
              <w:t xml:space="preserve">Na skutek wprowadzenia obowiązku uzyskania opinii co najmniej dwóch biegłych diagnoza stanu zdrowia osoby, która została umieszczona w </w:t>
            </w:r>
            <w:r w:rsidRPr="00F10F4F">
              <w:rPr>
                <w:rFonts w:eastAsia="Calibri" w:cs="Times New Roman"/>
                <w:i/>
                <w:color w:val="000000"/>
                <w:spacing w:val="-2"/>
                <w:sz w:val="22"/>
                <w:szCs w:val="22"/>
                <w:lang w:eastAsia="en-US"/>
              </w:rPr>
              <w:t>Ośrodku</w:t>
            </w:r>
            <w:r w:rsidRPr="00F10F4F">
              <w:rPr>
                <w:rFonts w:eastAsia="Calibri" w:cs="Times New Roman"/>
                <w:color w:val="000000"/>
                <w:spacing w:val="-2"/>
                <w:sz w:val="22"/>
                <w:szCs w:val="22"/>
                <w:lang w:eastAsia="en-US"/>
              </w:rPr>
              <w:t xml:space="preserve"> zostanie lepiej udokumentowana.  </w:t>
            </w:r>
          </w:p>
        </w:tc>
      </w:tr>
      <w:tr w:rsidR="00F10F4F" w:rsidRPr="00F10F4F" w:rsidTr="00CE46B1">
        <w:trPr>
          <w:gridAfter w:val="1"/>
          <w:wAfter w:w="10" w:type="dxa"/>
          <w:trHeight w:val="142"/>
        </w:trPr>
        <w:tc>
          <w:tcPr>
            <w:tcW w:w="10937" w:type="dxa"/>
            <w:gridSpan w:val="28"/>
            <w:shd w:val="clear" w:color="auto" w:fill="99CCFF"/>
          </w:tcPr>
          <w:p w:rsidR="00F10F4F" w:rsidRPr="00F10F4F" w:rsidRDefault="00F10F4F" w:rsidP="00F10F4F">
            <w:pPr>
              <w:widowControl/>
              <w:numPr>
                <w:ilvl w:val="0"/>
                <w:numId w:val="45"/>
              </w:numPr>
              <w:autoSpaceDE/>
              <w:autoSpaceDN/>
              <w:adjustRightInd/>
              <w:spacing w:before="60" w:after="60" w:line="240" w:lineRule="auto"/>
              <w:ind w:left="318" w:hanging="284"/>
              <w:jc w:val="left"/>
              <w:rPr>
                <w:rFonts w:eastAsia="Calibri" w:cs="Times New Roman"/>
                <w:b/>
                <w:sz w:val="22"/>
                <w:szCs w:val="22"/>
                <w:lang w:eastAsia="en-US"/>
              </w:rPr>
            </w:pPr>
            <w:r w:rsidRPr="00F10F4F">
              <w:rPr>
                <w:rFonts w:eastAsia="Calibri" w:cs="Times New Roman"/>
                <w:b/>
                <w:spacing w:val="-2"/>
                <w:sz w:val="21"/>
                <w:szCs w:val="21"/>
                <w:lang w:eastAsia="en-US"/>
              </w:rPr>
              <w:t>Planowane wykonanie przepisów aktu prawnego.</w:t>
            </w:r>
          </w:p>
        </w:tc>
      </w:tr>
      <w:tr w:rsidR="00F10F4F" w:rsidRPr="00F10F4F" w:rsidTr="00CE46B1">
        <w:trPr>
          <w:gridAfter w:val="1"/>
          <w:wAfter w:w="10" w:type="dxa"/>
          <w:trHeight w:val="142"/>
        </w:trPr>
        <w:tc>
          <w:tcPr>
            <w:tcW w:w="10937" w:type="dxa"/>
            <w:gridSpan w:val="28"/>
            <w:shd w:val="clear" w:color="auto" w:fill="FFFFFF"/>
          </w:tcPr>
          <w:p w:rsidR="00F10F4F" w:rsidRPr="00F10F4F" w:rsidRDefault="00F10F4F" w:rsidP="00F10F4F">
            <w:pPr>
              <w:widowControl/>
              <w:autoSpaceDE/>
              <w:autoSpaceDN/>
              <w:adjustRightInd/>
              <w:spacing w:line="240" w:lineRule="auto"/>
              <w:rPr>
                <w:rFonts w:eastAsia="Calibri" w:cs="Times New Roman"/>
                <w:spacing w:val="-2"/>
                <w:sz w:val="22"/>
                <w:szCs w:val="22"/>
                <w:lang w:eastAsia="en-US"/>
              </w:rPr>
            </w:pPr>
            <w:r w:rsidRPr="00F10F4F">
              <w:rPr>
                <w:rFonts w:eastAsia="Calibri" w:cs="Times New Roman"/>
                <w:spacing w:val="-2"/>
                <w:sz w:val="22"/>
                <w:szCs w:val="22"/>
                <w:lang w:eastAsia="en-US"/>
              </w:rPr>
              <w:t xml:space="preserve">Przepisy projektu będą miały zastosowanie od dnia jego wejścia w życie. </w:t>
            </w:r>
          </w:p>
        </w:tc>
      </w:tr>
      <w:tr w:rsidR="00F10F4F" w:rsidRPr="00F10F4F" w:rsidTr="00CE46B1">
        <w:trPr>
          <w:gridAfter w:val="1"/>
          <w:wAfter w:w="10" w:type="dxa"/>
          <w:trHeight w:val="142"/>
        </w:trPr>
        <w:tc>
          <w:tcPr>
            <w:tcW w:w="10937" w:type="dxa"/>
            <w:gridSpan w:val="28"/>
            <w:shd w:val="clear" w:color="auto" w:fill="99CCFF"/>
          </w:tcPr>
          <w:p w:rsidR="00F10F4F" w:rsidRPr="00F10F4F" w:rsidRDefault="00F10F4F" w:rsidP="00F10F4F">
            <w:pPr>
              <w:widowControl/>
              <w:numPr>
                <w:ilvl w:val="0"/>
                <w:numId w:val="45"/>
              </w:numPr>
              <w:autoSpaceDE/>
              <w:autoSpaceDN/>
              <w:adjustRightInd/>
              <w:spacing w:before="60" w:after="60" w:line="240" w:lineRule="auto"/>
              <w:ind w:left="318" w:hanging="284"/>
              <w:jc w:val="left"/>
              <w:rPr>
                <w:rFonts w:eastAsia="Calibri" w:cs="Times New Roman"/>
                <w:b/>
                <w:color w:val="000000"/>
                <w:sz w:val="22"/>
                <w:szCs w:val="22"/>
                <w:lang w:eastAsia="en-US"/>
              </w:rPr>
            </w:pPr>
            <w:r w:rsidRPr="00F10F4F">
              <w:rPr>
                <w:rFonts w:eastAsia="Calibri" w:cs="Times New Roman"/>
                <w:b/>
                <w:color w:val="000000"/>
                <w:sz w:val="22"/>
                <w:szCs w:val="22"/>
                <w:lang w:eastAsia="en-US"/>
              </w:rPr>
              <w:t xml:space="preserve"> </w:t>
            </w:r>
            <w:r w:rsidRPr="00F10F4F">
              <w:rPr>
                <w:rFonts w:eastAsia="Calibri" w:cs="Times New Roman"/>
                <w:b/>
                <w:spacing w:val="-2"/>
                <w:sz w:val="21"/>
                <w:szCs w:val="21"/>
                <w:lang w:eastAsia="en-US"/>
              </w:rPr>
              <w:t>W jaki sposób i kiedy nastąpi ewaluacja efektów projektu oraz jakie mierniki zostaną zastosowane?</w:t>
            </w:r>
          </w:p>
        </w:tc>
      </w:tr>
      <w:tr w:rsidR="00F10F4F" w:rsidRPr="00F10F4F" w:rsidTr="00CE46B1">
        <w:trPr>
          <w:gridAfter w:val="1"/>
          <w:wAfter w:w="10" w:type="dxa"/>
          <w:trHeight w:val="142"/>
        </w:trPr>
        <w:tc>
          <w:tcPr>
            <w:tcW w:w="10937" w:type="dxa"/>
            <w:gridSpan w:val="28"/>
            <w:shd w:val="clear" w:color="auto" w:fill="FFFFFF"/>
          </w:tcPr>
          <w:p w:rsidR="00F10F4F" w:rsidRPr="00F10F4F" w:rsidRDefault="00F10F4F" w:rsidP="00F10F4F">
            <w:pPr>
              <w:widowControl/>
              <w:autoSpaceDE/>
              <w:autoSpaceDN/>
              <w:adjustRightInd/>
              <w:spacing w:line="240" w:lineRule="auto"/>
              <w:rPr>
                <w:rFonts w:eastAsia="Calibri" w:cs="Times New Roman"/>
                <w:color w:val="000000"/>
                <w:spacing w:val="-2"/>
                <w:sz w:val="22"/>
                <w:szCs w:val="22"/>
                <w:lang w:eastAsia="en-US"/>
              </w:rPr>
            </w:pPr>
            <w:r w:rsidRPr="00F10F4F">
              <w:rPr>
                <w:rFonts w:eastAsia="Calibri" w:cs="Times New Roman"/>
                <w:color w:val="000000"/>
                <w:spacing w:val="-2"/>
                <w:sz w:val="22"/>
                <w:szCs w:val="22"/>
                <w:lang w:eastAsia="en-US"/>
              </w:rPr>
              <w:t xml:space="preserve">Z uwagi na cel regulacji nie zachodzi konieczność dokonania oceny </w:t>
            </w:r>
            <w:r w:rsidRPr="00F10F4F">
              <w:rPr>
                <w:rFonts w:eastAsia="Calibri" w:cs="Times New Roman"/>
                <w:i/>
                <w:color w:val="000000"/>
                <w:spacing w:val="-2"/>
                <w:sz w:val="22"/>
                <w:szCs w:val="22"/>
                <w:lang w:eastAsia="en-US"/>
              </w:rPr>
              <w:t>ex – post</w:t>
            </w:r>
            <w:r w:rsidRPr="00F10F4F">
              <w:rPr>
                <w:rFonts w:eastAsia="Calibri" w:cs="Times New Roman"/>
                <w:color w:val="000000"/>
                <w:spacing w:val="-2"/>
                <w:sz w:val="22"/>
                <w:szCs w:val="22"/>
                <w:lang w:eastAsia="en-US"/>
              </w:rPr>
              <w:t xml:space="preserve"> regulacji. </w:t>
            </w:r>
          </w:p>
        </w:tc>
      </w:tr>
      <w:tr w:rsidR="00F10F4F" w:rsidRPr="00F10F4F" w:rsidTr="00CE46B1">
        <w:trPr>
          <w:gridAfter w:val="1"/>
          <w:wAfter w:w="10" w:type="dxa"/>
          <w:trHeight w:val="142"/>
        </w:trPr>
        <w:tc>
          <w:tcPr>
            <w:tcW w:w="10937" w:type="dxa"/>
            <w:gridSpan w:val="28"/>
            <w:shd w:val="clear" w:color="auto" w:fill="99CCFF"/>
          </w:tcPr>
          <w:p w:rsidR="00F10F4F" w:rsidRPr="00F10F4F" w:rsidRDefault="00F10F4F" w:rsidP="00F10F4F">
            <w:pPr>
              <w:widowControl/>
              <w:numPr>
                <w:ilvl w:val="0"/>
                <w:numId w:val="45"/>
              </w:numPr>
              <w:autoSpaceDE/>
              <w:autoSpaceDN/>
              <w:adjustRightInd/>
              <w:spacing w:before="60" w:after="60" w:line="240" w:lineRule="auto"/>
              <w:ind w:left="318" w:hanging="284"/>
              <w:jc w:val="left"/>
              <w:rPr>
                <w:rFonts w:eastAsia="Calibri" w:cs="Times New Roman"/>
                <w:b/>
                <w:color w:val="000000"/>
                <w:spacing w:val="-2"/>
                <w:sz w:val="22"/>
                <w:szCs w:val="22"/>
                <w:lang w:eastAsia="en-US"/>
              </w:rPr>
            </w:pPr>
            <w:r w:rsidRPr="00F10F4F">
              <w:rPr>
                <w:rFonts w:eastAsia="Calibri" w:cs="Times New Roman"/>
                <w:b/>
                <w:color w:val="000000"/>
                <w:spacing w:val="-2"/>
                <w:sz w:val="22"/>
                <w:szCs w:val="22"/>
                <w:lang w:eastAsia="en-US"/>
              </w:rPr>
              <w:t xml:space="preserve">Załączniki </w:t>
            </w:r>
            <w:r w:rsidRPr="00F10F4F">
              <w:rPr>
                <w:rFonts w:eastAsia="Calibri" w:cs="Times New Roman"/>
                <w:b/>
                <w:spacing w:val="-2"/>
                <w:sz w:val="21"/>
                <w:szCs w:val="21"/>
                <w:lang w:eastAsia="en-US"/>
              </w:rPr>
              <w:t>(istotne dokumenty źródłowe, badania, analizy itp.</w:t>
            </w:r>
            <w:r w:rsidRPr="00F10F4F">
              <w:rPr>
                <w:rFonts w:eastAsia="Calibri" w:cs="Times New Roman"/>
                <w:b/>
                <w:color w:val="000000"/>
                <w:spacing w:val="-2"/>
                <w:sz w:val="22"/>
                <w:szCs w:val="22"/>
                <w:lang w:eastAsia="en-US"/>
              </w:rPr>
              <w:t xml:space="preserve">). </w:t>
            </w:r>
          </w:p>
        </w:tc>
      </w:tr>
      <w:tr w:rsidR="00F10F4F" w:rsidRPr="00F10F4F" w:rsidTr="00CE46B1">
        <w:trPr>
          <w:gridAfter w:val="1"/>
          <w:wAfter w:w="10" w:type="dxa"/>
          <w:trHeight w:val="142"/>
        </w:trPr>
        <w:tc>
          <w:tcPr>
            <w:tcW w:w="10937" w:type="dxa"/>
            <w:gridSpan w:val="28"/>
            <w:shd w:val="clear" w:color="auto" w:fill="FFFFFF"/>
          </w:tcPr>
          <w:p w:rsidR="00F10F4F" w:rsidRPr="00F10F4F" w:rsidRDefault="00F10F4F" w:rsidP="00F10F4F">
            <w:pPr>
              <w:widowControl/>
              <w:autoSpaceDE/>
              <w:autoSpaceDN/>
              <w:adjustRightInd/>
              <w:spacing w:line="240" w:lineRule="auto"/>
              <w:rPr>
                <w:rFonts w:eastAsia="Calibri" w:cs="Times New Roman"/>
                <w:color w:val="000000"/>
                <w:spacing w:val="-2"/>
                <w:sz w:val="22"/>
                <w:szCs w:val="22"/>
                <w:lang w:eastAsia="en-US"/>
              </w:rPr>
            </w:pPr>
            <w:r w:rsidRPr="00F10F4F">
              <w:rPr>
                <w:rFonts w:eastAsia="Calibri" w:cs="Times New Roman"/>
                <w:color w:val="000000"/>
                <w:spacing w:val="-2"/>
                <w:sz w:val="22"/>
                <w:szCs w:val="22"/>
                <w:lang w:eastAsia="en-US"/>
              </w:rPr>
              <w:t>Brak</w:t>
            </w:r>
          </w:p>
        </w:tc>
      </w:tr>
    </w:tbl>
    <w:p w:rsidR="00F10F4F" w:rsidRPr="00F10F4F" w:rsidRDefault="00F10F4F" w:rsidP="00F10F4F">
      <w:pPr>
        <w:widowControl/>
        <w:autoSpaceDE/>
        <w:autoSpaceDN/>
        <w:adjustRightInd/>
        <w:spacing w:line="240" w:lineRule="auto"/>
        <w:rPr>
          <w:rFonts w:eastAsia="Calibri" w:cs="Times New Roman"/>
          <w:color w:val="000000"/>
          <w:sz w:val="22"/>
          <w:szCs w:val="22"/>
          <w:lang w:eastAsia="en-US"/>
        </w:rPr>
      </w:pPr>
    </w:p>
    <w:p w:rsidR="00F10F4F" w:rsidRPr="00F10F4F" w:rsidRDefault="00F10F4F" w:rsidP="00F10F4F">
      <w:pPr>
        <w:widowControl/>
        <w:autoSpaceDE/>
        <w:autoSpaceDN/>
        <w:adjustRightInd/>
        <w:spacing w:line="240" w:lineRule="auto"/>
        <w:rPr>
          <w:rFonts w:eastAsia="Calibri" w:cs="Times New Roman"/>
          <w:color w:val="000000"/>
          <w:sz w:val="22"/>
          <w:szCs w:val="22"/>
          <w:lang w:eastAsia="en-US"/>
        </w:rPr>
      </w:pPr>
    </w:p>
    <w:p w:rsidR="00DF647C" w:rsidRDefault="00DF647C" w:rsidP="0006454F">
      <w:pPr>
        <w:pStyle w:val="OZNRODZAKTUtznustawalubrozporzdzenieiorganwydajcy"/>
        <w:rPr>
          <w:b w:val="0"/>
        </w:rPr>
      </w:pPr>
    </w:p>
    <w:sectPr w:rsidR="00DF647C" w:rsidSect="00F10F4F">
      <w:headerReference w:type="default" r:id="rId12"/>
      <w:pgSz w:w="11906" w:h="16838"/>
      <w:pgMar w:top="526" w:right="707" w:bottom="568" w:left="720"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34F1" w:rsidRDefault="004834F1">
      <w:r>
        <w:separator/>
      </w:r>
    </w:p>
  </w:endnote>
  <w:endnote w:type="continuationSeparator" w:id="0">
    <w:p w:rsidR="004834F1" w:rsidRDefault="00483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34F1" w:rsidRDefault="004834F1">
      <w:r>
        <w:separator/>
      </w:r>
    </w:p>
  </w:footnote>
  <w:footnote w:type="continuationSeparator" w:id="0">
    <w:p w:rsidR="004834F1" w:rsidRDefault="004834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B0A" w:rsidRPr="00B371CC" w:rsidRDefault="007D1C64" w:rsidP="00B371CC">
    <w:pPr>
      <w:pStyle w:val="Nagwek"/>
      <w:jc w:val="center"/>
    </w:pPr>
    <w:r>
      <w:t>–</w:t>
    </w:r>
    <w:r w:rsidR="00AB0B0A">
      <w:t xml:space="preserve"> </w:t>
    </w:r>
    <w:r w:rsidR="00615772">
      <w:fldChar w:fldCharType="begin"/>
    </w:r>
    <w:r w:rsidR="00AB0B0A">
      <w:instrText xml:space="preserve"> PAGE  \* MERGEFORMAT </w:instrText>
    </w:r>
    <w:r w:rsidR="00615772">
      <w:fldChar w:fldCharType="separate"/>
    </w:r>
    <w:r>
      <w:rPr>
        <w:noProof/>
      </w:rPr>
      <w:t>2</w:t>
    </w:r>
    <w:r w:rsidR="00615772">
      <w:rPr>
        <w:noProof/>
      </w:rPr>
      <w:fldChar w:fldCharType="end"/>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E3D" w:rsidRPr="00B371CC" w:rsidRDefault="00DF647C" w:rsidP="00B371CC">
    <w:pPr>
      <w:pStyle w:val="Nagwek"/>
      <w:jc w:val="center"/>
    </w:pPr>
    <w:r>
      <w:t xml:space="preserve">– </w:t>
    </w:r>
    <w:r>
      <w:fldChar w:fldCharType="begin"/>
    </w:r>
    <w:r>
      <w:instrText xml:space="preserve"> PAGE  \* MERGEFORMAT </w:instrText>
    </w:r>
    <w:r>
      <w:fldChar w:fldCharType="separate"/>
    </w:r>
    <w:r w:rsidR="0006454F">
      <w:rPr>
        <w:noProof/>
      </w:rPr>
      <w:t>4</w:t>
    </w:r>
    <w:r>
      <w:rPr>
        <w:noProof/>
      </w:rPr>
      <w:fldChar w:fldCharType="end"/>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E3D" w:rsidRPr="00B371CC" w:rsidRDefault="0006454F" w:rsidP="00B371CC">
    <w:pPr>
      <w:pStyle w:val="Nagwek"/>
      <w:jc w:val="center"/>
    </w:pPr>
    <w:r>
      <w:t xml:space="preserve">– </w:t>
    </w:r>
    <w:r>
      <w:fldChar w:fldCharType="begin"/>
    </w:r>
    <w:r>
      <w:instrText xml:space="preserve"> PAGE  \* MERGEFORMAT </w:instrText>
    </w:r>
    <w:r>
      <w:fldChar w:fldCharType="separate"/>
    </w:r>
    <w:r w:rsidR="00DF68C2">
      <w:rPr>
        <w:noProof/>
      </w:rPr>
      <w:t>4</w:t>
    </w:r>
    <w:r>
      <w:rPr>
        <w:noProof/>
      </w:rPr>
      <w:fldChar w:fldCharType="end"/>
    </w: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0F4F" w:rsidRPr="00B371CC" w:rsidRDefault="00F10F4F" w:rsidP="00B371CC">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240193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3A5A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9C4BF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DA059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812A6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215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1ECF9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C9E5E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BE2F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6ACB44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A3C1CEF"/>
    <w:multiLevelType w:val="hybridMultilevel"/>
    <w:tmpl w:val="441E7FB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9"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2"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4" w15:restartNumberingAfterBreak="0">
    <w:nsid w:val="6A255966"/>
    <w:multiLevelType w:val="hybridMultilevel"/>
    <w:tmpl w:val="E0F8060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5"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E185CF0"/>
    <w:multiLevelType w:val="hybridMultilevel"/>
    <w:tmpl w:val="5D6EDA8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9"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40"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24"/>
  </w:num>
  <w:num w:numId="3">
    <w:abstractNumId w:val="19"/>
  </w:num>
  <w:num w:numId="4">
    <w:abstractNumId w:val="19"/>
  </w:num>
  <w:num w:numId="5">
    <w:abstractNumId w:val="39"/>
  </w:num>
  <w:num w:numId="6">
    <w:abstractNumId w:val="33"/>
  </w:num>
  <w:num w:numId="7">
    <w:abstractNumId w:val="39"/>
  </w:num>
  <w:num w:numId="8">
    <w:abstractNumId w:val="33"/>
  </w:num>
  <w:num w:numId="9">
    <w:abstractNumId w:val="39"/>
  </w:num>
  <w:num w:numId="10">
    <w:abstractNumId w:val="33"/>
  </w:num>
  <w:num w:numId="11">
    <w:abstractNumId w:val="14"/>
  </w:num>
  <w:num w:numId="12">
    <w:abstractNumId w:val="10"/>
  </w:num>
  <w:num w:numId="13">
    <w:abstractNumId w:val="16"/>
  </w:num>
  <w:num w:numId="14">
    <w:abstractNumId w:val="28"/>
  </w:num>
  <w:num w:numId="15">
    <w:abstractNumId w:val="14"/>
  </w:num>
  <w:num w:numId="16">
    <w:abstractNumId w:val="17"/>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6"/>
  </w:num>
  <w:num w:numId="28">
    <w:abstractNumId w:val="27"/>
  </w:num>
  <w:num w:numId="29">
    <w:abstractNumId w:val="40"/>
  </w:num>
  <w:num w:numId="30">
    <w:abstractNumId w:val="35"/>
  </w:num>
  <w:num w:numId="31">
    <w:abstractNumId w:val="20"/>
  </w:num>
  <w:num w:numId="32">
    <w:abstractNumId w:val="11"/>
  </w:num>
  <w:num w:numId="33">
    <w:abstractNumId w:val="32"/>
  </w:num>
  <w:num w:numId="34">
    <w:abstractNumId w:val="21"/>
  </w:num>
  <w:num w:numId="35">
    <w:abstractNumId w:val="18"/>
  </w:num>
  <w:num w:numId="36">
    <w:abstractNumId w:val="23"/>
  </w:num>
  <w:num w:numId="37">
    <w:abstractNumId w:val="29"/>
  </w:num>
  <w:num w:numId="38">
    <w:abstractNumId w:val="26"/>
  </w:num>
  <w:num w:numId="39">
    <w:abstractNumId w:val="13"/>
  </w:num>
  <w:num w:numId="40">
    <w:abstractNumId w:val="31"/>
  </w:num>
  <w:num w:numId="41">
    <w:abstractNumId w:val="30"/>
  </w:num>
  <w:num w:numId="42">
    <w:abstractNumId w:val="22"/>
  </w:num>
  <w:num w:numId="43">
    <w:abstractNumId w:val="38"/>
  </w:num>
  <w:num w:numId="44">
    <w:abstractNumId w:val="12"/>
  </w:num>
  <w:num w:numId="45">
    <w:abstractNumId w:val="25"/>
  </w:num>
  <w:num w:numId="46">
    <w:abstractNumId w:val="37"/>
  </w:num>
  <w:num w:numId="47">
    <w:abstractNumId w:val="15"/>
  </w:num>
  <w:num w:numId="4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styleLockQFSet/>
  <w:defaultTabStop w:val="708"/>
  <w:hyphenationZone w:val="425"/>
  <w:drawingGridHorizontalSpacing w:val="187"/>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F1"/>
    <w:rsid w:val="000012DA"/>
    <w:rsid w:val="00012A35"/>
    <w:rsid w:val="00016099"/>
    <w:rsid w:val="00023471"/>
    <w:rsid w:val="00023F13"/>
    <w:rsid w:val="00030634"/>
    <w:rsid w:val="00037E1A"/>
    <w:rsid w:val="00047312"/>
    <w:rsid w:val="0005339C"/>
    <w:rsid w:val="0005571B"/>
    <w:rsid w:val="00057AB3"/>
    <w:rsid w:val="00060076"/>
    <w:rsid w:val="00060432"/>
    <w:rsid w:val="00060D87"/>
    <w:rsid w:val="0006454F"/>
    <w:rsid w:val="00064E4C"/>
    <w:rsid w:val="00066901"/>
    <w:rsid w:val="0007533B"/>
    <w:rsid w:val="000760BF"/>
    <w:rsid w:val="0007613E"/>
    <w:rsid w:val="000814A7"/>
    <w:rsid w:val="0008557B"/>
    <w:rsid w:val="00091BA2"/>
    <w:rsid w:val="000944EF"/>
    <w:rsid w:val="000973F0"/>
    <w:rsid w:val="000A1C27"/>
    <w:rsid w:val="000A1DAD"/>
    <w:rsid w:val="000A2649"/>
    <w:rsid w:val="000A323B"/>
    <w:rsid w:val="000B298D"/>
    <w:rsid w:val="000B5B2D"/>
    <w:rsid w:val="000B5DCE"/>
    <w:rsid w:val="000C05BA"/>
    <w:rsid w:val="000C0E8F"/>
    <w:rsid w:val="000D318A"/>
    <w:rsid w:val="000D6173"/>
    <w:rsid w:val="000E25CC"/>
    <w:rsid w:val="000F3D0D"/>
    <w:rsid w:val="000F6ED4"/>
    <w:rsid w:val="000F7A6E"/>
    <w:rsid w:val="001042BA"/>
    <w:rsid w:val="00106D03"/>
    <w:rsid w:val="00110465"/>
    <w:rsid w:val="00110628"/>
    <w:rsid w:val="0011245A"/>
    <w:rsid w:val="0011257D"/>
    <w:rsid w:val="0011493E"/>
    <w:rsid w:val="00115B72"/>
    <w:rsid w:val="00120A9E"/>
    <w:rsid w:val="00134CA0"/>
    <w:rsid w:val="0014026F"/>
    <w:rsid w:val="0015742A"/>
    <w:rsid w:val="00164C57"/>
    <w:rsid w:val="00164C9D"/>
    <w:rsid w:val="00173150"/>
    <w:rsid w:val="00173BB3"/>
    <w:rsid w:val="001740D0"/>
    <w:rsid w:val="00174F2C"/>
    <w:rsid w:val="00186EC1"/>
    <w:rsid w:val="00191E1F"/>
    <w:rsid w:val="00197649"/>
    <w:rsid w:val="001A10E9"/>
    <w:rsid w:val="001A183D"/>
    <w:rsid w:val="001A3CD3"/>
    <w:rsid w:val="001A5BEF"/>
    <w:rsid w:val="001A7F15"/>
    <w:rsid w:val="001C188C"/>
    <w:rsid w:val="001D1783"/>
    <w:rsid w:val="001D55A3"/>
    <w:rsid w:val="001E4E0C"/>
    <w:rsid w:val="001E526D"/>
    <w:rsid w:val="001F220F"/>
    <w:rsid w:val="001F6616"/>
    <w:rsid w:val="00202BD4"/>
    <w:rsid w:val="00204A97"/>
    <w:rsid w:val="002114EF"/>
    <w:rsid w:val="002166AD"/>
    <w:rsid w:val="00221ED8"/>
    <w:rsid w:val="00223FDF"/>
    <w:rsid w:val="002279C0"/>
    <w:rsid w:val="002501A3"/>
    <w:rsid w:val="0025166C"/>
    <w:rsid w:val="00260E8C"/>
    <w:rsid w:val="00264EC6"/>
    <w:rsid w:val="00271013"/>
    <w:rsid w:val="002765B4"/>
    <w:rsid w:val="00276A94"/>
    <w:rsid w:val="0029405D"/>
    <w:rsid w:val="00295A6F"/>
    <w:rsid w:val="002A20C4"/>
    <w:rsid w:val="002A7358"/>
    <w:rsid w:val="002A7902"/>
    <w:rsid w:val="002B0F6B"/>
    <w:rsid w:val="002B23B8"/>
    <w:rsid w:val="002B68A6"/>
    <w:rsid w:val="002E1DE3"/>
    <w:rsid w:val="002E2AB6"/>
    <w:rsid w:val="002E3F34"/>
    <w:rsid w:val="002E64FA"/>
    <w:rsid w:val="002F0A00"/>
    <w:rsid w:val="002F669F"/>
    <w:rsid w:val="0031004C"/>
    <w:rsid w:val="003113BE"/>
    <w:rsid w:val="003148FD"/>
    <w:rsid w:val="00321080"/>
    <w:rsid w:val="00325A1F"/>
    <w:rsid w:val="00334E3A"/>
    <w:rsid w:val="003361DD"/>
    <w:rsid w:val="00360929"/>
    <w:rsid w:val="003674B0"/>
    <w:rsid w:val="0037727C"/>
    <w:rsid w:val="00380904"/>
    <w:rsid w:val="003823EE"/>
    <w:rsid w:val="00382960"/>
    <w:rsid w:val="003846F7"/>
    <w:rsid w:val="00386785"/>
    <w:rsid w:val="00391B1A"/>
    <w:rsid w:val="00396E3E"/>
    <w:rsid w:val="003A306E"/>
    <w:rsid w:val="003A6A46"/>
    <w:rsid w:val="003A7A63"/>
    <w:rsid w:val="003B0F1D"/>
    <w:rsid w:val="003C0AD9"/>
    <w:rsid w:val="003C0ED0"/>
    <w:rsid w:val="003C35C4"/>
    <w:rsid w:val="003D31B9"/>
    <w:rsid w:val="003E2DA3"/>
    <w:rsid w:val="003F03D9"/>
    <w:rsid w:val="003F2FBE"/>
    <w:rsid w:val="00401C84"/>
    <w:rsid w:val="004035BB"/>
    <w:rsid w:val="00421085"/>
    <w:rsid w:val="00424DF7"/>
    <w:rsid w:val="00432B76"/>
    <w:rsid w:val="00435D26"/>
    <w:rsid w:val="00445F4D"/>
    <w:rsid w:val="004504C0"/>
    <w:rsid w:val="00462946"/>
    <w:rsid w:val="00464B94"/>
    <w:rsid w:val="004653A8"/>
    <w:rsid w:val="00465A0B"/>
    <w:rsid w:val="0047077C"/>
    <w:rsid w:val="00472CD6"/>
    <w:rsid w:val="00480A58"/>
    <w:rsid w:val="00482529"/>
    <w:rsid w:val="004834F1"/>
    <w:rsid w:val="00485FAD"/>
    <w:rsid w:val="00492A3F"/>
    <w:rsid w:val="00494F62"/>
    <w:rsid w:val="004B00A7"/>
    <w:rsid w:val="004B25E2"/>
    <w:rsid w:val="004B34D7"/>
    <w:rsid w:val="004B5037"/>
    <w:rsid w:val="004B5B2F"/>
    <w:rsid w:val="004B626A"/>
    <w:rsid w:val="004C05BD"/>
    <w:rsid w:val="004C3F97"/>
    <w:rsid w:val="004D2E1F"/>
    <w:rsid w:val="004D7FD9"/>
    <w:rsid w:val="004E37E5"/>
    <w:rsid w:val="004F296D"/>
    <w:rsid w:val="004F508B"/>
    <w:rsid w:val="004F695F"/>
    <w:rsid w:val="00500752"/>
    <w:rsid w:val="0050696D"/>
    <w:rsid w:val="00511D99"/>
    <w:rsid w:val="005128D3"/>
    <w:rsid w:val="005158F2"/>
    <w:rsid w:val="00526DFC"/>
    <w:rsid w:val="00527651"/>
    <w:rsid w:val="005363AB"/>
    <w:rsid w:val="00545E53"/>
    <w:rsid w:val="005479D9"/>
    <w:rsid w:val="005572BD"/>
    <w:rsid w:val="00557A12"/>
    <w:rsid w:val="00560AC7"/>
    <w:rsid w:val="00561AFB"/>
    <w:rsid w:val="005635ED"/>
    <w:rsid w:val="00570570"/>
    <w:rsid w:val="00572512"/>
    <w:rsid w:val="00573EE6"/>
    <w:rsid w:val="0057547F"/>
    <w:rsid w:val="00576497"/>
    <w:rsid w:val="005835E7"/>
    <w:rsid w:val="0058397F"/>
    <w:rsid w:val="00585F33"/>
    <w:rsid w:val="00597024"/>
    <w:rsid w:val="005A669D"/>
    <w:rsid w:val="005A75D8"/>
    <w:rsid w:val="005B713E"/>
    <w:rsid w:val="005C03B6"/>
    <w:rsid w:val="005D3763"/>
    <w:rsid w:val="005D55E1"/>
    <w:rsid w:val="005E19F7"/>
    <w:rsid w:val="005E62C2"/>
    <w:rsid w:val="005F2EBA"/>
    <w:rsid w:val="005F35ED"/>
    <w:rsid w:val="005F7A88"/>
    <w:rsid w:val="006046D5"/>
    <w:rsid w:val="00610C08"/>
    <w:rsid w:val="00615772"/>
    <w:rsid w:val="00621256"/>
    <w:rsid w:val="00622E4B"/>
    <w:rsid w:val="00635134"/>
    <w:rsid w:val="00642A65"/>
    <w:rsid w:val="00645DCE"/>
    <w:rsid w:val="006465AC"/>
    <w:rsid w:val="00653B22"/>
    <w:rsid w:val="00657BF4"/>
    <w:rsid w:val="006623AC"/>
    <w:rsid w:val="00680058"/>
    <w:rsid w:val="00681B8C"/>
    <w:rsid w:val="006840EA"/>
    <w:rsid w:val="00685267"/>
    <w:rsid w:val="006872AE"/>
    <w:rsid w:val="006946BB"/>
    <w:rsid w:val="006969FA"/>
    <w:rsid w:val="006C4A31"/>
    <w:rsid w:val="006D45B2"/>
    <w:rsid w:val="006E0FCC"/>
    <w:rsid w:val="006E5E21"/>
    <w:rsid w:val="006F2648"/>
    <w:rsid w:val="006F2F10"/>
    <w:rsid w:val="006F482B"/>
    <w:rsid w:val="006F6311"/>
    <w:rsid w:val="00711221"/>
    <w:rsid w:val="00712675"/>
    <w:rsid w:val="00713808"/>
    <w:rsid w:val="007151B6"/>
    <w:rsid w:val="0071520D"/>
    <w:rsid w:val="00715EDB"/>
    <w:rsid w:val="007160D5"/>
    <w:rsid w:val="00717C2E"/>
    <w:rsid w:val="0072457F"/>
    <w:rsid w:val="0072621B"/>
    <w:rsid w:val="00730555"/>
    <w:rsid w:val="007312CC"/>
    <w:rsid w:val="00736F68"/>
    <w:rsid w:val="007410B6"/>
    <w:rsid w:val="00744C6F"/>
    <w:rsid w:val="00746E38"/>
    <w:rsid w:val="00753B51"/>
    <w:rsid w:val="0076260A"/>
    <w:rsid w:val="00764A67"/>
    <w:rsid w:val="00770F6B"/>
    <w:rsid w:val="00771883"/>
    <w:rsid w:val="00776DC2"/>
    <w:rsid w:val="00780122"/>
    <w:rsid w:val="0078214B"/>
    <w:rsid w:val="00792207"/>
    <w:rsid w:val="00792B64"/>
    <w:rsid w:val="00792E29"/>
    <w:rsid w:val="007A5150"/>
    <w:rsid w:val="007A5373"/>
    <w:rsid w:val="007B75BC"/>
    <w:rsid w:val="007C0BD6"/>
    <w:rsid w:val="007C3806"/>
    <w:rsid w:val="007C5BB7"/>
    <w:rsid w:val="007D1C64"/>
    <w:rsid w:val="007D6DCE"/>
    <w:rsid w:val="007E2CFE"/>
    <w:rsid w:val="007F0072"/>
    <w:rsid w:val="007F2EB6"/>
    <w:rsid w:val="007F54C3"/>
    <w:rsid w:val="00812BE5"/>
    <w:rsid w:val="00817429"/>
    <w:rsid w:val="00827820"/>
    <w:rsid w:val="00831B8B"/>
    <w:rsid w:val="008352D4"/>
    <w:rsid w:val="008415B0"/>
    <w:rsid w:val="008460B6"/>
    <w:rsid w:val="00852B59"/>
    <w:rsid w:val="00853780"/>
    <w:rsid w:val="008611DD"/>
    <w:rsid w:val="00866867"/>
    <w:rsid w:val="00872257"/>
    <w:rsid w:val="0087738C"/>
    <w:rsid w:val="008802AF"/>
    <w:rsid w:val="0088318F"/>
    <w:rsid w:val="0088331D"/>
    <w:rsid w:val="008852B0"/>
    <w:rsid w:val="008852C4"/>
    <w:rsid w:val="00886B60"/>
    <w:rsid w:val="008920FF"/>
    <w:rsid w:val="00896A10"/>
    <w:rsid w:val="008A5D26"/>
    <w:rsid w:val="008A6B13"/>
    <w:rsid w:val="008B3859"/>
    <w:rsid w:val="008B4E49"/>
    <w:rsid w:val="008B7B26"/>
    <w:rsid w:val="008C4229"/>
    <w:rsid w:val="008C5BE0"/>
    <w:rsid w:val="008C7233"/>
    <w:rsid w:val="008D3C09"/>
    <w:rsid w:val="008E171D"/>
    <w:rsid w:val="008E2785"/>
    <w:rsid w:val="008F0654"/>
    <w:rsid w:val="008F06CB"/>
    <w:rsid w:val="008F612A"/>
    <w:rsid w:val="0090293D"/>
    <w:rsid w:val="009034DE"/>
    <w:rsid w:val="0090605D"/>
    <w:rsid w:val="00913A42"/>
    <w:rsid w:val="009143DB"/>
    <w:rsid w:val="00917CE5"/>
    <w:rsid w:val="00925CEC"/>
    <w:rsid w:val="0092794E"/>
    <w:rsid w:val="0093790B"/>
    <w:rsid w:val="00946DD0"/>
    <w:rsid w:val="00952018"/>
    <w:rsid w:val="00952800"/>
    <w:rsid w:val="0095300D"/>
    <w:rsid w:val="00956812"/>
    <w:rsid w:val="0095719A"/>
    <w:rsid w:val="009623E9"/>
    <w:rsid w:val="009648BC"/>
    <w:rsid w:val="00965F88"/>
    <w:rsid w:val="00984E03"/>
    <w:rsid w:val="00987E85"/>
    <w:rsid w:val="009A0D12"/>
    <w:rsid w:val="009A1987"/>
    <w:rsid w:val="009A2BEE"/>
    <w:rsid w:val="009A5289"/>
    <w:rsid w:val="009B0402"/>
    <w:rsid w:val="009B0B75"/>
    <w:rsid w:val="009B6EF7"/>
    <w:rsid w:val="009B7000"/>
    <w:rsid w:val="009B739C"/>
    <w:rsid w:val="009C7CA6"/>
    <w:rsid w:val="009D3316"/>
    <w:rsid w:val="009D4E85"/>
    <w:rsid w:val="009E3E77"/>
    <w:rsid w:val="009E3FAB"/>
    <w:rsid w:val="009E5B3F"/>
    <w:rsid w:val="009E7D90"/>
    <w:rsid w:val="009F1AB0"/>
    <w:rsid w:val="009F501D"/>
    <w:rsid w:val="00A039D5"/>
    <w:rsid w:val="00A046AD"/>
    <w:rsid w:val="00A079C1"/>
    <w:rsid w:val="00A14769"/>
    <w:rsid w:val="00A16151"/>
    <w:rsid w:val="00A16EC6"/>
    <w:rsid w:val="00A17C06"/>
    <w:rsid w:val="00A21706"/>
    <w:rsid w:val="00A24FCC"/>
    <w:rsid w:val="00A26A90"/>
    <w:rsid w:val="00A26B27"/>
    <w:rsid w:val="00A3310E"/>
    <w:rsid w:val="00A333A0"/>
    <w:rsid w:val="00A37E70"/>
    <w:rsid w:val="00A437E1"/>
    <w:rsid w:val="00A4685E"/>
    <w:rsid w:val="00A50CD4"/>
    <w:rsid w:val="00A5762C"/>
    <w:rsid w:val="00A600FC"/>
    <w:rsid w:val="00A60BCA"/>
    <w:rsid w:val="00A638DA"/>
    <w:rsid w:val="00A65E00"/>
    <w:rsid w:val="00A66A4B"/>
    <w:rsid w:val="00A66A78"/>
    <w:rsid w:val="00A7436E"/>
    <w:rsid w:val="00A75A8E"/>
    <w:rsid w:val="00A83676"/>
    <w:rsid w:val="00A850F3"/>
    <w:rsid w:val="00A864E3"/>
    <w:rsid w:val="00A95936"/>
    <w:rsid w:val="00A96265"/>
    <w:rsid w:val="00A97084"/>
    <w:rsid w:val="00AA1C2C"/>
    <w:rsid w:val="00AA6E91"/>
    <w:rsid w:val="00AB047E"/>
    <w:rsid w:val="00AB0B0A"/>
    <w:rsid w:val="00AB0BB7"/>
    <w:rsid w:val="00AB22C6"/>
    <w:rsid w:val="00AB67FC"/>
    <w:rsid w:val="00AC00F2"/>
    <w:rsid w:val="00AC31B5"/>
    <w:rsid w:val="00AC4EA1"/>
    <w:rsid w:val="00AC5381"/>
    <w:rsid w:val="00AC5920"/>
    <w:rsid w:val="00AD2BF2"/>
    <w:rsid w:val="00AD4E90"/>
    <w:rsid w:val="00AD5422"/>
    <w:rsid w:val="00AE650F"/>
    <w:rsid w:val="00AE7D16"/>
    <w:rsid w:val="00AF571A"/>
    <w:rsid w:val="00B07700"/>
    <w:rsid w:val="00B1528C"/>
    <w:rsid w:val="00B1776A"/>
    <w:rsid w:val="00B21487"/>
    <w:rsid w:val="00B24DB5"/>
    <w:rsid w:val="00B31F9E"/>
    <w:rsid w:val="00B3268F"/>
    <w:rsid w:val="00B33A1A"/>
    <w:rsid w:val="00B371CC"/>
    <w:rsid w:val="00B427E6"/>
    <w:rsid w:val="00B43E1F"/>
    <w:rsid w:val="00B45FBC"/>
    <w:rsid w:val="00B51A7D"/>
    <w:rsid w:val="00B535C2"/>
    <w:rsid w:val="00B55544"/>
    <w:rsid w:val="00B642FC"/>
    <w:rsid w:val="00B70E22"/>
    <w:rsid w:val="00B774CB"/>
    <w:rsid w:val="00B80402"/>
    <w:rsid w:val="00B80B9A"/>
    <w:rsid w:val="00B830B7"/>
    <w:rsid w:val="00B84B2B"/>
    <w:rsid w:val="00B935A4"/>
    <w:rsid w:val="00BB1E19"/>
    <w:rsid w:val="00BB21D1"/>
    <w:rsid w:val="00BB4338"/>
    <w:rsid w:val="00BB6C0E"/>
    <w:rsid w:val="00BC52FD"/>
    <w:rsid w:val="00BC6E62"/>
    <w:rsid w:val="00BD0648"/>
    <w:rsid w:val="00BD1040"/>
    <w:rsid w:val="00BD34AA"/>
    <w:rsid w:val="00BE41EC"/>
    <w:rsid w:val="00BE56FB"/>
    <w:rsid w:val="00BE7F18"/>
    <w:rsid w:val="00BF6589"/>
    <w:rsid w:val="00C00647"/>
    <w:rsid w:val="00C02764"/>
    <w:rsid w:val="00C04CEF"/>
    <w:rsid w:val="00C12E96"/>
    <w:rsid w:val="00C236C8"/>
    <w:rsid w:val="00C26E56"/>
    <w:rsid w:val="00C31406"/>
    <w:rsid w:val="00C40637"/>
    <w:rsid w:val="00C40F6C"/>
    <w:rsid w:val="00C44426"/>
    <w:rsid w:val="00C451F4"/>
    <w:rsid w:val="00C45EB1"/>
    <w:rsid w:val="00C54A3A"/>
    <w:rsid w:val="00C55566"/>
    <w:rsid w:val="00C72223"/>
    <w:rsid w:val="00C76417"/>
    <w:rsid w:val="00C7726F"/>
    <w:rsid w:val="00C8259F"/>
    <w:rsid w:val="00C84C47"/>
    <w:rsid w:val="00C86AFA"/>
    <w:rsid w:val="00CB24F5"/>
    <w:rsid w:val="00CB2663"/>
    <w:rsid w:val="00CB59E9"/>
    <w:rsid w:val="00CC3831"/>
    <w:rsid w:val="00CD5973"/>
    <w:rsid w:val="00CF09AA"/>
    <w:rsid w:val="00CF4813"/>
    <w:rsid w:val="00CF5233"/>
    <w:rsid w:val="00D029B8"/>
    <w:rsid w:val="00D02F60"/>
    <w:rsid w:val="00D07A7B"/>
    <w:rsid w:val="00D10E06"/>
    <w:rsid w:val="00D16820"/>
    <w:rsid w:val="00D301B7"/>
    <w:rsid w:val="00D32721"/>
    <w:rsid w:val="00D328DC"/>
    <w:rsid w:val="00D402FB"/>
    <w:rsid w:val="00D676F3"/>
    <w:rsid w:val="00D70EF5"/>
    <w:rsid w:val="00D71A25"/>
    <w:rsid w:val="00D71FCF"/>
    <w:rsid w:val="00D72A54"/>
    <w:rsid w:val="00D72CC1"/>
    <w:rsid w:val="00D80E7D"/>
    <w:rsid w:val="00D848B9"/>
    <w:rsid w:val="00D90E69"/>
    <w:rsid w:val="00D93106"/>
    <w:rsid w:val="00D933E9"/>
    <w:rsid w:val="00D9505D"/>
    <w:rsid w:val="00D953D0"/>
    <w:rsid w:val="00D959F5"/>
    <w:rsid w:val="00DB1AD2"/>
    <w:rsid w:val="00DB5206"/>
    <w:rsid w:val="00DB6276"/>
    <w:rsid w:val="00DB63F5"/>
    <w:rsid w:val="00DC1C6B"/>
    <w:rsid w:val="00DC2C2E"/>
    <w:rsid w:val="00DC4AF0"/>
    <w:rsid w:val="00DC7886"/>
    <w:rsid w:val="00DD0CF2"/>
    <w:rsid w:val="00DE1554"/>
    <w:rsid w:val="00DE7DC1"/>
    <w:rsid w:val="00DF647C"/>
    <w:rsid w:val="00DF68C2"/>
    <w:rsid w:val="00DF7648"/>
    <w:rsid w:val="00E04CEB"/>
    <w:rsid w:val="00E060BC"/>
    <w:rsid w:val="00E11420"/>
    <w:rsid w:val="00E170B7"/>
    <w:rsid w:val="00E20900"/>
    <w:rsid w:val="00E34A35"/>
    <w:rsid w:val="00E46308"/>
    <w:rsid w:val="00E51E17"/>
    <w:rsid w:val="00E539B0"/>
    <w:rsid w:val="00E55994"/>
    <w:rsid w:val="00E6307C"/>
    <w:rsid w:val="00E636FA"/>
    <w:rsid w:val="00E63BAC"/>
    <w:rsid w:val="00E66C50"/>
    <w:rsid w:val="00E679D3"/>
    <w:rsid w:val="00E71208"/>
    <w:rsid w:val="00E71444"/>
    <w:rsid w:val="00E77057"/>
    <w:rsid w:val="00E773E8"/>
    <w:rsid w:val="00E84F38"/>
    <w:rsid w:val="00E85623"/>
    <w:rsid w:val="00E91FAE"/>
    <w:rsid w:val="00EA532E"/>
    <w:rsid w:val="00EB19ED"/>
    <w:rsid w:val="00EC4CEB"/>
    <w:rsid w:val="00ED2072"/>
    <w:rsid w:val="00ED5553"/>
    <w:rsid w:val="00ED5E36"/>
    <w:rsid w:val="00ED6961"/>
    <w:rsid w:val="00EF0B96"/>
    <w:rsid w:val="00EF47AF"/>
    <w:rsid w:val="00F10F4F"/>
    <w:rsid w:val="00F115CA"/>
    <w:rsid w:val="00F1510F"/>
    <w:rsid w:val="00F15E5A"/>
    <w:rsid w:val="00F2668F"/>
    <w:rsid w:val="00F340B2"/>
    <w:rsid w:val="00F43390"/>
    <w:rsid w:val="00F50237"/>
    <w:rsid w:val="00F55BA8"/>
    <w:rsid w:val="00F56ACA"/>
    <w:rsid w:val="00F600FE"/>
    <w:rsid w:val="00F62E4D"/>
    <w:rsid w:val="00F711C9"/>
    <w:rsid w:val="00F831CB"/>
    <w:rsid w:val="00F848A3"/>
    <w:rsid w:val="00F85BF8"/>
    <w:rsid w:val="00F87802"/>
    <w:rsid w:val="00F92C0A"/>
    <w:rsid w:val="00F9415B"/>
    <w:rsid w:val="00FA13C2"/>
    <w:rsid w:val="00FB121C"/>
    <w:rsid w:val="00FB2C2F"/>
    <w:rsid w:val="00FC2E3D"/>
    <w:rsid w:val="00FD27B6"/>
    <w:rsid w:val="00FD3689"/>
    <w:rsid w:val="00FD42A3"/>
    <w:rsid w:val="00FD7468"/>
    <w:rsid w:val="00FD7CE0"/>
    <w:rsid w:val="00FE1BE2"/>
    <w:rsid w:val="00FE730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0BC8438-FDBD-4CD5-B8B8-31BBEE81C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D4E85"/>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500752"/>
    <w:pPr>
      <w:keepNext/>
      <w:keepLines/>
      <w:numPr>
        <w:numId w:val="38"/>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dres-A6">
    <w:name w:val="Adres-A6"/>
    <w:basedOn w:val="Normalny"/>
    <w:next w:val="Normalny"/>
    <w:uiPriority w:val="99"/>
    <w:semiHidden/>
    <w:rsid w:val="004C3F97"/>
    <w:pPr>
      <w:spacing w:after="600"/>
      <w:ind w:left="5245"/>
    </w:pPr>
  </w:style>
  <w:style w:type="paragraph" w:customStyle="1" w:styleId="ZLITWPKTzmlitwpktartykuempunktem">
    <w:name w:val="Z/LIT_W_PKT – zm. lit. w pkt artykułem (punktem)"/>
    <w:basedOn w:val="LITlitera"/>
    <w:uiPriority w:val="33"/>
    <w:qFormat/>
    <w:rsid w:val="00295A6F"/>
    <w:pPr>
      <w:ind w:left="1497"/>
    </w:pPr>
  </w:style>
  <w:style w:type="paragraph" w:customStyle="1" w:styleId="ZTIRwPKTzmtirwpktartykuempunktem">
    <w:name w:val="Z/TIR_w_PKT – zm. tir. w pkt artykułem (punktem)"/>
    <w:basedOn w:val="TIRtiret"/>
    <w:link w:val="ZTIRwPKTzmtirwpktartykuempunktemZnak"/>
    <w:uiPriority w:val="34"/>
    <w:qFormat/>
    <w:rsid w:val="007E2CFE"/>
    <w:pPr>
      <w:ind w:left="1894"/>
    </w:pPr>
  </w:style>
  <w:style w:type="character" w:customStyle="1" w:styleId="ZTIRwPKTzmtirwpktartykuempunktemZnak">
    <w:name w:val="Z/TIR_w_PKT – zm. tir. w pkt artykułem (punktem) Znak"/>
    <w:basedOn w:val="TIRtiretZnak"/>
    <w:link w:val="ZTIRwPKTzmtirwpktartykuempunktem"/>
    <w:uiPriority w:val="34"/>
    <w:rsid w:val="00A96265"/>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6"/>
    <w:qFormat/>
    <w:rsid w:val="00295A6F"/>
    <w:pPr>
      <w:ind w:left="1021"/>
    </w:pPr>
  </w:style>
  <w:style w:type="paragraph" w:customStyle="1" w:styleId="2TIRpodwjnytiret">
    <w:name w:val="2TIR – podwójny tiret"/>
    <w:basedOn w:val="TIRtiret"/>
    <w:link w:val="2TIRpodwjnytiretZnak"/>
    <w:uiPriority w:val="71"/>
    <w:qFormat/>
    <w:rsid w:val="00295A6F"/>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6"/>
    <w:rsid w:val="00A96265"/>
    <w:rPr>
      <w:rFonts w:eastAsiaTheme="minorEastAsia" w:cs="Arial"/>
      <w:bCs/>
      <w:szCs w:val="20"/>
    </w:rPr>
  </w:style>
  <w:style w:type="character" w:customStyle="1" w:styleId="2TIRpodwjnytiretZnak">
    <w:name w:val="2TIR – podwójny tiret Znak"/>
    <w:basedOn w:val="TIRtiretZnak"/>
    <w:link w:val="2TIRpodwjnytiret"/>
    <w:uiPriority w:val="71"/>
    <w:rsid w:val="0011493E"/>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 w:val="16"/>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4"/>
    <w:qFormat/>
    <w:rsid w:val="00295A6F"/>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7"/>
    <w:qFormat/>
    <w:rsid w:val="00295A6F"/>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7"/>
    <w:rsid w:val="00A96265"/>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4"/>
    <w:qFormat/>
    <w:rsid w:val="00295A6F"/>
  </w:style>
  <w:style w:type="character" w:customStyle="1" w:styleId="ZTIRwLITzmtirwlitartykuempunktemZnak">
    <w:name w:val="Z/TIR_w_LIT – zm. tir. w lit. artykułem (punktem) Znak"/>
    <w:basedOn w:val="TIRtiretZnak"/>
    <w:link w:val="ZTIRwLITzmtirwlitartykuempunktem"/>
    <w:uiPriority w:val="34"/>
    <w:rsid w:val="00A96265"/>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7"/>
    <w:qFormat/>
    <w:rsid w:val="00295A6F"/>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7"/>
    <w:rsid w:val="00A96265"/>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D72CC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paragraph" w:customStyle="1" w:styleId="tekstwtabeli">
    <w:name w:val="tekst w tabeli"/>
    <w:basedOn w:val="Normalny"/>
    <w:link w:val="tekstwtabeliZnak"/>
    <w:uiPriority w:val="99"/>
    <w:semiHidden/>
    <w:qFormat/>
    <w:rsid w:val="004C3F97"/>
    <w:pPr>
      <w:framePr w:hSpace="141" w:wrap="around" w:vAnchor="text" w:hAnchor="margin" w:xAlign="center" w:y="175"/>
      <w:suppressAutoHyphens/>
      <w:autoSpaceDE/>
      <w:autoSpaceDN/>
      <w:adjustRightInd/>
      <w:spacing w:before="120" w:after="120"/>
      <w:jc w:val="center"/>
    </w:pPr>
    <w:rPr>
      <w:kern w:val="1"/>
      <w:lang w:eastAsia="ar-SA"/>
    </w:rPr>
  </w:style>
  <w:style w:type="character" w:customStyle="1" w:styleId="tekstwtabeliZnak">
    <w:name w:val="tekst w tabeli Znak"/>
    <w:link w:val="tekstwtabeli"/>
    <w:uiPriority w:val="99"/>
    <w:semiHidden/>
    <w:rsid w:val="004504C0"/>
    <w:rPr>
      <w:rFonts w:ascii="Arial" w:eastAsiaTheme="minorEastAsia" w:hAnsi="Arial" w:cs="Arial"/>
      <w:kern w:val="1"/>
      <w:sz w:val="20"/>
      <w:szCs w:val="20"/>
      <w:lang w:eastAsia="ar-SA"/>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1"/>
    <w:qFormat/>
    <w:rsid w:val="00295A6F"/>
    <w:pPr>
      <w:ind w:left="1020"/>
    </w:pPr>
  </w:style>
  <w:style w:type="paragraph" w:customStyle="1" w:styleId="ZARTzmartartykuempunktem">
    <w:name w:val="Z/ART(§) – zm. art. (§) artykułem (punktem)"/>
    <w:basedOn w:val="ARTartustawynprozporzdzenia"/>
    <w:uiPriority w:val="30"/>
    <w:qFormat/>
    <w:rsid w:val="00295A6F"/>
    <w:pPr>
      <w:spacing w:before="0"/>
      <w:ind w:left="510"/>
    </w:pPr>
  </w:style>
  <w:style w:type="paragraph" w:customStyle="1" w:styleId="Tabela">
    <w:name w:val="Tabela"/>
    <w:next w:val="Normalny"/>
    <w:uiPriority w:val="99"/>
    <w:semiHidden/>
    <w:rsid w:val="004C3F97"/>
    <w:pPr>
      <w:widowControl w:val="0"/>
      <w:autoSpaceDE w:val="0"/>
      <w:autoSpaceDN w:val="0"/>
      <w:adjustRightInd w:val="0"/>
    </w:pPr>
    <w:rPr>
      <w:rFonts w:ascii="Arial" w:eastAsiaTheme="minorEastAsia" w:hAnsi="Arial" w:cs="Arial"/>
    </w:r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95A6F"/>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D72CC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95A6F"/>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D72CC1"/>
    <w:rPr>
      <w:rFonts w:eastAsiaTheme="minorEastAsia" w:cs="Arial"/>
      <w:b/>
      <w:bCs/>
    </w:rPr>
  </w:style>
  <w:style w:type="paragraph" w:customStyle="1" w:styleId="CZKSIGAoznaczenieiprzedmiotczcilubksigi">
    <w:name w:val="CZĘŚĆ(KSIĘGA) – oznaczenie i przedmiot części lub księgi"/>
    <w:basedOn w:val="Normalny"/>
    <w:next w:val="ARTartustawynprozporzdzenia"/>
    <w:link w:val="CZKSIGAoznaczenieiprzedmiotczcilubksigiZnak"/>
    <w:uiPriority w:val="5"/>
    <w:qFormat/>
    <w:rsid w:val="00295A6F"/>
    <w:pPr>
      <w:keepNext/>
      <w:suppressAutoHyphens/>
      <w:spacing w:before="120"/>
      <w:jc w:val="center"/>
    </w:pPr>
    <w:rPr>
      <w:rFonts w:ascii="Times" w:eastAsia="Times New Roman" w:hAnsi="Times" w:cs="Times New Roman"/>
      <w:b/>
      <w:bCs/>
      <w:caps/>
      <w:kern w:val="24"/>
      <w:szCs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D72CC1"/>
    <w:rPr>
      <w:b/>
      <w:bCs/>
      <w:caps/>
      <w:kern w:val="24"/>
    </w:rPr>
  </w:style>
  <w:style w:type="paragraph" w:customStyle="1" w:styleId="TYTDZPRZEDMprzedmiotregulacjitutuulubdziau">
    <w:name w:val="TYT(DZ)_PRZEDM – przedmiot regulacji tutułu lub działu"/>
    <w:basedOn w:val="Normalny"/>
    <w:next w:val="ARTartustawynprozporzdzenia"/>
    <w:link w:val="TYTDZPRZEDMprzedmiotregulacjitutuulubdziauZnak"/>
    <w:uiPriority w:val="7"/>
    <w:qFormat/>
    <w:rsid w:val="00295A6F"/>
    <w:pPr>
      <w:keepNext/>
      <w:suppressAutoHyphens/>
      <w:spacing w:before="120"/>
      <w:jc w:val="center"/>
    </w:pPr>
    <w:rPr>
      <w:rFonts w:ascii="Times" w:eastAsia="Times New Roman" w:hAnsi="Times" w:cs="Times New Roman"/>
      <w:b/>
      <w:szCs w:val="26"/>
    </w:rPr>
  </w:style>
  <w:style w:type="character" w:customStyle="1" w:styleId="TYTDZPRZEDMprzedmiotregulacjitutuulubdziauZnak">
    <w:name w:val="TYT(DZ)_PRZEDM – przedmiot regulacji tutułu lub działu Znak"/>
    <w:basedOn w:val="Domylnaczcionkaakapitu"/>
    <w:link w:val="TYTDZPRZEDMprzedmiotregulacjitutuulubdziau"/>
    <w:uiPriority w:val="7"/>
    <w:rsid w:val="00D72CC1"/>
    <w:rPr>
      <w:b/>
      <w:szCs w:val="26"/>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95A6F"/>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D72CC1"/>
    <w:rPr>
      <w:rFonts w:eastAsiaTheme="minorEastAsia" w:cs="Arial"/>
      <w:bCs/>
      <w:szCs w:val="20"/>
    </w:rPr>
  </w:style>
  <w:style w:type="paragraph" w:customStyle="1" w:styleId="OZNRODZAKTUtznustawalubrozporzdzenieiorganwydajcy">
    <w:name w:val="OZN_RODZ_AKTU – tzn. ustawa lub rozporządzenie i organ wydający"/>
    <w:basedOn w:val="Normalny"/>
    <w:next w:val="DATAAKTUdatauchwalenialubwydaniaaktu"/>
    <w:link w:val="OZNRODZAKTUtznustawalubrozporzdzenieiorganwydajcyZnak"/>
    <w:uiPriority w:val="5"/>
    <w:qFormat/>
    <w:rsid w:val="005635ED"/>
    <w:pPr>
      <w:keepNext/>
      <w:suppressAutoHyphens/>
      <w:spacing w:after="120"/>
      <w:jc w:val="center"/>
    </w:pPr>
    <w:rPr>
      <w:rFonts w:ascii="Times" w:eastAsia="Times New Roman" w:hAnsi="Times" w:cs="Times New Roman"/>
      <w:b/>
      <w:bCs/>
      <w:caps/>
      <w:spacing w:val="54"/>
      <w:kern w:val="24"/>
      <w:szCs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5635ED"/>
    <w:rPr>
      <w:b/>
      <w:bCs/>
      <w:caps/>
      <w:spacing w:val="54"/>
      <w:kern w:val="24"/>
    </w:rPr>
  </w:style>
  <w:style w:type="paragraph" w:customStyle="1" w:styleId="USTustnpkodeksu">
    <w:name w:val="UST(§) – ust. (§ np. kodeksu)"/>
    <w:basedOn w:val="ARTartustawynprozporzdzenia"/>
    <w:link w:val="USTustnpkodeksuZnak"/>
    <w:uiPriority w:val="15"/>
    <w:qFormat/>
    <w:rsid w:val="00295A6F"/>
    <w:pPr>
      <w:spacing w:before="0"/>
    </w:pPr>
    <w:rPr>
      <w:bCs/>
    </w:rPr>
  </w:style>
  <w:style w:type="character" w:customStyle="1" w:styleId="USTustnpkodeksuZnak">
    <w:name w:val="UST(§) – ust. (§ np. kodeksu) Znak"/>
    <w:basedOn w:val="ARTartustawynprozporzdzeniaZnak"/>
    <w:link w:val="USTustnpkodeksu"/>
    <w:uiPriority w:val="15"/>
    <w:rsid w:val="00D72CC1"/>
    <w:rPr>
      <w:rFonts w:eastAsiaTheme="minorEastAsia" w:cs="Arial"/>
      <w:bCs/>
      <w:szCs w:val="20"/>
    </w:rPr>
  </w:style>
  <w:style w:type="paragraph" w:customStyle="1" w:styleId="PKTpunkt">
    <w:name w:val="PKT – punkt"/>
    <w:basedOn w:val="USTustnpkodeksu"/>
    <w:link w:val="PKTpunktZnak"/>
    <w:uiPriority w:val="13"/>
    <w:qFormat/>
    <w:rsid w:val="00295A6F"/>
    <w:pPr>
      <w:ind w:left="510" w:hanging="510"/>
    </w:pPr>
  </w:style>
  <w:style w:type="character" w:customStyle="1" w:styleId="PKTpunktZnak">
    <w:name w:val="PKT – punkt Znak"/>
    <w:basedOn w:val="Domylnaczcionkaakapitu"/>
    <w:link w:val="PKTpunkt"/>
    <w:uiPriority w:val="16"/>
    <w:locked/>
    <w:rsid w:val="00D72CC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95A6F"/>
    <w:pPr>
      <w:ind w:left="0" w:firstLine="0"/>
    </w:pPr>
  </w:style>
  <w:style w:type="character" w:customStyle="1" w:styleId="CZWSPPKTczwsplnapunktwZnak">
    <w:name w:val="CZ_WSP_PKT – część wspólna punktów Znak"/>
    <w:basedOn w:val="PKTpunktZnak"/>
    <w:link w:val="CZWSPPKTczwsplnapunktw"/>
    <w:uiPriority w:val="19"/>
    <w:rsid w:val="00A96265"/>
    <w:rPr>
      <w:rFonts w:eastAsiaTheme="minorEastAsia" w:cs="Arial"/>
      <w:bCs/>
      <w:szCs w:val="20"/>
    </w:rPr>
  </w:style>
  <w:style w:type="paragraph" w:customStyle="1" w:styleId="LITlitera">
    <w:name w:val="LIT – litera"/>
    <w:basedOn w:val="PKTpunkt"/>
    <w:link w:val="LITliteraZnak"/>
    <w:uiPriority w:val="17"/>
    <w:qFormat/>
    <w:rsid w:val="00295A6F"/>
    <w:pPr>
      <w:ind w:left="986" w:hanging="476"/>
    </w:pPr>
  </w:style>
  <w:style w:type="character" w:customStyle="1" w:styleId="LITliteraZnak">
    <w:name w:val="LIT – litera Znak"/>
    <w:basedOn w:val="PKTpunktZnak"/>
    <w:link w:val="LITlitera"/>
    <w:uiPriority w:val="17"/>
    <w:rsid w:val="00D72CC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95A6F"/>
    <w:pPr>
      <w:ind w:left="510" w:firstLine="0"/>
    </w:pPr>
    <w:rPr>
      <w:szCs w:val="24"/>
    </w:rPr>
  </w:style>
  <w:style w:type="character" w:customStyle="1" w:styleId="CZWSPLITczwsplnaliterZnak">
    <w:name w:val="CZ_WSP_LIT – część wspólna liter Znak"/>
    <w:basedOn w:val="LITliteraZnak"/>
    <w:link w:val="CZWSPLITczwsplnaliter"/>
    <w:uiPriority w:val="20"/>
    <w:rsid w:val="00A96265"/>
    <w:rPr>
      <w:rFonts w:eastAsiaTheme="minorEastAsia" w:cs="Arial"/>
      <w:bCs/>
      <w:szCs w:val="20"/>
    </w:rPr>
  </w:style>
  <w:style w:type="paragraph" w:customStyle="1" w:styleId="TIRtiret">
    <w:name w:val="TIR – tiret"/>
    <w:basedOn w:val="LITlitera"/>
    <w:link w:val="TIRtiretZnak"/>
    <w:uiPriority w:val="18"/>
    <w:qFormat/>
    <w:rsid w:val="00295A6F"/>
    <w:pPr>
      <w:ind w:left="1384" w:hanging="397"/>
    </w:pPr>
  </w:style>
  <w:style w:type="character" w:customStyle="1" w:styleId="TIRtiretZnak">
    <w:name w:val="TIR – tiret Znak"/>
    <w:basedOn w:val="Domylnaczcionkaakapitu"/>
    <w:link w:val="TIRtiret"/>
    <w:uiPriority w:val="18"/>
    <w:rsid w:val="00D72CC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95A6F"/>
    <w:pPr>
      <w:ind w:left="987" w:firstLine="0"/>
    </w:pPr>
  </w:style>
  <w:style w:type="character" w:customStyle="1" w:styleId="CZWSPTIRczwsplnatiretZnak">
    <w:name w:val="CZ_WSP_TIR – część wspólna tiret Znak"/>
    <w:basedOn w:val="TIRtiretZnak"/>
    <w:link w:val="CZWSPTIRczwsplnatiret"/>
    <w:uiPriority w:val="21"/>
    <w:rsid w:val="00A96265"/>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95A6F"/>
    <w:pPr>
      <w:ind w:left="510" w:right="510" w:firstLine="0"/>
      <w:mirrorIndents/>
    </w:pPr>
  </w:style>
  <w:style w:type="character" w:customStyle="1" w:styleId="CYTcytatnpprzysigiZnak">
    <w:name w:val="CYT – cytat np. przysięgi Znak"/>
    <w:link w:val="CYTcytatnpprzysigi"/>
    <w:uiPriority w:val="23"/>
    <w:locked/>
    <w:rsid w:val="00A96265"/>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95A6F"/>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D72CC1"/>
    <w:rPr>
      <w:rFonts w:eastAsiaTheme="minorEastAsia"/>
      <w:b/>
      <w:bCs/>
    </w:rPr>
  </w:style>
  <w:style w:type="paragraph" w:customStyle="1" w:styleId="ZLITzmlitartykuempunktem">
    <w:name w:val="Z/LIT – zm. lit. artykułem (punktem)"/>
    <w:basedOn w:val="LITlitera"/>
    <w:uiPriority w:val="33"/>
    <w:qFormat/>
    <w:rsid w:val="00295A6F"/>
  </w:style>
  <w:style w:type="paragraph" w:customStyle="1" w:styleId="ZLITCZWSPTIRwLITzmczciwsptirwlitliter">
    <w:name w:val="Z_LIT/CZ_WSP_TIR_w_LIT – zm. części wsp. tir. w lit. literą"/>
    <w:basedOn w:val="CZWSPTIRczwsplnatiret"/>
    <w:next w:val="LITlitera"/>
    <w:uiPriority w:val="49"/>
    <w:qFormat/>
    <w:rsid w:val="00295A6F"/>
    <w:pPr>
      <w:ind w:left="1463"/>
    </w:pPr>
  </w:style>
  <w:style w:type="paragraph" w:customStyle="1" w:styleId="ZLITTIRwLITzmtirwlitliter">
    <w:name w:val="Z_LIT/TIR_w_LIT – zm. tir. w lit. literą"/>
    <w:basedOn w:val="TIRtiret"/>
    <w:uiPriority w:val="46"/>
    <w:qFormat/>
    <w:rsid w:val="00295A6F"/>
    <w:pPr>
      <w:ind w:left="1860"/>
    </w:pPr>
  </w:style>
  <w:style w:type="paragraph" w:customStyle="1" w:styleId="TYTDZOZNoznaczenietytuulubdziau">
    <w:name w:val="TYT(DZ)_OZN – oznaczenie tytułu lub działu"/>
    <w:next w:val="TYTDZPRZEDMprzedmiotregulacjitutuulubdziau"/>
    <w:link w:val="TYTDZOZNoznaczenietytuulubdziauZnak"/>
    <w:uiPriority w:val="6"/>
    <w:qFormat/>
    <w:rsid w:val="00295A6F"/>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basedOn w:val="Normalny"/>
    <w:link w:val="WMATFIZCHEMwzorymatfizlubchemiichlegendyZnak"/>
    <w:uiPriority w:val="22"/>
    <w:qFormat/>
    <w:rsid w:val="00295A6F"/>
    <w:pPr>
      <w:ind w:left="510"/>
    </w:pPr>
    <w:rPr>
      <w:rFonts w:ascii="Times" w:eastAsia="Times New Roman" w:hAnsi="Times" w:cs="Times New Roman"/>
      <w:szCs w:val="24"/>
    </w:rPr>
  </w:style>
  <w:style w:type="character" w:customStyle="1" w:styleId="TYTDZOZNoznaczenietytuulubdziauZnak">
    <w:name w:val="TYT(DZ)_OZN – oznaczenie tytułu lub działu Znak"/>
    <w:basedOn w:val="Domylnaczcionkaakapitu"/>
    <w:link w:val="TYTDZOZNoznaczenietytuulubdziau"/>
    <w:uiPriority w:val="6"/>
    <w:rsid w:val="00D72CC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A96265"/>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28"/>
    <w:qFormat/>
    <w:rsid w:val="00295A6F"/>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28"/>
    <w:rsid w:val="005F7A88"/>
    <w:rPr>
      <w:rFonts w:eastAsiaTheme="minorEastAsia" w:cs="Arial"/>
      <w:bCs/>
      <w:caps/>
      <w:kern w:val="24"/>
    </w:rPr>
  </w:style>
  <w:style w:type="paragraph" w:customStyle="1" w:styleId="ZTYTDZPRZEDMzmprzedmtytuulubdziauartykuempunktem">
    <w:name w:val="Z/TYT(DZ)_PRZEDM – zm. przedm. tytułu lub działu artykułem (punktem)"/>
    <w:basedOn w:val="TYTDZPRZEDMprzedmiotregulacjitutuulubdziau"/>
    <w:next w:val="ZARTzmartartykuempunktem"/>
    <w:link w:val="ZTYTDZPRZEDMzmprzedmtytuulubdziauartykuempunktemZnak"/>
    <w:uiPriority w:val="28"/>
    <w:qFormat/>
    <w:rsid w:val="00295A6F"/>
    <w:pPr>
      <w:spacing w:before="0"/>
      <w:ind w:left="510"/>
    </w:pPr>
    <w:rPr>
      <w:b w:val="0"/>
    </w:rPr>
  </w:style>
  <w:style w:type="character" w:customStyle="1" w:styleId="ZTYTDZPRZEDMzmprzedmtytuulubdziauartykuempunktemZnak">
    <w:name w:val="Z/TYT(DZ)_PRZEDM – zm. przedm. tytułu lub działu artykułem (punktem) Znak"/>
    <w:basedOn w:val="TYTDZPRZEDMprzedmiotregulacjitutuulubdziauZnak"/>
    <w:link w:val="ZTYTDZPRZEDMzmprzedmtytuulubdziauartykuempunktem"/>
    <w:uiPriority w:val="28"/>
    <w:rsid w:val="005F7A88"/>
    <w:rPr>
      <w:b/>
      <w:szCs w:val="26"/>
    </w:rPr>
  </w:style>
  <w:style w:type="paragraph" w:customStyle="1" w:styleId="ZTIRzmtirartykuempunktem">
    <w:name w:val="Z/TIR – zm. tir. artykułem (punktem)"/>
    <w:basedOn w:val="TIRtiret"/>
    <w:next w:val="PKTpunkt"/>
    <w:uiPriority w:val="34"/>
    <w:qFormat/>
    <w:rsid w:val="00295A6F"/>
    <w:pPr>
      <w:ind w:left="907"/>
    </w:pPr>
  </w:style>
  <w:style w:type="paragraph" w:customStyle="1" w:styleId="ZCZWSPPKTzmczciwsppktartykuempunktem">
    <w:name w:val="Z/CZ_WSP_PKT – zm. części wsp. pkt artykułem (punktem)"/>
    <w:basedOn w:val="CZWSPPKTczwsplnapunktw"/>
    <w:next w:val="ZARTzmartartykuempunktem"/>
    <w:uiPriority w:val="35"/>
    <w:qFormat/>
    <w:rsid w:val="00295A6F"/>
    <w:pPr>
      <w:ind w:left="510"/>
    </w:pPr>
  </w:style>
  <w:style w:type="paragraph" w:customStyle="1" w:styleId="ZZLITzmianazmlit">
    <w:name w:val="ZZ/LIT – zmiana zm. lit."/>
    <w:basedOn w:val="ZZPKTzmianazmpkt"/>
    <w:uiPriority w:val="61"/>
    <w:qFormat/>
    <w:rsid w:val="007A5373"/>
    <w:pPr>
      <w:ind w:left="2370" w:hanging="476"/>
    </w:pPr>
  </w:style>
  <w:style w:type="paragraph" w:customStyle="1" w:styleId="ZZTIRzmianazmtir">
    <w:name w:val="ZZ/TIR – zmiana zm. tir."/>
    <w:basedOn w:val="ZZLITzmianazmlit"/>
    <w:uiPriority w:val="61"/>
    <w:qFormat/>
    <w:rsid w:val="007A5373"/>
    <w:pPr>
      <w:ind w:left="2291" w:hanging="397"/>
    </w:pPr>
  </w:style>
  <w:style w:type="paragraph" w:customStyle="1" w:styleId="ZROZDZODDZOZNzmoznrozdzoddzartykuempunktem">
    <w:name w:val="Z/ROZDZ(ODDZ)_OZN – zm. ozn. rozdz. (oddz.) artykułem (punktem)"/>
    <w:basedOn w:val="Normalny"/>
    <w:next w:val="ZROZDZODDZPRZEDMzmprzedmrozdzoddzartykuempunktem"/>
    <w:link w:val="ZROZDZODDZOZNzmoznrozdzoddzartykuempunktemZnak"/>
    <w:uiPriority w:val="29"/>
    <w:qFormat/>
    <w:rsid w:val="005F7A88"/>
    <w:pPr>
      <w:keepNext/>
      <w:widowControl/>
      <w:suppressAutoHyphens/>
      <w:autoSpaceDE/>
      <w:autoSpaceDN/>
      <w:adjustRightInd/>
      <w:ind w:left="510"/>
      <w:jc w:val="center"/>
    </w:pPr>
    <w:rPr>
      <w:rFonts w:ascii="Times" w:hAnsi="Times"/>
      <w:bCs/>
      <w:kern w:val="24"/>
      <w:szCs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29"/>
    <w:rsid w:val="005F7A88"/>
    <w:rPr>
      <w:rFonts w:eastAsiaTheme="minorEastAsia" w:cs="Arial"/>
      <w:bCs/>
      <w:kern w:val="24"/>
    </w:rPr>
  </w:style>
  <w:style w:type="character" w:customStyle="1" w:styleId="ZPKTzmpktartykuempunktemZnak">
    <w:name w:val="Z/PKT – zm. pkt artykułem (punktem) Znak"/>
    <w:basedOn w:val="PKTpunktZnak"/>
    <w:link w:val="ZPKTzmpktartykuempunktem"/>
    <w:uiPriority w:val="32"/>
    <w:rsid w:val="00A96265"/>
    <w:rPr>
      <w:rFonts w:eastAsiaTheme="minorEastAsia" w:cs="Arial"/>
      <w:bCs/>
      <w:szCs w:val="20"/>
    </w:rPr>
  </w:style>
  <w:style w:type="paragraph" w:customStyle="1" w:styleId="ZLITUSTzmustliter">
    <w:name w:val="Z_LIT/UST(§) – zm. ust. (§) literą"/>
    <w:basedOn w:val="USTustnpkodeksu"/>
    <w:uiPriority w:val="43"/>
    <w:qFormat/>
    <w:rsid w:val="00295A6F"/>
    <w:pPr>
      <w:ind w:left="987"/>
    </w:pPr>
  </w:style>
  <w:style w:type="paragraph" w:customStyle="1" w:styleId="ZLITPKTzmpktliter">
    <w:name w:val="Z_LIT/PKT – zm. pkt literą"/>
    <w:basedOn w:val="PKTpunkt"/>
    <w:uiPriority w:val="44"/>
    <w:qFormat/>
    <w:rsid w:val="00295A6F"/>
    <w:pPr>
      <w:ind w:left="1497"/>
    </w:pPr>
  </w:style>
  <w:style w:type="paragraph" w:customStyle="1" w:styleId="ZZCZWSPPKTzmianazmczciwsppkt">
    <w:name w:val="ZZ/CZ_WSP_PKT – zmiana. zm. części wsp. pkt"/>
    <w:basedOn w:val="ZZARTzmianazmart"/>
    <w:next w:val="ZPKTzmpktartykuempunktem"/>
    <w:uiPriority w:val="65"/>
    <w:qFormat/>
    <w:rsid w:val="007A5373"/>
    <w:pPr>
      <w:ind w:firstLine="0"/>
    </w:pPr>
  </w:style>
  <w:style w:type="paragraph" w:customStyle="1" w:styleId="ZLITLITzmlitliter">
    <w:name w:val="Z_LIT/LIT – zm. lit. literą"/>
    <w:basedOn w:val="LITlitera"/>
    <w:uiPriority w:val="45"/>
    <w:qFormat/>
    <w:rsid w:val="00295A6F"/>
    <w:pPr>
      <w:ind w:left="1463"/>
    </w:pPr>
  </w:style>
  <w:style w:type="paragraph" w:customStyle="1" w:styleId="ZLITCZWSPPKTzmczciwsppktliter">
    <w:name w:val="Z_LIT/CZ_WSP_PKT – zm. części wsp. pkt literą"/>
    <w:basedOn w:val="CZWSPLITczwsplnaliter"/>
    <w:next w:val="LITlitera"/>
    <w:uiPriority w:val="48"/>
    <w:qFormat/>
    <w:rsid w:val="00295A6F"/>
    <w:pPr>
      <w:ind w:left="987"/>
    </w:pPr>
  </w:style>
  <w:style w:type="paragraph" w:customStyle="1" w:styleId="ZLITTIRzmtirliter">
    <w:name w:val="Z_LIT/TIR – zm. tir. literą"/>
    <w:basedOn w:val="TIRtiret"/>
    <w:uiPriority w:val="46"/>
    <w:qFormat/>
    <w:rsid w:val="00295A6F"/>
  </w:style>
  <w:style w:type="paragraph" w:customStyle="1" w:styleId="ZZCZWSPLITwPKTzmianazmczciwsplitwpkt">
    <w:name w:val="ZZ/CZ_WSP_LIT_w_PKT – zmiana zm. części wsp. lit. w pkt"/>
    <w:basedOn w:val="ZZLITwPKTzmianazmlitwpkt"/>
    <w:uiPriority w:val="66"/>
    <w:qFormat/>
    <w:rsid w:val="00F87802"/>
    <w:pPr>
      <w:ind w:left="2404" w:firstLine="0"/>
    </w:pPr>
  </w:style>
  <w:style w:type="paragraph" w:customStyle="1" w:styleId="ZLITLITwPKTzmlitwpktliter">
    <w:name w:val="Z_LIT/LIT_w_PKT – zm. lit. w pkt literą"/>
    <w:basedOn w:val="LITlitera"/>
    <w:uiPriority w:val="45"/>
    <w:qFormat/>
    <w:rsid w:val="00295A6F"/>
    <w:pPr>
      <w:ind w:left="1973"/>
    </w:pPr>
  </w:style>
  <w:style w:type="paragraph" w:customStyle="1" w:styleId="ZLITCZWSPLITwPKTzmczciwsplitwpktliter">
    <w:name w:val="Z_LIT/CZ_WSP_LIT_w_PKT – zm. części wsp. lit. w pkt literą"/>
    <w:basedOn w:val="CZWSPLITczwsplnaliter"/>
    <w:next w:val="LITlitera"/>
    <w:uiPriority w:val="49"/>
    <w:qFormat/>
    <w:rsid w:val="00295A6F"/>
    <w:pPr>
      <w:ind w:left="1497"/>
    </w:pPr>
  </w:style>
  <w:style w:type="paragraph" w:customStyle="1" w:styleId="ZLITTIRwPKTzmtirwpktliter">
    <w:name w:val="Z_LIT/TIR_w_PKT – zm. tir. w pkt literą"/>
    <w:basedOn w:val="TIRtiret"/>
    <w:uiPriority w:val="46"/>
    <w:qFormat/>
    <w:rsid w:val="00295A6F"/>
    <w:pPr>
      <w:ind w:left="2370"/>
    </w:pPr>
  </w:style>
  <w:style w:type="paragraph" w:customStyle="1" w:styleId="ZLITCZWSPTIRwPKTzmczciwsptirwpktliter">
    <w:name w:val="Z_LIT/CZ_WSP_TIR_w_PKT – zm. części wsp. tir. w pkt literą"/>
    <w:basedOn w:val="CZWSPTIRczwsplnatiret"/>
    <w:next w:val="LITlitera"/>
    <w:uiPriority w:val="49"/>
    <w:qFormat/>
    <w:rsid w:val="00295A6F"/>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4"/>
    <w:qFormat/>
    <w:rsid w:val="00295A6F"/>
    <w:pPr>
      <w:ind w:left="1859"/>
    </w:pPr>
  </w:style>
  <w:style w:type="character" w:customStyle="1" w:styleId="ZTIRLITzmlittiretZnak">
    <w:name w:val="Z_TIR/LIT – zm. lit. tiret Znak"/>
    <w:basedOn w:val="LITliteraZnak"/>
    <w:link w:val="ZTIRLITzmlittiret"/>
    <w:uiPriority w:val="54"/>
    <w:rsid w:val="005F7A88"/>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95A6F"/>
    <w:pPr>
      <w:ind w:left="1383"/>
    </w:pPr>
  </w:style>
  <w:style w:type="character" w:customStyle="1" w:styleId="ZTIRCZWSPPKTzmczciwsppkttiretZnak">
    <w:name w:val="Z_TIR/CZ_WSP_PKT – zm. części wsp. pkt tiret Znak"/>
    <w:basedOn w:val="CZWSPLITczwsplnaliterZnak"/>
    <w:link w:val="ZTIRCZWSPPKTzmczciwsppkttiret"/>
    <w:uiPriority w:val="56"/>
    <w:rsid w:val="005F7A88"/>
    <w:rPr>
      <w:rFonts w:eastAsiaTheme="minorEastAsia" w:cs="Arial"/>
      <w:bCs/>
      <w:szCs w:val="20"/>
    </w:rPr>
  </w:style>
  <w:style w:type="paragraph" w:customStyle="1" w:styleId="ZTIRTIRzmtirtiret">
    <w:name w:val="Z_TIR/TIR – zm. tir. tiret"/>
    <w:basedOn w:val="TIRtiret"/>
    <w:link w:val="ZTIRTIRzmtirtiretZnak"/>
    <w:uiPriority w:val="54"/>
    <w:qFormat/>
    <w:rsid w:val="00295A6F"/>
    <w:pPr>
      <w:ind w:left="1780"/>
    </w:pPr>
  </w:style>
  <w:style w:type="character" w:customStyle="1" w:styleId="ZTIRTIRzmtirtiretZnak">
    <w:name w:val="Z_TIR/TIR – zm. tir. tiret Znak"/>
    <w:basedOn w:val="TIRtiretZnak"/>
    <w:link w:val="ZTIRTIRzmtirtiret"/>
    <w:uiPriority w:val="54"/>
    <w:rsid w:val="005F7A88"/>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680058"/>
    <w:pPr>
      <w:ind w:left="2880" w:firstLine="0"/>
    </w:pPr>
  </w:style>
  <w:style w:type="paragraph" w:customStyle="1" w:styleId="ZZTIRwLITzmianazmtirwlit">
    <w:name w:val="ZZ/TIR_w_LIT – zmiana zm. tir. w lit."/>
    <w:basedOn w:val="ZZTIRzmianazmtir"/>
    <w:uiPriority w:val="61"/>
    <w:qFormat/>
    <w:rsid w:val="00037E1A"/>
    <w:pPr>
      <w:ind w:left="2767"/>
    </w:pPr>
  </w:style>
  <w:style w:type="paragraph" w:customStyle="1" w:styleId="ZTIRTIRwLITzmtirwlittiret">
    <w:name w:val="Z_TIR/TIR_w_LIT – zm. tir. w lit. tiret"/>
    <w:basedOn w:val="TIRtiret"/>
    <w:link w:val="ZTIRTIRwLITzmtirwlittiretZnak"/>
    <w:uiPriority w:val="54"/>
    <w:qFormat/>
    <w:rsid w:val="00295A6F"/>
    <w:pPr>
      <w:ind w:left="2257"/>
    </w:pPr>
  </w:style>
  <w:style w:type="character" w:customStyle="1" w:styleId="ZTIRTIRwLITzmtirwlittiretZnak">
    <w:name w:val="Z_TIR/TIR_w_LIT – zm. tir. w lit. tiret Znak"/>
    <w:basedOn w:val="TIRtiretZnak"/>
    <w:link w:val="ZTIRTIRwLITzmtirwlittiret"/>
    <w:uiPriority w:val="54"/>
    <w:rsid w:val="005F7A88"/>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7"/>
    <w:qFormat/>
    <w:rsid w:val="00295A6F"/>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7"/>
    <w:rsid w:val="005F7A88"/>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95A6F"/>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11493E"/>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95A6F"/>
    <w:pPr>
      <w:ind w:left="907"/>
    </w:pPr>
  </w:style>
  <w:style w:type="character" w:customStyle="1" w:styleId="Z2TIRzmpodwtirartykuempunktemZnak">
    <w:name w:val="Z/2TIR – zm. podw. tir. artykułem (punktem) Znak"/>
    <w:basedOn w:val="TIRtiretZnak"/>
    <w:link w:val="Z2TIRzmpodwtirartykuempunktem"/>
    <w:uiPriority w:val="71"/>
    <w:rsid w:val="0011493E"/>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680058"/>
    <w:pPr>
      <w:ind w:left="2370" w:firstLine="0"/>
    </w:pPr>
  </w:style>
  <w:style w:type="paragraph" w:customStyle="1" w:styleId="ZLIT2TIRzmpodwtirliter">
    <w:name w:val="Z_LIT/2TIR – zm. podw. tir. literą"/>
    <w:basedOn w:val="TIRtiret"/>
    <w:link w:val="ZLIT2TIRzmpodwtirliterZnak"/>
    <w:uiPriority w:val="75"/>
    <w:qFormat/>
    <w:rsid w:val="00295A6F"/>
  </w:style>
  <w:style w:type="character" w:customStyle="1" w:styleId="ZLIT2TIRzmpodwtirliterZnak">
    <w:name w:val="Z_LIT/2TIR – zm. podw. tir. literą Znak"/>
    <w:basedOn w:val="TIRtiretZnak"/>
    <w:link w:val="ZLIT2TIRzmpodwtirliter"/>
    <w:uiPriority w:val="75"/>
    <w:rsid w:val="0011493E"/>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95A6F"/>
    <w:pPr>
      <w:ind w:left="1780"/>
    </w:pPr>
  </w:style>
  <w:style w:type="character" w:customStyle="1" w:styleId="ZTIR2TIRzmpodwtirtiretZnak">
    <w:name w:val="Z_TIR/2TIR – zm. podw. tir. tiret Znak"/>
    <w:basedOn w:val="TIRtiretZnak"/>
    <w:link w:val="ZTIR2TIRzmpodwtirtiret"/>
    <w:uiPriority w:val="80"/>
    <w:rsid w:val="0011493E"/>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95A6F"/>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11493E"/>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95A6F"/>
    <w:pPr>
      <w:ind w:left="2688"/>
    </w:pPr>
  </w:style>
  <w:style w:type="character" w:customStyle="1" w:styleId="Z2TIRwPKTzmpodwtirwpktartykuempunktemZnak">
    <w:name w:val="Z/2TIR_w_PKT – zm. podw. tir. w pkt artykułem (punktem) Znak"/>
    <w:basedOn w:val="TIRtiretZnak"/>
    <w:link w:val="Z2TIRwPKTzmpodwtirwpktartykuempunktem"/>
    <w:uiPriority w:val="72"/>
    <w:rsid w:val="0011493E"/>
    <w:rPr>
      <w:rFonts w:eastAsiaTheme="minorEastAsia" w:cs="Arial"/>
      <w:bCs/>
      <w:szCs w:val="20"/>
    </w:rPr>
  </w:style>
  <w:style w:type="paragraph" w:customStyle="1" w:styleId="ZTIRPKTzmpkttiret">
    <w:name w:val="Z_TIR/PKT – zm. pkt tiret"/>
    <w:basedOn w:val="PKTpunkt"/>
    <w:link w:val="ZTIRPKTzmpkttiretZnak"/>
    <w:uiPriority w:val="53"/>
    <w:qFormat/>
    <w:rsid w:val="00295A6F"/>
    <w:pPr>
      <w:ind w:left="1893"/>
    </w:pPr>
  </w:style>
  <w:style w:type="character" w:customStyle="1" w:styleId="ZTIRPKTzmpkttiretZnak">
    <w:name w:val="Z_TIR/PKT – zm. pkt tiret Znak"/>
    <w:basedOn w:val="PKTpunktZnak"/>
    <w:link w:val="ZTIRPKTzmpkttiret"/>
    <w:uiPriority w:val="53"/>
    <w:rsid w:val="005F7A88"/>
    <w:rPr>
      <w:rFonts w:eastAsiaTheme="minorEastAsia" w:cs="Arial"/>
      <w:bCs/>
      <w:szCs w:val="20"/>
    </w:rPr>
  </w:style>
  <w:style w:type="paragraph" w:customStyle="1" w:styleId="ZTIRLITwPKTzmlitwpkttiret">
    <w:name w:val="Z_TIR/LIT_w_PKT – zm. lit. w pkt tiret"/>
    <w:basedOn w:val="LITlitera"/>
    <w:link w:val="ZTIRLITwPKTzmlitwpkttiretZnak"/>
    <w:uiPriority w:val="54"/>
    <w:qFormat/>
    <w:rsid w:val="00295A6F"/>
    <w:pPr>
      <w:ind w:left="2336"/>
    </w:pPr>
  </w:style>
  <w:style w:type="character" w:customStyle="1" w:styleId="ZTIRLITwPKTzmlitwpkttiretZnak">
    <w:name w:val="Z_TIR/LIT_w_PKT – zm. lit. w pkt tiret Znak"/>
    <w:basedOn w:val="LITliteraZnak"/>
    <w:link w:val="ZTIRLITwPKTzmlitwpkttiret"/>
    <w:uiPriority w:val="54"/>
    <w:rsid w:val="005F7A88"/>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7"/>
    <w:qFormat/>
    <w:rsid w:val="00295A6F"/>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7"/>
    <w:rsid w:val="005F7A88"/>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95A6F"/>
    <w:pPr>
      <w:ind w:left="2654"/>
    </w:pPr>
  </w:style>
  <w:style w:type="character" w:customStyle="1" w:styleId="ZTIR2TIRwLITzmpodwtirwlittiretZnak">
    <w:name w:val="Z_TIR/2TIR_w_LIT – zm. podw. tir. w lit. tiret Znak"/>
    <w:basedOn w:val="TIRtiretZnak"/>
    <w:link w:val="ZTIR2TIRwLITzmpodwtirwlittiret"/>
    <w:uiPriority w:val="81"/>
    <w:rsid w:val="0011493E"/>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95A6F"/>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11493E"/>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95A6F"/>
    <w:pPr>
      <w:ind w:left="2177"/>
    </w:pPr>
  </w:style>
  <w:style w:type="character" w:customStyle="1" w:styleId="ZTIR2TIRwTIRzmpodwtirwtirtiretZnak">
    <w:name w:val="Z_TIR/2TIR_w_TIR – zm. podw. tir. w tir. tiret Znak"/>
    <w:basedOn w:val="TIRtiretZnak"/>
    <w:link w:val="ZTIR2TIRwTIRzmpodwtirwtirtiret"/>
    <w:uiPriority w:val="80"/>
    <w:rsid w:val="0011493E"/>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95A6F"/>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11493E"/>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95A6F"/>
    <w:pPr>
      <w:ind w:left="2256"/>
    </w:pPr>
  </w:style>
  <w:style w:type="character" w:customStyle="1" w:styleId="Z2TIRLITzmlitpodwjnymtiretZnak">
    <w:name w:val="Z_2TIR/LIT – zm. lit. podwójnym tiret Znak"/>
    <w:basedOn w:val="LITliteraZnak"/>
    <w:link w:val="Z2TIRLITzmlitpodwjnymtiret"/>
    <w:uiPriority w:val="83"/>
    <w:rsid w:val="0011493E"/>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435D26"/>
    <w:pPr>
      <w:ind w:left="2688"/>
    </w:pPr>
  </w:style>
  <w:style w:type="paragraph" w:customStyle="1" w:styleId="ZZ2TIRwLITzmianazmpodwtirwlit">
    <w:name w:val="ZZ/2TIR_w_LIT – zmiana zm. podw. tir. w lit."/>
    <w:basedOn w:val="ZZ2TIRwTIRzmianazmpodwtirwtir"/>
    <w:uiPriority w:val="91"/>
    <w:qFormat/>
    <w:rsid w:val="00435D26"/>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95A6F"/>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11493E"/>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95A6F"/>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11493E"/>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435D26"/>
    <w:pPr>
      <w:ind w:left="3674"/>
    </w:pPr>
  </w:style>
  <w:style w:type="paragraph" w:customStyle="1" w:styleId="ZZCZWSP2TIRwTIRzmianazmczciwsppodwtirwtir">
    <w:name w:val="ZZ/CZ_WSP_2TIR_w_TIR – zmiana zm. części wsp. podw. tir. w tir."/>
    <w:basedOn w:val="ZZ2TIRwLITzmianazmpodwtirwlit"/>
    <w:uiPriority w:val="95"/>
    <w:qFormat/>
    <w:rsid w:val="00435D26"/>
    <w:pPr>
      <w:ind w:left="2767"/>
    </w:pPr>
  </w:style>
  <w:style w:type="paragraph" w:customStyle="1" w:styleId="Z2TIR2TIRwTIRzmpodwtirwtirpodwjnymtiret">
    <w:name w:val="Z_2TIR/2TIR_w_TIR – zm. podw. tir. w tir. podwójnym tiret"/>
    <w:basedOn w:val="TIRtiret"/>
    <w:link w:val="Z2TIR2TIRwTIRzmpodwtirwtirpodwjnymtiretZnak"/>
    <w:uiPriority w:val="84"/>
    <w:qFormat/>
    <w:rsid w:val="00295A6F"/>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11493E"/>
    <w:rPr>
      <w:rFonts w:eastAsiaTheme="minorEastAsia" w:cs="Arial"/>
      <w:bCs/>
      <w:szCs w:val="20"/>
    </w:rPr>
  </w:style>
  <w:style w:type="paragraph" w:customStyle="1" w:styleId="Z2TIRCZWSP2TIRwTIRzmczciwsppodwtiretwtiretpodwjnymtiret">
    <w:name w:val="Z_2TIR/CZ_WSP_2TIR_w_TIR – zm. części wsp. podw. tiret w tiret podwójnym tiret"/>
    <w:basedOn w:val="CZWSPTIRczwsplnatiret"/>
    <w:next w:val="2TIRpodwjnytiret"/>
    <w:link w:val="Z2TIRCZWSP2TIRwTIRzmczciwsppodwtiretwtiretpodwjnymtiretZnak"/>
    <w:uiPriority w:val="86"/>
    <w:qFormat/>
    <w:rsid w:val="00295A6F"/>
    <w:pPr>
      <w:ind w:left="2177"/>
    </w:pPr>
  </w:style>
  <w:style w:type="character" w:customStyle="1" w:styleId="Z2TIRCZWSP2TIRwTIRzmczciwsppodwtiretwtiretpodwjnymtiretZnak">
    <w:name w:val="Z_2TIR/CZ_WSP_2TIR_w_TIR – zm. części wsp. podw. tiret w tiret podwójnym tiret Znak"/>
    <w:basedOn w:val="CZWSPTIRczwsplnatiretZnak"/>
    <w:link w:val="Z2TIRCZWSP2TIRwTIRzmczciwsppodwtiretwtiretpodwjnymtiret"/>
    <w:uiPriority w:val="86"/>
    <w:rsid w:val="0011493E"/>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95A6F"/>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11493E"/>
    <w:rPr>
      <w:rFonts w:eastAsiaTheme="minorEastAsia" w:cs="Arial"/>
      <w:bCs/>
      <w:szCs w:val="20"/>
    </w:rPr>
  </w:style>
  <w:style w:type="paragraph" w:customStyle="1" w:styleId="Z2TIRCZWSP2TIRwLITzmczciwsppodwtiretwlitpodwjnymtiret">
    <w:name w:val="Z_2TIR/CZ_WSP_2TIR_w_LIT – zm. części wsp. podw. tiret w lit. podwójnym tiret"/>
    <w:basedOn w:val="CZWSPTIRczwsplnatiret"/>
    <w:next w:val="2TIRpodwjnytiret"/>
    <w:link w:val="Z2TIRCZWSP2TIRwLITzmczciwsppodwtiretwlitpodwjnymtiretZnak"/>
    <w:uiPriority w:val="87"/>
    <w:qFormat/>
    <w:rsid w:val="00295A6F"/>
    <w:pPr>
      <w:ind w:left="2654"/>
    </w:pPr>
  </w:style>
  <w:style w:type="character" w:customStyle="1" w:styleId="Z2TIRCZWSP2TIRwLITzmczciwsppodwtiretwlitpodwjnymtiretZnak">
    <w:name w:val="Z_2TIR/CZ_WSP_2TIR_w_LIT – zm. części wsp. podw. tiret w lit. podwójnym tiret Znak"/>
    <w:basedOn w:val="CZWSPTIRczwsplnatiretZnak"/>
    <w:link w:val="Z2TIRCZWSP2TIRwLITzmczciwsppodwtiretwlitpodwjnymtiret"/>
    <w:uiPriority w:val="87"/>
    <w:rsid w:val="0011493E"/>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28"/>
    <w:qFormat/>
    <w:rsid w:val="00295A6F"/>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28"/>
    <w:rsid w:val="005F7A88"/>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29"/>
    <w:qFormat/>
    <w:rsid w:val="00295A6F"/>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29"/>
    <w:rsid w:val="005F7A88"/>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59"/>
    <w:qFormat/>
    <w:rsid w:val="007E2CFE"/>
    <w:pPr>
      <w:ind w:left="1894"/>
    </w:pPr>
  </w:style>
  <w:style w:type="paragraph" w:customStyle="1" w:styleId="ZZPKTzmianazmpkt">
    <w:name w:val="ZZ/PKT – zmiana zm. pkt"/>
    <w:basedOn w:val="ZPKTzmpktartykuempunktem"/>
    <w:uiPriority w:val="60"/>
    <w:qFormat/>
    <w:rsid w:val="007E2CFE"/>
    <w:pPr>
      <w:ind w:left="2404"/>
    </w:pPr>
  </w:style>
  <w:style w:type="paragraph" w:customStyle="1" w:styleId="ZZLITwPKTzmianazmlitwpkt">
    <w:name w:val="ZZ/LIT_w_PKT – zmiana zm. lit. w pkt"/>
    <w:basedOn w:val="ZLITWPKTzmlitwpktartykuempunktem"/>
    <w:uiPriority w:val="61"/>
    <w:qFormat/>
    <w:rsid w:val="00572512"/>
    <w:pPr>
      <w:ind w:left="2880"/>
    </w:pPr>
  </w:style>
  <w:style w:type="paragraph" w:customStyle="1" w:styleId="ZZTIRwPKTzmianazmtirwpkt">
    <w:name w:val="ZZ/TIR_w_PKT – zmiana zm. tir. w pkt"/>
    <w:basedOn w:val="ZTIRwPKTzmtirwpktartykuempunktem"/>
    <w:uiPriority w:val="61"/>
    <w:qFormat/>
    <w:rsid w:val="00572512"/>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39"/>
    <w:qFormat/>
    <w:rsid w:val="00680058"/>
    <w:pPr>
      <w:ind w:left="1021"/>
    </w:pPr>
  </w:style>
  <w:style w:type="paragraph" w:customStyle="1" w:styleId="ODNONIKtreodnonika">
    <w:name w:val="ODNOŚNIK – treść odnośnika"/>
    <w:basedOn w:val="Tekstprzypisudolnego"/>
    <w:uiPriority w:val="25"/>
    <w:qFormat/>
    <w:rsid w:val="00295A6F"/>
    <w:pPr>
      <w:widowControl/>
      <w:ind w:left="284" w:hanging="284"/>
    </w:pPr>
    <w:rPr>
      <w:rFonts w:ascii="Times New Roman" w:eastAsiaTheme="minorEastAsia" w:hAnsi="Times New Roman" w:cs="Arial"/>
      <w:szCs w:val="20"/>
    </w:rPr>
  </w:style>
  <w:style w:type="paragraph" w:customStyle="1" w:styleId="ZFRAGzmfragmentunpzdaniaartykuempunktem">
    <w:name w:val="Z/FRAG – zm. fragmentu (np. zdania) artykułem (punktem)"/>
    <w:basedOn w:val="ZARTzmartartykuempunktem"/>
    <w:next w:val="PKTpunkt"/>
    <w:uiPriority w:val="38"/>
    <w:qFormat/>
    <w:rsid w:val="00295A6F"/>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95A6F"/>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95A6F"/>
    <w:rPr>
      <w:rFonts w:ascii="Times New Roman" w:hAnsi="Times New Roman"/>
    </w:rPr>
  </w:style>
  <w:style w:type="paragraph" w:customStyle="1" w:styleId="ZTIRTIRwPKTzmtirwpkttiret">
    <w:name w:val="Z_TIR/TIR_w_PKT – zm. tir. w pkt tiret"/>
    <w:basedOn w:val="ZTIRTIRwLITzmtirwlittiret"/>
    <w:uiPriority w:val="54"/>
    <w:qFormat/>
    <w:rsid w:val="00295A6F"/>
    <w:pPr>
      <w:ind w:left="2733"/>
    </w:pPr>
  </w:style>
  <w:style w:type="paragraph" w:customStyle="1" w:styleId="ZTIRCZWSPTIRwPKTzmczciwsptirtiret">
    <w:name w:val="Z_TIR/CZ_WSP_TIR_w_PKT – zm. części wsp. tir. tiret"/>
    <w:basedOn w:val="ZTIRTIRwPKTzmtirwpkttiret"/>
    <w:next w:val="TIRtiret"/>
    <w:uiPriority w:val="57"/>
    <w:qFormat/>
    <w:rsid w:val="00295A6F"/>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295A6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5F7A88"/>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5F7A88"/>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95A6F"/>
    <w:pPr>
      <w:ind w:left="2177"/>
    </w:pPr>
  </w:style>
  <w:style w:type="character" w:customStyle="1" w:styleId="Z2TIR2TIRzmpodwtirpodwjnymtiretZnak">
    <w:name w:val="Z_2TIR/2TIR – zm. podw. tir. podwójnym tiret Znak"/>
    <w:basedOn w:val="TIRtiretZnak"/>
    <w:link w:val="Z2TIR2TIRzmpodwtirpodwjnymtiret"/>
    <w:uiPriority w:val="84"/>
    <w:rsid w:val="0011493E"/>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95A6F"/>
    <w:pPr>
      <w:ind w:left="2177"/>
    </w:pPr>
  </w:style>
  <w:style w:type="character" w:customStyle="1" w:styleId="Z2TIRTIRzmtirpodwjnymtiretZnak">
    <w:name w:val="Z_2TIR/TIR – zm. tir. podwójnym tiret Znak"/>
    <w:basedOn w:val="TIRtiretZnak"/>
    <w:link w:val="Z2TIRTIRzmtirpodwjnymtiret"/>
    <w:uiPriority w:val="83"/>
    <w:rsid w:val="0011493E"/>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8"/>
    <w:qFormat/>
    <w:rsid w:val="00AC4EA1"/>
    <w:pPr>
      <w:ind w:left="1021"/>
    </w:pPr>
  </w:style>
  <w:style w:type="paragraph" w:customStyle="1" w:styleId="ZLITSKARNzmsankcjikarnejliter">
    <w:name w:val="Z_LIT/S_KARN – zm. sankcji karnej literą"/>
    <w:basedOn w:val="ZSKARNzmsankcjikarnejwszczeglnociwKodeksiekarnym"/>
    <w:uiPriority w:val="51"/>
    <w:qFormat/>
    <w:rsid w:val="00AC4EA1"/>
    <w:pPr>
      <w:ind w:left="1497"/>
    </w:pPr>
  </w:style>
  <w:style w:type="paragraph" w:customStyle="1" w:styleId="ZCYTwARTUSTzmcytatuwrazzartlubust">
    <w:name w:val="Z/CYT_w_ART(§|UST) – zm. cytatu wraz z art. (§ lub ust.)"/>
    <w:basedOn w:val="CYTcytatnpprzysigi"/>
    <w:uiPriority w:val="38"/>
    <w:qFormat/>
    <w:rsid w:val="00047312"/>
    <w:pPr>
      <w:ind w:left="1021"/>
    </w:pPr>
  </w:style>
  <w:style w:type="paragraph" w:customStyle="1" w:styleId="ZCZWSP2TIRwPKTzmczciwsppodwtirwpktartykuempunktem">
    <w:name w:val="Z/CZ_WSP_2TIR_w_PKT – zm. części wsp. podw. tir w pkt artykułem (punktem)"/>
    <w:basedOn w:val="Z2TIRwPKTzmpodwtirwpktartykuempunktem"/>
    <w:uiPriority w:val="73"/>
    <w:qFormat/>
    <w:rsid w:val="00866867"/>
    <w:pPr>
      <w:ind w:left="2291" w:firstLine="0"/>
    </w:pPr>
  </w:style>
  <w:style w:type="paragraph" w:customStyle="1" w:styleId="Z2TIRwLITzmpodwtirwlitartykuempunktem">
    <w:name w:val="Z/2TIR_w_LIT – zm. podw. tir. w lit. artykułem (punktem)"/>
    <w:basedOn w:val="Z2TIRwPKTzmpodwtirwpktartykuempunktem"/>
    <w:uiPriority w:val="72"/>
    <w:qFormat/>
    <w:rsid w:val="00047312"/>
    <w:pPr>
      <w:ind w:left="2177"/>
    </w:pPr>
  </w:style>
  <w:style w:type="paragraph" w:customStyle="1" w:styleId="Z2TIRwTIRzmpodwtirwtirartykuempunktem">
    <w:name w:val="Z/2TIR_w_TIR – zm. podw. tir. w tir. artykułem (punktem)"/>
    <w:basedOn w:val="Z2TIRwLITzmpodwtirwlitartykuempunktem"/>
    <w:uiPriority w:val="71"/>
    <w:qFormat/>
    <w:rsid w:val="00047312"/>
    <w:pPr>
      <w:ind w:left="1701"/>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A95936"/>
    <w:pPr>
      <w:ind w:left="1304" w:firstLine="0"/>
    </w:pPr>
  </w:style>
  <w:style w:type="paragraph" w:customStyle="1" w:styleId="ZCZWSP2TIRwLITzmczciwsppodwtirwlitartykuempunktem">
    <w:name w:val="Z/CZ_WSP_2TIR_w_LIT – zm. części wsp. podw. tir w lit. artykułem (punktem)"/>
    <w:basedOn w:val="Z2TIRwLITzmpodwtirwlitartykuempunktem"/>
    <w:uiPriority w:val="73"/>
    <w:qFormat/>
    <w:rsid w:val="00A95936"/>
    <w:pPr>
      <w:ind w:left="1780" w:firstLine="0"/>
    </w:pPr>
  </w:style>
  <w:style w:type="paragraph" w:customStyle="1" w:styleId="ZLITCYTwUSTzmcytatunpprzysigiwustlubliter">
    <w:name w:val="Z_LIT/CYT_w_UST(§) – zm. cytatu np. przysięgi w ust. lub § literą"/>
    <w:basedOn w:val="ZCYTwARTUSTzmcytatuwrazzartlubust"/>
    <w:uiPriority w:val="52"/>
    <w:qFormat/>
    <w:rsid w:val="00A95936"/>
    <w:pPr>
      <w:ind w:left="1497"/>
    </w:pPr>
  </w:style>
  <w:style w:type="paragraph" w:customStyle="1" w:styleId="ZZCZWSP2TIRzmianazmczciwsppodwtir">
    <w:name w:val="ZZ/CZ_WSP_2TIR – zmiana. zm. części wsp. podw. tir."/>
    <w:basedOn w:val="ZZTIRzmianazmtir"/>
    <w:uiPriority w:val="62"/>
    <w:qFormat/>
    <w:rsid w:val="00952018"/>
    <w:pPr>
      <w:ind w:left="1894" w:firstLine="0"/>
    </w:pPr>
  </w:style>
  <w:style w:type="paragraph" w:customStyle="1" w:styleId="PKTODNONIKApunktodnonika">
    <w:name w:val="PKT_ODNOŚNIKA – punkt odnośnika"/>
    <w:basedOn w:val="ODNONIKtreodnonika"/>
    <w:uiPriority w:val="25"/>
    <w:qFormat/>
    <w:rsid w:val="00494F62"/>
    <w:pPr>
      <w:ind w:left="568"/>
    </w:pPr>
  </w:style>
  <w:style w:type="paragraph" w:customStyle="1" w:styleId="ZODNONIKAzmtekstuodnonikaartykuempunktem">
    <w:name w:val="Z/ODNOŚNIKA – zm. tekstu odnośnika artykułem (punktem)"/>
    <w:basedOn w:val="ODNONIKtreodnonika"/>
    <w:uiPriority w:val="40"/>
    <w:qFormat/>
    <w:rsid w:val="00BD1040"/>
    <w:pPr>
      <w:ind w:left="907" w:hanging="397"/>
    </w:pPr>
  </w:style>
  <w:style w:type="paragraph" w:customStyle="1" w:styleId="ZPKTwODNONIKUzmpktwzmienianymodnonikuartykuempunktem">
    <w:name w:val="Z/PKT_w_ODNOŚNIKU – zm. pkt w zmienianym odnośniku artykułem (punktem)"/>
    <w:basedOn w:val="ZODNONIKAzmtekstuodnonikaartykuempunktem"/>
    <w:uiPriority w:val="40"/>
    <w:qFormat/>
    <w:rsid w:val="00BD1040"/>
    <w:pPr>
      <w:ind w:left="1304"/>
    </w:pPr>
  </w:style>
  <w:style w:type="paragraph" w:customStyle="1" w:styleId="ZPKTODNONIKAzmpktodnonikaartykuempunktem">
    <w:name w:val="Z/PKT_ODNOŚNIKA – zm. pkt odnośnika artykułem (punktem)"/>
    <w:basedOn w:val="ZODNONIKAzmtekstuodnonikaartykuempunktem"/>
    <w:uiPriority w:val="40"/>
    <w:qFormat/>
    <w:rsid w:val="002E64FA"/>
  </w:style>
  <w:style w:type="paragraph" w:customStyle="1" w:styleId="ZLIT2TIRwTIRzmpodwtirwtirliter">
    <w:name w:val="Z_LIT/2TIR_w_TIR – zm. podw. tir. w tir. literą"/>
    <w:basedOn w:val="ZLIT2TIRzmpodwtirliter"/>
    <w:uiPriority w:val="75"/>
    <w:qFormat/>
    <w:rsid w:val="00866867"/>
    <w:pPr>
      <w:ind w:left="1780"/>
    </w:pPr>
  </w:style>
  <w:style w:type="paragraph" w:customStyle="1" w:styleId="ZLIT2TIRwLITzmpodwtirwlitliter">
    <w:name w:val="Z_LIT/2TIR_w_LIT – zm. podw. tir. w lit. literą"/>
    <w:basedOn w:val="ZLIT2TIRwTIRzmpodwtirwtirliter"/>
    <w:uiPriority w:val="76"/>
    <w:qFormat/>
    <w:rsid w:val="00866867"/>
    <w:pPr>
      <w:ind w:left="2257"/>
    </w:pPr>
  </w:style>
  <w:style w:type="paragraph" w:customStyle="1" w:styleId="ZLIT2TIRwPKTzmpodwtirwpktliter">
    <w:name w:val="Z_LIT/2TIR_w_PKT – zm. podw. tir. w pkt literą"/>
    <w:basedOn w:val="ZLIT2TIRwLITzmpodwtirwlitliter"/>
    <w:uiPriority w:val="76"/>
    <w:qFormat/>
    <w:rsid w:val="00B51A7D"/>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B51A7D"/>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B51A7D"/>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B51A7D"/>
    <w:pPr>
      <w:ind w:left="2370" w:firstLine="0"/>
    </w:pPr>
  </w:style>
  <w:style w:type="paragraph" w:customStyle="1" w:styleId="ZTIR2TIRwPKTzmpodwtirwpkttiret">
    <w:name w:val="Z_TIR/2TIR_w_PKT – zm. podw. tir. w pkt tiret"/>
    <w:basedOn w:val="ZTIR2TIRwLITzmpodwtirwlittiret"/>
    <w:uiPriority w:val="81"/>
    <w:qFormat/>
    <w:rsid w:val="00AC00F2"/>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AC00F2"/>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F600FE"/>
    <w:pPr>
      <w:ind w:left="2767"/>
    </w:pPr>
  </w:style>
  <w:style w:type="paragraph" w:customStyle="1" w:styleId="ZZCZWSP2TIRwPKTzmianazmczciwsppodwtirwpkt">
    <w:name w:val="ZZ/CZ_WSP_2TIR_w_PKT – zmiana zm. części wsp. podw. tir. w pkt"/>
    <w:basedOn w:val="ZZ2TIRwLITzmianazmpodwtirwlit"/>
    <w:uiPriority w:val="96"/>
    <w:qFormat/>
    <w:rsid w:val="00F600FE"/>
    <w:pPr>
      <w:ind w:left="3277"/>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FD7468"/>
  </w:style>
  <w:style w:type="paragraph" w:customStyle="1" w:styleId="ZLITCZWSP2TIRzmczciwsppodwtirliter">
    <w:name w:val="Z_LIT/CZ_WSP_2TIR – zm. części wsp. podw. tir. literą"/>
    <w:basedOn w:val="ZLITCZWSPPKTzmczciwsppktliter"/>
    <w:next w:val="LITlitera"/>
    <w:uiPriority w:val="78"/>
    <w:qFormat/>
    <w:rsid w:val="00FD7468"/>
  </w:style>
  <w:style w:type="paragraph" w:customStyle="1" w:styleId="ZTIRCZWSP2TIRzmczciwsppodwtirtiret">
    <w:name w:val="Z_TIR/CZ_WSP_2TIR – zm. części wsp. podw. tir. tiret"/>
    <w:basedOn w:val="ZLITCZWSP2TIRzmczciwsppodwtirliter"/>
    <w:next w:val="TIRtiret"/>
    <w:uiPriority w:val="81"/>
    <w:qFormat/>
    <w:rsid w:val="00FD7468"/>
  </w:style>
  <w:style w:type="paragraph" w:customStyle="1" w:styleId="ZZ2TIRzmianazmpodwtir">
    <w:name w:val="ZZ/2TIR – zmiana. zm. podw. tir."/>
    <w:basedOn w:val="ZZCZWSP2TIRzmianazmczciwsppodwtir"/>
    <w:uiPriority w:val="90"/>
    <w:qFormat/>
    <w:rsid w:val="00952018"/>
    <w:pPr>
      <w:ind w:left="2291" w:hanging="397"/>
    </w:pPr>
  </w:style>
  <w:style w:type="paragraph" w:customStyle="1" w:styleId="ZCZWSPLITzmczciwsplitartykuempunktem">
    <w:name w:val="Z/CZ_WSP_LIT – zm. części wsp. lit. artykułem (punktem)"/>
    <w:basedOn w:val="ZCZWSPPKTzmczciwsppktartykuempunktem"/>
    <w:next w:val="PKTpunkt"/>
    <w:uiPriority w:val="36"/>
    <w:qFormat/>
    <w:rsid w:val="002279C0"/>
  </w:style>
  <w:style w:type="paragraph" w:customStyle="1" w:styleId="ZCZWSPTIRzmczciwsptirartykuempunktem">
    <w:name w:val="Z/CZ_WSP_TIR – zm. części wsp. tir. artykułem (punktem)"/>
    <w:basedOn w:val="ZCZWSPPKTzmczciwsppktartykuempunktem"/>
    <w:next w:val="PKTpunkt"/>
    <w:uiPriority w:val="36"/>
    <w:qFormat/>
    <w:rsid w:val="002279C0"/>
  </w:style>
  <w:style w:type="paragraph" w:customStyle="1" w:styleId="ZLITCZWSPLITzmczciwsplitliter">
    <w:name w:val="Z_LIT/CZ_WSP_LIT – zm. części wsp. lit. literą"/>
    <w:basedOn w:val="ZLITCZWSPPKTzmczciwsppktliter"/>
    <w:next w:val="LITlitera"/>
    <w:uiPriority w:val="49"/>
    <w:qFormat/>
    <w:rsid w:val="002279C0"/>
  </w:style>
  <w:style w:type="paragraph" w:customStyle="1" w:styleId="ZLITCZWSPTIRzmczciwsptirliter">
    <w:name w:val="Z_LIT/CZ_WSP_TIR – zm. części wsp. tir. literą"/>
    <w:basedOn w:val="ZLITCZWSPPKTzmczciwsppktliter"/>
    <w:next w:val="LITlitera"/>
    <w:uiPriority w:val="49"/>
    <w:qFormat/>
    <w:rsid w:val="002279C0"/>
  </w:style>
  <w:style w:type="paragraph" w:customStyle="1" w:styleId="ZTIRCZWSPLITzmczciwsplittiret">
    <w:name w:val="Z_TIR/CZ_WSP_LIT – zm. części wsp. lit. tiret"/>
    <w:basedOn w:val="ZTIRCZWSPPKTzmczciwsppkttiret"/>
    <w:next w:val="TIRtiret"/>
    <w:uiPriority w:val="57"/>
    <w:qFormat/>
    <w:rsid w:val="002279C0"/>
  </w:style>
  <w:style w:type="paragraph" w:customStyle="1" w:styleId="ZTIRCZWSPTIRzmczciwsptirtiret">
    <w:name w:val="Z_TIR/CZ_WSP_TIR – zm. części wsp. tir. tiret"/>
    <w:basedOn w:val="ZTIRCZWSPPKTzmczciwsppkttiret"/>
    <w:next w:val="TIRtiret"/>
    <w:uiPriority w:val="57"/>
    <w:qFormat/>
    <w:rsid w:val="002279C0"/>
  </w:style>
  <w:style w:type="paragraph" w:customStyle="1" w:styleId="ZZCZWSPLITzmianazmczciwsplit">
    <w:name w:val="ZZ/CZ_WSP_LIT – zmiana. zm. części wsp. lit."/>
    <w:basedOn w:val="ZZCZWSPPKTzmianazmczciwsppkt"/>
    <w:uiPriority w:val="66"/>
    <w:qFormat/>
    <w:rsid w:val="002279C0"/>
  </w:style>
  <w:style w:type="paragraph" w:customStyle="1" w:styleId="ZZCZWSPTIRzmianazmczciwsptir">
    <w:name w:val="ZZ/CZ_WSP_TIR – zmiana. zm. części wsp. tir."/>
    <w:basedOn w:val="ZZCZWSPPKTzmianazmczciwsppkt"/>
    <w:uiPriority w:val="66"/>
    <w:qFormat/>
    <w:rsid w:val="002279C0"/>
  </w:style>
  <w:style w:type="paragraph" w:customStyle="1" w:styleId="Z2TIRCZWSPTIRzmczciwsptirpodwjnymtiret">
    <w:name w:val="Z_2TIR/CZ_WSP_TIR – zm. części wsp. tir. podwójnym tiret"/>
    <w:basedOn w:val="Z2TIRCZWSPLITzmczciwsplitpodwjnymtiret"/>
    <w:next w:val="2TIRpodwjnytiret"/>
    <w:uiPriority w:val="85"/>
    <w:qFormat/>
    <w:rsid w:val="007D6DCE"/>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7D6DCE"/>
  </w:style>
  <w:style w:type="paragraph" w:customStyle="1" w:styleId="ZUSTzmustartykuempunktem">
    <w:name w:val="Z/UST(§) – zm. ust. (§) artykułem (punktem)"/>
    <w:basedOn w:val="ZARTzmartartykuempunktem"/>
    <w:uiPriority w:val="30"/>
    <w:qFormat/>
    <w:rsid w:val="0088318F"/>
  </w:style>
  <w:style w:type="paragraph" w:customStyle="1" w:styleId="ZZUSTzmianazmust">
    <w:name w:val="ZZ/UST(§) – zmiana zm. ust. (§)"/>
    <w:basedOn w:val="ZZARTzmianazmart"/>
    <w:uiPriority w:val="59"/>
    <w:qFormat/>
    <w:rsid w:val="00B80402"/>
  </w:style>
  <w:style w:type="paragraph" w:customStyle="1" w:styleId="TYTDZPRZEDMprzedmiotregulacjitytuulubdziau">
    <w:name w:val="TYT(DZ)_PRZEDM – przedmiot regulacji tytułu lub działu"/>
    <w:basedOn w:val="Normalny"/>
    <w:next w:val="ARTartustawynprozporzdzenia"/>
    <w:link w:val="TYTDZPRZEDMprzedmiotregulacjitytuulubdziauZnak"/>
    <w:uiPriority w:val="7"/>
    <w:qFormat/>
    <w:rsid w:val="00946DD0"/>
    <w:pPr>
      <w:keepNext/>
      <w:suppressAutoHyphens/>
      <w:spacing w:before="120"/>
      <w:jc w:val="center"/>
    </w:pPr>
    <w:rPr>
      <w:rFonts w:ascii="Times" w:eastAsia="Times New Roman" w:hAnsi="Times" w:cs="Times New Roman"/>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946DD0"/>
    <w:rPr>
      <w:b/>
      <w:szCs w:val="26"/>
    </w:rPr>
  </w:style>
  <w:style w:type="paragraph" w:customStyle="1" w:styleId="ZNIEARTTEKSTzmtekstunieartykuowanego">
    <w:name w:val="Z/NIEART_TEKST – zm. tekstu nieartykułowanego"/>
    <w:basedOn w:val="NIEARTTEKSTtekstnieartykuowanynppreambua"/>
    <w:uiPriority w:val="38"/>
    <w:qFormat/>
    <w:rsid w:val="005635ED"/>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5F7A88"/>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5F7A88"/>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5F7A88"/>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5F7A88"/>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5F7A88"/>
    <w:pPr>
      <w:ind w:left="1894"/>
    </w:pPr>
  </w:style>
  <w:style w:type="paragraph" w:customStyle="1" w:styleId="Podpis-A7">
    <w:name w:val="Podpis-A7"/>
    <w:basedOn w:val="Normalny"/>
    <w:rsid w:val="00E63BAC"/>
    <w:pPr>
      <w:widowControl/>
      <w:tabs>
        <w:tab w:val="center" w:pos="1701"/>
        <w:tab w:val="center" w:pos="6237"/>
      </w:tabs>
      <w:autoSpaceDE/>
      <w:autoSpaceDN/>
      <w:adjustRightInd/>
      <w:jc w:val="left"/>
    </w:pPr>
    <w:rPr>
      <w:rFonts w:eastAsia="Times New Roman" w:cs="Times New Roman"/>
    </w:rPr>
  </w:style>
  <w:style w:type="paragraph" w:styleId="Tekstpodstawowy">
    <w:name w:val="Body Text"/>
    <w:basedOn w:val="Normalny"/>
    <w:link w:val="TekstpodstawowyZnak"/>
    <w:uiPriority w:val="99"/>
    <w:rsid w:val="00E63BAC"/>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uiPriority w:val="99"/>
    <w:rsid w:val="00E63BAC"/>
    <w:rPr>
      <w:rFonts w:ascii="Times New Roman" w:hAnsi="Times New Roman"/>
      <w:szCs w:val="20"/>
    </w:rPr>
  </w:style>
  <w:style w:type="paragraph" w:customStyle="1" w:styleId="akapit">
    <w:name w:val="akapit"/>
    <w:basedOn w:val="Normalny"/>
    <w:rsid w:val="00B1776A"/>
    <w:pPr>
      <w:widowControl/>
      <w:autoSpaceDE/>
      <w:autoSpaceDN/>
      <w:adjustRightInd/>
      <w:ind w:firstLine="851"/>
    </w:pPr>
    <w:rPr>
      <w:rFonts w:eastAsia="Times New Roman" w:cs="Times New Roman"/>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DF647C"/>
    <w:rPr>
      <w:bCs/>
    </w:rPr>
  </w:style>
  <w:style w:type="character" w:customStyle="1" w:styleId="IGindeksgrny">
    <w:name w:val="_IG_ – indeks górny"/>
    <w:basedOn w:val="Domylnaczcionkaakapitu"/>
    <w:uiPriority w:val="2"/>
    <w:qFormat/>
    <w:rsid w:val="00DF647C"/>
    <w:rPr>
      <w:b w:val="0"/>
      <w:i w:val="0"/>
      <w:vanish w:val="0"/>
      <w:spacing w:val="0"/>
      <w:vertAlign w:val="superscript"/>
    </w:rPr>
  </w:style>
  <w:style w:type="character" w:customStyle="1" w:styleId="Ppogrubienie">
    <w:name w:val="_P_ – pogrubienie"/>
    <w:basedOn w:val="Domylnaczcionkaakapitu"/>
    <w:uiPriority w:val="1"/>
    <w:qFormat/>
    <w:rsid w:val="00DF647C"/>
    <w:rPr>
      <w:b/>
    </w:rPr>
  </w:style>
  <w:style w:type="paragraph" w:customStyle="1" w:styleId="OZNPROJEKTUwskazaniedatylubwersjiprojektu">
    <w:name w:val="OZN_PROJEKTU – wskazanie daty lub wersji projektu"/>
    <w:next w:val="OZNRODZAKTUtznustawalubrozporzdzenieiorganwydajcy"/>
    <w:qFormat/>
    <w:rsid w:val="0006454F"/>
    <w:pPr>
      <w:jc w:val="right"/>
    </w:pPr>
    <w:rPr>
      <w:rFonts w:ascii="Times New Roman" w:eastAsiaTheme="minorEastAsia" w:hAnsi="Times New Roman" w:cs="Arial"/>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arlament2015.pkw.gov.pl/351_Wyniki_Senat/0/0/29" TargetMode="Externa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emf"/><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3658</Words>
  <Characters>21951</Characters>
  <Application>Microsoft Office Word</Application>
  <DocSecurity>0</DocSecurity>
  <Lines>182</Lines>
  <Paragraphs>51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szablon projektu aktu prawnego</vt:lpstr>
      <vt:lpstr>p r o j e k t</vt:lpstr>
    </vt:vector>
  </TitlesOfParts>
  <Company>Kancelaria Senatu</Company>
  <LinksUpToDate>false</LinksUpToDate>
  <CharactersWithSpaces>25558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projektu aktu prawnego</dc:title>
  <dc:subject>schema</dc:subject>
  <dc:creator>Dorota Grąziewicz</dc:creator>
  <cp:lastModifiedBy>Grażyna D. Grabowska</cp:lastModifiedBy>
  <cp:revision>2</cp:revision>
  <cp:lastPrinted>2018-06-29T11:25:00Z</cp:lastPrinted>
  <dcterms:created xsi:type="dcterms:W3CDTF">2018-07-18T09:48:00Z</dcterms:created>
  <dcterms:modified xsi:type="dcterms:W3CDTF">2018-07-18T09:48:00Z</dcterms:modified>
</cp:coreProperties>
</file>