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03A" w:rsidRPr="00FF1C10" w:rsidRDefault="00FF1C10" w:rsidP="00FF1C10">
      <w:pPr>
        <w:pStyle w:val="Teksttreci20"/>
        <w:shd w:val="clear" w:color="auto" w:fill="auto"/>
        <w:spacing w:before="120" w:after="0" w:line="360" w:lineRule="auto"/>
        <w:rPr>
          <w:b w:val="0"/>
          <w:sz w:val="24"/>
          <w:szCs w:val="24"/>
        </w:rPr>
      </w:pPr>
      <w:r w:rsidRPr="00FF1C10">
        <w:rPr>
          <w:b w:val="0"/>
          <w:sz w:val="24"/>
          <w:szCs w:val="24"/>
        </w:rPr>
        <w:t xml:space="preserve">UZASADNIENIE </w:t>
      </w:r>
    </w:p>
    <w:p w:rsidR="00634ACC" w:rsidRPr="00FF1C10" w:rsidRDefault="00C67750" w:rsidP="0013568B">
      <w:pPr>
        <w:pStyle w:val="Nagwek10"/>
        <w:keepNext/>
        <w:keepLines/>
        <w:numPr>
          <w:ilvl w:val="0"/>
          <w:numId w:val="1"/>
        </w:numPr>
        <w:shd w:val="clear" w:color="auto" w:fill="auto"/>
        <w:tabs>
          <w:tab w:val="left" w:pos="375"/>
        </w:tabs>
        <w:spacing w:before="240" w:after="0" w:line="360" w:lineRule="auto"/>
        <w:ind w:left="20"/>
        <w:rPr>
          <w:sz w:val="24"/>
          <w:szCs w:val="24"/>
        </w:rPr>
      </w:pPr>
      <w:bookmarkStart w:id="0" w:name="bookmark0"/>
      <w:r w:rsidRPr="00FF1C10">
        <w:rPr>
          <w:sz w:val="24"/>
          <w:szCs w:val="24"/>
        </w:rPr>
        <w:t>Potrzeba i cel związania poprawioną Konwencją</w:t>
      </w:r>
      <w:bookmarkEnd w:id="0"/>
    </w:p>
    <w:p w:rsidR="007C603A" w:rsidRPr="00FF1C10" w:rsidRDefault="00C67750" w:rsidP="00FF1C10">
      <w:pPr>
        <w:pStyle w:val="Teksttreci0"/>
        <w:shd w:val="clear" w:color="auto" w:fill="auto"/>
        <w:spacing w:before="120" w:after="0" w:line="360" w:lineRule="auto"/>
        <w:ind w:left="23"/>
        <w:rPr>
          <w:sz w:val="24"/>
          <w:szCs w:val="24"/>
        </w:rPr>
      </w:pPr>
      <w:r w:rsidRPr="00FF1C10">
        <w:rPr>
          <w:sz w:val="24"/>
          <w:szCs w:val="24"/>
        </w:rPr>
        <w:t>Sporządzona w Strasburgu w dniu 2 października 1992 r. Europejska Konwencja</w:t>
      </w:r>
      <w:r w:rsidR="00E83768" w:rsidRPr="00FF1C10">
        <w:rPr>
          <w:sz w:val="24"/>
          <w:szCs w:val="24"/>
        </w:rPr>
        <w:t xml:space="preserve"> o</w:t>
      </w:r>
      <w:r w:rsidR="00FF1C10">
        <w:rPr>
          <w:sz w:val="24"/>
          <w:szCs w:val="24"/>
        </w:rPr>
        <w:t> </w:t>
      </w:r>
      <w:r w:rsidRPr="00FF1C10">
        <w:rPr>
          <w:sz w:val="24"/>
          <w:szCs w:val="24"/>
        </w:rPr>
        <w:t>koprodukcji filmowej została przyjęta i ratyfikowan</w:t>
      </w:r>
      <w:r w:rsidR="00FF1C10">
        <w:rPr>
          <w:sz w:val="24"/>
          <w:szCs w:val="24"/>
        </w:rPr>
        <w:t>a przez Rzeczpospolitą Polską w </w:t>
      </w:r>
      <w:r w:rsidRPr="00FF1C10">
        <w:rPr>
          <w:sz w:val="24"/>
          <w:szCs w:val="24"/>
        </w:rPr>
        <w:t>grudniu 2002 r. i weszła w życie z dniem 1 marca 2003 r.</w:t>
      </w:r>
      <w:r w:rsidR="00E83768" w:rsidRPr="00FF1C10">
        <w:rPr>
          <w:sz w:val="24"/>
          <w:szCs w:val="24"/>
        </w:rPr>
        <w:t xml:space="preserve"> </w:t>
      </w:r>
    </w:p>
    <w:p w:rsidR="007C603A" w:rsidRPr="00FF1C10" w:rsidRDefault="00C67750" w:rsidP="00FF1C10">
      <w:pPr>
        <w:pStyle w:val="Teksttreci0"/>
        <w:shd w:val="clear" w:color="auto" w:fill="auto"/>
        <w:spacing w:before="120" w:after="0" w:line="360" w:lineRule="auto"/>
        <w:ind w:left="23"/>
        <w:rPr>
          <w:sz w:val="24"/>
          <w:szCs w:val="24"/>
        </w:rPr>
      </w:pPr>
      <w:r w:rsidRPr="00FF1C10">
        <w:rPr>
          <w:sz w:val="24"/>
          <w:szCs w:val="24"/>
        </w:rPr>
        <w:t>Zmiana tej Konwencji, która nie dotyczy jednak jej podstawowych zasad, okazała się konieczna ze względu na dynamiczny rozwój nowoczesnych technologii, pogłębiające się różnice w systemach finansowania produkcji w krajach europejskich oraz ekonomiczne</w:t>
      </w:r>
      <w:r w:rsidR="00E83768" w:rsidRPr="00FF1C10">
        <w:rPr>
          <w:sz w:val="24"/>
          <w:szCs w:val="24"/>
        </w:rPr>
        <w:t xml:space="preserve"> i</w:t>
      </w:r>
      <w:r w:rsidRPr="00FF1C10">
        <w:rPr>
          <w:sz w:val="24"/>
          <w:szCs w:val="24"/>
        </w:rPr>
        <w:t xml:space="preserve"> finansowe zmiany, jakie zaszły w ciągu ostatnich 25 lat w sektorze audiowizualnym. Intencją było także uniknięcie pojawiających się rozbieżn</w:t>
      </w:r>
      <w:r w:rsidR="00FF1C10">
        <w:rPr>
          <w:sz w:val="24"/>
          <w:szCs w:val="24"/>
        </w:rPr>
        <w:t>ości w </w:t>
      </w:r>
      <w:r w:rsidRPr="00FF1C10">
        <w:rPr>
          <w:sz w:val="24"/>
          <w:szCs w:val="24"/>
        </w:rPr>
        <w:t>interpretacji postanowień Konwencji z 1992 r. przez instytucje odpowiedzialne za przyznawanie statusu koprodukcji w poszczególnych państwach ją stosujących. Dodatkowo zauważalny w ostatnich latach trend do włączania w koprodukcje producentów z państw pozaeuropejskich (m.in. w postaci umów bilateralnych) spowodował potrzebę zmiany postanowień Konwencji, w celu zrównania na jej gruncie sytuacji prawnej producentów z krajów pozaeuropejskich z producentami pochodzącymi z państw członków Rady Europy.</w:t>
      </w:r>
    </w:p>
    <w:p w:rsidR="00FB1744" w:rsidRDefault="00C67750" w:rsidP="00FF1C10">
      <w:pPr>
        <w:pStyle w:val="Teksttreci0"/>
        <w:shd w:val="clear" w:color="auto" w:fill="auto"/>
        <w:spacing w:before="120" w:after="0" w:line="360" w:lineRule="auto"/>
        <w:ind w:left="23"/>
        <w:rPr>
          <w:sz w:val="24"/>
          <w:szCs w:val="24"/>
        </w:rPr>
      </w:pPr>
      <w:r w:rsidRPr="00FF1C10">
        <w:rPr>
          <w:sz w:val="24"/>
          <w:szCs w:val="24"/>
        </w:rPr>
        <w:t xml:space="preserve">Pierwsza propozycja w sprawie </w:t>
      </w:r>
      <w:r w:rsidR="00485B84" w:rsidRPr="00FF1C10">
        <w:rPr>
          <w:sz w:val="24"/>
          <w:szCs w:val="24"/>
        </w:rPr>
        <w:t>zmiany</w:t>
      </w:r>
      <w:r w:rsidRPr="00FF1C10">
        <w:rPr>
          <w:sz w:val="24"/>
          <w:szCs w:val="24"/>
        </w:rPr>
        <w:t xml:space="preserve"> Europejskiej Konwencji o koprodukcji filmowej pojawiła się w 2012 r. w formie postulatu modernizacji postanowień dotyczących poszczególnych zagadnień objętych Konwencją. Podstawą dla tej inicjatywy był raport Rady Europy oraz opinia ekspertów. W grudniu 2013 r. Komitet Ministrów Rady Europy ponownie zdecydował o podjęciu prac nad przygotowaniem projektu zmiany Konwencji przez 15 ekspertów wyłonionych z grupy 43 Państw-Stron Konwencji. Eksperci, w tym przedstawiciel strony po</w:t>
      </w:r>
      <w:r w:rsidR="00FB2630">
        <w:rPr>
          <w:sz w:val="24"/>
          <w:szCs w:val="24"/>
        </w:rPr>
        <w:t>lskiej, spotkali się dwa razy w </w:t>
      </w:r>
      <w:r w:rsidRPr="00FF1C10">
        <w:rPr>
          <w:sz w:val="24"/>
          <w:szCs w:val="24"/>
        </w:rPr>
        <w:t>ciągu 2014 r., a rezultaty ich pracy zostały prz</w:t>
      </w:r>
      <w:r w:rsidR="00FB2630">
        <w:rPr>
          <w:sz w:val="24"/>
          <w:szCs w:val="24"/>
        </w:rPr>
        <w:t>edstawione na forum plenarnym w </w:t>
      </w:r>
      <w:r w:rsidRPr="00FF1C10">
        <w:rPr>
          <w:sz w:val="24"/>
          <w:szCs w:val="24"/>
        </w:rPr>
        <w:t xml:space="preserve">2015 r. W maju 2015 r. tekst poprawionej Konwencji został rozesłany do konsultacji. Tekst poprawionej Konwencji został przyjęty przez Komitet Rady Ministrów Rady Europy 29 czerwca 2016 r., co zakończyło proces negocjacji. Zmieniona Konwencja została otwarta do podpisu w dniu 30 stycznia 2017 r. </w:t>
      </w:r>
      <w:r w:rsidR="009B05D2" w:rsidRPr="00FF1C10">
        <w:rPr>
          <w:sz w:val="24"/>
          <w:szCs w:val="24"/>
        </w:rPr>
        <w:t xml:space="preserve">Konwencja weszła </w:t>
      </w:r>
      <w:r w:rsidR="00FB2630">
        <w:rPr>
          <w:sz w:val="24"/>
          <w:szCs w:val="24"/>
        </w:rPr>
        <w:t>w życie 1 </w:t>
      </w:r>
      <w:r w:rsidR="00FB1744" w:rsidRPr="00FF1C10">
        <w:rPr>
          <w:sz w:val="24"/>
          <w:szCs w:val="24"/>
        </w:rPr>
        <w:t xml:space="preserve">października 2017 r. </w:t>
      </w:r>
    </w:p>
    <w:p w:rsidR="00AD49A9" w:rsidRPr="00FF1C10" w:rsidRDefault="00AD49A9" w:rsidP="00FF1C10">
      <w:pPr>
        <w:pStyle w:val="Teksttreci0"/>
        <w:shd w:val="clear" w:color="auto" w:fill="auto"/>
        <w:spacing w:before="120" w:after="0" w:line="360" w:lineRule="auto"/>
        <w:ind w:left="23"/>
        <w:rPr>
          <w:sz w:val="24"/>
          <w:szCs w:val="24"/>
        </w:rPr>
      </w:pPr>
    </w:p>
    <w:p w:rsidR="007C603A" w:rsidRPr="00FF1C10" w:rsidRDefault="001A2721" w:rsidP="00FB2630">
      <w:pPr>
        <w:pStyle w:val="Teksttreci0"/>
        <w:shd w:val="clear" w:color="auto" w:fill="auto"/>
        <w:spacing w:before="120" w:after="0" w:line="360" w:lineRule="auto"/>
        <w:ind w:left="23"/>
        <w:rPr>
          <w:sz w:val="24"/>
          <w:szCs w:val="24"/>
        </w:rPr>
      </w:pPr>
      <w:r w:rsidRPr="00FF1C10">
        <w:rPr>
          <w:sz w:val="24"/>
          <w:szCs w:val="24"/>
        </w:rPr>
        <w:lastRenderedPageBreak/>
        <w:t>Po prze</w:t>
      </w:r>
      <w:r w:rsidR="00AD49A9">
        <w:rPr>
          <w:sz w:val="24"/>
          <w:szCs w:val="24"/>
        </w:rPr>
        <w:t>prowadzeniu stosownej procedury</w:t>
      </w:r>
      <w:r w:rsidRPr="00FF1C10">
        <w:rPr>
          <w:sz w:val="24"/>
          <w:szCs w:val="24"/>
        </w:rPr>
        <w:t xml:space="preserve"> </w:t>
      </w:r>
      <w:r w:rsidR="00C67750" w:rsidRPr="00FF1C10">
        <w:rPr>
          <w:sz w:val="24"/>
          <w:szCs w:val="24"/>
        </w:rPr>
        <w:t xml:space="preserve">Rada Ministrów Rzeczypospolitej Polskiej podjęła </w:t>
      </w:r>
      <w:r w:rsidR="00AD49A9">
        <w:rPr>
          <w:sz w:val="24"/>
          <w:szCs w:val="24"/>
        </w:rPr>
        <w:t>u</w:t>
      </w:r>
      <w:r w:rsidR="00C67750" w:rsidRPr="00FF1C10">
        <w:rPr>
          <w:sz w:val="24"/>
          <w:szCs w:val="24"/>
        </w:rPr>
        <w:t xml:space="preserve">chwałę nr 69/2017 z dnia 9 maja 2017 r. w sprawie udzielenia zgody na podpisanie Konwencji Rady Europy o koprodukcji filmowej (poprawionej). </w:t>
      </w:r>
      <w:r w:rsidR="00FB2630">
        <w:rPr>
          <w:sz w:val="24"/>
          <w:szCs w:val="24"/>
        </w:rPr>
        <w:t>W dniu 18 </w:t>
      </w:r>
      <w:r w:rsidRPr="00FF1C10">
        <w:rPr>
          <w:sz w:val="24"/>
          <w:szCs w:val="24"/>
        </w:rPr>
        <w:t>lipca 2017 r., w imieniu Rzeczypospolitej Polskiej, Konwencję podpisał pan Janusz Stańczyk, Ambasador Nadzwyczajny i Pełnomocny, Stały Przedstawiciel</w:t>
      </w:r>
      <w:r w:rsidR="00FF1C10">
        <w:rPr>
          <w:sz w:val="24"/>
          <w:szCs w:val="24"/>
        </w:rPr>
        <w:t xml:space="preserve"> </w:t>
      </w:r>
      <w:r w:rsidRPr="00FF1C10">
        <w:rPr>
          <w:sz w:val="24"/>
          <w:szCs w:val="24"/>
        </w:rPr>
        <w:t xml:space="preserve">Rzeczypospolitej Polskiej przy Radzie Europy. </w:t>
      </w:r>
    </w:p>
    <w:p w:rsidR="00634ACC" w:rsidRPr="00FF1C10" w:rsidRDefault="00C67750" w:rsidP="00FB2630">
      <w:pPr>
        <w:pStyle w:val="Nagwek10"/>
        <w:keepNext/>
        <w:keepLines/>
        <w:numPr>
          <w:ilvl w:val="0"/>
          <w:numId w:val="1"/>
        </w:numPr>
        <w:shd w:val="clear" w:color="auto" w:fill="auto"/>
        <w:tabs>
          <w:tab w:val="left" w:pos="375"/>
        </w:tabs>
        <w:spacing w:before="240" w:after="0" w:line="360" w:lineRule="auto"/>
        <w:ind w:left="20"/>
        <w:rPr>
          <w:sz w:val="24"/>
          <w:szCs w:val="24"/>
        </w:rPr>
      </w:pPr>
      <w:bookmarkStart w:id="1" w:name="bookmark1"/>
      <w:r w:rsidRPr="00FF1C10">
        <w:rPr>
          <w:sz w:val="24"/>
          <w:szCs w:val="24"/>
        </w:rPr>
        <w:t>Różnice między dotychczasowym a poprawionym tekstem Konwencji</w:t>
      </w:r>
      <w:bookmarkEnd w:id="1"/>
    </w:p>
    <w:p w:rsidR="00634ACC" w:rsidRPr="00FF1C10" w:rsidRDefault="00C67750" w:rsidP="00FB2630">
      <w:pPr>
        <w:pStyle w:val="Nagwek10"/>
        <w:keepNext/>
        <w:keepLines/>
        <w:numPr>
          <w:ilvl w:val="0"/>
          <w:numId w:val="3"/>
        </w:numPr>
        <w:shd w:val="clear" w:color="auto" w:fill="auto"/>
        <w:tabs>
          <w:tab w:val="left" w:pos="426"/>
        </w:tabs>
        <w:spacing w:before="120" w:after="0" w:line="360" w:lineRule="auto"/>
        <w:ind w:left="20"/>
        <w:rPr>
          <w:sz w:val="24"/>
          <w:szCs w:val="24"/>
        </w:rPr>
      </w:pPr>
      <w:bookmarkStart w:id="2" w:name="bookmark2"/>
      <w:r w:rsidRPr="00FF1C10">
        <w:rPr>
          <w:sz w:val="24"/>
          <w:szCs w:val="24"/>
        </w:rPr>
        <w:t>Cel Konwencji</w:t>
      </w:r>
      <w:bookmarkEnd w:id="2"/>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 xml:space="preserve">W </w:t>
      </w:r>
      <w:r w:rsidR="00047FF9" w:rsidRPr="00FF1C10">
        <w:rPr>
          <w:sz w:val="24"/>
          <w:szCs w:val="24"/>
        </w:rPr>
        <w:t xml:space="preserve">Europejskiej </w:t>
      </w:r>
      <w:r w:rsidRPr="00FF1C10">
        <w:rPr>
          <w:sz w:val="24"/>
          <w:szCs w:val="24"/>
        </w:rPr>
        <w:t xml:space="preserve">Konwencji o koprodukcji filmowej z 1992 r. jako jej podstawowy cel wskazano popieranie rozwoju europejskiej koprodukcji filmowej. W poprawionej wersji </w:t>
      </w:r>
      <w:r w:rsidR="0013568B">
        <w:rPr>
          <w:sz w:val="24"/>
          <w:szCs w:val="24"/>
        </w:rPr>
        <w:t>–</w:t>
      </w:r>
      <w:r w:rsidRPr="00FF1C10">
        <w:rPr>
          <w:sz w:val="24"/>
          <w:szCs w:val="24"/>
        </w:rPr>
        <w:t xml:space="preserve"> ze względu na rozszerzenie zakresu podmiotowego Konwencji na producentów z krajów pozaeuropejskich </w:t>
      </w:r>
      <w:r w:rsidR="00FB2630">
        <w:rPr>
          <w:sz w:val="24"/>
          <w:szCs w:val="24"/>
        </w:rPr>
        <w:t>–</w:t>
      </w:r>
      <w:r w:rsidRPr="00FF1C10">
        <w:rPr>
          <w:sz w:val="24"/>
          <w:szCs w:val="24"/>
        </w:rPr>
        <w:t xml:space="preserve"> jako cel Konwencji wskazano promowanie rozwoju międzynarodowej koprodukcji filmowej.</w:t>
      </w:r>
    </w:p>
    <w:p w:rsidR="00634ACC" w:rsidRPr="00FF1C10" w:rsidRDefault="00C67750" w:rsidP="00FB2630">
      <w:pPr>
        <w:pStyle w:val="Nagwek10"/>
        <w:keepNext/>
        <w:keepLines/>
        <w:numPr>
          <w:ilvl w:val="0"/>
          <w:numId w:val="3"/>
        </w:numPr>
        <w:shd w:val="clear" w:color="auto" w:fill="auto"/>
        <w:tabs>
          <w:tab w:val="left" w:pos="426"/>
        </w:tabs>
        <w:spacing w:before="120" w:after="0" w:line="360" w:lineRule="auto"/>
        <w:ind w:left="20"/>
        <w:rPr>
          <w:sz w:val="24"/>
          <w:szCs w:val="24"/>
        </w:rPr>
      </w:pPr>
      <w:bookmarkStart w:id="3" w:name="bookmark3"/>
      <w:r w:rsidRPr="00FF1C10">
        <w:rPr>
          <w:sz w:val="24"/>
          <w:szCs w:val="24"/>
        </w:rPr>
        <w:t>Definicje</w:t>
      </w:r>
      <w:bookmarkEnd w:id="3"/>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Określenie „europejski utwór kinematograficzny” zostało zastąpione przez określenie „utwór kinematograficzny oficjalnie koprodukowany”. Poprzednia definicja była niewystarczająco precyzyjna i oderwana od charakteru utworów wspieranych na gruncie Konwencji, które</w:t>
      </w:r>
      <w:r w:rsidR="00047FF9" w:rsidRPr="00FF1C10">
        <w:rPr>
          <w:sz w:val="24"/>
          <w:szCs w:val="24"/>
        </w:rPr>
        <w:t xml:space="preserve"> </w:t>
      </w:r>
      <w:r w:rsidRPr="00FF1C10">
        <w:rPr>
          <w:sz w:val="24"/>
          <w:szCs w:val="24"/>
        </w:rPr>
        <w:t>muszą mieć charakter kop</w:t>
      </w:r>
      <w:r w:rsidR="00FB2630">
        <w:rPr>
          <w:sz w:val="24"/>
          <w:szCs w:val="24"/>
        </w:rPr>
        <w:t>rodukcji. Dodatkowo w związku z </w:t>
      </w:r>
      <w:r w:rsidRPr="00FF1C10">
        <w:rPr>
          <w:sz w:val="24"/>
          <w:szCs w:val="24"/>
        </w:rPr>
        <w:t>poszerzeniem stosowania zmienionej Konwencji w pewnym zakresie na państw</w:t>
      </w:r>
      <w:r w:rsidR="00047FF9" w:rsidRPr="00FF1C10">
        <w:rPr>
          <w:sz w:val="24"/>
          <w:szCs w:val="24"/>
        </w:rPr>
        <w:t xml:space="preserve">a pozaeuropejskie z udzielanego </w:t>
      </w:r>
      <w:r w:rsidRPr="00FF1C10">
        <w:rPr>
          <w:sz w:val="24"/>
          <w:szCs w:val="24"/>
        </w:rPr>
        <w:t>wsparcia nie zawsze będzie korzystał producent „eur</w:t>
      </w:r>
      <w:r w:rsidR="00047FF9" w:rsidRPr="00FF1C10">
        <w:rPr>
          <w:sz w:val="24"/>
          <w:szCs w:val="24"/>
        </w:rPr>
        <w:t>opejskiego utworu kinematografi</w:t>
      </w:r>
      <w:r w:rsidRPr="00FF1C10">
        <w:rPr>
          <w:sz w:val="24"/>
          <w:szCs w:val="24"/>
        </w:rPr>
        <w:t>cznego”.</w:t>
      </w:r>
    </w:p>
    <w:p w:rsidR="00634ACC" w:rsidRPr="00FF1C10" w:rsidRDefault="00C67750" w:rsidP="00FB2630">
      <w:pPr>
        <w:pStyle w:val="Nagwek10"/>
        <w:keepNext/>
        <w:keepLines/>
        <w:numPr>
          <w:ilvl w:val="0"/>
          <w:numId w:val="3"/>
        </w:numPr>
        <w:shd w:val="clear" w:color="auto" w:fill="auto"/>
        <w:tabs>
          <w:tab w:val="left" w:pos="426"/>
        </w:tabs>
        <w:spacing w:before="120" w:after="0" w:line="360" w:lineRule="auto"/>
        <w:ind w:left="20"/>
        <w:rPr>
          <w:sz w:val="24"/>
          <w:szCs w:val="24"/>
        </w:rPr>
      </w:pPr>
      <w:bookmarkStart w:id="4" w:name="bookmark4"/>
      <w:r w:rsidRPr="00FF1C10">
        <w:rPr>
          <w:sz w:val="24"/>
          <w:szCs w:val="24"/>
        </w:rPr>
        <w:t>Proporcje wkładów koproducentów</w:t>
      </w:r>
      <w:bookmarkEnd w:id="4"/>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 xml:space="preserve">W </w:t>
      </w:r>
      <w:r w:rsidR="007C603A" w:rsidRPr="00FF1C10">
        <w:rPr>
          <w:sz w:val="24"/>
          <w:szCs w:val="24"/>
        </w:rPr>
        <w:t>poprawionej</w:t>
      </w:r>
      <w:r w:rsidRPr="00FF1C10">
        <w:rPr>
          <w:sz w:val="24"/>
          <w:szCs w:val="24"/>
        </w:rPr>
        <w:t xml:space="preserve"> Konwencji inaczej określone zostały minimalne i maksymalne udziały koproducentów w produkcji utworu audiowizualne</w:t>
      </w:r>
      <w:r w:rsidR="00FB2630">
        <w:rPr>
          <w:sz w:val="24"/>
          <w:szCs w:val="24"/>
        </w:rPr>
        <w:t>go konieczne do ubiegania się o </w:t>
      </w:r>
      <w:r w:rsidRPr="00FF1C10">
        <w:rPr>
          <w:sz w:val="24"/>
          <w:szCs w:val="24"/>
        </w:rPr>
        <w:t xml:space="preserve">wsparcie udzielane w ramach Konwencji. Przyjęto </w:t>
      </w:r>
      <w:r w:rsidR="00D75A7E" w:rsidRPr="00FF1C10">
        <w:rPr>
          <w:sz w:val="24"/>
          <w:szCs w:val="24"/>
        </w:rPr>
        <w:t>wkład</w:t>
      </w:r>
      <w:r w:rsidRPr="00FF1C10">
        <w:rPr>
          <w:sz w:val="24"/>
          <w:szCs w:val="24"/>
        </w:rPr>
        <w:t xml:space="preserve"> 5% zamiast 10% całkowitych kosztów produkcji filmu przy koprodukcjach wielostronnych; przy dwustronnych koprodukcjach zaś </w:t>
      </w:r>
      <w:r w:rsidR="00D75A7E" w:rsidRPr="00FF1C10">
        <w:rPr>
          <w:sz w:val="24"/>
          <w:szCs w:val="24"/>
        </w:rPr>
        <w:t>wkład</w:t>
      </w:r>
      <w:r w:rsidRPr="00FF1C10">
        <w:rPr>
          <w:sz w:val="24"/>
          <w:szCs w:val="24"/>
        </w:rPr>
        <w:t xml:space="preserve"> 10% zamiast 20% całkowitych kosztów produkcji filmu. Pozwoli to na poszerzenie kręgu poten</w:t>
      </w:r>
      <w:r w:rsidR="00FB2630">
        <w:rPr>
          <w:sz w:val="24"/>
          <w:szCs w:val="24"/>
        </w:rPr>
        <w:t>cjalnych beneficjentów, także o </w:t>
      </w:r>
      <w:r w:rsidRPr="00FF1C10">
        <w:rPr>
          <w:sz w:val="24"/>
          <w:szCs w:val="24"/>
        </w:rPr>
        <w:t xml:space="preserve">podmioty o mniejszym potencjale ekonomicznym czy mniejszym poziomie zaangażowania finansowego w realizację konkretnego przedsięwzięcia filmowego. To rozwiązanie powinno ułatwić dostęp do wsparcia udzielanego na podstawie </w:t>
      </w:r>
      <w:r w:rsidRPr="00FF1C10">
        <w:rPr>
          <w:sz w:val="24"/>
          <w:szCs w:val="24"/>
        </w:rPr>
        <w:lastRenderedPageBreak/>
        <w:t>poprawionej Konwencji mniejszym i średnim państwom europejskim (w tym producentom filmowym z Rzeczypospolitej Polskiej), a także sprzyjać tworzeniu koprodukcji z większą liczbą potencjalnych koproducentów pochodzących z różnych państw.</w:t>
      </w:r>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 xml:space="preserve">Do zastrzeżenia obowiązującej Konwencji z 1992 r., że minimalny </w:t>
      </w:r>
      <w:r w:rsidR="00D75A7E" w:rsidRPr="00FF1C10">
        <w:rPr>
          <w:sz w:val="24"/>
          <w:szCs w:val="24"/>
        </w:rPr>
        <w:t xml:space="preserve">wkład </w:t>
      </w:r>
      <w:r w:rsidRPr="00FF1C10">
        <w:rPr>
          <w:sz w:val="24"/>
          <w:szCs w:val="24"/>
        </w:rPr>
        <w:t>wynosi mniej niż 20% zainteresowana Strona może podjąć kroki mające na celu zmniejszenie lub zablokowanie dostępu do krajowych mechanizmów wsp</w:t>
      </w:r>
      <w:r w:rsidR="005A151D" w:rsidRPr="00FF1C10">
        <w:rPr>
          <w:sz w:val="24"/>
          <w:szCs w:val="24"/>
        </w:rPr>
        <w:t xml:space="preserve">ierania </w:t>
      </w:r>
      <w:r w:rsidRPr="00FF1C10">
        <w:rPr>
          <w:sz w:val="24"/>
          <w:szCs w:val="24"/>
        </w:rPr>
        <w:t>produkcji dodano dodatkowe obostrzenie po liczbie 20%: „lub jeśli koprodukcja jest wyłącznie finansowa”. Ta zmiana daje możliwości ograniczeni</w:t>
      </w:r>
      <w:r w:rsidR="00D75A7E" w:rsidRPr="00FF1C10">
        <w:rPr>
          <w:sz w:val="24"/>
          <w:szCs w:val="24"/>
        </w:rPr>
        <w:t>a</w:t>
      </w:r>
      <w:r w:rsidRPr="00FF1C10">
        <w:rPr>
          <w:sz w:val="24"/>
          <w:szCs w:val="24"/>
        </w:rPr>
        <w:t xml:space="preserve"> dostępu do krajowych mechanizmów wspierania produkcji podmiotom, których wkład do produkcji utworu audiowizualnego jest jedynie finansowy, a nie artystyczny. Korzystanie przez tego rodzaju producentów ze wsparcia w wielu</w:t>
      </w:r>
      <w:r w:rsidR="00FB2630">
        <w:rPr>
          <w:sz w:val="24"/>
          <w:szCs w:val="24"/>
        </w:rPr>
        <w:t xml:space="preserve"> wypadkach może być sprzeczne z </w:t>
      </w:r>
      <w:r w:rsidRPr="00FF1C10">
        <w:rPr>
          <w:sz w:val="24"/>
          <w:szCs w:val="24"/>
        </w:rPr>
        <w:t>podstawowymi kulturotwórczymi celami, jakim takie mechanizmy winny służyć.</w:t>
      </w:r>
    </w:p>
    <w:p w:rsidR="00634ACC" w:rsidRPr="00FF1C10" w:rsidRDefault="00C67750" w:rsidP="00FB2630">
      <w:pPr>
        <w:pStyle w:val="Nagwek10"/>
        <w:keepNext/>
        <w:keepLines/>
        <w:numPr>
          <w:ilvl w:val="0"/>
          <w:numId w:val="3"/>
        </w:numPr>
        <w:shd w:val="clear" w:color="auto" w:fill="auto"/>
        <w:tabs>
          <w:tab w:val="left" w:pos="426"/>
        </w:tabs>
        <w:spacing w:before="120" w:after="0" w:line="360" w:lineRule="auto"/>
        <w:ind w:left="20"/>
        <w:rPr>
          <w:sz w:val="24"/>
          <w:szCs w:val="24"/>
        </w:rPr>
      </w:pPr>
      <w:bookmarkStart w:id="5" w:name="bookmark5"/>
      <w:r w:rsidRPr="00FF1C10">
        <w:rPr>
          <w:sz w:val="24"/>
          <w:szCs w:val="24"/>
        </w:rPr>
        <w:t>Prawa koproducentów do utworu kinematograficznego</w:t>
      </w:r>
      <w:bookmarkEnd w:id="5"/>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Dostosowawcza zmiana wynikająca z rozwoju technologii, w tym technologii cyfrowej w przemyśle filmowym</w:t>
      </w:r>
      <w:r w:rsidR="00AD49A9">
        <w:rPr>
          <w:sz w:val="24"/>
          <w:szCs w:val="24"/>
        </w:rPr>
        <w:t>,</w:t>
      </w:r>
      <w:r w:rsidRPr="00FF1C10">
        <w:rPr>
          <w:sz w:val="24"/>
          <w:szCs w:val="24"/>
        </w:rPr>
        <w:t xml:space="preserve"> wiąże się z odmiennym ukształtowaniem praw koproducentów do utworu kinematograficznego. I tak zamiast sformułowania Konwencji z 1992 r., że: „umowa dotycząca koprodukcji powinna gwarantować każdemu koproducentowi współwłasność oryginalnego negatywu obrazu i negatywu dźwięku” w poprawionej Konwencji wprowadzono postanowienie: „</w:t>
      </w:r>
      <w:r w:rsidR="005A151D" w:rsidRPr="00FF1C10">
        <w:rPr>
          <w:sz w:val="24"/>
          <w:szCs w:val="24"/>
        </w:rPr>
        <w:t>Umowa koprodukcyjna powinna gwarantować każdemu koproducentowi współwłasność kopii wzorcowej oraz współudział w autorskich prawach majątkowych do filmu</w:t>
      </w:r>
      <w:r w:rsidRPr="00FF1C10">
        <w:rPr>
          <w:sz w:val="24"/>
          <w:szCs w:val="24"/>
        </w:rPr>
        <w:t>”. Konieczność zmiany wynika z faktu, że obecnie negatyw obraz</w:t>
      </w:r>
      <w:r w:rsidR="00FB2630">
        <w:rPr>
          <w:sz w:val="24"/>
          <w:szCs w:val="24"/>
        </w:rPr>
        <w:t>u i dźwięku w wielu wypadkach w </w:t>
      </w:r>
      <w:r w:rsidRPr="00FF1C10">
        <w:rPr>
          <w:sz w:val="24"/>
          <w:szCs w:val="24"/>
        </w:rPr>
        <w:t>tradycyjnej formie po prostu nie powstaje.</w:t>
      </w:r>
    </w:p>
    <w:p w:rsidR="00634ACC" w:rsidRPr="00FF1C10" w:rsidRDefault="00C67750" w:rsidP="00FB2630">
      <w:pPr>
        <w:pStyle w:val="Nagwek10"/>
        <w:keepNext/>
        <w:keepLines/>
        <w:numPr>
          <w:ilvl w:val="0"/>
          <w:numId w:val="3"/>
        </w:numPr>
        <w:shd w:val="clear" w:color="auto" w:fill="auto"/>
        <w:tabs>
          <w:tab w:val="left" w:pos="426"/>
        </w:tabs>
        <w:spacing w:before="120" w:after="0" w:line="360" w:lineRule="auto"/>
        <w:ind w:left="20"/>
        <w:rPr>
          <w:sz w:val="24"/>
          <w:szCs w:val="24"/>
        </w:rPr>
      </w:pPr>
      <w:bookmarkStart w:id="6" w:name="bookmark6"/>
      <w:r w:rsidRPr="00FF1C10">
        <w:rPr>
          <w:sz w:val="24"/>
          <w:szCs w:val="24"/>
        </w:rPr>
        <w:t>Koprodukcje finansowe</w:t>
      </w:r>
      <w:bookmarkEnd w:id="6"/>
    </w:p>
    <w:p w:rsidR="007C603A"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 xml:space="preserve">Do </w:t>
      </w:r>
      <w:r w:rsidR="005A151D" w:rsidRPr="00FF1C10">
        <w:rPr>
          <w:sz w:val="24"/>
          <w:szCs w:val="24"/>
        </w:rPr>
        <w:t>korzyści</w:t>
      </w:r>
      <w:r w:rsidRPr="00FF1C10">
        <w:rPr>
          <w:sz w:val="24"/>
          <w:szCs w:val="24"/>
        </w:rPr>
        <w:t xml:space="preserve"> </w:t>
      </w:r>
      <w:r w:rsidR="005A151D" w:rsidRPr="00FF1C10">
        <w:rPr>
          <w:sz w:val="24"/>
          <w:szCs w:val="24"/>
        </w:rPr>
        <w:t>wynikających z poprawionej</w:t>
      </w:r>
      <w:r w:rsidRPr="00FF1C10">
        <w:rPr>
          <w:sz w:val="24"/>
          <w:szCs w:val="24"/>
        </w:rPr>
        <w:t xml:space="preserve"> Konwencji mogą być dopuszczone koprodukcje spełniające określone warunki.</w:t>
      </w:r>
      <w:r w:rsidR="00FB2630">
        <w:rPr>
          <w:sz w:val="24"/>
          <w:szCs w:val="24"/>
        </w:rPr>
        <w:t xml:space="preserve"> W Konwencji z 1992 r. jednym z </w:t>
      </w:r>
      <w:r w:rsidRPr="00FF1C10">
        <w:rPr>
          <w:sz w:val="24"/>
          <w:szCs w:val="24"/>
        </w:rPr>
        <w:t xml:space="preserve">warunków było, by koprodukcja „pomagała w utrwalaniu europejskiej tożsamości”. Obecnie w poprawionej Konwencji przepis ten został zmodyfikowany </w:t>
      </w:r>
      <w:r w:rsidR="00974C8D">
        <w:rPr>
          <w:sz w:val="24"/>
          <w:szCs w:val="24"/>
        </w:rPr>
        <w:t>–</w:t>
      </w:r>
      <w:r w:rsidRPr="00FF1C10">
        <w:rPr>
          <w:sz w:val="24"/>
          <w:szCs w:val="24"/>
        </w:rPr>
        <w:t xml:space="preserve"> koprodukcja winna „przyczyniać się do promowania różnorodności kulturowej i dialogu międzykulturowego”. Zmiana jest związana z dopuszczeniem do korzystania ze wsparcia produc</w:t>
      </w:r>
      <w:r w:rsidR="007C603A" w:rsidRPr="00FF1C10">
        <w:rPr>
          <w:sz w:val="24"/>
          <w:szCs w:val="24"/>
        </w:rPr>
        <w:t xml:space="preserve">entów z państw pozaeuropejskich. </w:t>
      </w:r>
    </w:p>
    <w:p w:rsidR="007C603A" w:rsidRPr="00FF1C10" w:rsidRDefault="007C603A" w:rsidP="00974C8D">
      <w:pPr>
        <w:pStyle w:val="Nagwek10"/>
        <w:keepNext/>
        <w:keepLines/>
        <w:numPr>
          <w:ilvl w:val="0"/>
          <w:numId w:val="3"/>
        </w:numPr>
        <w:shd w:val="clear" w:color="auto" w:fill="auto"/>
        <w:tabs>
          <w:tab w:val="left" w:pos="426"/>
        </w:tabs>
        <w:spacing w:before="120" w:after="0" w:line="360" w:lineRule="auto"/>
        <w:ind w:left="20"/>
        <w:rPr>
          <w:sz w:val="24"/>
          <w:szCs w:val="24"/>
        </w:rPr>
      </w:pPr>
      <w:r w:rsidRPr="00FF1C10">
        <w:rPr>
          <w:sz w:val="24"/>
          <w:szCs w:val="24"/>
        </w:rPr>
        <w:lastRenderedPageBreak/>
        <w:t>Postanowienia końcowe</w:t>
      </w:r>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 xml:space="preserve">Artykuł 16 w </w:t>
      </w:r>
      <w:r w:rsidR="005A151D" w:rsidRPr="00FF1C10">
        <w:rPr>
          <w:sz w:val="24"/>
          <w:szCs w:val="24"/>
        </w:rPr>
        <w:t>poprawionej</w:t>
      </w:r>
      <w:r w:rsidRPr="00FF1C10">
        <w:rPr>
          <w:sz w:val="24"/>
          <w:szCs w:val="24"/>
        </w:rPr>
        <w:t xml:space="preserve"> Konwencji odnosi się do skut</w:t>
      </w:r>
      <w:r w:rsidR="00974C8D">
        <w:rPr>
          <w:sz w:val="24"/>
          <w:szCs w:val="24"/>
        </w:rPr>
        <w:t>ków jej wprowadzenia, tj. </w:t>
      </w:r>
      <w:r w:rsidRPr="00FF1C10">
        <w:rPr>
          <w:sz w:val="24"/>
          <w:szCs w:val="24"/>
        </w:rPr>
        <w:t xml:space="preserve">zastąpienia Konwencji z 1992 r. </w:t>
      </w:r>
      <w:r w:rsidR="007C603A" w:rsidRPr="00FF1C10">
        <w:rPr>
          <w:sz w:val="24"/>
          <w:szCs w:val="24"/>
        </w:rPr>
        <w:t xml:space="preserve">wersją </w:t>
      </w:r>
      <w:r w:rsidRPr="00FF1C10">
        <w:rPr>
          <w:sz w:val="24"/>
          <w:szCs w:val="24"/>
        </w:rPr>
        <w:t>poprawioną. Do treści Konwencji dopisano natomiast, iż „w stosunkach między Stroną niniejszej</w:t>
      </w:r>
      <w:r w:rsidR="00974C8D">
        <w:rPr>
          <w:sz w:val="24"/>
          <w:szCs w:val="24"/>
        </w:rPr>
        <w:t xml:space="preserve"> Konwencji a Stroną Konwencji z </w:t>
      </w:r>
      <w:r w:rsidRPr="00FF1C10">
        <w:rPr>
          <w:sz w:val="24"/>
          <w:szCs w:val="24"/>
        </w:rPr>
        <w:t xml:space="preserve">1992 </w:t>
      </w:r>
      <w:r w:rsidR="007C603A" w:rsidRPr="00FF1C10">
        <w:rPr>
          <w:sz w:val="24"/>
          <w:szCs w:val="24"/>
        </w:rPr>
        <w:t>roku,</w:t>
      </w:r>
      <w:r w:rsidRPr="00FF1C10">
        <w:rPr>
          <w:sz w:val="24"/>
          <w:szCs w:val="24"/>
        </w:rPr>
        <w:t xml:space="preserve"> która nie ratyfikowała niniejszej Konwencji, Konwencja z 1992 roku nadal obowiązuje”. Celem takiej zmiany było umożliwienie korzystania ze wsparcia przyznawanego na podstawie Konwencji w jej ob</w:t>
      </w:r>
      <w:r w:rsidR="00974C8D">
        <w:rPr>
          <w:sz w:val="24"/>
          <w:szCs w:val="24"/>
        </w:rPr>
        <w:t>owiązującej dotychczas wersji w </w:t>
      </w:r>
      <w:r w:rsidRPr="00FF1C10">
        <w:rPr>
          <w:sz w:val="24"/>
          <w:szCs w:val="24"/>
        </w:rPr>
        <w:t xml:space="preserve">trakcie trwania procesu podpisywania i ratyfikacji jej wersji zmienionej, który może rozciągnąć się </w:t>
      </w:r>
      <w:r w:rsidR="0013568B">
        <w:rPr>
          <w:sz w:val="24"/>
          <w:szCs w:val="24"/>
        </w:rPr>
        <w:t>–</w:t>
      </w:r>
      <w:r w:rsidRPr="00FF1C10">
        <w:rPr>
          <w:sz w:val="24"/>
          <w:szCs w:val="24"/>
        </w:rPr>
        <w:t xml:space="preserve"> w zależności od i</w:t>
      </w:r>
      <w:r w:rsidR="00974C8D">
        <w:rPr>
          <w:sz w:val="24"/>
          <w:szCs w:val="24"/>
        </w:rPr>
        <w:t>stniejących procedur krajowych –</w:t>
      </w:r>
      <w:r w:rsidRPr="00FF1C10">
        <w:rPr>
          <w:sz w:val="24"/>
          <w:szCs w:val="24"/>
        </w:rPr>
        <w:t xml:space="preserve"> na przynajmniej kilka </w:t>
      </w:r>
      <w:r w:rsidR="005A151D" w:rsidRPr="00FF1C10">
        <w:rPr>
          <w:sz w:val="24"/>
          <w:szCs w:val="24"/>
        </w:rPr>
        <w:t>lat</w:t>
      </w:r>
      <w:r w:rsidRPr="00FF1C10">
        <w:rPr>
          <w:sz w:val="24"/>
          <w:szCs w:val="24"/>
        </w:rPr>
        <w:t>.</w:t>
      </w:r>
    </w:p>
    <w:p w:rsidR="00634ACC" w:rsidRPr="00FF1C10" w:rsidRDefault="007C603A" w:rsidP="00FF1C10">
      <w:pPr>
        <w:pStyle w:val="Teksttreci0"/>
        <w:shd w:val="clear" w:color="auto" w:fill="auto"/>
        <w:spacing w:before="120" w:after="0" w:line="360" w:lineRule="auto"/>
        <w:ind w:left="23" w:right="40"/>
        <w:rPr>
          <w:sz w:val="24"/>
          <w:szCs w:val="24"/>
        </w:rPr>
      </w:pPr>
      <w:r w:rsidRPr="00FF1C10">
        <w:rPr>
          <w:sz w:val="24"/>
          <w:szCs w:val="24"/>
        </w:rPr>
        <w:t>A</w:t>
      </w:r>
      <w:r w:rsidR="00C67750" w:rsidRPr="00FF1C10">
        <w:rPr>
          <w:sz w:val="24"/>
          <w:szCs w:val="24"/>
        </w:rPr>
        <w:t xml:space="preserve">rtykuł 17 </w:t>
      </w:r>
      <w:r w:rsidR="00D75A7E" w:rsidRPr="00FF1C10">
        <w:rPr>
          <w:sz w:val="24"/>
          <w:szCs w:val="24"/>
        </w:rPr>
        <w:t xml:space="preserve">poprawionej </w:t>
      </w:r>
      <w:r w:rsidRPr="00FF1C10">
        <w:rPr>
          <w:sz w:val="24"/>
          <w:szCs w:val="24"/>
        </w:rPr>
        <w:t xml:space="preserve">Konwencji </w:t>
      </w:r>
      <w:r w:rsidR="00C67750" w:rsidRPr="00FF1C10">
        <w:rPr>
          <w:sz w:val="24"/>
          <w:szCs w:val="24"/>
        </w:rPr>
        <w:t>od</w:t>
      </w:r>
      <w:r w:rsidRPr="00FF1C10">
        <w:rPr>
          <w:sz w:val="24"/>
          <w:szCs w:val="24"/>
        </w:rPr>
        <w:t xml:space="preserve">nosi się do monitorowania zmian. </w:t>
      </w:r>
      <w:r w:rsidR="00C67750" w:rsidRPr="00FF1C10">
        <w:rPr>
          <w:sz w:val="24"/>
          <w:szCs w:val="24"/>
        </w:rPr>
        <w:t>I tak w</w:t>
      </w:r>
      <w:r w:rsidR="00974C8D">
        <w:rPr>
          <w:sz w:val="24"/>
          <w:szCs w:val="24"/>
        </w:rPr>
        <w:t> ustępie </w:t>
      </w:r>
      <w:r w:rsidR="00C67750" w:rsidRPr="00FF1C10">
        <w:rPr>
          <w:sz w:val="24"/>
          <w:szCs w:val="24"/>
        </w:rPr>
        <w:t>1 odpowiedzialność za monitorowanie wykonywania poprawionej Konwencji spoczywa na Zarządzie Europejskiego Funduszu Wspierania Koprodukcji</w:t>
      </w:r>
      <w:r w:rsidRPr="00FF1C10">
        <w:rPr>
          <w:sz w:val="24"/>
          <w:szCs w:val="24"/>
        </w:rPr>
        <w:t xml:space="preserve"> i</w:t>
      </w:r>
      <w:r w:rsidR="00974C8D">
        <w:rPr>
          <w:sz w:val="24"/>
          <w:szCs w:val="24"/>
        </w:rPr>
        <w:t> </w:t>
      </w:r>
      <w:r w:rsidR="00C67750" w:rsidRPr="00FF1C10">
        <w:rPr>
          <w:sz w:val="24"/>
          <w:szCs w:val="24"/>
        </w:rPr>
        <w:t>Rozpowszechniania Utworów Kinematograficznych i Audiowizualnych „</w:t>
      </w:r>
      <w:proofErr w:type="spellStart"/>
      <w:r w:rsidR="00C67750" w:rsidRPr="00FF1C10">
        <w:rPr>
          <w:sz w:val="24"/>
          <w:szCs w:val="24"/>
        </w:rPr>
        <w:t>Eurimages</w:t>
      </w:r>
      <w:proofErr w:type="spellEnd"/>
      <w:r w:rsidR="00C67750" w:rsidRPr="00FF1C10">
        <w:rPr>
          <w:sz w:val="24"/>
          <w:szCs w:val="24"/>
        </w:rPr>
        <w:t xml:space="preserve">”. </w:t>
      </w:r>
      <w:r w:rsidR="005A151D" w:rsidRPr="00FF1C10">
        <w:rPr>
          <w:sz w:val="24"/>
          <w:szCs w:val="24"/>
        </w:rPr>
        <w:t>Ustęp</w:t>
      </w:r>
      <w:r w:rsidRPr="00FF1C10">
        <w:rPr>
          <w:sz w:val="24"/>
          <w:szCs w:val="24"/>
        </w:rPr>
        <w:t xml:space="preserve"> 2</w:t>
      </w:r>
      <w:r w:rsidR="00C67750" w:rsidRPr="00FF1C10">
        <w:rPr>
          <w:sz w:val="24"/>
          <w:szCs w:val="24"/>
        </w:rPr>
        <w:t xml:space="preserve"> precyzuje, iż każda Strona niebędąca członkiem „</w:t>
      </w:r>
      <w:proofErr w:type="spellStart"/>
      <w:r w:rsidR="00C67750" w:rsidRPr="00FF1C10">
        <w:rPr>
          <w:sz w:val="24"/>
          <w:szCs w:val="24"/>
        </w:rPr>
        <w:t>Eurimages</w:t>
      </w:r>
      <w:proofErr w:type="spellEnd"/>
      <w:r w:rsidR="00C67750" w:rsidRPr="00FF1C10">
        <w:rPr>
          <w:sz w:val="24"/>
          <w:szCs w:val="24"/>
        </w:rPr>
        <w:t>” może być reprezentowana w Zarządzie „</w:t>
      </w:r>
      <w:proofErr w:type="spellStart"/>
      <w:r w:rsidR="00C67750" w:rsidRPr="00FF1C10">
        <w:rPr>
          <w:sz w:val="24"/>
          <w:szCs w:val="24"/>
        </w:rPr>
        <w:t>Eurimages</w:t>
      </w:r>
      <w:proofErr w:type="spellEnd"/>
      <w:r w:rsidR="00C67750" w:rsidRPr="00FF1C10">
        <w:rPr>
          <w:sz w:val="24"/>
          <w:szCs w:val="24"/>
        </w:rPr>
        <w:t xml:space="preserve">” podczas wykonywania zadań </w:t>
      </w:r>
      <w:r w:rsidR="005A151D" w:rsidRPr="00FF1C10">
        <w:rPr>
          <w:sz w:val="24"/>
          <w:szCs w:val="24"/>
        </w:rPr>
        <w:t>określonych</w:t>
      </w:r>
      <w:r w:rsidR="00C67750" w:rsidRPr="00FF1C10">
        <w:rPr>
          <w:sz w:val="24"/>
          <w:szCs w:val="24"/>
        </w:rPr>
        <w:t xml:space="preserve"> niniejszą Konwencją i posiada w nim jeden głos. </w:t>
      </w:r>
      <w:r w:rsidR="005A151D" w:rsidRPr="00FF1C10">
        <w:rPr>
          <w:sz w:val="24"/>
          <w:szCs w:val="24"/>
        </w:rPr>
        <w:t>Ustęp</w:t>
      </w:r>
      <w:r w:rsidR="00C67750" w:rsidRPr="00FF1C10">
        <w:rPr>
          <w:sz w:val="24"/>
          <w:szCs w:val="24"/>
        </w:rPr>
        <w:t xml:space="preserve"> 3 z kolei wymienia działania Zarządu „</w:t>
      </w:r>
      <w:proofErr w:type="spellStart"/>
      <w:r w:rsidR="00C67750" w:rsidRPr="00FF1C10">
        <w:rPr>
          <w:sz w:val="24"/>
          <w:szCs w:val="24"/>
        </w:rPr>
        <w:t>Eurimages</w:t>
      </w:r>
      <w:proofErr w:type="spellEnd"/>
      <w:r w:rsidR="00C67750" w:rsidRPr="00FF1C10">
        <w:rPr>
          <w:sz w:val="24"/>
          <w:szCs w:val="24"/>
        </w:rPr>
        <w:t xml:space="preserve">”, które mają służyć promowaniu skutecznego stosowania poprawionej Konwencji. Wskazane powyżej </w:t>
      </w:r>
      <w:r w:rsidR="00D75A7E" w:rsidRPr="00FF1C10">
        <w:rPr>
          <w:sz w:val="24"/>
          <w:szCs w:val="24"/>
        </w:rPr>
        <w:t>ustę</w:t>
      </w:r>
      <w:r w:rsidR="005A151D" w:rsidRPr="00FF1C10">
        <w:rPr>
          <w:sz w:val="24"/>
          <w:szCs w:val="24"/>
        </w:rPr>
        <w:t>py</w:t>
      </w:r>
      <w:r w:rsidR="00C67750" w:rsidRPr="00FF1C10">
        <w:rPr>
          <w:sz w:val="24"/>
          <w:szCs w:val="24"/>
        </w:rPr>
        <w:t xml:space="preserve"> służą promocji rozwiązań konwencyjnych i ułatwieniu zbierania informacji przydatn</w:t>
      </w:r>
      <w:r w:rsidR="00D75A7E" w:rsidRPr="00FF1C10">
        <w:rPr>
          <w:sz w:val="24"/>
          <w:szCs w:val="24"/>
        </w:rPr>
        <w:t>ych</w:t>
      </w:r>
      <w:r w:rsidR="00C67750" w:rsidRPr="00FF1C10">
        <w:rPr>
          <w:sz w:val="24"/>
          <w:szCs w:val="24"/>
        </w:rPr>
        <w:t xml:space="preserve"> przy ich ewentualnej aktualizacji w przyszłości.</w:t>
      </w:r>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Art</w:t>
      </w:r>
      <w:r w:rsidR="00D75A7E" w:rsidRPr="00FF1C10">
        <w:rPr>
          <w:sz w:val="24"/>
          <w:szCs w:val="24"/>
        </w:rPr>
        <w:t>ykuł</w:t>
      </w:r>
      <w:r w:rsidRPr="00FF1C10">
        <w:rPr>
          <w:sz w:val="24"/>
          <w:szCs w:val="24"/>
        </w:rPr>
        <w:t xml:space="preserve"> 17 </w:t>
      </w:r>
      <w:r w:rsidR="005A151D" w:rsidRPr="00FF1C10">
        <w:rPr>
          <w:sz w:val="24"/>
          <w:szCs w:val="24"/>
        </w:rPr>
        <w:t>ust</w:t>
      </w:r>
      <w:r w:rsidR="00D75A7E" w:rsidRPr="00FF1C10">
        <w:rPr>
          <w:sz w:val="24"/>
          <w:szCs w:val="24"/>
        </w:rPr>
        <w:t>ę</w:t>
      </w:r>
      <w:r w:rsidR="005A151D" w:rsidRPr="00FF1C10">
        <w:rPr>
          <w:sz w:val="24"/>
          <w:szCs w:val="24"/>
        </w:rPr>
        <w:t>p</w:t>
      </w:r>
      <w:r w:rsidRPr="00FF1C10">
        <w:rPr>
          <w:sz w:val="24"/>
          <w:szCs w:val="24"/>
        </w:rPr>
        <w:t xml:space="preserve"> 4 odnosi się do możliwości zmian w załącznikach I </w:t>
      </w:r>
      <w:proofErr w:type="spellStart"/>
      <w:r w:rsidRPr="00FF1C10">
        <w:rPr>
          <w:sz w:val="24"/>
          <w:szCs w:val="24"/>
        </w:rPr>
        <w:t>i</w:t>
      </w:r>
      <w:proofErr w:type="spellEnd"/>
      <w:r w:rsidRPr="00FF1C10">
        <w:rPr>
          <w:sz w:val="24"/>
          <w:szCs w:val="24"/>
        </w:rPr>
        <w:t xml:space="preserve"> II, </w:t>
      </w:r>
      <w:r w:rsidR="00616740">
        <w:rPr>
          <w:sz w:val="24"/>
          <w:szCs w:val="24"/>
        </w:rPr>
        <w:t>a</w:t>
      </w:r>
      <w:r w:rsidRPr="00FF1C10">
        <w:rPr>
          <w:sz w:val="24"/>
          <w:szCs w:val="24"/>
        </w:rPr>
        <w:t xml:space="preserve">by uaktualniać na bieżąco zmiany terminologii funkcjonującej w przemyśle filmowym, precyzując także, jaki podmiot może proponować tego rodzaju zmiany. </w:t>
      </w:r>
      <w:r w:rsidR="005A151D" w:rsidRPr="00FF1C10">
        <w:rPr>
          <w:sz w:val="24"/>
          <w:szCs w:val="24"/>
        </w:rPr>
        <w:t>Ustępy</w:t>
      </w:r>
      <w:r w:rsidRPr="00FF1C10">
        <w:rPr>
          <w:sz w:val="24"/>
          <w:szCs w:val="24"/>
        </w:rPr>
        <w:t xml:space="preserve"> od 5 do 9 definiują, kiedy zmiany mogą wejść w życie</w:t>
      </w:r>
      <w:r w:rsidR="00AD49A9">
        <w:rPr>
          <w:sz w:val="24"/>
          <w:szCs w:val="24"/>
        </w:rPr>
        <w:t>,</w:t>
      </w:r>
      <w:r w:rsidRPr="00FF1C10">
        <w:rPr>
          <w:sz w:val="24"/>
          <w:szCs w:val="24"/>
        </w:rPr>
        <w:t xml:space="preserve"> i określają warunki, w jakich można ich dokonywać. Tego typu rozwiązania umożliwią </w:t>
      </w:r>
      <w:r w:rsidR="00D75A7E" w:rsidRPr="00FF1C10">
        <w:rPr>
          <w:sz w:val="24"/>
          <w:szCs w:val="24"/>
        </w:rPr>
        <w:t xml:space="preserve">konieczne, </w:t>
      </w:r>
      <w:r w:rsidRPr="00FF1C10">
        <w:rPr>
          <w:sz w:val="24"/>
          <w:szCs w:val="24"/>
        </w:rPr>
        <w:t>w szybko zmieniającym się otoczeniu technologicznym, dostosowywanie ter</w:t>
      </w:r>
      <w:r w:rsidR="00974C8D">
        <w:rPr>
          <w:sz w:val="24"/>
          <w:szCs w:val="24"/>
        </w:rPr>
        <w:t>minologii, jaka została użyta w </w:t>
      </w:r>
      <w:r w:rsidRPr="00FF1C10">
        <w:rPr>
          <w:sz w:val="24"/>
          <w:szCs w:val="24"/>
        </w:rPr>
        <w:t>załącznikach do Konwencji, do aktualnego stanu rozwoju, bez potrzeby przeprowadzania sformalizowanej zmiany Konwencji.</w:t>
      </w:r>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 xml:space="preserve">Dodanie nowych artykułów spowodowało przesunięcie numeracji innych jednostek redakcyjnych. Artykuł 18 dotyczy w poprawionej Konwencji „Podpisania, ratyfikacji, przyjęcia, zatwierdzenia” (w Konwencji z 1992 r. jest to artykuł 16). Z kolei artykuł 19 </w:t>
      </w:r>
      <w:r w:rsidRPr="00FF1C10">
        <w:rPr>
          <w:sz w:val="24"/>
          <w:szCs w:val="24"/>
        </w:rPr>
        <w:lastRenderedPageBreak/>
        <w:t xml:space="preserve">dotyczy wejścia w życie poprawionej Konwencji (w Konwencji </w:t>
      </w:r>
      <w:r w:rsidR="00974C8D">
        <w:rPr>
          <w:sz w:val="24"/>
          <w:szCs w:val="24"/>
        </w:rPr>
        <w:t>z 1992 r. jest to artykuł </w:t>
      </w:r>
      <w:r w:rsidRPr="00FF1C10">
        <w:rPr>
          <w:sz w:val="24"/>
          <w:szCs w:val="24"/>
        </w:rPr>
        <w:t xml:space="preserve">17). W </w:t>
      </w:r>
      <w:r w:rsidR="00515208" w:rsidRPr="00FF1C10">
        <w:rPr>
          <w:sz w:val="24"/>
          <w:szCs w:val="24"/>
        </w:rPr>
        <w:t>ustępie</w:t>
      </w:r>
      <w:r w:rsidRPr="00FF1C10">
        <w:rPr>
          <w:sz w:val="24"/>
          <w:szCs w:val="24"/>
        </w:rPr>
        <w:t xml:space="preserve"> 1 zmieniono liczbę państw, których ratyfikacja jest niezbędna do wejścia poprawionej Konwencji w życie. I tak w</w:t>
      </w:r>
      <w:r w:rsidR="00974C8D">
        <w:rPr>
          <w:sz w:val="24"/>
          <w:szCs w:val="24"/>
        </w:rPr>
        <w:t xml:space="preserve"> Konwencji z 1992 r. mówi się o </w:t>
      </w:r>
      <w:r w:rsidRPr="00FF1C10">
        <w:rPr>
          <w:sz w:val="24"/>
          <w:szCs w:val="24"/>
        </w:rPr>
        <w:t xml:space="preserve">pięciu państwach, z których co najmniej cztery są członkami Rady Europy, mających wyrazić zgodę </w:t>
      </w:r>
      <w:r w:rsidR="00515208" w:rsidRPr="00FF1C10">
        <w:rPr>
          <w:sz w:val="24"/>
          <w:szCs w:val="24"/>
        </w:rPr>
        <w:t xml:space="preserve">na związanie się </w:t>
      </w:r>
      <w:r w:rsidRPr="00FF1C10">
        <w:rPr>
          <w:sz w:val="24"/>
          <w:szCs w:val="24"/>
        </w:rPr>
        <w:t>Konwencj</w:t>
      </w:r>
      <w:r w:rsidR="00515208" w:rsidRPr="00FF1C10">
        <w:rPr>
          <w:sz w:val="24"/>
          <w:szCs w:val="24"/>
        </w:rPr>
        <w:t>ą</w:t>
      </w:r>
      <w:r w:rsidRPr="00FF1C10">
        <w:rPr>
          <w:sz w:val="24"/>
          <w:szCs w:val="24"/>
        </w:rPr>
        <w:t xml:space="preserve">. W poprawionej Konwencji zapis o wejściu jej w życie, w części odnoszącej się do określonej liczby państw brzmi: „...w którym trzy państwa, w tym co najmniej dwa państwa członkowskie Rady Europy, wyraziły zgodę na </w:t>
      </w:r>
      <w:r w:rsidR="00515208" w:rsidRPr="00FF1C10">
        <w:rPr>
          <w:sz w:val="24"/>
          <w:szCs w:val="24"/>
        </w:rPr>
        <w:t>związanie się Konwencją</w:t>
      </w:r>
      <w:r w:rsidRPr="00FF1C10">
        <w:rPr>
          <w:sz w:val="24"/>
          <w:szCs w:val="24"/>
        </w:rPr>
        <w:t>”.</w:t>
      </w:r>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Artykuł 20 odnosi się do przystąpienia do poprawionej Konwencji państw nieczłonkowskich. W Konwencji z 1992 r. (jest to art. 18) jest mowa o zaproszeniu „każdego państwa europejskiego nie będącego członkiem Rady Europy, jak również Europejskiej Wspólnoty Gospodarczej”.</w:t>
      </w:r>
      <w:r w:rsidR="00974C8D">
        <w:rPr>
          <w:sz w:val="24"/>
          <w:szCs w:val="24"/>
        </w:rPr>
        <w:t xml:space="preserve"> W znowelizowanej wersji mowa o </w:t>
      </w:r>
      <w:r w:rsidRPr="00FF1C10">
        <w:rPr>
          <w:sz w:val="24"/>
          <w:szCs w:val="24"/>
        </w:rPr>
        <w:t>zaproszeniu każdego państwa niebędącego członkiem Rady Europy</w:t>
      </w:r>
      <w:r w:rsidR="00515208" w:rsidRPr="00FF1C10">
        <w:rPr>
          <w:sz w:val="24"/>
          <w:szCs w:val="24"/>
        </w:rPr>
        <w:t xml:space="preserve">, jak </w:t>
      </w:r>
      <w:r w:rsidRPr="00FF1C10">
        <w:rPr>
          <w:sz w:val="24"/>
          <w:szCs w:val="24"/>
        </w:rPr>
        <w:t xml:space="preserve">i Unii Europejskiej. Taka sama korekta dokonana została w artykule 24 dotyczącym notyfikacji. Nadano mu brzmienie: „Sekretarz Generalny Rady Europy </w:t>
      </w:r>
      <w:r w:rsidR="00515208" w:rsidRPr="00FF1C10">
        <w:rPr>
          <w:sz w:val="24"/>
          <w:szCs w:val="24"/>
        </w:rPr>
        <w:t>po</w:t>
      </w:r>
      <w:r w:rsidRPr="00FF1C10">
        <w:rPr>
          <w:sz w:val="24"/>
          <w:szCs w:val="24"/>
        </w:rPr>
        <w:t>wiadamia państwa członkowskie Rady Europy, jak również Uni</w:t>
      </w:r>
      <w:r w:rsidR="00515208" w:rsidRPr="00FF1C10">
        <w:rPr>
          <w:sz w:val="24"/>
          <w:szCs w:val="24"/>
        </w:rPr>
        <w:t>ę</w:t>
      </w:r>
      <w:r w:rsidRPr="00FF1C10">
        <w:rPr>
          <w:sz w:val="24"/>
          <w:szCs w:val="24"/>
        </w:rPr>
        <w:t xml:space="preserve"> Europejsk</w:t>
      </w:r>
      <w:r w:rsidR="00515208" w:rsidRPr="00FF1C10">
        <w:rPr>
          <w:sz w:val="24"/>
          <w:szCs w:val="24"/>
        </w:rPr>
        <w:t>ą</w:t>
      </w:r>
      <w:r w:rsidR="00381763" w:rsidRPr="00FF1C10">
        <w:rPr>
          <w:sz w:val="24"/>
          <w:szCs w:val="24"/>
        </w:rPr>
        <w:t xml:space="preserve"> </w:t>
      </w:r>
      <w:r w:rsidRPr="00FF1C10">
        <w:rPr>
          <w:sz w:val="24"/>
          <w:szCs w:val="24"/>
        </w:rPr>
        <w:t>i każde państwo, które przystąpiło do niniejszej Konwencji</w:t>
      </w:r>
      <w:r w:rsidR="00984B8E">
        <w:rPr>
          <w:sz w:val="24"/>
          <w:szCs w:val="24"/>
        </w:rPr>
        <w:t>”</w:t>
      </w:r>
      <w:r w:rsidRPr="00FF1C10">
        <w:rPr>
          <w:sz w:val="24"/>
          <w:szCs w:val="24"/>
        </w:rPr>
        <w:t xml:space="preserve">. Zmiana </w:t>
      </w:r>
      <w:r w:rsidR="00515208" w:rsidRPr="00FF1C10">
        <w:rPr>
          <w:sz w:val="24"/>
          <w:szCs w:val="24"/>
        </w:rPr>
        <w:t xml:space="preserve">ta </w:t>
      </w:r>
      <w:r w:rsidRPr="00FF1C10">
        <w:rPr>
          <w:sz w:val="24"/>
          <w:szCs w:val="24"/>
        </w:rPr>
        <w:t>wynika z zastąpienia Europejskiej Wspólnoty Gospodarczej przez Unię Europejską.</w:t>
      </w:r>
    </w:p>
    <w:p w:rsidR="00634ACC" w:rsidRPr="00FF1C10" w:rsidRDefault="00974C8D" w:rsidP="00974C8D">
      <w:pPr>
        <w:pStyle w:val="Nagwek10"/>
        <w:keepNext/>
        <w:keepLines/>
        <w:numPr>
          <w:ilvl w:val="0"/>
          <w:numId w:val="3"/>
        </w:numPr>
        <w:shd w:val="clear" w:color="auto" w:fill="auto"/>
        <w:tabs>
          <w:tab w:val="left" w:pos="426"/>
        </w:tabs>
        <w:spacing w:before="120" w:after="0" w:line="360" w:lineRule="auto"/>
        <w:ind w:left="20"/>
        <w:rPr>
          <w:sz w:val="24"/>
          <w:szCs w:val="24"/>
        </w:rPr>
      </w:pPr>
      <w:bookmarkStart w:id="7" w:name="bookmark7"/>
      <w:r>
        <w:rPr>
          <w:sz w:val="24"/>
          <w:szCs w:val="24"/>
        </w:rPr>
        <w:t>Załącznik I –</w:t>
      </w:r>
      <w:r w:rsidR="00C67750" w:rsidRPr="00FF1C10">
        <w:rPr>
          <w:sz w:val="24"/>
          <w:szCs w:val="24"/>
        </w:rPr>
        <w:t xml:space="preserve"> Procedura składania wniosków</w:t>
      </w:r>
      <w:bookmarkEnd w:id="7"/>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Zmieniona została procedura aplikacyjna w przypadku ubiegania się o wsparcie udzielane na podstawie poprawionej Konwencji. Wykreślon</w:t>
      </w:r>
      <w:r w:rsidR="00974C8D">
        <w:rPr>
          <w:sz w:val="24"/>
          <w:szCs w:val="24"/>
        </w:rPr>
        <w:t>o postanowienie o </w:t>
      </w:r>
      <w:r w:rsidRPr="00FF1C10">
        <w:rPr>
          <w:sz w:val="24"/>
          <w:szCs w:val="24"/>
        </w:rPr>
        <w:t>konieczności złożenia wniosku z kompletem dokumentów na dwa mie</w:t>
      </w:r>
      <w:r w:rsidR="00974C8D">
        <w:rPr>
          <w:sz w:val="24"/>
          <w:szCs w:val="24"/>
        </w:rPr>
        <w:t>siące przed rozpoczęciem zdjęć –</w:t>
      </w:r>
      <w:r w:rsidRPr="00FF1C10">
        <w:rPr>
          <w:sz w:val="24"/>
          <w:szCs w:val="24"/>
        </w:rPr>
        <w:t xml:space="preserve"> obecnie termin ten został skrócony do miesiąca. Powinno to ułatwić producentom ubieganie się o wsparcie. Zostało także wyraźnie rozgraniczone przyznanie tymczasowego statusu koprodukcji oraz statusu ostatecznego. Lista załączników niezbędnych do uzyskania ostatecznego statusu koprodukcji jest szersza niż lista załączników niezbędnych do uzyskania statusu tymczasowego. Uzyskanie tymczasowego statusu koprodukcji pozwala jedynie na ubieganie się o wsparcie udzielane na podstawie Konwencji, a uzyskanie s</w:t>
      </w:r>
      <w:r w:rsidR="00974C8D">
        <w:rPr>
          <w:sz w:val="24"/>
          <w:szCs w:val="24"/>
        </w:rPr>
        <w:t>tatusu ostatecznego wiąże się z </w:t>
      </w:r>
      <w:r w:rsidRPr="00FF1C10">
        <w:rPr>
          <w:sz w:val="24"/>
          <w:szCs w:val="24"/>
        </w:rPr>
        <w:t>wypłatą przyznanych środków beneficjentowi. Zasadne jest więc zróżnicowanie warunków wymaganych od ubiegających się o wsparcie w obu przypadkach.</w:t>
      </w:r>
    </w:p>
    <w:p w:rsidR="00634ACC" w:rsidRPr="00FF1C10" w:rsidRDefault="00974C8D" w:rsidP="00974C8D">
      <w:pPr>
        <w:pStyle w:val="Nagwek10"/>
        <w:keepNext/>
        <w:keepLines/>
        <w:numPr>
          <w:ilvl w:val="0"/>
          <w:numId w:val="3"/>
        </w:numPr>
        <w:shd w:val="clear" w:color="auto" w:fill="auto"/>
        <w:tabs>
          <w:tab w:val="left" w:pos="426"/>
        </w:tabs>
        <w:spacing w:before="120" w:after="0" w:line="360" w:lineRule="auto"/>
        <w:ind w:left="20"/>
        <w:rPr>
          <w:sz w:val="24"/>
          <w:szCs w:val="24"/>
        </w:rPr>
      </w:pPr>
      <w:bookmarkStart w:id="8" w:name="bookmark8"/>
      <w:r>
        <w:rPr>
          <w:sz w:val="24"/>
          <w:szCs w:val="24"/>
        </w:rPr>
        <w:lastRenderedPageBreak/>
        <w:t>Załącznik II –</w:t>
      </w:r>
      <w:r w:rsidR="00C67750" w:rsidRPr="00FF1C10">
        <w:rPr>
          <w:sz w:val="24"/>
          <w:szCs w:val="24"/>
        </w:rPr>
        <w:t xml:space="preserve"> Definicja kwalifikowanego utworu kinematograficznego</w:t>
      </w:r>
      <w:bookmarkEnd w:id="8"/>
    </w:p>
    <w:p w:rsidR="00634ACC" w:rsidRPr="00FF1C10" w:rsidRDefault="00C67750" w:rsidP="00FF1C10">
      <w:pPr>
        <w:pStyle w:val="Teksttreci0"/>
        <w:shd w:val="clear" w:color="auto" w:fill="auto"/>
        <w:spacing w:before="120" w:after="0" w:line="360" w:lineRule="auto"/>
        <w:ind w:left="23" w:right="40"/>
        <w:rPr>
          <w:sz w:val="24"/>
          <w:szCs w:val="24"/>
        </w:rPr>
      </w:pPr>
      <w:r w:rsidRPr="00FF1C10">
        <w:rPr>
          <w:sz w:val="24"/>
          <w:szCs w:val="24"/>
        </w:rPr>
        <w:t xml:space="preserve">W Konwencji </w:t>
      </w:r>
      <w:r w:rsidR="00381763" w:rsidRPr="00FF1C10">
        <w:rPr>
          <w:sz w:val="24"/>
          <w:szCs w:val="24"/>
        </w:rPr>
        <w:t xml:space="preserve">z 1992 r. </w:t>
      </w:r>
      <w:r w:rsidRPr="00FF1C10">
        <w:rPr>
          <w:sz w:val="24"/>
          <w:szCs w:val="24"/>
        </w:rPr>
        <w:t>w definicji kwalifikowanego utworu kinematograficznego funkcjonowało ogólne sformułowanie, iż: „utwór kinematograficzny uważa się za europejski” m.in. jeżeli „odzwierciedla europejską tożsamość”. W poprawionej Konwencji nie pojaw</w:t>
      </w:r>
      <w:r w:rsidR="0013568B">
        <w:rPr>
          <w:sz w:val="24"/>
          <w:szCs w:val="24"/>
        </w:rPr>
        <w:t>ia się kryterium europejskości –</w:t>
      </w:r>
      <w:r w:rsidRPr="00FF1C10">
        <w:rPr>
          <w:sz w:val="24"/>
          <w:szCs w:val="24"/>
        </w:rPr>
        <w:t xml:space="preserve"> wymienia się w trzech tabelach (adekwatnie dla fabuły, animacji i dokument</w:t>
      </w:r>
      <w:r w:rsidR="00974C8D">
        <w:rPr>
          <w:sz w:val="24"/>
          <w:szCs w:val="24"/>
        </w:rPr>
        <w:t>u) jedynie składniki związane z </w:t>
      </w:r>
      <w:r w:rsidRPr="00FF1C10">
        <w:rPr>
          <w:sz w:val="24"/>
          <w:szCs w:val="24"/>
        </w:rPr>
        <w:t>pochodzeniem określonych elementów związanych z</w:t>
      </w:r>
      <w:r w:rsidR="00974C8D">
        <w:rPr>
          <w:sz w:val="24"/>
          <w:szCs w:val="24"/>
        </w:rPr>
        <w:t xml:space="preserve"> daną produkcją audiowizualną z </w:t>
      </w:r>
      <w:r w:rsidRPr="00FF1C10">
        <w:rPr>
          <w:sz w:val="24"/>
          <w:szCs w:val="24"/>
        </w:rPr>
        <w:t xml:space="preserve">państw będących stronami poprawionej Konwencji (np. pochodzenie głównych twórców utworu audiowizualnego, jego warstwy muzycznej czy montażu itp.). Konieczne jest przy tym zebranie określonej liczby punktów dla uznania danego utworu za kwalifikowany utwór kinematograficzny. Zmodernizowano także punktowy system oceny projektów audiowizualnych </w:t>
      </w:r>
      <w:r w:rsidR="00381763" w:rsidRPr="00FF1C10">
        <w:rPr>
          <w:sz w:val="24"/>
          <w:szCs w:val="24"/>
        </w:rPr>
        <w:t>–</w:t>
      </w:r>
      <w:r w:rsidRPr="00FF1C10">
        <w:rPr>
          <w:sz w:val="24"/>
          <w:szCs w:val="24"/>
        </w:rPr>
        <w:t xml:space="preserve"> zostało</w:t>
      </w:r>
      <w:r w:rsidR="00381763" w:rsidRPr="00FF1C10">
        <w:rPr>
          <w:sz w:val="24"/>
          <w:szCs w:val="24"/>
        </w:rPr>
        <w:t xml:space="preserve"> </w:t>
      </w:r>
      <w:r w:rsidRPr="00FF1C10">
        <w:rPr>
          <w:sz w:val="24"/>
          <w:szCs w:val="24"/>
        </w:rPr>
        <w:t>wprowadzone roz</w:t>
      </w:r>
      <w:r w:rsidR="00A71242" w:rsidRPr="00FF1C10">
        <w:rPr>
          <w:sz w:val="24"/>
          <w:szCs w:val="24"/>
        </w:rPr>
        <w:t>różnienie</w:t>
      </w:r>
      <w:r w:rsidRPr="00FF1C10">
        <w:rPr>
          <w:sz w:val="24"/>
          <w:szCs w:val="24"/>
        </w:rPr>
        <w:t xml:space="preserve"> punktowe dla fabuł, animacji i dokumentów. Wiąże się to ze zmia</w:t>
      </w:r>
      <w:r w:rsidR="00974C8D">
        <w:rPr>
          <w:sz w:val="24"/>
          <w:szCs w:val="24"/>
        </w:rPr>
        <w:t>ną liczby punktów w </w:t>
      </w:r>
      <w:r w:rsidRPr="00FF1C10">
        <w:rPr>
          <w:sz w:val="24"/>
          <w:szCs w:val="24"/>
        </w:rPr>
        <w:t xml:space="preserve">każdym z tych trzech przypadków, a także dookreśleniem punktów przyznawanych w związku z pochodzeniem określonych elementów z państw będących stronami poprawionej Konwencji. Jeśli było to konieczne, wprowadzono nowe nazewnictwo zawodów i czynności zgodne </w:t>
      </w:r>
      <w:r w:rsidR="00AD49A9">
        <w:rPr>
          <w:sz w:val="24"/>
          <w:szCs w:val="24"/>
        </w:rPr>
        <w:t>z siatką pojęciową</w:t>
      </w:r>
      <w:r w:rsidRPr="00FF1C10">
        <w:rPr>
          <w:sz w:val="24"/>
          <w:szCs w:val="24"/>
        </w:rPr>
        <w:t xml:space="preserve"> aktualnie funkcjonującą w przemyśle filmowym. Wszystkie te zmiany służą doprecyzowaniu i zobiektywizowaniu zasad, na jakich przyznawany jest status kwalifikowanego utworu kinematograficznego.</w:t>
      </w:r>
    </w:p>
    <w:p w:rsidR="00634ACC" w:rsidRPr="00FF1C10" w:rsidRDefault="00C67750" w:rsidP="00974C8D">
      <w:pPr>
        <w:pStyle w:val="Nagwek10"/>
        <w:keepNext/>
        <w:keepLines/>
        <w:numPr>
          <w:ilvl w:val="0"/>
          <w:numId w:val="1"/>
        </w:numPr>
        <w:shd w:val="clear" w:color="auto" w:fill="auto"/>
        <w:tabs>
          <w:tab w:val="left" w:pos="343"/>
        </w:tabs>
        <w:spacing w:before="240" w:after="0" w:line="360" w:lineRule="auto"/>
        <w:ind w:left="40"/>
        <w:rPr>
          <w:sz w:val="24"/>
          <w:szCs w:val="24"/>
        </w:rPr>
      </w:pPr>
      <w:bookmarkStart w:id="9" w:name="bookmark9"/>
      <w:r w:rsidRPr="00FF1C10">
        <w:rPr>
          <w:sz w:val="24"/>
          <w:szCs w:val="24"/>
        </w:rPr>
        <w:t>Wnioski dotyczące zmiany przepisów polskich</w:t>
      </w:r>
      <w:bookmarkEnd w:id="9"/>
    </w:p>
    <w:p w:rsidR="003D3799" w:rsidRPr="00FF1C10" w:rsidRDefault="00C67750" w:rsidP="00974C8D">
      <w:pPr>
        <w:pStyle w:val="Teksttreci0"/>
        <w:shd w:val="clear" w:color="auto" w:fill="auto"/>
        <w:spacing w:before="120" w:after="0" w:line="360" w:lineRule="auto"/>
        <w:ind w:left="40" w:right="40"/>
        <w:rPr>
          <w:sz w:val="24"/>
          <w:szCs w:val="24"/>
        </w:rPr>
      </w:pPr>
      <w:r w:rsidRPr="00FF1C10">
        <w:rPr>
          <w:sz w:val="24"/>
          <w:szCs w:val="24"/>
        </w:rPr>
        <w:t>Mamy do czynienia jedynie ze zmianą bezpośrednio stosowanej umowy międzynarodowej, którą Rzeczpospolita Polska jest związana od 2003 r. Związanie Rzeczypospolitej Polskiej poprawioną Konwencją Rady Europy o koprodukcji filmowej nie powoduje konieczności zmiany przepisów polskiego prawa.</w:t>
      </w:r>
    </w:p>
    <w:p w:rsidR="00634ACC" w:rsidRPr="00FF1C10" w:rsidRDefault="00C67750" w:rsidP="00974C8D">
      <w:pPr>
        <w:pStyle w:val="Nagwek10"/>
        <w:keepNext/>
        <w:keepLines/>
        <w:numPr>
          <w:ilvl w:val="0"/>
          <w:numId w:val="1"/>
        </w:numPr>
        <w:shd w:val="clear" w:color="auto" w:fill="auto"/>
        <w:spacing w:before="240" w:after="0" w:line="360" w:lineRule="auto"/>
        <w:ind w:left="364" w:right="40" w:hanging="324"/>
        <w:rPr>
          <w:sz w:val="24"/>
          <w:szCs w:val="24"/>
        </w:rPr>
      </w:pPr>
      <w:bookmarkStart w:id="10" w:name="bookmark10"/>
      <w:r w:rsidRPr="00FF1C10">
        <w:rPr>
          <w:sz w:val="24"/>
          <w:szCs w:val="24"/>
        </w:rPr>
        <w:t>Wskazanie przewidywanych skutków społecznych, gospodarczych, finansowych, politycznych związanych z wejściem w życie poprawionej Konwencji</w:t>
      </w:r>
      <w:bookmarkEnd w:id="10"/>
    </w:p>
    <w:p w:rsidR="00634ACC" w:rsidRPr="00FF1C10" w:rsidRDefault="00C67750" w:rsidP="00FF1C10">
      <w:pPr>
        <w:pStyle w:val="Teksttreci0"/>
        <w:shd w:val="clear" w:color="auto" w:fill="auto"/>
        <w:spacing w:before="120" w:after="0" w:line="360" w:lineRule="auto"/>
        <w:ind w:left="40" w:right="40"/>
        <w:rPr>
          <w:sz w:val="24"/>
          <w:szCs w:val="24"/>
        </w:rPr>
      </w:pPr>
      <w:r w:rsidRPr="00FF1C10">
        <w:rPr>
          <w:sz w:val="24"/>
          <w:szCs w:val="24"/>
        </w:rPr>
        <w:t xml:space="preserve">Konwencja o koprodukcji filmowej z 1992 r. </w:t>
      </w:r>
      <w:r w:rsidR="00381763" w:rsidRPr="00FF1C10">
        <w:rPr>
          <w:sz w:val="24"/>
          <w:szCs w:val="24"/>
        </w:rPr>
        <w:t>była</w:t>
      </w:r>
      <w:r w:rsidRPr="00FF1C10">
        <w:rPr>
          <w:sz w:val="24"/>
          <w:szCs w:val="24"/>
        </w:rPr>
        <w:t xml:space="preserve"> aktem prawnym niezbędny</w:t>
      </w:r>
      <w:r w:rsidR="00381763" w:rsidRPr="00FF1C10">
        <w:rPr>
          <w:sz w:val="24"/>
          <w:szCs w:val="24"/>
        </w:rPr>
        <w:t>m</w:t>
      </w:r>
      <w:r w:rsidRPr="00FF1C10">
        <w:rPr>
          <w:sz w:val="24"/>
          <w:szCs w:val="24"/>
        </w:rPr>
        <w:t xml:space="preserve"> przy projektowaniu i realizacji produkcji audiowizualnych, głównie filmowych. Związanie</w:t>
      </w:r>
      <w:r w:rsidR="00381763" w:rsidRPr="00FF1C10">
        <w:rPr>
          <w:sz w:val="24"/>
          <w:szCs w:val="24"/>
        </w:rPr>
        <w:t xml:space="preserve"> </w:t>
      </w:r>
      <w:r w:rsidR="00C221F9">
        <w:rPr>
          <w:sz w:val="24"/>
          <w:szCs w:val="24"/>
        </w:rPr>
        <w:t>Rzeczypospolitej Polskiej wskazan</w:t>
      </w:r>
      <w:r w:rsidRPr="00FF1C10">
        <w:rPr>
          <w:sz w:val="24"/>
          <w:szCs w:val="24"/>
        </w:rPr>
        <w:t xml:space="preserve">ą Konwencją w 2003 r. zapewniło polskim producentom takie same prawa w </w:t>
      </w:r>
      <w:r w:rsidR="00883538" w:rsidRPr="00FF1C10">
        <w:rPr>
          <w:sz w:val="24"/>
          <w:szCs w:val="24"/>
        </w:rPr>
        <w:t xml:space="preserve">innych </w:t>
      </w:r>
      <w:r w:rsidRPr="00FF1C10">
        <w:rPr>
          <w:sz w:val="24"/>
          <w:szCs w:val="24"/>
        </w:rPr>
        <w:t xml:space="preserve">państwach członkowskich Rady Europy, jak </w:t>
      </w:r>
      <w:r w:rsidRPr="00FF1C10">
        <w:rPr>
          <w:sz w:val="24"/>
          <w:szCs w:val="24"/>
        </w:rPr>
        <w:lastRenderedPageBreak/>
        <w:t>prawa producentów mających w nich swoją siedzibę</w:t>
      </w:r>
      <w:r w:rsidR="00762254">
        <w:rPr>
          <w:sz w:val="24"/>
          <w:szCs w:val="24"/>
        </w:rPr>
        <w:t>, a tym samym także dostęp do ró</w:t>
      </w:r>
      <w:r w:rsidRPr="00FF1C10">
        <w:rPr>
          <w:sz w:val="24"/>
          <w:szCs w:val="24"/>
        </w:rPr>
        <w:t xml:space="preserve">żnych rozwiązań systemowych służących wsparciu produkcji audiowizualnej. Głównie należy w tym miejscu wskazać możliwość korzystania ze źródeł finansowania produkcji filmowej oraz objęcie rozwiązaniami prawnymi, które determinują pozycję partnerów koprodukcyjnych. </w:t>
      </w:r>
      <w:r w:rsidR="00381763" w:rsidRPr="00FF1C10">
        <w:rPr>
          <w:sz w:val="24"/>
          <w:szCs w:val="24"/>
        </w:rPr>
        <w:t xml:space="preserve">Przyjęcie poprawionej </w:t>
      </w:r>
      <w:r w:rsidRPr="00FF1C10">
        <w:rPr>
          <w:sz w:val="24"/>
          <w:szCs w:val="24"/>
        </w:rPr>
        <w:t>Konwencji nie wpłynie na ograniczenie tych zasadniczych korzyści dla pol</w:t>
      </w:r>
      <w:r w:rsidR="0013568B">
        <w:rPr>
          <w:sz w:val="24"/>
          <w:szCs w:val="24"/>
        </w:rPr>
        <w:t>skiego sektora audiowizualnego –</w:t>
      </w:r>
      <w:r w:rsidRPr="00FF1C10">
        <w:rPr>
          <w:sz w:val="24"/>
          <w:szCs w:val="24"/>
        </w:rPr>
        <w:t xml:space="preserve"> co więcej rozszerzenie zakresu jej stosowania na państwa pozaeuropejskie powinno zwiększyć udział twórców i ekip z tych państw w produkcjach europejskich.</w:t>
      </w:r>
    </w:p>
    <w:p w:rsidR="00634ACC" w:rsidRPr="00FF1C10" w:rsidRDefault="00C67750" w:rsidP="00FF1C10">
      <w:pPr>
        <w:pStyle w:val="Teksttreci0"/>
        <w:shd w:val="clear" w:color="auto" w:fill="auto"/>
        <w:spacing w:before="120" w:after="0" w:line="360" w:lineRule="auto"/>
        <w:ind w:left="40" w:right="40"/>
        <w:rPr>
          <w:sz w:val="24"/>
          <w:szCs w:val="24"/>
        </w:rPr>
      </w:pPr>
      <w:r w:rsidRPr="00FF1C10">
        <w:rPr>
          <w:rStyle w:val="TeksttreciPogrubienie"/>
          <w:sz w:val="24"/>
          <w:szCs w:val="24"/>
        </w:rPr>
        <w:t xml:space="preserve">Skutki polityczne: </w:t>
      </w:r>
      <w:r w:rsidRPr="00FF1C10">
        <w:rPr>
          <w:sz w:val="24"/>
          <w:szCs w:val="24"/>
        </w:rPr>
        <w:t xml:space="preserve">związanie Rzeczypospolitej Polskiej </w:t>
      </w:r>
      <w:r w:rsidR="00883538" w:rsidRPr="00FF1C10">
        <w:rPr>
          <w:sz w:val="24"/>
          <w:szCs w:val="24"/>
        </w:rPr>
        <w:t>poprawion</w:t>
      </w:r>
      <w:r w:rsidRPr="00FF1C10">
        <w:rPr>
          <w:sz w:val="24"/>
          <w:szCs w:val="24"/>
        </w:rPr>
        <w:t>ą Konwencją Rady Europy o koprodukcji filmowej jest naturalnym efektem zaangażowania naszego państwa w prace Rady Europy i tak też będzie odbi</w:t>
      </w:r>
      <w:r w:rsidR="00974C8D">
        <w:rPr>
          <w:sz w:val="24"/>
          <w:szCs w:val="24"/>
        </w:rPr>
        <w:t>erane przez naszych partnerów w </w:t>
      </w:r>
      <w:r w:rsidRPr="00FF1C10">
        <w:rPr>
          <w:sz w:val="24"/>
          <w:szCs w:val="24"/>
        </w:rPr>
        <w:t xml:space="preserve">tym gremium. </w:t>
      </w:r>
      <w:r w:rsidR="00381763" w:rsidRPr="00FF1C10">
        <w:rPr>
          <w:sz w:val="24"/>
          <w:szCs w:val="24"/>
        </w:rPr>
        <w:t>R</w:t>
      </w:r>
      <w:r w:rsidRPr="00FF1C10">
        <w:rPr>
          <w:sz w:val="24"/>
          <w:szCs w:val="24"/>
        </w:rPr>
        <w:t xml:space="preserve">atyfikacja poprawionej Konwencji </w:t>
      </w:r>
      <w:r w:rsidR="00381763" w:rsidRPr="00FF1C10">
        <w:rPr>
          <w:sz w:val="24"/>
          <w:szCs w:val="24"/>
        </w:rPr>
        <w:t>po</w:t>
      </w:r>
      <w:r w:rsidRPr="00FF1C10">
        <w:rPr>
          <w:sz w:val="24"/>
          <w:szCs w:val="24"/>
        </w:rPr>
        <w:t>winn</w:t>
      </w:r>
      <w:r w:rsidR="00381763" w:rsidRPr="00FF1C10">
        <w:rPr>
          <w:sz w:val="24"/>
          <w:szCs w:val="24"/>
        </w:rPr>
        <w:t>a</w:t>
      </w:r>
      <w:r w:rsidRPr="00FF1C10">
        <w:rPr>
          <w:sz w:val="24"/>
          <w:szCs w:val="24"/>
        </w:rPr>
        <w:t xml:space="preserve"> być pozytywnie odebran</w:t>
      </w:r>
      <w:r w:rsidR="00381763" w:rsidRPr="00FF1C10">
        <w:rPr>
          <w:sz w:val="24"/>
          <w:szCs w:val="24"/>
        </w:rPr>
        <w:t>a</w:t>
      </w:r>
      <w:r w:rsidRPr="00FF1C10">
        <w:rPr>
          <w:sz w:val="24"/>
          <w:szCs w:val="24"/>
        </w:rPr>
        <w:t xml:space="preserve"> przez partnerów społecznych </w:t>
      </w:r>
      <w:r w:rsidR="0013568B">
        <w:rPr>
          <w:sz w:val="24"/>
          <w:szCs w:val="24"/>
        </w:rPr>
        <w:t>–</w:t>
      </w:r>
      <w:r w:rsidRPr="00FF1C10">
        <w:rPr>
          <w:sz w:val="24"/>
          <w:szCs w:val="24"/>
        </w:rPr>
        <w:t xml:space="preserve"> ułatwi ona </w:t>
      </w:r>
      <w:r w:rsidR="00974C8D">
        <w:rPr>
          <w:sz w:val="24"/>
          <w:szCs w:val="24"/>
        </w:rPr>
        <w:t>rozwój współpracy producentów w </w:t>
      </w:r>
      <w:r w:rsidRPr="00FF1C10">
        <w:rPr>
          <w:sz w:val="24"/>
          <w:szCs w:val="24"/>
        </w:rPr>
        <w:t>dziedzinie produkcji filmowej oraz kontakty twórców z państw stron poprawionej Konwencji oraz państw pozaeuropejskich.</w:t>
      </w:r>
    </w:p>
    <w:p w:rsidR="00634ACC" w:rsidRPr="00FF1C10" w:rsidRDefault="00C67750" w:rsidP="00FF1C10">
      <w:pPr>
        <w:pStyle w:val="Teksttreci0"/>
        <w:shd w:val="clear" w:color="auto" w:fill="auto"/>
        <w:spacing w:before="120" w:after="0" w:line="360" w:lineRule="auto"/>
        <w:ind w:left="40"/>
        <w:rPr>
          <w:sz w:val="24"/>
          <w:szCs w:val="24"/>
        </w:rPr>
      </w:pPr>
      <w:r w:rsidRPr="00FF1C10">
        <w:rPr>
          <w:rStyle w:val="TeksttreciPogrubienie"/>
          <w:sz w:val="24"/>
          <w:szCs w:val="24"/>
        </w:rPr>
        <w:t xml:space="preserve">Skutki prawne: </w:t>
      </w:r>
      <w:r w:rsidRPr="00FF1C10">
        <w:rPr>
          <w:sz w:val="24"/>
          <w:szCs w:val="24"/>
        </w:rPr>
        <w:t xml:space="preserve">związanie Rzeczypospolitej Polskiej </w:t>
      </w:r>
      <w:r w:rsidR="00CA13CC" w:rsidRPr="00FF1C10">
        <w:rPr>
          <w:sz w:val="24"/>
          <w:szCs w:val="24"/>
        </w:rPr>
        <w:t>poprawion</w:t>
      </w:r>
      <w:r w:rsidRPr="00FF1C10">
        <w:rPr>
          <w:sz w:val="24"/>
          <w:szCs w:val="24"/>
        </w:rPr>
        <w:t>ą Konwencją Rady Europy</w:t>
      </w:r>
      <w:r w:rsidR="00381763" w:rsidRPr="00FF1C10">
        <w:rPr>
          <w:sz w:val="24"/>
          <w:szCs w:val="24"/>
        </w:rPr>
        <w:t xml:space="preserve"> o </w:t>
      </w:r>
      <w:r w:rsidRPr="00FF1C10">
        <w:rPr>
          <w:sz w:val="24"/>
          <w:szCs w:val="24"/>
        </w:rPr>
        <w:t xml:space="preserve">koprodukcji filmowej nie powoduje konieczności zmiany przepisów polskiego prawa, </w:t>
      </w:r>
      <w:r w:rsidR="00A71242" w:rsidRPr="00FF1C10">
        <w:rPr>
          <w:sz w:val="24"/>
          <w:szCs w:val="24"/>
        </w:rPr>
        <w:t>ale</w:t>
      </w:r>
      <w:r w:rsidRPr="00FF1C10">
        <w:rPr>
          <w:sz w:val="24"/>
          <w:szCs w:val="24"/>
        </w:rPr>
        <w:t xml:space="preserve"> jej ratyfikacja wymaga uprzedniej zgody wyrażonej w ustawie.</w:t>
      </w:r>
    </w:p>
    <w:p w:rsidR="00634ACC" w:rsidRPr="00FF1C10" w:rsidRDefault="00C67750" w:rsidP="00FF1C10">
      <w:pPr>
        <w:pStyle w:val="Teksttreci0"/>
        <w:shd w:val="clear" w:color="auto" w:fill="auto"/>
        <w:spacing w:before="120" w:after="0" w:line="360" w:lineRule="auto"/>
        <w:ind w:left="40" w:right="40"/>
        <w:rPr>
          <w:sz w:val="24"/>
          <w:szCs w:val="24"/>
        </w:rPr>
      </w:pPr>
      <w:r w:rsidRPr="00FF1C10">
        <w:rPr>
          <w:rStyle w:val="TeksttreciPogrubienie"/>
          <w:sz w:val="24"/>
          <w:szCs w:val="24"/>
        </w:rPr>
        <w:t xml:space="preserve">Skutki społeczne, gospodarcze i finansowe: </w:t>
      </w:r>
      <w:r w:rsidRPr="00FF1C10">
        <w:rPr>
          <w:sz w:val="24"/>
          <w:szCs w:val="24"/>
        </w:rPr>
        <w:t xml:space="preserve">związanie Rzeczypospolitej Polskiej </w:t>
      </w:r>
      <w:r w:rsidR="00A25326" w:rsidRPr="00FF1C10">
        <w:rPr>
          <w:sz w:val="24"/>
          <w:szCs w:val="24"/>
        </w:rPr>
        <w:t>poprawio</w:t>
      </w:r>
      <w:r w:rsidRPr="00FF1C10">
        <w:rPr>
          <w:sz w:val="24"/>
          <w:szCs w:val="24"/>
        </w:rPr>
        <w:t>ną Konwencją Rady Europy o koprodukcji filmowej ułatwi rozwój współpracy producentów w dziedzinie produkcji filmowej oraz kontakty między twórcami z państw stron Konwencji oraz państw pozaeuropejskich.</w:t>
      </w:r>
    </w:p>
    <w:p w:rsidR="00634ACC" w:rsidRPr="00FF1C10" w:rsidRDefault="00C67750" w:rsidP="00FF1C10">
      <w:pPr>
        <w:pStyle w:val="Teksttreci0"/>
        <w:shd w:val="clear" w:color="auto" w:fill="auto"/>
        <w:spacing w:before="120" w:after="0" w:line="360" w:lineRule="auto"/>
        <w:ind w:left="40" w:right="40"/>
        <w:rPr>
          <w:sz w:val="24"/>
          <w:szCs w:val="24"/>
        </w:rPr>
      </w:pPr>
      <w:r w:rsidRPr="00FF1C10">
        <w:rPr>
          <w:sz w:val="24"/>
          <w:szCs w:val="24"/>
        </w:rPr>
        <w:t>Międzynarodowy charakter produkcji pozwala na pozyskanie dodatkowych środków do zamknięcia planowanego budżetu filmu</w:t>
      </w:r>
      <w:r w:rsidR="00974C8D">
        <w:rPr>
          <w:sz w:val="24"/>
          <w:szCs w:val="24"/>
        </w:rPr>
        <w:t>. Ten mechanizm sprawdził się w </w:t>
      </w:r>
      <w:r w:rsidRPr="00FF1C10">
        <w:rPr>
          <w:sz w:val="24"/>
          <w:szCs w:val="24"/>
        </w:rPr>
        <w:t>dotychczasowej formule Konwencji, aczkolwiek w przypadku krajów o niższym potencjale koprodukcyjnym wymóg 10% udziału w kosztach produkcji przy koprodukcjach wielostronnych oraz 20% udziału w kosztach produkcji przy koprodukcjach dwustronnych stawał się niejednokrotnie barierą nie do przekroczenia. Należy spodziewać się, iż konsekwencją zmiany warunków dotyczących minimalnych i maksymalnych udziałów koproducentów w pro</w:t>
      </w:r>
      <w:r w:rsidR="00974C8D">
        <w:rPr>
          <w:sz w:val="24"/>
          <w:szCs w:val="24"/>
        </w:rPr>
        <w:t>dukcji utworu audiowizualnego w </w:t>
      </w:r>
      <w:r w:rsidRPr="00FF1C10">
        <w:rPr>
          <w:sz w:val="24"/>
          <w:szCs w:val="24"/>
        </w:rPr>
        <w:t>poprawionej wersji Konwencji będzie poszerzenie liczby koproducentów z różnych krajów, którzy będą mogli ubiegać się o wsparcie udzielane w ramach koprodukcji.</w:t>
      </w:r>
      <w:r w:rsidR="00CA13CC" w:rsidRPr="00FF1C10">
        <w:rPr>
          <w:sz w:val="24"/>
          <w:szCs w:val="24"/>
        </w:rPr>
        <w:t xml:space="preserve"> I </w:t>
      </w:r>
      <w:r w:rsidRPr="00FF1C10">
        <w:rPr>
          <w:sz w:val="24"/>
          <w:szCs w:val="24"/>
        </w:rPr>
        <w:lastRenderedPageBreak/>
        <w:t xml:space="preserve">tak poszczególne kraje będą mogły </w:t>
      </w:r>
      <w:r w:rsidR="00A71242" w:rsidRPr="00FF1C10">
        <w:rPr>
          <w:sz w:val="24"/>
          <w:szCs w:val="24"/>
        </w:rPr>
        <w:t>uczestniczyć</w:t>
      </w:r>
      <w:r w:rsidRPr="00FF1C10">
        <w:rPr>
          <w:sz w:val="24"/>
          <w:szCs w:val="24"/>
        </w:rPr>
        <w:t xml:space="preserve"> </w:t>
      </w:r>
      <w:r w:rsidR="00A71242" w:rsidRPr="00FF1C10">
        <w:rPr>
          <w:sz w:val="24"/>
          <w:szCs w:val="24"/>
        </w:rPr>
        <w:t>z wkładem</w:t>
      </w:r>
      <w:r w:rsidRPr="00FF1C10">
        <w:rPr>
          <w:sz w:val="24"/>
          <w:szCs w:val="24"/>
        </w:rPr>
        <w:t xml:space="preserve"> 5% zamiast obecnie 10% przy koprodukcjach wielostronnych; przy dwustronnych będzie to </w:t>
      </w:r>
      <w:r w:rsidR="00A71242" w:rsidRPr="00FF1C10">
        <w:rPr>
          <w:sz w:val="24"/>
          <w:szCs w:val="24"/>
        </w:rPr>
        <w:t>wkład</w:t>
      </w:r>
      <w:r w:rsidRPr="00FF1C10">
        <w:rPr>
          <w:sz w:val="24"/>
          <w:szCs w:val="24"/>
        </w:rPr>
        <w:t xml:space="preserve"> 10% zamiast 20%. Maksymalne </w:t>
      </w:r>
      <w:r w:rsidR="00A71242" w:rsidRPr="00FF1C10">
        <w:rPr>
          <w:sz w:val="24"/>
          <w:szCs w:val="24"/>
        </w:rPr>
        <w:t>wkłady</w:t>
      </w:r>
      <w:r w:rsidRPr="00FF1C10">
        <w:rPr>
          <w:sz w:val="24"/>
          <w:szCs w:val="24"/>
        </w:rPr>
        <w:t xml:space="preserve"> </w:t>
      </w:r>
      <w:r w:rsidR="00A71242" w:rsidRPr="00FF1C10">
        <w:rPr>
          <w:sz w:val="24"/>
          <w:szCs w:val="24"/>
        </w:rPr>
        <w:t xml:space="preserve">będą </w:t>
      </w:r>
      <w:r w:rsidRPr="00FF1C10">
        <w:rPr>
          <w:sz w:val="24"/>
          <w:szCs w:val="24"/>
        </w:rPr>
        <w:t>wynosić 80% całkowitych kosztów produkcji filmu przy koprodukcjach wielostronnych (zamiast 70%) i 90% całkowitych kosztów produkcji filmu przy koprodukcjach dwustronnych.</w:t>
      </w:r>
    </w:p>
    <w:p w:rsidR="00634ACC" w:rsidRPr="00FF1C10" w:rsidRDefault="00C67750" w:rsidP="00FF1C10">
      <w:pPr>
        <w:pStyle w:val="Teksttreci0"/>
        <w:shd w:val="clear" w:color="auto" w:fill="auto"/>
        <w:spacing w:before="120" w:after="0" w:line="360" w:lineRule="auto"/>
        <w:ind w:left="40" w:right="40"/>
        <w:rPr>
          <w:sz w:val="24"/>
          <w:szCs w:val="24"/>
        </w:rPr>
      </w:pPr>
      <w:r w:rsidRPr="00FF1C10">
        <w:rPr>
          <w:sz w:val="24"/>
          <w:szCs w:val="24"/>
        </w:rPr>
        <w:t xml:space="preserve">To rozwiązanie korzystne dla polskiego sektora produkcji filmowej nie tylko ze względów finansowych. Polscy filmowcy pracujący przy międzynarodowych koprodukcjach zdobywają także nowe doświadczenia i umiejętności, wyrabiają sobie </w:t>
      </w:r>
      <w:r w:rsidR="00883538" w:rsidRPr="00FF1C10">
        <w:rPr>
          <w:sz w:val="24"/>
          <w:szCs w:val="24"/>
        </w:rPr>
        <w:t>renomę</w:t>
      </w:r>
      <w:r w:rsidRPr="00FF1C10">
        <w:rPr>
          <w:sz w:val="24"/>
          <w:szCs w:val="24"/>
        </w:rPr>
        <w:t>, niejednokrotnie też kontynuują pracę przy kolejnych filmach poza granicami naszego kraju. W wyniku zmian wprowadzonych w poprawionej Konwencji można będzie liczyć na większą aktywizację polskich producentów filmowych i zwiększenie liczby rodzimych twórców, reprezentujących różne zawody filmowe, którzy będą pracowali przy międzynarodowych koprodukcjach filmowych.</w:t>
      </w:r>
    </w:p>
    <w:p w:rsidR="00634ACC" w:rsidRPr="00FF1C10" w:rsidRDefault="00C67750" w:rsidP="00FF1C10">
      <w:pPr>
        <w:pStyle w:val="Teksttreci0"/>
        <w:shd w:val="clear" w:color="auto" w:fill="auto"/>
        <w:spacing w:before="120" w:after="0" w:line="360" w:lineRule="auto"/>
        <w:ind w:left="40" w:right="40"/>
        <w:rPr>
          <w:sz w:val="24"/>
          <w:szCs w:val="24"/>
        </w:rPr>
      </w:pPr>
      <w:r w:rsidRPr="00FF1C10">
        <w:rPr>
          <w:sz w:val="24"/>
          <w:szCs w:val="24"/>
        </w:rPr>
        <w:t xml:space="preserve">Dopuszczenie do korzystania ze wsparcia, wynikającego z </w:t>
      </w:r>
      <w:r w:rsidR="00CA13CC" w:rsidRPr="00FF1C10">
        <w:rPr>
          <w:sz w:val="24"/>
          <w:szCs w:val="24"/>
        </w:rPr>
        <w:t>postanowień poprawionej</w:t>
      </w:r>
      <w:r w:rsidRPr="00FF1C10">
        <w:rPr>
          <w:sz w:val="24"/>
          <w:szCs w:val="24"/>
        </w:rPr>
        <w:t xml:space="preserve"> Konwencji, koproducentów z państw pozaeuropejskich pociąga za sobą automatycznie rezygnację z warunku o utrwalaniu </w:t>
      </w:r>
      <w:r w:rsidR="000525D3">
        <w:rPr>
          <w:sz w:val="24"/>
          <w:szCs w:val="24"/>
        </w:rPr>
        <w:t>„</w:t>
      </w:r>
      <w:r w:rsidRPr="00FF1C10">
        <w:rPr>
          <w:sz w:val="24"/>
          <w:szCs w:val="24"/>
        </w:rPr>
        <w:t>europejskiej tożsamości” przez utwór kinematograficzny.</w:t>
      </w:r>
      <w:r w:rsidR="00CA13CC" w:rsidRPr="00FF1C10">
        <w:rPr>
          <w:sz w:val="24"/>
          <w:szCs w:val="24"/>
        </w:rPr>
        <w:t xml:space="preserve"> </w:t>
      </w:r>
      <w:r w:rsidRPr="00FF1C10">
        <w:rPr>
          <w:sz w:val="24"/>
          <w:szCs w:val="24"/>
        </w:rPr>
        <w:t xml:space="preserve">W obecnym </w:t>
      </w:r>
      <w:r w:rsidR="00C221F9">
        <w:rPr>
          <w:sz w:val="24"/>
          <w:szCs w:val="24"/>
        </w:rPr>
        <w:t>brzmieniu Konwencji</w:t>
      </w:r>
      <w:r w:rsidRPr="00FF1C10">
        <w:rPr>
          <w:sz w:val="24"/>
          <w:szCs w:val="24"/>
        </w:rPr>
        <w:t xml:space="preserve"> waru</w:t>
      </w:r>
      <w:r w:rsidR="00C221F9">
        <w:rPr>
          <w:sz w:val="24"/>
          <w:szCs w:val="24"/>
        </w:rPr>
        <w:t>nek ten zostaje rozszerzony na „</w:t>
      </w:r>
      <w:r w:rsidRPr="00FF1C10">
        <w:rPr>
          <w:sz w:val="24"/>
          <w:szCs w:val="24"/>
        </w:rPr>
        <w:t>promowanie różnorodności kulturowej i dialogu międzyk</w:t>
      </w:r>
      <w:bookmarkStart w:id="11" w:name="_GoBack"/>
      <w:r w:rsidRPr="00FF1C10">
        <w:rPr>
          <w:sz w:val="24"/>
          <w:szCs w:val="24"/>
        </w:rPr>
        <w:t>u</w:t>
      </w:r>
      <w:bookmarkEnd w:id="11"/>
      <w:r w:rsidRPr="00FF1C10">
        <w:rPr>
          <w:sz w:val="24"/>
          <w:szCs w:val="24"/>
        </w:rPr>
        <w:t>lturowego”. Dzięki temu zapisowi powsta</w:t>
      </w:r>
      <w:r w:rsidR="00A25326" w:rsidRPr="00FF1C10">
        <w:rPr>
          <w:sz w:val="24"/>
          <w:szCs w:val="24"/>
        </w:rPr>
        <w:t>jący utwór nie promuje jedynie „</w:t>
      </w:r>
      <w:r w:rsidRPr="00FF1C10">
        <w:rPr>
          <w:sz w:val="24"/>
          <w:szCs w:val="24"/>
        </w:rPr>
        <w:t>europejskiej tożsamości”, lecz winien uwzględniać różnorodność i odrębność wielu kultur, także pozaeuropejskich.</w:t>
      </w:r>
    </w:p>
    <w:p w:rsidR="00634ACC" w:rsidRPr="00FF1C10" w:rsidRDefault="00C67750" w:rsidP="00FF1C10">
      <w:pPr>
        <w:pStyle w:val="Teksttreci0"/>
        <w:shd w:val="clear" w:color="auto" w:fill="auto"/>
        <w:spacing w:before="120" w:after="0" w:line="360" w:lineRule="auto"/>
        <w:ind w:left="62" w:right="40"/>
        <w:rPr>
          <w:sz w:val="24"/>
          <w:szCs w:val="24"/>
        </w:rPr>
      </w:pPr>
      <w:r w:rsidRPr="00FF1C10">
        <w:rPr>
          <w:sz w:val="24"/>
          <w:szCs w:val="24"/>
        </w:rPr>
        <w:t xml:space="preserve">Ze względu na fakt, iż współpraca producentów z różnych krajów w dziedzinie produkcji filmowej jest coraz bardziej otwarta i dynamiczna, zaś kontakty twórców są dużo łatwiejsze, wiele krajów trzecich jest zainteresowanych europejskimi koprodukcjami. </w:t>
      </w:r>
      <w:r w:rsidR="00883538" w:rsidRPr="00FF1C10">
        <w:rPr>
          <w:sz w:val="24"/>
          <w:szCs w:val="24"/>
        </w:rPr>
        <w:t>Poprawio</w:t>
      </w:r>
      <w:r w:rsidRPr="00FF1C10">
        <w:rPr>
          <w:sz w:val="24"/>
          <w:szCs w:val="24"/>
        </w:rPr>
        <w:t>na Konwencja wychodzi naprzeciw tym oczekiwaniom. Pamiętać przy tym należy, iż poza współpracą produkcyjną producent zyskuje dodatkowe możliwości promocyjne zrealizowanego utworu, a szanse, że film trafi na renomowany międzynarodowy festiwal zdecydowanie wzrastają. Często też zagraniczni partnerzy wnoszą ze sobą do projektu unikatową sieć kontaktów, które bardzo ułatwiają np. zagraniczną sprzedaż czy dystrybucję utworu kinematograficznego.</w:t>
      </w:r>
    </w:p>
    <w:p w:rsidR="00634ACC" w:rsidRPr="00FF1C10" w:rsidRDefault="00CA13CC" w:rsidP="00FF1C10">
      <w:pPr>
        <w:pStyle w:val="Teksttreci0"/>
        <w:shd w:val="clear" w:color="auto" w:fill="auto"/>
        <w:spacing w:before="120" w:after="0" w:line="360" w:lineRule="auto"/>
        <w:ind w:left="60" w:right="40"/>
        <w:rPr>
          <w:sz w:val="24"/>
          <w:szCs w:val="24"/>
        </w:rPr>
      </w:pPr>
      <w:r w:rsidRPr="00FF1C10">
        <w:rPr>
          <w:sz w:val="24"/>
          <w:szCs w:val="24"/>
        </w:rPr>
        <w:t>Poprawiona</w:t>
      </w:r>
      <w:r w:rsidR="00C67750" w:rsidRPr="00FF1C10">
        <w:rPr>
          <w:sz w:val="24"/>
          <w:szCs w:val="24"/>
        </w:rPr>
        <w:t xml:space="preserve"> Konwencj</w:t>
      </w:r>
      <w:r w:rsidRPr="00FF1C10">
        <w:rPr>
          <w:sz w:val="24"/>
          <w:szCs w:val="24"/>
        </w:rPr>
        <w:t>a</w:t>
      </w:r>
      <w:r w:rsidR="00C67750" w:rsidRPr="00FF1C10">
        <w:rPr>
          <w:sz w:val="24"/>
          <w:szCs w:val="24"/>
        </w:rPr>
        <w:t xml:space="preserve"> będ</w:t>
      </w:r>
      <w:r w:rsidRPr="00FF1C10">
        <w:rPr>
          <w:sz w:val="24"/>
          <w:szCs w:val="24"/>
        </w:rPr>
        <w:t>zie</w:t>
      </w:r>
      <w:r w:rsidR="00C67750" w:rsidRPr="00FF1C10">
        <w:rPr>
          <w:sz w:val="24"/>
          <w:szCs w:val="24"/>
        </w:rPr>
        <w:t xml:space="preserve"> miał</w:t>
      </w:r>
      <w:r w:rsidRPr="00FF1C10">
        <w:rPr>
          <w:sz w:val="24"/>
          <w:szCs w:val="24"/>
        </w:rPr>
        <w:t>a</w:t>
      </w:r>
      <w:r w:rsidR="00C67750" w:rsidRPr="00FF1C10">
        <w:rPr>
          <w:sz w:val="24"/>
          <w:szCs w:val="24"/>
        </w:rPr>
        <w:t xml:space="preserve"> pozytywny wpływ na polski sektor audiowizualny. Zmodernizowane postanowienia dotyczące m.in. limitu </w:t>
      </w:r>
      <w:r w:rsidR="00A71242" w:rsidRPr="00FF1C10">
        <w:rPr>
          <w:sz w:val="24"/>
          <w:szCs w:val="24"/>
        </w:rPr>
        <w:t>wkładu</w:t>
      </w:r>
      <w:r w:rsidR="00C67750" w:rsidRPr="00FF1C10">
        <w:rPr>
          <w:sz w:val="24"/>
          <w:szCs w:val="24"/>
        </w:rPr>
        <w:t xml:space="preserve"> </w:t>
      </w:r>
      <w:r w:rsidR="00C67750" w:rsidRPr="00FF1C10">
        <w:rPr>
          <w:sz w:val="24"/>
          <w:szCs w:val="24"/>
        </w:rPr>
        <w:lastRenderedPageBreak/>
        <w:t>koproducentów w produkcji utworu audiowizualnego</w:t>
      </w:r>
      <w:r w:rsidR="00974C8D">
        <w:rPr>
          <w:sz w:val="24"/>
          <w:szCs w:val="24"/>
        </w:rPr>
        <w:t xml:space="preserve"> koniecznych do ubiegania się o </w:t>
      </w:r>
      <w:r w:rsidR="00C67750" w:rsidRPr="00FF1C10">
        <w:rPr>
          <w:sz w:val="24"/>
          <w:szCs w:val="24"/>
        </w:rPr>
        <w:t xml:space="preserve">wsparcie udzielane w ramach poprawionej Konwencji czy też zmiana warunków, jakie muszą spełniać koprodukcje, aby mogły korzystać ze wsparcia </w:t>
      </w:r>
      <w:r w:rsidRPr="00FF1C10">
        <w:rPr>
          <w:sz w:val="24"/>
          <w:szCs w:val="24"/>
        </w:rPr>
        <w:t>–</w:t>
      </w:r>
      <w:r w:rsidR="00C67750" w:rsidRPr="00FF1C10">
        <w:rPr>
          <w:sz w:val="24"/>
          <w:szCs w:val="24"/>
        </w:rPr>
        <w:t xml:space="preserve"> umożliwią</w:t>
      </w:r>
      <w:r w:rsidRPr="00FF1C10">
        <w:rPr>
          <w:sz w:val="24"/>
          <w:szCs w:val="24"/>
        </w:rPr>
        <w:t xml:space="preserve"> </w:t>
      </w:r>
      <w:r w:rsidR="00C67750" w:rsidRPr="00FF1C10">
        <w:rPr>
          <w:sz w:val="24"/>
          <w:szCs w:val="24"/>
        </w:rPr>
        <w:t>polskim producentom tworzenie koprodukcji z większą liczbą potencjalnych koproducentów, w tym także z producentami z państw pozaeuropejskich, dla których mogą stać się atrakcyjnym partnerem. Wzmocnieniu ulegnie również współpraca pomiędzy producentami z różnych krajów Starego Kontynentu. Ponadto łatwiejsze powi</w:t>
      </w:r>
      <w:r w:rsidRPr="00FF1C10">
        <w:rPr>
          <w:sz w:val="24"/>
          <w:szCs w:val="24"/>
        </w:rPr>
        <w:t>nn</w:t>
      </w:r>
      <w:r w:rsidR="00C67750" w:rsidRPr="00FF1C10">
        <w:rPr>
          <w:sz w:val="24"/>
          <w:szCs w:val="24"/>
        </w:rPr>
        <w:t>o też być uzyskiwanie wsparcia dla produkcji audiowizualnej z Funduszu „</w:t>
      </w:r>
      <w:proofErr w:type="spellStart"/>
      <w:r w:rsidR="00A71242" w:rsidRPr="00FF1C10">
        <w:rPr>
          <w:sz w:val="24"/>
          <w:szCs w:val="24"/>
        </w:rPr>
        <w:t>Eur</w:t>
      </w:r>
      <w:r w:rsidR="00C67750" w:rsidRPr="00FF1C10">
        <w:rPr>
          <w:sz w:val="24"/>
          <w:szCs w:val="24"/>
        </w:rPr>
        <w:t>images</w:t>
      </w:r>
      <w:proofErr w:type="spellEnd"/>
      <w:r w:rsidR="00C67750" w:rsidRPr="00FF1C10">
        <w:rPr>
          <w:sz w:val="24"/>
          <w:szCs w:val="24"/>
        </w:rPr>
        <w:t>” w oparciu o poprawioną Konwencję</w:t>
      </w:r>
      <w:r w:rsidRPr="00FF1C10">
        <w:rPr>
          <w:sz w:val="24"/>
          <w:szCs w:val="24"/>
        </w:rPr>
        <w:t>,</w:t>
      </w:r>
      <w:r w:rsidR="00C67750" w:rsidRPr="00FF1C10">
        <w:rPr>
          <w:sz w:val="24"/>
          <w:szCs w:val="24"/>
        </w:rPr>
        <w:t xml:space="preserve"> także dla producentów zaangażowanych w międzynarodowe koprodukcje w mniejszym wymiarze finansowym.</w:t>
      </w:r>
    </w:p>
    <w:p w:rsidR="00CA13CC" w:rsidRPr="00FF1C10" w:rsidRDefault="00C67750" w:rsidP="00974C8D">
      <w:pPr>
        <w:pStyle w:val="Teksttreci0"/>
        <w:shd w:val="clear" w:color="auto" w:fill="auto"/>
        <w:spacing w:before="120" w:after="0" w:line="360" w:lineRule="auto"/>
        <w:ind w:left="60" w:right="40"/>
        <w:rPr>
          <w:sz w:val="24"/>
          <w:szCs w:val="24"/>
        </w:rPr>
      </w:pPr>
      <w:r w:rsidRPr="00FF1C10">
        <w:rPr>
          <w:sz w:val="24"/>
          <w:szCs w:val="24"/>
        </w:rPr>
        <w:t>Przyjęcie zmienionej Konwencji nie spowoduje skutków finansowych dla budżetu państwa i jednostek samorządu terytorialnego w postaci zmniejszenia dochodów, zwiększania wydatków lub zmiany ich struktury.</w:t>
      </w:r>
    </w:p>
    <w:p w:rsidR="00634ACC" w:rsidRPr="00FF1C10" w:rsidRDefault="00C67750" w:rsidP="00974C8D">
      <w:pPr>
        <w:pStyle w:val="Nagwek10"/>
        <w:keepNext/>
        <w:keepLines/>
        <w:numPr>
          <w:ilvl w:val="0"/>
          <w:numId w:val="1"/>
        </w:numPr>
        <w:shd w:val="clear" w:color="auto" w:fill="auto"/>
        <w:spacing w:before="240" w:after="0" w:line="360" w:lineRule="auto"/>
        <w:ind w:left="426" w:right="40" w:hanging="366"/>
        <w:rPr>
          <w:sz w:val="24"/>
          <w:szCs w:val="24"/>
        </w:rPr>
      </w:pPr>
      <w:bookmarkStart w:id="12" w:name="bookmark11"/>
      <w:r w:rsidRPr="00FF1C10">
        <w:rPr>
          <w:sz w:val="24"/>
          <w:szCs w:val="24"/>
        </w:rPr>
        <w:t>Wyjaśnienie wyboru trybu związania Rzeczypospolitej Polskiej poprawioną Konwencją</w:t>
      </w:r>
      <w:bookmarkEnd w:id="12"/>
    </w:p>
    <w:p w:rsidR="00634ACC" w:rsidRDefault="00C67750" w:rsidP="00FF1C10">
      <w:pPr>
        <w:pStyle w:val="Teksttreci0"/>
        <w:shd w:val="clear" w:color="auto" w:fill="auto"/>
        <w:spacing w:before="120" w:after="0" w:line="360" w:lineRule="auto"/>
        <w:ind w:left="62" w:right="40"/>
        <w:rPr>
          <w:sz w:val="24"/>
          <w:szCs w:val="24"/>
        </w:rPr>
      </w:pPr>
      <w:r w:rsidRPr="00FF1C10">
        <w:rPr>
          <w:sz w:val="24"/>
          <w:szCs w:val="24"/>
        </w:rPr>
        <w:t>Związanie Rzeczypospolitej Polskiej Konwencją Rady Europy o koprodukcji filmowej</w:t>
      </w:r>
      <w:r w:rsidR="00A71242" w:rsidRPr="00FF1C10">
        <w:rPr>
          <w:sz w:val="24"/>
          <w:szCs w:val="24"/>
        </w:rPr>
        <w:t xml:space="preserve"> (poprawioną) </w:t>
      </w:r>
      <w:r w:rsidR="00974C8D">
        <w:rPr>
          <w:sz w:val="24"/>
          <w:szCs w:val="24"/>
        </w:rPr>
        <w:t>–</w:t>
      </w:r>
      <w:r w:rsidRPr="00FF1C10">
        <w:rPr>
          <w:sz w:val="24"/>
          <w:szCs w:val="24"/>
        </w:rPr>
        <w:t xml:space="preserve"> podobnie jak miało to miejsce w przy okazji związania Jej </w:t>
      </w:r>
      <w:r w:rsidR="00CA13CC" w:rsidRPr="00FF1C10">
        <w:rPr>
          <w:sz w:val="24"/>
          <w:szCs w:val="24"/>
        </w:rPr>
        <w:t xml:space="preserve">Europejską </w:t>
      </w:r>
      <w:r w:rsidRPr="00FF1C10">
        <w:rPr>
          <w:sz w:val="24"/>
          <w:szCs w:val="24"/>
        </w:rPr>
        <w:t xml:space="preserve">Konwencją </w:t>
      </w:r>
      <w:r w:rsidR="00CA13CC" w:rsidRPr="00FF1C10">
        <w:rPr>
          <w:sz w:val="24"/>
          <w:szCs w:val="24"/>
        </w:rPr>
        <w:t>o koprodukcji filmowej z 1992 r.</w:t>
      </w:r>
      <w:r w:rsidR="006B6B1C">
        <w:rPr>
          <w:sz w:val="24"/>
          <w:szCs w:val="24"/>
        </w:rPr>
        <w:t>,</w:t>
      </w:r>
      <w:r w:rsidR="00CA13CC" w:rsidRPr="00FF1C10">
        <w:rPr>
          <w:sz w:val="24"/>
          <w:szCs w:val="24"/>
        </w:rPr>
        <w:t xml:space="preserve"> </w:t>
      </w:r>
      <w:r w:rsidRPr="00FF1C10">
        <w:rPr>
          <w:sz w:val="24"/>
          <w:szCs w:val="24"/>
        </w:rPr>
        <w:t>winno, zgodnie z art. 89 ust. 1 pkt 5 Konstytucji Rzeczypospolitej Polskiej, nastąpić przez ratyfikację za uprzednią zgodą wyrażoną w ustawie.</w:t>
      </w:r>
    </w:p>
    <w:sectPr w:rsidR="00634ACC" w:rsidSect="00FB2630">
      <w:footerReference w:type="even" r:id="rId9"/>
      <w:footerReference w:type="default" r:id="rId10"/>
      <w:pgSz w:w="11909" w:h="16838"/>
      <w:pgMar w:top="1588" w:right="1418" w:bottom="1418" w:left="1985" w:header="709" w:footer="709"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ED7" w:rsidRDefault="00E96ED7" w:rsidP="00634ACC">
      <w:r>
        <w:separator/>
      </w:r>
    </w:p>
  </w:endnote>
  <w:endnote w:type="continuationSeparator" w:id="0">
    <w:p w:rsidR="00E96ED7" w:rsidRDefault="00E96ED7" w:rsidP="00634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Microsoft Sans Serif">
    <w:panose1 w:val="020B0604020202020204"/>
    <w:charset w:val="EE"/>
    <w:family w:val="swiss"/>
    <w:pitch w:val="variable"/>
    <w:sig w:usb0="E1002AFF" w:usb1="C0000002" w:usb2="00000008" w:usb3="00000000" w:csb0="0001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1133687"/>
      <w:docPartObj>
        <w:docPartGallery w:val="Page Numbers (Bottom of Page)"/>
        <w:docPartUnique/>
      </w:docPartObj>
    </w:sdtPr>
    <w:sdtEndPr/>
    <w:sdtContent>
      <w:p w:rsidR="00FB2630" w:rsidRDefault="00FB2630">
        <w:pPr>
          <w:pStyle w:val="Stopka"/>
          <w:jc w:val="center"/>
        </w:pPr>
        <w:r>
          <w:fldChar w:fldCharType="begin"/>
        </w:r>
        <w:r>
          <w:instrText>PAGE   \* MERGEFORMAT</w:instrText>
        </w:r>
        <w:r>
          <w:fldChar w:fldCharType="separate"/>
        </w:r>
        <w:r>
          <w:rPr>
            <w:noProof/>
          </w:rPr>
          <w:t>2</w:t>
        </w:r>
        <w:r>
          <w:fldChar w:fldCharType="end"/>
        </w:r>
      </w:p>
    </w:sdtContent>
  </w:sdt>
  <w:p w:rsidR="0034521F" w:rsidRDefault="0034521F">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111334"/>
      <w:docPartObj>
        <w:docPartGallery w:val="Page Numbers (Bottom of Page)"/>
        <w:docPartUnique/>
      </w:docPartObj>
    </w:sdtPr>
    <w:sdtEndPr>
      <w:rPr>
        <w:rFonts w:ascii="Times New Roman" w:hAnsi="Times New Roman" w:cs="Times New Roman"/>
      </w:rPr>
    </w:sdtEndPr>
    <w:sdtContent>
      <w:p w:rsidR="0034521F" w:rsidRPr="00FB2630" w:rsidRDefault="00FB2630" w:rsidP="00FB2630">
        <w:pPr>
          <w:pStyle w:val="Stopka"/>
          <w:jc w:val="center"/>
          <w:rPr>
            <w:rFonts w:ascii="Times New Roman" w:hAnsi="Times New Roman" w:cs="Times New Roman"/>
          </w:rPr>
        </w:pPr>
        <w:r w:rsidRPr="00FB2630">
          <w:rPr>
            <w:rFonts w:ascii="Times New Roman" w:hAnsi="Times New Roman" w:cs="Times New Roman"/>
          </w:rPr>
          <w:fldChar w:fldCharType="begin"/>
        </w:r>
        <w:r w:rsidRPr="00FB2630">
          <w:rPr>
            <w:rFonts w:ascii="Times New Roman" w:hAnsi="Times New Roman" w:cs="Times New Roman"/>
          </w:rPr>
          <w:instrText>PAGE   \* MERGEFORMAT</w:instrText>
        </w:r>
        <w:r w:rsidRPr="00FB2630">
          <w:rPr>
            <w:rFonts w:ascii="Times New Roman" w:hAnsi="Times New Roman" w:cs="Times New Roman"/>
          </w:rPr>
          <w:fldChar w:fldCharType="separate"/>
        </w:r>
        <w:r w:rsidR="00C221F9">
          <w:rPr>
            <w:rFonts w:ascii="Times New Roman" w:hAnsi="Times New Roman" w:cs="Times New Roman"/>
            <w:noProof/>
          </w:rPr>
          <w:t>8</w:t>
        </w:r>
        <w:r w:rsidRPr="00FB2630">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ED7" w:rsidRDefault="00E96ED7"/>
  </w:footnote>
  <w:footnote w:type="continuationSeparator" w:id="0">
    <w:p w:rsidR="00E96ED7" w:rsidRDefault="00E96ED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02CFA"/>
    <w:multiLevelType w:val="multilevel"/>
    <w:tmpl w:val="53C64DAC"/>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5044446"/>
    <w:multiLevelType w:val="multilevel"/>
    <w:tmpl w:val="D0FA8E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FC5789"/>
    <w:multiLevelType w:val="multilevel"/>
    <w:tmpl w:val="B29808DE"/>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BA26408"/>
    <w:multiLevelType w:val="multilevel"/>
    <w:tmpl w:val="B9EE92E8"/>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9AC5295"/>
    <w:multiLevelType w:val="multilevel"/>
    <w:tmpl w:val="D02E31C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1722F84"/>
    <w:multiLevelType w:val="multilevel"/>
    <w:tmpl w:val="3AE241B8"/>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CA24A7B"/>
    <w:multiLevelType w:val="multilevel"/>
    <w:tmpl w:val="4B2C4C7C"/>
    <w:lvl w:ilvl="0">
      <w:start w:val="7"/>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2"/>
  </w:num>
  <w:num w:numId="4">
    <w:abstractNumId w:val="3"/>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81"/>
  <w:drawingGridVerticalSpacing w:val="181"/>
  <w:characterSpacingControl w:val="compressPunctuation"/>
  <w:hdrShapeDefaults>
    <o:shapedefaults v:ext="edit" spidmax="13313"/>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ACC"/>
    <w:rsid w:val="00042C7E"/>
    <w:rsid w:val="00047FF9"/>
    <w:rsid w:val="000525D3"/>
    <w:rsid w:val="00095F8D"/>
    <w:rsid w:val="0013568B"/>
    <w:rsid w:val="001A2721"/>
    <w:rsid w:val="00216EF3"/>
    <w:rsid w:val="002A1031"/>
    <w:rsid w:val="0034521F"/>
    <w:rsid w:val="00381763"/>
    <w:rsid w:val="003D3799"/>
    <w:rsid w:val="00447E56"/>
    <w:rsid w:val="00485B84"/>
    <w:rsid w:val="004D6570"/>
    <w:rsid w:val="00515208"/>
    <w:rsid w:val="00527A76"/>
    <w:rsid w:val="005A151D"/>
    <w:rsid w:val="005B593C"/>
    <w:rsid w:val="00616740"/>
    <w:rsid w:val="00634ACC"/>
    <w:rsid w:val="006B6B1C"/>
    <w:rsid w:val="00762254"/>
    <w:rsid w:val="007C603A"/>
    <w:rsid w:val="008025A6"/>
    <w:rsid w:val="00813881"/>
    <w:rsid w:val="00842992"/>
    <w:rsid w:val="00883538"/>
    <w:rsid w:val="008A7F3C"/>
    <w:rsid w:val="00907D78"/>
    <w:rsid w:val="00974C8D"/>
    <w:rsid w:val="00984B8E"/>
    <w:rsid w:val="009B05D2"/>
    <w:rsid w:val="00A25326"/>
    <w:rsid w:val="00A3285C"/>
    <w:rsid w:val="00A71242"/>
    <w:rsid w:val="00AD49A9"/>
    <w:rsid w:val="00BD2F31"/>
    <w:rsid w:val="00C221F9"/>
    <w:rsid w:val="00C67750"/>
    <w:rsid w:val="00CA13CC"/>
    <w:rsid w:val="00D75A7E"/>
    <w:rsid w:val="00E83768"/>
    <w:rsid w:val="00E96ED7"/>
    <w:rsid w:val="00FB1744"/>
    <w:rsid w:val="00FB2630"/>
    <w:rsid w:val="00FF1C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634ACC"/>
    <w:pPr>
      <w:widowControl w:val="0"/>
    </w:pPr>
    <w:rPr>
      <w:color w:val="000000"/>
      <w:sz w:val="24"/>
      <w:szCs w:val="24"/>
      <w:lang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34ACC"/>
    <w:rPr>
      <w:color w:val="0066CC"/>
      <w:u w:val="single"/>
    </w:rPr>
  </w:style>
  <w:style w:type="character" w:customStyle="1" w:styleId="Teksttreci2">
    <w:name w:val="Tekst treści (2)_"/>
    <w:link w:val="Teksttreci20"/>
    <w:rsid w:val="00634ACC"/>
    <w:rPr>
      <w:rFonts w:ascii="Times New Roman" w:eastAsia="Times New Roman" w:hAnsi="Times New Roman" w:cs="Times New Roman"/>
      <w:b/>
      <w:bCs/>
      <w:i w:val="0"/>
      <w:iCs w:val="0"/>
      <w:smallCaps w:val="0"/>
      <w:strike w:val="0"/>
      <w:sz w:val="23"/>
      <w:szCs w:val="23"/>
      <w:u w:val="none"/>
    </w:rPr>
  </w:style>
  <w:style w:type="character" w:customStyle="1" w:styleId="Nagweklubstopka">
    <w:name w:val="Nagłówek lub stopka_"/>
    <w:link w:val="Nagweklubstopka0"/>
    <w:rsid w:val="00634ACC"/>
    <w:rPr>
      <w:rFonts w:ascii="Times New Roman" w:eastAsia="Times New Roman" w:hAnsi="Times New Roman" w:cs="Times New Roman"/>
      <w:b/>
      <w:bCs/>
      <w:i w:val="0"/>
      <w:iCs w:val="0"/>
      <w:smallCaps w:val="0"/>
      <w:strike w:val="0"/>
      <w:sz w:val="22"/>
      <w:szCs w:val="22"/>
      <w:u w:val="none"/>
    </w:rPr>
  </w:style>
  <w:style w:type="character" w:customStyle="1" w:styleId="Nagweklubstopka1">
    <w:name w:val="Nagłówek lub stopka"/>
    <w:rsid w:val="00634ACC"/>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customStyle="1" w:styleId="Nagwek1">
    <w:name w:val="Nagłówek #1_"/>
    <w:link w:val="Nagwek10"/>
    <w:rsid w:val="00634ACC"/>
    <w:rPr>
      <w:rFonts w:ascii="Times New Roman" w:eastAsia="Times New Roman" w:hAnsi="Times New Roman" w:cs="Times New Roman"/>
      <w:b/>
      <w:bCs/>
      <w:i w:val="0"/>
      <w:iCs w:val="0"/>
      <w:smallCaps w:val="0"/>
      <w:strike w:val="0"/>
      <w:sz w:val="23"/>
      <w:szCs w:val="23"/>
      <w:u w:val="none"/>
    </w:rPr>
  </w:style>
  <w:style w:type="character" w:customStyle="1" w:styleId="Teksttreci">
    <w:name w:val="Tekst treści_"/>
    <w:link w:val="Teksttreci0"/>
    <w:rsid w:val="00634ACC"/>
    <w:rPr>
      <w:rFonts w:ascii="Times New Roman" w:eastAsia="Times New Roman" w:hAnsi="Times New Roman" w:cs="Times New Roman"/>
      <w:b w:val="0"/>
      <w:bCs w:val="0"/>
      <w:i w:val="0"/>
      <w:iCs w:val="0"/>
      <w:smallCaps w:val="0"/>
      <w:strike w:val="0"/>
      <w:sz w:val="23"/>
      <w:szCs w:val="23"/>
      <w:u w:val="none"/>
    </w:rPr>
  </w:style>
  <w:style w:type="character" w:customStyle="1" w:styleId="TeksttreciPogrubienie">
    <w:name w:val="Tekst treści + Pogrubienie"/>
    <w:rsid w:val="00634ACC"/>
    <w:rPr>
      <w:rFonts w:ascii="Times New Roman" w:eastAsia="Times New Roman" w:hAnsi="Times New Roman" w:cs="Times New Roman"/>
      <w:b/>
      <w:bCs/>
      <w:i w:val="0"/>
      <w:iCs w:val="0"/>
      <w:smallCaps w:val="0"/>
      <w:strike w:val="0"/>
      <w:color w:val="000000"/>
      <w:spacing w:val="0"/>
      <w:w w:val="100"/>
      <w:position w:val="0"/>
      <w:sz w:val="23"/>
      <w:szCs w:val="23"/>
      <w:u w:val="none"/>
      <w:lang w:val="pl-PL" w:eastAsia="pl-PL" w:bidi="pl-PL"/>
    </w:rPr>
  </w:style>
  <w:style w:type="character" w:customStyle="1" w:styleId="TeksttreciMicrosoftSansSerif15ptKursywaOdstpy0pt">
    <w:name w:val="Tekst treści + Microsoft Sans Serif;15 pt;Kursywa;Odstępy 0 pt"/>
    <w:rsid w:val="00634ACC"/>
    <w:rPr>
      <w:rFonts w:ascii="Microsoft Sans Serif" w:eastAsia="Microsoft Sans Serif" w:hAnsi="Microsoft Sans Serif" w:cs="Microsoft Sans Serif"/>
      <w:b w:val="0"/>
      <w:bCs w:val="0"/>
      <w:i/>
      <w:iCs/>
      <w:smallCaps w:val="0"/>
      <w:strike w:val="0"/>
      <w:color w:val="000000"/>
      <w:spacing w:val="-10"/>
      <w:w w:val="100"/>
      <w:position w:val="0"/>
      <w:sz w:val="30"/>
      <w:szCs w:val="30"/>
      <w:u w:val="none"/>
      <w:lang w:val="pl-PL" w:eastAsia="pl-PL" w:bidi="pl-PL"/>
    </w:rPr>
  </w:style>
  <w:style w:type="character" w:customStyle="1" w:styleId="Teksttreci1">
    <w:name w:val="Tekst treści"/>
    <w:rsid w:val="00634AC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style>
  <w:style w:type="paragraph" w:customStyle="1" w:styleId="Teksttreci20">
    <w:name w:val="Tekst treści (2)"/>
    <w:basedOn w:val="Normalny"/>
    <w:link w:val="Teksttreci2"/>
    <w:rsid w:val="00634ACC"/>
    <w:pPr>
      <w:shd w:val="clear" w:color="auto" w:fill="FFFFFF"/>
      <w:spacing w:after="420" w:line="475" w:lineRule="exact"/>
      <w:jc w:val="center"/>
    </w:pPr>
    <w:rPr>
      <w:rFonts w:ascii="Times New Roman" w:eastAsia="Times New Roman" w:hAnsi="Times New Roman" w:cs="Times New Roman"/>
      <w:b/>
      <w:bCs/>
      <w:sz w:val="23"/>
      <w:szCs w:val="23"/>
    </w:rPr>
  </w:style>
  <w:style w:type="paragraph" w:customStyle="1" w:styleId="Nagweklubstopka0">
    <w:name w:val="Nagłówek lub stopka"/>
    <w:basedOn w:val="Normalny"/>
    <w:link w:val="Nagweklubstopka"/>
    <w:rsid w:val="00634ACC"/>
    <w:pPr>
      <w:shd w:val="clear" w:color="auto" w:fill="FFFFFF"/>
      <w:spacing w:line="0" w:lineRule="atLeast"/>
      <w:jc w:val="center"/>
    </w:pPr>
    <w:rPr>
      <w:rFonts w:ascii="Times New Roman" w:eastAsia="Times New Roman" w:hAnsi="Times New Roman" w:cs="Times New Roman"/>
      <w:b/>
      <w:bCs/>
      <w:sz w:val="22"/>
      <w:szCs w:val="22"/>
    </w:rPr>
  </w:style>
  <w:style w:type="paragraph" w:customStyle="1" w:styleId="Nagwek10">
    <w:name w:val="Nagłówek #1"/>
    <w:basedOn w:val="Normalny"/>
    <w:link w:val="Nagwek1"/>
    <w:rsid w:val="00634ACC"/>
    <w:pPr>
      <w:shd w:val="clear" w:color="auto" w:fill="FFFFFF"/>
      <w:spacing w:before="420" w:after="240" w:line="0" w:lineRule="atLeast"/>
      <w:jc w:val="both"/>
      <w:outlineLvl w:val="0"/>
    </w:pPr>
    <w:rPr>
      <w:rFonts w:ascii="Times New Roman" w:eastAsia="Times New Roman" w:hAnsi="Times New Roman" w:cs="Times New Roman"/>
      <w:b/>
      <w:bCs/>
      <w:sz w:val="23"/>
      <w:szCs w:val="23"/>
    </w:rPr>
  </w:style>
  <w:style w:type="paragraph" w:customStyle="1" w:styleId="Teksttreci0">
    <w:name w:val="Tekst treści"/>
    <w:basedOn w:val="Normalny"/>
    <w:link w:val="Teksttreci"/>
    <w:rsid w:val="00634ACC"/>
    <w:pPr>
      <w:shd w:val="clear" w:color="auto" w:fill="FFFFFF"/>
      <w:spacing w:before="240" w:after="60" w:line="0" w:lineRule="atLeast"/>
      <w:jc w:val="both"/>
    </w:pPr>
    <w:rPr>
      <w:rFonts w:ascii="Times New Roman" w:eastAsia="Times New Roman" w:hAnsi="Times New Roman" w:cs="Times New Roman"/>
      <w:sz w:val="23"/>
      <w:szCs w:val="23"/>
    </w:rPr>
  </w:style>
  <w:style w:type="character" w:styleId="Pogrubienie">
    <w:name w:val="Strong"/>
    <w:uiPriority w:val="22"/>
    <w:qFormat/>
    <w:rsid w:val="00515208"/>
    <w:rPr>
      <w:b/>
      <w:bCs/>
    </w:rPr>
  </w:style>
  <w:style w:type="paragraph" w:styleId="Nagwek">
    <w:name w:val="header"/>
    <w:basedOn w:val="Normalny"/>
    <w:link w:val="NagwekZnak"/>
    <w:uiPriority w:val="99"/>
    <w:unhideWhenUsed/>
    <w:rsid w:val="00FF1C10"/>
    <w:pPr>
      <w:tabs>
        <w:tab w:val="center" w:pos="4536"/>
        <w:tab w:val="right" w:pos="9072"/>
      </w:tabs>
    </w:pPr>
  </w:style>
  <w:style w:type="character" w:customStyle="1" w:styleId="NagwekZnak">
    <w:name w:val="Nagłówek Znak"/>
    <w:basedOn w:val="Domylnaczcionkaakapitu"/>
    <w:link w:val="Nagwek"/>
    <w:uiPriority w:val="99"/>
    <w:rsid w:val="00FF1C10"/>
    <w:rPr>
      <w:color w:val="000000"/>
      <w:sz w:val="24"/>
      <w:szCs w:val="24"/>
      <w:lang w:bidi="pl-PL"/>
    </w:rPr>
  </w:style>
  <w:style w:type="paragraph" w:styleId="Stopka">
    <w:name w:val="footer"/>
    <w:basedOn w:val="Normalny"/>
    <w:link w:val="StopkaZnak"/>
    <w:uiPriority w:val="99"/>
    <w:unhideWhenUsed/>
    <w:rsid w:val="00FF1C10"/>
    <w:pPr>
      <w:tabs>
        <w:tab w:val="center" w:pos="4536"/>
        <w:tab w:val="right" w:pos="9072"/>
      </w:tabs>
    </w:pPr>
  </w:style>
  <w:style w:type="character" w:customStyle="1" w:styleId="StopkaZnak">
    <w:name w:val="Stopka Znak"/>
    <w:basedOn w:val="Domylnaczcionkaakapitu"/>
    <w:link w:val="Stopka"/>
    <w:uiPriority w:val="99"/>
    <w:rsid w:val="00FF1C10"/>
    <w:rPr>
      <w:color w:val="000000"/>
      <w:sz w:val="24"/>
      <w:szCs w:val="24"/>
      <w:lang w:bidi="pl-PL"/>
    </w:rPr>
  </w:style>
  <w:style w:type="character" w:styleId="Odwoaniedokomentarza">
    <w:name w:val="annotation reference"/>
    <w:basedOn w:val="Domylnaczcionkaakapitu"/>
    <w:uiPriority w:val="99"/>
    <w:semiHidden/>
    <w:unhideWhenUsed/>
    <w:rsid w:val="00762254"/>
    <w:rPr>
      <w:sz w:val="16"/>
      <w:szCs w:val="16"/>
    </w:rPr>
  </w:style>
  <w:style w:type="paragraph" w:styleId="Tekstkomentarza">
    <w:name w:val="annotation text"/>
    <w:basedOn w:val="Normalny"/>
    <w:link w:val="TekstkomentarzaZnak"/>
    <w:uiPriority w:val="99"/>
    <w:semiHidden/>
    <w:unhideWhenUsed/>
    <w:rsid w:val="00762254"/>
    <w:rPr>
      <w:sz w:val="20"/>
      <w:szCs w:val="20"/>
    </w:rPr>
  </w:style>
  <w:style w:type="character" w:customStyle="1" w:styleId="TekstkomentarzaZnak">
    <w:name w:val="Tekst komentarza Znak"/>
    <w:basedOn w:val="Domylnaczcionkaakapitu"/>
    <w:link w:val="Tekstkomentarza"/>
    <w:uiPriority w:val="99"/>
    <w:semiHidden/>
    <w:rsid w:val="00762254"/>
    <w:rPr>
      <w:color w:val="000000"/>
      <w:lang w:bidi="pl-PL"/>
    </w:rPr>
  </w:style>
  <w:style w:type="paragraph" w:styleId="Tematkomentarza">
    <w:name w:val="annotation subject"/>
    <w:basedOn w:val="Tekstkomentarza"/>
    <w:next w:val="Tekstkomentarza"/>
    <w:link w:val="TematkomentarzaZnak"/>
    <w:uiPriority w:val="99"/>
    <w:semiHidden/>
    <w:unhideWhenUsed/>
    <w:rsid w:val="00762254"/>
    <w:rPr>
      <w:b/>
      <w:bCs/>
    </w:rPr>
  </w:style>
  <w:style w:type="character" w:customStyle="1" w:styleId="TematkomentarzaZnak">
    <w:name w:val="Temat komentarza Znak"/>
    <w:basedOn w:val="TekstkomentarzaZnak"/>
    <w:link w:val="Tematkomentarza"/>
    <w:uiPriority w:val="99"/>
    <w:semiHidden/>
    <w:rsid w:val="00762254"/>
    <w:rPr>
      <w:b/>
      <w:bCs/>
      <w:color w:val="000000"/>
      <w:lang w:bidi="pl-PL"/>
    </w:rPr>
  </w:style>
  <w:style w:type="paragraph" w:styleId="Tekstdymka">
    <w:name w:val="Balloon Text"/>
    <w:basedOn w:val="Normalny"/>
    <w:link w:val="TekstdymkaZnak"/>
    <w:uiPriority w:val="99"/>
    <w:semiHidden/>
    <w:unhideWhenUsed/>
    <w:rsid w:val="00762254"/>
    <w:rPr>
      <w:rFonts w:ascii="Tahoma" w:hAnsi="Tahoma" w:cs="Tahoma"/>
      <w:sz w:val="16"/>
      <w:szCs w:val="16"/>
    </w:rPr>
  </w:style>
  <w:style w:type="character" w:customStyle="1" w:styleId="TekstdymkaZnak">
    <w:name w:val="Tekst dymka Znak"/>
    <w:basedOn w:val="Domylnaczcionkaakapitu"/>
    <w:link w:val="Tekstdymka"/>
    <w:uiPriority w:val="99"/>
    <w:semiHidden/>
    <w:rsid w:val="00762254"/>
    <w:rPr>
      <w:rFonts w:ascii="Tahoma" w:hAnsi="Tahoma" w:cs="Tahoma"/>
      <w:color w:val="000000"/>
      <w:sz w:val="16"/>
      <w:szCs w:val="16"/>
      <w:lang w:bidi="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634ACC"/>
    <w:pPr>
      <w:widowControl w:val="0"/>
    </w:pPr>
    <w:rPr>
      <w:color w:val="000000"/>
      <w:sz w:val="24"/>
      <w:szCs w:val="24"/>
      <w:lang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34ACC"/>
    <w:rPr>
      <w:color w:val="0066CC"/>
      <w:u w:val="single"/>
    </w:rPr>
  </w:style>
  <w:style w:type="character" w:customStyle="1" w:styleId="Teksttreci2">
    <w:name w:val="Tekst treści (2)_"/>
    <w:link w:val="Teksttreci20"/>
    <w:rsid w:val="00634ACC"/>
    <w:rPr>
      <w:rFonts w:ascii="Times New Roman" w:eastAsia="Times New Roman" w:hAnsi="Times New Roman" w:cs="Times New Roman"/>
      <w:b/>
      <w:bCs/>
      <w:i w:val="0"/>
      <w:iCs w:val="0"/>
      <w:smallCaps w:val="0"/>
      <w:strike w:val="0"/>
      <w:sz w:val="23"/>
      <w:szCs w:val="23"/>
      <w:u w:val="none"/>
    </w:rPr>
  </w:style>
  <w:style w:type="character" w:customStyle="1" w:styleId="Nagweklubstopka">
    <w:name w:val="Nagłówek lub stopka_"/>
    <w:link w:val="Nagweklubstopka0"/>
    <w:rsid w:val="00634ACC"/>
    <w:rPr>
      <w:rFonts w:ascii="Times New Roman" w:eastAsia="Times New Roman" w:hAnsi="Times New Roman" w:cs="Times New Roman"/>
      <w:b/>
      <w:bCs/>
      <w:i w:val="0"/>
      <w:iCs w:val="0"/>
      <w:smallCaps w:val="0"/>
      <w:strike w:val="0"/>
      <w:sz w:val="22"/>
      <w:szCs w:val="22"/>
      <w:u w:val="none"/>
    </w:rPr>
  </w:style>
  <w:style w:type="character" w:customStyle="1" w:styleId="Nagweklubstopka1">
    <w:name w:val="Nagłówek lub stopka"/>
    <w:rsid w:val="00634ACC"/>
    <w:rPr>
      <w:rFonts w:ascii="Times New Roman" w:eastAsia="Times New Roman" w:hAnsi="Times New Roman" w:cs="Times New Roman"/>
      <w:b/>
      <w:bCs/>
      <w:i w:val="0"/>
      <w:iCs w:val="0"/>
      <w:smallCaps w:val="0"/>
      <w:strike w:val="0"/>
      <w:color w:val="000000"/>
      <w:spacing w:val="0"/>
      <w:w w:val="100"/>
      <w:position w:val="0"/>
      <w:sz w:val="22"/>
      <w:szCs w:val="22"/>
      <w:u w:val="none"/>
      <w:lang w:val="pl-PL" w:eastAsia="pl-PL" w:bidi="pl-PL"/>
    </w:rPr>
  </w:style>
  <w:style w:type="character" w:customStyle="1" w:styleId="Nagwek1">
    <w:name w:val="Nagłówek #1_"/>
    <w:link w:val="Nagwek10"/>
    <w:rsid w:val="00634ACC"/>
    <w:rPr>
      <w:rFonts w:ascii="Times New Roman" w:eastAsia="Times New Roman" w:hAnsi="Times New Roman" w:cs="Times New Roman"/>
      <w:b/>
      <w:bCs/>
      <w:i w:val="0"/>
      <w:iCs w:val="0"/>
      <w:smallCaps w:val="0"/>
      <w:strike w:val="0"/>
      <w:sz w:val="23"/>
      <w:szCs w:val="23"/>
      <w:u w:val="none"/>
    </w:rPr>
  </w:style>
  <w:style w:type="character" w:customStyle="1" w:styleId="Teksttreci">
    <w:name w:val="Tekst treści_"/>
    <w:link w:val="Teksttreci0"/>
    <w:rsid w:val="00634ACC"/>
    <w:rPr>
      <w:rFonts w:ascii="Times New Roman" w:eastAsia="Times New Roman" w:hAnsi="Times New Roman" w:cs="Times New Roman"/>
      <w:b w:val="0"/>
      <w:bCs w:val="0"/>
      <w:i w:val="0"/>
      <w:iCs w:val="0"/>
      <w:smallCaps w:val="0"/>
      <w:strike w:val="0"/>
      <w:sz w:val="23"/>
      <w:szCs w:val="23"/>
      <w:u w:val="none"/>
    </w:rPr>
  </w:style>
  <w:style w:type="character" w:customStyle="1" w:styleId="TeksttreciPogrubienie">
    <w:name w:val="Tekst treści + Pogrubienie"/>
    <w:rsid w:val="00634ACC"/>
    <w:rPr>
      <w:rFonts w:ascii="Times New Roman" w:eastAsia="Times New Roman" w:hAnsi="Times New Roman" w:cs="Times New Roman"/>
      <w:b/>
      <w:bCs/>
      <w:i w:val="0"/>
      <w:iCs w:val="0"/>
      <w:smallCaps w:val="0"/>
      <w:strike w:val="0"/>
      <w:color w:val="000000"/>
      <w:spacing w:val="0"/>
      <w:w w:val="100"/>
      <w:position w:val="0"/>
      <w:sz w:val="23"/>
      <w:szCs w:val="23"/>
      <w:u w:val="none"/>
      <w:lang w:val="pl-PL" w:eastAsia="pl-PL" w:bidi="pl-PL"/>
    </w:rPr>
  </w:style>
  <w:style w:type="character" w:customStyle="1" w:styleId="TeksttreciMicrosoftSansSerif15ptKursywaOdstpy0pt">
    <w:name w:val="Tekst treści + Microsoft Sans Serif;15 pt;Kursywa;Odstępy 0 pt"/>
    <w:rsid w:val="00634ACC"/>
    <w:rPr>
      <w:rFonts w:ascii="Microsoft Sans Serif" w:eastAsia="Microsoft Sans Serif" w:hAnsi="Microsoft Sans Serif" w:cs="Microsoft Sans Serif"/>
      <w:b w:val="0"/>
      <w:bCs w:val="0"/>
      <w:i/>
      <w:iCs/>
      <w:smallCaps w:val="0"/>
      <w:strike w:val="0"/>
      <w:color w:val="000000"/>
      <w:spacing w:val="-10"/>
      <w:w w:val="100"/>
      <w:position w:val="0"/>
      <w:sz w:val="30"/>
      <w:szCs w:val="30"/>
      <w:u w:val="none"/>
      <w:lang w:val="pl-PL" w:eastAsia="pl-PL" w:bidi="pl-PL"/>
    </w:rPr>
  </w:style>
  <w:style w:type="character" w:customStyle="1" w:styleId="Teksttreci1">
    <w:name w:val="Tekst treści"/>
    <w:rsid w:val="00634AC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eastAsia="pl-PL" w:bidi="pl-PL"/>
    </w:rPr>
  </w:style>
  <w:style w:type="paragraph" w:customStyle="1" w:styleId="Teksttreci20">
    <w:name w:val="Tekst treści (2)"/>
    <w:basedOn w:val="Normalny"/>
    <w:link w:val="Teksttreci2"/>
    <w:rsid w:val="00634ACC"/>
    <w:pPr>
      <w:shd w:val="clear" w:color="auto" w:fill="FFFFFF"/>
      <w:spacing w:after="420" w:line="475" w:lineRule="exact"/>
      <w:jc w:val="center"/>
    </w:pPr>
    <w:rPr>
      <w:rFonts w:ascii="Times New Roman" w:eastAsia="Times New Roman" w:hAnsi="Times New Roman" w:cs="Times New Roman"/>
      <w:b/>
      <w:bCs/>
      <w:sz w:val="23"/>
      <w:szCs w:val="23"/>
    </w:rPr>
  </w:style>
  <w:style w:type="paragraph" w:customStyle="1" w:styleId="Nagweklubstopka0">
    <w:name w:val="Nagłówek lub stopka"/>
    <w:basedOn w:val="Normalny"/>
    <w:link w:val="Nagweklubstopka"/>
    <w:rsid w:val="00634ACC"/>
    <w:pPr>
      <w:shd w:val="clear" w:color="auto" w:fill="FFFFFF"/>
      <w:spacing w:line="0" w:lineRule="atLeast"/>
      <w:jc w:val="center"/>
    </w:pPr>
    <w:rPr>
      <w:rFonts w:ascii="Times New Roman" w:eastAsia="Times New Roman" w:hAnsi="Times New Roman" w:cs="Times New Roman"/>
      <w:b/>
      <w:bCs/>
      <w:sz w:val="22"/>
      <w:szCs w:val="22"/>
    </w:rPr>
  </w:style>
  <w:style w:type="paragraph" w:customStyle="1" w:styleId="Nagwek10">
    <w:name w:val="Nagłówek #1"/>
    <w:basedOn w:val="Normalny"/>
    <w:link w:val="Nagwek1"/>
    <w:rsid w:val="00634ACC"/>
    <w:pPr>
      <w:shd w:val="clear" w:color="auto" w:fill="FFFFFF"/>
      <w:spacing w:before="420" w:after="240" w:line="0" w:lineRule="atLeast"/>
      <w:jc w:val="both"/>
      <w:outlineLvl w:val="0"/>
    </w:pPr>
    <w:rPr>
      <w:rFonts w:ascii="Times New Roman" w:eastAsia="Times New Roman" w:hAnsi="Times New Roman" w:cs="Times New Roman"/>
      <w:b/>
      <w:bCs/>
      <w:sz w:val="23"/>
      <w:szCs w:val="23"/>
    </w:rPr>
  </w:style>
  <w:style w:type="paragraph" w:customStyle="1" w:styleId="Teksttreci0">
    <w:name w:val="Tekst treści"/>
    <w:basedOn w:val="Normalny"/>
    <w:link w:val="Teksttreci"/>
    <w:rsid w:val="00634ACC"/>
    <w:pPr>
      <w:shd w:val="clear" w:color="auto" w:fill="FFFFFF"/>
      <w:spacing w:before="240" w:after="60" w:line="0" w:lineRule="atLeast"/>
      <w:jc w:val="both"/>
    </w:pPr>
    <w:rPr>
      <w:rFonts w:ascii="Times New Roman" w:eastAsia="Times New Roman" w:hAnsi="Times New Roman" w:cs="Times New Roman"/>
      <w:sz w:val="23"/>
      <w:szCs w:val="23"/>
    </w:rPr>
  </w:style>
  <w:style w:type="character" w:styleId="Pogrubienie">
    <w:name w:val="Strong"/>
    <w:uiPriority w:val="22"/>
    <w:qFormat/>
    <w:rsid w:val="00515208"/>
    <w:rPr>
      <w:b/>
      <w:bCs/>
    </w:rPr>
  </w:style>
  <w:style w:type="paragraph" w:styleId="Nagwek">
    <w:name w:val="header"/>
    <w:basedOn w:val="Normalny"/>
    <w:link w:val="NagwekZnak"/>
    <w:uiPriority w:val="99"/>
    <w:unhideWhenUsed/>
    <w:rsid w:val="00FF1C10"/>
    <w:pPr>
      <w:tabs>
        <w:tab w:val="center" w:pos="4536"/>
        <w:tab w:val="right" w:pos="9072"/>
      </w:tabs>
    </w:pPr>
  </w:style>
  <w:style w:type="character" w:customStyle="1" w:styleId="NagwekZnak">
    <w:name w:val="Nagłówek Znak"/>
    <w:basedOn w:val="Domylnaczcionkaakapitu"/>
    <w:link w:val="Nagwek"/>
    <w:uiPriority w:val="99"/>
    <w:rsid w:val="00FF1C10"/>
    <w:rPr>
      <w:color w:val="000000"/>
      <w:sz w:val="24"/>
      <w:szCs w:val="24"/>
      <w:lang w:bidi="pl-PL"/>
    </w:rPr>
  </w:style>
  <w:style w:type="paragraph" w:styleId="Stopka">
    <w:name w:val="footer"/>
    <w:basedOn w:val="Normalny"/>
    <w:link w:val="StopkaZnak"/>
    <w:uiPriority w:val="99"/>
    <w:unhideWhenUsed/>
    <w:rsid w:val="00FF1C10"/>
    <w:pPr>
      <w:tabs>
        <w:tab w:val="center" w:pos="4536"/>
        <w:tab w:val="right" w:pos="9072"/>
      </w:tabs>
    </w:pPr>
  </w:style>
  <w:style w:type="character" w:customStyle="1" w:styleId="StopkaZnak">
    <w:name w:val="Stopka Znak"/>
    <w:basedOn w:val="Domylnaczcionkaakapitu"/>
    <w:link w:val="Stopka"/>
    <w:uiPriority w:val="99"/>
    <w:rsid w:val="00FF1C10"/>
    <w:rPr>
      <w:color w:val="000000"/>
      <w:sz w:val="24"/>
      <w:szCs w:val="24"/>
      <w:lang w:bidi="pl-PL"/>
    </w:rPr>
  </w:style>
  <w:style w:type="character" w:styleId="Odwoaniedokomentarza">
    <w:name w:val="annotation reference"/>
    <w:basedOn w:val="Domylnaczcionkaakapitu"/>
    <w:uiPriority w:val="99"/>
    <w:semiHidden/>
    <w:unhideWhenUsed/>
    <w:rsid w:val="00762254"/>
    <w:rPr>
      <w:sz w:val="16"/>
      <w:szCs w:val="16"/>
    </w:rPr>
  </w:style>
  <w:style w:type="paragraph" w:styleId="Tekstkomentarza">
    <w:name w:val="annotation text"/>
    <w:basedOn w:val="Normalny"/>
    <w:link w:val="TekstkomentarzaZnak"/>
    <w:uiPriority w:val="99"/>
    <w:semiHidden/>
    <w:unhideWhenUsed/>
    <w:rsid w:val="00762254"/>
    <w:rPr>
      <w:sz w:val="20"/>
      <w:szCs w:val="20"/>
    </w:rPr>
  </w:style>
  <w:style w:type="character" w:customStyle="1" w:styleId="TekstkomentarzaZnak">
    <w:name w:val="Tekst komentarza Znak"/>
    <w:basedOn w:val="Domylnaczcionkaakapitu"/>
    <w:link w:val="Tekstkomentarza"/>
    <w:uiPriority w:val="99"/>
    <w:semiHidden/>
    <w:rsid w:val="00762254"/>
    <w:rPr>
      <w:color w:val="000000"/>
      <w:lang w:bidi="pl-PL"/>
    </w:rPr>
  </w:style>
  <w:style w:type="paragraph" w:styleId="Tematkomentarza">
    <w:name w:val="annotation subject"/>
    <w:basedOn w:val="Tekstkomentarza"/>
    <w:next w:val="Tekstkomentarza"/>
    <w:link w:val="TematkomentarzaZnak"/>
    <w:uiPriority w:val="99"/>
    <w:semiHidden/>
    <w:unhideWhenUsed/>
    <w:rsid w:val="00762254"/>
    <w:rPr>
      <w:b/>
      <w:bCs/>
    </w:rPr>
  </w:style>
  <w:style w:type="character" w:customStyle="1" w:styleId="TematkomentarzaZnak">
    <w:name w:val="Temat komentarza Znak"/>
    <w:basedOn w:val="TekstkomentarzaZnak"/>
    <w:link w:val="Tematkomentarza"/>
    <w:uiPriority w:val="99"/>
    <w:semiHidden/>
    <w:rsid w:val="00762254"/>
    <w:rPr>
      <w:b/>
      <w:bCs/>
      <w:color w:val="000000"/>
      <w:lang w:bidi="pl-PL"/>
    </w:rPr>
  </w:style>
  <w:style w:type="paragraph" w:styleId="Tekstdymka">
    <w:name w:val="Balloon Text"/>
    <w:basedOn w:val="Normalny"/>
    <w:link w:val="TekstdymkaZnak"/>
    <w:uiPriority w:val="99"/>
    <w:semiHidden/>
    <w:unhideWhenUsed/>
    <w:rsid w:val="00762254"/>
    <w:rPr>
      <w:rFonts w:ascii="Tahoma" w:hAnsi="Tahoma" w:cs="Tahoma"/>
      <w:sz w:val="16"/>
      <w:szCs w:val="16"/>
    </w:rPr>
  </w:style>
  <w:style w:type="character" w:customStyle="1" w:styleId="TekstdymkaZnak">
    <w:name w:val="Tekst dymka Znak"/>
    <w:basedOn w:val="Domylnaczcionkaakapitu"/>
    <w:link w:val="Tekstdymka"/>
    <w:uiPriority w:val="99"/>
    <w:semiHidden/>
    <w:rsid w:val="00762254"/>
    <w:rPr>
      <w:rFonts w:ascii="Tahoma" w:hAnsi="Tahoma" w:cs="Tahoma"/>
      <w:color w:val="000000"/>
      <w:sz w:val="16"/>
      <w:szCs w:val="16"/>
      <w:lang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573BA-BE6E-40F3-B2B4-121F7873C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2792</Words>
  <Characters>16755</Characters>
  <Application>Microsoft Office Word</Application>
  <DocSecurity>0</DocSecurity>
  <Lines>139</Lines>
  <Paragraphs>39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MKiDN</dc:creator>
  <cp:lastModifiedBy>Wójcik Aleksandra</cp:lastModifiedBy>
  <cp:revision>11</cp:revision>
  <dcterms:created xsi:type="dcterms:W3CDTF">2018-08-01T07:43:00Z</dcterms:created>
  <dcterms:modified xsi:type="dcterms:W3CDTF">2018-08-01T11:55:00Z</dcterms:modified>
</cp:coreProperties>
</file>