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34F0" w:rsidRPr="008D34F0" w:rsidRDefault="008D34F0" w:rsidP="008D34F0">
      <w:pPr>
        <w:keepNext/>
        <w:spacing w:before="120" w:after="0" w:line="360" w:lineRule="auto"/>
        <w:jc w:val="center"/>
        <w:rPr>
          <w:rFonts w:ascii="Times" w:eastAsia="Times New Roman" w:hAnsi="Times" w:cs="Arial"/>
          <w:bCs/>
          <w:caps/>
          <w:kern w:val="24"/>
          <w:sz w:val="24"/>
          <w:szCs w:val="24"/>
          <w:lang w:eastAsia="pl-PL"/>
        </w:rPr>
      </w:pPr>
      <w:r w:rsidRPr="008D34F0">
        <w:rPr>
          <w:rFonts w:ascii="Times" w:eastAsia="Times New Roman" w:hAnsi="Times" w:cs="Arial"/>
          <w:bCs/>
          <w:caps/>
          <w:kern w:val="24"/>
          <w:sz w:val="24"/>
          <w:szCs w:val="24"/>
          <w:lang w:eastAsia="pl-PL"/>
        </w:rPr>
        <w:t>Uzasadnienie</w:t>
      </w:r>
    </w:p>
    <w:p w:rsidR="008D34F0" w:rsidRPr="008D34F0" w:rsidRDefault="008D34F0" w:rsidP="008D34F0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8D34F0">
        <w:rPr>
          <w:rFonts w:ascii="Times" w:eastAsia="Times New Roman" w:hAnsi="Times" w:cs="Arial"/>
          <w:bCs/>
          <w:sz w:val="24"/>
          <w:szCs w:val="20"/>
          <w:lang w:eastAsia="pl-PL"/>
        </w:rPr>
        <w:t>Projektowana ustawa ma na celu objęcie rozwiązaniami przewidzianymi w ustawie z dnia 5 września 2016 r. o szczególnych rozwiązaniach związanych z wystąpieniem afrykańskiego pomoru świń na terytorium Rzeczypospolitej Polskiej (Dz. U. poz. 1444), obok dotychczas wskazanych produktów mięsnych, również mięsa ze świń wolnych od wirusa afrykańskiego pomoru świń (ASF), utrzymywanych w gospodarstwach rolnych położonych na obszarach objętych nakazami, zakazami lub ograniczeniami oraz innymi środkami kontro</w:t>
      </w:r>
      <w:r w:rsidR="000223E9">
        <w:rPr>
          <w:rFonts w:ascii="Times" w:eastAsia="Times New Roman" w:hAnsi="Times" w:cs="Arial"/>
          <w:bCs/>
          <w:sz w:val="24"/>
          <w:szCs w:val="20"/>
          <w:lang w:eastAsia="pl-PL"/>
        </w:rPr>
        <w:t>li lub ochronnymi ustanowionymi w związku z wystąpieniem ASF</w:t>
      </w:r>
      <w:r w:rsidRPr="008D34F0">
        <w:rPr>
          <w:rFonts w:ascii="Times" w:eastAsia="Times New Roman" w:hAnsi="Times" w:cs="Arial"/>
          <w:bCs/>
          <w:sz w:val="24"/>
          <w:szCs w:val="20"/>
          <w:lang w:eastAsia="pl-PL"/>
        </w:rPr>
        <w:t xml:space="preserve"> zgodnie z przepisami o</w:t>
      </w:r>
      <w:r>
        <w:rPr>
          <w:rFonts w:ascii="Times" w:eastAsia="Times New Roman" w:hAnsi="Times" w:cs="Arial"/>
          <w:bCs/>
          <w:sz w:val="24"/>
          <w:szCs w:val="20"/>
          <w:lang w:eastAsia="pl-PL"/>
        </w:rPr>
        <w:t> </w:t>
      </w:r>
      <w:r w:rsidRPr="008D34F0">
        <w:rPr>
          <w:rFonts w:ascii="Times" w:eastAsia="Times New Roman" w:hAnsi="Times" w:cs="Arial"/>
          <w:bCs/>
          <w:sz w:val="24"/>
          <w:szCs w:val="20"/>
          <w:lang w:eastAsia="pl-PL"/>
        </w:rPr>
        <w:t>ochronie zdrowia zwierząt oraz zwalczaniu chorób zakaźnych zwierząt oraz z przepisami Unii Europejskiej wydanymi w tym zakresie. Tylko zdrowe i przebadane zwierzęta mogą być poddawane ubojowi w rzeźni, a ich mięso przeznaczone do spożycia przez ludzi.</w:t>
      </w:r>
    </w:p>
    <w:p w:rsidR="008D34F0" w:rsidRPr="008D34F0" w:rsidRDefault="008D34F0" w:rsidP="008D34F0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8D34F0">
        <w:rPr>
          <w:rFonts w:ascii="Times" w:eastAsia="Times New Roman" w:hAnsi="Times" w:cs="Arial"/>
          <w:bCs/>
          <w:sz w:val="24"/>
          <w:szCs w:val="20"/>
          <w:lang w:eastAsia="pl-PL"/>
        </w:rPr>
        <w:t>Zgodnie z art. 1 zmienianej ustawy do zamówień na dostawy produktów mięsnych z mięsa wyłącznie wieprzowego, pochodzącego wyłącznie od świń utrzymywanych co najmniej 2 miesiące bezpośrednio przed ubojem w gospodarstwach rolnych położonych na obszarach objętych nakazami, zakazami lub ograniczeniami oraz innymi środkami kontroli lub ochronnymi ustanowionymi, w związku z wystąpieniem afrykańskiego pomoru świń zgodnie z przepisami o ochronie zdrowia zwierząt oraz zwalczaniu chorób zakaźnych zwierząt oraz z przepisami Unii Europejskiej wydanymi w tym zakresie, nie stosuje się przepisów ustawy z dnia 29 stycznia 2004 r. – Prawo zamówień publicznych (Dz. U. z 2017 r. poz. 1579, z późn. zm.). Proponuje się</w:t>
      </w:r>
      <w:r w:rsidR="00CA3A5B">
        <w:rPr>
          <w:rFonts w:ascii="Times" w:eastAsia="Times New Roman" w:hAnsi="Times" w:cs="Arial"/>
          <w:bCs/>
          <w:sz w:val="24"/>
          <w:szCs w:val="20"/>
          <w:lang w:eastAsia="pl-PL"/>
        </w:rPr>
        <w:t>,</w:t>
      </w:r>
      <w:r w:rsidRPr="008D34F0">
        <w:rPr>
          <w:rFonts w:ascii="Times" w:eastAsia="Times New Roman" w:hAnsi="Times" w:cs="Arial"/>
          <w:bCs/>
          <w:sz w:val="24"/>
          <w:szCs w:val="20"/>
          <w:lang w:eastAsia="pl-PL"/>
        </w:rPr>
        <w:t xml:space="preserve"> aby przepis ten dotyczył również mięsa wyprodukowanego</w:t>
      </w:r>
      <w:r w:rsidR="000223E9">
        <w:rPr>
          <w:rFonts w:ascii="Times" w:eastAsia="Times New Roman" w:hAnsi="Times" w:cs="Arial"/>
          <w:bCs/>
          <w:sz w:val="24"/>
          <w:szCs w:val="20"/>
          <w:lang w:eastAsia="pl-PL"/>
        </w:rPr>
        <w:t xml:space="preserve"> i pozyskanego ze zdrowych świń</w:t>
      </w:r>
      <w:r w:rsidRPr="008D34F0">
        <w:rPr>
          <w:rFonts w:ascii="Times" w:eastAsia="Times New Roman" w:hAnsi="Times" w:cs="Arial"/>
          <w:bCs/>
          <w:sz w:val="24"/>
          <w:szCs w:val="20"/>
          <w:lang w:eastAsia="pl-PL"/>
        </w:rPr>
        <w:t xml:space="preserve"> utrzymywanych na ww. obszarach, zgodnie z obowiązującymi wymaganiami dotyczącymi produkcji produktów pochodzenia zwierzęcego pochodzących z obszarów podlegających ograniczeniom, nakazom lub zakazom lub przepisami o ochronie zdrowia zwierząt oraz zwalczaniu chorób zakaźnych zwierząt oraz pod warunkiem, że oferowane mięso wieprzowe spełnia wymagania weterynaryjne określone w przepisach o produktach pochodzenia zwierzęcego</w:t>
      </w:r>
      <w:r>
        <w:rPr>
          <w:rFonts w:ascii="Times" w:eastAsia="Times New Roman" w:hAnsi="Times" w:cs="Arial"/>
          <w:bCs/>
          <w:sz w:val="24"/>
          <w:szCs w:val="20"/>
          <w:lang w:eastAsia="pl-PL"/>
        </w:rPr>
        <w:t>.</w:t>
      </w:r>
    </w:p>
    <w:p w:rsidR="008D34F0" w:rsidRPr="008D34F0" w:rsidRDefault="008D34F0" w:rsidP="008D34F0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8D34F0">
        <w:rPr>
          <w:rFonts w:ascii="Times" w:eastAsia="Times New Roman" w:hAnsi="Times" w:cs="Arial"/>
          <w:bCs/>
          <w:sz w:val="24"/>
          <w:szCs w:val="20"/>
          <w:lang w:eastAsia="pl-PL"/>
        </w:rPr>
        <w:t>W związku z wystąpieniem przypadków ASF na terytorium Rzeczypospolitej Polskiej, a</w:t>
      </w:r>
      <w:r>
        <w:rPr>
          <w:rFonts w:ascii="Times" w:eastAsia="Times New Roman" w:hAnsi="Times" w:cs="Arial"/>
          <w:bCs/>
          <w:sz w:val="24"/>
          <w:szCs w:val="20"/>
          <w:lang w:eastAsia="pl-PL"/>
        </w:rPr>
        <w:t> </w:t>
      </w:r>
      <w:r w:rsidRPr="008D34F0">
        <w:rPr>
          <w:rFonts w:ascii="Times" w:eastAsia="Times New Roman" w:hAnsi="Times" w:cs="Arial"/>
          <w:bCs/>
          <w:sz w:val="24"/>
          <w:szCs w:val="20"/>
          <w:lang w:eastAsia="pl-PL"/>
        </w:rPr>
        <w:t xml:space="preserve">także na terenie Łotwy, Litwy i Estonii, wydana została decyzja wykonawcza Komisji 2014/709/UE z dnia 9 października 2014 r. w sprawie środków kontroli w zakresie zdrowia zwierząt w odniesieniu do afrykańskiego pomoru świń w niektórych państwach członkowskich i uchylająca decyzję wykonawczą 2014/178/UE (Dz. Urz. UE L 295 z 11.10.2014, str. 63, z późn. zm.). W decyzji tej państwa członkowskie zostały obowiązane </w:t>
      </w:r>
      <w:r w:rsidRPr="008D34F0">
        <w:rPr>
          <w:rFonts w:ascii="Times" w:eastAsia="Times New Roman" w:hAnsi="Times" w:cs="Arial"/>
          <w:bCs/>
          <w:sz w:val="24"/>
          <w:szCs w:val="20"/>
          <w:lang w:eastAsia="pl-PL"/>
        </w:rPr>
        <w:lastRenderedPageBreak/>
        <w:t xml:space="preserve">do podjęcia określonych działań na oznaczonych obszarach w celu zwalczania i zapobiegania rozprzestrzenianiu się wirusa ASF. </w:t>
      </w:r>
    </w:p>
    <w:p w:rsidR="008D34F0" w:rsidRPr="008D34F0" w:rsidRDefault="008D34F0" w:rsidP="008D34F0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8D34F0">
        <w:rPr>
          <w:rFonts w:ascii="Times" w:eastAsia="Times New Roman" w:hAnsi="Times" w:cs="Arial"/>
          <w:bCs/>
          <w:sz w:val="24"/>
          <w:szCs w:val="20"/>
          <w:lang w:eastAsia="pl-PL"/>
        </w:rPr>
        <w:t>W celu wykonania tej decyzji wydane zostało rozporządzenie Ministra Rolnictwa i Rozwoju Wsi z dnia 6 maja 2015 r. w sprawie środków podejmowanych w związku z wystąpieniem afrykańskieg</w:t>
      </w:r>
      <w:r w:rsidR="00CA3A5B">
        <w:rPr>
          <w:rFonts w:ascii="Times" w:eastAsia="Times New Roman" w:hAnsi="Times" w:cs="Arial"/>
          <w:bCs/>
          <w:sz w:val="24"/>
          <w:szCs w:val="20"/>
          <w:lang w:eastAsia="pl-PL"/>
        </w:rPr>
        <w:t>o pomoru świń (Dz. U. z 2018 r.</w:t>
      </w:r>
      <w:r w:rsidRPr="008D34F0">
        <w:rPr>
          <w:rFonts w:ascii="Times" w:eastAsia="Times New Roman" w:hAnsi="Times" w:cs="Arial"/>
          <w:bCs/>
          <w:sz w:val="24"/>
          <w:szCs w:val="20"/>
          <w:lang w:eastAsia="pl-PL"/>
        </w:rPr>
        <w:t xml:space="preserve"> poz. 290, z późn. zm.). Na mocy tego rozporządzenia wprowadzono szereg nakazów i zakazów związanych z utrzymywaniem i przemieszczaniem świń na obszarach z ograniczeniami w związku z wystąpieniem ASF.  </w:t>
      </w:r>
    </w:p>
    <w:p w:rsidR="008D34F0" w:rsidRPr="008D34F0" w:rsidRDefault="008D34F0" w:rsidP="008D34F0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8D34F0">
        <w:rPr>
          <w:rFonts w:ascii="Times" w:eastAsia="Times New Roman" w:hAnsi="Times" w:cs="Arial"/>
          <w:bCs/>
          <w:sz w:val="24"/>
          <w:szCs w:val="20"/>
          <w:lang w:eastAsia="pl-PL"/>
        </w:rPr>
        <w:t>Zdrowe świnie z gospodarstw zlokalizowanych na obszarach wyznaczonych zgodnie z</w:t>
      </w:r>
      <w:r>
        <w:rPr>
          <w:rFonts w:ascii="Times" w:eastAsia="Times New Roman" w:hAnsi="Times" w:cs="Arial"/>
          <w:bCs/>
          <w:sz w:val="24"/>
          <w:szCs w:val="20"/>
          <w:lang w:eastAsia="pl-PL"/>
        </w:rPr>
        <w:t> </w:t>
      </w:r>
      <w:r w:rsidRPr="008D34F0">
        <w:rPr>
          <w:rFonts w:ascii="Times" w:eastAsia="Times New Roman" w:hAnsi="Times" w:cs="Arial"/>
          <w:bCs/>
          <w:sz w:val="24"/>
          <w:szCs w:val="20"/>
          <w:lang w:eastAsia="pl-PL"/>
        </w:rPr>
        <w:t>decyzją wykonawczą Komisji 2014/709/UE z dnia 9 października 2014 r. w sprawie środków kontroli w zakresie zdrowia zwierząt w odniesieniu do afrykańskiego pomoru świń w niektórych państwach członkowskich i uchylającą</w:t>
      </w:r>
      <w:r w:rsidRPr="008D34F0">
        <w:rPr>
          <w:rFonts w:ascii="Times" w:eastAsia="Times New Roman" w:hAnsi="Times" w:cs="Arial"/>
          <w:bCs/>
          <w:i/>
          <w:iCs/>
          <w:sz w:val="24"/>
          <w:szCs w:val="20"/>
          <w:lang w:eastAsia="pl-PL"/>
        </w:rPr>
        <w:t xml:space="preserve"> </w:t>
      </w:r>
      <w:r w:rsidRPr="008D34F0">
        <w:rPr>
          <w:rFonts w:ascii="Times" w:eastAsia="Times New Roman" w:hAnsi="Times" w:cs="Arial"/>
          <w:bCs/>
          <w:sz w:val="24"/>
          <w:szCs w:val="20"/>
          <w:lang w:eastAsia="pl-PL"/>
        </w:rPr>
        <w:t xml:space="preserve">decyzję wykonawczą Komisji 2014/178/UE mogą być wprowadzane na rynek. Świnie przed wysyłką do rzeźni są kontrolowane przez lekarza weterynarii oraz </w:t>
      </w:r>
      <w:r w:rsidR="000223E9" w:rsidRPr="008D34F0">
        <w:rPr>
          <w:rFonts w:ascii="Times" w:eastAsia="Times New Roman" w:hAnsi="Times" w:cs="Arial"/>
          <w:bCs/>
          <w:sz w:val="24"/>
          <w:szCs w:val="20"/>
          <w:lang w:eastAsia="pl-PL"/>
        </w:rPr>
        <w:t xml:space="preserve">są </w:t>
      </w:r>
      <w:r w:rsidRPr="008D34F0">
        <w:rPr>
          <w:rFonts w:ascii="Times" w:eastAsia="Times New Roman" w:hAnsi="Times" w:cs="Arial"/>
          <w:bCs/>
          <w:sz w:val="24"/>
          <w:szCs w:val="20"/>
          <w:lang w:eastAsia="pl-PL"/>
        </w:rPr>
        <w:t>pobierane próbki krwi do badań laboratoryjnych w kierunku ASF. Tylko świnie, które uzyskały zadowalające wyniki takich badań, mogą być skierowane do uboju w celu pozyskania mięsa przeznaczonego do spożycia przez ludzi.</w:t>
      </w:r>
    </w:p>
    <w:p w:rsidR="008D34F0" w:rsidRPr="008D34F0" w:rsidRDefault="008D34F0" w:rsidP="008D34F0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8D34F0">
        <w:rPr>
          <w:rFonts w:ascii="Times" w:eastAsia="Times New Roman" w:hAnsi="Times" w:cs="Arial"/>
          <w:bCs/>
          <w:sz w:val="24"/>
          <w:szCs w:val="20"/>
          <w:lang w:eastAsia="pl-PL"/>
        </w:rPr>
        <w:t>Przepisy unijne oraz przepisy krajowe je wprowadzające dopuszczają produkcję i wprowadzanie na rynek produktów pochodzenia zwierzęcego pochodzących z obszarów podlegających ograniczeniom w zakresie zdrowia zwierząt (w ty</w:t>
      </w:r>
      <w:r w:rsidR="00CA3A5B">
        <w:rPr>
          <w:rFonts w:ascii="Times" w:eastAsia="Times New Roman" w:hAnsi="Times" w:cs="Arial"/>
          <w:bCs/>
          <w:sz w:val="24"/>
          <w:szCs w:val="20"/>
          <w:lang w:eastAsia="pl-PL"/>
        </w:rPr>
        <w:t>m przypadku ASF), pod warunkiem</w:t>
      </w:r>
      <w:r w:rsidRPr="008D34F0">
        <w:rPr>
          <w:rFonts w:ascii="Times" w:eastAsia="Times New Roman" w:hAnsi="Times" w:cs="Arial"/>
          <w:bCs/>
          <w:sz w:val="24"/>
          <w:szCs w:val="20"/>
          <w:lang w:eastAsia="pl-PL"/>
        </w:rPr>
        <w:t xml:space="preserve"> że spełnione zostaną określone wymagania dotyczące ich produkcji oraz wprowadzania na rynek. </w:t>
      </w:r>
    </w:p>
    <w:p w:rsidR="008D34F0" w:rsidRPr="008D34F0" w:rsidRDefault="008D34F0" w:rsidP="008D34F0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8D34F0">
        <w:rPr>
          <w:rFonts w:ascii="Times" w:eastAsia="Times New Roman" w:hAnsi="Times" w:cs="Arial"/>
          <w:bCs/>
          <w:sz w:val="24"/>
          <w:szCs w:val="20"/>
          <w:lang w:eastAsia="pl-PL"/>
        </w:rPr>
        <w:t xml:space="preserve">Mając na uwadze ww. obowiązujące przepisy w zakresie środków podejmowanych w związku z wystąpieniem ASF, przedmiotem zamówienia w ramach dostawy może być mięso pozyskane od świń pochodzących z obszaru ochronnego i objętego ograniczeniami, określonych w przepisach rozporządzenia Ministra Rolnictwa i Rozwoju Wsi z dnia 6 maja 2015 r. w sprawie środków podejmowanych w związku z wystąpieniem afrykańskiego pomoru świń. Ponadto, z pewnymi wyjątkami, przedmiotem zamówienia może być również mięso pozyskane ze świń pochodzących z obszaru zagrożenia określonego w ww. rozporządzeniu. </w:t>
      </w:r>
    </w:p>
    <w:p w:rsidR="008D34F0" w:rsidRPr="008D34F0" w:rsidRDefault="008D34F0" w:rsidP="008D34F0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sz w:val="24"/>
          <w:szCs w:val="20"/>
          <w:lang w:eastAsia="pl-PL"/>
        </w:rPr>
      </w:pPr>
      <w:r w:rsidRPr="008D34F0">
        <w:rPr>
          <w:rFonts w:ascii="Times" w:eastAsia="Times New Roman" w:hAnsi="Times" w:cs="Arial"/>
          <w:sz w:val="24"/>
          <w:szCs w:val="20"/>
          <w:lang w:eastAsia="pl-PL"/>
        </w:rPr>
        <w:t xml:space="preserve">W przypadku obszaru zagrożenia, o którym mowa wyżej, przedmiotem zamówienia może być mięso pozyskane ze świń pochodzących z obszaru zagrożenia, które spełnią </w:t>
      </w:r>
      <w:r w:rsidRPr="008D34F0">
        <w:rPr>
          <w:rFonts w:ascii="Times" w:eastAsia="Times New Roman" w:hAnsi="Times" w:cs="Arial"/>
          <w:sz w:val="24"/>
          <w:szCs w:val="20"/>
          <w:lang w:eastAsia="pl-PL"/>
        </w:rPr>
        <w:lastRenderedPageBreak/>
        <w:t xml:space="preserve">warunki wskazane w </w:t>
      </w:r>
      <w:r w:rsidRPr="008D34F0">
        <w:rPr>
          <w:rFonts w:ascii="Times" w:eastAsia="Times New Roman" w:hAnsi="Times" w:cs="Times"/>
          <w:sz w:val="24"/>
          <w:szCs w:val="20"/>
          <w:lang w:eastAsia="pl-PL"/>
        </w:rPr>
        <w:t>§</w:t>
      </w:r>
      <w:r w:rsidRPr="008D34F0">
        <w:rPr>
          <w:rFonts w:ascii="Times" w:eastAsia="Times New Roman" w:hAnsi="Times" w:cs="Arial"/>
          <w:sz w:val="24"/>
          <w:szCs w:val="20"/>
          <w:lang w:eastAsia="pl-PL"/>
        </w:rPr>
        <w:t xml:space="preserve"> 4 ust. 2 pkt 1 lub pkt 2 ww. rozporządzenia (mięso znakowane znakiem okrągłym). Przedmiotem zamówienia będzie też mogło być mięso pozyskane ze świń, które nie spełnią warunków wskazanych w § 4 ust</w:t>
      </w:r>
      <w:r w:rsidR="00CA3A5B">
        <w:rPr>
          <w:rFonts w:ascii="Times" w:eastAsia="Times New Roman" w:hAnsi="Times" w:cs="Arial"/>
          <w:sz w:val="24"/>
          <w:szCs w:val="20"/>
          <w:lang w:eastAsia="pl-PL"/>
        </w:rPr>
        <w:t>.</w:t>
      </w:r>
      <w:r w:rsidRPr="008D34F0">
        <w:rPr>
          <w:rFonts w:ascii="Times" w:eastAsia="Times New Roman" w:hAnsi="Times" w:cs="Arial"/>
          <w:sz w:val="24"/>
          <w:szCs w:val="20"/>
          <w:lang w:eastAsia="pl-PL"/>
        </w:rPr>
        <w:t xml:space="preserve"> 2 pkt 1 lub 2 ww. rozporządzenia (mięso znakowane znakiem pięciokątnym), jeżeli realizacja zamówienia będzie miała miejsce wyłącznie na tym obszarze, ponieważ mięso takie nie może być wywożone poza ww. obszar zagrożenia.</w:t>
      </w:r>
    </w:p>
    <w:p w:rsidR="008D34F0" w:rsidRPr="008D34F0" w:rsidRDefault="008D34F0" w:rsidP="008D34F0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8D34F0">
        <w:rPr>
          <w:rFonts w:ascii="Times" w:eastAsia="Times New Roman" w:hAnsi="Times" w:cs="Arial"/>
          <w:bCs/>
          <w:sz w:val="24"/>
          <w:szCs w:val="20"/>
          <w:lang w:eastAsia="pl-PL"/>
        </w:rPr>
        <w:t>Ponadto przedmiotem zamówie</w:t>
      </w:r>
      <w:r w:rsidR="000223E9">
        <w:rPr>
          <w:rFonts w:ascii="Times" w:eastAsia="Times New Roman" w:hAnsi="Times" w:cs="Arial"/>
          <w:bCs/>
          <w:sz w:val="24"/>
          <w:szCs w:val="20"/>
          <w:lang w:eastAsia="pl-PL"/>
        </w:rPr>
        <w:t>nia</w:t>
      </w:r>
      <w:r w:rsidRPr="008D34F0">
        <w:rPr>
          <w:rFonts w:ascii="Times" w:eastAsia="Times New Roman" w:hAnsi="Times" w:cs="Arial"/>
          <w:bCs/>
          <w:sz w:val="24"/>
          <w:szCs w:val="20"/>
          <w:lang w:eastAsia="pl-PL"/>
        </w:rPr>
        <w:t xml:space="preserve"> zgodnie z projektowaną ustawą nie będzie mogło być mięso wieprzowe pozyskane ze świń pochodzących z obszaru zapowietrzonego lub zagrożonego, które zostały ustanowione zgodnie z przepisami rozporządzenia Ministra Rolnictwa i Rozwoju Wsi z dnia 6 maja 2015 r. w sprawie zwalczania afrykańskiego pomoru świń (Dz. U. poz. 754). W przypadku mięsa pozyskanego od świń utrzymywanych na obszarze zapowietrzonym lub zagrożonym mięso musi być oznakowane specjalnym znakiem (owal przekreślony) oraz musi być przeznaczone do obróbki termicznej i dopiero po przetworzeniu, jako produkt mięsny, </w:t>
      </w:r>
      <w:r>
        <w:rPr>
          <w:rFonts w:ascii="Times" w:eastAsia="Times New Roman" w:hAnsi="Times" w:cs="Arial"/>
          <w:bCs/>
          <w:sz w:val="24"/>
          <w:szCs w:val="20"/>
          <w:lang w:eastAsia="pl-PL"/>
        </w:rPr>
        <w:t>może być wprowadzane na rynek.</w:t>
      </w:r>
    </w:p>
    <w:p w:rsidR="008D34F0" w:rsidRPr="008D34F0" w:rsidRDefault="008D34F0" w:rsidP="008D34F0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sz w:val="24"/>
          <w:szCs w:val="20"/>
          <w:lang w:eastAsia="pl-PL"/>
        </w:rPr>
      </w:pPr>
      <w:r w:rsidRPr="008D34F0">
        <w:rPr>
          <w:rFonts w:ascii="Times" w:eastAsia="Times New Roman" w:hAnsi="Times" w:cs="Arial"/>
          <w:sz w:val="24"/>
          <w:szCs w:val="20"/>
          <w:lang w:eastAsia="pl-PL"/>
        </w:rPr>
        <w:t xml:space="preserve">Projektowana zmiana będzie miała pozytywny wpływ na działalność mikroprzedsiębiorców oraz małych i średnich przedsiębiorców. Zaproponowane regulacje </w:t>
      </w:r>
      <w:r w:rsidRPr="008D34F0">
        <w:rPr>
          <w:rFonts w:ascii="Times" w:eastAsia="Times New Roman" w:hAnsi="Times" w:cs="Arial"/>
          <w:sz w:val="24"/>
          <w:szCs w:val="20"/>
          <w:lang w:eastAsia="pl-PL" w:bidi="pl-PL"/>
        </w:rPr>
        <w:t>ułatwi</w:t>
      </w:r>
      <w:r w:rsidRPr="008D34F0">
        <w:rPr>
          <w:rFonts w:ascii="Times" w:eastAsia="Times New Roman" w:hAnsi="Times" w:cs="Arial"/>
          <w:sz w:val="24"/>
          <w:szCs w:val="20"/>
          <w:lang w:eastAsia="pl-PL"/>
        </w:rPr>
        <w:t>ą</w:t>
      </w:r>
      <w:r w:rsidRPr="008D34F0">
        <w:rPr>
          <w:rFonts w:ascii="Times" w:eastAsia="Times New Roman" w:hAnsi="Times" w:cs="Arial"/>
          <w:sz w:val="24"/>
          <w:szCs w:val="20"/>
          <w:lang w:eastAsia="pl-PL" w:bidi="pl-PL"/>
        </w:rPr>
        <w:t xml:space="preserve"> sprzedaż wolnych od wirusa ASF świń przez producentów rolnych prowadzących produkcję świń na obszarach z ograniczeniami wprowadzonymi w związku z wystąpieniem na terytorium Polski ASF </w:t>
      </w:r>
      <w:r w:rsidRPr="008D34F0">
        <w:rPr>
          <w:rFonts w:ascii="Times" w:eastAsia="Times New Roman" w:hAnsi="Times" w:cs="Arial"/>
          <w:sz w:val="24"/>
          <w:szCs w:val="20"/>
          <w:lang w:eastAsia="pl-PL"/>
        </w:rPr>
        <w:t>oraz  zagospodarowanie mięsa zdrowych świń z obszarów, na których w skutek ograniczeń weterynaryjnych dotyczących zasad przemieszcz</w:t>
      </w:r>
      <w:r w:rsidR="00CA3A5B">
        <w:rPr>
          <w:rFonts w:ascii="Times" w:eastAsia="Times New Roman" w:hAnsi="Times" w:cs="Arial"/>
          <w:sz w:val="24"/>
          <w:szCs w:val="20"/>
          <w:lang w:eastAsia="pl-PL"/>
        </w:rPr>
        <w:t>ania świń</w:t>
      </w:r>
      <w:r w:rsidRPr="008D34F0">
        <w:rPr>
          <w:rFonts w:ascii="Times" w:eastAsia="Times New Roman" w:hAnsi="Times" w:cs="Arial"/>
          <w:sz w:val="24"/>
          <w:szCs w:val="20"/>
          <w:lang w:eastAsia="pl-PL"/>
        </w:rPr>
        <w:t xml:space="preserve"> występują najwi</w:t>
      </w:r>
      <w:r w:rsidR="00CA3A5B">
        <w:rPr>
          <w:rFonts w:ascii="Times" w:eastAsia="Times New Roman" w:hAnsi="Times" w:cs="Arial"/>
          <w:sz w:val="24"/>
          <w:szCs w:val="20"/>
          <w:lang w:eastAsia="pl-PL"/>
        </w:rPr>
        <w:t>ększe problemy ze zbytem świń.</w:t>
      </w:r>
    </w:p>
    <w:p w:rsidR="008D34F0" w:rsidRPr="008D34F0" w:rsidRDefault="008D34F0" w:rsidP="008D34F0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8D34F0">
        <w:rPr>
          <w:rFonts w:ascii="Times" w:eastAsia="Times New Roman" w:hAnsi="Times" w:cs="Arial"/>
          <w:bCs/>
          <w:sz w:val="24"/>
          <w:szCs w:val="20"/>
          <w:lang w:eastAsia="pl-PL"/>
        </w:rPr>
        <w:t>Proponuje się, aby projektowana ustawa weszła w życie z dniem następującym po dniu ogłoszenia. Wejście w życie projektowanej ustawy w takim terminie jest niezbędne z uwagi na szczególną sytuację związaną z wystąpieniem wirusa ASF na terytorium Rzeczypospolitej Polskiej i konieczność zapewnienia jak najszybszego łagodzenia negatywnych skutków tej choroby, także w sferze gospodarczej. Szczególne ułatwienia dla podmiotów publicznych, w</w:t>
      </w:r>
      <w:r>
        <w:rPr>
          <w:rFonts w:ascii="Times" w:eastAsia="Times New Roman" w:hAnsi="Times" w:cs="Arial"/>
          <w:bCs/>
          <w:sz w:val="24"/>
          <w:szCs w:val="20"/>
          <w:lang w:eastAsia="pl-PL"/>
        </w:rPr>
        <w:t> </w:t>
      </w:r>
      <w:r w:rsidRPr="008D34F0">
        <w:rPr>
          <w:rFonts w:ascii="Times" w:eastAsia="Times New Roman" w:hAnsi="Times" w:cs="Arial"/>
          <w:bCs/>
          <w:sz w:val="24"/>
          <w:szCs w:val="20"/>
          <w:lang w:eastAsia="pl-PL"/>
        </w:rPr>
        <w:t xml:space="preserve">szczególności jednostek sektora finansów publicznych, podczas nabywania mięsa </w:t>
      </w:r>
      <w:r>
        <w:rPr>
          <w:rFonts w:ascii="Times" w:eastAsia="Times New Roman" w:hAnsi="Times" w:cs="Arial"/>
          <w:bCs/>
          <w:sz w:val="24"/>
          <w:szCs w:val="20"/>
          <w:lang w:eastAsia="pl-PL"/>
        </w:rPr>
        <w:t>i </w:t>
      </w:r>
      <w:r w:rsidRPr="008D34F0">
        <w:rPr>
          <w:rFonts w:ascii="Times" w:eastAsia="Times New Roman" w:hAnsi="Times" w:cs="Arial"/>
          <w:bCs/>
          <w:sz w:val="24"/>
          <w:szCs w:val="20"/>
          <w:lang w:eastAsia="pl-PL"/>
        </w:rPr>
        <w:t xml:space="preserve">produktów pochodzących z mięsa świń na obszarach z ograniczeniami w związku </w:t>
      </w:r>
      <w:r>
        <w:rPr>
          <w:rFonts w:ascii="Times" w:eastAsia="Times New Roman" w:hAnsi="Times" w:cs="Arial"/>
          <w:bCs/>
          <w:sz w:val="24"/>
          <w:szCs w:val="20"/>
          <w:lang w:eastAsia="pl-PL"/>
        </w:rPr>
        <w:t>z </w:t>
      </w:r>
      <w:r w:rsidRPr="008D34F0">
        <w:rPr>
          <w:rFonts w:ascii="Times" w:eastAsia="Times New Roman" w:hAnsi="Times" w:cs="Arial"/>
          <w:bCs/>
          <w:sz w:val="24"/>
          <w:szCs w:val="20"/>
          <w:lang w:eastAsia="pl-PL"/>
        </w:rPr>
        <w:t xml:space="preserve">wystąpieniem wirusa ASF, przyczynią się do łagodzenia trudnej sytuacji hodowców świń </w:t>
      </w:r>
      <w:r>
        <w:rPr>
          <w:rFonts w:ascii="Times" w:eastAsia="Times New Roman" w:hAnsi="Times" w:cs="Arial"/>
          <w:bCs/>
          <w:sz w:val="24"/>
          <w:szCs w:val="20"/>
          <w:lang w:eastAsia="pl-PL"/>
        </w:rPr>
        <w:t>z </w:t>
      </w:r>
      <w:r w:rsidRPr="008D34F0">
        <w:rPr>
          <w:rFonts w:ascii="Times" w:eastAsia="Times New Roman" w:hAnsi="Times" w:cs="Arial"/>
          <w:bCs/>
          <w:sz w:val="24"/>
          <w:szCs w:val="20"/>
          <w:lang w:eastAsia="pl-PL"/>
        </w:rPr>
        <w:t>obszarów objętych restrykcjami w związku z wystąpieniem ASF oraz podmiotów zakup</w:t>
      </w:r>
      <w:r w:rsidR="000223E9">
        <w:rPr>
          <w:rFonts w:ascii="Times" w:eastAsia="Times New Roman" w:hAnsi="Times" w:cs="Arial"/>
          <w:bCs/>
          <w:sz w:val="24"/>
          <w:szCs w:val="20"/>
          <w:lang w:eastAsia="pl-PL"/>
        </w:rPr>
        <w:t>ujących</w:t>
      </w:r>
      <w:r w:rsidRPr="008D34F0">
        <w:rPr>
          <w:rFonts w:ascii="Times" w:eastAsia="Times New Roman" w:hAnsi="Times" w:cs="Arial"/>
          <w:bCs/>
          <w:sz w:val="24"/>
          <w:szCs w:val="20"/>
          <w:lang w:eastAsia="pl-PL"/>
        </w:rPr>
        <w:t xml:space="preserve"> świ</w:t>
      </w:r>
      <w:r w:rsidR="000223E9">
        <w:rPr>
          <w:rFonts w:ascii="Times" w:eastAsia="Times New Roman" w:hAnsi="Times" w:cs="Arial"/>
          <w:bCs/>
          <w:sz w:val="24"/>
          <w:szCs w:val="20"/>
          <w:lang w:eastAsia="pl-PL"/>
        </w:rPr>
        <w:t>nie</w:t>
      </w:r>
      <w:r w:rsidRPr="008D34F0">
        <w:rPr>
          <w:rFonts w:ascii="Times" w:eastAsia="Times New Roman" w:hAnsi="Times" w:cs="Arial"/>
          <w:bCs/>
          <w:sz w:val="24"/>
          <w:szCs w:val="20"/>
          <w:lang w:eastAsia="pl-PL"/>
        </w:rPr>
        <w:t xml:space="preserve"> na tych obszarach.  </w:t>
      </w:r>
    </w:p>
    <w:p w:rsidR="008D34F0" w:rsidRPr="008D34F0" w:rsidRDefault="008D34F0" w:rsidP="008D34F0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sz w:val="24"/>
          <w:szCs w:val="20"/>
          <w:lang w:eastAsia="pl-PL"/>
        </w:rPr>
      </w:pPr>
      <w:r w:rsidRPr="008D34F0">
        <w:rPr>
          <w:rFonts w:ascii="Times" w:eastAsia="Times New Roman" w:hAnsi="Times" w:cs="Arial"/>
          <w:sz w:val="24"/>
          <w:szCs w:val="20"/>
          <w:lang w:eastAsia="pl-PL"/>
        </w:rPr>
        <w:t xml:space="preserve">W projekcie ustawy został zawarty również przepis dotyczący utrzymania w mocy aktu wykonawczego wydanego na podstawie art. 1 ust. 2 zmienianej ustawy. Treść upoważnienia </w:t>
      </w:r>
      <w:r w:rsidRPr="008D34F0">
        <w:rPr>
          <w:rFonts w:ascii="Times" w:eastAsia="Times New Roman" w:hAnsi="Times" w:cs="Arial"/>
          <w:sz w:val="24"/>
          <w:szCs w:val="20"/>
          <w:lang w:eastAsia="pl-PL"/>
        </w:rPr>
        <w:lastRenderedPageBreak/>
        <w:t>ustawowego zawartego w art. 1 ust. 2, zgodnie z którym minister właściwy do spraw rolnictwa określa, w drodze rozporządzenia, obszary, na których są położone gospodarstwa rolne, o których mowa w art. 1 ust. 1 ustawy, nie uległa zmianie, jednak przez rozszerzenie zakresu prze</w:t>
      </w:r>
      <w:r w:rsidR="00CA3A5B">
        <w:rPr>
          <w:rFonts w:ascii="Times" w:eastAsia="Times New Roman" w:hAnsi="Times" w:cs="Arial"/>
          <w:sz w:val="24"/>
          <w:szCs w:val="20"/>
          <w:lang w:eastAsia="pl-PL"/>
        </w:rPr>
        <w:t>dmiotowego art. 1 ust. 1 ustawy</w:t>
      </w:r>
      <w:r w:rsidRPr="008D34F0">
        <w:rPr>
          <w:rFonts w:ascii="Times" w:eastAsia="Times New Roman" w:hAnsi="Times" w:cs="Arial"/>
          <w:sz w:val="24"/>
          <w:szCs w:val="20"/>
          <w:lang w:eastAsia="pl-PL"/>
        </w:rPr>
        <w:t xml:space="preserve"> rozporządzenie będzie miało zastosowanie również do mięsa wieprzowego, które zostało objęte rozwiązaniami przewidzianymi w zmienianej ustawie.  </w:t>
      </w:r>
    </w:p>
    <w:p w:rsidR="008D34F0" w:rsidRPr="008D34F0" w:rsidRDefault="008D34F0" w:rsidP="008D34F0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sz w:val="24"/>
          <w:szCs w:val="20"/>
          <w:lang w:eastAsia="pl-PL"/>
        </w:rPr>
      </w:pPr>
      <w:r w:rsidRPr="008D34F0">
        <w:rPr>
          <w:rFonts w:ascii="Times" w:eastAsia="Times New Roman" w:hAnsi="Times" w:cs="Arial"/>
          <w:sz w:val="24"/>
          <w:szCs w:val="20"/>
          <w:lang w:eastAsia="pl-PL"/>
        </w:rPr>
        <w:t>Projekt ustawy jest zgodny z przepisami Unii Europejskiej.</w:t>
      </w:r>
    </w:p>
    <w:p w:rsidR="008D34F0" w:rsidRPr="008D34F0" w:rsidRDefault="008D34F0" w:rsidP="008D34F0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8D34F0">
        <w:rPr>
          <w:rFonts w:ascii="Times" w:eastAsia="Times New Roman" w:hAnsi="Times" w:cs="Arial"/>
          <w:bCs/>
          <w:sz w:val="24"/>
          <w:szCs w:val="20"/>
          <w:lang w:eastAsia="pl-PL"/>
        </w:rPr>
        <w:t>Projekt ustawy nie powoduje dodatkowych skutków finansowych dla budżetu państwa.</w:t>
      </w:r>
    </w:p>
    <w:p w:rsidR="008D34F0" w:rsidRPr="008D34F0" w:rsidRDefault="008D34F0" w:rsidP="008D34F0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8D34F0">
        <w:rPr>
          <w:rFonts w:ascii="Times" w:eastAsia="Times New Roman" w:hAnsi="Times" w:cs="Arial"/>
          <w:bCs/>
          <w:sz w:val="24"/>
          <w:szCs w:val="20"/>
          <w:lang w:eastAsia="pl-PL"/>
        </w:rPr>
        <w:t>Projekt ustawy nie podlega procedurze notyfikacji w rozumieniu przepisów rozporządzenia Rady Ministrów z dnia 23 grudnia 2002 r. w sprawie sposobu funkcjonowania krajowego systemu notyfikacji norm i aktów prawnych (Dz. U. poz. 2039, z późn. zm.), ponieważ nie zawiera przepisów technicznych.</w:t>
      </w:r>
    </w:p>
    <w:p w:rsidR="008D34F0" w:rsidRPr="008D34F0" w:rsidRDefault="008D34F0" w:rsidP="008D34F0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sz w:val="24"/>
          <w:szCs w:val="20"/>
          <w:lang w:eastAsia="pl-PL"/>
        </w:rPr>
      </w:pPr>
      <w:r w:rsidRPr="008D34F0">
        <w:rPr>
          <w:rFonts w:ascii="Times" w:eastAsia="Times New Roman" w:hAnsi="Times" w:cs="Arial"/>
          <w:sz w:val="24"/>
          <w:szCs w:val="20"/>
          <w:lang w:eastAsia="pl-PL"/>
        </w:rPr>
        <w:t>Stosownie do art.</w:t>
      </w:r>
      <w:r>
        <w:rPr>
          <w:rFonts w:ascii="Times" w:eastAsia="Times New Roman" w:hAnsi="Times" w:cs="Arial"/>
          <w:sz w:val="24"/>
          <w:szCs w:val="20"/>
          <w:lang w:eastAsia="pl-PL"/>
        </w:rPr>
        <w:t xml:space="preserve"> </w:t>
      </w:r>
      <w:r w:rsidRPr="008D34F0">
        <w:rPr>
          <w:rFonts w:ascii="Times" w:eastAsia="Times New Roman" w:hAnsi="Times" w:cs="Arial"/>
          <w:sz w:val="24"/>
          <w:szCs w:val="20"/>
          <w:lang w:eastAsia="pl-PL"/>
        </w:rPr>
        <w:t>5</w:t>
      </w:r>
      <w:r>
        <w:rPr>
          <w:rFonts w:ascii="Times" w:eastAsia="Times New Roman" w:hAnsi="Times" w:cs="Arial"/>
          <w:sz w:val="24"/>
          <w:szCs w:val="20"/>
          <w:lang w:eastAsia="pl-PL"/>
        </w:rPr>
        <w:t xml:space="preserve"> </w:t>
      </w:r>
      <w:r w:rsidRPr="008D34F0">
        <w:rPr>
          <w:rFonts w:ascii="Times" w:eastAsia="Times New Roman" w:hAnsi="Times" w:cs="Arial"/>
          <w:sz w:val="24"/>
          <w:szCs w:val="20"/>
          <w:lang w:eastAsia="pl-PL"/>
        </w:rPr>
        <w:t>ustawy z</w:t>
      </w:r>
      <w:r>
        <w:rPr>
          <w:rFonts w:ascii="Times" w:eastAsia="Times New Roman" w:hAnsi="Times" w:cs="Arial"/>
          <w:sz w:val="24"/>
          <w:szCs w:val="20"/>
          <w:lang w:eastAsia="pl-PL"/>
        </w:rPr>
        <w:t xml:space="preserve"> </w:t>
      </w:r>
      <w:r w:rsidRPr="008D34F0">
        <w:rPr>
          <w:rFonts w:ascii="Times" w:eastAsia="Times New Roman" w:hAnsi="Times" w:cs="Arial"/>
          <w:sz w:val="24"/>
          <w:szCs w:val="20"/>
          <w:lang w:eastAsia="pl-PL"/>
        </w:rPr>
        <w:t>dnia 7</w:t>
      </w:r>
      <w:r>
        <w:rPr>
          <w:rFonts w:ascii="Times" w:eastAsia="Times New Roman" w:hAnsi="Times" w:cs="Arial"/>
          <w:sz w:val="24"/>
          <w:szCs w:val="20"/>
          <w:lang w:eastAsia="pl-PL"/>
        </w:rPr>
        <w:t xml:space="preserve"> </w:t>
      </w:r>
      <w:r w:rsidRPr="008D34F0">
        <w:rPr>
          <w:rFonts w:ascii="Times" w:eastAsia="Times New Roman" w:hAnsi="Times" w:cs="Arial"/>
          <w:sz w:val="24"/>
          <w:szCs w:val="20"/>
          <w:lang w:eastAsia="pl-PL"/>
        </w:rPr>
        <w:t>lipca 2005</w:t>
      </w:r>
      <w:r>
        <w:rPr>
          <w:rFonts w:ascii="Times" w:eastAsia="Times New Roman" w:hAnsi="Times" w:cs="Arial"/>
          <w:sz w:val="24"/>
          <w:szCs w:val="20"/>
          <w:lang w:eastAsia="pl-PL"/>
        </w:rPr>
        <w:t xml:space="preserve"> </w:t>
      </w:r>
      <w:r w:rsidRPr="008D34F0">
        <w:rPr>
          <w:rFonts w:ascii="Times" w:eastAsia="Times New Roman" w:hAnsi="Times" w:cs="Arial"/>
          <w:sz w:val="24"/>
          <w:szCs w:val="20"/>
          <w:lang w:eastAsia="pl-PL"/>
        </w:rPr>
        <w:t>r. o</w:t>
      </w:r>
      <w:r>
        <w:rPr>
          <w:rFonts w:ascii="Times" w:eastAsia="Times New Roman" w:hAnsi="Times" w:cs="Arial"/>
          <w:sz w:val="24"/>
          <w:szCs w:val="20"/>
          <w:lang w:eastAsia="pl-PL"/>
        </w:rPr>
        <w:t xml:space="preserve"> </w:t>
      </w:r>
      <w:r w:rsidRPr="008D34F0">
        <w:rPr>
          <w:rFonts w:ascii="Times" w:eastAsia="Times New Roman" w:hAnsi="Times" w:cs="Arial"/>
          <w:sz w:val="24"/>
          <w:szCs w:val="20"/>
          <w:lang w:eastAsia="pl-PL"/>
        </w:rPr>
        <w:t>działalności lobbingowej w procesie stanowienia prawa (Dz.</w:t>
      </w:r>
      <w:r>
        <w:rPr>
          <w:rFonts w:ascii="Times" w:eastAsia="Times New Roman" w:hAnsi="Times" w:cs="Arial"/>
          <w:sz w:val="24"/>
          <w:szCs w:val="20"/>
          <w:lang w:eastAsia="pl-PL"/>
        </w:rPr>
        <w:t xml:space="preserve"> </w:t>
      </w:r>
      <w:r w:rsidRPr="008D34F0">
        <w:rPr>
          <w:rFonts w:ascii="Times" w:eastAsia="Times New Roman" w:hAnsi="Times" w:cs="Arial"/>
          <w:sz w:val="24"/>
          <w:szCs w:val="20"/>
          <w:lang w:eastAsia="pl-PL"/>
        </w:rPr>
        <w:t>U. z</w:t>
      </w:r>
      <w:r>
        <w:rPr>
          <w:rFonts w:ascii="Times" w:eastAsia="Times New Roman" w:hAnsi="Times" w:cs="Arial"/>
          <w:sz w:val="24"/>
          <w:szCs w:val="20"/>
          <w:lang w:eastAsia="pl-PL"/>
        </w:rPr>
        <w:t xml:space="preserve"> </w:t>
      </w:r>
      <w:r w:rsidRPr="008D34F0">
        <w:rPr>
          <w:rFonts w:ascii="Times" w:eastAsia="Times New Roman" w:hAnsi="Times" w:cs="Arial"/>
          <w:sz w:val="24"/>
          <w:szCs w:val="20"/>
          <w:lang w:eastAsia="pl-PL"/>
        </w:rPr>
        <w:t>2017</w:t>
      </w:r>
      <w:r>
        <w:rPr>
          <w:rFonts w:ascii="Times" w:eastAsia="Times New Roman" w:hAnsi="Times" w:cs="Arial"/>
          <w:sz w:val="24"/>
          <w:szCs w:val="20"/>
          <w:lang w:eastAsia="pl-PL"/>
        </w:rPr>
        <w:t xml:space="preserve"> </w:t>
      </w:r>
      <w:r w:rsidRPr="008D34F0">
        <w:rPr>
          <w:rFonts w:ascii="Times" w:eastAsia="Times New Roman" w:hAnsi="Times" w:cs="Arial"/>
          <w:sz w:val="24"/>
          <w:szCs w:val="20"/>
          <w:lang w:eastAsia="pl-PL"/>
        </w:rPr>
        <w:t>r. poz.</w:t>
      </w:r>
      <w:r>
        <w:rPr>
          <w:rFonts w:ascii="Times" w:eastAsia="Times New Roman" w:hAnsi="Times" w:cs="Arial"/>
          <w:sz w:val="24"/>
          <w:szCs w:val="20"/>
          <w:lang w:eastAsia="pl-PL"/>
        </w:rPr>
        <w:t xml:space="preserve"> </w:t>
      </w:r>
      <w:r w:rsidR="000223E9">
        <w:rPr>
          <w:rFonts w:ascii="Times" w:eastAsia="Times New Roman" w:hAnsi="Times" w:cs="Arial"/>
          <w:sz w:val="24"/>
          <w:szCs w:val="20"/>
          <w:lang w:eastAsia="pl-PL"/>
        </w:rPr>
        <w:t>248)</w:t>
      </w:r>
      <w:r w:rsidRPr="008D34F0">
        <w:rPr>
          <w:rFonts w:ascii="Times" w:eastAsia="Times New Roman" w:hAnsi="Times" w:cs="Arial"/>
          <w:sz w:val="24"/>
          <w:szCs w:val="20"/>
          <w:lang w:eastAsia="pl-PL"/>
        </w:rPr>
        <w:t xml:space="preserve"> projekt ustawy zosta</w:t>
      </w:r>
      <w:r w:rsidR="009E2098">
        <w:rPr>
          <w:rFonts w:ascii="Times" w:eastAsia="Times New Roman" w:hAnsi="Times" w:cs="Arial"/>
          <w:sz w:val="24"/>
          <w:szCs w:val="20"/>
          <w:lang w:eastAsia="pl-PL"/>
        </w:rPr>
        <w:t>ł</w:t>
      </w:r>
      <w:r w:rsidRPr="008D34F0">
        <w:rPr>
          <w:rFonts w:ascii="Times" w:eastAsia="Times New Roman" w:hAnsi="Times" w:cs="Arial"/>
          <w:sz w:val="24"/>
          <w:szCs w:val="20"/>
          <w:lang w:eastAsia="pl-PL"/>
        </w:rPr>
        <w:t xml:space="preserve"> zamieszczony w Biuletynie Informacji Publicznej Ministerstwa Rolnictwa i</w:t>
      </w:r>
      <w:r>
        <w:rPr>
          <w:rFonts w:ascii="Times" w:eastAsia="Times New Roman" w:hAnsi="Times" w:cs="Arial"/>
          <w:sz w:val="24"/>
          <w:szCs w:val="20"/>
          <w:lang w:eastAsia="pl-PL"/>
        </w:rPr>
        <w:t xml:space="preserve"> </w:t>
      </w:r>
      <w:r w:rsidRPr="008D34F0">
        <w:rPr>
          <w:rFonts w:ascii="Times" w:eastAsia="Times New Roman" w:hAnsi="Times" w:cs="Arial"/>
          <w:sz w:val="24"/>
          <w:szCs w:val="20"/>
          <w:lang w:eastAsia="pl-PL"/>
        </w:rPr>
        <w:t>Rozwoju Wsi oraz w</w:t>
      </w:r>
      <w:r>
        <w:rPr>
          <w:rFonts w:ascii="Times" w:eastAsia="Times New Roman" w:hAnsi="Times" w:cs="Arial"/>
          <w:sz w:val="24"/>
          <w:szCs w:val="20"/>
          <w:lang w:eastAsia="pl-PL"/>
        </w:rPr>
        <w:t xml:space="preserve"> </w:t>
      </w:r>
      <w:r w:rsidRPr="008D34F0">
        <w:rPr>
          <w:rFonts w:ascii="Times" w:eastAsia="Times New Roman" w:hAnsi="Times" w:cs="Arial"/>
          <w:sz w:val="24"/>
          <w:szCs w:val="20"/>
          <w:lang w:eastAsia="pl-PL"/>
        </w:rPr>
        <w:t xml:space="preserve">Biuletynie Informacji Publicznej Rządowego Centrum Legislacji. </w:t>
      </w:r>
      <w:r w:rsidR="00893C18">
        <w:rPr>
          <w:rFonts w:ascii="Times" w:eastAsia="Times New Roman" w:hAnsi="Times" w:cs="Arial"/>
          <w:sz w:val="24"/>
          <w:szCs w:val="20"/>
          <w:lang w:eastAsia="pl-PL"/>
        </w:rPr>
        <w:t>Żaden podmiot nie zgłosił zainteresowania pracami nad projektem w trybie ww. ustawy.</w:t>
      </w:r>
      <w:bookmarkStart w:id="0" w:name="_GoBack"/>
      <w:bookmarkEnd w:id="0"/>
    </w:p>
    <w:p w:rsidR="008D34F0" w:rsidRPr="008D34F0" w:rsidRDefault="008D34F0" w:rsidP="008D34F0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sz w:val="24"/>
          <w:szCs w:val="20"/>
          <w:lang w:eastAsia="pl-PL"/>
        </w:rPr>
      </w:pPr>
      <w:r w:rsidRPr="008D34F0">
        <w:rPr>
          <w:rFonts w:ascii="Times" w:eastAsia="Times New Roman" w:hAnsi="Times" w:cs="Arial"/>
          <w:sz w:val="24"/>
          <w:szCs w:val="20"/>
          <w:lang w:eastAsia="pl-PL"/>
        </w:rPr>
        <w:t>Projekt ustawy został zgłoszony do Wykazu prac legislacyjnych i programowych Rady Ministrów.</w:t>
      </w:r>
    </w:p>
    <w:sectPr w:rsidR="008D34F0" w:rsidRPr="008D34F0" w:rsidSect="00727934">
      <w:footerReference w:type="defaul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08F2" w:rsidRDefault="00CF08F2" w:rsidP="009D78F9">
      <w:pPr>
        <w:spacing w:after="0" w:line="240" w:lineRule="auto"/>
      </w:pPr>
      <w:r>
        <w:separator/>
      </w:r>
    </w:p>
  </w:endnote>
  <w:endnote w:type="continuationSeparator" w:id="0">
    <w:p w:rsidR="00CF08F2" w:rsidRDefault="00CF08F2" w:rsidP="009D78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5944110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392C21" w:rsidRPr="00392C21" w:rsidRDefault="00392C21" w:rsidP="00392C21">
        <w:pPr>
          <w:pStyle w:val="Stopk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92C2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92C2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92C2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93C18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392C2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08F2" w:rsidRDefault="00CF08F2" w:rsidP="009D78F9">
      <w:pPr>
        <w:spacing w:after="0" w:line="240" w:lineRule="auto"/>
      </w:pPr>
      <w:r>
        <w:separator/>
      </w:r>
    </w:p>
  </w:footnote>
  <w:footnote w:type="continuationSeparator" w:id="0">
    <w:p w:rsidR="00CF08F2" w:rsidRDefault="00CF08F2" w:rsidP="009D78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41EA2"/>
    <w:multiLevelType w:val="multilevel"/>
    <w:tmpl w:val="0000000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04EE4F79"/>
    <w:multiLevelType w:val="hybridMultilevel"/>
    <w:tmpl w:val="5E823C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9E2B58"/>
    <w:multiLevelType w:val="hybridMultilevel"/>
    <w:tmpl w:val="DD34BEF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46254F"/>
    <w:multiLevelType w:val="hybridMultilevel"/>
    <w:tmpl w:val="20CA30D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7869C6"/>
    <w:multiLevelType w:val="hybridMultilevel"/>
    <w:tmpl w:val="4E9AD3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292349"/>
    <w:multiLevelType w:val="hybridMultilevel"/>
    <w:tmpl w:val="F1FC0650"/>
    <w:lvl w:ilvl="0" w:tplc="0415000F">
      <w:start w:val="1"/>
      <w:numFmt w:val="decimal"/>
      <w:lvlText w:val="%1."/>
      <w:lvlJc w:val="left"/>
      <w:pPr>
        <w:tabs>
          <w:tab w:val="num" w:pos="1047"/>
        </w:tabs>
        <w:ind w:left="1047" w:hanging="360"/>
      </w:pPr>
    </w:lvl>
    <w:lvl w:ilvl="1" w:tplc="2610BC42">
      <w:start w:val="1"/>
      <w:numFmt w:val="bullet"/>
      <w:lvlText w:val=""/>
      <w:lvlJc w:val="left"/>
      <w:pPr>
        <w:tabs>
          <w:tab w:val="num" w:pos="1767"/>
        </w:tabs>
        <w:ind w:left="1767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487"/>
        </w:tabs>
        <w:ind w:left="248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07"/>
        </w:tabs>
        <w:ind w:left="320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27"/>
        </w:tabs>
        <w:ind w:left="392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47"/>
        </w:tabs>
        <w:ind w:left="464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67"/>
        </w:tabs>
        <w:ind w:left="536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087"/>
        </w:tabs>
        <w:ind w:left="608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07"/>
        </w:tabs>
        <w:ind w:left="6807" w:hanging="180"/>
      </w:pPr>
    </w:lvl>
  </w:abstractNum>
  <w:abstractNum w:abstractNumId="6">
    <w:nsid w:val="1E3D318B"/>
    <w:multiLevelType w:val="hybridMultilevel"/>
    <w:tmpl w:val="0D7E1CE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A23D91"/>
    <w:multiLevelType w:val="hybridMultilevel"/>
    <w:tmpl w:val="29A04C7E"/>
    <w:lvl w:ilvl="0" w:tplc="A31018B0">
      <w:start w:val="1"/>
      <w:numFmt w:val="decimal"/>
      <w:lvlText w:val="%1."/>
      <w:lvlJc w:val="left"/>
      <w:pPr>
        <w:tabs>
          <w:tab w:val="num" w:pos="357"/>
        </w:tabs>
      </w:pPr>
      <w:rPr>
        <w:rFonts w:cs="Times New Roman" w:hint="default"/>
      </w:rPr>
    </w:lvl>
    <w:lvl w:ilvl="1" w:tplc="4D263FF8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1FEE2A02"/>
    <w:multiLevelType w:val="multilevel"/>
    <w:tmpl w:val="3EE2E83E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9">
    <w:nsid w:val="21CD007E"/>
    <w:multiLevelType w:val="hybridMultilevel"/>
    <w:tmpl w:val="FC0C11C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22DF723B"/>
    <w:multiLevelType w:val="multilevel"/>
    <w:tmpl w:val="42ECDCCE"/>
    <w:lvl w:ilvl="0">
      <w:start w:val="1"/>
      <w:numFmt w:val="decimal"/>
      <w:lvlText w:val="%1."/>
      <w:lvlJc w:val="left"/>
      <w:pPr>
        <w:tabs>
          <w:tab w:val="num" w:pos="1047"/>
        </w:tabs>
        <w:ind w:left="1047" w:hanging="360"/>
      </w:pPr>
    </w:lvl>
    <w:lvl w:ilvl="1">
      <w:start w:val="1"/>
      <w:numFmt w:val="decimal"/>
      <w:lvlText w:val="%2."/>
      <w:lvlJc w:val="left"/>
      <w:pPr>
        <w:tabs>
          <w:tab w:val="num" w:pos="1767"/>
        </w:tabs>
        <w:ind w:left="1767" w:hanging="360"/>
      </w:pPr>
    </w:lvl>
    <w:lvl w:ilvl="2">
      <w:start w:val="1"/>
      <w:numFmt w:val="decimal"/>
      <w:lvlText w:val="%3."/>
      <w:lvlJc w:val="left"/>
      <w:pPr>
        <w:tabs>
          <w:tab w:val="num" w:pos="2487"/>
        </w:tabs>
        <w:ind w:left="2487" w:hanging="360"/>
      </w:pPr>
    </w:lvl>
    <w:lvl w:ilvl="3">
      <w:start w:val="1"/>
      <w:numFmt w:val="decimal"/>
      <w:lvlText w:val="%4."/>
      <w:lvlJc w:val="left"/>
      <w:pPr>
        <w:tabs>
          <w:tab w:val="num" w:pos="3207"/>
        </w:tabs>
        <w:ind w:left="3207" w:hanging="360"/>
      </w:pPr>
    </w:lvl>
    <w:lvl w:ilvl="4">
      <w:start w:val="1"/>
      <w:numFmt w:val="decimal"/>
      <w:lvlText w:val="%5."/>
      <w:lvlJc w:val="left"/>
      <w:pPr>
        <w:tabs>
          <w:tab w:val="num" w:pos="3927"/>
        </w:tabs>
        <w:ind w:left="3927" w:hanging="360"/>
      </w:pPr>
    </w:lvl>
    <w:lvl w:ilvl="5">
      <w:start w:val="1"/>
      <w:numFmt w:val="decimal"/>
      <w:lvlText w:val="%6."/>
      <w:lvlJc w:val="left"/>
      <w:pPr>
        <w:tabs>
          <w:tab w:val="num" w:pos="4647"/>
        </w:tabs>
        <w:ind w:left="4647" w:hanging="360"/>
      </w:pPr>
    </w:lvl>
    <w:lvl w:ilvl="6">
      <w:start w:val="1"/>
      <w:numFmt w:val="decimal"/>
      <w:lvlText w:val="%7."/>
      <w:lvlJc w:val="left"/>
      <w:pPr>
        <w:tabs>
          <w:tab w:val="num" w:pos="5367"/>
        </w:tabs>
        <w:ind w:left="5367" w:hanging="360"/>
      </w:pPr>
    </w:lvl>
    <w:lvl w:ilvl="7">
      <w:start w:val="1"/>
      <w:numFmt w:val="decimal"/>
      <w:lvlText w:val="%8."/>
      <w:lvlJc w:val="left"/>
      <w:pPr>
        <w:tabs>
          <w:tab w:val="num" w:pos="6087"/>
        </w:tabs>
        <w:ind w:left="6087" w:hanging="360"/>
      </w:pPr>
    </w:lvl>
    <w:lvl w:ilvl="8">
      <w:start w:val="1"/>
      <w:numFmt w:val="decimal"/>
      <w:lvlText w:val="%9."/>
      <w:lvlJc w:val="left"/>
      <w:pPr>
        <w:tabs>
          <w:tab w:val="num" w:pos="6807"/>
        </w:tabs>
        <w:ind w:left="6807" w:hanging="360"/>
      </w:pPr>
    </w:lvl>
  </w:abstractNum>
  <w:abstractNum w:abstractNumId="11">
    <w:nsid w:val="245A51BA"/>
    <w:multiLevelType w:val="hybridMultilevel"/>
    <w:tmpl w:val="4970AB0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79D6C8D"/>
    <w:multiLevelType w:val="hybridMultilevel"/>
    <w:tmpl w:val="DD34BEF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C23FD6"/>
    <w:multiLevelType w:val="hybridMultilevel"/>
    <w:tmpl w:val="8048DF9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392A41E7"/>
    <w:multiLevelType w:val="hybridMultilevel"/>
    <w:tmpl w:val="1F5C7EEA"/>
    <w:lvl w:ilvl="0" w:tplc="680E46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A8B1EDD"/>
    <w:multiLevelType w:val="hybridMultilevel"/>
    <w:tmpl w:val="95FA285E"/>
    <w:lvl w:ilvl="0" w:tplc="0415000F">
      <w:start w:val="1"/>
      <w:numFmt w:val="decimal"/>
      <w:lvlText w:val="%1."/>
      <w:lvlJc w:val="left"/>
      <w:pPr>
        <w:tabs>
          <w:tab w:val="num" w:pos="1047"/>
        </w:tabs>
        <w:ind w:left="1047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767"/>
        </w:tabs>
        <w:ind w:left="176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487"/>
        </w:tabs>
        <w:ind w:left="248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07"/>
        </w:tabs>
        <w:ind w:left="320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27"/>
        </w:tabs>
        <w:ind w:left="392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47"/>
        </w:tabs>
        <w:ind w:left="464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67"/>
        </w:tabs>
        <w:ind w:left="536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087"/>
        </w:tabs>
        <w:ind w:left="608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07"/>
        </w:tabs>
        <w:ind w:left="6807" w:hanging="180"/>
      </w:pPr>
    </w:lvl>
  </w:abstractNum>
  <w:abstractNum w:abstractNumId="16">
    <w:nsid w:val="3B65511A"/>
    <w:multiLevelType w:val="hybridMultilevel"/>
    <w:tmpl w:val="4CAA9CB6"/>
    <w:lvl w:ilvl="0" w:tplc="C79E83AC">
      <w:start w:val="1"/>
      <w:numFmt w:val="bullet"/>
      <w:lvlText w:val=""/>
      <w:lvlJc w:val="left"/>
      <w:pPr>
        <w:tabs>
          <w:tab w:val="num" w:pos="1077"/>
        </w:tabs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17">
    <w:nsid w:val="3F4C0EBE"/>
    <w:multiLevelType w:val="multilevel"/>
    <w:tmpl w:val="7C6E0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12B5719"/>
    <w:multiLevelType w:val="hybridMultilevel"/>
    <w:tmpl w:val="5CD618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6E5730E"/>
    <w:multiLevelType w:val="hybridMultilevel"/>
    <w:tmpl w:val="3C7829F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9BE361A"/>
    <w:multiLevelType w:val="hybridMultilevel"/>
    <w:tmpl w:val="3AE85FAA"/>
    <w:lvl w:ilvl="0" w:tplc="04150011">
      <w:start w:val="1"/>
      <w:numFmt w:val="decimal"/>
      <w:lvlText w:val="%1)"/>
      <w:lvlJc w:val="left"/>
      <w:pPr>
        <w:tabs>
          <w:tab w:val="num" w:pos="1047"/>
        </w:tabs>
        <w:ind w:left="1047" w:hanging="360"/>
      </w:pPr>
    </w:lvl>
    <w:lvl w:ilvl="1" w:tplc="04150019">
      <w:start w:val="1"/>
      <w:numFmt w:val="decimal"/>
      <w:lvlText w:val="%2."/>
      <w:lvlJc w:val="left"/>
      <w:pPr>
        <w:tabs>
          <w:tab w:val="num" w:pos="1767"/>
        </w:tabs>
        <w:ind w:left="1767" w:hanging="360"/>
      </w:pPr>
    </w:lvl>
    <w:lvl w:ilvl="2" w:tplc="0415001B">
      <w:start w:val="1"/>
      <w:numFmt w:val="decimal"/>
      <w:lvlText w:val="%3."/>
      <w:lvlJc w:val="left"/>
      <w:pPr>
        <w:tabs>
          <w:tab w:val="num" w:pos="2487"/>
        </w:tabs>
        <w:ind w:left="2487" w:hanging="360"/>
      </w:pPr>
    </w:lvl>
    <w:lvl w:ilvl="3" w:tplc="0415000F">
      <w:start w:val="1"/>
      <w:numFmt w:val="decimal"/>
      <w:lvlText w:val="%4."/>
      <w:lvlJc w:val="left"/>
      <w:pPr>
        <w:tabs>
          <w:tab w:val="num" w:pos="3207"/>
        </w:tabs>
        <w:ind w:left="3207" w:hanging="360"/>
      </w:pPr>
    </w:lvl>
    <w:lvl w:ilvl="4" w:tplc="04150019">
      <w:start w:val="1"/>
      <w:numFmt w:val="decimal"/>
      <w:lvlText w:val="%5."/>
      <w:lvlJc w:val="left"/>
      <w:pPr>
        <w:tabs>
          <w:tab w:val="num" w:pos="3927"/>
        </w:tabs>
        <w:ind w:left="3927" w:hanging="360"/>
      </w:pPr>
    </w:lvl>
    <w:lvl w:ilvl="5" w:tplc="0415001B">
      <w:start w:val="1"/>
      <w:numFmt w:val="decimal"/>
      <w:lvlText w:val="%6."/>
      <w:lvlJc w:val="left"/>
      <w:pPr>
        <w:tabs>
          <w:tab w:val="num" w:pos="4647"/>
        </w:tabs>
        <w:ind w:left="4647" w:hanging="360"/>
      </w:pPr>
    </w:lvl>
    <w:lvl w:ilvl="6" w:tplc="0415000F">
      <w:start w:val="1"/>
      <w:numFmt w:val="decimal"/>
      <w:lvlText w:val="%7."/>
      <w:lvlJc w:val="left"/>
      <w:pPr>
        <w:tabs>
          <w:tab w:val="num" w:pos="5367"/>
        </w:tabs>
        <w:ind w:left="5367" w:hanging="360"/>
      </w:pPr>
    </w:lvl>
    <w:lvl w:ilvl="7" w:tplc="04150019">
      <w:start w:val="1"/>
      <w:numFmt w:val="decimal"/>
      <w:lvlText w:val="%8."/>
      <w:lvlJc w:val="left"/>
      <w:pPr>
        <w:tabs>
          <w:tab w:val="num" w:pos="6087"/>
        </w:tabs>
        <w:ind w:left="6087" w:hanging="360"/>
      </w:pPr>
    </w:lvl>
    <w:lvl w:ilvl="8" w:tplc="0415001B">
      <w:start w:val="1"/>
      <w:numFmt w:val="decimal"/>
      <w:lvlText w:val="%9."/>
      <w:lvlJc w:val="left"/>
      <w:pPr>
        <w:tabs>
          <w:tab w:val="num" w:pos="6807"/>
        </w:tabs>
        <w:ind w:left="6807" w:hanging="360"/>
      </w:pPr>
    </w:lvl>
  </w:abstractNum>
  <w:abstractNum w:abstractNumId="21">
    <w:nsid w:val="51461DEA"/>
    <w:multiLevelType w:val="hybridMultilevel"/>
    <w:tmpl w:val="80049DC2"/>
    <w:lvl w:ilvl="0" w:tplc="C79E83AC">
      <w:start w:val="1"/>
      <w:numFmt w:val="bullet"/>
      <w:lvlText w:val=""/>
      <w:lvlJc w:val="left"/>
      <w:pPr>
        <w:tabs>
          <w:tab w:val="num" w:pos="1077"/>
        </w:tabs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22">
    <w:nsid w:val="57D5579E"/>
    <w:multiLevelType w:val="hybridMultilevel"/>
    <w:tmpl w:val="0AD269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9863083"/>
    <w:multiLevelType w:val="hybridMultilevel"/>
    <w:tmpl w:val="B28ADCD0"/>
    <w:lvl w:ilvl="0" w:tplc="69624922">
      <w:start w:val="1"/>
      <w:numFmt w:val="bullet"/>
      <w:lvlText w:val="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4">
    <w:nsid w:val="5DBB20EB"/>
    <w:multiLevelType w:val="hybridMultilevel"/>
    <w:tmpl w:val="10E6B354"/>
    <w:lvl w:ilvl="0" w:tplc="FF5892AC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5">
    <w:nsid w:val="60417BAC"/>
    <w:multiLevelType w:val="hybridMultilevel"/>
    <w:tmpl w:val="7ACED012"/>
    <w:lvl w:ilvl="0" w:tplc="69624922">
      <w:start w:val="1"/>
      <w:numFmt w:val="bullet"/>
      <w:lvlText w:val="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26">
    <w:nsid w:val="605729A9"/>
    <w:multiLevelType w:val="hybridMultilevel"/>
    <w:tmpl w:val="E06E7A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1DD2B62"/>
    <w:multiLevelType w:val="hybridMultilevel"/>
    <w:tmpl w:val="9CBC531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2C56F97"/>
    <w:multiLevelType w:val="hybridMultilevel"/>
    <w:tmpl w:val="07FCC908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29">
    <w:nsid w:val="6FFD0546"/>
    <w:multiLevelType w:val="hybridMultilevel"/>
    <w:tmpl w:val="EFCC1B3A"/>
    <w:lvl w:ilvl="0" w:tplc="FF5892AC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0">
    <w:nsid w:val="70CF7D78"/>
    <w:multiLevelType w:val="hybridMultilevel"/>
    <w:tmpl w:val="EC5C07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B164B50"/>
    <w:multiLevelType w:val="hybridMultilevel"/>
    <w:tmpl w:val="16C045B8"/>
    <w:lvl w:ilvl="0" w:tplc="FF5892AC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4"/>
  </w:num>
  <w:num w:numId="3">
    <w:abstractNumId w:val="7"/>
  </w:num>
  <w:num w:numId="4">
    <w:abstractNumId w:val="1"/>
  </w:num>
  <w:num w:numId="5">
    <w:abstractNumId w:val="27"/>
  </w:num>
  <w:num w:numId="6">
    <w:abstractNumId w:val="2"/>
  </w:num>
  <w:num w:numId="7">
    <w:abstractNumId w:val="12"/>
  </w:num>
  <w:num w:numId="8">
    <w:abstractNumId w:val="19"/>
  </w:num>
  <w:num w:numId="9">
    <w:abstractNumId w:val="8"/>
  </w:num>
  <w:num w:numId="10">
    <w:abstractNumId w:val="21"/>
  </w:num>
  <w:num w:numId="11">
    <w:abstractNumId w:val="16"/>
  </w:num>
  <w:num w:numId="12">
    <w:abstractNumId w:val="20"/>
  </w:num>
  <w:num w:numId="13">
    <w:abstractNumId w:val="5"/>
  </w:num>
  <w:num w:numId="14">
    <w:abstractNumId w:val="15"/>
  </w:num>
  <w:num w:numId="15">
    <w:abstractNumId w:val="28"/>
  </w:num>
  <w:num w:numId="16">
    <w:abstractNumId w:val="23"/>
  </w:num>
  <w:num w:numId="17">
    <w:abstractNumId w:val="25"/>
  </w:num>
  <w:num w:numId="18">
    <w:abstractNumId w:val="9"/>
  </w:num>
  <w:num w:numId="19">
    <w:abstractNumId w:val="29"/>
  </w:num>
  <w:num w:numId="20">
    <w:abstractNumId w:val="31"/>
  </w:num>
  <w:num w:numId="21">
    <w:abstractNumId w:val="24"/>
  </w:num>
  <w:num w:numId="22">
    <w:abstractNumId w:val="10"/>
  </w:num>
  <w:num w:numId="23">
    <w:abstractNumId w:val="17"/>
  </w:num>
  <w:num w:numId="2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8"/>
  </w:num>
  <w:num w:numId="26">
    <w:abstractNumId w:val="13"/>
  </w:num>
  <w:num w:numId="27">
    <w:abstractNumId w:val="11"/>
  </w:num>
  <w:num w:numId="28">
    <w:abstractNumId w:val="26"/>
  </w:num>
  <w:num w:numId="29">
    <w:abstractNumId w:val="4"/>
  </w:num>
  <w:num w:numId="30">
    <w:abstractNumId w:val="6"/>
  </w:num>
  <w:num w:numId="31">
    <w:abstractNumId w:val="30"/>
  </w:num>
  <w:num w:numId="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3895"/>
    <w:rsid w:val="000223E9"/>
    <w:rsid w:val="00056E79"/>
    <w:rsid w:val="00236955"/>
    <w:rsid w:val="002D3299"/>
    <w:rsid w:val="00392C21"/>
    <w:rsid w:val="003938F7"/>
    <w:rsid w:val="003F6C95"/>
    <w:rsid w:val="00453BA3"/>
    <w:rsid w:val="004A37A6"/>
    <w:rsid w:val="004E0A95"/>
    <w:rsid w:val="004F3862"/>
    <w:rsid w:val="005F249D"/>
    <w:rsid w:val="005F4005"/>
    <w:rsid w:val="006466AC"/>
    <w:rsid w:val="00725B90"/>
    <w:rsid w:val="00726F0A"/>
    <w:rsid w:val="00727934"/>
    <w:rsid w:val="007455B5"/>
    <w:rsid w:val="007E26CA"/>
    <w:rsid w:val="00874676"/>
    <w:rsid w:val="00882207"/>
    <w:rsid w:val="00887DB4"/>
    <w:rsid w:val="00893C18"/>
    <w:rsid w:val="008D1573"/>
    <w:rsid w:val="008D34F0"/>
    <w:rsid w:val="008F6235"/>
    <w:rsid w:val="009D78F9"/>
    <w:rsid w:val="009E2098"/>
    <w:rsid w:val="009E788D"/>
    <w:rsid w:val="009F03C5"/>
    <w:rsid w:val="00AB053F"/>
    <w:rsid w:val="00CA3A5B"/>
    <w:rsid w:val="00CF08F2"/>
    <w:rsid w:val="00D033A0"/>
    <w:rsid w:val="00D03895"/>
    <w:rsid w:val="00DF4048"/>
    <w:rsid w:val="00DF5F5A"/>
    <w:rsid w:val="00F73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CF08F2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CF08F2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CF08F2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92C2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RTartustawynprozporzdzenia">
    <w:name w:val="ART(§) – art. ustawy (§ np. rozporządzenia)"/>
    <w:uiPriority w:val="11"/>
    <w:qFormat/>
    <w:rsid w:val="005F4005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5F4005"/>
    <w:rPr>
      <w:bCs/>
    </w:rPr>
  </w:style>
  <w:style w:type="paragraph" w:customStyle="1" w:styleId="PKTpunkt">
    <w:name w:val="PKT – punkt"/>
    <w:uiPriority w:val="13"/>
    <w:qFormat/>
    <w:rsid w:val="005F4005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9D7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D78F9"/>
  </w:style>
  <w:style w:type="paragraph" w:styleId="Stopka">
    <w:name w:val="footer"/>
    <w:basedOn w:val="Normalny"/>
    <w:link w:val="StopkaZnak"/>
    <w:uiPriority w:val="99"/>
    <w:unhideWhenUsed/>
    <w:rsid w:val="009D7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D78F9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F08F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F08F2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CF08F2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rsid w:val="00CF08F2"/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CF08F2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rsid w:val="00CF08F2"/>
    <w:rPr>
      <w:rFonts w:ascii="Arial" w:eastAsia="Times New Roman" w:hAnsi="Arial" w:cs="Arial"/>
      <w:b/>
      <w:bCs/>
      <w:sz w:val="26"/>
      <w:szCs w:val="26"/>
      <w:lang w:eastAsia="pl-PL"/>
    </w:rPr>
  </w:style>
  <w:style w:type="numbering" w:customStyle="1" w:styleId="Bezlisty1">
    <w:name w:val="Bez listy1"/>
    <w:next w:val="Bezlisty"/>
    <w:uiPriority w:val="99"/>
    <w:semiHidden/>
    <w:unhideWhenUsed/>
    <w:rsid w:val="00CF08F2"/>
  </w:style>
  <w:style w:type="table" w:styleId="Tabela-Siatka">
    <w:name w:val="Table Grid"/>
    <w:basedOn w:val="Standardowy"/>
    <w:uiPriority w:val="99"/>
    <w:rsid w:val="00CF08F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rsid w:val="00CF08F2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08F2"/>
    <w:rPr>
      <w:rFonts w:ascii="Tahoma" w:eastAsia="Calibri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F08F2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F08F2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CF08F2"/>
    <w:rPr>
      <w:vertAlign w:val="superscript"/>
    </w:rPr>
  </w:style>
  <w:style w:type="paragraph" w:styleId="Akapitzlist">
    <w:name w:val="List Paragraph"/>
    <w:basedOn w:val="Normalny"/>
    <w:uiPriority w:val="34"/>
    <w:qFormat/>
    <w:rsid w:val="00CF08F2"/>
    <w:pPr>
      <w:spacing w:after="0"/>
      <w:ind w:left="720"/>
      <w:contextualSpacing/>
    </w:pPr>
    <w:rPr>
      <w:rFonts w:ascii="Calibri" w:eastAsia="Calibri" w:hAnsi="Calibri" w:cs="Times New Roman"/>
    </w:rPr>
  </w:style>
  <w:style w:type="character" w:styleId="Odwoaniedokomentarza">
    <w:name w:val="annotation reference"/>
    <w:uiPriority w:val="99"/>
    <w:semiHidden/>
    <w:unhideWhenUsed/>
    <w:rsid w:val="00CF08F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F08F2"/>
    <w:pPr>
      <w:spacing w:after="0"/>
    </w:pPr>
    <w:rPr>
      <w:rFonts w:ascii="Calibri" w:eastAsia="Calibri" w:hAnsi="Calibri"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F08F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08F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F08F2"/>
    <w:rPr>
      <w:rFonts w:ascii="Calibri" w:eastAsia="Calibri" w:hAnsi="Calibri" w:cs="Times New Roman"/>
      <w:b/>
      <w:bCs/>
      <w:sz w:val="20"/>
      <w:szCs w:val="20"/>
    </w:rPr>
  </w:style>
  <w:style w:type="character" w:styleId="Hipercze">
    <w:name w:val="Hyperlink"/>
    <w:uiPriority w:val="99"/>
    <w:unhideWhenUsed/>
    <w:rsid w:val="00CF08F2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CF08F2"/>
    <w:rPr>
      <w:color w:val="800080"/>
      <w:u w:val="single"/>
    </w:rPr>
  </w:style>
  <w:style w:type="paragraph" w:styleId="NormalnyWeb">
    <w:name w:val="Normal (Web)"/>
    <w:basedOn w:val="Normalny"/>
    <w:uiPriority w:val="99"/>
    <w:semiHidden/>
    <w:unhideWhenUsed/>
    <w:rsid w:val="00CF08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Pogrubienie">
    <w:name w:val="Strong"/>
    <w:uiPriority w:val="22"/>
    <w:qFormat/>
    <w:rsid w:val="00CF08F2"/>
    <w:rPr>
      <w:b/>
      <w:bCs/>
    </w:rPr>
  </w:style>
  <w:style w:type="table" w:styleId="Jasnecieniowanieakcent1">
    <w:name w:val="Light Shading Accent 1"/>
    <w:basedOn w:val="Standardowy"/>
    <w:uiPriority w:val="60"/>
    <w:rsid w:val="00CF08F2"/>
    <w:pPr>
      <w:spacing w:after="0" w:line="240" w:lineRule="auto"/>
    </w:pPr>
    <w:rPr>
      <w:rFonts w:ascii="Calibri" w:eastAsia="Calibri" w:hAnsi="Calibri" w:cs="Times New Roman"/>
      <w:color w:val="365F91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character" w:customStyle="1" w:styleId="hps">
    <w:name w:val="hps"/>
    <w:rsid w:val="00CF08F2"/>
  </w:style>
  <w:style w:type="character" w:customStyle="1" w:styleId="Nagwek6Znak">
    <w:name w:val="Nagłówek 6 Znak"/>
    <w:basedOn w:val="Domylnaczcionkaakapitu"/>
    <w:link w:val="Nagwek6"/>
    <w:uiPriority w:val="9"/>
    <w:semiHidden/>
    <w:rsid w:val="00392C21"/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CF08F2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CF08F2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CF08F2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92C2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RTartustawynprozporzdzenia">
    <w:name w:val="ART(§) – art. ustawy (§ np. rozporządzenia)"/>
    <w:uiPriority w:val="11"/>
    <w:qFormat/>
    <w:rsid w:val="005F4005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5F4005"/>
    <w:rPr>
      <w:bCs/>
    </w:rPr>
  </w:style>
  <w:style w:type="paragraph" w:customStyle="1" w:styleId="PKTpunkt">
    <w:name w:val="PKT – punkt"/>
    <w:uiPriority w:val="13"/>
    <w:qFormat/>
    <w:rsid w:val="005F4005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9D7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D78F9"/>
  </w:style>
  <w:style w:type="paragraph" w:styleId="Stopka">
    <w:name w:val="footer"/>
    <w:basedOn w:val="Normalny"/>
    <w:link w:val="StopkaZnak"/>
    <w:uiPriority w:val="99"/>
    <w:unhideWhenUsed/>
    <w:rsid w:val="009D7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D78F9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F08F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F08F2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CF08F2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rsid w:val="00CF08F2"/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CF08F2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rsid w:val="00CF08F2"/>
    <w:rPr>
      <w:rFonts w:ascii="Arial" w:eastAsia="Times New Roman" w:hAnsi="Arial" w:cs="Arial"/>
      <w:b/>
      <w:bCs/>
      <w:sz w:val="26"/>
      <w:szCs w:val="26"/>
      <w:lang w:eastAsia="pl-PL"/>
    </w:rPr>
  </w:style>
  <w:style w:type="numbering" w:customStyle="1" w:styleId="Bezlisty1">
    <w:name w:val="Bez listy1"/>
    <w:next w:val="Bezlisty"/>
    <w:uiPriority w:val="99"/>
    <w:semiHidden/>
    <w:unhideWhenUsed/>
    <w:rsid w:val="00CF08F2"/>
  </w:style>
  <w:style w:type="table" w:styleId="Tabela-Siatka">
    <w:name w:val="Table Grid"/>
    <w:basedOn w:val="Standardowy"/>
    <w:uiPriority w:val="99"/>
    <w:rsid w:val="00CF08F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rsid w:val="00CF08F2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08F2"/>
    <w:rPr>
      <w:rFonts w:ascii="Tahoma" w:eastAsia="Calibri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F08F2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F08F2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CF08F2"/>
    <w:rPr>
      <w:vertAlign w:val="superscript"/>
    </w:rPr>
  </w:style>
  <w:style w:type="paragraph" w:styleId="Akapitzlist">
    <w:name w:val="List Paragraph"/>
    <w:basedOn w:val="Normalny"/>
    <w:uiPriority w:val="34"/>
    <w:qFormat/>
    <w:rsid w:val="00CF08F2"/>
    <w:pPr>
      <w:spacing w:after="0"/>
      <w:ind w:left="720"/>
      <w:contextualSpacing/>
    </w:pPr>
    <w:rPr>
      <w:rFonts w:ascii="Calibri" w:eastAsia="Calibri" w:hAnsi="Calibri" w:cs="Times New Roman"/>
    </w:rPr>
  </w:style>
  <w:style w:type="character" w:styleId="Odwoaniedokomentarza">
    <w:name w:val="annotation reference"/>
    <w:uiPriority w:val="99"/>
    <w:semiHidden/>
    <w:unhideWhenUsed/>
    <w:rsid w:val="00CF08F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F08F2"/>
    <w:pPr>
      <w:spacing w:after="0"/>
    </w:pPr>
    <w:rPr>
      <w:rFonts w:ascii="Calibri" w:eastAsia="Calibri" w:hAnsi="Calibri"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F08F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08F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F08F2"/>
    <w:rPr>
      <w:rFonts w:ascii="Calibri" w:eastAsia="Calibri" w:hAnsi="Calibri" w:cs="Times New Roman"/>
      <w:b/>
      <w:bCs/>
      <w:sz w:val="20"/>
      <w:szCs w:val="20"/>
    </w:rPr>
  </w:style>
  <w:style w:type="character" w:styleId="Hipercze">
    <w:name w:val="Hyperlink"/>
    <w:uiPriority w:val="99"/>
    <w:unhideWhenUsed/>
    <w:rsid w:val="00CF08F2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CF08F2"/>
    <w:rPr>
      <w:color w:val="800080"/>
      <w:u w:val="single"/>
    </w:rPr>
  </w:style>
  <w:style w:type="paragraph" w:styleId="NormalnyWeb">
    <w:name w:val="Normal (Web)"/>
    <w:basedOn w:val="Normalny"/>
    <w:uiPriority w:val="99"/>
    <w:semiHidden/>
    <w:unhideWhenUsed/>
    <w:rsid w:val="00CF08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Pogrubienie">
    <w:name w:val="Strong"/>
    <w:uiPriority w:val="22"/>
    <w:qFormat/>
    <w:rsid w:val="00CF08F2"/>
    <w:rPr>
      <w:b/>
      <w:bCs/>
    </w:rPr>
  </w:style>
  <w:style w:type="table" w:styleId="Jasnecieniowanieakcent1">
    <w:name w:val="Light Shading Accent 1"/>
    <w:basedOn w:val="Standardowy"/>
    <w:uiPriority w:val="60"/>
    <w:rsid w:val="00CF08F2"/>
    <w:pPr>
      <w:spacing w:after="0" w:line="240" w:lineRule="auto"/>
    </w:pPr>
    <w:rPr>
      <w:rFonts w:ascii="Calibri" w:eastAsia="Calibri" w:hAnsi="Calibri" w:cs="Times New Roman"/>
      <w:color w:val="365F91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character" w:customStyle="1" w:styleId="hps">
    <w:name w:val="hps"/>
    <w:rsid w:val="00CF08F2"/>
  </w:style>
  <w:style w:type="character" w:customStyle="1" w:styleId="Nagwek6Znak">
    <w:name w:val="Nagłówek 6 Znak"/>
    <w:basedOn w:val="Domylnaczcionkaakapitu"/>
    <w:link w:val="Nagwek6"/>
    <w:uiPriority w:val="9"/>
    <w:semiHidden/>
    <w:rsid w:val="00392C21"/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32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3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1259</Words>
  <Characters>7555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Binkowska Joanna</dc:creator>
  <cp:lastModifiedBy>Binkowska Joanna</cp:lastModifiedBy>
  <cp:revision>6</cp:revision>
  <dcterms:created xsi:type="dcterms:W3CDTF">2018-07-24T07:51:00Z</dcterms:created>
  <dcterms:modified xsi:type="dcterms:W3CDTF">2018-07-25T07:26:00Z</dcterms:modified>
</cp:coreProperties>
</file>