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9D322" w14:textId="77777777" w:rsidR="00F1384E" w:rsidRDefault="00F1384E" w:rsidP="008546C0">
      <w:pPr>
        <w:spacing w:after="120" w:line="360" w:lineRule="auto"/>
        <w:jc w:val="right"/>
        <w:rPr>
          <w:rFonts w:ascii="Arial" w:hAnsi="Arial" w:cs="Arial"/>
        </w:rPr>
      </w:pPr>
    </w:p>
    <w:p w14:paraId="72C09FE9" w14:textId="12A1C195" w:rsidR="00A05E65" w:rsidRPr="003E152F" w:rsidRDefault="0006586F" w:rsidP="0006586F">
      <w:pPr>
        <w:spacing w:after="120"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</w:t>
      </w:r>
      <w:r w:rsidR="005301DB" w:rsidRPr="003E152F">
        <w:rPr>
          <w:rFonts w:ascii="Arial" w:hAnsi="Arial" w:cs="Arial"/>
          <w:b/>
          <w:i/>
        </w:rPr>
        <w:t>tanowisk</w:t>
      </w:r>
      <w:r>
        <w:rPr>
          <w:rFonts w:ascii="Arial" w:hAnsi="Arial" w:cs="Arial"/>
          <w:b/>
          <w:i/>
        </w:rPr>
        <w:t>o</w:t>
      </w:r>
      <w:r w:rsidR="005301DB" w:rsidRPr="003E152F">
        <w:rPr>
          <w:rFonts w:ascii="Arial" w:hAnsi="Arial" w:cs="Arial"/>
          <w:b/>
          <w:i/>
        </w:rPr>
        <w:t xml:space="preserve"> Rządu wobec p</w:t>
      </w:r>
      <w:r w:rsidR="00AE3653" w:rsidRPr="003E152F">
        <w:rPr>
          <w:rFonts w:ascii="Arial" w:hAnsi="Arial" w:cs="Arial"/>
          <w:b/>
          <w:i/>
        </w:rPr>
        <w:t>oselskiego</w:t>
      </w:r>
      <w:r w:rsidR="005301DB" w:rsidRPr="003E152F">
        <w:rPr>
          <w:rFonts w:ascii="Arial" w:hAnsi="Arial" w:cs="Arial"/>
          <w:b/>
          <w:i/>
        </w:rPr>
        <w:t xml:space="preserve"> projektu ustawy </w:t>
      </w:r>
      <w:r w:rsidR="00F02C4B" w:rsidRPr="003E152F">
        <w:rPr>
          <w:rFonts w:ascii="Arial" w:hAnsi="Arial" w:cs="Arial"/>
          <w:b/>
          <w:i/>
        </w:rPr>
        <w:t xml:space="preserve">o zmianie ustawy </w:t>
      </w:r>
      <w:r w:rsidR="00F02C4B" w:rsidRPr="003E152F">
        <w:rPr>
          <w:rFonts w:ascii="Arial" w:hAnsi="Arial" w:cs="Arial"/>
          <w:b/>
          <w:i/>
        </w:rPr>
        <w:br/>
      </w:r>
      <w:bookmarkStart w:id="0" w:name="_GoBack"/>
      <w:r w:rsidR="005301DB" w:rsidRPr="003E152F">
        <w:rPr>
          <w:rFonts w:ascii="Arial" w:hAnsi="Arial" w:cs="Arial"/>
          <w:b/>
          <w:i/>
        </w:rPr>
        <w:t xml:space="preserve">o </w:t>
      </w:r>
      <w:r w:rsidR="00AE3653" w:rsidRPr="003E152F">
        <w:rPr>
          <w:rFonts w:ascii="Arial" w:hAnsi="Arial" w:cs="Arial"/>
          <w:b/>
          <w:i/>
        </w:rPr>
        <w:t xml:space="preserve">wychowaniu w trzeźwości i przeciwdziałaniu alkoholizmowi </w:t>
      </w:r>
      <w:r w:rsidR="00024D5D" w:rsidRPr="003E152F">
        <w:rPr>
          <w:rFonts w:ascii="Arial" w:hAnsi="Arial" w:cs="Arial"/>
          <w:b/>
          <w:i/>
        </w:rPr>
        <w:t xml:space="preserve">(druk </w:t>
      </w:r>
      <w:r w:rsidR="00BE6A9F">
        <w:rPr>
          <w:rFonts w:ascii="Arial" w:hAnsi="Arial" w:cs="Arial"/>
          <w:b/>
          <w:i/>
        </w:rPr>
        <w:t xml:space="preserve">nr </w:t>
      </w:r>
      <w:r w:rsidR="00024D5D" w:rsidRPr="003E152F">
        <w:rPr>
          <w:rFonts w:ascii="Arial" w:hAnsi="Arial" w:cs="Arial"/>
          <w:b/>
          <w:i/>
        </w:rPr>
        <w:t>2800</w:t>
      </w:r>
      <w:r w:rsidR="005301DB" w:rsidRPr="003E152F">
        <w:rPr>
          <w:rFonts w:ascii="Arial" w:hAnsi="Arial" w:cs="Arial"/>
          <w:b/>
          <w:i/>
        </w:rPr>
        <w:t>)</w:t>
      </w:r>
    </w:p>
    <w:bookmarkEnd w:id="0"/>
    <w:p w14:paraId="1D14FC04" w14:textId="5F30CAA8" w:rsidR="000A4221" w:rsidRDefault="00F02C4B" w:rsidP="000A4221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projekcie</w:t>
      </w:r>
      <w:r w:rsidR="000A4221">
        <w:rPr>
          <w:rFonts w:ascii="Arial" w:hAnsi="Arial" w:cs="Arial"/>
        </w:rPr>
        <w:t xml:space="preserve"> ustawy o</w:t>
      </w:r>
      <w:r>
        <w:rPr>
          <w:rFonts w:ascii="Arial" w:hAnsi="Arial" w:cs="Arial"/>
        </w:rPr>
        <w:t xml:space="preserve"> zmianie ustawy o</w:t>
      </w:r>
      <w:r w:rsidR="000A4221">
        <w:rPr>
          <w:rFonts w:ascii="Arial" w:hAnsi="Arial" w:cs="Arial"/>
        </w:rPr>
        <w:t xml:space="preserve"> wychowaniu </w:t>
      </w:r>
      <w:r w:rsidR="000A4221" w:rsidRPr="000A4221">
        <w:rPr>
          <w:rFonts w:ascii="Arial" w:hAnsi="Arial" w:cs="Arial"/>
        </w:rPr>
        <w:t>w trzeźwości i przeciwdziałaniu alkoholizmowi (druk</w:t>
      </w:r>
      <w:r w:rsidR="00F92BE7">
        <w:rPr>
          <w:rFonts w:ascii="Arial" w:hAnsi="Arial" w:cs="Arial"/>
        </w:rPr>
        <w:t xml:space="preserve"> nr</w:t>
      </w:r>
      <w:r w:rsidR="000A4221" w:rsidRPr="000A4221">
        <w:rPr>
          <w:rFonts w:ascii="Arial" w:hAnsi="Arial" w:cs="Arial"/>
        </w:rPr>
        <w:t xml:space="preserve"> 2800)</w:t>
      </w:r>
      <w:r w:rsidR="0006586F">
        <w:rPr>
          <w:rFonts w:ascii="Arial" w:hAnsi="Arial" w:cs="Arial"/>
        </w:rPr>
        <w:t>,</w:t>
      </w:r>
      <w:r w:rsidR="000A4221">
        <w:rPr>
          <w:rFonts w:ascii="Arial" w:hAnsi="Arial" w:cs="Arial"/>
        </w:rPr>
        <w:t xml:space="preserve"> zwany</w:t>
      </w:r>
      <w:r>
        <w:rPr>
          <w:rFonts w:ascii="Arial" w:hAnsi="Arial" w:cs="Arial"/>
        </w:rPr>
        <w:t>m</w:t>
      </w:r>
      <w:r w:rsidR="000A4221">
        <w:rPr>
          <w:rFonts w:ascii="Arial" w:hAnsi="Arial" w:cs="Arial"/>
        </w:rPr>
        <w:t xml:space="preserve"> dalej „projektem ustawy”</w:t>
      </w:r>
      <w:r>
        <w:rPr>
          <w:rFonts w:ascii="Arial" w:hAnsi="Arial" w:cs="Arial"/>
        </w:rPr>
        <w:t>, zaproponowano uchylenie ust. 3b w art.</w:t>
      </w:r>
      <w:r w:rsidR="00E9143E">
        <w:rPr>
          <w:rFonts w:ascii="Arial" w:hAnsi="Arial" w:cs="Arial"/>
        </w:rPr>
        <w:t xml:space="preserve"> 18</w:t>
      </w:r>
      <w:r w:rsidR="00AD58D2">
        <w:rPr>
          <w:rFonts w:ascii="Arial" w:hAnsi="Arial" w:cs="Arial"/>
        </w:rPr>
        <w:t xml:space="preserve"> ustawy z dnia 26 października 1982 r. o wychowaniu w trzeźwości </w:t>
      </w:r>
      <w:r w:rsidR="00AD58D2">
        <w:rPr>
          <w:rFonts w:ascii="Arial" w:hAnsi="Arial" w:cs="Arial"/>
        </w:rPr>
        <w:br/>
        <w:t>i przeciwdziałaniu alkoholizmowi (Dz. U. z 2016 r. poz. 487, z późn. zm.), zwanej dalej „ustawą”</w:t>
      </w:r>
      <w:r w:rsidR="0006586F">
        <w:rPr>
          <w:rFonts w:ascii="Arial" w:hAnsi="Arial" w:cs="Arial"/>
        </w:rPr>
        <w:t>.</w:t>
      </w:r>
      <w:r w:rsidR="00E9143E">
        <w:rPr>
          <w:rFonts w:ascii="Arial" w:hAnsi="Arial" w:cs="Arial"/>
        </w:rPr>
        <w:t xml:space="preserve"> </w:t>
      </w:r>
      <w:r w:rsidR="0006586F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godnie z treścią </w:t>
      </w:r>
      <w:r w:rsidR="0006586F">
        <w:rPr>
          <w:rFonts w:ascii="Arial" w:hAnsi="Arial" w:cs="Arial"/>
        </w:rPr>
        <w:t>tego przepisu</w:t>
      </w:r>
      <w:r>
        <w:rPr>
          <w:rFonts w:ascii="Arial" w:hAnsi="Arial" w:cs="Arial"/>
        </w:rPr>
        <w:t xml:space="preserve">, w </w:t>
      </w:r>
      <w:r w:rsidRPr="00F02C4B">
        <w:rPr>
          <w:rFonts w:ascii="Arial" w:hAnsi="Arial" w:cs="Arial"/>
        </w:rPr>
        <w:t>przypadku gdy liczba wniosków o wydanie zezwolenia</w:t>
      </w:r>
      <w:r>
        <w:rPr>
          <w:rFonts w:ascii="Arial" w:hAnsi="Arial" w:cs="Arial"/>
        </w:rPr>
        <w:t xml:space="preserve"> na sprzedaż n</w:t>
      </w:r>
      <w:r w:rsidRPr="00F02C4B">
        <w:rPr>
          <w:rFonts w:ascii="Arial" w:hAnsi="Arial" w:cs="Arial"/>
        </w:rPr>
        <w:t>apojów alkoholowych przeznaczonych do spożycia w miejscu lub poza miejscem sprzedaży</w:t>
      </w:r>
      <w:r>
        <w:rPr>
          <w:rFonts w:ascii="Arial" w:hAnsi="Arial" w:cs="Arial"/>
        </w:rPr>
        <w:t xml:space="preserve"> </w:t>
      </w:r>
      <w:r w:rsidRPr="00F02C4B">
        <w:rPr>
          <w:rFonts w:ascii="Arial" w:hAnsi="Arial" w:cs="Arial"/>
        </w:rPr>
        <w:t>przewyższa ich maksymalną liczbę, o której mowa w art. 12 ust. 1</w:t>
      </w:r>
      <w:r w:rsidR="005F7684">
        <w:rPr>
          <w:rFonts w:ascii="Arial" w:hAnsi="Arial" w:cs="Arial"/>
        </w:rPr>
        <w:t xml:space="preserve"> ustawy</w:t>
      </w:r>
      <w:r w:rsidRPr="00F02C4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tj. ustaloną w drodze uchwały przez radę gminy, </w:t>
      </w:r>
      <w:r w:rsidRPr="00F02C4B">
        <w:rPr>
          <w:rFonts w:ascii="Arial" w:hAnsi="Arial" w:cs="Arial"/>
        </w:rPr>
        <w:t>zezwolenie w pierwszej kolejności wydaje się uwzględniając kryterium jak największej odległości punktu, w którym ma być prowadzona sprzedaż napojów alkoholowych od najbliższego działającego punktu sprzedaży napojów alkoholowych, liczonej najkrótszą drogą dojścia ciągiem dróg publicz</w:t>
      </w:r>
      <w:r w:rsidR="002F38ED">
        <w:rPr>
          <w:rFonts w:ascii="Arial" w:hAnsi="Arial" w:cs="Arial"/>
        </w:rPr>
        <w:t xml:space="preserve">nych, </w:t>
      </w:r>
      <w:r w:rsidR="003E152F">
        <w:rPr>
          <w:rFonts w:ascii="Arial" w:hAnsi="Arial" w:cs="Arial"/>
        </w:rPr>
        <w:br/>
      </w:r>
      <w:r w:rsidR="002F38ED">
        <w:rPr>
          <w:rFonts w:ascii="Arial" w:hAnsi="Arial" w:cs="Arial"/>
        </w:rPr>
        <w:t xml:space="preserve">a w następnej kolejności – </w:t>
      </w:r>
      <w:r w:rsidRPr="00F02C4B">
        <w:rPr>
          <w:rFonts w:ascii="Arial" w:hAnsi="Arial" w:cs="Arial"/>
        </w:rPr>
        <w:t>kryterium prowadzenia przez wnioskodawcę jak najmniejszej liczby punktów sprzedaży.</w:t>
      </w:r>
    </w:p>
    <w:p w14:paraId="7021C5D1" w14:textId="4E44C9A7" w:rsidR="004A7E46" w:rsidRDefault="00F02C4B" w:rsidP="000A4221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Podkreślenia wymaga, że art. 18 ust. 3b</w:t>
      </w:r>
      <w:r w:rsidR="005F7684">
        <w:rPr>
          <w:rFonts w:ascii="Arial" w:hAnsi="Arial" w:cs="Arial"/>
        </w:rPr>
        <w:t xml:space="preserve"> ustawy</w:t>
      </w:r>
      <w:r>
        <w:rPr>
          <w:rFonts w:ascii="Arial" w:hAnsi="Arial" w:cs="Arial"/>
        </w:rPr>
        <w:t xml:space="preserve"> został wprowadzony przepisami ustawy z dnia 10 stycznia 2018 r.</w:t>
      </w:r>
      <w:r w:rsidRPr="00F02C4B">
        <w:t xml:space="preserve"> </w:t>
      </w:r>
      <w:r w:rsidRPr="00F02C4B">
        <w:rPr>
          <w:rFonts w:ascii="Arial" w:hAnsi="Arial" w:cs="Arial"/>
        </w:rPr>
        <w:t>o zmianie ustawy o wychowaniu w trzeźwości i przeciwdziałaniu alkoholizmowi oraz ustawy o bezpieczeństwie imprez masowych</w:t>
      </w:r>
      <w:r>
        <w:rPr>
          <w:rFonts w:ascii="Arial" w:hAnsi="Arial" w:cs="Arial"/>
        </w:rPr>
        <w:t xml:space="preserve"> </w:t>
      </w:r>
      <w:r w:rsidR="004A7E46">
        <w:rPr>
          <w:rFonts w:ascii="Arial" w:hAnsi="Arial" w:cs="Arial"/>
        </w:rPr>
        <w:t xml:space="preserve">(Dz. U. poz. 310), zwanej dalej „ustawą nowelizującą”, która weszła w życie z dniem 9 marca 2018 r. Zgodnie </w:t>
      </w:r>
      <w:r w:rsidR="005F7684">
        <w:rPr>
          <w:rFonts w:ascii="Arial" w:hAnsi="Arial" w:cs="Arial"/>
        </w:rPr>
        <w:br/>
      </w:r>
      <w:r w:rsidR="004A7E46">
        <w:rPr>
          <w:rFonts w:ascii="Arial" w:hAnsi="Arial" w:cs="Arial"/>
        </w:rPr>
        <w:t xml:space="preserve">z uzasadnieniem opracowanym do ustawy nowelizującej, zaproponowane w niej rozwiązania miały na celu przede wszystkim </w:t>
      </w:r>
      <w:r w:rsidR="004A7E46" w:rsidRPr="004A7E46">
        <w:rPr>
          <w:rFonts w:ascii="Arial" w:hAnsi="Arial" w:cs="Arial"/>
        </w:rPr>
        <w:t>uregulowanie na poziomie ustawowym zagadnień, które umożliwią gminom sprawniejsze realizowanie celów ustawy</w:t>
      </w:r>
      <w:r w:rsidR="0006586F">
        <w:rPr>
          <w:rFonts w:ascii="Arial" w:hAnsi="Arial" w:cs="Arial"/>
        </w:rPr>
        <w:t>,</w:t>
      </w:r>
      <w:r w:rsidR="004A7E46" w:rsidRPr="004A7E46">
        <w:rPr>
          <w:rFonts w:ascii="Arial" w:hAnsi="Arial" w:cs="Arial"/>
        </w:rPr>
        <w:t xml:space="preserve"> tj. ograniczania dostępności napojów alkoholowych</w:t>
      </w:r>
      <w:r w:rsidR="004A7E46">
        <w:rPr>
          <w:rFonts w:ascii="Arial" w:hAnsi="Arial" w:cs="Arial"/>
        </w:rPr>
        <w:t>.</w:t>
      </w:r>
    </w:p>
    <w:p w14:paraId="6BB99168" w14:textId="21F7ECAD" w:rsidR="00E9143E" w:rsidRDefault="00E9143E" w:rsidP="00E9143E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rozważaniach dotyczących kwestii związanych z wydawaniem zezwoleń na sprzedaż napojów alkoholowych, na szczególną uwagę zasługuje fakt, że wydawanie</w:t>
      </w:r>
      <w:r w:rsidRPr="00E9143E">
        <w:rPr>
          <w:rFonts w:ascii="Arial" w:hAnsi="Arial" w:cs="Arial"/>
        </w:rPr>
        <w:t xml:space="preserve"> zezwoleń </w:t>
      </w:r>
      <w:r w:rsidR="005F7684">
        <w:rPr>
          <w:rFonts w:ascii="Arial" w:hAnsi="Arial" w:cs="Arial"/>
        </w:rPr>
        <w:br/>
      </w:r>
      <w:r w:rsidRPr="00E9143E">
        <w:rPr>
          <w:rFonts w:ascii="Arial" w:hAnsi="Arial" w:cs="Arial"/>
        </w:rPr>
        <w:t>na sprzedaż napo</w:t>
      </w:r>
      <w:r>
        <w:rPr>
          <w:rFonts w:ascii="Arial" w:hAnsi="Arial" w:cs="Arial"/>
        </w:rPr>
        <w:t xml:space="preserve">jów alkoholowych przeznaczonych </w:t>
      </w:r>
      <w:r w:rsidRPr="00E9143E">
        <w:rPr>
          <w:rFonts w:ascii="Arial" w:hAnsi="Arial" w:cs="Arial"/>
        </w:rPr>
        <w:t>do spożycia w miejscu lub poza miejscem sprzedaży</w:t>
      </w:r>
      <w:r w:rsidR="0006586F">
        <w:rPr>
          <w:rFonts w:ascii="Arial" w:hAnsi="Arial" w:cs="Arial"/>
        </w:rPr>
        <w:t>,</w:t>
      </w:r>
      <w:r w:rsidRPr="00E914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których mowa w art. 18 ust. 1 </w:t>
      </w:r>
      <w:r w:rsidRPr="00E9143E">
        <w:rPr>
          <w:rFonts w:ascii="Arial" w:hAnsi="Arial" w:cs="Arial"/>
        </w:rPr>
        <w:t xml:space="preserve">ustawy, stosowanie oraz interpretacja ww. przepisów </w:t>
      </w:r>
      <w:r>
        <w:rPr>
          <w:rFonts w:ascii="Arial" w:hAnsi="Arial" w:cs="Arial"/>
        </w:rPr>
        <w:t xml:space="preserve">należy do wyłącznych </w:t>
      </w:r>
      <w:r w:rsidR="005F7684">
        <w:rPr>
          <w:rFonts w:ascii="Arial" w:hAnsi="Arial" w:cs="Arial"/>
        </w:rPr>
        <w:t xml:space="preserve">kompetencji </w:t>
      </w:r>
      <w:r w:rsidRPr="00E9143E">
        <w:rPr>
          <w:rFonts w:ascii="Arial" w:hAnsi="Arial" w:cs="Arial"/>
        </w:rPr>
        <w:t>organu zezwalającego</w:t>
      </w:r>
      <w:r>
        <w:rPr>
          <w:rFonts w:ascii="Arial" w:hAnsi="Arial" w:cs="Arial"/>
        </w:rPr>
        <w:t xml:space="preserve"> w rozumieniu ustawy, tj. </w:t>
      </w:r>
      <w:r w:rsidR="00AD58D2">
        <w:rPr>
          <w:rFonts w:ascii="Arial" w:hAnsi="Arial" w:cs="Arial"/>
        </w:rPr>
        <w:t xml:space="preserve">wójta (burmistrza, prezydenta </w:t>
      </w:r>
      <w:r w:rsidRPr="00E9143E">
        <w:rPr>
          <w:rFonts w:ascii="Arial" w:hAnsi="Arial" w:cs="Arial"/>
        </w:rPr>
        <w:t>miasta)</w:t>
      </w:r>
      <w:r w:rsidR="00AD58D2">
        <w:rPr>
          <w:rFonts w:ascii="Arial" w:hAnsi="Arial" w:cs="Arial"/>
        </w:rPr>
        <w:t xml:space="preserve">. W związku z powyższym ingerencja legislacyjna w omawianą materię powinna być poprzedzona szerokimi konsultacjami </w:t>
      </w:r>
      <w:r w:rsidR="005F7684">
        <w:rPr>
          <w:rFonts w:ascii="Arial" w:hAnsi="Arial" w:cs="Arial"/>
        </w:rPr>
        <w:br/>
      </w:r>
      <w:r w:rsidR="00AD58D2">
        <w:rPr>
          <w:rFonts w:ascii="Arial" w:hAnsi="Arial" w:cs="Arial"/>
        </w:rPr>
        <w:t>z przedstawicielami jednostek samorządu terytorialnego.</w:t>
      </w:r>
      <w:r w:rsidRPr="00E9143E">
        <w:rPr>
          <w:rFonts w:ascii="Arial" w:hAnsi="Arial" w:cs="Arial"/>
        </w:rPr>
        <w:t xml:space="preserve"> </w:t>
      </w:r>
    </w:p>
    <w:p w14:paraId="5AAEC3BB" w14:textId="3D458CBD" w:rsidR="004A7E46" w:rsidRDefault="00E75586" w:rsidP="000A4221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Krótki czas obowiązywania </w:t>
      </w:r>
      <w:r w:rsidR="004A7E46">
        <w:rPr>
          <w:rFonts w:ascii="Arial" w:hAnsi="Arial" w:cs="Arial"/>
        </w:rPr>
        <w:t xml:space="preserve">analizowanego przepisu utrudnia </w:t>
      </w:r>
      <w:r>
        <w:rPr>
          <w:rFonts w:ascii="Arial" w:hAnsi="Arial" w:cs="Arial"/>
        </w:rPr>
        <w:t>określenie</w:t>
      </w:r>
      <w:r w:rsidR="004A7E46">
        <w:rPr>
          <w:rFonts w:ascii="Arial" w:hAnsi="Arial" w:cs="Arial"/>
        </w:rPr>
        <w:t xml:space="preserve"> ewentualnych trudności w jego realizacji.</w:t>
      </w:r>
      <w:r w:rsidR="00AD58D2">
        <w:rPr>
          <w:rFonts w:ascii="Arial" w:hAnsi="Arial" w:cs="Arial"/>
        </w:rPr>
        <w:t xml:space="preserve"> Niemniej jednak omawiany przepis nie wydaje się budzić wątpliwości interpretacyjnych ani nastręczać problemów w jego wykonaniu.</w:t>
      </w:r>
    </w:p>
    <w:p w14:paraId="4BD04FE0" w14:textId="3FF8FAA3" w:rsidR="000A4221" w:rsidRPr="000A4221" w:rsidRDefault="000A4221" w:rsidP="008546C0">
      <w:pPr>
        <w:spacing w:after="120" w:line="360" w:lineRule="auto"/>
        <w:jc w:val="both"/>
        <w:rPr>
          <w:rFonts w:ascii="Arial" w:hAnsi="Arial" w:cs="Arial"/>
          <w:bCs/>
          <w:color w:val="0D0D0D" w:themeColor="text1" w:themeTint="F2"/>
          <w:szCs w:val="24"/>
        </w:rPr>
      </w:pPr>
      <w:r>
        <w:rPr>
          <w:rFonts w:ascii="Arial" w:hAnsi="Arial" w:cs="Arial"/>
          <w:bCs/>
          <w:color w:val="0D0D0D" w:themeColor="text1" w:themeTint="F2"/>
          <w:szCs w:val="24"/>
        </w:rPr>
        <w:lastRenderedPageBreak/>
        <w:t xml:space="preserve">Podkreślenia </w:t>
      </w:r>
      <w:r w:rsidR="00E75586">
        <w:rPr>
          <w:rFonts w:ascii="Arial" w:hAnsi="Arial" w:cs="Arial"/>
          <w:bCs/>
          <w:color w:val="0D0D0D" w:themeColor="text1" w:themeTint="F2"/>
          <w:szCs w:val="24"/>
        </w:rPr>
        <w:t xml:space="preserve">natomiast </w:t>
      </w:r>
      <w:r>
        <w:rPr>
          <w:rFonts w:ascii="Arial" w:hAnsi="Arial" w:cs="Arial"/>
          <w:bCs/>
          <w:color w:val="0D0D0D" w:themeColor="text1" w:themeTint="F2"/>
          <w:szCs w:val="24"/>
        </w:rPr>
        <w:t>wymaga</w:t>
      </w:r>
      <w:r w:rsidR="00E75586">
        <w:rPr>
          <w:rFonts w:ascii="Arial" w:hAnsi="Arial" w:cs="Arial"/>
          <w:bCs/>
          <w:color w:val="0D0D0D" w:themeColor="text1" w:themeTint="F2"/>
          <w:szCs w:val="24"/>
        </w:rPr>
        <w:t xml:space="preserve"> brak </w:t>
      </w:r>
      <w:r>
        <w:rPr>
          <w:rFonts w:ascii="Arial" w:hAnsi="Arial" w:cs="Arial"/>
          <w:bCs/>
          <w:color w:val="0D0D0D" w:themeColor="text1" w:themeTint="F2"/>
          <w:szCs w:val="24"/>
        </w:rPr>
        <w:t>w projekcie ustawy odpowiednich</w:t>
      </w:r>
      <w:r w:rsidR="00E460CA" w:rsidRPr="00CF3DE1">
        <w:rPr>
          <w:rFonts w:ascii="Arial" w:hAnsi="Arial" w:cs="Arial"/>
          <w:bCs/>
          <w:color w:val="0D0D0D" w:themeColor="text1" w:themeTint="F2"/>
          <w:szCs w:val="24"/>
        </w:rPr>
        <w:t xml:space="preserve"> przepis</w:t>
      </w:r>
      <w:r>
        <w:rPr>
          <w:rFonts w:ascii="Arial" w:hAnsi="Arial" w:cs="Arial"/>
          <w:bCs/>
          <w:color w:val="0D0D0D" w:themeColor="text1" w:themeTint="F2"/>
          <w:szCs w:val="24"/>
        </w:rPr>
        <w:t>ów</w:t>
      </w:r>
      <w:r w:rsidR="00E460CA" w:rsidRPr="00CF3DE1">
        <w:rPr>
          <w:rFonts w:ascii="Arial" w:hAnsi="Arial" w:cs="Arial"/>
          <w:bCs/>
          <w:color w:val="0D0D0D" w:themeColor="text1" w:themeTint="F2"/>
          <w:szCs w:val="24"/>
        </w:rPr>
        <w:t xml:space="preserve"> przejściow</w:t>
      </w:r>
      <w:r>
        <w:rPr>
          <w:rFonts w:ascii="Arial" w:hAnsi="Arial" w:cs="Arial"/>
          <w:bCs/>
          <w:color w:val="0D0D0D" w:themeColor="text1" w:themeTint="F2"/>
          <w:szCs w:val="24"/>
        </w:rPr>
        <w:t>ych dotyczących postępowań</w:t>
      </w:r>
      <w:r w:rsidRPr="000A4221">
        <w:rPr>
          <w:rFonts w:ascii="Arial" w:hAnsi="Arial" w:cs="Arial"/>
          <w:bCs/>
          <w:color w:val="0D0D0D" w:themeColor="text1" w:themeTint="F2"/>
          <w:szCs w:val="24"/>
        </w:rPr>
        <w:t xml:space="preserve"> </w:t>
      </w:r>
      <w:r>
        <w:rPr>
          <w:rFonts w:ascii="Arial" w:hAnsi="Arial" w:cs="Arial"/>
          <w:bCs/>
          <w:color w:val="0D0D0D" w:themeColor="text1" w:themeTint="F2"/>
          <w:szCs w:val="24"/>
        </w:rPr>
        <w:t xml:space="preserve">w </w:t>
      </w:r>
      <w:r w:rsidRPr="000A4221">
        <w:rPr>
          <w:rFonts w:ascii="Arial" w:hAnsi="Arial" w:cs="Arial"/>
          <w:bCs/>
          <w:color w:val="0D0D0D" w:themeColor="text1" w:themeTint="F2"/>
          <w:szCs w:val="24"/>
        </w:rPr>
        <w:t>przedmiocie wydania zezwoleń na sprzedaż napojów alkoholowych</w:t>
      </w:r>
      <w:r w:rsidR="00E75586">
        <w:rPr>
          <w:rFonts w:ascii="Arial" w:hAnsi="Arial" w:cs="Arial"/>
          <w:bCs/>
          <w:color w:val="0D0D0D" w:themeColor="text1" w:themeTint="F2"/>
          <w:szCs w:val="24"/>
        </w:rPr>
        <w:t>,</w:t>
      </w:r>
      <w:r w:rsidRPr="000A4221">
        <w:rPr>
          <w:rFonts w:ascii="Arial" w:hAnsi="Arial" w:cs="Arial"/>
          <w:bCs/>
          <w:color w:val="0D0D0D" w:themeColor="text1" w:themeTint="F2"/>
          <w:szCs w:val="24"/>
        </w:rPr>
        <w:t xml:space="preserve"> wszczętych i niezakończonych przed dniem wejścia w życie </w:t>
      </w:r>
      <w:r>
        <w:rPr>
          <w:rFonts w:ascii="Arial" w:hAnsi="Arial" w:cs="Arial"/>
          <w:bCs/>
          <w:color w:val="0D0D0D" w:themeColor="text1" w:themeTint="F2"/>
          <w:szCs w:val="24"/>
        </w:rPr>
        <w:t>projektowanej</w:t>
      </w:r>
      <w:r w:rsidRPr="000A4221">
        <w:rPr>
          <w:rFonts w:ascii="Arial" w:hAnsi="Arial" w:cs="Arial"/>
          <w:bCs/>
          <w:color w:val="0D0D0D" w:themeColor="text1" w:themeTint="F2"/>
          <w:szCs w:val="24"/>
        </w:rPr>
        <w:t xml:space="preserve"> ustawy</w:t>
      </w:r>
      <w:r>
        <w:rPr>
          <w:rFonts w:ascii="Arial" w:hAnsi="Arial" w:cs="Arial"/>
          <w:bCs/>
          <w:color w:val="0D0D0D" w:themeColor="text1" w:themeTint="F2"/>
          <w:szCs w:val="24"/>
        </w:rPr>
        <w:t>, co stanowi istotne uchybienie o charakterze legislacyjnym.</w:t>
      </w:r>
    </w:p>
    <w:p w14:paraId="27E5E770" w14:textId="690221EE" w:rsidR="005301DB" w:rsidRPr="005301DB" w:rsidRDefault="00412A32" w:rsidP="008546C0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</w:t>
      </w:r>
      <w:r w:rsidR="005301DB">
        <w:rPr>
          <w:rFonts w:ascii="Arial" w:hAnsi="Arial" w:cs="Arial"/>
        </w:rPr>
        <w:t xml:space="preserve"> powyższe,</w:t>
      </w:r>
      <w:r w:rsidR="008F1693">
        <w:rPr>
          <w:rFonts w:ascii="Arial" w:hAnsi="Arial" w:cs="Arial"/>
        </w:rPr>
        <w:t xml:space="preserve"> </w:t>
      </w:r>
      <w:r w:rsidR="005301DB">
        <w:rPr>
          <w:rFonts w:ascii="Arial" w:hAnsi="Arial" w:cs="Arial"/>
        </w:rPr>
        <w:t xml:space="preserve">Rada </w:t>
      </w:r>
      <w:r w:rsidR="00AE3653">
        <w:rPr>
          <w:rFonts w:ascii="Arial" w:hAnsi="Arial" w:cs="Arial"/>
        </w:rPr>
        <w:t xml:space="preserve">Ministrów </w:t>
      </w:r>
      <w:r w:rsidR="000A4221">
        <w:rPr>
          <w:rFonts w:ascii="Arial" w:hAnsi="Arial" w:cs="Arial"/>
        </w:rPr>
        <w:t>negatywnie</w:t>
      </w:r>
      <w:r w:rsidR="00AE3653">
        <w:rPr>
          <w:rFonts w:ascii="Arial" w:hAnsi="Arial" w:cs="Arial"/>
        </w:rPr>
        <w:t xml:space="preserve"> opiniuje poselski</w:t>
      </w:r>
      <w:r w:rsidR="005301DB">
        <w:rPr>
          <w:rFonts w:ascii="Arial" w:hAnsi="Arial" w:cs="Arial"/>
        </w:rPr>
        <w:t xml:space="preserve"> projekt </w:t>
      </w:r>
      <w:r w:rsidR="00AE3653">
        <w:rPr>
          <w:rFonts w:ascii="Arial" w:hAnsi="Arial" w:cs="Arial"/>
        </w:rPr>
        <w:t xml:space="preserve">ustawy </w:t>
      </w:r>
      <w:r w:rsidR="00AE3653" w:rsidRPr="00AE3653">
        <w:rPr>
          <w:rFonts w:ascii="Arial" w:hAnsi="Arial" w:cs="Arial"/>
        </w:rPr>
        <w:t>o</w:t>
      </w:r>
      <w:r w:rsidR="00AE3653">
        <w:rPr>
          <w:rFonts w:ascii="Arial" w:hAnsi="Arial" w:cs="Arial"/>
        </w:rPr>
        <w:t> </w:t>
      </w:r>
      <w:r w:rsidR="00AE3653" w:rsidRPr="00AE3653">
        <w:rPr>
          <w:rFonts w:ascii="Arial" w:hAnsi="Arial" w:cs="Arial"/>
        </w:rPr>
        <w:t>wychowaniu w trzeźwości i przeciwdziałaniu alkoholizmowi</w:t>
      </w:r>
      <w:r w:rsidR="00F92BE7">
        <w:rPr>
          <w:rFonts w:ascii="Arial" w:hAnsi="Arial" w:cs="Arial"/>
        </w:rPr>
        <w:t xml:space="preserve"> </w:t>
      </w:r>
      <w:r w:rsidR="00F92BE7" w:rsidRPr="000A4221">
        <w:rPr>
          <w:rFonts w:ascii="Arial" w:hAnsi="Arial" w:cs="Arial"/>
        </w:rPr>
        <w:t>(druk</w:t>
      </w:r>
      <w:r w:rsidR="00F92BE7">
        <w:rPr>
          <w:rFonts w:ascii="Arial" w:hAnsi="Arial" w:cs="Arial"/>
        </w:rPr>
        <w:t xml:space="preserve"> nr</w:t>
      </w:r>
      <w:r w:rsidR="00F92BE7" w:rsidRPr="000A4221">
        <w:rPr>
          <w:rFonts w:ascii="Arial" w:hAnsi="Arial" w:cs="Arial"/>
        </w:rPr>
        <w:t xml:space="preserve"> 2800)</w:t>
      </w:r>
      <w:r w:rsidR="00F92BE7">
        <w:rPr>
          <w:rFonts w:ascii="Arial" w:hAnsi="Arial" w:cs="Arial"/>
        </w:rPr>
        <w:t xml:space="preserve">. </w:t>
      </w:r>
    </w:p>
    <w:sectPr w:rsidR="005301DB" w:rsidRPr="005301DB" w:rsidSect="00793B3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5844B" w14:textId="77777777" w:rsidR="00141FF0" w:rsidRDefault="00141FF0" w:rsidP="004A32B6">
      <w:pPr>
        <w:spacing w:after="0" w:line="240" w:lineRule="auto"/>
      </w:pPr>
      <w:r>
        <w:separator/>
      </w:r>
    </w:p>
  </w:endnote>
  <w:endnote w:type="continuationSeparator" w:id="0">
    <w:p w14:paraId="6377EE0C" w14:textId="77777777" w:rsidR="00141FF0" w:rsidRDefault="00141FF0" w:rsidP="004A3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F4859" w14:textId="77777777" w:rsidR="00141FF0" w:rsidRDefault="00141FF0" w:rsidP="004A32B6">
      <w:pPr>
        <w:spacing w:after="0" w:line="240" w:lineRule="auto"/>
      </w:pPr>
      <w:r>
        <w:separator/>
      </w:r>
    </w:p>
  </w:footnote>
  <w:footnote w:type="continuationSeparator" w:id="0">
    <w:p w14:paraId="1D81AD5B" w14:textId="77777777" w:rsidR="00141FF0" w:rsidRDefault="00141FF0" w:rsidP="004A3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D2A79"/>
    <w:multiLevelType w:val="hybridMultilevel"/>
    <w:tmpl w:val="7F06683C"/>
    <w:lvl w:ilvl="0" w:tplc="63D68A3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261AB"/>
    <w:multiLevelType w:val="hybridMultilevel"/>
    <w:tmpl w:val="11CE4F42"/>
    <w:lvl w:ilvl="0" w:tplc="889E82C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DB"/>
    <w:rsid w:val="00024D5D"/>
    <w:rsid w:val="0006586F"/>
    <w:rsid w:val="00070EEE"/>
    <w:rsid w:val="000A4221"/>
    <w:rsid w:val="000B28CA"/>
    <w:rsid w:val="000B2FC9"/>
    <w:rsid w:val="000D31C6"/>
    <w:rsid w:val="000E22D8"/>
    <w:rsid w:val="000E7930"/>
    <w:rsid w:val="001259F1"/>
    <w:rsid w:val="00141FF0"/>
    <w:rsid w:val="00154A98"/>
    <w:rsid w:val="00157840"/>
    <w:rsid w:val="001749CA"/>
    <w:rsid w:val="001826EC"/>
    <w:rsid w:val="00186F17"/>
    <w:rsid w:val="001C0178"/>
    <w:rsid w:val="001E5364"/>
    <w:rsid w:val="001F1A21"/>
    <w:rsid w:val="001F6410"/>
    <w:rsid w:val="002003AC"/>
    <w:rsid w:val="00211CFA"/>
    <w:rsid w:val="00232FD9"/>
    <w:rsid w:val="00241622"/>
    <w:rsid w:val="00251E45"/>
    <w:rsid w:val="00254CB5"/>
    <w:rsid w:val="00297CB4"/>
    <w:rsid w:val="002C48D5"/>
    <w:rsid w:val="002C7B6B"/>
    <w:rsid w:val="002D7AEE"/>
    <w:rsid w:val="002E3C43"/>
    <w:rsid w:val="002F38ED"/>
    <w:rsid w:val="00340651"/>
    <w:rsid w:val="003425FD"/>
    <w:rsid w:val="00350F97"/>
    <w:rsid w:val="00355CEA"/>
    <w:rsid w:val="00362635"/>
    <w:rsid w:val="00366AC5"/>
    <w:rsid w:val="003C4DD5"/>
    <w:rsid w:val="003E152F"/>
    <w:rsid w:val="003E4062"/>
    <w:rsid w:val="003E65E6"/>
    <w:rsid w:val="003F1592"/>
    <w:rsid w:val="003F1E9C"/>
    <w:rsid w:val="00412A32"/>
    <w:rsid w:val="00421625"/>
    <w:rsid w:val="00462905"/>
    <w:rsid w:val="0047026A"/>
    <w:rsid w:val="004A32B6"/>
    <w:rsid w:val="004A7E46"/>
    <w:rsid w:val="004C34C8"/>
    <w:rsid w:val="004D0579"/>
    <w:rsid w:val="00517684"/>
    <w:rsid w:val="00523DC1"/>
    <w:rsid w:val="005301DB"/>
    <w:rsid w:val="005302FD"/>
    <w:rsid w:val="00544D26"/>
    <w:rsid w:val="00597661"/>
    <w:rsid w:val="005B00E1"/>
    <w:rsid w:val="005C47A4"/>
    <w:rsid w:val="005E29CF"/>
    <w:rsid w:val="005F54F8"/>
    <w:rsid w:val="005F7684"/>
    <w:rsid w:val="00601BBE"/>
    <w:rsid w:val="006225AF"/>
    <w:rsid w:val="00624FB8"/>
    <w:rsid w:val="00675441"/>
    <w:rsid w:val="00696A0D"/>
    <w:rsid w:val="006D32A1"/>
    <w:rsid w:val="006E26FA"/>
    <w:rsid w:val="006E7DEA"/>
    <w:rsid w:val="007608BF"/>
    <w:rsid w:val="00777BC2"/>
    <w:rsid w:val="00791E95"/>
    <w:rsid w:val="00793B30"/>
    <w:rsid w:val="007952FE"/>
    <w:rsid w:val="007A67E5"/>
    <w:rsid w:val="007F5C65"/>
    <w:rsid w:val="007F5DF4"/>
    <w:rsid w:val="00804CBA"/>
    <w:rsid w:val="00824865"/>
    <w:rsid w:val="00853B61"/>
    <w:rsid w:val="008546C0"/>
    <w:rsid w:val="00863956"/>
    <w:rsid w:val="00864731"/>
    <w:rsid w:val="00865D57"/>
    <w:rsid w:val="008B201E"/>
    <w:rsid w:val="008D40AE"/>
    <w:rsid w:val="008D4A6B"/>
    <w:rsid w:val="008E022C"/>
    <w:rsid w:val="008E1047"/>
    <w:rsid w:val="008F1693"/>
    <w:rsid w:val="008F54B6"/>
    <w:rsid w:val="009172A3"/>
    <w:rsid w:val="009318BF"/>
    <w:rsid w:val="00944DDD"/>
    <w:rsid w:val="0095712C"/>
    <w:rsid w:val="0097433A"/>
    <w:rsid w:val="009841E7"/>
    <w:rsid w:val="0099771F"/>
    <w:rsid w:val="009A12A4"/>
    <w:rsid w:val="00A0303F"/>
    <w:rsid w:val="00A05E65"/>
    <w:rsid w:val="00A07743"/>
    <w:rsid w:val="00A16289"/>
    <w:rsid w:val="00A61B1D"/>
    <w:rsid w:val="00A6404F"/>
    <w:rsid w:val="00A81F97"/>
    <w:rsid w:val="00AB3AED"/>
    <w:rsid w:val="00AC3095"/>
    <w:rsid w:val="00AD58D2"/>
    <w:rsid w:val="00AE0064"/>
    <w:rsid w:val="00AE3653"/>
    <w:rsid w:val="00B10A6D"/>
    <w:rsid w:val="00B25F0E"/>
    <w:rsid w:val="00B55A08"/>
    <w:rsid w:val="00BA56B2"/>
    <w:rsid w:val="00BE6A9F"/>
    <w:rsid w:val="00BF1655"/>
    <w:rsid w:val="00C043EF"/>
    <w:rsid w:val="00C2747A"/>
    <w:rsid w:val="00C406EC"/>
    <w:rsid w:val="00C5675F"/>
    <w:rsid w:val="00C76E0B"/>
    <w:rsid w:val="00C94856"/>
    <w:rsid w:val="00C95B35"/>
    <w:rsid w:val="00CD5134"/>
    <w:rsid w:val="00CF115A"/>
    <w:rsid w:val="00CF11E1"/>
    <w:rsid w:val="00CF478E"/>
    <w:rsid w:val="00D46DA7"/>
    <w:rsid w:val="00D64A0F"/>
    <w:rsid w:val="00DA0C88"/>
    <w:rsid w:val="00DA333E"/>
    <w:rsid w:val="00DA7CA5"/>
    <w:rsid w:val="00DC0863"/>
    <w:rsid w:val="00DF6CE9"/>
    <w:rsid w:val="00E12A9B"/>
    <w:rsid w:val="00E17C65"/>
    <w:rsid w:val="00E37A68"/>
    <w:rsid w:val="00E460CA"/>
    <w:rsid w:val="00E6342E"/>
    <w:rsid w:val="00E678C7"/>
    <w:rsid w:val="00E75586"/>
    <w:rsid w:val="00E9143E"/>
    <w:rsid w:val="00E92F52"/>
    <w:rsid w:val="00EA39A4"/>
    <w:rsid w:val="00EE0EA7"/>
    <w:rsid w:val="00EE5726"/>
    <w:rsid w:val="00EF2B65"/>
    <w:rsid w:val="00F02C4B"/>
    <w:rsid w:val="00F03FC0"/>
    <w:rsid w:val="00F1384E"/>
    <w:rsid w:val="00F1670A"/>
    <w:rsid w:val="00F30D7B"/>
    <w:rsid w:val="00F37C9C"/>
    <w:rsid w:val="00F57629"/>
    <w:rsid w:val="00F75D8E"/>
    <w:rsid w:val="00F92BE7"/>
    <w:rsid w:val="00F95BFC"/>
    <w:rsid w:val="00FA29F8"/>
    <w:rsid w:val="00FA43AA"/>
    <w:rsid w:val="00FB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DCFB"/>
  <w15:chartTrackingRefBased/>
  <w15:docId w15:val="{35382423-E88E-491B-AB6F-C70EFB28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1D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32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32B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1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1F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1F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1F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1F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1F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ED2E2-EC76-4CF6-A8A7-20DAE8EB6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Zabłocki Bartosz</dc:creator>
  <cp:keywords/>
  <dc:description/>
  <cp:lastModifiedBy>Grzeszczuk-Gniewek Małgorzata</cp:lastModifiedBy>
  <cp:revision>2</cp:revision>
  <cp:lastPrinted>2018-10-12T12:53:00Z</cp:lastPrinted>
  <dcterms:created xsi:type="dcterms:W3CDTF">2018-10-12T12:58:00Z</dcterms:created>
  <dcterms:modified xsi:type="dcterms:W3CDTF">2018-10-12T12:58:00Z</dcterms:modified>
</cp:coreProperties>
</file>