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C71" w:rsidRPr="00877C71" w:rsidRDefault="00877C71" w:rsidP="00877C71">
      <w:pPr>
        <w:pStyle w:val="TYTTABELItytutabeli"/>
        <w:rPr>
          <w:rStyle w:val="Ppogrubienie"/>
          <w:rFonts w:ascii="Times New Roman" w:hAnsi="Times New Roman" w:cs="Times New Roman"/>
        </w:rPr>
      </w:pPr>
      <w:bookmarkStart w:id="0" w:name="_GoBack"/>
      <w:bookmarkEnd w:id="0"/>
      <w:r w:rsidRPr="00877C71">
        <w:rPr>
          <w:rStyle w:val="Ppogrubienie"/>
          <w:rFonts w:ascii="Times New Roman" w:hAnsi="Times New Roman" w:cs="Times New Roman"/>
        </w:rPr>
        <w:t>UZASADNIENIE</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Projektowana ustawa zmienia ustawę z dnia 19 grudnia 2014 r. o rybołówstwie morskim (Dz. U. z 2018 r. poz. 514 i 650) w celu ujednolicenia sposobu prowadzenia inspekcji podmiotów wykonujących rybołówstwo komercyjne i rekreacyjne, przez ustanowienie jednego organu powołanego do kont</w:t>
      </w:r>
      <w:r>
        <w:rPr>
          <w:rFonts w:ascii="Times New Roman" w:hAnsi="Times New Roman" w:cs="Times New Roman"/>
          <w:szCs w:val="24"/>
        </w:rPr>
        <w:t>roli przestrzegania przepisów o </w:t>
      </w:r>
      <w:r w:rsidRPr="00877C71">
        <w:rPr>
          <w:rFonts w:ascii="Times New Roman" w:hAnsi="Times New Roman" w:cs="Times New Roman"/>
          <w:szCs w:val="24"/>
        </w:rPr>
        <w:t>rybołówstwie morskim oraz o organizacji rynku rybnego.</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Obecnie istniejący podział na trzech okręgowych inspektorów rybołówstwa morskiego w Gdyni, Słupsku i Szczecinie nie zapewnia jednolitego sprawowania nadzoru nad przestrzeganiem przepisów o rybołówstwie morskim oraz o organizacji rynku rybnego</w:t>
      </w:r>
      <w:r>
        <w:rPr>
          <w:rFonts w:ascii="Times New Roman" w:hAnsi="Times New Roman" w:cs="Times New Roman"/>
          <w:szCs w:val="24"/>
        </w:rPr>
        <w:t xml:space="preserve"> i </w:t>
      </w:r>
      <w:r w:rsidRPr="00877C71">
        <w:rPr>
          <w:rFonts w:ascii="Times New Roman" w:hAnsi="Times New Roman" w:cs="Times New Roman"/>
          <w:szCs w:val="24"/>
        </w:rPr>
        <w:t>przeprowadzania kontroli w tym zakresie, a tym samym powoduje różne podejście do sposobu prowadzenia określonych prawem działań pozostających w kompetencji danego organu.</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Wspólnotowy system kontroli został określony w rozporządzeniu Rady (WE) </w:t>
      </w:r>
      <w:r>
        <w:rPr>
          <w:rFonts w:ascii="Times New Roman" w:hAnsi="Times New Roman" w:cs="Times New Roman"/>
          <w:szCs w:val="24"/>
        </w:rPr>
        <w:t>nr </w:t>
      </w:r>
      <w:r w:rsidRPr="00877C71">
        <w:rPr>
          <w:rFonts w:ascii="Times New Roman" w:hAnsi="Times New Roman" w:cs="Times New Roman"/>
          <w:szCs w:val="24"/>
        </w:rPr>
        <w:t>1224/2009 z dnia 20 listopada 2009 r. ustanawiającym unijny system kontroli w celu zapewnienia przestrzegania przepisów wspólnej polityki rybołówstwa, zmieniającym rozporządzenia (WE) nr 847/96, (WE) nr 2371/</w:t>
      </w:r>
      <w:r>
        <w:rPr>
          <w:rFonts w:ascii="Times New Roman" w:hAnsi="Times New Roman" w:cs="Times New Roman"/>
          <w:szCs w:val="24"/>
        </w:rPr>
        <w:t>2002, (WE) nr 811/2004, (WE) nr </w:t>
      </w:r>
      <w:r w:rsidRPr="00877C71">
        <w:rPr>
          <w:rFonts w:ascii="Times New Roman" w:hAnsi="Times New Roman" w:cs="Times New Roman"/>
          <w:szCs w:val="24"/>
        </w:rPr>
        <w:t>768/2005, (WE) nr 2115/2005, (WE) nr 2166/</w:t>
      </w:r>
      <w:r>
        <w:rPr>
          <w:rFonts w:ascii="Times New Roman" w:hAnsi="Times New Roman" w:cs="Times New Roman"/>
          <w:szCs w:val="24"/>
        </w:rPr>
        <w:t>2005, (WE) nr 388/2006, (WE) nr </w:t>
      </w:r>
      <w:r w:rsidRPr="00877C71">
        <w:rPr>
          <w:rFonts w:ascii="Times New Roman" w:hAnsi="Times New Roman" w:cs="Times New Roman"/>
          <w:szCs w:val="24"/>
        </w:rPr>
        <w:t>509/2007, (WE) nr 676/2007, (WE) nr 1098/2</w:t>
      </w:r>
      <w:r>
        <w:rPr>
          <w:rFonts w:ascii="Times New Roman" w:hAnsi="Times New Roman" w:cs="Times New Roman"/>
          <w:szCs w:val="24"/>
        </w:rPr>
        <w:t>007, (WE) nr 1300/2008, (WE) nr </w:t>
      </w:r>
      <w:r w:rsidRPr="00877C71">
        <w:rPr>
          <w:rFonts w:ascii="Times New Roman" w:hAnsi="Times New Roman" w:cs="Times New Roman"/>
          <w:szCs w:val="24"/>
        </w:rPr>
        <w:t xml:space="preserve">1342/2008 i uchylającym rozporządzenia (EWG) nr 2847/93, (WE) nr 1627/94 oraz (WE) nr 1966/2006 (Dz. Urz. UE L 343 z 22.12.2009, str. 1, z </w:t>
      </w:r>
      <w:proofErr w:type="spellStart"/>
      <w:r w:rsidRPr="00877C71">
        <w:rPr>
          <w:rFonts w:ascii="Times New Roman" w:hAnsi="Times New Roman" w:cs="Times New Roman"/>
          <w:szCs w:val="24"/>
        </w:rPr>
        <w:t>późn</w:t>
      </w:r>
      <w:proofErr w:type="spellEnd"/>
      <w:r w:rsidRPr="00877C71">
        <w:rPr>
          <w:rFonts w:ascii="Times New Roman" w:hAnsi="Times New Roman" w:cs="Times New Roman"/>
          <w:szCs w:val="24"/>
        </w:rPr>
        <w:t>. zm.), zwanego dalej „rozporządzeniem nr 1224/2009”. Zgodnie z tym rozporządzeniem do obowiązków państw członkowskich Unii Europejskiej należy kontrola działalności prowadzonej przez osoby fizyczne lub prawne w ramach Wspólnej Polityki Rybołówstwa (</w:t>
      </w:r>
      <w:proofErr w:type="spellStart"/>
      <w:r w:rsidRPr="00877C71">
        <w:rPr>
          <w:rFonts w:ascii="Times New Roman" w:hAnsi="Times New Roman" w:cs="Times New Roman"/>
          <w:szCs w:val="24"/>
        </w:rPr>
        <w:t>WPRyb</w:t>
      </w:r>
      <w:proofErr w:type="spellEnd"/>
      <w:r w:rsidRPr="00877C71">
        <w:rPr>
          <w:rFonts w:ascii="Times New Roman" w:hAnsi="Times New Roman" w:cs="Times New Roman"/>
          <w:szCs w:val="24"/>
        </w:rPr>
        <w:t>) na swoim terytorium oraz na wodach podlegających ich zwierzchnictwu lub jurysdykcji, a w szczególności połowy, przeładunki, przenoszenie ryb do sadzów lub urządzeń akwakultury, w tym urządzeń do tuczenia, wyładunek, wywóz, przewóz, przetwarzanie, wprowadzanie do obrotu i przechowywanie produktów rybołówstwa i akwakultury. Dodatkowo w każdym państwie członkowskim Unii Europejskiej jeden organ zajmuje się koordynowaniem działalności kontrolnej wszystkich krajowych organów kontroli. W Polsce organem tym jest minister właściwy do spraw rybołówstwa.</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lastRenderedPageBreak/>
        <w:t>W Polsce kontrola rybołówstwa morskiego jest regulowana przede wszystkim przez ustawę z dnia 19 grudnia 2014 r. o rybołówstwie morskim. Zgodnie z tą ustawą organami administracji rybołówstwa morskiego są: minister wła</w:t>
      </w:r>
      <w:r>
        <w:rPr>
          <w:rFonts w:ascii="Times New Roman" w:hAnsi="Times New Roman" w:cs="Times New Roman"/>
          <w:szCs w:val="24"/>
        </w:rPr>
        <w:t>ściwy do spraw rybołówstwa oraz</w:t>
      </w:r>
      <w:r w:rsidRPr="00877C71">
        <w:rPr>
          <w:rFonts w:ascii="Times New Roman" w:hAnsi="Times New Roman" w:cs="Times New Roman"/>
          <w:szCs w:val="24"/>
        </w:rPr>
        <w:t xml:space="preserve"> okręgowi inspektorzy rybołówstwa morskiego – jako organy administracji niezespolonej. Okręgowi inspektorzy rybołówstwa morskiego podlegają ministrowi właściwemu do spraw rybołówstwa. Minister ten powołuje i odwołuje okręgowych inspektorów rybołówstwa morskiego, po zasięgnięciu opinii właściwego miejscowo wojewody. Zastępców okręgowych inspektorów rybołówstwa morskiego powołuje i odwołuje również minister właściwy do spraw rybołówstwa, na wniosek właściwych okręgowych inspektorów rybołówstwa morskiego. Siedziba i terytorialny zakres działania okręgowych inspektorów rybołówstwa morskiego</w:t>
      </w:r>
      <w:r>
        <w:rPr>
          <w:rFonts w:ascii="Times New Roman" w:hAnsi="Times New Roman" w:cs="Times New Roman"/>
          <w:szCs w:val="24"/>
        </w:rPr>
        <w:t xml:space="preserve"> jest określany w </w:t>
      </w:r>
      <w:r w:rsidRPr="00877C71">
        <w:rPr>
          <w:rFonts w:ascii="Times New Roman" w:hAnsi="Times New Roman" w:cs="Times New Roman"/>
          <w:szCs w:val="24"/>
        </w:rPr>
        <w:t>drodze rozporządzenia. Podobnie są tworzone i znoszone okręgowe inspektoraty, przy pomocy których wykonują swoje zadania okręgowi inspektorzy rybołówstwa morskiego. Do zadań okręgowych inspektorów ryb</w:t>
      </w:r>
      <w:r>
        <w:rPr>
          <w:rFonts w:ascii="Times New Roman" w:hAnsi="Times New Roman" w:cs="Times New Roman"/>
          <w:szCs w:val="24"/>
        </w:rPr>
        <w:t>ołówstwa morskiego należy m.in. </w:t>
      </w:r>
      <w:r w:rsidRPr="00877C71">
        <w:rPr>
          <w:rFonts w:ascii="Times New Roman" w:hAnsi="Times New Roman" w:cs="Times New Roman"/>
          <w:szCs w:val="24"/>
        </w:rPr>
        <w:t>nadzór nad przestrzeganiem przepisów o rybołówstwie morskim na terytorium Rzeczypospolitej Polskiej i w wyłącznej strefi</w:t>
      </w:r>
      <w:r>
        <w:rPr>
          <w:rFonts w:ascii="Times New Roman" w:hAnsi="Times New Roman" w:cs="Times New Roman"/>
          <w:szCs w:val="24"/>
        </w:rPr>
        <w:t>e ekonomicznej oraz przepisów o </w:t>
      </w:r>
      <w:r w:rsidRPr="00877C71">
        <w:rPr>
          <w:rFonts w:ascii="Times New Roman" w:hAnsi="Times New Roman" w:cs="Times New Roman"/>
          <w:szCs w:val="24"/>
        </w:rPr>
        <w:t xml:space="preserve">organizacji rynku rybnego, a także wykonywanie określonych umowami międzynarodowymi zadań poza polskimi obszarami morskimi.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Nadzór nad przestrzeganiem przepisów o rybołówstwie morskim sprawują okręgowi inspektorzy rybołówstwa morskiego za pośrednictwem inspektorów rybołówstwa morskiego, przy czym współdziałają z organami i jednostkami organizacyjnymi Inspekcji Jakości Handlowej Artykułów Rolno-Spożywczych, Krajowej Administracji Skarbowej, Inspekcji Handlowej, Inspekcji Weterynaryjnej, Państwowej Inspekcji Sanitarnej, Państwowej Straży Rybackiej, Społecznej Straży Rybackiej, Straży Granicznej, Inspekcji Transportu Drogowego, Policji, oraz ze strażami gminnymi, wojewódzkimi inspektoratami ochrony środowiska, podmiotami zarządzającymi portami i przystaniami morskimi i z terenowymi organami administracji morskiej,</w:t>
      </w:r>
      <w:r>
        <w:rPr>
          <w:rFonts w:ascii="Times New Roman" w:hAnsi="Times New Roman" w:cs="Times New Roman"/>
          <w:szCs w:val="24"/>
        </w:rPr>
        <w:t xml:space="preserve"> z </w:t>
      </w:r>
      <w:r w:rsidRPr="00877C71">
        <w:rPr>
          <w:rFonts w:ascii="Times New Roman" w:hAnsi="Times New Roman" w:cs="Times New Roman"/>
          <w:szCs w:val="24"/>
        </w:rPr>
        <w:t>uwzględnieniem właściwości i kompetencji tych organów i jednostek organizacyjnych.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Kontrola produktów rybnych regulowana jest przede wszystkim przez ustawę z dnia </w:t>
      </w:r>
      <w:r>
        <w:rPr>
          <w:rFonts w:ascii="Times New Roman" w:hAnsi="Times New Roman" w:cs="Times New Roman"/>
          <w:szCs w:val="24"/>
        </w:rPr>
        <w:t>5 </w:t>
      </w:r>
      <w:r w:rsidRPr="00877C71">
        <w:rPr>
          <w:rFonts w:ascii="Times New Roman" w:hAnsi="Times New Roman" w:cs="Times New Roman"/>
          <w:szCs w:val="24"/>
        </w:rPr>
        <w:t>grudnia 2008 r. o organizacji rynku rybnego (Dz. U. z 2018 r. poz. 262). Przewiduje ona współpracę między okręgowymi inspektorami rybołówstwa morskiego oraz Inspekcją Jakości Handlowej Artykułów Rolno-Spożywczych.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Okręgowym inspektoratem rybołówstwa morskiego kieruje okręgowy inspektor rybołówstwa morskiego przy pomocy zastępcy oraz kierowników komórek organizacyjnych. Okręgowy inspektor rybołówstwa morskiego może upoważnić swojego zastępcę i innych pracowników okręgowego</w:t>
      </w:r>
      <w:r>
        <w:rPr>
          <w:rFonts w:ascii="Times New Roman" w:hAnsi="Times New Roman" w:cs="Times New Roman"/>
          <w:szCs w:val="24"/>
        </w:rPr>
        <w:t xml:space="preserve"> inspektoratu do podejmowania w </w:t>
      </w:r>
      <w:r w:rsidRPr="00877C71">
        <w:rPr>
          <w:rFonts w:ascii="Times New Roman" w:hAnsi="Times New Roman" w:cs="Times New Roman"/>
          <w:szCs w:val="24"/>
        </w:rPr>
        <w:t xml:space="preserve">jego imieniu decyzji, w określonych przez niego sprawach.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Okręgowy inspektor rybołówstwa morskiego może powoływać komisje lub zespoły </w:t>
      </w:r>
      <w:r>
        <w:rPr>
          <w:rFonts w:ascii="Times New Roman" w:hAnsi="Times New Roman" w:cs="Times New Roman"/>
          <w:szCs w:val="24"/>
        </w:rPr>
        <w:t>o </w:t>
      </w:r>
      <w:r w:rsidRPr="00877C71">
        <w:rPr>
          <w:rFonts w:ascii="Times New Roman" w:hAnsi="Times New Roman" w:cs="Times New Roman"/>
          <w:szCs w:val="24"/>
        </w:rPr>
        <w:t>charakterze stałym lub doraźnym jako org</w:t>
      </w:r>
      <w:r>
        <w:rPr>
          <w:rFonts w:ascii="Times New Roman" w:hAnsi="Times New Roman" w:cs="Times New Roman"/>
          <w:szCs w:val="24"/>
        </w:rPr>
        <w:t>any pomocnicze lub opiniodawczo</w:t>
      </w:r>
      <w:r>
        <w:rPr>
          <w:rFonts w:ascii="Times New Roman" w:hAnsi="Times New Roman" w:cs="Times New Roman"/>
          <w:szCs w:val="24"/>
        </w:rPr>
        <w:noBreakHyphen/>
      </w:r>
      <w:r w:rsidRPr="00877C71">
        <w:rPr>
          <w:rFonts w:ascii="Times New Roman" w:hAnsi="Times New Roman" w:cs="Times New Roman"/>
          <w:szCs w:val="24"/>
        </w:rPr>
        <w:t>doradcze, określając ich nazwę, cel powołania, skład osobowy, zakres zadań i tryb pracy.</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Statuty okręgowych inspektoratów rybołówstwa morskiego są nadawane, w drodze zarządzenia, przez ministra właściwego do spraw rybołówstwa.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 skład okręgowego inspektoratu rybołówstwa morskiego wchodzą: okręgowy inspektor, zastępca okręgowego inspektora rybołówstwa morskiego, wydziały Rybołówstwa Dalekomorskiego, Rybołówstwa Morskiego i Inspekcji Rybołówstwa oraz stanowiska do spraw finansowych, organizacyjno-pracowniczych, o</w:t>
      </w:r>
      <w:r>
        <w:rPr>
          <w:rFonts w:ascii="Times New Roman" w:hAnsi="Times New Roman" w:cs="Times New Roman"/>
          <w:szCs w:val="24"/>
        </w:rPr>
        <w:t>bronnych i </w:t>
      </w:r>
      <w:r w:rsidRPr="00877C71">
        <w:rPr>
          <w:rFonts w:ascii="Times New Roman" w:hAnsi="Times New Roman" w:cs="Times New Roman"/>
          <w:szCs w:val="24"/>
        </w:rPr>
        <w:t>ochrony informacji niejawnych. Na czele wydziałów stoją kierownicy. Na podstawie statutów okręgowi inspektorzy rybołówstwa morskiego, w drodze zarządzeń, powinni określić regulaminy organizacyjne. W każdym okręgowym inspektoracie rybołówstwa morskiego funkcjonuje także stanowisko Głównego Księgowego, zgodnie z przepisami o finansach publicznych.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 ramach każdego okręgowego inspektoratu rybołówstwa morskiego (OIRM) funkcjonują struktury terenowe:</w:t>
      </w:r>
    </w:p>
    <w:p w:rsidR="00877C71" w:rsidRPr="00877C71" w:rsidRDefault="00877C71" w:rsidP="00877C71">
      <w:pPr>
        <w:pStyle w:val="PKTpunkt"/>
        <w:spacing w:before="120"/>
        <w:ind w:left="284" w:hanging="284"/>
        <w:rPr>
          <w:rFonts w:ascii="Times New Roman" w:hAnsi="Times New Roman" w:cs="Times New Roman"/>
          <w:szCs w:val="24"/>
        </w:rPr>
      </w:pPr>
      <w:r>
        <w:rPr>
          <w:rFonts w:ascii="Times New Roman" w:hAnsi="Times New Roman" w:cs="Times New Roman"/>
          <w:szCs w:val="24"/>
        </w:rPr>
        <w:t>1)</w:t>
      </w:r>
      <w:r w:rsidRPr="00877C71">
        <w:rPr>
          <w:rFonts w:ascii="Times New Roman" w:hAnsi="Times New Roman" w:cs="Times New Roman"/>
          <w:szCs w:val="24"/>
        </w:rPr>
        <w:tab/>
        <w:t>w Świnoujściu, Dziwnowie, Wolinie, Trzebieży i Mrzeżynie –</w:t>
      </w:r>
      <w:r>
        <w:rPr>
          <w:rFonts w:ascii="Times New Roman" w:hAnsi="Times New Roman" w:cs="Times New Roman"/>
          <w:szCs w:val="24"/>
        </w:rPr>
        <w:t xml:space="preserve"> dla OIRM w </w:t>
      </w:r>
      <w:r w:rsidRPr="00877C71">
        <w:rPr>
          <w:rFonts w:ascii="Times New Roman" w:hAnsi="Times New Roman" w:cs="Times New Roman"/>
          <w:szCs w:val="24"/>
        </w:rPr>
        <w:t>Szczecinie;</w:t>
      </w:r>
    </w:p>
    <w:p w:rsidR="00877C71" w:rsidRPr="00877C71" w:rsidRDefault="00877C71" w:rsidP="00877C71">
      <w:pPr>
        <w:pStyle w:val="PKTpunkt"/>
        <w:ind w:left="284" w:hanging="284"/>
        <w:rPr>
          <w:rFonts w:ascii="Times New Roman" w:hAnsi="Times New Roman" w:cs="Times New Roman"/>
          <w:szCs w:val="24"/>
        </w:rPr>
      </w:pPr>
      <w:r>
        <w:rPr>
          <w:rFonts w:ascii="Times New Roman" w:hAnsi="Times New Roman" w:cs="Times New Roman"/>
          <w:szCs w:val="24"/>
        </w:rPr>
        <w:t>2)</w:t>
      </w:r>
      <w:r w:rsidRPr="00877C71">
        <w:rPr>
          <w:rFonts w:ascii="Times New Roman" w:hAnsi="Times New Roman" w:cs="Times New Roman"/>
          <w:szCs w:val="24"/>
        </w:rPr>
        <w:tab/>
        <w:t>w Kołobrzegu, Darłowie, Ustce i Łebie – dla OIRM w Słupsku;</w:t>
      </w:r>
    </w:p>
    <w:p w:rsidR="00877C71" w:rsidRPr="00877C71" w:rsidRDefault="00877C71" w:rsidP="00877C71">
      <w:pPr>
        <w:pStyle w:val="PKTpunkt"/>
        <w:ind w:left="284" w:hanging="284"/>
        <w:rPr>
          <w:rFonts w:ascii="Times New Roman" w:hAnsi="Times New Roman" w:cs="Times New Roman"/>
          <w:szCs w:val="24"/>
        </w:rPr>
      </w:pPr>
      <w:r>
        <w:rPr>
          <w:rFonts w:ascii="Times New Roman" w:hAnsi="Times New Roman" w:cs="Times New Roman"/>
          <w:szCs w:val="24"/>
        </w:rPr>
        <w:t>3)</w:t>
      </w:r>
      <w:r w:rsidRPr="00877C71">
        <w:rPr>
          <w:rFonts w:ascii="Times New Roman" w:hAnsi="Times New Roman" w:cs="Times New Roman"/>
          <w:szCs w:val="24"/>
        </w:rPr>
        <w:tab/>
        <w:t>w Helu, Władysławowie, Gdyni, Fromborku i Sztutowie – dla OIRM w Gdyni.</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Do przeprowadzania kontroli na morzu wykorzystywane są statki kontrolne. Większość wykorzystywanych statków stanowi własność OIRM. Wyjątkami są czarterowany od Akademii Morskiej przez OIRM w Szczecinie statek </w:t>
      </w:r>
      <w:proofErr w:type="spellStart"/>
      <w:r w:rsidRPr="00877C71">
        <w:rPr>
          <w:rFonts w:ascii="Times New Roman" w:hAnsi="Times New Roman" w:cs="Times New Roman"/>
          <w:szCs w:val="24"/>
        </w:rPr>
        <w:t>Navigator</w:t>
      </w:r>
      <w:proofErr w:type="spellEnd"/>
      <w:r w:rsidRPr="00877C71">
        <w:rPr>
          <w:rFonts w:ascii="Times New Roman" w:hAnsi="Times New Roman" w:cs="Times New Roman"/>
          <w:szCs w:val="24"/>
        </w:rPr>
        <w:t xml:space="preserve"> oraz wykorzystywany przez OIRM w Słupsku, na podstawie porozumienia, statek Straży Granicznej. Wśród pozostałych środków transportu wykorzystywanych przez OIRM największe znaczenie mają samochody.</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Do kluczowych zadań OIRM należy nadzór nad przestrzeganiem przepisów </w:t>
      </w:r>
      <w:r>
        <w:rPr>
          <w:rFonts w:ascii="Times New Roman" w:hAnsi="Times New Roman" w:cs="Times New Roman"/>
          <w:szCs w:val="24"/>
        </w:rPr>
        <w:t>o </w:t>
      </w:r>
      <w:r w:rsidRPr="00877C71">
        <w:rPr>
          <w:rFonts w:ascii="Times New Roman" w:hAnsi="Times New Roman" w:cs="Times New Roman"/>
          <w:szCs w:val="24"/>
        </w:rPr>
        <w:t>rybołówstwie morskim oraz przepisów o organizacji rynku rybnego, w tym egzekwowanie prawa w drodze wydawania decyzji administracyjnych.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Wśród działalności kontrolnej można wyróżnić: kontrole na morzu, kontrole w porcie, kontrole dokumentów, kontrole punktów skupu (obrotu). Inspektorzy rybołówstwa morskiego dysponują danymi pochodzącymi z systemów elektronicznych. Kontrole podmiotów o podwyższonym ryzyku (np. na morzu czy w nocy) są prowadzone przez minimum dwóch inspektorów rybołówstwa morskiego. Z reguły sprawdzane są zapisy w dzienniku połowowym oraz dokumenty uprawniające do wykonywania rybołówstwa morskiego. Dokonuje się także fizycznego sprawdzenia masy ryb (ważenie podczas sprzedaży w centrach sprzedaży albo przy użyciu wagi inspektora) oraz sprawdzenia narzędzi połowowych. Wynikiem kontroli jest protokół, który podpisuje inspektor rybołówstwa morskiego oraz przedstawiciel armatora lub kontrolowanego podmiotu. Wzór takiego protokołu jest stosowany przez wszystkie OIRM. Protokół może pozostać „bez uwag” albo zawierać wskazanie naruszeń przepisów.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Wyniki kontroli są wpisywane do wspólnego dla wszystkich OIRM okręgowego systemu inspekcji rybackich i statystyk (OSIRIS). W przypadku stwierdzenia naruszeń przepisów prowadzi się postępowanie administracyjne, zgodnie z przepisami Kodeksu postępowania administracyjnego.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Tworzona nowa struktura organizacyjna zapewni przejęcie przez jeden centralny organ administracji państwowej kompetencji związanych z kontrolą przepisów dotyczących rybołówstwa morskiego oraz przepisów dotyczących organizacji rynku rybnego. Wprowadzone zmiany mają na celu:</w:t>
      </w:r>
    </w:p>
    <w:p w:rsidR="00877C71" w:rsidRPr="00877C71" w:rsidRDefault="00877C71" w:rsidP="00877C71">
      <w:pPr>
        <w:pStyle w:val="PKTpunkt"/>
        <w:spacing w:before="120"/>
        <w:ind w:left="284" w:hanging="284"/>
        <w:rPr>
          <w:rFonts w:ascii="Times New Roman" w:hAnsi="Times New Roman" w:cs="Times New Roman"/>
          <w:szCs w:val="24"/>
        </w:rPr>
      </w:pPr>
      <w:r>
        <w:rPr>
          <w:rFonts w:ascii="Times New Roman" w:hAnsi="Times New Roman" w:cs="Times New Roman"/>
          <w:szCs w:val="24"/>
        </w:rPr>
        <w:t>1)</w:t>
      </w:r>
      <w:r w:rsidRPr="00877C71">
        <w:rPr>
          <w:rFonts w:ascii="Times New Roman" w:hAnsi="Times New Roman" w:cs="Times New Roman"/>
          <w:szCs w:val="24"/>
        </w:rPr>
        <w:tab/>
        <w:t>wdrożenie standardowych i ujednoliconych zas</w:t>
      </w:r>
      <w:r>
        <w:rPr>
          <w:rFonts w:ascii="Times New Roman" w:hAnsi="Times New Roman" w:cs="Times New Roman"/>
          <w:szCs w:val="24"/>
        </w:rPr>
        <w:t>ad działania, w szczególności w </w:t>
      </w:r>
      <w:r w:rsidRPr="00877C71">
        <w:rPr>
          <w:rFonts w:ascii="Times New Roman" w:hAnsi="Times New Roman" w:cs="Times New Roman"/>
          <w:szCs w:val="24"/>
        </w:rPr>
        <w:t>zakresie działań kontrolnych, oraz jednolitego podejścia do zachowania standardów etycznych przez inspektorów rybołówstwa morskiego;</w:t>
      </w:r>
    </w:p>
    <w:p w:rsidR="00877C71" w:rsidRPr="00877C71" w:rsidRDefault="00877C71" w:rsidP="00877C71">
      <w:pPr>
        <w:pStyle w:val="PKTpunkt"/>
        <w:ind w:left="284" w:hanging="284"/>
        <w:rPr>
          <w:rFonts w:ascii="Times New Roman" w:hAnsi="Times New Roman" w:cs="Times New Roman"/>
          <w:szCs w:val="24"/>
        </w:rPr>
      </w:pPr>
      <w:r>
        <w:rPr>
          <w:rFonts w:ascii="Times New Roman" w:hAnsi="Times New Roman" w:cs="Times New Roman"/>
          <w:szCs w:val="24"/>
        </w:rPr>
        <w:t>2)</w:t>
      </w:r>
      <w:r w:rsidRPr="00877C71">
        <w:rPr>
          <w:rFonts w:ascii="Times New Roman" w:hAnsi="Times New Roman" w:cs="Times New Roman"/>
          <w:szCs w:val="24"/>
        </w:rPr>
        <w:tab/>
        <w:t xml:space="preserve">wykorzystanie obecnych zasobów kadrowych; reorganizacja będzie dokonywana przy założeniu optymalnego wykorzystania pracowników zatrudnionych obecnie </w:t>
      </w:r>
      <w:r>
        <w:rPr>
          <w:rFonts w:ascii="Times New Roman" w:hAnsi="Times New Roman" w:cs="Times New Roman"/>
          <w:szCs w:val="24"/>
        </w:rPr>
        <w:t>w </w:t>
      </w:r>
      <w:r w:rsidRPr="00877C71">
        <w:rPr>
          <w:rFonts w:ascii="Times New Roman" w:hAnsi="Times New Roman" w:cs="Times New Roman"/>
          <w:szCs w:val="24"/>
        </w:rPr>
        <w:t>okręgowych inspektoratach rybołówstwa morskiego oraz ich biurach terenowych;</w:t>
      </w:r>
    </w:p>
    <w:p w:rsidR="00877C71" w:rsidRPr="00877C71" w:rsidRDefault="00877C71" w:rsidP="00877C71">
      <w:pPr>
        <w:pStyle w:val="PKTpunkt"/>
        <w:spacing w:before="120"/>
        <w:ind w:left="284" w:hanging="284"/>
        <w:rPr>
          <w:rFonts w:ascii="Times New Roman" w:hAnsi="Times New Roman" w:cs="Times New Roman"/>
          <w:szCs w:val="24"/>
        </w:rPr>
      </w:pPr>
      <w:r>
        <w:rPr>
          <w:rFonts w:ascii="Times New Roman" w:hAnsi="Times New Roman" w:cs="Times New Roman"/>
          <w:szCs w:val="24"/>
        </w:rPr>
        <w:t>3)</w:t>
      </w:r>
      <w:r w:rsidRPr="00877C71">
        <w:rPr>
          <w:rFonts w:ascii="Times New Roman" w:hAnsi="Times New Roman" w:cs="Times New Roman"/>
          <w:szCs w:val="24"/>
        </w:rPr>
        <w:tab/>
        <w:t xml:space="preserve">wykorzystanie istniejących lokalizacji okręgowych inspektoratów rybołówstwa morskiego; jednocześnie zostanie przeprowadzona analiza dotycząca liczby statków rybackich stacjonujących w portach i przystaniach morskich, w których brak jest biura terenowego inspektora rybołówstwa morskiego.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Docelowy model organizacyjny działania służb zajmujących się kontrolą rybołówstwa morskiego w Polsce zakłada utworzenie centralnego organu administracji rządowej powoływanego przez Prezesa Rady Ministrów na wniosek ministra właściwego do spraw rybołówstwa i podległego bezpośrednio temu ministrowi – Głównego Inspektora Rybołówstwa Morskiego. Organ ten będzie odpow</w:t>
      </w:r>
      <w:r>
        <w:rPr>
          <w:rFonts w:ascii="Times New Roman" w:hAnsi="Times New Roman" w:cs="Times New Roman"/>
          <w:szCs w:val="24"/>
        </w:rPr>
        <w:t>iedzialny za zadania związane z </w:t>
      </w:r>
      <w:r w:rsidRPr="00877C71">
        <w:rPr>
          <w:rFonts w:ascii="Times New Roman" w:hAnsi="Times New Roman" w:cs="Times New Roman"/>
          <w:szCs w:val="24"/>
        </w:rPr>
        <w:t>kontrolą przestrzegania przepisów o rybołówstwie morskim oraz o organizacji rynku rybnego, a także koordynację kontrolno-inspekcyjnych działań Polski w ramach realizacji celów wspólnej polityki rybołówstwa.</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Najważniejszymi zadaniami tego organu będą: </w:t>
      </w:r>
    </w:p>
    <w:p w:rsidR="00877C71" w:rsidRPr="00877C71" w:rsidRDefault="00877C71" w:rsidP="00877C71">
      <w:pPr>
        <w:pStyle w:val="PKTpunkt"/>
        <w:spacing w:before="120"/>
        <w:ind w:left="284" w:hanging="284"/>
        <w:rPr>
          <w:rFonts w:ascii="Times New Roman" w:hAnsi="Times New Roman" w:cs="Times New Roman"/>
          <w:szCs w:val="24"/>
        </w:rPr>
      </w:pPr>
      <w:r w:rsidRPr="00877C71">
        <w:rPr>
          <w:rFonts w:ascii="Times New Roman" w:hAnsi="Times New Roman" w:cs="Times New Roman"/>
          <w:szCs w:val="24"/>
        </w:rPr>
        <w:t>1)</w:t>
      </w:r>
      <w:r w:rsidRPr="00877C71">
        <w:rPr>
          <w:rFonts w:ascii="Times New Roman" w:hAnsi="Times New Roman" w:cs="Times New Roman"/>
          <w:szCs w:val="24"/>
        </w:rPr>
        <w:tab/>
        <w:t>pełnienie funkcji organu koordynującego działania kontrolno-inspekcyjne, o którym mowa w art. 5 ust. 5 rozporządzenia nr 1224/2009;</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2)</w:t>
      </w:r>
      <w:r w:rsidRPr="00877C71">
        <w:rPr>
          <w:rFonts w:ascii="Times New Roman" w:hAnsi="Times New Roman" w:cs="Times New Roman"/>
          <w:szCs w:val="24"/>
        </w:rPr>
        <w:tab/>
        <w:t xml:space="preserve">zatwierdzanie świadectw połowowych, w przypadkach, o których mowa w art. 15 ust. 1 </w:t>
      </w:r>
      <w:hyperlink r:id="rId6" w:anchor="hiperlinkText.rpc?hiperlink=type=tresc:nro=Europejski.718622&amp;full=1" w:tgtFrame="_parent" w:history="1">
        <w:r w:rsidRPr="00877C71">
          <w:rPr>
            <w:rFonts w:ascii="Times New Roman" w:hAnsi="Times New Roman" w:cs="Times New Roman"/>
            <w:szCs w:val="24"/>
          </w:rPr>
          <w:t>rozporządzeni</w:t>
        </w:r>
      </w:hyperlink>
      <w:r w:rsidRPr="00877C71">
        <w:rPr>
          <w:rFonts w:ascii="Times New Roman" w:hAnsi="Times New Roman" w:cs="Times New Roman"/>
          <w:szCs w:val="24"/>
        </w:rPr>
        <w:t>a Rady (WE) nr 1005/2008 z dnia 29 września 2008 r. ustanawiającego wspólnotowy system zapobiegania</w:t>
      </w:r>
      <w:r>
        <w:rPr>
          <w:rFonts w:ascii="Times New Roman" w:hAnsi="Times New Roman" w:cs="Times New Roman"/>
          <w:szCs w:val="24"/>
        </w:rPr>
        <w:t xml:space="preserve"> nielegalnym, nieraportowanym i </w:t>
      </w:r>
      <w:r w:rsidRPr="00877C71">
        <w:rPr>
          <w:rFonts w:ascii="Times New Roman" w:hAnsi="Times New Roman" w:cs="Times New Roman"/>
          <w:szCs w:val="24"/>
        </w:rPr>
        <w:t>nieuregulowanym połowom oraz ich powstrzymywania i eliminowania, zmieniającego rozporządzenia (EWG) nr 2847/</w:t>
      </w:r>
      <w:r>
        <w:rPr>
          <w:rFonts w:ascii="Times New Roman" w:hAnsi="Times New Roman" w:cs="Times New Roman"/>
          <w:szCs w:val="24"/>
        </w:rPr>
        <w:t>93, (WE) nr 1936/2001 i (WE) nr </w:t>
      </w:r>
      <w:r w:rsidRPr="00877C71">
        <w:rPr>
          <w:rFonts w:ascii="Times New Roman" w:hAnsi="Times New Roman" w:cs="Times New Roman"/>
          <w:szCs w:val="24"/>
        </w:rPr>
        <w:t>601/2004 oraz uchylającego rozporząd</w:t>
      </w:r>
      <w:r>
        <w:rPr>
          <w:rFonts w:ascii="Times New Roman" w:hAnsi="Times New Roman" w:cs="Times New Roman"/>
          <w:szCs w:val="24"/>
        </w:rPr>
        <w:t>zenia (WE) nr 1093/94 i (WE) nr </w:t>
      </w:r>
      <w:r w:rsidRPr="00877C71">
        <w:rPr>
          <w:rFonts w:ascii="Times New Roman" w:hAnsi="Times New Roman" w:cs="Times New Roman"/>
          <w:szCs w:val="24"/>
        </w:rPr>
        <w:t xml:space="preserve">1447/1999 (Dz. Urz. UE L 286 z 29.10.2008, str. 1, z </w:t>
      </w:r>
      <w:proofErr w:type="spellStart"/>
      <w:r w:rsidRPr="00877C71">
        <w:rPr>
          <w:rFonts w:ascii="Times New Roman" w:hAnsi="Times New Roman" w:cs="Times New Roman"/>
          <w:szCs w:val="24"/>
        </w:rPr>
        <w:t>późn</w:t>
      </w:r>
      <w:proofErr w:type="spellEnd"/>
      <w:r w:rsidRPr="00877C71">
        <w:rPr>
          <w:rFonts w:ascii="Times New Roman" w:hAnsi="Times New Roman" w:cs="Times New Roman"/>
          <w:szCs w:val="24"/>
        </w:rPr>
        <w:t>. zm.), zwanego dalej „rozporządzeniem nr 1005/2008”;</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3)</w:t>
      </w:r>
      <w:r w:rsidRPr="00877C71">
        <w:rPr>
          <w:rFonts w:ascii="Times New Roman" w:hAnsi="Times New Roman" w:cs="Times New Roman"/>
          <w:szCs w:val="24"/>
        </w:rPr>
        <w:tab/>
        <w:t xml:space="preserve">sprawowanie nadzoru nad przestrzeganiem przepisów o rybołówstwie morskim </w:t>
      </w:r>
      <w:r>
        <w:rPr>
          <w:rFonts w:ascii="Times New Roman" w:hAnsi="Times New Roman" w:cs="Times New Roman"/>
          <w:szCs w:val="24"/>
        </w:rPr>
        <w:t>i o </w:t>
      </w:r>
      <w:r w:rsidRPr="00877C71">
        <w:rPr>
          <w:rFonts w:ascii="Times New Roman" w:hAnsi="Times New Roman" w:cs="Times New Roman"/>
          <w:szCs w:val="24"/>
        </w:rPr>
        <w:t>organizacji rynku rybnego, w tym:</w:t>
      </w:r>
    </w:p>
    <w:p w:rsidR="00877C71" w:rsidRPr="00877C71" w:rsidRDefault="00877C71" w:rsidP="00877C71">
      <w:pPr>
        <w:pStyle w:val="LITlitera"/>
        <w:ind w:left="568" w:hanging="284"/>
        <w:rPr>
          <w:rFonts w:ascii="Times New Roman" w:hAnsi="Times New Roman" w:cs="Times New Roman"/>
          <w:szCs w:val="24"/>
        </w:rPr>
      </w:pPr>
      <w:r w:rsidRPr="00877C71">
        <w:rPr>
          <w:rFonts w:ascii="Times New Roman" w:hAnsi="Times New Roman" w:cs="Times New Roman"/>
          <w:szCs w:val="24"/>
        </w:rPr>
        <w:t>a)</w:t>
      </w:r>
      <w:r w:rsidRPr="00877C71">
        <w:rPr>
          <w:rFonts w:ascii="Times New Roman" w:hAnsi="Times New Roman" w:cs="Times New Roman"/>
          <w:szCs w:val="24"/>
        </w:rPr>
        <w:tab/>
        <w:t xml:space="preserve">wykonywanie kontroli, a także inspekcji, o których mowa w rozporządzeniu </w:t>
      </w:r>
      <w:r>
        <w:rPr>
          <w:rFonts w:ascii="Times New Roman" w:hAnsi="Times New Roman" w:cs="Times New Roman"/>
          <w:szCs w:val="24"/>
        </w:rPr>
        <w:t>nr </w:t>
      </w:r>
      <w:r w:rsidRPr="00877C71">
        <w:rPr>
          <w:rFonts w:ascii="Times New Roman" w:hAnsi="Times New Roman" w:cs="Times New Roman"/>
          <w:szCs w:val="24"/>
        </w:rPr>
        <w:t>1224/2009 oraz rozporządzeniu nr 1005/2008,</w:t>
      </w:r>
    </w:p>
    <w:p w:rsidR="00877C71" w:rsidRPr="00877C71" w:rsidRDefault="00877C71" w:rsidP="00877C71">
      <w:pPr>
        <w:pStyle w:val="LITlitera"/>
        <w:ind w:left="568" w:hanging="284"/>
        <w:rPr>
          <w:rFonts w:ascii="Times New Roman" w:hAnsi="Times New Roman" w:cs="Times New Roman"/>
          <w:szCs w:val="24"/>
        </w:rPr>
      </w:pPr>
      <w:r w:rsidRPr="00877C71">
        <w:rPr>
          <w:rFonts w:ascii="Times New Roman" w:hAnsi="Times New Roman" w:cs="Times New Roman"/>
          <w:szCs w:val="24"/>
        </w:rPr>
        <w:t>b)</w:t>
      </w:r>
      <w:r w:rsidRPr="00877C71">
        <w:rPr>
          <w:rFonts w:ascii="Times New Roman" w:hAnsi="Times New Roman" w:cs="Times New Roman"/>
          <w:szCs w:val="24"/>
        </w:rPr>
        <w:tab/>
        <w:t>realizacja obowiązków państwa członkowskiego Unii Europejskiej, o których mowa w rozporządzeniu nr 1005/2008 – w przypadku przywozu produktów rybołówstwa drogą morską;</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4)</w:t>
      </w:r>
      <w:r w:rsidRPr="00877C71">
        <w:rPr>
          <w:rFonts w:ascii="Times New Roman" w:hAnsi="Times New Roman" w:cs="Times New Roman"/>
          <w:szCs w:val="24"/>
        </w:rPr>
        <w:tab/>
        <w:t xml:space="preserve">dokonywanie oceny wagi naruszeń przepisów </w:t>
      </w:r>
      <w:r>
        <w:rPr>
          <w:rFonts w:ascii="Times New Roman" w:hAnsi="Times New Roman" w:cs="Times New Roman"/>
          <w:szCs w:val="24"/>
        </w:rPr>
        <w:t>wspólnej polityki rybołówstwa w </w:t>
      </w:r>
      <w:r w:rsidRPr="00877C71">
        <w:rPr>
          <w:rFonts w:ascii="Times New Roman" w:hAnsi="Times New Roman" w:cs="Times New Roman"/>
          <w:szCs w:val="24"/>
        </w:rPr>
        <w:t>ramach wspólnotowego systemu kontroli;</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5)</w:t>
      </w:r>
      <w:r w:rsidRPr="00877C71">
        <w:rPr>
          <w:rFonts w:ascii="Times New Roman" w:hAnsi="Times New Roman" w:cs="Times New Roman"/>
          <w:szCs w:val="24"/>
        </w:rPr>
        <w:tab/>
        <w:t xml:space="preserve">nakładanie kar pieniężnych za naruszenia przepisów o rybołówstwie morskim oraz </w:t>
      </w:r>
      <w:r>
        <w:rPr>
          <w:rFonts w:ascii="Times New Roman" w:hAnsi="Times New Roman" w:cs="Times New Roman"/>
          <w:szCs w:val="24"/>
        </w:rPr>
        <w:t>o </w:t>
      </w:r>
      <w:r w:rsidRPr="00877C71">
        <w:rPr>
          <w:rFonts w:ascii="Times New Roman" w:hAnsi="Times New Roman" w:cs="Times New Roman"/>
          <w:szCs w:val="24"/>
        </w:rPr>
        <w:t>organizacji rynku rybnego;</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6)</w:t>
      </w:r>
      <w:r w:rsidRPr="00877C71">
        <w:rPr>
          <w:rFonts w:ascii="Times New Roman" w:hAnsi="Times New Roman" w:cs="Times New Roman"/>
          <w:szCs w:val="24"/>
        </w:rPr>
        <w:tab/>
        <w:t>przyznawanie punktów za poważne naruszenia przepisów wspólnej polityki rybołówstwa;</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7)</w:t>
      </w:r>
      <w:r w:rsidRPr="00877C71">
        <w:rPr>
          <w:rFonts w:ascii="Times New Roman" w:hAnsi="Times New Roman" w:cs="Times New Roman"/>
          <w:szCs w:val="24"/>
        </w:rPr>
        <w:tab/>
        <w:t xml:space="preserve">poświadczanie dokumentów, o których mowa w art. 7 ust. 2 i 3 rozporządzenia wykonawczego Komisji (UE) nr 404/2011 z dnia 8 kwietnia 2011 r. ustanawiającego szczegółowe przepisy wykonawcze do rozporządzenia Rady (WE) nr 1224/2009 ustanawiającego wspólnotowy system kontroli w celu zapewnienia przestrzegania przepisów wspólnej polityki rybołówstwa (Dz. Urz. UE L 112 z 30.04.2011, str. 1, </w:t>
      </w:r>
      <w:r>
        <w:rPr>
          <w:rFonts w:ascii="Times New Roman" w:hAnsi="Times New Roman" w:cs="Times New Roman"/>
          <w:szCs w:val="24"/>
        </w:rPr>
        <w:t>z </w:t>
      </w:r>
      <w:proofErr w:type="spellStart"/>
      <w:r w:rsidRPr="00877C71">
        <w:rPr>
          <w:rFonts w:ascii="Times New Roman" w:hAnsi="Times New Roman" w:cs="Times New Roman"/>
          <w:szCs w:val="24"/>
        </w:rPr>
        <w:t>późn</w:t>
      </w:r>
      <w:proofErr w:type="spellEnd"/>
      <w:r w:rsidRPr="00877C71">
        <w:rPr>
          <w:rFonts w:ascii="Times New Roman" w:hAnsi="Times New Roman" w:cs="Times New Roman"/>
          <w:szCs w:val="24"/>
        </w:rPr>
        <w:t>. zm.);</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8)</w:t>
      </w:r>
      <w:r w:rsidRPr="00877C71">
        <w:rPr>
          <w:rFonts w:ascii="Times New Roman" w:hAnsi="Times New Roman" w:cs="Times New Roman"/>
          <w:szCs w:val="24"/>
        </w:rPr>
        <w:tab/>
        <w:t xml:space="preserve">poświadczanie dokumentów, o których mowa w art. 14 ust. 5 lub 6 ustawy z dnia </w:t>
      </w:r>
      <w:r>
        <w:rPr>
          <w:rFonts w:ascii="Times New Roman" w:hAnsi="Times New Roman" w:cs="Times New Roman"/>
          <w:szCs w:val="24"/>
        </w:rPr>
        <w:t>19 </w:t>
      </w:r>
      <w:r w:rsidRPr="00877C71">
        <w:rPr>
          <w:rFonts w:ascii="Times New Roman" w:hAnsi="Times New Roman" w:cs="Times New Roman"/>
          <w:szCs w:val="24"/>
        </w:rPr>
        <w:t>grudnia 2014 r. o rybołówstwie morskim;</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9)</w:t>
      </w:r>
      <w:r w:rsidRPr="00877C71">
        <w:rPr>
          <w:rFonts w:ascii="Times New Roman" w:hAnsi="Times New Roman" w:cs="Times New Roman"/>
          <w:szCs w:val="24"/>
        </w:rPr>
        <w:tab/>
        <w:t>wykonywanie obowiązków państwa członkowskiego Unii Europejskiej w zakresie:</w:t>
      </w:r>
    </w:p>
    <w:p w:rsidR="00877C71" w:rsidRPr="00877C71" w:rsidRDefault="00877C71" w:rsidP="00877C71">
      <w:pPr>
        <w:pStyle w:val="LITlitera"/>
        <w:ind w:left="568" w:hanging="284"/>
        <w:rPr>
          <w:rFonts w:ascii="Times New Roman" w:hAnsi="Times New Roman" w:cs="Times New Roman"/>
          <w:szCs w:val="24"/>
        </w:rPr>
      </w:pPr>
      <w:r w:rsidRPr="00877C71">
        <w:rPr>
          <w:rFonts w:ascii="Times New Roman" w:hAnsi="Times New Roman" w:cs="Times New Roman"/>
          <w:szCs w:val="24"/>
        </w:rPr>
        <w:t>a)</w:t>
      </w:r>
      <w:r w:rsidRPr="00877C71">
        <w:rPr>
          <w:rFonts w:ascii="Times New Roman" w:hAnsi="Times New Roman" w:cs="Times New Roman"/>
          <w:szCs w:val="24"/>
        </w:rPr>
        <w:tab/>
        <w:t xml:space="preserve">przyjęcia deklaracji, o której mowa w art. 8 ust. 1 rozporządzenia nr 1005/2008, </w:t>
      </w:r>
      <w:r>
        <w:rPr>
          <w:rFonts w:ascii="Times New Roman" w:hAnsi="Times New Roman" w:cs="Times New Roman"/>
          <w:szCs w:val="24"/>
        </w:rPr>
        <w:t>i </w:t>
      </w:r>
      <w:r w:rsidRPr="00877C71">
        <w:rPr>
          <w:rFonts w:ascii="Times New Roman" w:hAnsi="Times New Roman" w:cs="Times New Roman"/>
          <w:szCs w:val="24"/>
        </w:rPr>
        <w:t>przekazywania jej ministrowi właściwemu do spraw rybołówstwa,</w:t>
      </w:r>
    </w:p>
    <w:p w:rsidR="00877C71" w:rsidRPr="00877C71" w:rsidRDefault="00877C71" w:rsidP="00877C71">
      <w:pPr>
        <w:pStyle w:val="LITlitera"/>
        <w:ind w:left="568" w:hanging="284"/>
        <w:rPr>
          <w:rFonts w:ascii="Times New Roman" w:hAnsi="Times New Roman" w:cs="Times New Roman"/>
          <w:szCs w:val="24"/>
        </w:rPr>
      </w:pPr>
      <w:r w:rsidRPr="00877C71">
        <w:rPr>
          <w:rFonts w:ascii="Times New Roman" w:hAnsi="Times New Roman" w:cs="Times New Roman"/>
          <w:szCs w:val="24"/>
        </w:rPr>
        <w:t>b)</w:t>
      </w:r>
      <w:r w:rsidRPr="00877C71">
        <w:rPr>
          <w:rFonts w:ascii="Times New Roman" w:hAnsi="Times New Roman" w:cs="Times New Roman"/>
          <w:szCs w:val="24"/>
        </w:rPr>
        <w:tab/>
        <w:t>weryfikacji mocy silników zgodnie z art. 41 rozporządzenia nr 1224/2009.</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Zastępcy Głównego Inspektora Rybołówstwa Morskiego będą powoływani na wniosek Głównego Inspektora Rybołówstwa Morskiego przez ministra właściwego do spraw rybołówstwa.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Minister właściwy do spraw rybołówstwa</w:t>
      </w:r>
      <w:r w:rsidRPr="00877C71" w:rsidDel="003B6544">
        <w:rPr>
          <w:rFonts w:ascii="Times New Roman" w:hAnsi="Times New Roman" w:cs="Times New Roman"/>
          <w:szCs w:val="24"/>
        </w:rPr>
        <w:t xml:space="preserve"> </w:t>
      </w:r>
      <w:r w:rsidRPr="00877C71">
        <w:rPr>
          <w:rFonts w:ascii="Times New Roman" w:hAnsi="Times New Roman" w:cs="Times New Roman"/>
          <w:szCs w:val="24"/>
        </w:rPr>
        <w:t>będzie nadawał, w drodze zarządzenia, statut urzędowi obsługującemu Głównego Inspektora Rybołówstwa Morskiego. Regulamin organizacyjny urzędu obsługującego Głównego Inspektora Rybołówstwa Morskiego będzie sporządzany zgodnie z postanowieniami zawartymi w statucie i zatwierdzany przez ministra właściwego do spraw rybołówstwa.</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Siedzibą Głównego Inspektora Rybołówstwa Morskiego będzie Słupsk. Jednocześnie zakłada się możliwość tworzenia i znoszenia przez ministra właściwego do spraw rybołówstw</w:t>
      </w:r>
      <w:r w:rsidR="00C4138D">
        <w:rPr>
          <w:rFonts w:ascii="Times New Roman" w:hAnsi="Times New Roman" w:cs="Times New Roman"/>
          <w:szCs w:val="24"/>
        </w:rPr>
        <w:t>a</w:t>
      </w:r>
      <w:r w:rsidRPr="00877C71">
        <w:rPr>
          <w:rFonts w:ascii="Times New Roman" w:hAnsi="Times New Roman" w:cs="Times New Roman"/>
          <w:szCs w:val="24"/>
        </w:rPr>
        <w:t>, w drodze zarządzenia, ośrodków zamiejscowych tego organu.</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Umiejscowienie siedziby nowego organu w Słupsku pozwoli na wykorzystanie nieruchomości użytkowanych przez okręgowego ins</w:t>
      </w:r>
      <w:r>
        <w:rPr>
          <w:rFonts w:ascii="Times New Roman" w:hAnsi="Times New Roman" w:cs="Times New Roman"/>
          <w:szCs w:val="24"/>
        </w:rPr>
        <w:t>pektora rybołówstwa morskiego w </w:t>
      </w:r>
      <w:r w:rsidRPr="00877C71">
        <w:rPr>
          <w:rFonts w:ascii="Times New Roman" w:hAnsi="Times New Roman" w:cs="Times New Roman"/>
          <w:szCs w:val="24"/>
        </w:rPr>
        <w:t xml:space="preserve">Słupsku. Jednocześnie Słupsk znajduje się w centralnej części Pomorza, co pozwoli na sprawne poruszanie się Głównego Inspektora Rybołówstwa Morskiego między portami i przystaniami morskimi oraz na sprawny i bezpośredni nadzór nad inspektorami rybołówstwa morskiego wykonującymi swoje zadania w nadmorskich miejscowościach.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Urząd obsługujący Głównego Inspektora Rybołówstwa Morskiego będzie realizował działania kontrolno-inspekcyjne oraz zajmował się pr</w:t>
      </w:r>
      <w:r>
        <w:rPr>
          <w:rFonts w:ascii="Times New Roman" w:hAnsi="Times New Roman" w:cs="Times New Roman"/>
          <w:szCs w:val="24"/>
        </w:rPr>
        <w:t>owadzeniem: księgowości, kadr i </w:t>
      </w:r>
      <w:r w:rsidRPr="00877C71">
        <w:rPr>
          <w:rFonts w:ascii="Times New Roman" w:hAnsi="Times New Roman" w:cs="Times New Roman"/>
          <w:szCs w:val="24"/>
        </w:rPr>
        <w:t>płac, zamówień publicznych, planowania i zarządzania jakością kontroli i audytu wewnętrznego oraz spraw obronnych i ochrony informacji niejawnych.</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W projektowanej ustawie przyjęto, ż</w:t>
      </w:r>
      <w:r w:rsidR="00CE1D3F">
        <w:rPr>
          <w:rFonts w:ascii="Times New Roman" w:hAnsi="Times New Roman" w:cs="Times New Roman"/>
          <w:szCs w:val="24"/>
        </w:rPr>
        <w:t>e</w:t>
      </w:r>
      <w:r w:rsidRPr="00877C71">
        <w:rPr>
          <w:rFonts w:ascii="Times New Roman" w:hAnsi="Times New Roman" w:cs="Times New Roman"/>
          <w:szCs w:val="24"/>
        </w:rPr>
        <w:t xml:space="preserve"> terytorialny zakres działania Głównego Inspektora Rybołówstwa Morskiego obejmie terytorium i wyłączną strefę ekonomiczną Rzeczypospolitej Polskiej. Na terytorium wyłącznej strefy ekonomicznej, tj. obszarze Morza Bałtyckiego przylegającego do wód terytorialnych Rzeczypospolitej Polskiej, prowadzone jest rybołówstwo, nad wykonywaniem którego kontrolę sprawować ma m.in. nowy organ. Określenie zatem terytorialnego zakresu działania Głównego Inspektora Rybołówstwa Morskiego, w szczególności wskazanie jako obszaru działania tego organu wyłącznej strefy ekonomicznej Rzeczypospolitej Polskiej, jest konieczne, aby nie ograniczać prowadzenia kontroli przez polską inspekcję rybołówstwa morskiego wyłącznie do terytorium Rzeczypospolitej Polskiej, tj. do obszaru obejmującego 12 mil morskich.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Konsolidacja służb kontrolnych – okręgowych inspektorów rybołówstwa morskiego będzie wymagała wprowadzenia zmian o</w:t>
      </w:r>
      <w:r>
        <w:rPr>
          <w:rFonts w:ascii="Times New Roman" w:hAnsi="Times New Roman" w:cs="Times New Roman"/>
          <w:szCs w:val="24"/>
        </w:rPr>
        <w:t xml:space="preserve"> </w:t>
      </w:r>
      <w:r w:rsidRPr="00877C71">
        <w:rPr>
          <w:rFonts w:ascii="Times New Roman" w:hAnsi="Times New Roman" w:cs="Times New Roman"/>
          <w:szCs w:val="24"/>
        </w:rPr>
        <w:t xml:space="preserve">charakterze organizacyjnym oraz kompetencyjnym, które będą niezbędne między innymi </w:t>
      </w:r>
      <w:r>
        <w:rPr>
          <w:rFonts w:ascii="Times New Roman" w:hAnsi="Times New Roman" w:cs="Times New Roman"/>
          <w:szCs w:val="24"/>
        </w:rPr>
        <w:t>po to, aby zapewnić jednolite i </w:t>
      </w:r>
      <w:r w:rsidRPr="00877C71">
        <w:rPr>
          <w:rFonts w:ascii="Times New Roman" w:hAnsi="Times New Roman" w:cs="Times New Roman"/>
          <w:szCs w:val="24"/>
        </w:rPr>
        <w:t xml:space="preserve">spójne podejście do działań kontrolnych.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Struktura organizacyjna urzędu obsługującego Głównego Inspektora Rybołówstwa Morskiego zostanie utworzona przy wykorzystaniu istniejącej kadry pracowników okręgowych inspektoratów rybołówstwa morskiego i ich biur terenowych (inspektoratów rybołówstwa morskiego).</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 celu sprawnego i skutecznego wykonywania zadań przez Głównego Inspektora Rybołówstwa Morskiego mogą zostać</w:t>
      </w:r>
      <w:r w:rsidRPr="00877C71" w:rsidDel="00D04AB1">
        <w:rPr>
          <w:rFonts w:ascii="Times New Roman" w:hAnsi="Times New Roman" w:cs="Times New Roman"/>
          <w:szCs w:val="24"/>
        </w:rPr>
        <w:t xml:space="preserve"> </w:t>
      </w:r>
      <w:r w:rsidRPr="00877C71">
        <w:rPr>
          <w:rFonts w:ascii="Times New Roman" w:hAnsi="Times New Roman" w:cs="Times New Roman"/>
          <w:szCs w:val="24"/>
        </w:rPr>
        <w:t xml:space="preserve">utworzone ośrodki zamiejscowe. Ośrodki te będą prowadziły obsługę Głównego Inspektora Rybołówstwa Morskiego na obszarze swojej właściwości określonej w zarządzeniu ministra właściwego do spraw rybołówstwa.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Ponadto w projektowanej ustawie przewiduje się także wprowadzenie następujących zmian.</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Proponuje </w:t>
      </w:r>
      <w:r>
        <w:rPr>
          <w:rFonts w:ascii="Times New Roman" w:hAnsi="Times New Roman" w:cs="Times New Roman"/>
          <w:szCs w:val="24"/>
        </w:rPr>
        <w:t>się</w:t>
      </w:r>
      <w:r w:rsidRPr="00877C71">
        <w:rPr>
          <w:rFonts w:ascii="Times New Roman" w:hAnsi="Times New Roman" w:cs="Times New Roman"/>
          <w:szCs w:val="24"/>
        </w:rPr>
        <w:t xml:space="preserve"> rozszerzenie listy dokumentów dołączanych do wniosku o wpis statku do rejestru statków rybackich albo do wnio</w:t>
      </w:r>
      <w:r>
        <w:rPr>
          <w:rFonts w:ascii="Times New Roman" w:hAnsi="Times New Roman" w:cs="Times New Roman"/>
          <w:szCs w:val="24"/>
        </w:rPr>
        <w:t xml:space="preserve">sku o zmianę wpisu w rejestrze </w:t>
      </w:r>
      <w:r w:rsidRPr="00877C71">
        <w:rPr>
          <w:rFonts w:ascii="Times New Roman" w:hAnsi="Times New Roman" w:cs="Times New Roman"/>
          <w:szCs w:val="24"/>
        </w:rPr>
        <w:t>(art. 14 ust. 5 pkt 2 lit. b ustawy z dnia 19 grudnia 2004 r. o rybołówstwie morskim) o postanowienie izby morskiej w sprawach rejestrowych, wydawane często znacznie wcześniej niż certyfikat okrętowy, w związku z czym będące dla właściciela statku rybackiego łatwiej dostępnym dokumentem i umożliwiającym wcześniejsze uzyskanie przez niego wpisu statku do rejestru statków rybackich albo zmiany wpisu w rejestrze.</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Zmiany w ustawie z dnia 19 grudnia 2014 r. o rybołówstwie morskim są związane również z opublikowaniem w dniu 9 lutego 2017 r. rozporządzenia wykonawczego Komisji (UE) 2017/218 z dnia 6 lutego 2017 r. w sprawie unijnego rejestru floty rybackiej (Dz. Urz. UE L 34 z 09.02.2017, str. 9, z </w:t>
      </w:r>
      <w:proofErr w:type="spellStart"/>
      <w:r w:rsidRPr="00877C71">
        <w:rPr>
          <w:rFonts w:ascii="Times New Roman" w:hAnsi="Times New Roman" w:cs="Times New Roman"/>
          <w:szCs w:val="24"/>
        </w:rPr>
        <w:t>późn</w:t>
      </w:r>
      <w:proofErr w:type="spellEnd"/>
      <w:r w:rsidRPr="00877C71">
        <w:rPr>
          <w:rFonts w:ascii="Times New Roman" w:hAnsi="Times New Roman" w:cs="Times New Roman"/>
          <w:szCs w:val="24"/>
        </w:rPr>
        <w:t xml:space="preserve">. zm.), które weszło </w:t>
      </w:r>
      <w:r>
        <w:rPr>
          <w:rFonts w:ascii="Times New Roman" w:hAnsi="Times New Roman" w:cs="Times New Roman"/>
          <w:szCs w:val="24"/>
        </w:rPr>
        <w:t>w życie z </w:t>
      </w:r>
      <w:r w:rsidRPr="00877C71">
        <w:rPr>
          <w:rFonts w:ascii="Times New Roman" w:hAnsi="Times New Roman" w:cs="Times New Roman"/>
          <w:szCs w:val="24"/>
        </w:rPr>
        <w:t xml:space="preserve">dniem 1 lutego 2018 r., uchylając z tym dniem przywołane w ustawie rozporządzenie Komisji (WE) nr 26/2004 dnia 30 grudnia 2003 r. dotyczące rejestru statków rybackich Wspólnoty (Dz. Urz. UE L 5 z 09.01.2004, str. 25, z </w:t>
      </w:r>
      <w:proofErr w:type="spellStart"/>
      <w:r w:rsidRPr="00877C71">
        <w:rPr>
          <w:rFonts w:ascii="Times New Roman" w:hAnsi="Times New Roman" w:cs="Times New Roman"/>
          <w:szCs w:val="24"/>
        </w:rPr>
        <w:t>późn</w:t>
      </w:r>
      <w:proofErr w:type="spellEnd"/>
      <w:r w:rsidRPr="00877C71">
        <w:rPr>
          <w:rFonts w:ascii="Times New Roman" w:hAnsi="Times New Roman" w:cs="Times New Roman"/>
          <w:szCs w:val="24"/>
        </w:rPr>
        <w:t xml:space="preserve">. zm. – Dz. Urz. UE Polskie wydanie specjalne, rozdz. 4, t. 7, str. 3). Wobec tego, uchylane rozporządzenie oraz występujące w tekście ustawy z dnia 19 grudnia 2014 r. o rybołówstwie morskim odwołania do załącznika I do tego rozporządzenia należy zastąpić odesłaniem do nowego rozporządzenia oraz załącznika I do tego rozporządzenia.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Jednocześnie konieczne było dostosowanie przepisów ustawy z dnia 19 grudnia 2014 r. o rybołówstwie morskim do zakresu merytorycznego załącznika I do rozporządzenia 2017/218, przez:</w:t>
      </w:r>
    </w:p>
    <w:p w:rsidR="00877C71" w:rsidRPr="00877C71" w:rsidRDefault="00877C71" w:rsidP="00877C71">
      <w:pPr>
        <w:pStyle w:val="PKTpunkt"/>
        <w:spacing w:before="120"/>
        <w:ind w:left="284" w:hanging="284"/>
        <w:rPr>
          <w:rFonts w:ascii="Times New Roman" w:hAnsi="Times New Roman" w:cs="Times New Roman"/>
          <w:szCs w:val="24"/>
        </w:rPr>
      </w:pPr>
      <w:r w:rsidRPr="00877C71">
        <w:rPr>
          <w:rFonts w:ascii="Times New Roman" w:hAnsi="Times New Roman" w:cs="Times New Roman"/>
          <w:szCs w:val="24"/>
        </w:rPr>
        <w:t>1)</w:t>
      </w:r>
      <w:r w:rsidRPr="00877C71">
        <w:rPr>
          <w:rFonts w:ascii="Times New Roman" w:hAnsi="Times New Roman" w:cs="Times New Roman"/>
          <w:szCs w:val="24"/>
        </w:rPr>
        <w:tab/>
        <w:t xml:space="preserve">ustalenie w art. 14 ust. 3 pkt 4 ustawy, które spośród </w:t>
      </w:r>
      <w:r>
        <w:rPr>
          <w:rFonts w:ascii="Times New Roman" w:hAnsi="Times New Roman" w:cs="Times New Roman"/>
          <w:szCs w:val="24"/>
        </w:rPr>
        <w:t xml:space="preserve">danych wymienionych w </w:t>
      </w:r>
      <w:r w:rsidRPr="00877C71">
        <w:rPr>
          <w:rFonts w:ascii="Times New Roman" w:hAnsi="Times New Roman" w:cs="Times New Roman"/>
          <w:szCs w:val="24"/>
        </w:rPr>
        <w:t>tym załączniku, powinny być zawarte we wniosku właściciela statku o wpis tego statku do rejestru albo zmianę wpisu w rejestrze dla tego statku – według numeracji wierszy, w których dane są wymienione w załączniku (pozostałe dane są wpisywane do rejestru przez organ, m.in. na podstawie wymaganych od właściciela statku rybackiego dokumentów oraz informacji podawanych we wniosku)</w:t>
      </w:r>
      <w:r w:rsidR="005F7B26">
        <w:rPr>
          <w:rFonts w:ascii="Times New Roman" w:hAnsi="Times New Roman" w:cs="Times New Roman"/>
          <w:szCs w:val="24"/>
        </w:rPr>
        <w:t>;</w:t>
      </w:r>
    </w:p>
    <w:p w:rsidR="00877C71" w:rsidRPr="00877C71" w:rsidRDefault="00877C71" w:rsidP="00877C71">
      <w:pPr>
        <w:pStyle w:val="PKTpunkt"/>
        <w:ind w:left="284" w:hanging="284"/>
        <w:rPr>
          <w:rFonts w:ascii="Times New Roman" w:hAnsi="Times New Roman" w:cs="Times New Roman"/>
          <w:szCs w:val="24"/>
        </w:rPr>
      </w:pPr>
      <w:r w:rsidRPr="00877C71">
        <w:rPr>
          <w:rFonts w:ascii="Times New Roman" w:hAnsi="Times New Roman" w:cs="Times New Roman"/>
          <w:szCs w:val="24"/>
        </w:rPr>
        <w:t>2)</w:t>
      </w:r>
      <w:r w:rsidRPr="00877C71">
        <w:rPr>
          <w:rFonts w:ascii="Times New Roman" w:hAnsi="Times New Roman" w:cs="Times New Roman"/>
          <w:szCs w:val="24"/>
        </w:rPr>
        <w:tab/>
        <w:t xml:space="preserve">uwzględnienie w art. 14 ust. 3 pkt 8 ustawy wymogów podawania przez właściciela statku rybackiego w składanym wniosku informacji o tym, czy statek ten jest wyposażony w urządzenie elektronicznego systemu raportowania połowów oraz </w:t>
      </w:r>
      <w:r>
        <w:rPr>
          <w:rFonts w:ascii="Times New Roman" w:hAnsi="Times New Roman" w:cs="Times New Roman"/>
          <w:szCs w:val="24"/>
        </w:rPr>
        <w:t>w </w:t>
      </w:r>
      <w:r w:rsidRPr="00877C71">
        <w:rPr>
          <w:rFonts w:ascii="Times New Roman" w:hAnsi="Times New Roman" w:cs="Times New Roman"/>
          <w:szCs w:val="24"/>
        </w:rPr>
        <w:t>urządzenie systemu automatycznej identyfikacji, o którym mowa w art. 10 rozporządzenia nr 1224/2009.</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Określony w art. 14 ust. 3 pkt 7 ustawy z dnia 19 grudnia 2014 r. o rybołówstwie morskim wymóg podawania przez właściciela statku we wniosku o dokonanie wpisu tego statku do rejestru, informacji, z jakiego statku rybackiego pochodzi indywidualna zdolność połowowa, należało uzupełnić o podanie także informacji o wielkości tej zdolności. Informacja ta jest niezbędna w procesie decyzyjnym związanym z przepisem ustawy dotyczącym odmowy wpisu statku do rejestru, zawartym w art. 15 pkt 1 ustawy, który ma odniesienie do wielkości indywidualne</w:t>
      </w:r>
      <w:r>
        <w:rPr>
          <w:rFonts w:ascii="Times New Roman" w:hAnsi="Times New Roman" w:cs="Times New Roman"/>
          <w:szCs w:val="24"/>
        </w:rPr>
        <w:t>j zdolności połowowej będącej w </w:t>
      </w:r>
      <w:r w:rsidRPr="00877C71">
        <w:rPr>
          <w:rFonts w:ascii="Times New Roman" w:hAnsi="Times New Roman" w:cs="Times New Roman"/>
          <w:szCs w:val="24"/>
        </w:rPr>
        <w:t>dyspozycji właściciela statku i warunkującej wpis tego statku do rejestru statków rybackich. Taka informacja jest istotna także z punktu widzenia koniecznego ewidencjonowania przez organ indywidualnej zdo</w:t>
      </w:r>
      <w:r>
        <w:rPr>
          <w:rFonts w:ascii="Times New Roman" w:hAnsi="Times New Roman" w:cs="Times New Roman"/>
          <w:szCs w:val="24"/>
        </w:rPr>
        <w:t>lności połowowej pozostającej w </w:t>
      </w:r>
      <w:r w:rsidRPr="00877C71">
        <w:rPr>
          <w:rFonts w:ascii="Times New Roman" w:hAnsi="Times New Roman" w:cs="Times New Roman"/>
          <w:szCs w:val="24"/>
        </w:rPr>
        <w:t>dyspozycji właścicieli statków rybackich oraz jej wykorzystania.</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Zgodnie z projektowaną zmianą – dodawany pkt 9 w art. 14 ust. 3 ustawy </w:t>
      </w:r>
      <w:r>
        <w:rPr>
          <w:rFonts w:ascii="Times New Roman" w:hAnsi="Times New Roman" w:cs="Times New Roman"/>
          <w:szCs w:val="24"/>
        </w:rPr>
        <w:t>z dnia 19 </w:t>
      </w:r>
      <w:r w:rsidRPr="00877C71">
        <w:rPr>
          <w:rFonts w:ascii="Times New Roman" w:hAnsi="Times New Roman" w:cs="Times New Roman"/>
          <w:szCs w:val="24"/>
        </w:rPr>
        <w:t>grudnia 2014 r. o rybołówstwie morskim – we wniosku o dokonanie wpisu statku do rejestru konieczne jest podanie także oznaki rybackiej</w:t>
      </w:r>
      <w:r>
        <w:rPr>
          <w:rFonts w:ascii="Times New Roman" w:hAnsi="Times New Roman" w:cs="Times New Roman"/>
          <w:szCs w:val="24"/>
        </w:rPr>
        <w:t xml:space="preserve"> statku rybackiego wycofanego z </w:t>
      </w:r>
      <w:r w:rsidRPr="00877C71">
        <w:rPr>
          <w:rFonts w:ascii="Times New Roman" w:hAnsi="Times New Roman" w:cs="Times New Roman"/>
          <w:szCs w:val="24"/>
        </w:rPr>
        <w:t>wykonywania rybołówstwa komercyjnego, w miejsce którego ma być wpisany statek. Ta informacja jest niezbędna ze względu na kolejny przepis ustawy dotyczący odmowy wpisu statku do rejestru, zawarty w art. 15 pkt 2 ustawy</w:t>
      </w:r>
      <w:r>
        <w:rPr>
          <w:rFonts w:ascii="Times New Roman" w:hAnsi="Times New Roman" w:cs="Times New Roman"/>
          <w:szCs w:val="24"/>
        </w:rPr>
        <w:t xml:space="preserve"> z dnia 19 grudnia 2014 r. o </w:t>
      </w:r>
      <w:r w:rsidRPr="00877C71">
        <w:rPr>
          <w:rFonts w:ascii="Times New Roman" w:hAnsi="Times New Roman" w:cs="Times New Roman"/>
          <w:szCs w:val="24"/>
        </w:rPr>
        <w:t>rybołówstwie morskim, z którego wynika, że tylko jeden statek może być wprowadzony do wykonywania rybołówstwa komercyjnego przez wpis tego statku do rejestru w ramach zdolności połowowej wycofanego statku rybackiego. Wobec tego wskazanie oznaki rybackiej wycofanego statku rybackiego pozwala organowi ustalić, na podstawie wpisów w rejestrze statków rybackich, czy taki wpis miał już miejsce, czy też nie – i jest informacją niezbędną przy podejmowaniu decyzji w sprawie dokonania wpisu albo odmowy wpisu statku rybackiego do rejestru statków rybackich.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Wprowadzana projektowaną ustawą zmiana w art. 17 ustawy z dnia 19 grudnia 2014 r. o rybołówstwie morskim (dodawany ust. 1a) odnosi</w:t>
      </w:r>
      <w:r>
        <w:rPr>
          <w:rFonts w:ascii="Times New Roman" w:hAnsi="Times New Roman" w:cs="Times New Roman"/>
          <w:szCs w:val="24"/>
        </w:rPr>
        <w:t xml:space="preserve"> się do zawartości wniosku o </w:t>
      </w:r>
      <w:r w:rsidRPr="00877C71">
        <w:rPr>
          <w:rFonts w:ascii="Times New Roman" w:hAnsi="Times New Roman" w:cs="Times New Roman"/>
          <w:szCs w:val="24"/>
        </w:rPr>
        <w:t>dokonanie zmiany wpisu w rejestrze, związanej ze zwiększeniem zdolności połowowej statku rybackiego lub z ponownym wprowadzeniem statku rybackiego do wykonywania rybołówstwa komercyjnego. W obu przypadkach, analogicznie</w:t>
      </w:r>
      <w:r w:rsidR="005F7B26">
        <w:rPr>
          <w:rFonts w:ascii="Times New Roman" w:hAnsi="Times New Roman" w:cs="Times New Roman"/>
          <w:szCs w:val="24"/>
        </w:rPr>
        <w:t xml:space="preserve"> do </w:t>
      </w:r>
      <w:r w:rsidRPr="00877C71">
        <w:rPr>
          <w:rFonts w:ascii="Times New Roman" w:hAnsi="Times New Roman" w:cs="Times New Roman"/>
          <w:szCs w:val="24"/>
        </w:rPr>
        <w:t>wpis</w:t>
      </w:r>
      <w:r w:rsidR="005F7B26">
        <w:rPr>
          <w:rFonts w:ascii="Times New Roman" w:hAnsi="Times New Roman" w:cs="Times New Roman"/>
          <w:szCs w:val="24"/>
        </w:rPr>
        <w:t>u</w:t>
      </w:r>
      <w:r w:rsidRPr="00877C71">
        <w:rPr>
          <w:rFonts w:ascii="Times New Roman" w:hAnsi="Times New Roman" w:cs="Times New Roman"/>
          <w:szCs w:val="24"/>
        </w:rPr>
        <w:t xml:space="preserve"> statku do rejestru statków rybackich, konieczne jest podanie we wniosku jednoznacznych informacji dotyczących pochodzenia </w:t>
      </w:r>
      <w:r>
        <w:rPr>
          <w:rFonts w:ascii="Times New Roman" w:hAnsi="Times New Roman" w:cs="Times New Roman"/>
          <w:szCs w:val="24"/>
        </w:rPr>
        <w:t>(z jakiego statku rybackiego) i </w:t>
      </w:r>
      <w:r w:rsidRPr="00877C71">
        <w:rPr>
          <w:rFonts w:ascii="Times New Roman" w:hAnsi="Times New Roman" w:cs="Times New Roman"/>
          <w:szCs w:val="24"/>
        </w:rPr>
        <w:t>wielkości indywidualnej zdolności połowowej, warunkującej dokonanie zmiany wpisu w rejestrze w przedmiotowym zakresie. Analogicznie też niezbędne jest wskazanie oznaki rybackiej wycofanego statku rybackiego, w miejsce którego jest ponownie wprowadzany do wykonywania rybołówstwa komercyjnego statek rybacki będący przedmiotem wniosku o dokonanie zmiany wpisu w rejestrze.</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Są to przepisy komplementarne do przepisów ustawy dotyczących odmowy dokonania zmiany wpisu w rejestrze (art. 18 pkt 1 lit. a i b), umożliwiające wydanie właściwych rozstrzygnięć w tym zakresie, a jednocześnie istotne z punktu widzenia koniecznego ewidencjonowania wykorzystania indywidualnej zdolności połowowej.</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Przepisy art. 18 pkt 1 lit. b ustawy z dnia 19 grudnia 2014 r. o rybołówstwie morskim, dotyczące odmowy zmia</w:t>
      </w:r>
      <w:r>
        <w:rPr>
          <w:rFonts w:ascii="Times New Roman" w:hAnsi="Times New Roman" w:cs="Times New Roman"/>
          <w:szCs w:val="24"/>
        </w:rPr>
        <w:t xml:space="preserve">ny wpisu w rejestrze związanej </w:t>
      </w:r>
      <w:r w:rsidRPr="00877C71">
        <w:rPr>
          <w:rFonts w:ascii="Times New Roman" w:hAnsi="Times New Roman" w:cs="Times New Roman"/>
          <w:szCs w:val="24"/>
        </w:rPr>
        <w:t xml:space="preserve">z wprowadzeniem statku rybackiego do wykonywania rybołówstwa komercyjnego w określonym segmencie floty rybackiej, zostały uzupełnione o dodatkowe przesłanki odmowy dokonania zmiany wpisu w rejestrze statków rybackich. Zgodnie z zaproponowanym brzmieniem przepisu, minister właściwy do spraw rybołówstwa odmawia dokonania zmiany wpisu w rejestrze także gdy statek ma być wprowadzony do wykonywania rybołówstwa komercyjnego w segmencie floty, o którym mowa w art. </w:t>
      </w:r>
      <w:r>
        <w:rPr>
          <w:rFonts w:ascii="Times New Roman" w:hAnsi="Times New Roman" w:cs="Times New Roman"/>
          <w:szCs w:val="24"/>
        </w:rPr>
        <w:t>9 ust. 1 pkt 1 ustawy z dnia 19 </w:t>
      </w:r>
      <w:r w:rsidRPr="00877C71">
        <w:rPr>
          <w:rFonts w:ascii="Times New Roman" w:hAnsi="Times New Roman" w:cs="Times New Roman"/>
          <w:szCs w:val="24"/>
        </w:rPr>
        <w:t>grudnia 2014 r. o rybołówstwie morskim, a długość całkowita tego statku jest mniejsza niż 5 m lub moc silnika głównego tego statku wynosi mniej niż 15 kW oraz gdy statek ma być wprowadzony do wykonyw</w:t>
      </w:r>
      <w:r>
        <w:rPr>
          <w:rFonts w:ascii="Times New Roman" w:hAnsi="Times New Roman" w:cs="Times New Roman"/>
          <w:szCs w:val="24"/>
        </w:rPr>
        <w:t>ania rybołówstwa komercyjnego w </w:t>
      </w:r>
      <w:r w:rsidRPr="00877C71">
        <w:rPr>
          <w:rFonts w:ascii="Times New Roman" w:hAnsi="Times New Roman" w:cs="Times New Roman"/>
          <w:szCs w:val="24"/>
        </w:rPr>
        <w:t xml:space="preserve">segmencie floty, o którym mowa w art. 9 ust. 1 pkt 2 ustawy </w:t>
      </w:r>
      <w:r>
        <w:rPr>
          <w:rFonts w:ascii="Times New Roman" w:hAnsi="Times New Roman" w:cs="Times New Roman"/>
          <w:szCs w:val="24"/>
        </w:rPr>
        <w:t>z dnia 19 grudnia 2014 </w:t>
      </w:r>
      <w:r w:rsidRPr="00877C71">
        <w:rPr>
          <w:rFonts w:ascii="Times New Roman" w:hAnsi="Times New Roman" w:cs="Times New Roman"/>
          <w:szCs w:val="24"/>
        </w:rPr>
        <w:t>r. o rybołówstwie morskim, a długość całkowita tego statku przekracza 12 m. Wprowadzenie powyższych przepisów wynika z zakazów,</w:t>
      </w:r>
      <w:r>
        <w:rPr>
          <w:rFonts w:ascii="Times New Roman" w:hAnsi="Times New Roman" w:cs="Times New Roman"/>
          <w:szCs w:val="24"/>
        </w:rPr>
        <w:t xml:space="preserve"> jakie zostały określone w </w:t>
      </w:r>
      <w:r w:rsidRPr="00877C71">
        <w:rPr>
          <w:rFonts w:ascii="Times New Roman" w:hAnsi="Times New Roman" w:cs="Times New Roman"/>
          <w:szCs w:val="24"/>
        </w:rPr>
        <w:t xml:space="preserve">art. 12 lit. d i e ustawy z dnia 19 grudnia 2014 r. o rybołówstwie morskim. Jednocześnie zdecydowano się na zmianę brzmienia </w:t>
      </w:r>
      <w:proofErr w:type="spellStart"/>
      <w:r w:rsidRPr="00877C71">
        <w:rPr>
          <w:rFonts w:ascii="Times New Roman" w:hAnsi="Times New Roman" w:cs="Times New Roman"/>
          <w:szCs w:val="24"/>
        </w:rPr>
        <w:t>tiret</w:t>
      </w:r>
      <w:proofErr w:type="spellEnd"/>
      <w:r w:rsidRPr="00877C71">
        <w:rPr>
          <w:rFonts w:ascii="Times New Roman" w:hAnsi="Times New Roman" w:cs="Times New Roman"/>
          <w:szCs w:val="24"/>
        </w:rPr>
        <w:t xml:space="preserve"> drugiego, w celu ujednolicenia jego brzmienia z </w:t>
      </w:r>
      <w:proofErr w:type="spellStart"/>
      <w:r w:rsidRPr="00877C71">
        <w:rPr>
          <w:rFonts w:ascii="Times New Roman" w:hAnsi="Times New Roman" w:cs="Times New Roman"/>
          <w:szCs w:val="24"/>
        </w:rPr>
        <w:t>tiret</w:t>
      </w:r>
      <w:proofErr w:type="spellEnd"/>
      <w:r w:rsidRPr="00877C71">
        <w:rPr>
          <w:rFonts w:ascii="Times New Roman" w:hAnsi="Times New Roman" w:cs="Times New Roman"/>
          <w:szCs w:val="24"/>
        </w:rPr>
        <w:t xml:space="preserve"> trzecim oraz dodanymi </w:t>
      </w:r>
      <w:proofErr w:type="spellStart"/>
      <w:r w:rsidRPr="00877C71">
        <w:rPr>
          <w:rFonts w:ascii="Times New Roman" w:hAnsi="Times New Roman" w:cs="Times New Roman"/>
          <w:szCs w:val="24"/>
        </w:rPr>
        <w:t>tiret</w:t>
      </w:r>
      <w:proofErr w:type="spellEnd"/>
      <w:r w:rsidRPr="00877C71">
        <w:rPr>
          <w:rFonts w:ascii="Times New Roman" w:hAnsi="Times New Roman" w:cs="Times New Roman"/>
          <w:szCs w:val="24"/>
        </w:rPr>
        <w:t xml:space="preserve"> czwartym i piątym</w:t>
      </w:r>
      <w:r>
        <w:rPr>
          <w:rFonts w:ascii="Times New Roman" w:hAnsi="Times New Roman" w:cs="Times New Roman"/>
          <w:szCs w:val="24"/>
        </w:rPr>
        <w:t>.</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Dodatkowe przepisy są analogiczne do art. 15 pkt 5 i 6 ustawy z dnia 19 grudnia 2014 r. o rybołówstwie morskim, dotyczących odmowy wpisu statku rybackiego do rejestru statków rybackich. W obu sytuacjach chodzi o uniemożliwienie wprowadzenia statku do określonego segmentu floty rybackiej, jeżeli nie są spełnione wymogi w zakresie długości całkowitej lub mocy silnika głównego statku, ustalonych dla tego segmentu.</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Także przepis art. 18 pkt 1 </w:t>
      </w:r>
      <w:proofErr w:type="spellStart"/>
      <w:r w:rsidRPr="00877C71">
        <w:rPr>
          <w:rFonts w:ascii="Times New Roman" w:hAnsi="Times New Roman" w:cs="Times New Roman"/>
          <w:szCs w:val="24"/>
        </w:rPr>
        <w:t>tiret</w:t>
      </w:r>
      <w:proofErr w:type="spellEnd"/>
      <w:r w:rsidRPr="00877C71">
        <w:rPr>
          <w:rFonts w:ascii="Times New Roman" w:hAnsi="Times New Roman" w:cs="Times New Roman"/>
          <w:szCs w:val="24"/>
        </w:rPr>
        <w:t xml:space="preserve"> drugie, po zmianie brzmienia, jest regulacją analogiczną do art. 15 pkt 2 ustawy w zakresie odmowy wpisu statku do rejestru, uwzględniającą specyfikę segmentu floty dalekomorskiej.</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Konieczne było też uwzględnienie w zakresie przesłanek odmowy dokonania zmiany wpisu w rejestrze statków rybackich, przez dodanie lit. e w art. 18 pkt 1 ustawy z dnia 19 grudnia 2014 r. o rybołówstwie morskim, </w:t>
      </w:r>
      <w:r w:rsidR="008D553C">
        <w:rPr>
          <w:rFonts w:ascii="Times New Roman" w:hAnsi="Times New Roman" w:cs="Times New Roman"/>
          <w:szCs w:val="24"/>
        </w:rPr>
        <w:t xml:space="preserve">w </w:t>
      </w:r>
      <w:r w:rsidRPr="00877C71">
        <w:rPr>
          <w:rFonts w:ascii="Times New Roman" w:hAnsi="Times New Roman" w:cs="Times New Roman"/>
          <w:szCs w:val="24"/>
        </w:rPr>
        <w:t>przypadku gdy właściciel statku rybackiego składa wniosek dotyczący zmiany segmentu floty rybackiej, tzn. wniosek związany z wprowadzeniem statku do segmentu, w którym ten statek nie spełnia wymogów określonych w art. 12 pkt 2 lit. d albo lit. e.</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Zmiana brzmienia art. 21 pkt 2 lit. a ustawy z dnia 19 grudnia 2014 r. o rybołówstwie morskim ma na celu ograniczenie wykreślania oznak rybackich ze spisów oznak do przypadków, w których statki są wycofane z zastosowaniem pomocy publicznej, a więc trwale, z wykonywania rybołówstwa komercyjnego. Zmiana regulacji umożliwia zachowanie oznaki rybackiej przez statek rybacki, który wcześniej został wycofany bez zastosowania pomocy publicznej, przy ponownym wprowadzeniu tego statku do wykonywania rybołówstwa. Jest to istotne, gdyż w praktyce oznaka rybacka jest najłatwiej rozpoznawalnym identyfikatorem statku rybackiego i w związku z tym najczęściej wykorzystywanym przy wykonywaniu rybołówstwa komercyjnego i obrocie produktami rybołówstwa.</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W art. 22 ust. 2 pkt 2 ustawy z dnia 19 grudnia 2014 r. o rybołówstwie morskim należało uwzględnić dysponowanie przez właściciela statku rybackiego indywidualną zdolnością połowową statku rybackiego wycofanego z wykonywania rybołówstwa komercyjnego bez zastosowania pomocy publicznej, nie tylko na wniosek właściciela statku, jak obecnie ten przepis stanowi, ale także z urzędu </w:t>
      </w:r>
      <w:r>
        <w:rPr>
          <w:rFonts w:ascii="Times New Roman" w:hAnsi="Times New Roman" w:cs="Times New Roman"/>
          <w:szCs w:val="24"/>
        </w:rPr>
        <w:t>na podstawie art. 19 ust. 1 pkt </w:t>
      </w:r>
      <w:r w:rsidRPr="00877C71">
        <w:rPr>
          <w:rFonts w:ascii="Times New Roman" w:hAnsi="Times New Roman" w:cs="Times New Roman"/>
          <w:szCs w:val="24"/>
        </w:rPr>
        <w:t>2 lit. b i lit. c. W tych przypadkach, jak wynika z art. 19 ust. 2 , nie cofa się prawa do dysponowania tą zdolnością połowową (cofa się</w:t>
      </w:r>
      <w:r>
        <w:rPr>
          <w:rFonts w:ascii="Times New Roman" w:hAnsi="Times New Roman" w:cs="Times New Roman"/>
          <w:szCs w:val="24"/>
        </w:rPr>
        <w:t xml:space="preserve"> tylko w przypadku określonym w </w:t>
      </w:r>
      <w:r w:rsidRPr="00877C71">
        <w:rPr>
          <w:rFonts w:ascii="Times New Roman" w:hAnsi="Times New Roman" w:cs="Times New Roman"/>
          <w:szCs w:val="24"/>
        </w:rPr>
        <w:t>lit. a, tzn. gdy przez 3 lata nie było wykonywane rybołówstwo komercyjne przy użyciu tego statku).</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Zmiana w art. 32 pkt 1 lit. a ustawy z dnia 19 grudnia 2014 r. o rybołówstwie morskim ma charakter porządkujący i ujednolicający. Pięcioletni termin, o którym mowa w tym przepisie, liczony jest od dnia uprawomocnienia się decyzji o dokonaniu odpowiedniej zmiany wpisu w rejestrze. Dokonanie proponowanej zmiany nie wpłynie na sposób obliczania tego okresu, a doprowadzi jedynie do ujednolicenia</w:t>
      </w:r>
      <w:r>
        <w:rPr>
          <w:rFonts w:ascii="Times New Roman" w:hAnsi="Times New Roman" w:cs="Times New Roman"/>
          <w:szCs w:val="24"/>
        </w:rPr>
        <w:t xml:space="preserve"> jego treści z lit. b w art. </w:t>
      </w:r>
      <w:r w:rsidRPr="00877C71">
        <w:rPr>
          <w:rFonts w:ascii="Times New Roman" w:hAnsi="Times New Roman" w:cs="Times New Roman"/>
          <w:szCs w:val="24"/>
        </w:rPr>
        <w:t xml:space="preserve">32 pkt 1.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Projektowana ustawa tworzy, przez dodanie do przepisów ustawy z dnia 19 grudnia 2014 r. o rybołówstwie morskim projektowanego art. 53a, możliwość wymiany indywidualnych kwot połowowych między armatorami statków rybackich, zgodnie </w:t>
      </w:r>
      <w:r>
        <w:rPr>
          <w:rFonts w:ascii="Times New Roman" w:hAnsi="Times New Roman" w:cs="Times New Roman"/>
          <w:szCs w:val="24"/>
        </w:rPr>
        <w:t>z </w:t>
      </w:r>
      <w:r w:rsidRPr="00877C71">
        <w:rPr>
          <w:rFonts w:ascii="Times New Roman" w:hAnsi="Times New Roman" w:cs="Times New Roman"/>
          <w:szCs w:val="24"/>
        </w:rPr>
        <w:t>zasadą „gatunek za gatunek”. Zaproponowane rozwiązanie pozwoli na efektywniejsze wykorzystywanie kwot połowowych przy jednoczesnym braku negatywnego zjawiska, jakim był handel kwotami połowowymi.</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Przyjęte rozwiązanie, wychodzące naprzeciw oczekiwaniom środowiska rybackiego, zakłada, ż</w:t>
      </w:r>
      <w:r w:rsidR="005F7B26">
        <w:rPr>
          <w:rFonts w:ascii="Times New Roman" w:hAnsi="Times New Roman" w:cs="Times New Roman"/>
          <w:szCs w:val="24"/>
        </w:rPr>
        <w:t>e</w:t>
      </w:r>
      <w:r w:rsidRPr="00877C71">
        <w:rPr>
          <w:rFonts w:ascii="Times New Roman" w:hAnsi="Times New Roman" w:cs="Times New Roman"/>
          <w:szCs w:val="24"/>
        </w:rPr>
        <w:t xml:space="preserve"> indywidualne kwoty połowowe będą mogły być wymieniane w całości lub </w:t>
      </w:r>
      <w:r>
        <w:rPr>
          <w:rFonts w:ascii="Times New Roman" w:hAnsi="Times New Roman" w:cs="Times New Roman"/>
          <w:szCs w:val="24"/>
        </w:rPr>
        <w:t>w </w:t>
      </w:r>
      <w:r w:rsidRPr="00877C71">
        <w:rPr>
          <w:rFonts w:ascii="Times New Roman" w:hAnsi="Times New Roman" w:cs="Times New Roman"/>
          <w:szCs w:val="24"/>
        </w:rPr>
        <w:t>części między armatorami statków rybackich, którym przyznano na dany obszar indywidualne kwoty połowowe gatunków organizmów morskich, których dotyczy wymiana. Wymian dokonywać będzie można zgodnie ze współczynnikiem przeliczeniowym ilości organizmów morskich danego gatunku objętego indywidualną kwotą połowową, która może być wymieniona na określoną ilość organizmów morskich innego gatunku objętego indywidualną kwotą połowową na danym obszarze. Szczegółowy współczynnik przeliczeniowym będzie corocznie określany przez ministra właściwego do spraw rybołówstwa, w drodze rozporządzenia, na podstawie wysokości ogólnych kwot połowowych oraz wartości rynkowej za poszczególne gatunki organizmów morskich i zgodnie z przepisami ustawy. Minister ten określi również szczegółowe warunki wymiany indywidualnych kwot połowowych.</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W projektowanej ustawie nie został określony termin, w którym minister właściwy do spraw rybołówstwa zobowiązany byłby do wydania ww. aktu wykonawczego. Brak wskazania sztywnego terminu wydania przedmiotowego rozporządzenia pozwoli na uniknięcie ewentualnych zdarzeń losowych, które uniemożliwiałyby realizację upoważnienia ustawowego. Jednocześnie wskazać należy, iż brzmienie projektowanego przepisu, obliguje do wydania rozporządzenia w takim terminie, aby rozpoczęło ono swoje obowiązywanie z dniem 1 stycznia każdego roku.</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Należy również wskazać, iż zgodnie z obowiązującymi przepisami specjalne zezwolenia połowowe wydaje minister właściwy do spraw rybołówstwa w odniesieniu do wykonywania rybołówstwa komercyjnego na obszarach, o których mowa w art. 9 ust. 1 pkt 1 i 3 ustawy z dnia 19 grudnia 2014 r. o rybołówstwie morskim, oraz okręgowy inspektor rybołówstwa morskiego właściwy dla portu macierzystego statku rybackiego – w odniesieniu do wykonywania rybołówstwa komercyjnego na obszarach, o których mowa w art. 9 ust. 1 pkt 2 ww. ustawy.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 specjalnych zezwoleniach połowowych wydawanych obecnie przez właściwych okręgowych inspektorów rybołówstwa morskiego określa się wyłącznie wspólną kwotę połowową niepodlegającą wymianie. Tym niemniej, zgodnie z art. 44 ust. 2 ustawy z</w:t>
      </w:r>
      <w:r>
        <w:rPr>
          <w:rFonts w:ascii="Times New Roman" w:hAnsi="Times New Roman" w:cs="Times New Roman"/>
          <w:szCs w:val="24"/>
        </w:rPr>
        <w:t> </w:t>
      </w:r>
      <w:r w:rsidRPr="00877C71">
        <w:rPr>
          <w:rFonts w:ascii="Times New Roman" w:hAnsi="Times New Roman" w:cs="Times New Roman"/>
          <w:szCs w:val="24"/>
        </w:rPr>
        <w:t xml:space="preserve">dnia </w:t>
      </w:r>
      <w:r>
        <w:rPr>
          <w:rFonts w:ascii="Times New Roman" w:hAnsi="Times New Roman" w:cs="Times New Roman"/>
          <w:szCs w:val="24"/>
        </w:rPr>
        <w:t xml:space="preserve">19 grudnia 2014 r. </w:t>
      </w:r>
      <w:r w:rsidRPr="00877C71">
        <w:rPr>
          <w:rFonts w:ascii="Times New Roman" w:hAnsi="Times New Roman" w:cs="Times New Roman"/>
          <w:szCs w:val="24"/>
        </w:rPr>
        <w:t>o rybołówstwie morskim, minister właściwy do spraw rybołówstwa, w ramach podziału ogólnych kwot połowowych danych gatunków organizmów morskich, może określić, że część tych kwot będzie podlegać podziałowi przez okręgowego inspektora rybołówstwa morskiego w odniesieniu do wykonywania rybołówstwa komercyjnego na obszarach, o których</w:t>
      </w:r>
      <w:r>
        <w:rPr>
          <w:rFonts w:ascii="Times New Roman" w:hAnsi="Times New Roman" w:cs="Times New Roman"/>
          <w:szCs w:val="24"/>
        </w:rPr>
        <w:t xml:space="preserve"> mowa w art. 9 ust. 1 pkt 2 ww. </w:t>
      </w:r>
      <w:r w:rsidRPr="00877C71">
        <w:rPr>
          <w:rFonts w:ascii="Times New Roman" w:hAnsi="Times New Roman" w:cs="Times New Roman"/>
          <w:szCs w:val="24"/>
        </w:rPr>
        <w:t>ustawy.</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Mając na uwadze powyższe, zasadne jest wskazanie, że wniosek w sprawie wymiany indywidualnych kwot połowowych składa się do organu, który wydał specjalne zezwolenie połowowe.</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Projektowana ustawa zakłada również określenie terminu na rozpatrzenie wniosku </w:t>
      </w:r>
      <w:r>
        <w:rPr>
          <w:rFonts w:ascii="Times New Roman" w:hAnsi="Times New Roman" w:cs="Times New Roman"/>
          <w:szCs w:val="24"/>
        </w:rPr>
        <w:t>o </w:t>
      </w:r>
      <w:r w:rsidRPr="00877C71">
        <w:rPr>
          <w:rFonts w:ascii="Times New Roman" w:hAnsi="Times New Roman" w:cs="Times New Roman"/>
          <w:szCs w:val="24"/>
        </w:rPr>
        <w:t>wydanie specjalnego zezwolenia połowowego i wniosku o przyznanie dodatkowych kwot połowowych, przez dodanie w ustawie z dnia 19 grudnia 2014 r. o rybołówstwie morskim odpowiednio ust. 7a w art. 41 i ust. 5a w art. 55. Proponowany termin załatwienia ww. spraw wynosić ma 2 miesiące od dni</w:t>
      </w:r>
      <w:r>
        <w:rPr>
          <w:rFonts w:ascii="Times New Roman" w:hAnsi="Times New Roman" w:cs="Times New Roman"/>
          <w:szCs w:val="24"/>
        </w:rPr>
        <w:t>a wszczęcia postępowania, zaś w </w:t>
      </w:r>
      <w:r w:rsidRPr="00877C71">
        <w:rPr>
          <w:rFonts w:ascii="Times New Roman" w:hAnsi="Times New Roman" w:cs="Times New Roman"/>
          <w:szCs w:val="24"/>
        </w:rPr>
        <w:t>postępowaniu odwoławczym – 30 dni od dnia otr</w:t>
      </w:r>
      <w:r>
        <w:rPr>
          <w:rFonts w:ascii="Times New Roman" w:hAnsi="Times New Roman" w:cs="Times New Roman"/>
          <w:szCs w:val="24"/>
        </w:rPr>
        <w:t>zymania odwołania lub wniosku o </w:t>
      </w:r>
      <w:r w:rsidRPr="00877C71">
        <w:rPr>
          <w:rFonts w:ascii="Times New Roman" w:hAnsi="Times New Roman" w:cs="Times New Roman"/>
          <w:szCs w:val="24"/>
        </w:rPr>
        <w:t>ponowne rozpatrzenie sprawy. Zaproponowane rozwiązanie jest zgodne z art. 4 ustawy z dnia 19 grudnia 2014 r. o rybołówstwie morskim, z</w:t>
      </w:r>
      <w:r>
        <w:rPr>
          <w:rFonts w:ascii="Times New Roman" w:hAnsi="Times New Roman" w:cs="Times New Roman"/>
          <w:szCs w:val="24"/>
        </w:rPr>
        <w:t>godnie z którym w </w:t>
      </w:r>
      <w:r w:rsidRPr="00877C71">
        <w:rPr>
          <w:rFonts w:ascii="Times New Roman" w:hAnsi="Times New Roman" w:cs="Times New Roman"/>
          <w:szCs w:val="24"/>
        </w:rPr>
        <w:t>sprawach wykonywania rybołówstwa morskiego stosuje się przepisy Kodeksu postępowania administracyjnego, chyba że przepisy ustawy stanowią inaczej.</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Obecnie stosowane terminy na rozpatrzenie ww. spraw wynikają z przepisów Kodeksu postępowania administracyjnego. Przepisy te pozwalają jednak, zgodnie z art. 35 § 4 </w:t>
      </w:r>
      <w:r w:rsidR="005F7B26">
        <w:rPr>
          <w:rFonts w:ascii="Times New Roman" w:hAnsi="Times New Roman" w:cs="Times New Roman"/>
          <w:szCs w:val="24"/>
        </w:rPr>
        <w:t>k.</w:t>
      </w:r>
      <w:r w:rsidRPr="00877C71">
        <w:rPr>
          <w:rFonts w:ascii="Times New Roman" w:hAnsi="Times New Roman" w:cs="Times New Roman"/>
          <w:szCs w:val="24"/>
        </w:rPr>
        <w:t>p</w:t>
      </w:r>
      <w:r w:rsidR="005F7B26">
        <w:rPr>
          <w:rFonts w:ascii="Times New Roman" w:hAnsi="Times New Roman" w:cs="Times New Roman"/>
          <w:szCs w:val="24"/>
        </w:rPr>
        <w:t>.</w:t>
      </w:r>
      <w:r w:rsidRPr="00877C71">
        <w:rPr>
          <w:rFonts w:ascii="Times New Roman" w:hAnsi="Times New Roman" w:cs="Times New Roman"/>
          <w:szCs w:val="24"/>
        </w:rPr>
        <w:t>a</w:t>
      </w:r>
      <w:r w:rsidR="005F7B26">
        <w:rPr>
          <w:rFonts w:ascii="Times New Roman" w:hAnsi="Times New Roman" w:cs="Times New Roman"/>
          <w:szCs w:val="24"/>
        </w:rPr>
        <w:t>.</w:t>
      </w:r>
      <w:r w:rsidRPr="00877C71">
        <w:rPr>
          <w:rFonts w:ascii="Times New Roman" w:hAnsi="Times New Roman" w:cs="Times New Roman"/>
          <w:szCs w:val="24"/>
        </w:rPr>
        <w:t>, na określenie innego terminu załatwienia sprawy niż w nim określony.</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Specyfika postępowania w sprawie wydania specjalnego zezwolenia połowowego </w:t>
      </w:r>
      <w:r>
        <w:rPr>
          <w:rFonts w:ascii="Times New Roman" w:hAnsi="Times New Roman" w:cs="Times New Roman"/>
          <w:szCs w:val="24"/>
        </w:rPr>
        <w:t>i </w:t>
      </w:r>
      <w:r w:rsidRPr="00877C71">
        <w:rPr>
          <w:rFonts w:ascii="Times New Roman" w:hAnsi="Times New Roman" w:cs="Times New Roman"/>
          <w:szCs w:val="24"/>
        </w:rPr>
        <w:t>rozpatrzenia wniosku o przyznanie dodatkowej kwoty połowowej uzasadniają wprowadzenie powyższego terminu.</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Wniosek o wydanie specjalnego zezwolenia połowowego składa się do dnia </w:t>
      </w:r>
      <w:r>
        <w:rPr>
          <w:rFonts w:ascii="Times New Roman" w:hAnsi="Times New Roman" w:cs="Times New Roman"/>
          <w:szCs w:val="24"/>
        </w:rPr>
        <w:t>31 </w:t>
      </w:r>
      <w:r w:rsidRPr="00877C71">
        <w:rPr>
          <w:rFonts w:ascii="Times New Roman" w:hAnsi="Times New Roman" w:cs="Times New Roman"/>
          <w:szCs w:val="24"/>
        </w:rPr>
        <w:t>października roku poprzedzającego rok, na który ma zostać wydane to pozwolenie. Do ww. dnia wpływa ponad 800 wniosków, co do których decyzja o wysokości przyznanej kwoty połowowej jest uzależniona od wniosków innych armatorów. Mając powyższe na uwadze</w:t>
      </w:r>
      <w:r w:rsidR="00F865A5">
        <w:rPr>
          <w:rFonts w:ascii="Times New Roman" w:hAnsi="Times New Roman" w:cs="Times New Roman"/>
          <w:szCs w:val="24"/>
        </w:rPr>
        <w:t>,</w:t>
      </w:r>
      <w:r w:rsidRPr="00877C71">
        <w:rPr>
          <w:rFonts w:ascii="Times New Roman" w:hAnsi="Times New Roman" w:cs="Times New Roman"/>
          <w:szCs w:val="24"/>
        </w:rPr>
        <w:t xml:space="preserve"> konieczne jest wydłużenie terminu na rozpatrzenie złożonych wniosków. Dwumiesięczny termin na załatwienie sprawy pozwoli organowi na skuteczne zakończenie wszystkich postępowań i nie wpłynie na sytuację prawną zainteresowanych rozstrzygnięciem podmiotów.</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Analogiczny przepis jest niezbędny w przypadku podziału dodatkowych kwot połowowych. Bez wydłużonego terminu na wydani</w:t>
      </w:r>
      <w:r>
        <w:rPr>
          <w:rFonts w:ascii="Times New Roman" w:hAnsi="Times New Roman" w:cs="Times New Roman"/>
          <w:szCs w:val="24"/>
        </w:rPr>
        <w:t>e decyzji, organ może nie być w </w:t>
      </w:r>
      <w:r w:rsidRPr="00877C71">
        <w:rPr>
          <w:rFonts w:ascii="Times New Roman" w:hAnsi="Times New Roman" w:cs="Times New Roman"/>
          <w:szCs w:val="24"/>
        </w:rPr>
        <w:t>stanie rozpatrzeć wniosków w obecnie obowiązujących terminach.</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W projekcie ustawy stworzono możliwość określenia przez ministra właściwego do spraw rybołówstwa, w rozporządzeniu, podziału kwot połowowych, tj. jaka część ogólnej kwoty połowowej lub liczba dni połowowych danego gatunku organizmów morskich pozostają do podziału na obszarach, o których mowa w art. 9 ust. 1 pkt 2 ustawy, oraz szczegółowego sposobu podziału kwot wyodrębnionych dla ww. obszaru, przez dokonanie odpowiedniej zmiany w art. 44 ust. 2 ustawy z dnia 19 grudnia 2014 r. o rybołówstwie morskim. Fakultatywna możliwość zastosowania tego rozwiązania jest konieczna w celu zabezpieczenia interesów rybaków prowadzących rybołówstwo komercyjne na obszarze tzw. morskich wód wewnętrznych w sytuacji znaczącej redukcji ogólnych kwot połowowych przyznanych Polsce na podstawie przepisów Unii Europejskiej. Obecnie kwota połowowa dla niniejszego obszaru nie została wyodrębniona. Na podstawie obecnie obowiązujących przepisów przy jej wyodrębnieniu właściwy okręgowy inspektor rybołówstwa morskiego dokonywał podziału w akcie prawa miejscowego.</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W ustawie z dnia 19 grudnia 2014 r. o rybołówstwie morskim proponuje się dokonanie dodatkowo zmiany treści lit. a w art. 107 ust. 1 pkt 7. Obecnie obowiązujący przepis obliguje okręgowych inspektorów rybołówstwa morskiego do przyjęcia</w:t>
      </w:r>
      <w:r>
        <w:rPr>
          <w:rFonts w:ascii="Times New Roman" w:hAnsi="Times New Roman" w:cs="Times New Roman"/>
          <w:szCs w:val="24"/>
        </w:rPr>
        <w:t xml:space="preserve"> deklaracji, o </w:t>
      </w:r>
      <w:r w:rsidRPr="00877C71">
        <w:rPr>
          <w:rFonts w:ascii="Times New Roman" w:hAnsi="Times New Roman" w:cs="Times New Roman"/>
          <w:szCs w:val="24"/>
        </w:rPr>
        <w:t xml:space="preserve">której mowa w art. 8 ust. 1 rozporządzenia nr 1005/2008, i przekazania jej ministrowi właściwemu do spraw rybołówstwa. Jednocześnie ust. 2 ww. przepisu nakazuje okręgowym inspektorom rybołówstwa morskiego przechowywanie m.in. dokumentów, o których mowa powyżej przez 3 lata. Mając na uwadze, że obowiązek przechowywania dokumentów i jednoczesnego ich przekazania ministrowi właściwemu do spraw rybołówstwa wykluczają się, konieczna jest zmiana brzmienia tego przepisu.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W projektowanej regulacji zakłada się również uchylenie pkt 2 w art. 3 ustawy z dnia </w:t>
      </w:r>
      <w:r>
        <w:rPr>
          <w:rFonts w:ascii="Times New Roman" w:hAnsi="Times New Roman" w:cs="Times New Roman"/>
          <w:szCs w:val="24"/>
        </w:rPr>
        <w:t>5 </w:t>
      </w:r>
      <w:r w:rsidRPr="00877C71">
        <w:rPr>
          <w:rFonts w:ascii="Times New Roman" w:hAnsi="Times New Roman" w:cs="Times New Roman"/>
          <w:szCs w:val="24"/>
        </w:rPr>
        <w:t>grudnia 2008 r. o organizacji rynku rybnego, który definiuje centrum pierwszej sprzedaży. W związku z usunięciem z porządku prawnego, podczas dokonywania poprzedniej nowelizacji tej ustawy, przepisów dotyczących centrów pierwszej sprzedaży, pozostawienie przedmiotowej definicji jest zbędne, jest to więc wyłącznie zmiana porządkowa, mająca na celu zachowanie spójności przepisów.</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Przyjęte w projektowanej ustawie rozwiązania powodują konieczność wprowadzenia przepisów przejściowych i dostosowujących.</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Przewidziane w projektowanej ustawie rozwiązanie dotyczące przekształcenia z dniem wejścia w życie projektowanej ustawy okręgowych inspektoratów rybołówstwa morskiego pozwala na zachowanie ciągłości p</w:t>
      </w:r>
      <w:r>
        <w:rPr>
          <w:rFonts w:ascii="Times New Roman" w:hAnsi="Times New Roman" w:cs="Times New Roman"/>
          <w:szCs w:val="24"/>
        </w:rPr>
        <w:t>rowadzonych do tej pory spraw i </w:t>
      </w:r>
      <w:r w:rsidRPr="00877C71">
        <w:rPr>
          <w:rFonts w:ascii="Times New Roman" w:hAnsi="Times New Roman" w:cs="Times New Roman"/>
          <w:szCs w:val="24"/>
        </w:rPr>
        <w:t>postępowań administracyjnych. W szczególności proponuje się, aby wszyscy pracownicy okręgowych inspektoratów rybołóws</w:t>
      </w:r>
      <w:r>
        <w:rPr>
          <w:rFonts w:ascii="Times New Roman" w:hAnsi="Times New Roman" w:cs="Times New Roman"/>
          <w:szCs w:val="24"/>
        </w:rPr>
        <w:t>twa morskiego z dniem wejścia w </w:t>
      </w:r>
      <w:r w:rsidRPr="00877C71">
        <w:rPr>
          <w:rFonts w:ascii="Times New Roman" w:hAnsi="Times New Roman" w:cs="Times New Roman"/>
          <w:szCs w:val="24"/>
        </w:rPr>
        <w:t>życie projektowanej ustawy stali się pracownikami nowo powstałego Głównego Inspektoratu Rybołówstwa Morskiego oraz aby pracownikom tym powierzyć wykonywanie obowiązków służbowych w ich dotychczasowych miejscach pracy.</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Osoby pełniące obecnie funkcje okręgowych inspektorów rybołówstwa morskiego oraz ich zastępców zgodnie z projektowaną ustawą otrz</w:t>
      </w:r>
      <w:r>
        <w:rPr>
          <w:rFonts w:ascii="Times New Roman" w:hAnsi="Times New Roman" w:cs="Times New Roman"/>
          <w:szCs w:val="24"/>
        </w:rPr>
        <w:t>ymają propozycję zatrudnienia w </w:t>
      </w:r>
      <w:r w:rsidRPr="00877C71">
        <w:rPr>
          <w:rFonts w:ascii="Times New Roman" w:hAnsi="Times New Roman" w:cs="Times New Roman"/>
          <w:szCs w:val="24"/>
        </w:rPr>
        <w:t xml:space="preserve">nowo powstającej strukturze.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Projektowana ustawa przewiduje ponadto powołanie pełnomocnika do spraw</w:t>
      </w:r>
      <w:r w:rsidR="00454350">
        <w:rPr>
          <w:rFonts w:ascii="Times New Roman" w:hAnsi="Times New Roman" w:cs="Times New Roman"/>
          <w:szCs w:val="24"/>
        </w:rPr>
        <w:t xml:space="preserve"> organizacji Głównego Inspektoratu Rybołówstwa Morskiego</w:t>
      </w:r>
      <w:r w:rsidRPr="00877C71">
        <w:rPr>
          <w:rFonts w:ascii="Times New Roman" w:hAnsi="Times New Roman" w:cs="Times New Roman"/>
          <w:szCs w:val="24"/>
        </w:rPr>
        <w:t xml:space="preserve">, którego rolą będzie przygotowanie przyszłych struktur Głównego Inspektoratu Rybołówstwa Morskiego oraz przeprowadzenie niezbędnych inwentaryzacji majątku okręgowych inspektoratów rybołówstwa morskiego i podejmowanie innych czynności niezbędnych do rozpoczęcia działalności tworzonego urzędu. Celem powołania tego pełnomocnika jest sprawne </w:t>
      </w:r>
      <w:r w:rsidR="00454350" w:rsidRPr="00877C71">
        <w:rPr>
          <w:rFonts w:ascii="Times New Roman" w:hAnsi="Times New Roman" w:cs="Times New Roman"/>
          <w:szCs w:val="24"/>
        </w:rPr>
        <w:t>i</w:t>
      </w:r>
      <w:r w:rsidR="00454350">
        <w:rPr>
          <w:rFonts w:ascii="Times New Roman" w:hAnsi="Times New Roman" w:cs="Times New Roman"/>
          <w:szCs w:val="24"/>
        </w:rPr>
        <w:t> </w:t>
      </w:r>
      <w:r w:rsidRPr="00877C71">
        <w:rPr>
          <w:rFonts w:ascii="Times New Roman" w:hAnsi="Times New Roman" w:cs="Times New Roman"/>
          <w:szCs w:val="24"/>
        </w:rPr>
        <w:t xml:space="preserve">szybkie dokonanie przekształcenia okręgowych inspektoratów rybołówstwa morskiego w Główny Inspektorat Rybołówstwa Morskiego. </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 projektowanej ustawie przyjęto rozwiązanie, zgodnie z którym postępowania niezakończone przed dniem wejścia w życie tej ustawy decyzją ostateczną, prowadzone przez okręgowych inspektorów rybołówstwa morskiego,</w:t>
      </w:r>
      <w:r>
        <w:rPr>
          <w:rFonts w:ascii="Times New Roman" w:hAnsi="Times New Roman" w:cs="Times New Roman"/>
          <w:szCs w:val="24"/>
        </w:rPr>
        <w:t xml:space="preserve"> prowadzi, z dniem wejścia w </w:t>
      </w:r>
      <w:r w:rsidRPr="00877C71">
        <w:rPr>
          <w:rFonts w:ascii="Times New Roman" w:hAnsi="Times New Roman" w:cs="Times New Roman"/>
          <w:szCs w:val="24"/>
        </w:rPr>
        <w:t xml:space="preserve">życie ustawy, Główny Inspektor Rybołówstwa Morskiego. Przepis ten powoduje, iż nie zachodzi konieczność tworzenia odrębnych przepisów przejściowych dla wszystkich rodzajów postępowań prowadzonych przed dniem wejścia w życie ustawy przez okręgowych inspektorów rybołówstwa morskiego, w tym postępowań w sprawie wymierzenia kary pieniężnej, postępowań w sprawie przyznania punktów za poważne naruszenie przepisów </w:t>
      </w:r>
      <w:proofErr w:type="spellStart"/>
      <w:r w:rsidRPr="00877C71">
        <w:rPr>
          <w:rFonts w:ascii="Times New Roman" w:hAnsi="Times New Roman" w:cs="Times New Roman"/>
          <w:szCs w:val="24"/>
        </w:rPr>
        <w:t>WPRyb</w:t>
      </w:r>
      <w:proofErr w:type="spellEnd"/>
      <w:r w:rsidRPr="00877C71">
        <w:rPr>
          <w:rFonts w:ascii="Times New Roman" w:hAnsi="Times New Roman" w:cs="Times New Roman"/>
          <w:szCs w:val="24"/>
        </w:rPr>
        <w:t>, czy postępowań w sprawie wydania pozwolenia na wykonywanie rybołówstwa rekreacyjnego.</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Rejestr pozwoleń na wykonywanie rybołówstwa rekreacyjnego oraz spisy oznak rybackich prowadzone dotychczas przez okręgowych inspektorów rybołówstwa morskiego zachowają ważność i będą prowadzone przez Głównego Inspektora Rybołówstwa Morskiego.</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Wprowadzono również regulację, która ma umożliwić przy nadawaniu nowych oznak rybackich wykorzystanie wolnych numerów występujących w spisach oznak rybackich prowadzonych dla poszczególnych portów rybackich między numerami, które zostały wykorzystane przy nadawaniu oznak rybackich po dniu 1 maja 2004 r. Zasadne jest sukcesywne wypełnienie luk, tj. niewykorzystanych numerów, w spisach oznak rybackich, umożliwiające przy tym m.in. nadanie wielu oznak z numerem dwucyfrowym zamiast trzycyfrowym, co ma praktyczne znaczenie dla wykonujących rybołówstwo morskie, gdyż jest bardziej wygodne przy dokonywaniu oznakowania statków rybackich i narzędzi połowowych przez ich właścicieli.</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Pozostałe przepisy przejściowe mają za zadanie zachowanie ciągłości wszystkich spraw, tak administracyjnych, jak i związanych z zarządem mieniem, którymi zajmowali się likwidowani okręgowi inspektorzy rybołówstwa morskiego, a które prowadzić będzie od dnia wejścia w życie ustawy Główny Inspektor Rybołówstwa Morskiego.</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 xml:space="preserve">W związku ze zmianami dotyczącymi rozporządzenia wykonawczego Komisji (UE) 2017/218 z dnia 6 lutego 2017 r. w sprawie unijnego rejestru floty rybackiej, które weszło w życie z dniem 1 lutego 2018 r., niezbędne jest pilne wejście w życie części przepisów projektowanej ustawy, to jest z dniem następującym po dniu ogłoszenia. </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 xml:space="preserve">Konieczne jest również, aby w ww. terminie weszły w życie przepisy dotyczące pełnomocnika do spraw organizacji Głównego Inspektoratu Rybołówstwa Morskiego, powoływanego przez Prezesa Rady Ministrów na wniosek ministra właściwego do spraw rybołówstwa. Jak najszybsze powołanie pełnomocnika jest niezbędne w związku z obowiązkami jakie będą musiały zostać przez niego wykonane, a których realizacja jest nieodzowna przy organizacji nowego urzędu. Wcześniejsze wejście w życie niniejszych przepisów pozwoli również na uniknięcie sytuacji, w której obok funkcjonującego jeszcze pełnomocnika swoje obowiązki pełni nowo powołany, zgodnie z projektowanymi przepisami w terminie 3 miesięcy od dnia wejścia w życie ustawy, Główny Inspektor Rybołówstwa Morskiego. </w:t>
      </w:r>
    </w:p>
    <w:p w:rsidR="00877C71" w:rsidRPr="00877C71" w:rsidRDefault="00877C71" w:rsidP="00877C71">
      <w:pPr>
        <w:pStyle w:val="ARTartustawynprozporzdzenia"/>
        <w:ind w:firstLine="0"/>
        <w:rPr>
          <w:rFonts w:ascii="Times New Roman" w:hAnsi="Times New Roman" w:cs="Times New Roman"/>
          <w:szCs w:val="24"/>
        </w:rPr>
      </w:pPr>
      <w:r w:rsidRPr="00877C71">
        <w:rPr>
          <w:rFonts w:ascii="Times New Roman" w:hAnsi="Times New Roman" w:cs="Times New Roman"/>
          <w:szCs w:val="24"/>
        </w:rPr>
        <w:t>Zasady demokratycznego państwa prawa nie stają na przeszkodzie temu, a</w:t>
      </w:r>
      <w:r>
        <w:rPr>
          <w:rFonts w:ascii="Times New Roman" w:hAnsi="Times New Roman" w:cs="Times New Roman"/>
          <w:szCs w:val="24"/>
        </w:rPr>
        <w:t xml:space="preserve">by </w:t>
      </w:r>
      <w:r w:rsidRPr="00877C71">
        <w:rPr>
          <w:rFonts w:ascii="Times New Roman" w:hAnsi="Times New Roman" w:cs="Times New Roman"/>
          <w:szCs w:val="24"/>
        </w:rPr>
        <w:t>projektowane zmiany weszły w życie w zaproponowanym terminie, przyczyniają się one bowiem do dostosowania przepisów krajowych do rozporządzenia Unii Europejskiej, które zgodnie z art. 288 Traktatu o funkcjonowaniu Unii Europejskiej jest stosowane bezpośrednio we wszystkich państwach członkowskich oraz do zapewnienia pełnomocnikowi do spraw organizacji Głównego Inspektoratu Rybołówstwa Morskiego odpowiedniego czasu, potrzebnego do stworzenia sprawnie działającego urzędu obsługującego organ rządowej administracji centralnej.</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Projekt ustawy jest zgodny z prawem Unii Europejskiej.</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Projekt ustawy nie zawiera norm krajowych, przepisów technicznych oraz przepisów dotyczących usług, w rozumieniu przepisów rozporządzenia Rady Ministrów z dnia </w:t>
      </w:r>
      <w:r>
        <w:rPr>
          <w:rFonts w:ascii="Times New Roman" w:hAnsi="Times New Roman" w:cs="Times New Roman"/>
          <w:szCs w:val="24"/>
        </w:rPr>
        <w:t>23 </w:t>
      </w:r>
      <w:r w:rsidRPr="00877C71">
        <w:rPr>
          <w:rFonts w:ascii="Times New Roman" w:hAnsi="Times New Roman" w:cs="Times New Roman"/>
          <w:szCs w:val="24"/>
        </w:rPr>
        <w:t>grudnia 2002 r. w sprawie funkcjonowania krajo</w:t>
      </w:r>
      <w:r>
        <w:rPr>
          <w:rFonts w:ascii="Times New Roman" w:hAnsi="Times New Roman" w:cs="Times New Roman"/>
          <w:szCs w:val="24"/>
        </w:rPr>
        <w:t>wego systemu notyfikacji norm i </w:t>
      </w:r>
      <w:r w:rsidRPr="00877C71">
        <w:rPr>
          <w:rFonts w:ascii="Times New Roman" w:hAnsi="Times New Roman" w:cs="Times New Roman"/>
          <w:szCs w:val="24"/>
        </w:rPr>
        <w:t>aktów prawnych (Dz. U. poz. 2039 i z 2004 r. poz. 597), w związku z tym nie będzie podlegał obowiązkowi notyfikacji.</w:t>
      </w:r>
    </w:p>
    <w:p w:rsidR="00877C71" w:rsidRPr="00877C71" w:rsidRDefault="00877C71" w:rsidP="00877C71">
      <w:pPr>
        <w:pStyle w:val="NIEARTTEKSTtekstnieartykuowanynppodstprawnarozplubpreambua"/>
        <w:ind w:firstLine="0"/>
        <w:rPr>
          <w:rFonts w:ascii="Times New Roman" w:hAnsi="Times New Roman" w:cs="Times New Roman"/>
          <w:szCs w:val="24"/>
        </w:rPr>
      </w:pPr>
      <w:r w:rsidRPr="00877C71">
        <w:rPr>
          <w:rFonts w:ascii="Times New Roman" w:hAnsi="Times New Roman" w:cs="Times New Roman"/>
          <w:szCs w:val="24"/>
        </w:rPr>
        <w:t xml:space="preserve">Projekt ustawy nie podlegał obowiązkowi przedstawienia właściwym organom </w:t>
      </w:r>
      <w:r>
        <w:rPr>
          <w:rFonts w:ascii="Times New Roman" w:hAnsi="Times New Roman" w:cs="Times New Roman"/>
          <w:szCs w:val="24"/>
        </w:rPr>
        <w:t>i </w:t>
      </w:r>
      <w:r w:rsidRPr="00877C71">
        <w:rPr>
          <w:rFonts w:ascii="Times New Roman" w:hAnsi="Times New Roman" w:cs="Times New Roman"/>
          <w:szCs w:val="24"/>
        </w:rPr>
        <w:t xml:space="preserve">instytucjom Unii Europejskiej, w tym Europejskiemu Bankowi Centralnemu stosownie do § 27 ust. 4 uchwały </w:t>
      </w:r>
      <w:r w:rsidR="005F7B26">
        <w:rPr>
          <w:rFonts w:ascii="Times New Roman" w:hAnsi="Times New Roman" w:cs="Times New Roman"/>
          <w:szCs w:val="24"/>
        </w:rPr>
        <w:t>n</w:t>
      </w:r>
      <w:r w:rsidRPr="00877C71">
        <w:rPr>
          <w:rFonts w:ascii="Times New Roman" w:hAnsi="Times New Roman" w:cs="Times New Roman"/>
          <w:szCs w:val="24"/>
        </w:rPr>
        <w:t>r 190 Rady Minist</w:t>
      </w:r>
      <w:r>
        <w:rPr>
          <w:rFonts w:ascii="Times New Roman" w:hAnsi="Times New Roman" w:cs="Times New Roman"/>
          <w:szCs w:val="24"/>
        </w:rPr>
        <w:t>rów z dnia 29 października 2013 </w:t>
      </w:r>
      <w:r w:rsidRPr="00877C71">
        <w:rPr>
          <w:rFonts w:ascii="Times New Roman" w:hAnsi="Times New Roman" w:cs="Times New Roman"/>
          <w:szCs w:val="24"/>
        </w:rPr>
        <w:t xml:space="preserve">r. </w:t>
      </w:r>
      <w:r>
        <w:rPr>
          <w:rFonts w:ascii="Times New Roman" w:hAnsi="Times New Roman" w:cs="Times New Roman"/>
          <w:szCs w:val="24"/>
        </w:rPr>
        <w:t>–</w:t>
      </w:r>
      <w:r w:rsidRPr="00877C71">
        <w:rPr>
          <w:rFonts w:ascii="Times New Roman" w:hAnsi="Times New Roman" w:cs="Times New Roman"/>
          <w:szCs w:val="24"/>
        </w:rPr>
        <w:t xml:space="preserve"> Regulamin pracy Rady Ministrów (M.P. z 2016 r. poz. 1006, z </w:t>
      </w:r>
      <w:proofErr w:type="spellStart"/>
      <w:r w:rsidRPr="00877C71">
        <w:rPr>
          <w:rFonts w:ascii="Times New Roman" w:hAnsi="Times New Roman" w:cs="Times New Roman"/>
          <w:szCs w:val="24"/>
        </w:rPr>
        <w:t>późn</w:t>
      </w:r>
      <w:proofErr w:type="spellEnd"/>
      <w:r w:rsidRPr="00877C71">
        <w:rPr>
          <w:rFonts w:ascii="Times New Roman" w:hAnsi="Times New Roman" w:cs="Times New Roman"/>
          <w:szCs w:val="24"/>
        </w:rPr>
        <w:t>. zm.).</w:t>
      </w:r>
    </w:p>
    <w:p w:rsidR="00FA6F97" w:rsidRPr="00877C71" w:rsidRDefault="00877C71" w:rsidP="005F7B26">
      <w:pPr>
        <w:pStyle w:val="NIEARTTEKSTtekstnieartykuowanynppodstprawnarozplubpreambua"/>
        <w:ind w:firstLine="0"/>
        <w:rPr>
          <w:rFonts w:cs="Times New Roman"/>
          <w:sz w:val="20"/>
        </w:rPr>
      </w:pPr>
      <w:r w:rsidRPr="00877C71">
        <w:rPr>
          <w:rFonts w:ascii="Times New Roman" w:hAnsi="Times New Roman" w:cs="Times New Roman"/>
          <w:szCs w:val="24"/>
        </w:rPr>
        <w:t>Zgodnie z art. 5 ustawy z dnia 7 lipca 2005 r. o działalności lobbingowej w procesie stanowienia prawa (Dz. U. z 2017 r. poz. 248) projekt niniejszej ustawy został udostępniony w Biuletynie Informacji Publicznej Rządowego Centrum Legislacji.</w:t>
      </w:r>
    </w:p>
    <w:sectPr w:rsidR="00FA6F97" w:rsidRPr="00877C71" w:rsidSect="00877C71">
      <w:footerReference w:type="default" r:id="rId7"/>
      <w:footnotePr>
        <w:numRestart w:val="eachSect"/>
      </w:footnotePr>
      <w:pgSz w:w="11906" w:h="16838" w:code="9"/>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C71" w:rsidRDefault="00877C71" w:rsidP="00877C71">
      <w:pPr>
        <w:spacing w:line="240" w:lineRule="auto"/>
      </w:pPr>
      <w:r>
        <w:separator/>
      </w:r>
    </w:p>
  </w:endnote>
  <w:endnote w:type="continuationSeparator" w:id="0">
    <w:p w:rsidR="00877C71" w:rsidRDefault="00877C71" w:rsidP="00877C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982719"/>
      <w:docPartObj>
        <w:docPartGallery w:val="Page Numbers (Bottom of Page)"/>
        <w:docPartUnique/>
      </w:docPartObj>
    </w:sdtPr>
    <w:sdtEndPr/>
    <w:sdtContent>
      <w:p w:rsidR="00877C71" w:rsidRDefault="00877C71">
        <w:pPr>
          <w:pStyle w:val="Stopka"/>
          <w:jc w:val="center"/>
        </w:pPr>
        <w:r>
          <w:fldChar w:fldCharType="begin"/>
        </w:r>
        <w:r>
          <w:instrText>PAGE   \* MERGEFORMAT</w:instrText>
        </w:r>
        <w:r>
          <w:fldChar w:fldCharType="separate"/>
        </w:r>
        <w:r w:rsidR="00DD40BE">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C71" w:rsidRDefault="00877C71" w:rsidP="00877C71">
      <w:pPr>
        <w:spacing w:line="240" w:lineRule="auto"/>
      </w:pPr>
      <w:r>
        <w:separator/>
      </w:r>
    </w:p>
  </w:footnote>
  <w:footnote w:type="continuationSeparator" w:id="0">
    <w:p w:rsidR="00877C71" w:rsidRDefault="00877C71" w:rsidP="00877C7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C71"/>
    <w:rsid w:val="00424C4E"/>
    <w:rsid w:val="00454350"/>
    <w:rsid w:val="005F7B26"/>
    <w:rsid w:val="00877C71"/>
    <w:rsid w:val="008D553C"/>
    <w:rsid w:val="009844A9"/>
    <w:rsid w:val="00C4138D"/>
    <w:rsid w:val="00CE1D3F"/>
    <w:rsid w:val="00DD40BE"/>
    <w:rsid w:val="00E36E44"/>
    <w:rsid w:val="00EA0E1B"/>
    <w:rsid w:val="00F047CE"/>
    <w:rsid w:val="00F865A5"/>
    <w:rsid w:val="00FA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1E1774-762C-46CF-AABB-85B66E04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7C7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877C7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877C71"/>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877C7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77C71"/>
    <w:rPr>
      <w:bCs/>
    </w:rPr>
  </w:style>
  <w:style w:type="paragraph" w:customStyle="1" w:styleId="PKTpunkt">
    <w:name w:val="PKT – punkt"/>
    <w:uiPriority w:val="13"/>
    <w:qFormat/>
    <w:rsid w:val="00877C71"/>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877C71"/>
    <w:pPr>
      <w:ind w:left="986" w:hanging="476"/>
    </w:pPr>
  </w:style>
  <w:style w:type="paragraph" w:customStyle="1" w:styleId="TYTTABELItytutabeli">
    <w:name w:val="TYT_TABELI – tytuł tabeli"/>
    <w:basedOn w:val="Normalny"/>
    <w:uiPriority w:val="22"/>
    <w:qFormat/>
    <w:rsid w:val="00877C71"/>
    <w:pPr>
      <w:keepNext/>
      <w:widowControl/>
      <w:autoSpaceDE/>
      <w:autoSpaceDN/>
      <w:adjustRightInd/>
      <w:spacing w:before="120"/>
      <w:jc w:val="center"/>
    </w:pPr>
    <w:rPr>
      <w:rFonts w:ascii="Times" w:hAnsi="Times"/>
      <w:b/>
      <w:bCs/>
      <w:caps/>
      <w:kern w:val="24"/>
      <w:szCs w:val="24"/>
    </w:rPr>
  </w:style>
  <w:style w:type="character" w:customStyle="1" w:styleId="Ppogrubienie">
    <w:name w:val="_P_ – pogrubienie"/>
    <w:basedOn w:val="Domylnaczcionkaakapitu"/>
    <w:uiPriority w:val="1"/>
    <w:qFormat/>
    <w:rsid w:val="00877C71"/>
    <w:rPr>
      <w:b/>
    </w:rPr>
  </w:style>
  <w:style w:type="paragraph" w:styleId="Stopka">
    <w:name w:val="footer"/>
    <w:basedOn w:val="Normalny"/>
    <w:link w:val="StopkaZnak"/>
    <w:uiPriority w:val="99"/>
    <w:unhideWhenUsed/>
    <w:rsid w:val="00877C71"/>
    <w:pPr>
      <w:tabs>
        <w:tab w:val="center" w:pos="4536"/>
        <w:tab w:val="right" w:pos="9072"/>
      </w:tabs>
      <w:spacing w:line="240" w:lineRule="auto"/>
    </w:pPr>
  </w:style>
  <w:style w:type="character" w:customStyle="1" w:styleId="StopkaZnak">
    <w:name w:val="Stopka Znak"/>
    <w:basedOn w:val="Domylnaczcionkaakapitu"/>
    <w:link w:val="Stopka"/>
    <w:uiPriority w:val="99"/>
    <w:rsid w:val="00877C71"/>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CE1D3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E1D3F"/>
    <w:rPr>
      <w:rFonts w:ascii="Segoe UI" w:eastAsiaTheme="minorEastAsia"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x.online.wolterskluwer.pl/WKPLOnline/index.rp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5578</Words>
  <Characters>33474</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Grażyna D. Grabowska</cp:lastModifiedBy>
  <cp:revision>2</cp:revision>
  <dcterms:created xsi:type="dcterms:W3CDTF">2018-09-04T12:16:00Z</dcterms:created>
  <dcterms:modified xsi:type="dcterms:W3CDTF">2018-09-04T12:16:00Z</dcterms:modified>
</cp:coreProperties>
</file>