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FA87F" w14:textId="40FEFCEC" w:rsidR="00B006E6" w:rsidRDefault="00B006E6" w:rsidP="00883793">
      <w:pPr>
        <w:spacing w:before="120" w:after="0" w:line="36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UZASADNIENIE</w:t>
      </w:r>
      <w:r w:rsidR="0016571F">
        <w:rPr>
          <w:rFonts w:ascii="Times New Roman" w:hAnsi="Times New Roman" w:cs="Times New Roman"/>
          <w:sz w:val="24"/>
          <w:szCs w:val="24"/>
        </w:rPr>
        <w:t xml:space="preserve"> </w:t>
      </w:r>
    </w:p>
    <w:p w14:paraId="17CD480D" w14:textId="77777777" w:rsidR="00CD74C5" w:rsidRDefault="00CD74C5" w:rsidP="00883793">
      <w:pPr>
        <w:spacing w:before="120" w:after="0" w:line="360" w:lineRule="auto"/>
        <w:jc w:val="both"/>
        <w:rPr>
          <w:rFonts w:ascii="Times New Roman" w:hAnsi="Times New Roman" w:cs="Times New Roman"/>
          <w:sz w:val="24"/>
          <w:szCs w:val="24"/>
        </w:rPr>
      </w:pPr>
    </w:p>
    <w:p w14:paraId="638FDBAA" w14:textId="78AB77D7" w:rsidR="00B006E6" w:rsidRDefault="00837A50" w:rsidP="00883793">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Niniejszy projekt ustawy zawiera propozycję </w:t>
      </w:r>
      <w:r w:rsidR="00274BB0" w:rsidRPr="00274BB0">
        <w:rPr>
          <w:rFonts w:ascii="Times New Roman" w:hAnsi="Times New Roman" w:cs="Times New Roman"/>
          <w:sz w:val="24"/>
          <w:szCs w:val="24"/>
        </w:rPr>
        <w:t>zmian</w:t>
      </w:r>
      <w:r w:rsidR="00274BB0">
        <w:rPr>
          <w:rFonts w:ascii="Times New Roman" w:hAnsi="Times New Roman" w:cs="Times New Roman"/>
          <w:sz w:val="24"/>
          <w:szCs w:val="24"/>
        </w:rPr>
        <w:t xml:space="preserve"> </w:t>
      </w:r>
      <w:r>
        <w:rPr>
          <w:rFonts w:ascii="Times New Roman" w:hAnsi="Times New Roman" w:cs="Times New Roman"/>
          <w:sz w:val="24"/>
          <w:szCs w:val="24"/>
        </w:rPr>
        <w:t>do ustawy</w:t>
      </w:r>
      <w:r w:rsidR="00274BB0">
        <w:rPr>
          <w:rFonts w:ascii="Times New Roman" w:hAnsi="Times New Roman" w:cs="Times New Roman"/>
          <w:sz w:val="24"/>
          <w:szCs w:val="24"/>
        </w:rPr>
        <w:t xml:space="preserve"> </w:t>
      </w:r>
      <w:r>
        <w:rPr>
          <w:rFonts w:ascii="Times New Roman" w:hAnsi="Times New Roman" w:cs="Times New Roman"/>
          <w:sz w:val="24"/>
          <w:szCs w:val="24"/>
        </w:rPr>
        <w:t>z dnia 22 maja 2003 r. o </w:t>
      </w:r>
      <w:r w:rsidR="00274BB0" w:rsidRPr="00274BB0">
        <w:rPr>
          <w:rFonts w:ascii="Times New Roman" w:hAnsi="Times New Roman" w:cs="Times New Roman"/>
          <w:sz w:val="24"/>
          <w:szCs w:val="24"/>
        </w:rPr>
        <w:t>ubezpieczeniach obowiązkowych, Ubezpiecz</w:t>
      </w:r>
      <w:r w:rsidR="009B6687">
        <w:rPr>
          <w:rFonts w:ascii="Times New Roman" w:hAnsi="Times New Roman" w:cs="Times New Roman"/>
          <w:sz w:val="24"/>
          <w:szCs w:val="24"/>
        </w:rPr>
        <w:t>eniowym Funduszu Gwarancyjnym i </w:t>
      </w:r>
      <w:r w:rsidR="00274BB0" w:rsidRPr="00274BB0">
        <w:rPr>
          <w:rFonts w:ascii="Times New Roman" w:hAnsi="Times New Roman" w:cs="Times New Roman"/>
          <w:sz w:val="24"/>
          <w:szCs w:val="24"/>
        </w:rPr>
        <w:t>Polskim Biurze Ubezpieczycieli Komunikacyjnych</w:t>
      </w:r>
      <w:r w:rsidR="00274BB0">
        <w:rPr>
          <w:rFonts w:ascii="Times New Roman" w:hAnsi="Times New Roman" w:cs="Times New Roman"/>
          <w:sz w:val="24"/>
          <w:szCs w:val="24"/>
        </w:rPr>
        <w:t xml:space="preserve"> (Dz. U. z 201</w:t>
      </w:r>
      <w:r w:rsidR="00F43134">
        <w:rPr>
          <w:rFonts w:ascii="Times New Roman" w:hAnsi="Times New Roman" w:cs="Times New Roman"/>
          <w:sz w:val="24"/>
          <w:szCs w:val="24"/>
        </w:rPr>
        <w:t>8</w:t>
      </w:r>
      <w:r w:rsidR="00274BB0">
        <w:rPr>
          <w:rFonts w:ascii="Times New Roman" w:hAnsi="Times New Roman" w:cs="Times New Roman"/>
          <w:sz w:val="24"/>
          <w:szCs w:val="24"/>
        </w:rPr>
        <w:t xml:space="preserve"> r. poz. </w:t>
      </w:r>
      <w:r w:rsidR="00F43134">
        <w:rPr>
          <w:rFonts w:ascii="Times New Roman" w:hAnsi="Times New Roman" w:cs="Times New Roman"/>
          <w:sz w:val="24"/>
          <w:szCs w:val="24"/>
        </w:rPr>
        <w:t>473</w:t>
      </w:r>
      <w:r w:rsidR="00274BB0">
        <w:rPr>
          <w:rFonts w:ascii="Times New Roman" w:hAnsi="Times New Roman" w:cs="Times New Roman"/>
          <w:sz w:val="24"/>
          <w:szCs w:val="24"/>
        </w:rPr>
        <w:t>), dalej jako „ustawa”</w:t>
      </w:r>
      <w:r w:rsidR="00C57700">
        <w:rPr>
          <w:rFonts w:ascii="Times New Roman" w:hAnsi="Times New Roman" w:cs="Times New Roman"/>
          <w:sz w:val="24"/>
          <w:szCs w:val="24"/>
        </w:rPr>
        <w:t xml:space="preserve"> lub „ustawa o ubezpieczeniach obowiązkowych”</w:t>
      </w:r>
      <w:r w:rsidR="00274BB0">
        <w:rPr>
          <w:rFonts w:ascii="Times New Roman" w:hAnsi="Times New Roman" w:cs="Times New Roman"/>
          <w:sz w:val="24"/>
          <w:szCs w:val="24"/>
        </w:rPr>
        <w:t xml:space="preserve">. </w:t>
      </w:r>
    </w:p>
    <w:p w14:paraId="20EAE632" w14:textId="3429360D" w:rsidR="00837A50" w:rsidRDefault="00837A50" w:rsidP="00883793">
      <w:pPr>
        <w:spacing w:before="120" w:after="0" w:line="360" w:lineRule="auto"/>
        <w:jc w:val="both"/>
        <w:rPr>
          <w:rFonts w:ascii="Times New Roman" w:hAnsi="Times New Roman" w:cs="Times New Roman"/>
          <w:sz w:val="24"/>
          <w:szCs w:val="24"/>
        </w:rPr>
      </w:pPr>
      <w:r w:rsidRPr="00837A50">
        <w:rPr>
          <w:rFonts w:ascii="Times New Roman" w:hAnsi="Times New Roman" w:cs="Times New Roman"/>
          <w:sz w:val="24"/>
          <w:szCs w:val="24"/>
        </w:rPr>
        <w:t xml:space="preserve">Konieczność nowelizacji przepisów ustawy wynika z regulacji </w:t>
      </w:r>
      <w:r w:rsidR="001D5C29">
        <w:rPr>
          <w:rFonts w:ascii="Times New Roman" w:hAnsi="Times New Roman" w:cs="Times New Roman"/>
          <w:i/>
          <w:sz w:val="24"/>
          <w:szCs w:val="24"/>
        </w:rPr>
        <w:t>d</w:t>
      </w:r>
      <w:r w:rsidRPr="00C54074">
        <w:rPr>
          <w:rFonts w:ascii="Times New Roman" w:hAnsi="Times New Roman" w:cs="Times New Roman"/>
          <w:i/>
          <w:sz w:val="24"/>
          <w:szCs w:val="24"/>
        </w:rPr>
        <w:t xml:space="preserve">yrektywy Parlamentu Europejskiego i Rady 2009/103/WE z dnia 16 września 2009 r. w sprawie ubezpieczenia </w:t>
      </w:r>
      <w:r w:rsidR="007F35A9">
        <w:rPr>
          <w:rFonts w:ascii="Times New Roman" w:hAnsi="Times New Roman" w:cs="Times New Roman"/>
          <w:i/>
          <w:sz w:val="24"/>
          <w:szCs w:val="24"/>
        </w:rPr>
        <w:t xml:space="preserve">od </w:t>
      </w:r>
      <w:r w:rsidRPr="00C54074">
        <w:rPr>
          <w:rFonts w:ascii="Times New Roman" w:hAnsi="Times New Roman" w:cs="Times New Roman"/>
          <w:i/>
          <w:sz w:val="24"/>
          <w:szCs w:val="24"/>
        </w:rPr>
        <w:t>odpowiedzialności cywilnej za szkody powstałe w związku z ruchem pojazdów mechanicznych i e</w:t>
      </w:r>
      <w:r w:rsidR="00C647D6">
        <w:rPr>
          <w:rFonts w:ascii="Times New Roman" w:hAnsi="Times New Roman" w:cs="Times New Roman"/>
          <w:i/>
          <w:sz w:val="24"/>
          <w:szCs w:val="24"/>
        </w:rPr>
        <w:t>gzekwowania obowiązku ubezpiecza</w:t>
      </w:r>
      <w:r w:rsidRPr="00C54074">
        <w:rPr>
          <w:rFonts w:ascii="Times New Roman" w:hAnsi="Times New Roman" w:cs="Times New Roman"/>
          <w:i/>
          <w:sz w:val="24"/>
          <w:szCs w:val="24"/>
        </w:rPr>
        <w:t>nia od takiej odpowiedzialności</w:t>
      </w:r>
      <w:r w:rsidRPr="00837A50">
        <w:rPr>
          <w:rFonts w:ascii="Times New Roman" w:hAnsi="Times New Roman" w:cs="Times New Roman"/>
          <w:sz w:val="24"/>
          <w:szCs w:val="24"/>
        </w:rPr>
        <w:t xml:space="preserve"> (Dz. Urz. </w:t>
      </w:r>
      <w:r w:rsidR="001D5C29">
        <w:rPr>
          <w:rFonts w:ascii="Times New Roman" w:hAnsi="Times New Roman" w:cs="Times New Roman"/>
          <w:sz w:val="24"/>
          <w:szCs w:val="24"/>
        </w:rPr>
        <w:t xml:space="preserve">UE </w:t>
      </w:r>
      <w:r w:rsidR="00FC6DA1">
        <w:rPr>
          <w:rFonts w:ascii="Times New Roman" w:hAnsi="Times New Roman" w:cs="Times New Roman"/>
          <w:sz w:val="24"/>
          <w:szCs w:val="24"/>
        </w:rPr>
        <w:t>L 263 z 07.10.2009, str. 11</w:t>
      </w:r>
      <w:r w:rsidRPr="00837A50">
        <w:rPr>
          <w:rFonts w:ascii="Times New Roman" w:hAnsi="Times New Roman" w:cs="Times New Roman"/>
          <w:sz w:val="24"/>
          <w:szCs w:val="24"/>
        </w:rPr>
        <w:t>)</w:t>
      </w:r>
      <w:r w:rsidR="00A352A7">
        <w:rPr>
          <w:rFonts w:ascii="Times New Roman" w:hAnsi="Times New Roman" w:cs="Times New Roman"/>
          <w:sz w:val="24"/>
          <w:szCs w:val="24"/>
        </w:rPr>
        <w:t>, dalej jako „dyrektywa 2009/103/WE”,</w:t>
      </w:r>
      <w:r w:rsidR="009B6687">
        <w:rPr>
          <w:rFonts w:ascii="Times New Roman" w:hAnsi="Times New Roman" w:cs="Times New Roman"/>
          <w:sz w:val="24"/>
          <w:szCs w:val="24"/>
        </w:rPr>
        <w:t xml:space="preserve"> w </w:t>
      </w:r>
      <w:r w:rsidRPr="00837A50">
        <w:rPr>
          <w:rFonts w:ascii="Times New Roman" w:hAnsi="Times New Roman" w:cs="Times New Roman"/>
          <w:sz w:val="24"/>
          <w:szCs w:val="24"/>
        </w:rPr>
        <w:t>zakresie dostosowania, zgodnie ze stopą inflacji cen konsumpcyjnych, minimalnych sum gwarancyjnych w obowiązkowym ubezpieczeniu odpowiedzialności cywilnej posiadaczy pojazdów mechanicznych za szkody powstałe w związku z ruchem tych pojazdów oraz obowiązkowym ubezpieczeniu odpowi</w:t>
      </w:r>
      <w:r w:rsidR="009B6687">
        <w:rPr>
          <w:rFonts w:ascii="Times New Roman" w:hAnsi="Times New Roman" w:cs="Times New Roman"/>
          <w:sz w:val="24"/>
          <w:szCs w:val="24"/>
        </w:rPr>
        <w:t>edzialności cywilnej rolników z </w:t>
      </w:r>
      <w:r w:rsidRPr="00837A50">
        <w:rPr>
          <w:rFonts w:ascii="Times New Roman" w:hAnsi="Times New Roman" w:cs="Times New Roman"/>
          <w:sz w:val="24"/>
          <w:szCs w:val="24"/>
        </w:rPr>
        <w:t xml:space="preserve">tytułu posiadania gospodarstwa rolnego (z uwagi na objęcie tym ubezpieczeniem szkód wyrządzonych ruchem pojazdów wolnobieżnych będących w posiadaniu rolników posiadających gospodarstwo rolne i użytkowanych w związku z posiadaniem tego gospodarstwa). </w:t>
      </w:r>
      <w:r>
        <w:rPr>
          <w:rFonts w:ascii="Times New Roman" w:hAnsi="Times New Roman" w:cs="Times New Roman"/>
          <w:sz w:val="24"/>
          <w:szCs w:val="24"/>
        </w:rPr>
        <w:t xml:space="preserve">Na podstawie </w:t>
      </w:r>
      <w:r w:rsidRPr="00837A50">
        <w:rPr>
          <w:rFonts w:ascii="Times New Roman" w:hAnsi="Times New Roman" w:cs="Times New Roman"/>
          <w:sz w:val="24"/>
          <w:szCs w:val="24"/>
        </w:rPr>
        <w:t>art. 9 ust. 2</w:t>
      </w:r>
      <w:r w:rsidR="00883793">
        <w:rPr>
          <w:rFonts w:ascii="Times New Roman" w:hAnsi="Times New Roman" w:cs="Times New Roman"/>
          <w:sz w:val="24"/>
          <w:szCs w:val="24"/>
        </w:rPr>
        <w:t xml:space="preserve"> </w:t>
      </w:r>
      <w:r>
        <w:rPr>
          <w:rFonts w:ascii="Times New Roman" w:hAnsi="Times New Roman" w:cs="Times New Roman"/>
          <w:sz w:val="24"/>
          <w:szCs w:val="24"/>
        </w:rPr>
        <w:t>dyrektywy</w:t>
      </w:r>
      <w:r w:rsidR="001D5C29">
        <w:rPr>
          <w:rFonts w:ascii="Times New Roman" w:hAnsi="Times New Roman" w:cs="Times New Roman"/>
          <w:sz w:val="24"/>
          <w:szCs w:val="24"/>
        </w:rPr>
        <w:t xml:space="preserve"> </w:t>
      </w:r>
      <w:r w:rsidR="001D5C29" w:rsidRPr="001D5C29">
        <w:rPr>
          <w:rFonts w:ascii="Times New Roman" w:hAnsi="Times New Roman" w:cs="Times New Roman"/>
          <w:sz w:val="24"/>
          <w:szCs w:val="24"/>
        </w:rPr>
        <w:t>2009/103/WE</w:t>
      </w:r>
      <w:r>
        <w:rPr>
          <w:rFonts w:ascii="Times New Roman" w:hAnsi="Times New Roman" w:cs="Times New Roman"/>
          <w:sz w:val="24"/>
          <w:szCs w:val="24"/>
        </w:rPr>
        <w:t>, co pięć lat od dnia 11 czerwca 2005 r. lub na koniec okresu przejściowego, trwającego najpóźniej do dnia 11 czerwca 2012 r.,</w:t>
      </w:r>
      <w:r w:rsidR="00C44850">
        <w:rPr>
          <w:rFonts w:ascii="Times New Roman" w:hAnsi="Times New Roman" w:cs="Times New Roman"/>
          <w:sz w:val="24"/>
          <w:szCs w:val="24"/>
        </w:rPr>
        <w:t xml:space="preserve"> kwoty sum gwarancyjnych, o których mowa w art. 9 ust. 1, podlegają przeglądowi z uwzględnieniem wskaźnika cen konsumpcyjnych (obecnie </w:t>
      </w:r>
      <w:r w:rsidR="00C44850" w:rsidRPr="00C44850">
        <w:rPr>
          <w:rFonts w:ascii="Times New Roman" w:hAnsi="Times New Roman" w:cs="Times New Roman"/>
          <w:sz w:val="24"/>
          <w:szCs w:val="24"/>
        </w:rPr>
        <w:t>zharmonizowanego wskaźnika cen konsumpcyjnych – HICP</w:t>
      </w:r>
      <w:r w:rsidR="00C44850">
        <w:rPr>
          <w:rFonts w:ascii="Times New Roman" w:hAnsi="Times New Roman" w:cs="Times New Roman"/>
          <w:sz w:val="24"/>
          <w:szCs w:val="24"/>
        </w:rPr>
        <w:t>). Kwoty te są dostosowywane automatycznie i podnoszone o wielkość stanowiącą procentową zmianę wskazaną przez HICP za odpowiedni okres i zaokr</w:t>
      </w:r>
      <w:r w:rsidR="00746DEB">
        <w:rPr>
          <w:rFonts w:ascii="Times New Roman" w:hAnsi="Times New Roman" w:cs="Times New Roman"/>
          <w:sz w:val="24"/>
          <w:szCs w:val="24"/>
        </w:rPr>
        <w:t>ąglane do wielokrotności 10 000 </w:t>
      </w:r>
      <w:r w:rsidR="00C44850">
        <w:rPr>
          <w:rFonts w:ascii="Times New Roman" w:hAnsi="Times New Roman" w:cs="Times New Roman"/>
          <w:sz w:val="24"/>
          <w:szCs w:val="24"/>
        </w:rPr>
        <w:t>EUR. Komisja informuje Parlament Europejski i Radę o dostosowanych kwotach oraz zapewnia ich publikację w Dzienniku Urzędowym Unii Europejskiej</w:t>
      </w:r>
      <w:r w:rsidR="00000531">
        <w:rPr>
          <w:rFonts w:ascii="Times New Roman" w:hAnsi="Times New Roman" w:cs="Times New Roman"/>
          <w:sz w:val="24"/>
          <w:szCs w:val="24"/>
        </w:rPr>
        <w:t>.</w:t>
      </w:r>
    </w:p>
    <w:p w14:paraId="6E8DD30B" w14:textId="4DA7EAF7" w:rsidR="00837A50" w:rsidRDefault="00837A50" w:rsidP="00883793">
      <w:pPr>
        <w:spacing w:before="120" w:after="0" w:line="360" w:lineRule="auto"/>
        <w:jc w:val="both"/>
        <w:rPr>
          <w:rFonts w:ascii="Times New Roman" w:hAnsi="Times New Roman" w:cs="Times New Roman"/>
          <w:sz w:val="24"/>
          <w:szCs w:val="24"/>
        </w:rPr>
      </w:pPr>
      <w:r w:rsidRPr="00837A50">
        <w:rPr>
          <w:rFonts w:ascii="Times New Roman" w:hAnsi="Times New Roman" w:cs="Times New Roman"/>
          <w:sz w:val="24"/>
          <w:szCs w:val="24"/>
        </w:rPr>
        <w:t>Rzeczpospolita Polska skorzystała z okresu przejściowego na dostosowanie wysokości minimalnych sum gwarancyjnych do dnia 11 czerwca 2012 r. Minimalne sumy gwarancyjne są podnoszone o wielkość stanowiącą zmianę procentową wskazaną przez HICP za okres pięciu lat od końca okresu przejściowego</w:t>
      </w:r>
      <w:r w:rsidR="00CF1AF4">
        <w:rPr>
          <w:rFonts w:ascii="Times New Roman" w:hAnsi="Times New Roman" w:cs="Times New Roman"/>
          <w:sz w:val="24"/>
          <w:szCs w:val="24"/>
        </w:rPr>
        <w:t xml:space="preserve"> (za okres od czerwca 2012 </w:t>
      </w:r>
      <w:r w:rsidR="002E1AAD">
        <w:rPr>
          <w:rFonts w:ascii="Times New Roman" w:hAnsi="Times New Roman" w:cs="Times New Roman"/>
          <w:sz w:val="24"/>
          <w:szCs w:val="24"/>
        </w:rPr>
        <w:t xml:space="preserve">r. </w:t>
      </w:r>
      <w:r w:rsidR="00CF1AF4">
        <w:rPr>
          <w:rFonts w:ascii="Times New Roman" w:hAnsi="Times New Roman" w:cs="Times New Roman"/>
          <w:sz w:val="24"/>
          <w:szCs w:val="24"/>
        </w:rPr>
        <w:t>do czerwca 2017</w:t>
      </w:r>
      <w:r w:rsidR="002E1AAD">
        <w:rPr>
          <w:rFonts w:ascii="Times New Roman" w:hAnsi="Times New Roman" w:cs="Times New Roman"/>
          <w:sz w:val="24"/>
          <w:szCs w:val="24"/>
        </w:rPr>
        <w:t xml:space="preserve"> r.</w:t>
      </w:r>
      <w:r w:rsidR="00CF1AF4">
        <w:rPr>
          <w:rFonts w:ascii="Times New Roman" w:hAnsi="Times New Roman" w:cs="Times New Roman"/>
          <w:sz w:val="24"/>
          <w:szCs w:val="24"/>
        </w:rPr>
        <w:t xml:space="preserve"> wskaźnik wzrósł o 4,14%)</w:t>
      </w:r>
      <w:r w:rsidRPr="00837A50">
        <w:rPr>
          <w:rFonts w:ascii="Times New Roman" w:hAnsi="Times New Roman" w:cs="Times New Roman"/>
          <w:sz w:val="24"/>
          <w:szCs w:val="24"/>
        </w:rPr>
        <w:t xml:space="preserve"> i zaokr</w:t>
      </w:r>
      <w:r w:rsidR="00746DEB">
        <w:rPr>
          <w:rFonts w:ascii="Times New Roman" w:hAnsi="Times New Roman" w:cs="Times New Roman"/>
          <w:sz w:val="24"/>
          <w:szCs w:val="24"/>
        </w:rPr>
        <w:t>ąglane do wielokrotności 10 000 </w:t>
      </w:r>
      <w:r w:rsidRPr="00837A50">
        <w:rPr>
          <w:rFonts w:ascii="Times New Roman" w:hAnsi="Times New Roman" w:cs="Times New Roman"/>
          <w:sz w:val="24"/>
          <w:szCs w:val="24"/>
        </w:rPr>
        <w:t xml:space="preserve">euro. </w:t>
      </w:r>
    </w:p>
    <w:p w14:paraId="51E646C1" w14:textId="77777777" w:rsidR="00CF1AF4" w:rsidRPr="00CF1AF4" w:rsidRDefault="00CF1AF4" w:rsidP="00883793">
      <w:pPr>
        <w:spacing w:before="120" w:after="0" w:line="360" w:lineRule="auto"/>
        <w:jc w:val="both"/>
        <w:rPr>
          <w:rFonts w:ascii="Times New Roman" w:hAnsi="Times New Roman" w:cs="Times New Roman"/>
          <w:sz w:val="24"/>
          <w:szCs w:val="24"/>
        </w:rPr>
      </w:pPr>
      <w:r w:rsidRPr="00CF1AF4">
        <w:rPr>
          <w:rFonts w:ascii="Times New Roman" w:hAnsi="Times New Roman" w:cs="Times New Roman"/>
          <w:sz w:val="24"/>
          <w:szCs w:val="24"/>
        </w:rPr>
        <w:lastRenderedPageBreak/>
        <w:t xml:space="preserve">W wyniku przeglądu kwoty określone w euro są następujące: </w:t>
      </w:r>
    </w:p>
    <w:p w14:paraId="0A353A66" w14:textId="678A4E06" w:rsidR="00CF1AF4" w:rsidRPr="00CF1AF4" w:rsidRDefault="00883793" w:rsidP="00883793">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CF1AF4" w:rsidRPr="00CF1AF4">
        <w:rPr>
          <w:rFonts w:ascii="Times New Roman" w:hAnsi="Times New Roman" w:cs="Times New Roman"/>
          <w:sz w:val="24"/>
          <w:szCs w:val="24"/>
        </w:rPr>
        <w:t>w przypadku szkody na osobie – minimalną s</w:t>
      </w:r>
      <w:r w:rsidR="00CF1AF4">
        <w:rPr>
          <w:rFonts w:ascii="Times New Roman" w:hAnsi="Times New Roman" w:cs="Times New Roman"/>
          <w:sz w:val="24"/>
          <w:szCs w:val="24"/>
        </w:rPr>
        <w:t xml:space="preserve">umę gwarancyjną podwyższono do </w:t>
      </w:r>
      <w:r w:rsidR="00CF1AF4" w:rsidRPr="00CF1AF4">
        <w:rPr>
          <w:rFonts w:ascii="Times New Roman" w:hAnsi="Times New Roman" w:cs="Times New Roman"/>
          <w:sz w:val="24"/>
          <w:szCs w:val="24"/>
        </w:rPr>
        <w:t>1</w:t>
      </w:r>
      <w:r w:rsidR="00746DEB">
        <w:rPr>
          <w:rFonts w:ascii="Times New Roman" w:hAnsi="Times New Roman" w:cs="Times New Roman"/>
          <w:sz w:val="24"/>
          <w:szCs w:val="24"/>
        </w:rPr>
        <w:t> </w:t>
      </w:r>
      <w:r w:rsidR="00CF1AF4">
        <w:rPr>
          <w:rFonts w:ascii="Times New Roman" w:hAnsi="Times New Roman" w:cs="Times New Roman"/>
          <w:sz w:val="24"/>
          <w:szCs w:val="24"/>
        </w:rPr>
        <w:t>050</w:t>
      </w:r>
      <w:r w:rsidR="00CF1AF4" w:rsidRPr="00CF1AF4">
        <w:rPr>
          <w:rFonts w:ascii="Times New Roman" w:hAnsi="Times New Roman" w:cs="Times New Roman"/>
          <w:sz w:val="24"/>
          <w:szCs w:val="24"/>
        </w:rPr>
        <w:t xml:space="preserve"> 000 EUR na jednego poszkodowanego lub </w:t>
      </w:r>
      <w:r w:rsidR="00CF1AF4">
        <w:rPr>
          <w:rFonts w:ascii="Times New Roman" w:hAnsi="Times New Roman" w:cs="Times New Roman"/>
          <w:sz w:val="24"/>
          <w:szCs w:val="24"/>
        </w:rPr>
        <w:t>5 210</w:t>
      </w:r>
      <w:r w:rsidR="00CF1AF4" w:rsidRPr="00CF1AF4">
        <w:rPr>
          <w:rFonts w:ascii="Times New Roman" w:hAnsi="Times New Roman" w:cs="Times New Roman"/>
          <w:sz w:val="24"/>
          <w:szCs w:val="24"/>
        </w:rPr>
        <w:t xml:space="preserve"> 000 EUR na jedno zdarzenie szkodowe, niezależnie od liczby poszkodowanych; </w:t>
      </w:r>
    </w:p>
    <w:p w14:paraId="370E1E31" w14:textId="1D5F0597" w:rsidR="00CF1AF4" w:rsidRPr="00837A50" w:rsidRDefault="00883793" w:rsidP="00883793">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CF1AF4" w:rsidRPr="00CF1AF4">
        <w:rPr>
          <w:rFonts w:ascii="Times New Roman" w:hAnsi="Times New Roman" w:cs="Times New Roman"/>
          <w:sz w:val="24"/>
          <w:szCs w:val="24"/>
        </w:rPr>
        <w:t>w przypadku szkody materialnej – m</w:t>
      </w:r>
      <w:r w:rsidR="00746DEB">
        <w:rPr>
          <w:rFonts w:ascii="Times New Roman" w:hAnsi="Times New Roman" w:cs="Times New Roman"/>
          <w:sz w:val="24"/>
          <w:szCs w:val="24"/>
        </w:rPr>
        <w:t>inimalną kwotę podwyższono do 1 </w:t>
      </w:r>
      <w:r w:rsidR="00CF1AF4">
        <w:rPr>
          <w:rFonts w:ascii="Times New Roman" w:hAnsi="Times New Roman" w:cs="Times New Roman"/>
          <w:sz w:val="24"/>
          <w:szCs w:val="24"/>
        </w:rPr>
        <w:t>05</w:t>
      </w:r>
      <w:r w:rsidR="00746DEB">
        <w:rPr>
          <w:rFonts w:ascii="Times New Roman" w:hAnsi="Times New Roman" w:cs="Times New Roman"/>
          <w:sz w:val="24"/>
          <w:szCs w:val="24"/>
        </w:rPr>
        <w:t>0 000 </w:t>
      </w:r>
      <w:r w:rsidR="00CF1AF4" w:rsidRPr="00CF1AF4">
        <w:rPr>
          <w:rFonts w:ascii="Times New Roman" w:hAnsi="Times New Roman" w:cs="Times New Roman"/>
          <w:sz w:val="24"/>
          <w:szCs w:val="24"/>
        </w:rPr>
        <w:t>EUR na jedno zdarzenie szkodowe, niezależnie od liczby poszkodowanych.</w:t>
      </w:r>
    </w:p>
    <w:p w14:paraId="33A90E0D" w14:textId="77777777" w:rsidR="00837A50" w:rsidRPr="00837A50" w:rsidRDefault="00837A50" w:rsidP="00883793">
      <w:pPr>
        <w:spacing w:before="120" w:after="0" w:line="360" w:lineRule="auto"/>
        <w:jc w:val="both"/>
        <w:rPr>
          <w:rFonts w:ascii="Times New Roman" w:hAnsi="Times New Roman" w:cs="Times New Roman"/>
          <w:sz w:val="24"/>
          <w:szCs w:val="24"/>
        </w:rPr>
      </w:pPr>
      <w:r w:rsidRPr="00837A50">
        <w:rPr>
          <w:rFonts w:ascii="Times New Roman" w:hAnsi="Times New Roman" w:cs="Times New Roman"/>
          <w:sz w:val="24"/>
          <w:szCs w:val="24"/>
        </w:rPr>
        <w:t>W prawie krajowym minimalne sumy gwarancyjne są określone w ustawie, w związku z czym podwyższenie minimalnych sum gwarancyjnych wymaga dokonania zmian ustawowych</w:t>
      </w:r>
      <w:r w:rsidR="00CF1AF4">
        <w:rPr>
          <w:rFonts w:ascii="Times New Roman" w:hAnsi="Times New Roman" w:cs="Times New Roman"/>
          <w:sz w:val="24"/>
          <w:szCs w:val="24"/>
        </w:rPr>
        <w:t>, tj. w zakresie art. 36 ust. 1 oraz art. 52 ustawy</w:t>
      </w:r>
      <w:r w:rsidRPr="00837A50">
        <w:rPr>
          <w:rFonts w:ascii="Times New Roman" w:hAnsi="Times New Roman" w:cs="Times New Roman"/>
          <w:sz w:val="24"/>
          <w:szCs w:val="24"/>
        </w:rPr>
        <w:t>. Zmiany w tym zakresie powinny zostać zaimplementowane do dnia 31 grudnia 2018 r.</w:t>
      </w:r>
    </w:p>
    <w:p w14:paraId="3A5CE456" w14:textId="7575743F" w:rsidR="00F24F00" w:rsidRDefault="00B0590C" w:rsidP="00883793">
      <w:pPr>
        <w:spacing w:before="120" w:after="0" w:line="360" w:lineRule="auto"/>
        <w:jc w:val="both"/>
        <w:rPr>
          <w:rFonts w:ascii="Times New Roman" w:hAnsi="Times New Roman" w:cs="Times New Roman"/>
          <w:sz w:val="24"/>
          <w:szCs w:val="24"/>
        </w:rPr>
      </w:pPr>
      <w:r w:rsidRPr="00B0590C">
        <w:rPr>
          <w:rFonts w:ascii="Times New Roman" w:hAnsi="Times New Roman" w:cs="Times New Roman"/>
          <w:sz w:val="24"/>
          <w:szCs w:val="24"/>
        </w:rPr>
        <w:t>Proponow</w:t>
      </w:r>
      <w:r w:rsidR="000A0298">
        <w:rPr>
          <w:rFonts w:ascii="Times New Roman" w:hAnsi="Times New Roman" w:cs="Times New Roman"/>
          <w:sz w:val="24"/>
          <w:szCs w:val="24"/>
        </w:rPr>
        <w:t>ana</w:t>
      </w:r>
      <w:r w:rsidRPr="00B0590C">
        <w:rPr>
          <w:rFonts w:ascii="Times New Roman" w:hAnsi="Times New Roman" w:cs="Times New Roman"/>
          <w:sz w:val="24"/>
          <w:szCs w:val="24"/>
        </w:rPr>
        <w:t xml:space="preserve"> </w:t>
      </w:r>
      <w:r w:rsidR="000A0298">
        <w:rPr>
          <w:rFonts w:ascii="Times New Roman" w:hAnsi="Times New Roman" w:cs="Times New Roman"/>
          <w:sz w:val="24"/>
          <w:szCs w:val="24"/>
        </w:rPr>
        <w:t xml:space="preserve">zmiana ustawy </w:t>
      </w:r>
      <w:r w:rsidR="00837B43">
        <w:rPr>
          <w:rFonts w:ascii="Times New Roman" w:hAnsi="Times New Roman" w:cs="Times New Roman"/>
          <w:sz w:val="24"/>
          <w:szCs w:val="24"/>
        </w:rPr>
        <w:t xml:space="preserve">(dodanie art. 14a) </w:t>
      </w:r>
      <w:r w:rsidR="000A0298">
        <w:rPr>
          <w:rFonts w:ascii="Times New Roman" w:hAnsi="Times New Roman" w:cs="Times New Roman"/>
          <w:sz w:val="24"/>
          <w:szCs w:val="24"/>
        </w:rPr>
        <w:t xml:space="preserve">ma na celu doprecyzowanie obowiązujących regulacji w przypadku zaistnienia ewentualnego sporu </w:t>
      </w:r>
      <w:r w:rsidR="00996BFD">
        <w:rPr>
          <w:rFonts w:ascii="Times New Roman" w:hAnsi="Times New Roman" w:cs="Times New Roman"/>
          <w:sz w:val="24"/>
          <w:szCs w:val="24"/>
        </w:rPr>
        <w:t xml:space="preserve">kompetencyjnego </w:t>
      </w:r>
      <w:r w:rsidR="000A0298">
        <w:rPr>
          <w:rFonts w:ascii="Times New Roman" w:hAnsi="Times New Roman" w:cs="Times New Roman"/>
          <w:sz w:val="24"/>
          <w:szCs w:val="24"/>
        </w:rPr>
        <w:t xml:space="preserve">pomiędzy Ubezpieczeniowym Funduszem Gwarancyjnym </w:t>
      </w:r>
      <w:r w:rsidR="00FC6DA1">
        <w:rPr>
          <w:rFonts w:ascii="Times New Roman" w:hAnsi="Times New Roman" w:cs="Times New Roman"/>
          <w:sz w:val="24"/>
          <w:szCs w:val="24"/>
        </w:rPr>
        <w:t>a</w:t>
      </w:r>
      <w:r w:rsidR="000A0298">
        <w:rPr>
          <w:rFonts w:ascii="Times New Roman" w:hAnsi="Times New Roman" w:cs="Times New Roman"/>
          <w:sz w:val="24"/>
          <w:szCs w:val="24"/>
        </w:rPr>
        <w:t xml:space="preserve"> zakładem ubezpieczeń</w:t>
      </w:r>
      <w:r w:rsidR="00F24F00">
        <w:rPr>
          <w:rFonts w:ascii="Times New Roman" w:hAnsi="Times New Roman" w:cs="Times New Roman"/>
          <w:sz w:val="24"/>
          <w:szCs w:val="24"/>
        </w:rPr>
        <w:t>,</w:t>
      </w:r>
      <w:r w:rsidR="000A0298">
        <w:rPr>
          <w:rFonts w:ascii="Times New Roman" w:hAnsi="Times New Roman" w:cs="Times New Roman"/>
          <w:sz w:val="24"/>
          <w:szCs w:val="24"/>
        </w:rPr>
        <w:t xml:space="preserve"> </w:t>
      </w:r>
      <w:r w:rsidR="00F24F00">
        <w:rPr>
          <w:rFonts w:ascii="Times New Roman" w:hAnsi="Times New Roman" w:cs="Times New Roman"/>
          <w:sz w:val="24"/>
          <w:szCs w:val="24"/>
        </w:rPr>
        <w:t>dotyczącego ustalenia, który z nich jest zobowiązany do wypłaty świadczenia osobie poszkodowanej</w:t>
      </w:r>
      <w:r w:rsidR="000A0298">
        <w:rPr>
          <w:rFonts w:ascii="Times New Roman" w:hAnsi="Times New Roman" w:cs="Times New Roman"/>
          <w:sz w:val="24"/>
          <w:szCs w:val="24"/>
        </w:rPr>
        <w:t xml:space="preserve">. </w:t>
      </w:r>
      <w:r w:rsidR="00F24F00">
        <w:rPr>
          <w:rFonts w:ascii="Times New Roman" w:hAnsi="Times New Roman" w:cs="Times New Roman"/>
          <w:sz w:val="24"/>
          <w:szCs w:val="24"/>
        </w:rPr>
        <w:t xml:space="preserve">Przepis art. 11 dyrektywy </w:t>
      </w:r>
      <w:r w:rsidR="00F24F00" w:rsidRPr="00F24F00">
        <w:rPr>
          <w:rFonts w:ascii="Times New Roman" w:hAnsi="Times New Roman" w:cs="Times New Roman"/>
          <w:sz w:val="24"/>
          <w:szCs w:val="24"/>
        </w:rPr>
        <w:t>2009/103/WE</w:t>
      </w:r>
      <w:r w:rsidR="00F24F00">
        <w:rPr>
          <w:rFonts w:ascii="Times New Roman" w:hAnsi="Times New Roman" w:cs="Times New Roman"/>
          <w:sz w:val="24"/>
          <w:szCs w:val="24"/>
        </w:rPr>
        <w:t xml:space="preserve"> wskazuje, iż w przypadku sporu </w:t>
      </w:r>
      <w:r w:rsidR="00F24F00" w:rsidRPr="00F24F00">
        <w:rPr>
          <w:rFonts w:ascii="Times New Roman" w:hAnsi="Times New Roman" w:cs="Times New Roman"/>
          <w:sz w:val="24"/>
          <w:szCs w:val="24"/>
        </w:rPr>
        <w:t>między organem, okreś</w:t>
      </w:r>
      <w:r w:rsidR="00746DEB">
        <w:rPr>
          <w:rFonts w:ascii="Times New Roman" w:hAnsi="Times New Roman" w:cs="Times New Roman"/>
          <w:sz w:val="24"/>
          <w:szCs w:val="24"/>
        </w:rPr>
        <w:t xml:space="preserve">lonym w art. 10 ust. 1 (UFG), </w:t>
      </w:r>
      <w:r w:rsidR="00FC6DA1">
        <w:rPr>
          <w:rFonts w:ascii="Times New Roman" w:hAnsi="Times New Roman" w:cs="Times New Roman"/>
          <w:sz w:val="24"/>
          <w:szCs w:val="24"/>
        </w:rPr>
        <w:t>a</w:t>
      </w:r>
      <w:r w:rsidR="00746DEB">
        <w:rPr>
          <w:rFonts w:ascii="Times New Roman" w:hAnsi="Times New Roman" w:cs="Times New Roman"/>
          <w:sz w:val="24"/>
          <w:szCs w:val="24"/>
        </w:rPr>
        <w:t> </w:t>
      </w:r>
      <w:r w:rsidR="00F24F00" w:rsidRPr="00F24F00">
        <w:rPr>
          <w:rFonts w:ascii="Times New Roman" w:hAnsi="Times New Roman" w:cs="Times New Roman"/>
          <w:sz w:val="24"/>
          <w:szCs w:val="24"/>
        </w:rPr>
        <w:t>ubezpieczycielem udzielającym ochrony w zakresie odpowiedzialności cywilnej, dotyczącego ustalenia, który z nich musi wypłacić odszkodowanie osobie poszkodowanej, państwa członkowskie podejmują właściwe środki w celu wyznaczenia jednej z tych stron jako odpowiedzialnej w pierwszej kolejności za niezwłoczne wypłacenie odszkodowania osobie poszkodowanej. Jednocześnie jeżeli zostanie ostatecznie ustalone, że druga strona powinna zapłacić całość lub część odszkodowania, strona ta odpowiednio zwróci należność stronie, która dokonała wypłaty.</w:t>
      </w:r>
    </w:p>
    <w:p w14:paraId="510E8D22" w14:textId="35F991F1" w:rsidR="00254154" w:rsidRDefault="00F24F00" w:rsidP="00883793">
      <w:pPr>
        <w:spacing w:before="120" w:after="0" w:line="360" w:lineRule="auto"/>
        <w:jc w:val="both"/>
        <w:rPr>
          <w:rFonts w:ascii="Times New Roman" w:hAnsi="Times New Roman" w:cs="Times New Roman"/>
          <w:sz w:val="24"/>
          <w:szCs w:val="24"/>
        </w:rPr>
      </w:pPr>
      <w:r w:rsidRPr="00F24F00">
        <w:rPr>
          <w:rFonts w:ascii="Times New Roman" w:hAnsi="Times New Roman" w:cs="Times New Roman"/>
          <w:sz w:val="24"/>
          <w:szCs w:val="24"/>
        </w:rPr>
        <w:t xml:space="preserve">W </w:t>
      </w:r>
      <w:r w:rsidR="00B92B59">
        <w:rPr>
          <w:rFonts w:ascii="Times New Roman" w:hAnsi="Times New Roman" w:cs="Times New Roman"/>
          <w:sz w:val="24"/>
          <w:szCs w:val="24"/>
        </w:rPr>
        <w:t>oparciu o powyższe regulacje, projekt</w:t>
      </w:r>
      <w:r w:rsidRPr="00F24F00">
        <w:rPr>
          <w:rFonts w:ascii="Times New Roman" w:hAnsi="Times New Roman" w:cs="Times New Roman"/>
          <w:sz w:val="24"/>
          <w:szCs w:val="24"/>
        </w:rPr>
        <w:t xml:space="preserve"> ustawy </w:t>
      </w:r>
      <w:r w:rsidR="00B92B59">
        <w:rPr>
          <w:rFonts w:ascii="Times New Roman" w:hAnsi="Times New Roman" w:cs="Times New Roman"/>
          <w:sz w:val="24"/>
          <w:szCs w:val="24"/>
        </w:rPr>
        <w:t xml:space="preserve">wskazuje jedną ze stron, </w:t>
      </w:r>
      <w:r w:rsidR="00B92B59" w:rsidRPr="00B92B59">
        <w:rPr>
          <w:rFonts w:ascii="Times New Roman" w:hAnsi="Times New Roman" w:cs="Times New Roman"/>
          <w:sz w:val="24"/>
          <w:szCs w:val="24"/>
        </w:rPr>
        <w:t>jako</w:t>
      </w:r>
      <w:r w:rsidR="00B92B59">
        <w:rPr>
          <w:rFonts w:ascii="Times New Roman" w:hAnsi="Times New Roman" w:cs="Times New Roman"/>
          <w:sz w:val="24"/>
          <w:szCs w:val="24"/>
        </w:rPr>
        <w:t xml:space="preserve"> odpowiedzialną</w:t>
      </w:r>
      <w:r w:rsidR="00B92B59" w:rsidRPr="00B92B59">
        <w:rPr>
          <w:rFonts w:ascii="Times New Roman" w:hAnsi="Times New Roman" w:cs="Times New Roman"/>
          <w:sz w:val="24"/>
          <w:szCs w:val="24"/>
        </w:rPr>
        <w:t xml:space="preserve"> w pierwszej kolejności za niezwłoczne wypłacenie odszkodowania osobie poszkodowanej.</w:t>
      </w:r>
      <w:r w:rsidR="00B92B59">
        <w:rPr>
          <w:rFonts w:ascii="Times New Roman" w:hAnsi="Times New Roman" w:cs="Times New Roman"/>
          <w:sz w:val="24"/>
          <w:szCs w:val="24"/>
        </w:rPr>
        <w:t xml:space="preserve"> Zgodnie z przedstawioną propozycją, w </w:t>
      </w:r>
      <w:r w:rsidR="00CD74C5">
        <w:rPr>
          <w:rFonts w:ascii="Times New Roman" w:hAnsi="Times New Roman" w:cs="Times New Roman"/>
          <w:sz w:val="24"/>
          <w:szCs w:val="24"/>
        </w:rPr>
        <w:t>przypadku ewentualnego sporu mię</w:t>
      </w:r>
      <w:r w:rsidR="00B92B59">
        <w:rPr>
          <w:rFonts w:ascii="Times New Roman" w:hAnsi="Times New Roman" w:cs="Times New Roman"/>
          <w:sz w:val="24"/>
          <w:szCs w:val="24"/>
        </w:rPr>
        <w:t xml:space="preserve">dzy Ubezpieczeniowym Funduszem Gwarancyjnym </w:t>
      </w:r>
      <w:r w:rsidR="00EA065F">
        <w:rPr>
          <w:rFonts w:ascii="Times New Roman" w:hAnsi="Times New Roman" w:cs="Times New Roman"/>
          <w:sz w:val="24"/>
          <w:szCs w:val="24"/>
        </w:rPr>
        <w:t>a</w:t>
      </w:r>
      <w:r w:rsidR="00B92B59">
        <w:rPr>
          <w:rFonts w:ascii="Times New Roman" w:hAnsi="Times New Roman" w:cs="Times New Roman"/>
          <w:sz w:val="24"/>
          <w:szCs w:val="24"/>
        </w:rPr>
        <w:t xml:space="preserve"> zakładem ubezpieczeń, dotyczącego ustalenia, który z nich jest zobowiązany do wypłaty odszkodowania poszkodowanemu, wypłata taka będzie dokonywana przez </w:t>
      </w:r>
      <w:r w:rsidR="00B92B59">
        <w:rPr>
          <w:rFonts w:ascii="Times New Roman" w:hAnsi="Times New Roman" w:cs="Times New Roman"/>
          <w:sz w:val="24"/>
          <w:szCs w:val="24"/>
        </w:rPr>
        <w:lastRenderedPageBreak/>
        <w:t>zakład ubezpieczeń</w:t>
      </w:r>
      <w:r w:rsidR="00D90374">
        <w:rPr>
          <w:rFonts w:ascii="Times New Roman" w:hAnsi="Times New Roman" w:cs="Times New Roman"/>
          <w:sz w:val="24"/>
          <w:szCs w:val="24"/>
        </w:rPr>
        <w:t xml:space="preserve"> niezwłocznie, nie później jednak niż w terminie 30 dni od dnia otrzymania akt szkody od Funduszu</w:t>
      </w:r>
      <w:r w:rsidR="00B92B59">
        <w:rPr>
          <w:rFonts w:ascii="Times New Roman" w:hAnsi="Times New Roman" w:cs="Times New Roman"/>
          <w:sz w:val="24"/>
          <w:szCs w:val="24"/>
        </w:rPr>
        <w:t xml:space="preserve">. </w:t>
      </w:r>
      <w:r w:rsidR="00254154" w:rsidRPr="00A23452">
        <w:rPr>
          <w:rFonts w:ascii="Times New Roman" w:hAnsi="Times New Roman" w:cs="Times New Roman"/>
          <w:sz w:val="24"/>
          <w:szCs w:val="24"/>
        </w:rPr>
        <w:t>Przyjęcie takiej konstrukcji, wynika z faktu, iż czynności likwidacyjne dla Ubezpieczeniowego Funduszu Gwarancyjnego prowadzą zakłady ubezpieczeń. Zgodnie z obecnie obowiązującymi regulacjami uprawniony do odszkodowania zgłasza swoje roszczenia do Funduszu przez którykolwiek zakład ubezpieczeń wykonujący działalność ubezpieczeniową w grupach obejmujących obowiązkowe ubezpieczenie OC posiadaczy pojazdów mechanicznych i ubezpieczenie OC rolników. Ponadto zakład ubezpieczeń po otrzymaniu ww. zgłoszenia przeprowadza postępowanie w zakresie ustalenia zasadności i wysokości dochodzonych roszcz</w:t>
      </w:r>
      <w:r w:rsidR="00746DEB">
        <w:rPr>
          <w:rFonts w:ascii="Times New Roman" w:hAnsi="Times New Roman" w:cs="Times New Roman"/>
          <w:sz w:val="24"/>
          <w:szCs w:val="24"/>
        </w:rPr>
        <w:t>eń i </w:t>
      </w:r>
      <w:r w:rsidR="00CD74C5">
        <w:rPr>
          <w:rFonts w:ascii="Times New Roman" w:hAnsi="Times New Roman" w:cs="Times New Roman"/>
          <w:sz w:val="24"/>
          <w:szCs w:val="24"/>
        </w:rPr>
        <w:t>niezwłocznie przesyła ze</w:t>
      </w:r>
      <w:r w:rsidR="00254154" w:rsidRPr="00A23452">
        <w:rPr>
          <w:rFonts w:ascii="Times New Roman" w:hAnsi="Times New Roman" w:cs="Times New Roman"/>
          <w:sz w:val="24"/>
          <w:szCs w:val="24"/>
        </w:rPr>
        <w:t xml:space="preserve">braną dokumentację do Funduszu, powiadamiając o tym osobę zgłaszającą roszczenie (art. 108 ustawy). </w:t>
      </w:r>
      <w:r w:rsidR="00A23452">
        <w:rPr>
          <w:rFonts w:ascii="Times New Roman" w:hAnsi="Times New Roman" w:cs="Times New Roman"/>
          <w:sz w:val="24"/>
          <w:szCs w:val="24"/>
        </w:rPr>
        <w:t>Następnie UFG</w:t>
      </w:r>
      <w:r w:rsidR="00EA065F">
        <w:rPr>
          <w:rFonts w:ascii="Times New Roman" w:hAnsi="Times New Roman" w:cs="Times New Roman"/>
          <w:sz w:val="24"/>
          <w:szCs w:val="24"/>
        </w:rPr>
        <w:t>,</w:t>
      </w:r>
      <w:r w:rsidR="00A23452">
        <w:rPr>
          <w:rFonts w:ascii="Times New Roman" w:hAnsi="Times New Roman" w:cs="Times New Roman"/>
          <w:sz w:val="24"/>
          <w:szCs w:val="24"/>
        </w:rPr>
        <w:t xml:space="preserve"> po dokonaniu weryfikacji przekazanej dokumentacji i ewentualnym stwierdzeniu odpowiedzialności kolejnego zakładu ubezpieczeń, przekazuje t</w:t>
      </w:r>
      <w:r w:rsidR="00B84BB2">
        <w:rPr>
          <w:rFonts w:ascii="Times New Roman" w:hAnsi="Times New Roman" w:cs="Times New Roman"/>
          <w:sz w:val="24"/>
          <w:szCs w:val="24"/>
        </w:rPr>
        <w:t>ę</w:t>
      </w:r>
      <w:r w:rsidR="00A23452">
        <w:rPr>
          <w:rFonts w:ascii="Times New Roman" w:hAnsi="Times New Roman" w:cs="Times New Roman"/>
          <w:sz w:val="24"/>
          <w:szCs w:val="24"/>
        </w:rPr>
        <w:t xml:space="preserve"> dokumentację do tego zakładu ubezpieczeń. Do ewentualnych sporów dochodzi na tym właśnie etapie, tj. k</w:t>
      </w:r>
      <w:r w:rsidR="00B92B59">
        <w:rPr>
          <w:rFonts w:ascii="Times New Roman" w:hAnsi="Times New Roman" w:cs="Times New Roman"/>
          <w:sz w:val="24"/>
          <w:szCs w:val="24"/>
        </w:rPr>
        <w:t>iedy akta szkodowe trafią</w:t>
      </w:r>
      <w:r w:rsidR="00A23452">
        <w:rPr>
          <w:rFonts w:ascii="Times New Roman" w:hAnsi="Times New Roman" w:cs="Times New Roman"/>
          <w:sz w:val="24"/>
          <w:szCs w:val="24"/>
        </w:rPr>
        <w:t xml:space="preserve"> do innego zakładu ubezpieczeń lub </w:t>
      </w:r>
      <w:r w:rsidR="00366762">
        <w:rPr>
          <w:rFonts w:ascii="Times New Roman" w:hAnsi="Times New Roman" w:cs="Times New Roman"/>
          <w:sz w:val="24"/>
          <w:szCs w:val="24"/>
        </w:rPr>
        <w:t xml:space="preserve">ponownie </w:t>
      </w:r>
      <w:r w:rsidR="00A23452">
        <w:rPr>
          <w:rFonts w:ascii="Times New Roman" w:hAnsi="Times New Roman" w:cs="Times New Roman"/>
          <w:sz w:val="24"/>
          <w:szCs w:val="24"/>
        </w:rPr>
        <w:t xml:space="preserve">do zakładu, który je uprzednio przekazał. </w:t>
      </w:r>
      <w:r w:rsidR="00254154" w:rsidRPr="00A23452">
        <w:rPr>
          <w:rFonts w:ascii="Times New Roman" w:hAnsi="Times New Roman" w:cs="Times New Roman"/>
          <w:sz w:val="24"/>
          <w:szCs w:val="24"/>
        </w:rPr>
        <w:t xml:space="preserve">Mając na uwadze powyższą </w:t>
      </w:r>
      <w:r w:rsidR="00366762">
        <w:rPr>
          <w:rFonts w:ascii="Times New Roman" w:hAnsi="Times New Roman" w:cs="Times New Roman"/>
          <w:sz w:val="24"/>
          <w:szCs w:val="24"/>
        </w:rPr>
        <w:t>konstrukcję</w:t>
      </w:r>
      <w:r w:rsidR="00254154" w:rsidRPr="00A23452">
        <w:rPr>
          <w:rFonts w:ascii="Times New Roman" w:hAnsi="Times New Roman" w:cs="Times New Roman"/>
          <w:sz w:val="24"/>
          <w:szCs w:val="24"/>
        </w:rPr>
        <w:t xml:space="preserve"> oraz zawartą w projekcie ustawy propozycję</w:t>
      </w:r>
      <w:r w:rsidR="00C647D6">
        <w:rPr>
          <w:rFonts w:ascii="Times New Roman" w:hAnsi="Times New Roman" w:cs="Times New Roman"/>
          <w:sz w:val="24"/>
          <w:szCs w:val="24"/>
        </w:rPr>
        <w:t>,</w:t>
      </w:r>
      <w:r w:rsidR="00254154" w:rsidRPr="00A23452">
        <w:rPr>
          <w:rFonts w:ascii="Times New Roman" w:hAnsi="Times New Roman" w:cs="Times New Roman"/>
          <w:sz w:val="24"/>
          <w:szCs w:val="24"/>
        </w:rPr>
        <w:t xml:space="preserve"> aby to zakład ubezpieczeń dokonywał wypłaty</w:t>
      </w:r>
      <w:r w:rsidR="00366762">
        <w:rPr>
          <w:rFonts w:ascii="Times New Roman" w:hAnsi="Times New Roman" w:cs="Times New Roman"/>
          <w:sz w:val="24"/>
          <w:szCs w:val="24"/>
        </w:rPr>
        <w:t xml:space="preserve"> odszkodowania poszkodowanemu</w:t>
      </w:r>
      <w:r w:rsidR="00254154" w:rsidRPr="00A23452">
        <w:rPr>
          <w:rFonts w:ascii="Times New Roman" w:hAnsi="Times New Roman" w:cs="Times New Roman"/>
          <w:sz w:val="24"/>
          <w:szCs w:val="24"/>
        </w:rPr>
        <w:t>, należy spodziewać się, iż przedmiotowe świadczenie będzie trafiało do poszkodowanego bez zbędnej zwłoki.</w:t>
      </w:r>
    </w:p>
    <w:p w14:paraId="740D6639" w14:textId="28B65CCA" w:rsidR="0015345C" w:rsidRDefault="00F24F00" w:rsidP="00883793">
      <w:pPr>
        <w:spacing w:before="120" w:after="0" w:line="360" w:lineRule="auto"/>
        <w:jc w:val="both"/>
        <w:rPr>
          <w:rFonts w:ascii="Times New Roman" w:hAnsi="Times New Roman" w:cs="Times New Roman"/>
          <w:bCs/>
          <w:sz w:val="24"/>
          <w:szCs w:val="24"/>
        </w:rPr>
      </w:pPr>
      <w:r w:rsidRPr="00F24F00">
        <w:rPr>
          <w:rFonts w:ascii="Times New Roman" w:hAnsi="Times New Roman" w:cs="Times New Roman"/>
          <w:sz w:val="24"/>
          <w:szCs w:val="24"/>
        </w:rPr>
        <w:t>Dodatkowo</w:t>
      </w:r>
      <w:r w:rsidR="0027793E">
        <w:rPr>
          <w:rFonts w:ascii="Times New Roman" w:hAnsi="Times New Roman" w:cs="Times New Roman"/>
          <w:sz w:val="24"/>
          <w:szCs w:val="24"/>
        </w:rPr>
        <w:t xml:space="preserve"> u</w:t>
      </w:r>
      <w:r w:rsidRPr="00F24F00">
        <w:rPr>
          <w:rFonts w:ascii="Times New Roman" w:hAnsi="Times New Roman" w:cs="Times New Roman"/>
          <w:sz w:val="24"/>
          <w:szCs w:val="24"/>
        </w:rPr>
        <w:t>regulowano</w:t>
      </w:r>
      <w:r w:rsidR="0027793E">
        <w:rPr>
          <w:rFonts w:ascii="Times New Roman" w:hAnsi="Times New Roman" w:cs="Times New Roman"/>
          <w:sz w:val="24"/>
          <w:szCs w:val="24"/>
        </w:rPr>
        <w:t xml:space="preserve"> kwestie</w:t>
      </w:r>
      <w:r w:rsidRPr="00F24F00">
        <w:rPr>
          <w:rFonts w:ascii="Times New Roman" w:hAnsi="Times New Roman" w:cs="Times New Roman"/>
          <w:sz w:val="24"/>
          <w:szCs w:val="24"/>
        </w:rPr>
        <w:t xml:space="preserve"> </w:t>
      </w:r>
      <w:r w:rsidR="0027793E">
        <w:rPr>
          <w:rFonts w:ascii="Times New Roman" w:hAnsi="Times New Roman" w:cs="Times New Roman"/>
          <w:sz w:val="24"/>
          <w:szCs w:val="24"/>
        </w:rPr>
        <w:t xml:space="preserve">zwrotu </w:t>
      </w:r>
      <w:r w:rsidR="00762DF2">
        <w:rPr>
          <w:rFonts w:ascii="Times New Roman" w:hAnsi="Times New Roman" w:cs="Times New Roman"/>
          <w:sz w:val="24"/>
          <w:szCs w:val="24"/>
        </w:rPr>
        <w:t xml:space="preserve">zakładowi ubezpieczeń </w:t>
      </w:r>
      <w:r w:rsidR="0027793E">
        <w:rPr>
          <w:rFonts w:ascii="Times New Roman" w:hAnsi="Times New Roman" w:cs="Times New Roman"/>
          <w:sz w:val="24"/>
          <w:szCs w:val="24"/>
        </w:rPr>
        <w:t xml:space="preserve">wypłaconego odszkodowania. Zgodnie z </w:t>
      </w:r>
      <w:r w:rsidR="00133962">
        <w:rPr>
          <w:rFonts w:ascii="Times New Roman" w:hAnsi="Times New Roman" w:cs="Times New Roman"/>
          <w:sz w:val="24"/>
          <w:szCs w:val="24"/>
        </w:rPr>
        <w:t xml:space="preserve">zawartą w projekcie </w:t>
      </w:r>
      <w:r w:rsidR="0027793E">
        <w:rPr>
          <w:rFonts w:ascii="Times New Roman" w:hAnsi="Times New Roman" w:cs="Times New Roman"/>
          <w:sz w:val="24"/>
          <w:szCs w:val="24"/>
        </w:rPr>
        <w:t>propozycją zapisu</w:t>
      </w:r>
      <w:r w:rsidR="00C647D6">
        <w:rPr>
          <w:rFonts w:ascii="Times New Roman" w:hAnsi="Times New Roman" w:cs="Times New Roman"/>
          <w:sz w:val="24"/>
          <w:szCs w:val="24"/>
        </w:rPr>
        <w:t>,</w:t>
      </w:r>
      <w:r w:rsidR="00762DF2">
        <w:rPr>
          <w:rFonts w:ascii="Times New Roman" w:hAnsi="Times New Roman" w:cs="Times New Roman"/>
          <w:sz w:val="24"/>
          <w:szCs w:val="24"/>
        </w:rPr>
        <w:t xml:space="preserve"> jeżeli po dokonaniu wypłaty przez zakład ubezpieczeń zostanie ustalona odpowiedzialność </w:t>
      </w:r>
      <w:r w:rsidR="00762DF2" w:rsidRPr="00762DF2">
        <w:rPr>
          <w:rFonts w:ascii="Times New Roman" w:hAnsi="Times New Roman" w:cs="Times New Roman"/>
          <w:sz w:val="24"/>
          <w:szCs w:val="24"/>
        </w:rPr>
        <w:t xml:space="preserve">Ubezpieczeniowego Funduszu Gwarancyjnego w całości lub w części, Fundusz </w:t>
      </w:r>
      <w:r w:rsidR="00762DF2">
        <w:rPr>
          <w:rFonts w:ascii="Times New Roman" w:hAnsi="Times New Roman" w:cs="Times New Roman"/>
          <w:sz w:val="24"/>
          <w:szCs w:val="24"/>
        </w:rPr>
        <w:t>ten będzie</w:t>
      </w:r>
      <w:r w:rsidR="00762DF2" w:rsidRPr="00762DF2">
        <w:rPr>
          <w:rFonts w:ascii="Times New Roman" w:hAnsi="Times New Roman" w:cs="Times New Roman"/>
          <w:sz w:val="24"/>
          <w:szCs w:val="24"/>
        </w:rPr>
        <w:t xml:space="preserve"> obowiązany do zwrotu zakładowi ubezpieczeń wypłaconego odszkodowania lub jego części i poniesionych kosztów.</w:t>
      </w:r>
      <w:r w:rsidR="007B6CAE" w:rsidRPr="007B6CAE">
        <w:rPr>
          <w:rFonts w:ascii="Times New Roman" w:hAnsi="Times New Roman" w:cs="Times New Roman"/>
          <w:bCs/>
          <w:sz w:val="24"/>
          <w:szCs w:val="24"/>
        </w:rPr>
        <w:t xml:space="preserve"> </w:t>
      </w:r>
    </w:p>
    <w:p w14:paraId="78E58530" w14:textId="5931AADA" w:rsidR="00996BFD" w:rsidRDefault="00996BFD" w:rsidP="00883793">
      <w:pPr>
        <w:spacing w:before="120" w:after="0" w:line="360" w:lineRule="auto"/>
        <w:jc w:val="both"/>
        <w:rPr>
          <w:rFonts w:ascii="Times New Roman" w:hAnsi="Times New Roman" w:cs="Times New Roman"/>
          <w:bCs/>
          <w:sz w:val="24"/>
          <w:szCs w:val="24"/>
        </w:rPr>
      </w:pPr>
      <w:r w:rsidRPr="00996BFD">
        <w:rPr>
          <w:rFonts w:ascii="Times New Roman" w:hAnsi="Times New Roman" w:cs="Times New Roman"/>
          <w:bCs/>
          <w:sz w:val="24"/>
          <w:szCs w:val="24"/>
        </w:rPr>
        <w:t>Zmiana ust. 4</w:t>
      </w:r>
      <w:r w:rsidR="00837B43">
        <w:rPr>
          <w:rFonts w:ascii="Times New Roman" w:hAnsi="Times New Roman" w:cs="Times New Roman"/>
          <w:bCs/>
          <w:sz w:val="24"/>
          <w:szCs w:val="24"/>
        </w:rPr>
        <w:t xml:space="preserve"> i 4a</w:t>
      </w:r>
      <w:r w:rsidRPr="00996BFD">
        <w:rPr>
          <w:rFonts w:ascii="Times New Roman" w:hAnsi="Times New Roman" w:cs="Times New Roman"/>
          <w:bCs/>
          <w:sz w:val="24"/>
          <w:szCs w:val="24"/>
        </w:rPr>
        <w:t xml:space="preserve"> w </w:t>
      </w:r>
      <w:r>
        <w:rPr>
          <w:rFonts w:ascii="Times New Roman" w:hAnsi="Times New Roman" w:cs="Times New Roman"/>
          <w:bCs/>
          <w:sz w:val="24"/>
          <w:szCs w:val="24"/>
        </w:rPr>
        <w:t xml:space="preserve">art. 14 </w:t>
      </w:r>
      <w:r w:rsidR="00C647D6">
        <w:rPr>
          <w:rFonts w:ascii="Times New Roman" w:hAnsi="Times New Roman" w:cs="Times New Roman"/>
          <w:bCs/>
          <w:sz w:val="24"/>
          <w:szCs w:val="24"/>
        </w:rPr>
        <w:t xml:space="preserve">ustawy </w:t>
      </w:r>
      <w:r w:rsidRPr="00996BFD">
        <w:rPr>
          <w:rFonts w:ascii="Times New Roman" w:hAnsi="Times New Roman" w:cs="Times New Roman"/>
          <w:bCs/>
          <w:sz w:val="24"/>
          <w:szCs w:val="24"/>
        </w:rPr>
        <w:t xml:space="preserve">jest konsekwencją propozycji wskazanej w dodawanym </w:t>
      </w:r>
      <w:r w:rsidR="00837B43">
        <w:rPr>
          <w:rFonts w:ascii="Times New Roman" w:hAnsi="Times New Roman" w:cs="Times New Roman"/>
          <w:bCs/>
          <w:sz w:val="24"/>
          <w:szCs w:val="24"/>
        </w:rPr>
        <w:t>art. 1</w:t>
      </w:r>
      <w:r w:rsidRPr="00996BFD">
        <w:rPr>
          <w:rFonts w:ascii="Times New Roman" w:hAnsi="Times New Roman" w:cs="Times New Roman"/>
          <w:bCs/>
          <w:sz w:val="24"/>
          <w:szCs w:val="24"/>
        </w:rPr>
        <w:t>4</w:t>
      </w:r>
      <w:r w:rsidR="00837B43">
        <w:rPr>
          <w:rFonts w:ascii="Times New Roman" w:hAnsi="Times New Roman" w:cs="Times New Roman"/>
          <w:bCs/>
          <w:sz w:val="24"/>
          <w:szCs w:val="24"/>
        </w:rPr>
        <w:t>a</w:t>
      </w:r>
      <w:r w:rsidRPr="00996BFD">
        <w:rPr>
          <w:rFonts w:ascii="Times New Roman" w:hAnsi="Times New Roman" w:cs="Times New Roman"/>
          <w:bCs/>
          <w:sz w:val="24"/>
          <w:szCs w:val="24"/>
        </w:rPr>
        <w:t xml:space="preserve"> i ma charakter porządkujący. Zmiana ta ma na celu wyeliminowanie ewentualnych wątpliwości w zakresie wyznaczenia podmiotu, który będzie właściwy w pierwszej kolejności do wypłaty odszkodowan</w:t>
      </w:r>
      <w:r w:rsidR="00594B32">
        <w:rPr>
          <w:rFonts w:ascii="Times New Roman" w:hAnsi="Times New Roman" w:cs="Times New Roman"/>
          <w:bCs/>
          <w:sz w:val="24"/>
          <w:szCs w:val="24"/>
        </w:rPr>
        <w:t>i</w:t>
      </w:r>
      <w:r w:rsidRPr="00996BFD">
        <w:rPr>
          <w:rFonts w:ascii="Times New Roman" w:hAnsi="Times New Roman" w:cs="Times New Roman"/>
          <w:bCs/>
          <w:sz w:val="24"/>
          <w:szCs w:val="24"/>
        </w:rPr>
        <w:t>a, w przypadku powstania ewentualnego sporu.</w:t>
      </w:r>
    </w:p>
    <w:p w14:paraId="12DEE8EF" w14:textId="4260AA89" w:rsidR="000E3C69" w:rsidRPr="000E3C69" w:rsidRDefault="00FA0B2F" w:rsidP="00883793">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Projekt ustawy zawiera także przepis przejściowy</w:t>
      </w:r>
      <w:r w:rsidR="000A0298">
        <w:rPr>
          <w:rFonts w:ascii="Times New Roman" w:hAnsi="Times New Roman" w:cs="Times New Roman"/>
          <w:sz w:val="24"/>
          <w:szCs w:val="24"/>
        </w:rPr>
        <w:t>, który</w:t>
      </w:r>
      <w:r w:rsidR="00D12BD0">
        <w:rPr>
          <w:rFonts w:ascii="Times New Roman" w:hAnsi="Times New Roman" w:cs="Times New Roman"/>
          <w:sz w:val="24"/>
          <w:szCs w:val="24"/>
        </w:rPr>
        <w:t xml:space="preserve"> </w:t>
      </w:r>
      <w:r w:rsidR="00A04E8F">
        <w:rPr>
          <w:rFonts w:ascii="Times New Roman" w:hAnsi="Times New Roman" w:cs="Times New Roman"/>
          <w:sz w:val="24"/>
          <w:szCs w:val="24"/>
        </w:rPr>
        <w:t xml:space="preserve">ma na celu zapewnienie, że </w:t>
      </w:r>
      <w:r w:rsidR="00200B73">
        <w:rPr>
          <w:rFonts w:ascii="Times New Roman" w:hAnsi="Times New Roman" w:cs="Times New Roman"/>
          <w:sz w:val="24"/>
          <w:szCs w:val="24"/>
        </w:rPr>
        <w:t xml:space="preserve">podwyższone sumy gwarancyjne, </w:t>
      </w:r>
      <w:r w:rsidR="00200B73" w:rsidRPr="00200B73">
        <w:rPr>
          <w:rFonts w:ascii="Times New Roman" w:hAnsi="Times New Roman" w:cs="Times New Roman"/>
          <w:sz w:val="24"/>
          <w:szCs w:val="24"/>
        </w:rPr>
        <w:t xml:space="preserve">o których mowa w art. 1 pkt </w:t>
      </w:r>
      <w:r w:rsidR="00C647D6">
        <w:rPr>
          <w:rFonts w:ascii="Times New Roman" w:hAnsi="Times New Roman" w:cs="Times New Roman"/>
          <w:sz w:val="24"/>
          <w:szCs w:val="24"/>
        </w:rPr>
        <w:t>3</w:t>
      </w:r>
      <w:r w:rsidR="000E0EA2">
        <w:rPr>
          <w:rFonts w:ascii="Times New Roman" w:hAnsi="Times New Roman" w:cs="Times New Roman"/>
          <w:sz w:val="24"/>
          <w:szCs w:val="24"/>
        </w:rPr>
        <w:t xml:space="preserve"> i </w:t>
      </w:r>
      <w:r w:rsidR="00C647D6">
        <w:rPr>
          <w:rFonts w:ascii="Times New Roman" w:hAnsi="Times New Roman" w:cs="Times New Roman"/>
          <w:sz w:val="24"/>
          <w:szCs w:val="24"/>
        </w:rPr>
        <w:t>4</w:t>
      </w:r>
      <w:r w:rsidR="000A0298">
        <w:rPr>
          <w:rFonts w:ascii="Times New Roman" w:hAnsi="Times New Roman" w:cs="Times New Roman"/>
          <w:sz w:val="24"/>
          <w:szCs w:val="24"/>
        </w:rPr>
        <w:t xml:space="preserve"> </w:t>
      </w:r>
      <w:r w:rsidR="00AE7017">
        <w:rPr>
          <w:rFonts w:ascii="Times New Roman" w:hAnsi="Times New Roman" w:cs="Times New Roman"/>
          <w:sz w:val="24"/>
          <w:szCs w:val="24"/>
        </w:rPr>
        <w:t>projektu ustawy</w:t>
      </w:r>
      <w:r w:rsidR="00200B73" w:rsidRPr="00200B73">
        <w:rPr>
          <w:rFonts w:ascii="Times New Roman" w:hAnsi="Times New Roman" w:cs="Times New Roman"/>
          <w:sz w:val="24"/>
          <w:szCs w:val="24"/>
        </w:rPr>
        <w:t xml:space="preserve">, </w:t>
      </w:r>
      <w:r w:rsidR="00200B73" w:rsidRPr="00200B73">
        <w:rPr>
          <w:rFonts w:ascii="Times New Roman" w:hAnsi="Times New Roman" w:cs="Times New Roman"/>
          <w:sz w:val="24"/>
          <w:szCs w:val="24"/>
        </w:rPr>
        <w:lastRenderedPageBreak/>
        <w:t xml:space="preserve">znajdą zastosowanie </w:t>
      </w:r>
      <w:r w:rsidR="00A04E8F">
        <w:rPr>
          <w:rFonts w:ascii="Times New Roman" w:hAnsi="Times New Roman" w:cs="Times New Roman"/>
          <w:sz w:val="24"/>
          <w:szCs w:val="24"/>
        </w:rPr>
        <w:t xml:space="preserve">wraz z wejściem w </w:t>
      </w:r>
      <w:r w:rsidR="00200B73" w:rsidRPr="00D249C1">
        <w:rPr>
          <w:rFonts w:ascii="Times New Roman" w:hAnsi="Times New Roman" w:cs="Times New Roman"/>
          <w:sz w:val="24"/>
          <w:szCs w:val="24"/>
        </w:rPr>
        <w:t>życie</w:t>
      </w:r>
      <w:r w:rsidR="0042266C" w:rsidRPr="00D249C1">
        <w:rPr>
          <w:rFonts w:ascii="Times New Roman" w:hAnsi="Times New Roman" w:cs="Times New Roman"/>
          <w:sz w:val="24"/>
          <w:szCs w:val="24"/>
        </w:rPr>
        <w:t xml:space="preserve"> </w:t>
      </w:r>
      <w:r w:rsidRPr="00D249C1">
        <w:rPr>
          <w:rFonts w:ascii="Times New Roman" w:hAnsi="Times New Roman" w:cs="Times New Roman"/>
          <w:sz w:val="24"/>
          <w:szCs w:val="24"/>
        </w:rPr>
        <w:t xml:space="preserve">regulacji odnoszących się </w:t>
      </w:r>
      <w:r w:rsidR="00240684" w:rsidRPr="00D249C1">
        <w:rPr>
          <w:rFonts w:ascii="Times New Roman" w:hAnsi="Times New Roman" w:cs="Times New Roman"/>
          <w:sz w:val="24"/>
          <w:szCs w:val="24"/>
        </w:rPr>
        <w:t>do podwyższonyc</w:t>
      </w:r>
      <w:r w:rsidR="0042266C" w:rsidRPr="00D249C1">
        <w:rPr>
          <w:rFonts w:ascii="Times New Roman" w:hAnsi="Times New Roman" w:cs="Times New Roman"/>
          <w:sz w:val="24"/>
          <w:szCs w:val="24"/>
        </w:rPr>
        <w:t>h minimalnych sum gwarancyjnych</w:t>
      </w:r>
      <w:r w:rsidR="00240684" w:rsidRPr="00D249C1">
        <w:rPr>
          <w:rFonts w:ascii="Times New Roman" w:hAnsi="Times New Roman" w:cs="Times New Roman"/>
          <w:sz w:val="24"/>
          <w:szCs w:val="24"/>
        </w:rPr>
        <w:t>.</w:t>
      </w:r>
      <w:r w:rsidR="00996BFD">
        <w:rPr>
          <w:rFonts w:ascii="Times New Roman" w:hAnsi="Times New Roman" w:cs="Times New Roman"/>
          <w:sz w:val="24"/>
          <w:szCs w:val="24"/>
        </w:rPr>
        <w:t xml:space="preserve"> </w:t>
      </w:r>
      <w:r w:rsidR="00996BFD" w:rsidRPr="00996BFD">
        <w:rPr>
          <w:rFonts w:ascii="Times New Roman" w:hAnsi="Times New Roman" w:cs="Times New Roman"/>
          <w:sz w:val="24"/>
          <w:szCs w:val="24"/>
        </w:rPr>
        <w:t>Proponowana zmiana będzie oddziaływała na umowy ubezpieczenia OC posiadaczy pojazdów mechanicznych, które będą obowiązywały w dniu 31 grudnia 2018 r. W stosunku do potencjalnych szkód będących następstwem zdarzeń zaistniałych od dnia 31 grudnia 2018 r. będą miały zastosowanie nowe (wyższe) minimalne sumy gwarancyjne właściwe dla obowiązkowego ubezpieczenia OC posiadaczy pojazdów mechanicznych oraz obowiązkowego ubezpieczenia OC rolników.</w:t>
      </w:r>
      <w:r w:rsidR="00996BFD">
        <w:rPr>
          <w:rFonts w:ascii="Times New Roman" w:hAnsi="Times New Roman" w:cs="Times New Roman"/>
          <w:sz w:val="24"/>
          <w:szCs w:val="24"/>
        </w:rPr>
        <w:t xml:space="preserve"> </w:t>
      </w:r>
      <w:r w:rsidR="00762DF2">
        <w:rPr>
          <w:rFonts w:ascii="Times New Roman" w:hAnsi="Times New Roman" w:cs="Times New Roman"/>
          <w:sz w:val="24"/>
          <w:szCs w:val="24"/>
        </w:rPr>
        <w:t xml:space="preserve">Dodatkowo </w:t>
      </w:r>
      <w:r w:rsidR="00C647D6">
        <w:rPr>
          <w:rFonts w:ascii="Times New Roman" w:hAnsi="Times New Roman" w:cs="Times New Roman"/>
          <w:sz w:val="24"/>
          <w:szCs w:val="24"/>
        </w:rPr>
        <w:t>projekt ustawy zawiera regulację</w:t>
      </w:r>
      <w:r w:rsidR="00762DF2">
        <w:rPr>
          <w:rFonts w:ascii="Times New Roman" w:hAnsi="Times New Roman" w:cs="Times New Roman"/>
          <w:sz w:val="24"/>
          <w:szCs w:val="24"/>
        </w:rPr>
        <w:t xml:space="preserve"> przejściową</w:t>
      </w:r>
      <w:r w:rsidR="004B1DCA">
        <w:rPr>
          <w:rFonts w:ascii="Times New Roman" w:hAnsi="Times New Roman" w:cs="Times New Roman"/>
          <w:sz w:val="24"/>
          <w:szCs w:val="24"/>
        </w:rPr>
        <w:t xml:space="preserve">, która będzie miała zastosowanie do postępowań „spornych”, które będą toczyły się w momencie wejścia w życie </w:t>
      </w:r>
      <w:r w:rsidR="00746DEB">
        <w:rPr>
          <w:rFonts w:ascii="Times New Roman" w:hAnsi="Times New Roman" w:cs="Times New Roman"/>
          <w:sz w:val="24"/>
          <w:szCs w:val="24"/>
        </w:rPr>
        <w:t>projektowanych zmian. Zgodnie z </w:t>
      </w:r>
      <w:r w:rsidR="00C647D6">
        <w:rPr>
          <w:rFonts w:ascii="Times New Roman" w:hAnsi="Times New Roman" w:cs="Times New Roman"/>
          <w:sz w:val="24"/>
          <w:szCs w:val="24"/>
        </w:rPr>
        <w:t>proponowaną</w:t>
      </w:r>
      <w:r w:rsidR="004B1DCA">
        <w:rPr>
          <w:rFonts w:ascii="Times New Roman" w:hAnsi="Times New Roman" w:cs="Times New Roman"/>
          <w:sz w:val="24"/>
          <w:szCs w:val="24"/>
        </w:rPr>
        <w:t xml:space="preserve"> normą do postępowań dotyczących roszczeń odszkodowawczych wszczętych i niezakończonych przed dniem wejścia w życie ustawy zastosowanie będą miały </w:t>
      </w:r>
      <w:r w:rsidR="00A67AED">
        <w:rPr>
          <w:rFonts w:ascii="Times New Roman" w:hAnsi="Times New Roman" w:cs="Times New Roman"/>
          <w:sz w:val="24"/>
          <w:szCs w:val="24"/>
        </w:rPr>
        <w:t>przepisy dotychczasowe.</w:t>
      </w:r>
    </w:p>
    <w:p w14:paraId="0E9E0133" w14:textId="77777777" w:rsidR="000E3C69" w:rsidRDefault="00240684" w:rsidP="00883793">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Termin wejścia w życie projektowanych przepisów wyznaczono na dzień 31 grudnia 2018 r.</w:t>
      </w:r>
      <w:r w:rsidR="000E3C69">
        <w:rPr>
          <w:rFonts w:ascii="Times New Roman" w:hAnsi="Times New Roman" w:cs="Times New Roman"/>
          <w:sz w:val="24"/>
          <w:szCs w:val="24"/>
        </w:rPr>
        <w:t xml:space="preserve"> z</w:t>
      </w:r>
      <w:r w:rsidR="00E65479">
        <w:rPr>
          <w:rFonts w:ascii="Times New Roman" w:hAnsi="Times New Roman" w:cs="Times New Roman"/>
          <w:sz w:val="24"/>
          <w:szCs w:val="24"/>
        </w:rPr>
        <w:t xml:space="preserve"> uwagi na konieczność implementowania </w:t>
      </w:r>
      <w:r w:rsidR="000E3C69">
        <w:rPr>
          <w:rFonts w:ascii="Times New Roman" w:hAnsi="Times New Roman" w:cs="Times New Roman"/>
          <w:sz w:val="24"/>
          <w:szCs w:val="24"/>
        </w:rPr>
        <w:t xml:space="preserve">w tym terminie </w:t>
      </w:r>
      <w:r w:rsidR="00E65479">
        <w:rPr>
          <w:rFonts w:ascii="Times New Roman" w:hAnsi="Times New Roman" w:cs="Times New Roman"/>
          <w:sz w:val="24"/>
          <w:szCs w:val="24"/>
        </w:rPr>
        <w:t>po</w:t>
      </w:r>
      <w:r w:rsidR="00F43134">
        <w:rPr>
          <w:rFonts w:ascii="Times New Roman" w:hAnsi="Times New Roman" w:cs="Times New Roman"/>
          <w:sz w:val="24"/>
          <w:szCs w:val="24"/>
        </w:rPr>
        <w:t xml:space="preserve">dwyższonych sum gwarancyjnych w </w:t>
      </w:r>
      <w:r w:rsidR="00E65479">
        <w:rPr>
          <w:rFonts w:ascii="Times New Roman" w:hAnsi="Times New Roman" w:cs="Times New Roman"/>
          <w:sz w:val="24"/>
          <w:szCs w:val="24"/>
        </w:rPr>
        <w:t>obowiązkowych ubezpieczeniach: OC posiadaczy pojazdów mechanicznych oraz OC rolników</w:t>
      </w:r>
      <w:r w:rsidR="000E3C69">
        <w:rPr>
          <w:rFonts w:ascii="Times New Roman" w:hAnsi="Times New Roman" w:cs="Times New Roman"/>
          <w:sz w:val="24"/>
          <w:szCs w:val="24"/>
        </w:rPr>
        <w:t xml:space="preserve">. </w:t>
      </w:r>
    </w:p>
    <w:p w14:paraId="712731BF" w14:textId="43FAE8D4" w:rsidR="000E3C69" w:rsidRPr="000E3C69" w:rsidRDefault="00C647D6" w:rsidP="00883793">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Z</w:t>
      </w:r>
      <w:r w:rsidR="000E3C69" w:rsidRPr="000E3C69">
        <w:rPr>
          <w:rFonts w:ascii="Times New Roman" w:hAnsi="Times New Roman" w:cs="Times New Roman"/>
          <w:sz w:val="24"/>
          <w:szCs w:val="24"/>
        </w:rPr>
        <w:t xml:space="preserve"> przesłanego do uzgodnień (konsultacji publicznych i opiniowania) projektu ustawy zostały wydzielone regulacje, które wykraczają poza główny ce</w:t>
      </w:r>
      <w:r w:rsidR="007C6A7F">
        <w:rPr>
          <w:rFonts w:ascii="Times New Roman" w:hAnsi="Times New Roman" w:cs="Times New Roman"/>
          <w:sz w:val="24"/>
          <w:szCs w:val="24"/>
        </w:rPr>
        <w:t>l przedmiotowej nowelizacji, tj.</w:t>
      </w:r>
      <w:r w:rsidR="000E3C69" w:rsidRPr="000E3C69">
        <w:rPr>
          <w:rFonts w:ascii="Times New Roman" w:hAnsi="Times New Roman" w:cs="Times New Roman"/>
          <w:sz w:val="24"/>
          <w:szCs w:val="24"/>
        </w:rPr>
        <w:t xml:space="preserve"> wdrożenie prawa UE. Regulacje te</w:t>
      </w:r>
      <w:r w:rsidR="000E3C69">
        <w:rPr>
          <w:rFonts w:ascii="Times New Roman" w:hAnsi="Times New Roman" w:cs="Times New Roman"/>
          <w:sz w:val="24"/>
          <w:szCs w:val="24"/>
        </w:rPr>
        <w:t>,</w:t>
      </w:r>
      <w:r w:rsidR="000E3C69" w:rsidRPr="000E3C69">
        <w:rPr>
          <w:rFonts w:ascii="Times New Roman" w:hAnsi="Times New Roman" w:cs="Times New Roman"/>
          <w:sz w:val="24"/>
          <w:szCs w:val="24"/>
        </w:rPr>
        <w:t xml:space="preserve"> jako niedotyczące zmian wynikających z regulacji unijnych, zostaną przeniesione do odrębnego projektu ustawy. </w:t>
      </w:r>
    </w:p>
    <w:p w14:paraId="33094179" w14:textId="04F88A90" w:rsidR="00BC680E" w:rsidRDefault="00BC680E" w:rsidP="00883793">
      <w:pPr>
        <w:spacing w:before="120" w:after="0" w:line="360" w:lineRule="auto"/>
        <w:jc w:val="both"/>
        <w:rPr>
          <w:rFonts w:ascii="Times New Roman" w:hAnsi="Times New Roman" w:cs="Times New Roman"/>
          <w:sz w:val="24"/>
          <w:szCs w:val="24"/>
        </w:rPr>
      </w:pPr>
      <w:r w:rsidRPr="008E2F5E">
        <w:rPr>
          <w:rFonts w:ascii="Times New Roman" w:hAnsi="Times New Roman" w:cs="Times New Roman"/>
          <w:sz w:val="24"/>
          <w:szCs w:val="24"/>
        </w:rPr>
        <w:t>Projekt ustawy nie podlega notyfikacji w trybie określonym w rozporządzeniu Rady Ministrów z dnia 23 grudnia 2002 r. w sprawie sposobu funkcjonowania krajowego systemu notyfikacji norm i aktów prawnych (Dz. U. poz. 2039, z późn. zm.).</w:t>
      </w:r>
    </w:p>
    <w:p w14:paraId="1040AC89" w14:textId="224816AE" w:rsidR="003B6E6C" w:rsidRPr="003B6E6C" w:rsidRDefault="003B6E6C" w:rsidP="00883793">
      <w:pPr>
        <w:spacing w:before="120" w:after="0" w:line="360" w:lineRule="auto"/>
        <w:jc w:val="both"/>
        <w:rPr>
          <w:rFonts w:ascii="Times New Roman" w:hAnsi="Times New Roman" w:cs="Times New Roman"/>
          <w:sz w:val="24"/>
          <w:szCs w:val="24"/>
        </w:rPr>
      </w:pPr>
      <w:r w:rsidRPr="003B6E6C">
        <w:rPr>
          <w:rFonts w:ascii="Times New Roman" w:hAnsi="Times New Roman" w:cs="Times New Roman"/>
          <w:sz w:val="24"/>
          <w:szCs w:val="24"/>
        </w:rPr>
        <w:t>Mając na uwadze art. 66 ustawy z dnia 6 marca 2018 r. – Prawo przedsiębiorców (Dz.</w:t>
      </w:r>
      <w:r w:rsidR="00746DEB">
        <w:rPr>
          <w:rFonts w:ascii="Times New Roman" w:hAnsi="Times New Roman" w:cs="Times New Roman"/>
          <w:sz w:val="24"/>
          <w:szCs w:val="24"/>
        </w:rPr>
        <w:t> </w:t>
      </w:r>
      <w:r w:rsidRPr="003B6E6C">
        <w:rPr>
          <w:rFonts w:ascii="Times New Roman" w:hAnsi="Times New Roman" w:cs="Times New Roman"/>
          <w:sz w:val="24"/>
          <w:szCs w:val="24"/>
        </w:rPr>
        <w:t>U. poz. 646</w:t>
      </w:r>
      <w:r w:rsidR="00472ECD">
        <w:rPr>
          <w:rFonts w:ascii="Times New Roman" w:hAnsi="Times New Roman" w:cs="Times New Roman"/>
          <w:sz w:val="24"/>
          <w:szCs w:val="24"/>
        </w:rPr>
        <w:t>, z późn. zm.</w:t>
      </w:r>
      <w:r w:rsidRPr="003B6E6C">
        <w:rPr>
          <w:rFonts w:ascii="Times New Roman" w:hAnsi="Times New Roman" w:cs="Times New Roman"/>
          <w:sz w:val="24"/>
          <w:szCs w:val="24"/>
        </w:rPr>
        <w:t>), projektodawca wskazuje, że projekt nie określa zasad podejmowania, wykonywania lub zakończenia działalności gospodarczej.</w:t>
      </w:r>
    </w:p>
    <w:p w14:paraId="05217B81" w14:textId="5842CDE6" w:rsidR="00BC680E" w:rsidRPr="008E2F5E" w:rsidRDefault="00BC680E" w:rsidP="00883793">
      <w:pPr>
        <w:spacing w:before="120" w:after="0" w:line="360" w:lineRule="auto"/>
        <w:jc w:val="both"/>
        <w:rPr>
          <w:rFonts w:ascii="Times New Roman" w:hAnsi="Times New Roman" w:cs="Times New Roman"/>
          <w:sz w:val="24"/>
          <w:szCs w:val="24"/>
        </w:rPr>
      </w:pPr>
      <w:r w:rsidRPr="008E2F5E">
        <w:rPr>
          <w:rFonts w:ascii="Times New Roman" w:hAnsi="Times New Roman" w:cs="Times New Roman"/>
          <w:sz w:val="24"/>
          <w:szCs w:val="24"/>
        </w:rPr>
        <w:t>Zgodnie z ustawą z dnia 7 lipca 2005 r. o działalności lobbingowej w pr</w:t>
      </w:r>
      <w:r w:rsidR="008E2F5E">
        <w:rPr>
          <w:rFonts w:ascii="Times New Roman" w:hAnsi="Times New Roman" w:cs="Times New Roman"/>
          <w:sz w:val="24"/>
          <w:szCs w:val="24"/>
        </w:rPr>
        <w:t>ocesie stanowienia prawa</w:t>
      </w:r>
      <w:r w:rsidRPr="008E2F5E">
        <w:rPr>
          <w:rFonts w:ascii="Times New Roman" w:hAnsi="Times New Roman" w:cs="Times New Roman"/>
          <w:sz w:val="24"/>
          <w:szCs w:val="24"/>
        </w:rPr>
        <w:t xml:space="preserve"> </w:t>
      </w:r>
      <w:r w:rsidR="008E2F5E" w:rsidRPr="008E2F5E">
        <w:rPr>
          <w:rFonts w:ascii="Times New Roman" w:hAnsi="Times New Roman" w:cs="Times New Roman"/>
          <w:sz w:val="24"/>
          <w:szCs w:val="24"/>
        </w:rPr>
        <w:t>(Dz.</w:t>
      </w:r>
      <w:r w:rsidR="00746DEB">
        <w:rPr>
          <w:rFonts w:ascii="Times New Roman" w:hAnsi="Times New Roman" w:cs="Times New Roman"/>
          <w:sz w:val="24"/>
          <w:szCs w:val="24"/>
        </w:rPr>
        <w:t xml:space="preserve"> </w:t>
      </w:r>
      <w:r w:rsidR="008E2F5E" w:rsidRPr="008E2F5E">
        <w:rPr>
          <w:rFonts w:ascii="Times New Roman" w:hAnsi="Times New Roman" w:cs="Times New Roman"/>
          <w:sz w:val="24"/>
          <w:szCs w:val="24"/>
        </w:rPr>
        <w:t>U. z 2017 r. poz. 248)</w:t>
      </w:r>
      <w:r w:rsidR="008E2F5E">
        <w:rPr>
          <w:rFonts w:ascii="Times New Roman" w:hAnsi="Times New Roman" w:cs="Times New Roman"/>
          <w:sz w:val="24"/>
          <w:szCs w:val="24"/>
        </w:rPr>
        <w:t xml:space="preserve">, a także </w:t>
      </w:r>
      <w:r w:rsidRPr="008E2F5E">
        <w:rPr>
          <w:rFonts w:ascii="Times New Roman" w:hAnsi="Times New Roman" w:cs="Times New Roman"/>
          <w:sz w:val="24"/>
          <w:szCs w:val="24"/>
        </w:rPr>
        <w:t xml:space="preserve">mając na uwadze § 52 uchwały </w:t>
      </w:r>
      <w:r w:rsidR="00472ECD">
        <w:rPr>
          <w:rFonts w:ascii="Times New Roman" w:hAnsi="Times New Roman" w:cs="Times New Roman"/>
          <w:sz w:val="24"/>
          <w:szCs w:val="24"/>
        </w:rPr>
        <w:t>n</w:t>
      </w:r>
      <w:r w:rsidRPr="008E2F5E">
        <w:rPr>
          <w:rFonts w:ascii="Times New Roman" w:hAnsi="Times New Roman" w:cs="Times New Roman"/>
          <w:sz w:val="24"/>
          <w:szCs w:val="24"/>
        </w:rPr>
        <w:t xml:space="preserve">r 190 Rady Ministrów z dnia 29 października 2013 r. – Regulamin pracy Rady Ministrów </w:t>
      </w:r>
      <w:r w:rsidR="008F4ABB">
        <w:rPr>
          <w:rFonts w:ascii="Times New Roman" w:hAnsi="Times New Roman" w:cs="Times New Roman"/>
          <w:sz w:val="24"/>
          <w:szCs w:val="24"/>
        </w:rPr>
        <w:t>(M.P. z 2016 r. poz. 1006, z póź</w:t>
      </w:r>
      <w:r w:rsidR="008E2F5E" w:rsidRPr="008E2F5E">
        <w:rPr>
          <w:rFonts w:ascii="Times New Roman" w:hAnsi="Times New Roman" w:cs="Times New Roman"/>
          <w:sz w:val="24"/>
          <w:szCs w:val="24"/>
        </w:rPr>
        <w:t>n. zm.</w:t>
      </w:r>
      <w:r w:rsidRPr="008E2F5E">
        <w:rPr>
          <w:rFonts w:ascii="Times New Roman" w:hAnsi="Times New Roman" w:cs="Times New Roman"/>
          <w:sz w:val="24"/>
          <w:szCs w:val="24"/>
        </w:rPr>
        <w:t>)</w:t>
      </w:r>
      <w:r w:rsidR="008E2F5E">
        <w:rPr>
          <w:rFonts w:ascii="Times New Roman" w:hAnsi="Times New Roman" w:cs="Times New Roman"/>
          <w:sz w:val="24"/>
          <w:szCs w:val="24"/>
        </w:rPr>
        <w:t>,</w:t>
      </w:r>
      <w:r w:rsidR="00746DEB">
        <w:rPr>
          <w:rFonts w:ascii="Times New Roman" w:hAnsi="Times New Roman" w:cs="Times New Roman"/>
          <w:sz w:val="24"/>
          <w:szCs w:val="24"/>
        </w:rPr>
        <w:t xml:space="preserve"> projekt został zamieszczony </w:t>
      </w:r>
      <w:r w:rsidR="00746DEB">
        <w:rPr>
          <w:rFonts w:ascii="Times New Roman" w:hAnsi="Times New Roman" w:cs="Times New Roman"/>
          <w:sz w:val="24"/>
          <w:szCs w:val="24"/>
        </w:rPr>
        <w:lastRenderedPageBreak/>
        <w:t>w </w:t>
      </w:r>
      <w:r w:rsidRPr="008E2F5E">
        <w:rPr>
          <w:rFonts w:ascii="Times New Roman" w:hAnsi="Times New Roman" w:cs="Times New Roman"/>
          <w:sz w:val="24"/>
          <w:szCs w:val="24"/>
        </w:rPr>
        <w:t>Biuletynie Informacji Publicznej na stronie podmiotowej Rządowego Centrum Legislacji w serwisie Rządowy Proces Legislacyjny.</w:t>
      </w:r>
    </w:p>
    <w:p w14:paraId="708BAE58" w14:textId="3A9B5FB2" w:rsidR="00BC680E" w:rsidRPr="008E2F5E" w:rsidRDefault="00BC680E" w:rsidP="00883793">
      <w:pPr>
        <w:spacing w:before="120" w:after="0" w:line="360" w:lineRule="auto"/>
        <w:jc w:val="both"/>
        <w:rPr>
          <w:rFonts w:ascii="Times New Roman" w:hAnsi="Times New Roman" w:cs="Times New Roman"/>
          <w:sz w:val="24"/>
          <w:szCs w:val="24"/>
        </w:rPr>
      </w:pPr>
      <w:r w:rsidRPr="008E2F5E">
        <w:rPr>
          <w:rFonts w:ascii="Times New Roman" w:hAnsi="Times New Roman" w:cs="Times New Roman"/>
          <w:sz w:val="24"/>
          <w:szCs w:val="24"/>
        </w:rPr>
        <w:t xml:space="preserve">Projekt nie wymaga przedstawienia organom lub instytucjom Unii Europejskiej stosownie do § 39 uchwały </w:t>
      </w:r>
      <w:r w:rsidR="00472ECD">
        <w:rPr>
          <w:rFonts w:ascii="Times New Roman" w:hAnsi="Times New Roman" w:cs="Times New Roman"/>
          <w:sz w:val="24"/>
          <w:szCs w:val="24"/>
        </w:rPr>
        <w:t>n</w:t>
      </w:r>
      <w:r w:rsidRPr="008E2F5E">
        <w:rPr>
          <w:rFonts w:ascii="Times New Roman" w:hAnsi="Times New Roman" w:cs="Times New Roman"/>
          <w:sz w:val="24"/>
          <w:szCs w:val="24"/>
        </w:rPr>
        <w:t>r 190 Rady Ministrów z dnia 29 października 2013 r.</w:t>
      </w:r>
      <w:r w:rsidR="005500E3">
        <w:rPr>
          <w:rFonts w:ascii="Times New Roman" w:hAnsi="Times New Roman" w:cs="Times New Roman"/>
          <w:sz w:val="24"/>
          <w:szCs w:val="24"/>
        </w:rPr>
        <w:t xml:space="preserve"> </w:t>
      </w:r>
      <w:r w:rsidR="00C647D6">
        <w:rPr>
          <w:rFonts w:ascii="Times New Roman" w:hAnsi="Times New Roman" w:cs="Times New Roman"/>
          <w:sz w:val="24"/>
          <w:szCs w:val="24"/>
        </w:rPr>
        <w:t>– Regulamin</w:t>
      </w:r>
      <w:r w:rsidRPr="008E2F5E">
        <w:rPr>
          <w:rFonts w:ascii="Times New Roman" w:hAnsi="Times New Roman" w:cs="Times New Roman"/>
          <w:sz w:val="24"/>
          <w:szCs w:val="24"/>
        </w:rPr>
        <w:t xml:space="preserve"> pracy Rady Ministrów.</w:t>
      </w:r>
    </w:p>
    <w:p w14:paraId="39AC65CC" w14:textId="77777777" w:rsidR="00BC680E" w:rsidRPr="008E2F5E" w:rsidRDefault="00BC680E" w:rsidP="00883793">
      <w:pPr>
        <w:spacing w:before="120" w:after="0" w:line="360" w:lineRule="auto"/>
        <w:jc w:val="both"/>
        <w:rPr>
          <w:rFonts w:ascii="Times New Roman" w:hAnsi="Times New Roman" w:cs="Times New Roman"/>
          <w:sz w:val="24"/>
          <w:szCs w:val="24"/>
        </w:rPr>
      </w:pPr>
      <w:r w:rsidRPr="008E2F5E">
        <w:rPr>
          <w:rFonts w:ascii="Times New Roman" w:hAnsi="Times New Roman" w:cs="Times New Roman"/>
          <w:sz w:val="24"/>
          <w:szCs w:val="24"/>
        </w:rPr>
        <w:t xml:space="preserve">Projektowana ustawa </w:t>
      </w:r>
      <w:r w:rsidR="008E2F5E">
        <w:rPr>
          <w:rFonts w:ascii="Times New Roman" w:hAnsi="Times New Roman" w:cs="Times New Roman"/>
          <w:sz w:val="24"/>
          <w:szCs w:val="24"/>
        </w:rPr>
        <w:t>nie jest sprzeczna</w:t>
      </w:r>
      <w:r w:rsidRPr="008E2F5E">
        <w:rPr>
          <w:rFonts w:ascii="Times New Roman" w:hAnsi="Times New Roman" w:cs="Times New Roman"/>
          <w:sz w:val="24"/>
          <w:szCs w:val="24"/>
        </w:rPr>
        <w:t xml:space="preserve"> z prawem Unii Europejskiej.</w:t>
      </w:r>
    </w:p>
    <w:sectPr w:rsidR="00BC680E" w:rsidRPr="008E2F5E" w:rsidSect="00883793">
      <w:headerReference w:type="even" r:id="rId7"/>
      <w:headerReference w:type="default" r:id="rId8"/>
      <w:footerReference w:type="even" r:id="rId9"/>
      <w:footerReference w:type="default" r:id="rId10"/>
      <w:headerReference w:type="first" r:id="rId11"/>
      <w:footerReference w:type="first" r:id="rId12"/>
      <w:pgSz w:w="11906" w:h="16838"/>
      <w:pgMar w:top="1588" w:right="1418" w:bottom="1418" w:left="198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30405D" w14:textId="77777777" w:rsidR="00D624FA" w:rsidRDefault="00D624FA" w:rsidP="00F43134">
      <w:pPr>
        <w:spacing w:after="0" w:line="240" w:lineRule="auto"/>
      </w:pPr>
      <w:r>
        <w:separator/>
      </w:r>
    </w:p>
  </w:endnote>
  <w:endnote w:type="continuationSeparator" w:id="0">
    <w:p w14:paraId="36AA9566" w14:textId="77777777" w:rsidR="00D624FA" w:rsidRDefault="00D624FA" w:rsidP="00F43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43852" w14:textId="77777777" w:rsidR="009B6687" w:rsidRDefault="009B668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771189"/>
      <w:docPartObj>
        <w:docPartGallery w:val="Page Numbers (Bottom of Page)"/>
        <w:docPartUnique/>
      </w:docPartObj>
    </w:sdtPr>
    <w:sdtEndPr>
      <w:rPr>
        <w:rFonts w:ascii="Times New Roman" w:hAnsi="Times New Roman" w:cs="Times New Roman"/>
        <w:sz w:val="24"/>
        <w:szCs w:val="24"/>
      </w:rPr>
    </w:sdtEndPr>
    <w:sdtContent>
      <w:p w14:paraId="6D30F0ED" w14:textId="45F99C79" w:rsidR="00F43134" w:rsidRPr="00883793" w:rsidRDefault="00883793" w:rsidP="00883793">
        <w:pPr>
          <w:pStyle w:val="Stopka"/>
          <w:jc w:val="center"/>
          <w:rPr>
            <w:rFonts w:ascii="Times New Roman" w:hAnsi="Times New Roman" w:cs="Times New Roman"/>
            <w:sz w:val="24"/>
            <w:szCs w:val="24"/>
          </w:rPr>
        </w:pPr>
        <w:r w:rsidRPr="00883793">
          <w:rPr>
            <w:rFonts w:ascii="Times New Roman" w:hAnsi="Times New Roman" w:cs="Times New Roman"/>
            <w:sz w:val="24"/>
            <w:szCs w:val="24"/>
          </w:rPr>
          <w:fldChar w:fldCharType="begin"/>
        </w:r>
        <w:r w:rsidRPr="00883793">
          <w:rPr>
            <w:rFonts w:ascii="Times New Roman" w:hAnsi="Times New Roman" w:cs="Times New Roman"/>
            <w:sz w:val="24"/>
            <w:szCs w:val="24"/>
          </w:rPr>
          <w:instrText>PAGE   \* MERGEFORMAT</w:instrText>
        </w:r>
        <w:r w:rsidRPr="00883793">
          <w:rPr>
            <w:rFonts w:ascii="Times New Roman" w:hAnsi="Times New Roman" w:cs="Times New Roman"/>
            <w:sz w:val="24"/>
            <w:szCs w:val="24"/>
          </w:rPr>
          <w:fldChar w:fldCharType="separate"/>
        </w:r>
        <w:r w:rsidR="008F1140">
          <w:rPr>
            <w:rFonts w:ascii="Times New Roman" w:hAnsi="Times New Roman" w:cs="Times New Roman"/>
            <w:noProof/>
            <w:sz w:val="24"/>
            <w:szCs w:val="24"/>
          </w:rPr>
          <w:t>5</w:t>
        </w:r>
        <w:r w:rsidRPr="00883793">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1BAA1" w14:textId="77777777" w:rsidR="009B6687" w:rsidRDefault="009B668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C68FF" w14:textId="77777777" w:rsidR="00D624FA" w:rsidRDefault="00D624FA" w:rsidP="00F43134">
      <w:pPr>
        <w:spacing w:after="0" w:line="240" w:lineRule="auto"/>
      </w:pPr>
      <w:r>
        <w:separator/>
      </w:r>
    </w:p>
  </w:footnote>
  <w:footnote w:type="continuationSeparator" w:id="0">
    <w:p w14:paraId="59BA56F6" w14:textId="77777777" w:rsidR="00D624FA" w:rsidRDefault="00D624FA" w:rsidP="00F431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BF366" w14:textId="77777777" w:rsidR="009B6687" w:rsidRDefault="009B668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DEEA9" w14:textId="77777777" w:rsidR="009B6687" w:rsidRDefault="009B668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92BF8" w14:textId="77777777" w:rsidR="009B6687" w:rsidRDefault="009B6687">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FC7"/>
    <w:rsid w:val="00000531"/>
    <w:rsid w:val="0000333D"/>
    <w:rsid w:val="00005009"/>
    <w:rsid w:val="00013AF6"/>
    <w:rsid w:val="000152E9"/>
    <w:rsid w:val="0001610F"/>
    <w:rsid w:val="000239E2"/>
    <w:rsid w:val="00042327"/>
    <w:rsid w:val="00080A7F"/>
    <w:rsid w:val="000877C1"/>
    <w:rsid w:val="000A0298"/>
    <w:rsid w:val="000A27C1"/>
    <w:rsid w:val="000B6E40"/>
    <w:rsid w:val="000C360F"/>
    <w:rsid w:val="000E0EA2"/>
    <w:rsid w:val="000E3C69"/>
    <w:rsid w:val="000F3984"/>
    <w:rsid w:val="001011FF"/>
    <w:rsid w:val="00117272"/>
    <w:rsid w:val="0012774A"/>
    <w:rsid w:val="00133962"/>
    <w:rsid w:val="00144E47"/>
    <w:rsid w:val="00146AC8"/>
    <w:rsid w:val="0015345C"/>
    <w:rsid w:val="001564E8"/>
    <w:rsid w:val="0016571F"/>
    <w:rsid w:val="00166916"/>
    <w:rsid w:val="00174538"/>
    <w:rsid w:val="0017709C"/>
    <w:rsid w:val="001832A7"/>
    <w:rsid w:val="00184BEA"/>
    <w:rsid w:val="001A5202"/>
    <w:rsid w:val="001B42FB"/>
    <w:rsid w:val="001B68D5"/>
    <w:rsid w:val="001C079F"/>
    <w:rsid w:val="001D3D9D"/>
    <w:rsid w:val="001D5C29"/>
    <w:rsid w:val="001E354F"/>
    <w:rsid w:val="001E757C"/>
    <w:rsid w:val="001F018D"/>
    <w:rsid w:val="001F057F"/>
    <w:rsid w:val="00200B73"/>
    <w:rsid w:val="00210332"/>
    <w:rsid w:val="00211B6B"/>
    <w:rsid w:val="0021330B"/>
    <w:rsid w:val="00215AF8"/>
    <w:rsid w:val="00223EDB"/>
    <w:rsid w:val="0022456E"/>
    <w:rsid w:val="00230249"/>
    <w:rsid w:val="00240684"/>
    <w:rsid w:val="00254154"/>
    <w:rsid w:val="0026139A"/>
    <w:rsid w:val="002702C7"/>
    <w:rsid w:val="00274BB0"/>
    <w:rsid w:val="002752A0"/>
    <w:rsid w:val="0027793E"/>
    <w:rsid w:val="00286B28"/>
    <w:rsid w:val="002A4B3C"/>
    <w:rsid w:val="002A5713"/>
    <w:rsid w:val="002C4EA8"/>
    <w:rsid w:val="002D0FEC"/>
    <w:rsid w:val="002E1AAD"/>
    <w:rsid w:val="002E7A9A"/>
    <w:rsid w:val="002F5E8B"/>
    <w:rsid w:val="00304C40"/>
    <w:rsid w:val="00305D12"/>
    <w:rsid w:val="003132A2"/>
    <w:rsid w:val="00315248"/>
    <w:rsid w:val="00316567"/>
    <w:rsid w:val="00365C40"/>
    <w:rsid w:val="00366762"/>
    <w:rsid w:val="00372D5A"/>
    <w:rsid w:val="00381DF3"/>
    <w:rsid w:val="00385D21"/>
    <w:rsid w:val="003869DE"/>
    <w:rsid w:val="003B3B09"/>
    <w:rsid w:val="003B6E6C"/>
    <w:rsid w:val="003C55E9"/>
    <w:rsid w:val="003C6113"/>
    <w:rsid w:val="003D156C"/>
    <w:rsid w:val="003D1D02"/>
    <w:rsid w:val="003D7955"/>
    <w:rsid w:val="003E188F"/>
    <w:rsid w:val="00412C61"/>
    <w:rsid w:val="0041755F"/>
    <w:rsid w:val="004217FD"/>
    <w:rsid w:val="0042266C"/>
    <w:rsid w:val="00431B4C"/>
    <w:rsid w:val="00433B82"/>
    <w:rsid w:val="00442137"/>
    <w:rsid w:val="00461B5A"/>
    <w:rsid w:val="00464730"/>
    <w:rsid w:val="00472ECD"/>
    <w:rsid w:val="00474179"/>
    <w:rsid w:val="00475614"/>
    <w:rsid w:val="004867B3"/>
    <w:rsid w:val="00497852"/>
    <w:rsid w:val="004A303B"/>
    <w:rsid w:val="004A5FC7"/>
    <w:rsid w:val="004B1DCA"/>
    <w:rsid w:val="004C6625"/>
    <w:rsid w:val="004C6C5B"/>
    <w:rsid w:val="004E030E"/>
    <w:rsid w:val="004E1282"/>
    <w:rsid w:val="00501E57"/>
    <w:rsid w:val="00502AC9"/>
    <w:rsid w:val="00503991"/>
    <w:rsid w:val="005126D6"/>
    <w:rsid w:val="00534070"/>
    <w:rsid w:val="0053519B"/>
    <w:rsid w:val="005500E3"/>
    <w:rsid w:val="005511FB"/>
    <w:rsid w:val="00551232"/>
    <w:rsid w:val="00551F5C"/>
    <w:rsid w:val="00570E49"/>
    <w:rsid w:val="00582015"/>
    <w:rsid w:val="0058407E"/>
    <w:rsid w:val="0059060F"/>
    <w:rsid w:val="00594B32"/>
    <w:rsid w:val="005A4534"/>
    <w:rsid w:val="005A543F"/>
    <w:rsid w:val="005B3EEE"/>
    <w:rsid w:val="005C721B"/>
    <w:rsid w:val="005D74C4"/>
    <w:rsid w:val="00605EAC"/>
    <w:rsid w:val="00620734"/>
    <w:rsid w:val="00626E2E"/>
    <w:rsid w:val="0063031C"/>
    <w:rsid w:val="00630ABE"/>
    <w:rsid w:val="00637D2D"/>
    <w:rsid w:val="00651B9D"/>
    <w:rsid w:val="00653774"/>
    <w:rsid w:val="00653E7D"/>
    <w:rsid w:val="00654B3C"/>
    <w:rsid w:val="006716ED"/>
    <w:rsid w:val="006760A5"/>
    <w:rsid w:val="006837CC"/>
    <w:rsid w:val="00687884"/>
    <w:rsid w:val="00687F4C"/>
    <w:rsid w:val="0069236C"/>
    <w:rsid w:val="006A6902"/>
    <w:rsid w:val="006B0B5C"/>
    <w:rsid w:val="006B65DD"/>
    <w:rsid w:val="006B7D5B"/>
    <w:rsid w:val="006C4392"/>
    <w:rsid w:val="006E571C"/>
    <w:rsid w:val="006F182D"/>
    <w:rsid w:val="006F3120"/>
    <w:rsid w:val="006F7B9B"/>
    <w:rsid w:val="00701E64"/>
    <w:rsid w:val="007044D5"/>
    <w:rsid w:val="00706254"/>
    <w:rsid w:val="007115BE"/>
    <w:rsid w:val="00721900"/>
    <w:rsid w:val="00746DEB"/>
    <w:rsid w:val="00747D27"/>
    <w:rsid w:val="00754D15"/>
    <w:rsid w:val="00762DF2"/>
    <w:rsid w:val="007644EE"/>
    <w:rsid w:val="0076521A"/>
    <w:rsid w:val="00776CE8"/>
    <w:rsid w:val="007B25F0"/>
    <w:rsid w:val="007B66C9"/>
    <w:rsid w:val="007B6CAE"/>
    <w:rsid w:val="007B6CEB"/>
    <w:rsid w:val="007B7E50"/>
    <w:rsid w:val="007C6A7F"/>
    <w:rsid w:val="007D0BE7"/>
    <w:rsid w:val="007D18E1"/>
    <w:rsid w:val="007E1D80"/>
    <w:rsid w:val="007F2702"/>
    <w:rsid w:val="007F35A9"/>
    <w:rsid w:val="007F530A"/>
    <w:rsid w:val="008049B0"/>
    <w:rsid w:val="0080680F"/>
    <w:rsid w:val="008114CE"/>
    <w:rsid w:val="00815CCC"/>
    <w:rsid w:val="00820BD6"/>
    <w:rsid w:val="00837A50"/>
    <w:rsid w:val="00837B43"/>
    <w:rsid w:val="00837FBC"/>
    <w:rsid w:val="008432D1"/>
    <w:rsid w:val="008432FD"/>
    <w:rsid w:val="00845A62"/>
    <w:rsid w:val="00851628"/>
    <w:rsid w:val="00877C68"/>
    <w:rsid w:val="0088069A"/>
    <w:rsid w:val="00881654"/>
    <w:rsid w:val="00883793"/>
    <w:rsid w:val="00883C93"/>
    <w:rsid w:val="00893441"/>
    <w:rsid w:val="00896CD2"/>
    <w:rsid w:val="008B6EF3"/>
    <w:rsid w:val="008C1D6A"/>
    <w:rsid w:val="008C1FE4"/>
    <w:rsid w:val="008C2937"/>
    <w:rsid w:val="008C2B9B"/>
    <w:rsid w:val="008C441B"/>
    <w:rsid w:val="008C5213"/>
    <w:rsid w:val="008D342F"/>
    <w:rsid w:val="008E1457"/>
    <w:rsid w:val="008E205F"/>
    <w:rsid w:val="008E2F5E"/>
    <w:rsid w:val="008E36D7"/>
    <w:rsid w:val="008E73B9"/>
    <w:rsid w:val="008F1140"/>
    <w:rsid w:val="008F21E5"/>
    <w:rsid w:val="008F4ABB"/>
    <w:rsid w:val="0090525E"/>
    <w:rsid w:val="00905626"/>
    <w:rsid w:val="0092565F"/>
    <w:rsid w:val="00925E39"/>
    <w:rsid w:val="00930590"/>
    <w:rsid w:val="00941DB3"/>
    <w:rsid w:val="00944E64"/>
    <w:rsid w:val="009453D8"/>
    <w:rsid w:val="009470BD"/>
    <w:rsid w:val="00960406"/>
    <w:rsid w:val="00965BB0"/>
    <w:rsid w:val="009709BF"/>
    <w:rsid w:val="0097256B"/>
    <w:rsid w:val="00987870"/>
    <w:rsid w:val="00991DDA"/>
    <w:rsid w:val="00994248"/>
    <w:rsid w:val="00996BFD"/>
    <w:rsid w:val="009A1C9B"/>
    <w:rsid w:val="009B6687"/>
    <w:rsid w:val="009B72FC"/>
    <w:rsid w:val="009C0798"/>
    <w:rsid w:val="009C4D47"/>
    <w:rsid w:val="009C525A"/>
    <w:rsid w:val="009D1635"/>
    <w:rsid w:val="009E30BA"/>
    <w:rsid w:val="009E3FF5"/>
    <w:rsid w:val="009E79D1"/>
    <w:rsid w:val="009F0DA2"/>
    <w:rsid w:val="009F0F6A"/>
    <w:rsid w:val="009F3653"/>
    <w:rsid w:val="00A00ABD"/>
    <w:rsid w:val="00A04E8F"/>
    <w:rsid w:val="00A07A63"/>
    <w:rsid w:val="00A1153E"/>
    <w:rsid w:val="00A13ABD"/>
    <w:rsid w:val="00A14F0F"/>
    <w:rsid w:val="00A23452"/>
    <w:rsid w:val="00A34D8D"/>
    <w:rsid w:val="00A352A7"/>
    <w:rsid w:val="00A46296"/>
    <w:rsid w:val="00A463CA"/>
    <w:rsid w:val="00A51867"/>
    <w:rsid w:val="00A54115"/>
    <w:rsid w:val="00A63E9A"/>
    <w:rsid w:val="00A67724"/>
    <w:rsid w:val="00A67AED"/>
    <w:rsid w:val="00A91395"/>
    <w:rsid w:val="00A9139B"/>
    <w:rsid w:val="00AA2F96"/>
    <w:rsid w:val="00AA6CFE"/>
    <w:rsid w:val="00AB2927"/>
    <w:rsid w:val="00AC1FF1"/>
    <w:rsid w:val="00AC40F2"/>
    <w:rsid w:val="00AC451C"/>
    <w:rsid w:val="00AE7017"/>
    <w:rsid w:val="00B006E6"/>
    <w:rsid w:val="00B02107"/>
    <w:rsid w:val="00B03A78"/>
    <w:rsid w:val="00B0590C"/>
    <w:rsid w:val="00B076D0"/>
    <w:rsid w:val="00B17C49"/>
    <w:rsid w:val="00B226CA"/>
    <w:rsid w:val="00B343B3"/>
    <w:rsid w:val="00B35D3E"/>
    <w:rsid w:val="00B514DA"/>
    <w:rsid w:val="00B5422E"/>
    <w:rsid w:val="00B5457E"/>
    <w:rsid w:val="00B55AF6"/>
    <w:rsid w:val="00B643A3"/>
    <w:rsid w:val="00B67A52"/>
    <w:rsid w:val="00B70D82"/>
    <w:rsid w:val="00B84BB2"/>
    <w:rsid w:val="00B84CC4"/>
    <w:rsid w:val="00B92B59"/>
    <w:rsid w:val="00BA2934"/>
    <w:rsid w:val="00BA3117"/>
    <w:rsid w:val="00BB012C"/>
    <w:rsid w:val="00BC19A0"/>
    <w:rsid w:val="00BC680E"/>
    <w:rsid w:val="00BD1E3C"/>
    <w:rsid w:val="00BE0A3E"/>
    <w:rsid w:val="00BE39B4"/>
    <w:rsid w:val="00BF2AAE"/>
    <w:rsid w:val="00BF2AC8"/>
    <w:rsid w:val="00BF41FC"/>
    <w:rsid w:val="00BF7841"/>
    <w:rsid w:val="00C00DCC"/>
    <w:rsid w:val="00C025DA"/>
    <w:rsid w:val="00C113EB"/>
    <w:rsid w:val="00C35BDE"/>
    <w:rsid w:val="00C3739F"/>
    <w:rsid w:val="00C4226A"/>
    <w:rsid w:val="00C44850"/>
    <w:rsid w:val="00C54074"/>
    <w:rsid w:val="00C57700"/>
    <w:rsid w:val="00C647D6"/>
    <w:rsid w:val="00C71DA7"/>
    <w:rsid w:val="00C80D60"/>
    <w:rsid w:val="00C9393D"/>
    <w:rsid w:val="00CA2EB6"/>
    <w:rsid w:val="00CA56B9"/>
    <w:rsid w:val="00CB03D0"/>
    <w:rsid w:val="00CB4D2E"/>
    <w:rsid w:val="00CD0215"/>
    <w:rsid w:val="00CD2092"/>
    <w:rsid w:val="00CD74C5"/>
    <w:rsid w:val="00CD7B4E"/>
    <w:rsid w:val="00CF1AF4"/>
    <w:rsid w:val="00CF21D2"/>
    <w:rsid w:val="00D12BD0"/>
    <w:rsid w:val="00D249C1"/>
    <w:rsid w:val="00D2567F"/>
    <w:rsid w:val="00D321EA"/>
    <w:rsid w:val="00D3314D"/>
    <w:rsid w:val="00D36234"/>
    <w:rsid w:val="00D43D13"/>
    <w:rsid w:val="00D624FA"/>
    <w:rsid w:val="00D65024"/>
    <w:rsid w:val="00D71786"/>
    <w:rsid w:val="00D7537C"/>
    <w:rsid w:val="00D90374"/>
    <w:rsid w:val="00D9355A"/>
    <w:rsid w:val="00D97FF9"/>
    <w:rsid w:val="00DA1059"/>
    <w:rsid w:val="00DB6578"/>
    <w:rsid w:val="00DC3103"/>
    <w:rsid w:val="00DC5F7D"/>
    <w:rsid w:val="00DC7AC9"/>
    <w:rsid w:val="00DD6669"/>
    <w:rsid w:val="00DE663D"/>
    <w:rsid w:val="00DF544A"/>
    <w:rsid w:val="00DF5885"/>
    <w:rsid w:val="00E10F0E"/>
    <w:rsid w:val="00E12707"/>
    <w:rsid w:val="00E17344"/>
    <w:rsid w:val="00E2116F"/>
    <w:rsid w:val="00E2601F"/>
    <w:rsid w:val="00E33E3A"/>
    <w:rsid w:val="00E65479"/>
    <w:rsid w:val="00E66C9B"/>
    <w:rsid w:val="00E7250E"/>
    <w:rsid w:val="00E7752A"/>
    <w:rsid w:val="00E8700B"/>
    <w:rsid w:val="00E9760E"/>
    <w:rsid w:val="00EA065F"/>
    <w:rsid w:val="00EA65E1"/>
    <w:rsid w:val="00EB467F"/>
    <w:rsid w:val="00ED0A48"/>
    <w:rsid w:val="00ED4C61"/>
    <w:rsid w:val="00F03A6C"/>
    <w:rsid w:val="00F04BA0"/>
    <w:rsid w:val="00F24F00"/>
    <w:rsid w:val="00F25003"/>
    <w:rsid w:val="00F30F4C"/>
    <w:rsid w:val="00F3591C"/>
    <w:rsid w:val="00F43134"/>
    <w:rsid w:val="00F45728"/>
    <w:rsid w:val="00F61165"/>
    <w:rsid w:val="00F80FE3"/>
    <w:rsid w:val="00F8130E"/>
    <w:rsid w:val="00F864B2"/>
    <w:rsid w:val="00FA006A"/>
    <w:rsid w:val="00FA0B2F"/>
    <w:rsid w:val="00FA622C"/>
    <w:rsid w:val="00FB38C7"/>
    <w:rsid w:val="00FC50FD"/>
    <w:rsid w:val="00FC6DA1"/>
    <w:rsid w:val="00FD3656"/>
    <w:rsid w:val="00FD389A"/>
    <w:rsid w:val="00FE5257"/>
    <w:rsid w:val="00FF20D1"/>
    <w:rsid w:val="00FF43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5957596"/>
  <w15:docId w15:val="{5ABE3B4E-E7E4-4C43-8692-CCAD8D569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1C079F"/>
    <w:rPr>
      <w:sz w:val="16"/>
      <w:szCs w:val="16"/>
    </w:rPr>
  </w:style>
  <w:style w:type="paragraph" w:styleId="Tekstkomentarza">
    <w:name w:val="annotation text"/>
    <w:basedOn w:val="Normalny"/>
    <w:link w:val="TekstkomentarzaZnak"/>
    <w:uiPriority w:val="99"/>
    <w:semiHidden/>
    <w:unhideWhenUsed/>
    <w:rsid w:val="001C079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C079F"/>
    <w:rPr>
      <w:sz w:val="20"/>
      <w:szCs w:val="20"/>
    </w:rPr>
  </w:style>
  <w:style w:type="paragraph" w:styleId="Tematkomentarza">
    <w:name w:val="annotation subject"/>
    <w:basedOn w:val="Tekstkomentarza"/>
    <w:next w:val="Tekstkomentarza"/>
    <w:link w:val="TematkomentarzaZnak"/>
    <w:uiPriority w:val="99"/>
    <w:semiHidden/>
    <w:unhideWhenUsed/>
    <w:rsid w:val="001C079F"/>
    <w:rPr>
      <w:b/>
      <w:bCs/>
    </w:rPr>
  </w:style>
  <w:style w:type="character" w:customStyle="1" w:styleId="TematkomentarzaZnak">
    <w:name w:val="Temat komentarza Znak"/>
    <w:basedOn w:val="TekstkomentarzaZnak"/>
    <w:link w:val="Tematkomentarza"/>
    <w:uiPriority w:val="99"/>
    <w:semiHidden/>
    <w:rsid w:val="001C079F"/>
    <w:rPr>
      <w:b/>
      <w:bCs/>
      <w:sz w:val="20"/>
      <w:szCs w:val="20"/>
    </w:rPr>
  </w:style>
  <w:style w:type="paragraph" w:styleId="Tekstdymka">
    <w:name w:val="Balloon Text"/>
    <w:basedOn w:val="Normalny"/>
    <w:link w:val="TekstdymkaZnak"/>
    <w:uiPriority w:val="99"/>
    <w:semiHidden/>
    <w:unhideWhenUsed/>
    <w:rsid w:val="001C079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C079F"/>
    <w:rPr>
      <w:rFonts w:ascii="Segoe UI" w:hAnsi="Segoe UI" w:cs="Segoe UI"/>
      <w:sz w:val="18"/>
      <w:szCs w:val="18"/>
    </w:rPr>
  </w:style>
  <w:style w:type="paragraph" w:styleId="Nagwek">
    <w:name w:val="header"/>
    <w:basedOn w:val="Normalny"/>
    <w:link w:val="NagwekZnak"/>
    <w:uiPriority w:val="99"/>
    <w:unhideWhenUsed/>
    <w:rsid w:val="00F4313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43134"/>
  </w:style>
  <w:style w:type="paragraph" w:styleId="Stopka">
    <w:name w:val="footer"/>
    <w:basedOn w:val="Normalny"/>
    <w:link w:val="StopkaZnak"/>
    <w:uiPriority w:val="99"/>
    <w:unhideWhenUsed/>
    <w:rsid w:val="00F4313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43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9FACF-AE61-43B4-A361-715D74F17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1369</Words>
  <Characters>8214</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Autor</dc:creator>
  <cp:lastModifiedBy>Grażyna D. Grabowska</cp:lastModifiedBy>
  <cp:revision>2</cp:revision>
  <cp:lastPrinted>2018-09-19T12:29:00Z</cp:lastPrinted>
  <dcterms:created xsi:type="dcterms:W3CDTF">2018-09-24T13:09:00Z</dcterms:created>
  <dcterms:modified xsi:type="dcterms:W3CDTF">2018-09-24T13:09:00Z</dcterms:modified>
</cp:coreProperties>
</file>