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BCC" w:rsidRPr="00C93F78" w:rsidRDefault="0075369F" w:rsidP="00C93F78">
      <w:pPr>
        <w:spacing w:after="240" w:line="360" w:lineRule="auto"/>
        <w:jc w:val="center"/>
        <w:rPr>
          <w:rFonts w:ascii="Times New Roman" w:hAnsi="Times New Roman" w:cs="Times New Roman"/>
          <w:sz w:val="24"/>
          <w:szCs w:val="24"/>
        </w:rPr>
      </w:pPr>
      <w:bookmarkStart w:id="0" w:name="_GoBack"/>
      <w:bookmarkEnd w:id="0"/>
      <w:r w:rsidRPr="00C93F78">
        <w:rPr>
          <w:rFonts w:ascii="Times New Roman" w:hAnsi="Times New Roman" w:cs="Times New Roman"/>
          <w:sz w:val="24"/>
          <w:szCs w:val="24"/>
        </w:rPr>
        <w:t>UZASADNIENIE</w:t>
      </w:r>
    </w:p>
    <w:p w:rsidR="00CD1BCC" w:rsidRPr="00C93F78" w:rsidRDefault="00CD1BCC" w:rsidP="00C93F78">
      <w:pPr>
        <w:pStyle w:val="Nagwek1"/>
        <w:spacing w:before="0" w:line="360" w:lineRule="auto"/>
        <w:jc w:val="both"/>
        <w:rPr>
          <w:szCs w:val="24"/>
        </w:rPr>
      </w:pPr>
      <w:r w:rsidRPr="00C93F78">
        <w:rPr>
          <w:szCs w:val="24"/>
        </w:rPr>
        <w:t xml:space="preserve">Część ogólna </w:t>
      </w:r>
    </w:p>
    <w:p w:rsidR="002D327C" w:rsidRPr="00C93F78" w:rsidRDefault="00CD1BC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Przedłożony projekt ustawy przewiduje wprowadzenie zmian</w:t>
      </w:r>
      <w:r w:rsidR="00A43FD2" w:rsidRPr="00C93F78">
        <w:rPr>
          <w:rFonts w:ascii="Times New Roman" w:hAnsi="Times New Roman" w:cs="Times New Roman"/>
          <w:sz w:val="24"/>
          <w:szCs w:val="24"/>
        </w:rPr>
        <w:t xml:space="preserve"> w </w:t>
      </w:r>
      <w:r w:rsidR="002D327C" w:rsidRPr="00C93F78">
        <w:rPr>
          <w:rFonts w:ascii="Times New Roman" w:hAnsi="Times New Roman" w:cs="Times New Roman"/>
          <w:sz w:val="24"/>
          <w:szCs w:val="24"/>
        </w:rPr>
        <w:t>następujących aktach prawnych:</w:t>
      </w:r>
    </w:p>
    <w:p w:rsidR="002D327C" w:rsidRPr="00C93F78" w:rsidRDefault="00A43FD2" w:rsidP="00C93F78">
      <w:pPr>
        <w:pStyle w:val="Akapitzlist"/>
        <w:numPr>
          <w:ilvl w:val="0"/>
          <w:numId w:val="83"/>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ustawie z dnia 26 lipca 1991 </w:t>
      </w:r>
      <w:r w:rsidR="00CD1BCC" w:rsidRPr="00C93F78">
        <w:rPr>
          <w:rFonts w:ascii="Times New Roman" w:hAnsi="Times New Roman" w:cs="Times New Roman"/>
          <w:sz w:val="24"/>
          <w:szCs w:val="24"/>
        </w:rPr>
        <w:t>r. o podatk</w:t>
      </w:r>
      <w:r w:rsidR="005A5B91" w:rsidRPr="00C93F78">
        <w:rPr>
          <w:rFonts w:ascii="Times New Roman" w:hAnsi="Times New Roman" w:cs="Times New Roman"/>
          <w:sz w:val="24"/>
          <w:szCs w:val="24"/>
        </w:rPr>
        <w:t xml:space="preserve">u dochodowym od osób fizycznych, </w:t>
      </w:r>
      <w:r w:rsidR="00CD1BCC" w:rsidRPr="00C93F78">
        <w:rPr>
          <w:rFonts w:ascii="Times New Roman" w:hAnsi="Times New Roman" w:cs="Times New Roman"/>
          <w:sz w:val="24"/>
          <w:szCs w:val="24"/>
        </w:rPr>
        <w:t>zwanej dalej: „ustawą o PIT”</w:t>
      </w:r>
      <w:r w:rsidR="00231A34" w:rsidRPr="00C93F78">
        <w:rPr>
          <w:rFonts w:ascii="Times New Roman" w:hAnsi="Times New Roman" w:cs="Times New Roman"/>
          <w:sz w:val="24"/>
          <w:szCs w:val="24"/>
        </w:rPr>
        <w:t xml:space="preserve"> lub „updof”</w:t>
      </w:r>
      <w:r w:rsidR="00CD1BCC" w:rsidRPr="00C93F78">
        <w:rPr>
          <w:rFonts w:ascii="Times New Roman" w:hAnsi="Times New Roman" w:cs="Times New Roman"/>
          <w:sz w:val="24"/>
          <w:szCs w:val="24"/>
        </w:rPr>
        <w:t xml:space="preserve">, </w:t>
      </w:r>
    </w:p>
    <w:p w:rsidR="002D327C" w:rsidRPr="00C93F78" w:rsidRDefault="00CD1BCC" w:rsidP="00C93F78">
      <w:pPr>
        <w:pStyle w:val="Akapitzlist"/>
        <w:numPr>
          <w:ilvl w:val="0"/>
          <w:numId w:val="83"/>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ustawie z dnia 15 lutego 1992 r. o podatku dochodowym od osób prawnych</w:t>
      </w:r>
      <w:r w:rsidR="005A5B91" w:rsidRPr="00C93F78">
        <w:rPr>
          <w:rFonts w:ascii="Times New Roman" w:hAnsi="Times New Roman" w:cs="Times New Roman"/>
          <w:sz w:val="24"/>
          <w:szCs w:val="24"/>
        </w:rPr>
        <w:t>,</w:t>
      </w:r>
      <w:r w:rsidRPr="00C93F78">
        <w:rPr>
          <w:rFonts w:ascii="Times New Roman" w:hAnsi="Times New Roman" w:cs="Times New Roman"/>
          <w:sz w:val="24"/>
          <w:szCs w:val="24"/>
        </w:rPr>
        <w:t xml:space="preserve"> z</w:t>
      </w:r>
      <w:r w:rsidR="002D327C" w:rsidRPr="00C93F78">
        <w:rPr>
          <w:rFonts w:ascii="Times New Roman" w:hAnsi="Times New Roman" w:cs="Times New Roman"/>
          <w:sz w:val="24"/>
          <w:szCs w:val="24"/>
        </w:rPr>
        <w:t>wanej dalej: „ustawą o CIT”</w:t>
      </w:r>
      <w:r w:rsidR="00231A34" w:rsidRPr="00C93F78">
        <w:rPr>
          <w:rFonts w:ascii="Times New Roman" w:hAnsi="Times New Roman" w:cs="Times New Roman"/>
          <w:sz w:val="24"/>
          <w:szCs w:val="24"/>
        </w:rPr>
        <w:t xml:space="preserve"> lub „updop”</w:t>
      </w:r>
      <w:r w:rsidR="002D327C" w:rsidRPr="00C93F78">
        <w:rPr>
          <w:rFonts w:ascii="Times New Roman" w:hAnsi="Times New Roman" w:cs="Times New Roman"/>
          <w:sz w:val="24"/>
          <w:szCs w:val="24"/>
        </w:rPr>
        <w:t>,</w:t>
      </w:r>
    </w:p>
    <w:p w:rsidR="0084448C" w:rsidRPr="00C93F78" w:rsidRDefault="0084448C" w:rsidP="00C93F78">
      <w:pPr>
        <w:pStyle w:val="Akapitzlist"/>
        <w:numPr>
          <w:ilvl w:val="0"/>
          <w:numId w:val="83"/>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ustawie z dnia 29 sierpnia 1997 r. – Ordynacja podatkowa</w:t>
      </w:r>
      <w:r w:rsidR="00231A34" w:rsidRPr="00C93F78">
        <w:rPr>
          <w:rFonts w:ascii="Times New Roman" w:hAnsi="Times New Roman" w:cs="Times New Roman"/>
          <w:sz w:val="24"/>
          <w:szCs w:val="24"/>
        </w:rPr>
        <w:t>, zwana dalej: „Op”,</w:t>
      </w:r>
    </w:p>
    <w:p w:rsidR="005A5B91" w:rsidRPr="00C93F78" w:rsidRDefault="005A5B91" w:rsidP="00C93F78">
      <w:pPr>
        <w:pStyle w:val="Akapitzlist"/>
        <w:numPr>
          <w:ilvl w:val="0"/>
          <w:numId w:val="83"/>
        </w:numPr>
        <w:spacing w:after="120" w:line="360" w:lineRule="auto"/>
        <w:jc w:val="both"/>
        <w:rPr>
          <w:rFonts w:ascii="Times New Roman" w:hAnsi="Times New Roman" w:cs="Times New Roman"/>
          <w:sz w:val="24"/>
          <w:szCs w:val="24"/>
        </w:rPr>
      </w:pPr>
      <w:r w:rsidRPr="00C93F78">
        <w:rPr>
          <w:rFonts w:ascii="Times New Roman" w:eastAsia="Calibri" w:hAnsi="Times New Roman" w:cs="Times New Roman"/>
          <w:sz w:val="24"/>
          <w:szCs w:val="24"/>
        </w:rPr>
        <w:t>ustawie z dnia 17 czerwca 1966 r. o postępowaniu egzekucyjnym w administracji,</w:t>
      </w:r>
      <w:r w:rsidRPr="00C93F78">
        <w:rPr>
          <w:rFonts w:ascii="Times New Roman" w:hAnsi="Times New Roman" w:cs="Times New Roman"/>
          <w:sz w:val="24"/>
          <w:szCs w:val="24"/>
        </w:rPr>
        <w:t xml:space="preserve">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26 maja 1982 r. – Prawo o adwokaturze,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6 lipca 1982 r. o radcach prawnych,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14 lutego 1991 r. – Prawo o notariacie,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20 października 1994 r. o specjalnych strefach ekonomicznych,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10 września 1999 r. </w:t>
      </w:r>
      <w:r w:rsidRPr="00C93F78">
        <w:rPr>
          <w:sz w:val="24"/>
          <w:szCs w:val="24"/>
        </w:rPr>
        <w:sym w:font="Symbol" w:char="F02D"/>
      </w:r>
      <w:r w:rsidRPr="00C93F78">
        <w:rPr>
          <w:rFonts w:ascii="Times New Roman" w:eastAsia="Calibri" w:hAnsi="Times New Roman" w:cs="Times New Roman"/>
          <w:sz w:val="24"/>
          <w:szCs w:val="24"/>
        </w:rPr>
        <w:t xml:space="preserve"> Kodeks karny skarbowy,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5 lipca 1996 r. o doradztwie podatkowym,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11 kwietnia 2001 r. o rzecznikach patentowych,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13 listopada 2003 r. o dochodach jednostek samorządu terytorialnego,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11 marca 2004 r. o podatku od towarów i usług,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ustawie z dnia 16 listopada 2016 r. o Krajowej Administracji Skarbowej, </w:t>
      </w:r>
    </w:p>
    <w:p w:rsidR="005A5B91" w:rsidRPr="00C93F78" w:rsidRDefault="005A5B91"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ustawie z dnia 9 marca 2017 r. o wymianie informacji</w:t>
      </w:r>
      <w:r w:rsidR="003959A0" w:rsidRPr="00C93F78">
        <w:rPr>
          <w:rFonts w:ascii="Times New Roman" w:eastAsia="Calibri" w:hAnsi="Times New Roman" w:cs="Times New Roman"/>
          <w:sz w:val="24"/>
          <w:szCs w:val="24"/>
        </w:rPr>
        <w:t xml:space="preserve"> podatkowych z innymi państwami,</w:t>
      </w:r>
    </w:p>
    <w:p w:rsidR="003959A0" w:rsidRPr="00C93F78" w:rsidRDefault="003959A0" w:rsidP="00C93F78">
      <w:pPr>
        <w:pStyle w:val="Akapitzlist"/>
        <w:numPr>
          <w:ilvl w:val="0"/>
          <w:numId w:val="8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ustawa z dnia 11 maja 2017 r. o biegłych rewidentach, firmach audytorskich oraz nadzorze publicznym.</w:t>
      </w:r>
    </w:p>
    <w:p w:rsidR="0084448C" w:rsidRPr="00C93F78" w:rsidRDefault="0084448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Celami niniejszego projektu jest:</w:t>
      </w:r>
    </w:p>
    <w:p w:rsidR="00AD3A0D" w:rsidRPr="00C93F78" w:rsidRDefault="00AD3A0D"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A. Uproszczeni</w:t>
      </w:r>
      <w:r w:rsidR="00EF66D4" w:rsidRPr="00C93F78">
        <w:rPr>
          <w:rFonts w:ascii="Times New Roman" w:hAnsi="Times New Roman" w:cs="Times New Roman"/>
          <w:b/>
          <w:sz w:val="24"/>
          <w:szCs w:val="24"/>
        </w:rPr>
        <w:t>e</w:t>
      </w:r>
      <w:r w:rsidRPr="00C93F78">
        <w:rPr>
          <w:rFonts w:ascii="Times New Roman" w:hAnsi="Times New Roman" w:cs="Times New Roman"/>
          <w:b/>
          <w:sz w:val="24"/>
          <w:szCs w:val="24"/>
        </w:rPr>
        <w:t xml:space="preserve"> prawa podatkowego </w:t>
      </w:r>
      <w:r w:rsidR="009C6C28" w:rsidRPr="00C93F78">
        <w:rPr>
          <w:rFonts w:ascii="Times New Roman" w:hAnsi="Times New Roman" w:cs="Times New Roman"/>
          <w:b/>
          <w:sz w:val="24"/>
          <w:szCs w:val="24"/>
        </w:rPr>
        <w:t xml:space="preserve">w zakresie podatków dochodowych. </w:t>
      </w:r>
    </w:p>
    <w:p w:rsidR="00921F18" w:rsidRPr="00C93F78" w:rsidRDefault="00283A1A"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B</w:t>
      </w:r>
      <w:r w:rsidR="00416F4E" w:rsidRPr="00C93F78">
        <w:rPr>
          <w:rFonts w:ascii="Times New Roman" w:hAnsi="Times New Roman" w:cs="Times New Roman"/>
          <w:b/>
          <w:sz w:val="24"/>
          <w:szCs w:val="24"/>
        </w:rPr>
        <w:t xml:space="preserve">. </w:t>
      </w:r>
      <w:r w:rsidR="00921F18" w:rsidRPr="00C93F78">
        <w:rPr>
          <w:rFonts w:ascii="Times New Roman" w:hAnsi="Times New Roman" w:cs="Times New Roman"/>
          <w:b/>
          <w:sz w:val="24"/>
          <w:szCs w:val="24"/>
        </w:rPr>
        <w:t>Uszczelnieni</w:t>
      </w:r>
      <w:r w:rsidR="00EF66D4" w:rsidRPr="00C93F78">
        <w:rPr>
          <w:rFonts w:ascii="Times New Roman" w:hAnsi="Times New Roman" w:cs="Times New Roman"/>
          <w:b/>
          <w:sz w:val="24"/>
          <w:szCs w:val="24"/>
        </w:rPr>
        <w:t>e</w:t>
      </w:r>
      <w:r w:rsidR="00921F18" w:rsidRPr="00C93F78">
        <w:rPr>
          <w:rFonts w:ascii="Times New Roman" w:hAnsi="Times New Roman" w:cs="Times New Roman"/>
          <w:b/>
          <w:sz w:val="24"/>
          <w:szCs w:val="24"/>
        </w:rPr>
        <w:t xml:space="preserve"> systemu </w:t>
      </w:r>
      <w:r w:rsidR="0084448C" w:rsidRPr="00C93F78">
        <w:rPr>
          <w:rFonts w:ascii="Times New Roman" w:hAnsi="Times New Roman" w:cs="Times New Roman"/>
          <w:b/>
          <w:sz w:val="24"/>
          <w:szCs w:val="24"/>
        </w:rPr>
        <w:t>podatków dochodowych.</w:t>
      </w:r>
    </w:p>
    <w:p w:rsidR="00A734B4" w:rsidRPr="00C93F78" w:rsidRDefault="00AD3A0D" w:rsidP="00C93F78">
      <w:pPr>
        <w:pStyle w:val="Nagwek1"/>
        <w:numPr>
          <w:ilvl w:val="0"/>
          <w:numId w:val="116"/>
        </w:numPr>
        <w:spacing w:line="360" w:lineRule="auto"/>
        <w:jc w:val="both"/>
        <w:rPr>
          <w:szCs w:val="24"/>
        </w:rPr>
      </w:pPr>
      <w:r w:rsidRPr="00C93F78">
        <w:rPr>
          <w:szCs w:val="24"/>
        </w:rPr>
        <w:lastRenderedPageBreak/>
        <w:t>Uproszczenie prawa podatkowego w zakresie podatków dochodowych</w:t>
      </w:r>
    </w:p>
    <w:p w:rsidR="00A734B4" w:rsidRPr="00C93F78" w:rsidRDefault="00A734B4" w:rsidP="00C93F78">
      <w:pPr>
        <w:pStyle w:val="Nagwek1"/>
        <w:spacing w:line="360" w:lineRule="auto"/>
        <w:jc w:val="both"/>
        <w:rPr>
          <w:szCs w:val="24"/>
        </w:rPr>
      </w:pPr>
      <w:r w:rsidRPr="00C93F78">
        <w:rPr>
          <w:szCs w:val="24"/>
        </w:rPr>
        <w:t xml:space="preserve">I. Nowymi rozwiązaniami zawartymi w projekcie są: </w:t>
      </w:r>
    </w:p>
    <w:p w:rsidR="00A734B4" w:rsidRPr="00C93F78" w:rsidRDefault="00A734B4" w:rsidP="00C93F78">
      <w:pPr>
        <w:pStyle w:val="Nagwek2"/>
        <w:spacing w:line="360" w:lineRule="auto"/>
        <w:jc w:val="both"/>
        <w:rPr>
          <w:b w:val="0"/>
          <w:szCs w:val="24"/>
        </w:rPr>
      </w:pPr>
      <w:r w:rsidRPr="00C93F78">
        <w:rPr>
          <w:szCs w:val="24"/>
        </w:rPr>
        <w:t>1) preferencyjne opodatkowanie dochodów generowanych przez prawa własności intelektualnej (tzw. IP BOX, Innovation Box)</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 ustawy przewiduje wprowadzenie w ustawie o PIT i CIT, korzystnego rozwiązania podatkowego dla przedsiębiorców, którzy uzyskują dochody z komercjalizacji wytworzonych lub rozwiniętych przez nich praw własności intelektualnej, tzw. Innovation Box. </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 głównych celów projektowanej zachęty podatkowej należy między innymi zwiększenie atrakcyjności prowadzenia w Polsce działalności badawczo-rozwojowej przez polskie i zagraniczne przedsiębiorstwa, zmiana modelu ekonomicznego na gospodarkę opartą na wiedzy, a także zwiększenie świadomości w zakresie praw własności intelektualnej jako potencjalnych źródeł przychodów.</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tym zakresie projekt wpisuje się w realizację „Planu na rzecz Odpowiedzialnego Rozwoju”, „Strategii na rzecz doskonałości naukowej, nowoczesnego szkolnictwa wyższego, partnerstwa z biznesem i społecznej odpowiedzialności nauki” oraz „Strategii na Rzecz Odpowiedzialnego Rozwoju” w obszarze innowacyjności, czego wyrazem jest </w:t>
      </w:r>
      <w:r w:rsidRPr="00C93F78">
        <w:rPr>
          <w:rFonts w:ascii="Times New Roman" w:hAnsi="Times New Roman" w:cs="Times New Roman"/>
          <w:i/>
          <w:sz w:val="24"/>
          <w:szCs w:val="24"/>
        </w:rPr>
        <w:t>Biała Księga Innowacji</w:t>
      </w:r>
      <w:r w:rsidRPr="00C93F78">
        <w:rPr>
          <w:rFonts w:ascii="Times New Roman" w:hAnsi="Times New Roman" w:cs="Times New Roman"/>
          <w:sz w:val="24"/>
          <w:szCs w:val="24"/>
        </w:rPr>
        <w:t xml:space="preserve"> opracowana przez Ministerstwo Nauki i Szkolnictwa Wyższego na zlecenie Rady ds. Innowacyjności. Celem opracowanego dokumentu było podjęcie działań na rzecz tworzenia otoczenia prawnego, instytucjonalnego i organizacyjnego sprzyjającego procesom innowacyjnym. </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w:t>
      </w:r>
      <w:r w:rsidRPr="00C93F78">
        <w:rPr>
          <w:rFonts w:ascii="Times New Roman" w:hAnsi="Times New Roman" w:cs="Times New Roman"/>
          <w:i/>
          <w:sz w:val="24"/>
          <w:szCs w:val="24"/>
        </w:rPr>
        <w:t>Białej Księdze Innowacji</w:t>
      </w:r>
      <w:r w:rsidRPr="00C93F78">
        <w:rPr>
          <w:rFonts w:ascii="Times New Roman" w:hAnsi="Times New Roman" w:cs="Times New Roman"/>
          <w:sz w:val="24"/>
          <w:szCs w:val="24"/>
        </w:rPr>
        <w:t xml:space="preserve"> przedstawione zostały rozwiązania mające na celu przezwyciężenie zidentyfikowanych problemów i barier związanych z innowacyjnością w Polsce, a jednym z proponowanych rozwiązań jest zwiększenie atrakcyjności instrumentów podatkowych stymulujących innowacyjność przedsiębiorstw, w tym wprowadzenie ulgi Innovation Box.</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Zakłada się, iż przedmiotowa ulga będzie prowadzić do wzrostu zainteresowania pracami badawczo-rozwojowymi prowadzonymi w Polsce oraz stanowić swoiste „zamknięcie” łańcucha wartości związanego z procesem tworzenia i komercjalizacji innowacyjnych rozwiązań będących efektem prac badawczo-rozwojowych. Rozwiązanie to jest również ważną inicjatywą, która czyni system podatkowy konkurencyjnym i atrakcyjnym dla firm rozwijających wysokie technologie, wspiera rozwój i inwestycje oraz kreuje wysoko jakościowe miejsca pracy w innowacyjnych sektorach. Projektowana ulga będzie pełnić funkcję retencyjną dla innowacyjnych rozwiązań i w rezultacie ma zapobiegać lokowaniu przez przedsiębiorców posiadanych praw własności intelektualnej w krajach, które oferują niższe opodatkowanie dla firm uzyskujących przychody z komercjalizacji tychże praw.</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Proponowane rozwiązanie zostało wdrożone i funkcjonuje w wielu innych krajach, między innymi w Holandii, Wielkiej Brytanii, Irlandii, Luksemburgu, Słowacji, Francji czy na Węgrzech, pod różnymi nazwami </w:t>
      </w:r>
      <w:r w:rsidRPr="00C93F78">
        <w:rPr>
          <w:rFonts w:ascii="Times New Roman" w:hAnsi="Times New Roman" w:cs="Times New Roman"/>
          <w:i/>
          <w:sz w:val="24"/>
          <w:szCs w:val="24"/>
        </w:rPr>
        <w:t>Patent Box, Intellectual Property Box, IP Box</w:t>
      </w:r>
      <w:r w:rsidRPr="00C93F78">
        <w:rPr>
          <w:rFonts w:ascii="Times New Roman" w:hAnsi="Times New Roman" w:cs="Times New Roman"/>
          <w:sz w:val="24"/>
          <w:szCs w:val="24"/>
        </w:rPr>
        <w:t xml:space="preserve"> czy </w:t>
      </w:r>
      <w:r w:rsidRPr="00C93F78">
        <w:rPr>
          <w:rFonts w:ascii="Times New Roman" w:hAnsi="Times New Roman" w:cs="Times New Roman"/>
          <w:i/>
          <w:sz w:val="24"/>
          <w:szCs w:val="24"/>
        </w:rPr>
        <w:t>Knowledge Development Box</w:t>
      </w:r>
      <w:r w:rsidRPr="00C93F78">
        <w:rPr>
          <w:rFonts w:ascii="Times New Roman" w:hAnsi="Times New Roman" w:cs="Times New Roman"/>
          <w:sz w:val="24"/>
          <w:szCs w:val="24"/>
        </w:rPr>
        <w:t xml:space="preserve">, a stosowane mechanizmy ulgi polegają na opodatkowaniu dochodów z praw własności intelektualnej obniżoną stawką podatkową (np. w Wielkiej Brytanii - 10%), czy zwolnieniu części tych dochodów z opodatkowania (np. 80% w Luksemburgu). </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Ponadto należy wskazać, iż wszelkie projektowane regulacje w zakresie preferencyjnego opodatkowania dochodów z praw własności intelektualnej muszą być spójne z wypracowanym przez OECD stanowiskiem dotyczących reżimów podatkowych przewidujących w swoich regulacjach szczególny sposób opodatkowania dochodów z praw własności intelektualnej oraz z wytycznymi OECD w ramach inicjatywy </w:t>
      </w:r>
      <w:r w:rsidRPr="00C93F78">
        <w:rPr>
          <w:rFonts w:ascii="Times New Roman" w:hAnsi="Times New Roman" w:cs="Times New Roman"/>
          <w:i/>
          <w:sz w:val="24"/>
          <w:szCs w:val="24"/>
        </w:rPr>
        <w:t>Base Erosion and Profit Shifting</w:t>
      </w:r>
      <w:r w:rsidRPr="00C93F78">
        <w:rPr>
          <w:rFonts w:ascii="Times New Roman" w:hAnsi="Times New Roman" w:cs="Times New Roman"/>
          <w:sz w:val="24"/>
          <w:szCs w:val="24"/>
        </w:rPr>
        <w:t xml:space="preserve"> (BEPS) zawartymi w raporcie dotyczącym Działania nr 5 – </w:t>
      </w:r>
      <w:r w:rsidRPr="00C93F78">
        <w:rPr>
          <w:rFonts w:ascii="Times New Roman" w:hAnsi="Times New Roman" w:cs="Times New Roman"/>
          <w:i/>
          <w:sz w:val="24"/>
          <w:szCs w:val="24"/>
        </w:rPr>
        <w:t>Efektywne zwalczanie szkodliwych praktyk podatkowych przy uwzględnieniu transparentności i rzeczywistej działalności podatników</w:t>
      </w:r>
      <w:r w:rsidRPr="00C93F78">
        <w:rPr>
          <w:rFonts w:ascii="Times New Roman" w:hAnsi="Times New Roman" w:cs="Times New Roman"/>
          <w:sz w:val="24"/>
          <w:szCs w:val="24"/>
        </w:rPr>
        <w:t xml:space="preserve">. W konsekwencji państwa, w których już funkcjonuje ulga Innovation Box jak również państwa planujące wprowadzenie przedmiotowych rozwiązań są zobowiązane do dostosowania swoich regulacji do wytycznych wynikających z Działania nr 5 BEPS. W raporcie tym zaprezentowano także wytyczne dotyczące konstruowania samej ulgi podatkowej, tzw. </w:t>
      </w:r>
      <w:r w:rsidRPr="00C93F78">
        <w:rPr>
          <w:rFonts w:ascii="Times New Roman" w:hAnsi="Times New Roman" w:cs="Times New Roman"/>
          <w:i/>
          <w:sz w:val="24"/>
          <w:szCs w:val="24"/>
        </w:rPr>
        <w:t>podejście nexus</w:t>
      </w:r>
      <w:r w:rsidRPr="00C93F78">
        <w:rPr>
          <w:rFonts w:ascii="Times New Roman" w:hAnsi="Times New Roman" w:cs="Times New Roman"/>
          <w:sz w:val="24"/>
          <w:szCs w:val="24"/>
        </w:rPr>
        <w:t xml:space="preserve"> </w:t>
      </w:r>
      <w:r w:rsidRPr="00C93F78">
        <w:rPr>
          <w:rFonts w:ascii="Times New Roman" w:hAnsi="Times New Roman" w:cs="Times New Roman"/>
          <w:i/>
          <w:sz w:val="24"/>
          <w:szCs w:val="24"/>
        </w:rPr>
        <w:t>(Modified Nexus Approach)</w:t>
      </w:r>
      <w:r w:rsidRPr="00C93F78">
        <w:rPr>
          <w:rFonts w:ascii="Times New Roman" w:hAnsi="Times New Roman" w:cs="Times New Roman"/>
          <w:sz w:val="24"/>
          <w:szCs w:val="24"/>
        </w:rPr>
        <w:t xml:space="preserve"> – tj. konieczność zachowania związku między poniesionymi kosztami, prawami własności intelektualnej oraz generowanym dochodem z tych praw. Zgodnie </w:t>
      </w:r>
      <w:r w:rsidRPr="00C93F78">
        <w:rPr>
          <w:rFonts w:ascii="Times New Roman" w:hAnsi="Times New Roman" w:cs="Times New Roman"/>
          <w:i/>
          <w:sz w:val="24"/>
          <w:szCs w:val="24"/>
        </w:rPr>
        <w:t>podejściem nexus</w:t>
      </w:r>
      <w:r w:rsidRPr="00C93F78">
        <w:rPr>
          <w:rFonts w:ascii="Times New Roman" w:hAnsi="Times New Roman" w:cs="Times New Roman"/>
          <w:sz w:val="24"/>
          <w:szCs w:val="24"/>
        </w:rPr>
        <w:t xml:space="preserve"> korzyści wynikające z ulgi podatkowej uzależnione są od zakresu działalności badawczo-rozwojowej podejmowanej przez podatnika – skorzystanie z ulgi podatkowej jest możliwe w sytuacji występowania powiązania między dochodem kwalifikującym się do ulgi a wydatkami poniesionymi w celu jego uzyskania. </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Proponowane w projekcie ustawy rozwiązanie polega na preferencyjnym opodatkowaniu 5% stawką podatkową dochodów uzyskiwanych przez podatnika z praw własności intelektualnej, których podatnik jest właścicielem, współwłaścicielem, użytkownikiem lub posiada prawa do korzystania z nich na podstawie umowy licencyjnej i, które są chronione na podstawie obowiązującego prawa krajowego lub międzynarodowego przez m.in. patent, dodatkowe prawo ochronne na wzór użytkowy czy prawo z rejestracji wzoru przemysłowego, zwane dalej „kwalifikowanymi prawami własności intelektualnej ”.</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 przewiduje również możliwość skorzystania z ulgi Innovation Box w sytuacji, gdy podatnik dokona zakupu kwalifikowanych praw własności intelektualnej, o których mowa powyżej, pod warunkiem, iż następnie poniesie on koszty związane z rozwojem lub ulepszeniem nabytego prawa. </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Dochodem kwalifikującym się do ulgi Innovation Box jest dochód uzyskany z tytułu należności/opłat licencyjnych lub innych należności związanych z wykorzystywaniem kwalifikowanego prawa własności intelektualnej, dochód ze sprzedaży kwalifikowanego prawa własności intelektualnej, jak również, co istotne, dochód z tego aktywa uwzględniony w cenie sprzedaży lub usługi określany na zasadzie ceny rynkowej. </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Warunkiem koniecznym dla skorzystania z projektowanej preferencji jest wymóg prowadzenia przez podatnika działalności badawczo-rozwojowej bezpośrednio związanej z wytworzeniem, komercjalizacją, rozwojem lub ulepszeniem kwalifikowanego prawa własności intelektualnej, co stanowi wyraz realizacji zasady </w:t>
      </w:r>
      <w:r w:rsidRPr="00C93F78">
        <w:rPr>
          <w:rFonts w:ascii="Times New Roman" w:hAnsi="Times New Roman" w:cs="Times New Roman"/>
          <w:i/>
          <w:sz w:val="24"/>
          <w:szCs w:val="24"/>
        </w:rPr>
        <w:t>nexus</w:t>
      </w:r>
      <w:r w:rsidRPr="00C93F78">
        <w:rPr>
          <w:rFonts w:ascii="Times New Roman" w:hAnsi="Times New Roman" w:cs="Times New Roman"/>
          <w:sz w:val="24"/>
          <w:szCs w:val="24"/>
        </w:rPr>
        <w:t>. Poziom dochodu z IP kwalifikowanego do zastosowania preferencyjnej stawki opodatkowania będzie wyliczany przy zastosowania formuły (wzoru) wynikającej z raportu nr 5 BEPS. Projekt przewiduje również możliwość zlecenia wykonania prac badawczo-rozwojowych innym podmiotom, zarówno niepowiązanym jak i powiązanym.</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Podatnik, który będzie chciał skorzystać z projektowanej preferencji będzie zobowiązany prowadzić szczegółową ewidencję rachunkową w sposób umożliwiający obliczenie podstawy opodatkowania, w tym powiązanie ponoszonych kosztów prac badawczo-rozwojowych z osiąganymi dochodami z praw IP powstałymi w wyniku przeprowadzenia tych prac</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Należy podkreślić, że stosowanie tej ulgi (niższej stawki podatku do kwalifikowanych dochodów) będzie prawem, a nie obowiązkiem podatnika. Jest to o tyle istotne, gdyż z korzystaniem z ulgi wiążą się, bądź co bądź, dodatkowe obowiązki po stronie podatników, w szczególności wspomniany wyżej obowiązek prowadzenia ewidencji pozwalającej na monitorowanie i śledzenia efektów prac B+R. </w:t>
      </w:r>
    </w:p>
    <w:p w:rsidR="00A734B4" w:rsidRPr="00C93F78" w:rsidRDefault="00A734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Podatnik będzie miał możliwość stosowania przedmiotowej ulgi przez cały okres trwania ochrony prawnej kwalifikowanych praw własności intelektualnej. W przypadku tych aktywów, które podlegają procedurze zgłoszenia/rejestracji, podatnik będzie mógł skorzystać z preferencji podatkowej od momentu zgłoszenia lub złożenia wniosku o rejestrację (obowiązek zwrotu kwoty ulgi w przypadku wycofania wniosku, odmowy udzielenia prawa lub odrzucenia wniosku o rejestrację).</w:t>
      </w:r>
    </w:p>
    <w:p w:rsidR="003B391E" w:rsidRPr="00C93F78" w:rsidRDefault="005E1384" w:rsidP="00C93F78">
      <w:pPr>
        <w:pStyle w:val="Nagwek2"/>
        <w:spacing w:line="360" w:lineRule="auto"/>
        <w:jc w:val="both"/>
        <w:rPr>
          <w:b w:val="0"/>
          <w:szCs w:val="24"/>
        </w:rPr>
      </w:pPr>
      <w:r w:rsidRPr="00C93F78">
        <w:rPr>
          <w:szCs w:val="24"/>
        </w:rPr>
        <w:t>2</w:t>
      </w:r>
      <w:r w:rsidR="003B391E" w:rsidRPr="00C93F78">
        <w:rPr>
          <w:szCs w:val="24"/>
        </w:rPr>
        <w:t xml:space="preserve">) wprowadzenie szczególnych rozwiązań </w:t>
      </w:r>
      <w:r w:rsidR="00D03E8E" w:rsidRPr="00C93F78">
        <w:rPr>
          <w:szCs w:val="24"/>
        </w:rPr>
        <w:t>od</w:t>
      </w:r>
      <w:r w:rsidR="003B391E" w:rsidRPr="00C93F78">
        <w:rPr>
          <w:szCs w:val="24"/>
        </w:rPr>
        <w:t>noszących się do nabywania przez podmioty gospodarcze pakietów wierzytelności</w:t>
      </w:r>
    </w:p>
    <w:p w:rsidR="0069413B" w:rsidRPr="00C93F78" w:rsidRDefault="0069413B"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 uwagi na brak możliwości rozpoznania strat związanych z wierzytelnościami w połączeniu z brakiem możliwości rozpoznania pełnej bazy kosztowej nabycia wierzytelności co może skutkować </w:t>
      </w:r>
      <w:r w:rsidR="0042502C" w:rsidRPr="00C93F78">
        <w:rPr>
          <w:rFonts w:ascii="Times New Roman" w:hAnsi="Times New Roman" w:cs="Times New Roman"/>
          <w:sz w:val="24"/>
          <w:szCs w:val="24"/>
        </w:rPr>
        <w:t xml:space="preserve">efektywnym </w:t>
      </w:r>
      <w:r w:rsidRPr="00C93F78">
        <w:rPr>
          <w:rFonts w:ascii="Times New Roman" w:hAnsi="Times New Roman" w:cs="Times New Roman"/>
          <w:sz w:val="24"/>
          <w:szCs w:val="24"/>
        </w:rPr>
        <w:t xml:space="preserve">opodatkowaniem działalności polegającej na ich windykacji na </w:t>
      </w:r>
      <w:r w:rsidR="0042502C" w:rsidRPr="00C93F78">
        <w:rPr>
          <w:rFonts w:ascii="Times New Roman" w:hAnsi="Times New Roman" w:cs="Times New Roman"/>
          <w:sz w:val="24"/>
          <w:szCs w:val="24"/>
        </w:rPr>
        <w:t xml:space="preserve">dużo wyższym niż średni </w:t>
      </w:r>
      <w:r w:rsidRPr="00C93F78">
        <w:rPr>
          <w:rFonts w:ascii="Times New Roman" w:hAnsi="Times New Roman" w:cs="Times New Roman"/>
          <w:sz w:val="24"/>
          <w:szCs w:val="24"/>
        </w:rPr>
        <w:t>poziomie, proponuje się wprowadzenie:</w:t>
      </w:r>
    </w:p>
    <w:p w:rsidR="0069413B" w:rsidRPr="00C93F78" w:rsidRDefault="0069413B"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 przepisów pozwalających na rozpoznanie pełnej bazy kosztowej nabycia </w:t>
      </w:r>
      <w:r w:rsidR="00357C6D" w:rsidRPr="00C93F78">
        <w:rPr>
          <w:rFonts w:ascii="Times New Roman" w:hAnsi="Times New Roman" w:cs="Times New Roman"/>
          <w:sz w:val="24"/>
          <w:szCs w:val="24"/>
        </w:rPr>
        <w:t xml:space="preserve">pojedynczej </w:t>
      </w:r>
      <w:r w:rsidRPr="00C93F78">
        <w:rPr>
          <w:rFonts w:ascii="Times New Roman" w:hAnsi="Times New Roman" w:cs="Times New Roman"/>
          <w:sz w:val="24"/>
          <w:szCs w:val="24"/>
        </w:rPr>
        <w:t xml:space="preserve">wierzytelności, </w:t>
      </w:r>
    </w:p>
    <w:p w:rsidR="003B391E" w:rsidRPr="00C93F78" w:rsidRDefault="00357C6D"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analogicznych zasad</w:t>
      </w:r>
      <w:r w:rsidR="0069413B" w:rsidRPr="00C93F78">
        <w:rPr>
          <w:rFonts w:ascii="Times New Roman" w:hAnsi="Times New Roman" w:cs="Times New Roman"/>
          <w:sz w:val="24"/>
          <w:szCs w:val="24"/>
        </w:rPr>
        <w:t xml:space="preserve"> opodatkowania </w:t>
      </w:r>
      <w:r w:rsidRPr="00C93F78">
        <w:rPr>
          <w:rFonts w:ascii="Times New Roman" w:hAnsi="Times New Roman" w:cs="Times New Roman"/>
          <w:sz w:val="24"/>
          <w:szCs w:val="24"/>
        </w:rPr>
        <w:t xml:space="preserve">odnoszących się do </w:t>
      </w:r>
      <w:r w:rsidR="0069413B" w:rsidRPr="00C93F78">
        <w:rPr>
          <w:rFonts w:ascii="Times New Roman" w:hAnsi="Times New Roman" w:cs="Times New Roman"/>
          <w:sz w:val="24"/>
          <w:szCs w:val="24"/>
        </w:rPr>
        <w:t>pakietu wierzytelności</w:t>
      </w:r>
      <w:r w:rsidRPr="00C93F78">
        <w:rPr>
          <w:rFonts w:ascii="Times New Roman" w:hAnsi="Times New Roman" w:cs="Times New Roman"/>
          <w:sz w:val="24"/>
          <w:szCs w:val="24"/>
        </w:rPr>
        <w:t xml:space="preserve">, </w:t>
      </w:r>
      <w:r w:rsidR="0069413B" w:rsidRPr="00C93F78">
        <w:rPr>
          <w:rFonts w:ascii="Times New Roman" w:hAnsi="Times New Roman" w:cs="Times New Roman"/>
          <w:sz w:val="24"/>
          <w:szCs w:val="24"/>
        </w:rPr>
        <w:t>jako lepiej odzwierciedlającego ekonomiczny charakter tego typu transakcji</w:t>
      </w:r>
      <w:r w:rsidR="0042502C" w:rsidRPr="00C93F78">
        <w:rPr>
          <w:rFonts w:ascii="Times New Roman" w:hAnsi="Times New Roman" w:cs="Times New Roman"/>
          <w:sz w:val="24"/>
          <w:szCs w:val="24"/>
        </w:rPr>
        <w:t>,</w:t>
      </w:r>
      <w:r w:rsidR="0069413B" w:rsidRPr="00C93F78">
        <w:rPr>
          <w:rFonts w:ascii="Times New Roman" w:hAnsi="Times New Roman" w:cs="Times New Roman"/>
          <w:sz w:val="24"/>
          <w:szCs w:val="24"/>
        </w:rPr>
        <w:t xml:space="preserve"> niż w przypadku analizy pojedynczych wierzytelności wchodzących w jego skład.</w:t>
      </w:r>
    </w:p>
    <w:p w:rsidR="004B6B3A" w:rsidRPr="00C93F78" w:rsidRDefault="004B6B3A"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obecnym stanie prawnym </w:t>
      </w:r>
      <w:r w:rsidR="009E494D" w:rsidRPr="00C93F78">
        <w:rPr>
          <w:rFonts w:ascii="Times New Roman" w:hAnsi="Times New Roman" w:cs="Times New Roman"/>
          <w:sz w:val="24"/>
          <w:szCs w:val="24"/>
        </w:rPr>
        <w:t>w organy podatkowe stoją na stanowisku, iż</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wydatek na nabycie wierzytelności stanowi dla nabywcy koszt</w:t>
      </w:r>
      <w:r w:rsidR="009E494D" w:rsidRPr="00C93F78">
        <w:rPr>
          <w:rFonts w:ascii="Times New Roman" w:hAnsi="Times New Roman" w:cs="Times New Roman"/>
          <w:sz w:val="24"/>
          <w:szCs w:val="24"/>
        </w:rPr>
        <w:t xml:space="preserve"> uzyskania przychodów dopiero w </w:t>
      </w:r>
      <w:r w:rsidRPr="00C93F78">
        <w:rPr>
          <w:rFonts w:ascii="Times New Roman" w:hAnsi="Times New Roman" w:cs="Times New Roman"/>
          <w:sz w:val="24"/>
          <w:szCs w:val="24"/>
        </w:rPr>
        <w:t xml:space="preserve">momencie uzyskania przychodu w postaci zapłaty całości należności. W przypadku częściowej zapłaty wydatek ten jest kosztem uzyskania przychodu w proporcji uiszczonej wpłaty do osiągniętego przychodu. W sytuacji, gdy spłacana jest jedynie część wierzytelności, to za koszt uzyskania przychodów danego roku podatkowego może być uznana również tylko taka część poniesionych na nabycie tej wierzytelności wydatków, jaka dotyczy przychodów uzyskanych przez podatnika w związku z wyegzekwowaną spłatą wierzytelności. Jeżeli więc, kwota wierzytelności jest spłacana przez dłużnika w różnych latach, wówczas koszty również są uznane za koszty uzyskania przychodów w takiej wysokości, jaka odpowiada spłacie wierzytelności w danym roku, czyli proporcjonalnie do uzyskanego przychodu. </w:t>
      </w:r>
    </w:p>
    <w:p w:rsidR="004B6B3A" w:rsidRPr="00C93F78" w:rsidRDefault="004B6B3A"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Przedstawiona metodologia rozliczania podatkowego wyniku nabywanych wierzytelności została wielokrotnie potwierdzona przez sądy</w:t>
      </w:r>
      <w:r w:rsidR="009E494D" w:rsidRPr="00C93F78">
        <w:rPr>
          <w:rStyle w:val="Odwoanieprzypisudolnego"/>
          <w:rFonts w:ascii="Times New Roman" w:hAnsi="Times New Roman" w:cs="Times New Roman"/>
          <w:sz w:val="24"/>
          <w:szCs w:val="24"/>
        </w:rPr>
        <w:footnoteReference w:id="2"/>
      </w:r>
      <w:r w:rsidRPr="00C93F78">
        <w:rPr>
          <w:rFonts w:ascii="Times New Roman" w:hAnsi="Times New Roman" w:cs="Times New Roman"/>
          <w:sz w:val="24"/>
          <w:szCs w:val="24"/>
        </w:rPr>
        <w:t>, m.in. w wyroku NSA z dnia 20.09.2011 r. sygn. akt II FSK 615/10.</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W orzeczeniu tym sąd wskazał, że: </w:t>
      </w:r>
      <w:r w:rsidRPr="00C93F78">
        <w:rPr>
          <w:rFonts w:ascii="Times New Roman" w:hAnsi="Times New Roman" w:cs="Times New Roman"/>
          <w:i/>
          <w:sz w:val="24"/>
          <w:szCs w:val="24"/>
        </w:rPr>
        <w:t>„…poniesione koszty można kwalifikować jako koszty uzyskania przychodu proporcjonalnie do osiągniętego przychodu z wierzytelności, w stosunku do jej faktycznej wartości, w tym przypadku wartości nominalnej. W przekonaniu Sądu zasada "proporcjonalnego" w czasie i w wysokości potrącenia kosztów uzyskania przychodów w latach, w których podatnik uzyskiwał z tego tytułu przychody, w pełni odpowiada konstrukcji podatku dochodowego, a więc konieczności powiązania kosztu z konkretnym przychodem.”</w:t>
      </w:r>
      <w:r w:rsidRPr="00C93F78">
        <w:rPr>
          <w:rFonts w:ascii="Times New Roman" w:hAnsi="Times New Roman" w:cs="Times New Roman"/>
          <w:sz w:val="24"/>
          <w:szCs w:val="24"/>
        </w:rPr>
        <w:t xml:space="preserve"> </w:t>
      </w:r>
    </w:p>
    <w:p w:rsidR="004B6B3A" w:rsidRPr="00C93F78" w:rsidRDefault="004B6B3A"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 zmianie przepisów koszty nabycia wierzytelności bądź pakiety wierzytelności będą rozpoznawane „wprost” w kwocie odpowiadającej kwocie uzyskanego z niej przychody, do momentu zrównania się przychodu ze spłaty wierzytelności (pakietu wierzytelności) z kwotą poniesionego na jej (jego) nabycie wydatku (tj. innymi słowy, do momentu rozliczenia całości wydatków na nabycie określonej wierzytelności bądź pakietu wierzytelności).</w:t>
      </w:r>
      <w:r w:rsidR="00840A3E" w:rsidRPr="00C93F78">
        <w:rPr>
          <w:rFonts w:ascii="Times New Roman" w:hAnsi="Times New Roman" w:cs="Times New Roman"/>
          <w:sz w:val="24"/>
          <w:szCs w:val="24"/>
        </w:rPr>
        <w:t xml:space="preserve"> </w:t>
      </w:r>
    </w:p>
    <w:p w:rsidR="004B6B3A" w:rsidRPr="00C93F78" w:rsidRDefault="004B6B3A"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Przykładowe rozliczenie przychodów osiągniętych z nabytej wierzytelności przed i po zmianie przedstawia się następująco: </w:t>
      </w:r>
    </w:p>
    <w:tbl>
      <w:tblPr>
        <w:tblStyle w:val="Tabela-Siatka"/>
        <w:tblW w:w="0" w:type="auto"/>
        <w:tblLook w:val="04A0" w:firstRow="1" w:lastRow="0" w:firstColumn="1" w:lastColumn="0" w:noHBand="0" w:noVBand="1"/>
      </w:tblPr>
      <w:tblGrid>
        <w:gridCol w:w="3168"/>
        <w:gridCol w:w="3240"/>
        <w:gridCol w:w="2804"/>
      </w:tblGrid>
      <w:tr w:rsidR="004B6B3A" w:rsidRPr="00C93F78" w:rsidTr="00875EE4">
        <w:tc>
          <w:tcPr>
            <w:tcW w:w="3168" w:type="dxa"/>
          </w:tcPr>
          <w:p w:rsidR="004B6B3A" w:rsidRPr="00C93F78" w:rsidRDefault="004B6B3A" w:rsidP="00C93F78">
            <w:pPr>
              <w:spacing w:before="60" w:after="60" w:line="360" w:lineRule="auto"/>
              <w:jc w:val="both"/>
              <w:rPr>
                <w:rFonts w:ascii="Times New Roman" w:hAnsi="Times New Roman"/>
                <w:b/>
                <w:sz w:val="24"/>
                <w:szCs w:val="24"/>
              </w:rPr>
            </w:pPr>
            <w:r w:rsidRPr="00C93F78">
              <w:rPr>
                <w:rFonts w:ascii="Times New Roman" w:hAnsi="Times New Roman"/>
                <w:b/>
                <w:sz w:val="24"/>
                <w:szCs w:val="24"/>
              </w:rPr>
              <w:t>Zdarzenie</w:t>
            </w:r>
          </w:p>
        </w:tc>
        <w:tc>
          <w:tcPr>
            <w:tcW w:w="3240" w:type="dxa"/>
          </w:tcPr>
          <w:p w:rsidR="004B6B3A" w:rsidRPr="00C93F78" w:rsidRDefault="004B6B3A" w:rsidP="00C93F78">
            <w:pPr>
              <w:spacing w:before="60" w:after="60" w:line="360" w:lineRule="auto"/>
              <w:jc w:val="both"/>
              <w:rPr>
                <w:rFonts w:ascii="Times New Roman" w:hAnsi="Times New Roman"/>
                <w:b/>
                <w:sz w:val="24"/>
                <w:szCs w:val="24"/>
              </w:rPr>
            </w:pPr>
            <w:r w:rsidRPr="00C93F78">
              <w:rPr>
                <w:rFonts w:ascii="Times New Roman" w:hAnsi="Times New Roman"/>
                <w:b/>
                <w:sz w:val="24"/>
                <w:szCs w:val="24"/>
              </w:rPr>
              <w:t>Stan obecny</w:t>
            </w:r>
          </w:p>
        </w:tc>
        <w:tc>
          <w:tcPr>
            <w:tcW w:w="2804" w:type="dxa"/>
          </w:tcPr>
          <w:p w:rsidR="004B6B3A" w:rsidRPr="00C93F78" w:rsidRDefault="004B6B3A" w:rsidP="00C93F78">
            <w:pPr>
              <w:spacing w:before="60" w:after="60" w:line="360" w:lineRule="auto"/>
              <w:jc w:val="both"/>
              <w:rPr>
                <w:rFonts w:ascii="Times New Roman" w:hAnsi="Times New Roman"/>
                <w:b/>
                <w:sz w:val="24"/>
                <w:szCs w:val="24"/>
              </w:rPr>
            </w:pPr>
            <w:r w:rsidRPr="00C93F78">
              <w:rPr>
                <w:rFonts w:ascii="Times New Roman" w:hAnsi="Times New Roman"/>
                <w:b/>
                <w:sz w:val="24"/>
                <w:szCs w:val="24"/>
              </w:rPr>
              <w:t>Stan projektowany</w:t>
            </w:r>
          </w:p>
        </w:tc>
      </w:tr>
      <w:tr w:rsidR="004B6B3A" w:rsidRPr="00C93F78" w:rsidTr="00875EE4">
        <w:tc>
          <w:tcPr>
            <w:tcW w:w="3168" w:type="dxa"/>
            <w:vAlign w:val="center"/>
          </w:tcPr>
          <w:p w:rsidR="004B6B3A" w:rsidRPr="00C93F78" w:rsidRDefault="004B6B3A" w:rsidP="00C93F78">
            <w:pPr>
              <w:spacing w:before="60" w:after="60" w:line="360" w:lineRule="auto"/>
              <w:rPr>
                <w:rFonts w:ascii="Times New Roman" w:hAnsi="Times New Roman"/>
                <w:sz w:val="24"/>
                <w:szCs w:val="24"/>
              </w:rPr>
            </w:pPr>
            <w:r w:rsidRPr="00C93F78">
              <w:rPr>
                <w:rFonts w:ascii="Times New Roman" w:hAnsi="Times New Roman"/>
                <w:sz w:val="24"/>
                <w:szCs w:val="24"/>
              </w:rPr>
              <w:t>1. Nabycie wierzytelności o wartości nominalnej 100</w:t>
            </w:r>
            <w:r w:rsidR="00A161A1" w:rsidRPr="00C93F78">
              <w:rPr>
                <w:rFonts w:ascii="Times New Roman" w:hAnsi="Times New Roman"/>
                <w:sz w:val="24"/>
                <w:szCs w:val="24"/>
              </w:rPr>
              <w:t xml:space="preserve">0 zł </w:t>
            </w:r>
            <w:r w:rsidRPr="00C93F78">
              <w:rPr>
                <w:rFonts w:ascii="Times New Roman" w:hAnsi="Times New Roman"/>
                <w:sz w:val="24"/>
                <w:szCs w:val="24"/>
              </w:rPr>
              <w:t xml:space="preserve">za </w:t>
            </w:r>
            <w:r w:rsidR="00A161A1" w:rsidRPr="00C93F78">
              <w:rPr>
                <w:rFonts w:ascii="Times New Roman" w:hAnsi="Times New Roman"/>
                <w:sz w:val="24"/>
                <w:szCs w:val="24"/>
              </w:rPr>
              <w:t>200 zł</w:t>
            </w:r>
          </w:p>
        </w:tc>
        <w:tc>
          <w:tcPr>
            <w:tcW w:w="3240" w:type="dxa"/>
            <w:vAlign w:val="center"/>
          </w:tcPr>
          <w:p w:rsidR="004B6B3A" w:rsidRPr="00C93F78" w:rsidRDefault="004B6B3A" w:rsidP="00C93F78">
            <w:pPr>
              <w:spacing w:before="60" w:after="60" w:line="360" w:lineRule="auto"/>
              <w:rPr>
                <w:rFonts w:ascii="Times New Roman" w:hAnsi="Times New Roman"/>
                <w:sz w:val="24"/>
                <w:szCs w:val="24"/>
              </w:rPr>
            </w:pPr>
            <w:r w:rsidRPr="00C93F78">
              <w:rPr>
                <w:rFonts w:ascii="Times New Roman" w:hAnsi="Times New Roman"/>
                <w:sz w:val="24"/>
                <w:szCs w:val="24"/>
              </w:rPr>
              <w:t>bez skutków u nabywcy</w:t>
            </w:r>
          </w:p>
        </w:tc>
        <w:tc>
          <w:tcPr>
            <w:tcW w:w="2804" w:type="dxa"/>
            <w:vAlign w:val="center"/>
          </w:tcPr>
          <w:p w:rsidR="004B6B3A" w:rsidRPr="00C93F78" w:rsidRDefault="004B6B3A" w:rsidP="00C93F78">
            <w:pPr>
              <w:spacing w:before="60" w:after="60" w:line="360" w:lineRule="auto"/>
              <w:rPr>
                <w:rFonts w:ascii="Times New Roman" w:hAnsi="Times New Roman"/>
                <w:sz w:val="24"/>
                <w:szCs w:val="24"/>
              </w:rPr>
            </w:pPr>
            <w:r w:rsidRPr="00C93F78">
              <w:rPr>
                <w:rFonts w:ascii="Times New Roman" w:hAnsi="Times New Roman"/>
                <w:sz w:val="24"/>
                <w:szCs w:val="24"/>
              </w:rPr>
              <w:t>bez skutków u nabywcy</w:t>
            </w:r>
          </w:p>
        </w:tc>
      </w:tr>
      <w:tr w:rsidR="004B6B3A" w:rsidRPr="00C93F78" w:rsidTr="00034B8B">
        <w:tc>
          <w:tcPr>
            <w:tcW w:w="3168" w:type="dxa"/>
            <w:vAlign w:val="center"/>
          </w:tcPr>
          <w:p w:rsidR="004B6B3A" w:rsidRPr="00C93F78" w:rsidRDefault="004B6B3A" w:rsidP="00C93F78">
            <w:pPr>
              <w:spacing w:before="60" w:after="60" w:line="360" w:lineRule="auto"/>
              <w:rPr>
                <w:rFonts w:ascii="Times New Roman" w:hAnsi="Times New Roman"/>
                <w:sz w:val="24"/>
                <w:szCs w:val="24"/>
              </w:rPr>
            </w:pPr>
            <w:r w:rsidRPr="00C93F78">
              <w:rPr>
                <w:rFonts w:ascii="Times New Roman" w:hAnsi="Times New Roman"/>
                <w:sz w:val="24"/>
                <w:szCs w:val="24"/>
              </w:rPr>
              <w:t xml:space="preserve">2. </w:t>
            </w:r>
            <w:r w:rsidR="00A161A1" w:rsidRPr="00C93F78">
              <w:rPr>
                <w:rFonts w:ascii="Times New Roman" w:hAnsi="Times New Roman"/>
                <w:sz w:val="24"/>
                <w:szCs w:val="24"/>
              </w:rPr>
              <w:t>Odzyskanie 200 zł</w:t>
            </w:r>
          </w:p>
        </w:tc>
        <w:tc>
          <w:tcPr>
            <w:tcW w:w="3240" w:type="dxa"/>
            <w:vAlign w:val="center"/>
          </w:tcPr>
          <w:p w:rsidR="004B6B3A" w:rsidRPr="00C93F78" w:rsidRDefault="00A161A1" w:rsidP="00C93F78">
            <w:pPr>
              <w:spacing w:before="60" w:after="60" w:line="360" w:lineRule="auto"/>
              <w:rPr>
                <w:rFonts w:ascii="Times New Roman" w:hAnsi="Times New Roman"/>
                <w:sz w:val="24"/>
                <w:szCs w:val="24"/>
              </w:rPr>
            </w:pPr>
            <w:r w:rsidRPr="00C93F78">
              <w:rPr>
                <w:rFonts w:ascii="Times New Roman" w:hAnsi="Times New Roman"/>
                <w:sz w:val="24"/>
                <w:szCs w:val="24"/>
              </w:rPr>
              <w:t>przychód = 200 zł, koszt = 40 zł (1/5*200 zł); dochód = 160 zł</w:t>
            </w:r>
            <w:r w:rsidR="00840A3E" w:rsidRPr="00C93F78">
              <w:rPr>
                <w:rFonts w:ascii="Times New Roman" w:hAnsi="Times New Roman"/>
                <w:sz w:val="24"/>
                <w:szCs w:val="24"/>
              </w:rPr>
              <w:t xml:space="preserve"> </w:t>
            </w:r>
          </w:p>
        </w:tc>
        <w:tc>
          <w:tcPr>
            <w:tcW w:w="2804" w:type="dxa"/>
            <w:vAlign w:val="center"/>
          </w:tcPr>
          <w:p w:rsidR="004B6B3A" w:rsidRPr="00C93F78" w:rsidRDefault="00A161A1" w:rsidP="00C93F78">
            <w:pPr>
              <w:spacing w:before="60" w:after="60" w:line="360" w:lineRule="auto"/>
              <w:rPr>
                <w:rFonts w:ascii="Times New Roman" w:hAnsi="Times New Roman"/>
                <w:sz w:val="24"/>
                <w:szCs w:val="24"/>
              </w:rPr>
            </w:pPr>
            <w:r w:rsidRPr="00C93F78">
              <w:rPr>
                <w:rFonts w:ascii="Times New Roman" w:hAnsi="Times New Roman"/>
                <w:sz w:val="24"/>
                <w:szCs w:val="24"/>
              </w:rPr>
              <w:t>przychód = 200 zł, koszt = 200 zł; dochód = 0 zł</w:t>
            </w:r>
            <w:r w:rsidR="00840A3E" w:rsidRPr="00C93F78">
              <w:rPr>
                <w:rFonts w:ascii="Times New Roman" w:hAnsi="Times New Roman"/>
                <w:sz w:val="24"/>
                <w:szCs w:val="24"/>
              </w:rPr>
              <w:t xml:space="preserve"> </w:t>
            </w:r>
          </w:p>
        </w:tc>
      </w:tr>
      <w:tr w:rsidR="004B6B3A" w:rsidRPr="00C93F78" w:rsidTr="00034B8B">
        <w:tc>
          <w:tcPr>
            <w:tcW w:w="3168" w:type="dxa"/>
            <w:vAlign w:val="center"/>
          </w:tcPr>
          <w:p w:rsidR="004B6B3A" w:rsidRPr="00C93F78" w:rsidRDefault="00A161A1" w:rsidP="00C93F78">
            <w:pPr>
              <w:spacing w:before="60" w:after="60" w:line="360" w:lineRule="auto"/>
              <w:rPr>
                <w:rFonts w:ascii="Times New Roman" w:hAnsi="Times New Roman"/>
                <w:sz w:val="24"/>
                <w:szCs w:val="24"/>
              </w:rPr>
            </w:pPr>
            <w:r w:rsidRPr="00C93F78">
              <w:rPr>
                <w:rFonts w:ascii="Times New Roman" w:hAnsi="Times New Roman"/>
                <w:sz w:val="24"/>
                <w:szCs w:val="24"/>
              </w:rPr>
              <w:t>3. Odzyskanie 400 zł</w:t>
            </w:r>
            <w:r w:rsidR="00840A3E" w:rsidRPr="00C93F78">
              <w:rPr>
                <w:rFonts w:ascii="Times New Roman" w:hAnsi="Times New Roman"/>
                <w:sz w:val="24"/>
                <w:szCs w:val="24"/>
              </w:rPr>
              <w:t xml:space="preserve"> </w:t>
            </w:r>
          </w:p>
        </w:tc>
        <w:tc>
          <w:tcPr>
            <w:tcW w:w="3240" w:type="dxa"/>
            <w:vAlign w:val="center"/>
          </w:tcPr>
          <w:p w:rsidR="004B6B3A" w:rsidRPr="00C93F78" w:rsidRDefault="00A161A1" w:rsidP="00C93F78">
            <w:pPr>
              <w:spacing w:before="60" w:after="60" w:line="360" w:lineRule="auto"/>
              <w:rPr>
                <w:rFonts w:ascii="Times New Roman" w:hAnsi="Times New Roman"/>
                <w:sz w:val="24"/>
                <w:szCs w:val="24"/>
              </w:rPr>
            </w:pPr>
            <w:r w:rsidRPr="00C93F78">
              <w:rPr>
                <w:rFonts w:ascii="Times New Roman" w:hAnsi="Times New Roman"/>
                <w:sz w:val="24"/>
                <w:szCs w:val="24"/>
              </w:rPr>
              <w:t xml:space="preserve">przychód = 400 zł, koszt = 80 zł; dochód = </w:t>
            </w:r>
            <w:r w:rsidR="00034B8B" w:rsidRPr="00C93F78">
              <w:rPr>
                <w:rFonts w:ascii="Times New Roman" w:hAnsi="Times New Roman"/>
                <w:sz w:val="24"/>
                <w:szCs w:val="24"/>
              </w:rPr>
              <w:t>320 zł</w:t>
            </w:r>
            <w:r w:rsidR="00840A3E" w:rsidRPr="00C93F78">
              <w:rPr>
                <w:rFonts w:ascii="Times New Roman" w:hAnsi="Times New Roman"/>
                <w:sz w:val="24"/>
                <w:szCs w:val="24"/>
              </w:rPr>
              <w:t xml:space="preserve"> </w:t>
            </w:r>
          </w:p>
        </w:tc>
        <w:tc>
          <w:tcPr>
            <w:tcW w:w="2804" w:type="dxa"/>
            <w:vAlign w:val="center"/>
          </w:tcPr>
          <w:p w:rsidR="004B6B3A" w:rsidRPr="00C93F78" w:rsidRDefault="00034B8B" w:rsidP="00C93F78">
            <w:pPr>
              <w:spacing w:before="60" w:after="60" w:line="360" w:lineRule="auto"/>
              <w:rPr>
                <w:rFonts w:ascii="Times New Roman" w:hAnsi="Times New Roman"/>
                <w:sz w:val="24"/>
                <w:szCs w:val="24"/>
              </w:rPr>
            </w:pPr>
            <w:r w:rsidRPr="00C93F78">
              <w:rPr>
                <w:rFonts w:ascii="Times New Roman" w:hAnsi="Times New Roman"/>
                <w:sz w:val="24"/>
                <w:szCs w:val="24"/>
              </w:rPr>
              <w:t>przychód = 400 zł; koszt = 0 zł; dochód = 400 zł</w:t>
            </w:r>
            <w:r w:rsidR="00840A3E" w:rsidRPr="00C93F78">
              <w:rPr>
                <w:rFonts w:ascii="Times New Roman" w:hAnsi="Times New Roman"/>
                <w:sz w:val="24"/>
                <w:szCs w:val="24"/>
              </w:rPr>
              <w:t xml:space="preserve"> </w:t>
            </w:r>
          </w:p>
        </w:tc>
      </w:tr>
      <w:tr w:rsidR="004B6B3A" w:rsidRPr="00C93F78" w:rsidTr="00034B8B">
        <w:tc>
          <w:tcPr>
            <w:tcW w:w="3168" w:type="dxa"/>
            <w:vAlign w:val="center"/>
          </w:tcPr>
          <w:p w:rsidR="004B6B3A" w:rsidRPr="00C93F78" w:rsidRDefault="00034B8B" w:rsidP="00C93F78">
            <w:pPr>
              <w:spacing w:before="60" w:after="60" w:line="360" w:lineRule="auto"/>
              <w:rPr>
                <w:rFonts w:ascii="Times New Roman" w:hAnsi="Times New Roman"/>
                <w:sz w:val="24"/>
                <w:szCs w:val="24"/>
              </w:rPr>
            </w:pPr>
            <w:r w:rsidRPr="00C93F78">
              <w:rPr>
                <w:rFonts w:ascii="Times New Roman" w:hAnsi="Times New Roman"/>
                <w:sz w:val="24"/>
                <w:szCs w:val="24"/>
              </w:rPr>
              <w:t xml:space="preserve">4. Odsprzedaż pozostałej części wierzytelności za 10 zł </w:t>
            </w:r>
          </w:p>
        </w:tc>
        <w:tc>
          <w:tcPr>
            <w:tcW w:w="3240" w:type="dxa"/>
            <w:vAlign w:val="center"/>
          </w:tcPr>
          <w:p w:rsidR="004B6B3A" w:rsidRPr="00C93F78" w:rsidRDefault="00034B8B" w:rsidP="00C93F78">
            <w:pPr>
              <w:spacing w:before="60" w:after="60" w:line="360" w:lineRule="auto"/>
              <w:rPr>
                <w:rFonts w:ascii="Times New Roman" w:hAnsi="Times New Roman"/>
                <w:sz w:val="24"/>
                <w:szCs w:val="24"/>
              </w:rPr>
            </w:pPr>
            <w:r w:rsidRPr="00C93F78">
              <w:rPr>
                <w:rFonts w:ascii="Times New Roman" w:hAnsi="Times New Roman"/>
                <w:sz w:val="24"/>
                <w:szCs w:val="24"/>
              </w:rPr>
              <w:t>przychód = 10 zł; koszt = 80 zł; strata = 70 zł (strata nie jest kosztem)</w:t>
            </w:r>
            <w:r w:rsidR="00840A3E" w:rsidRPr="00C93F78">
              <w:rPr>
                <w:rFonts w:ascii="Times New Roman" w:hAnsi="Times New Roman"/>
                <w:sz w:val="24"/>
                <w:szCs w:val="24"/>
              </w:rPr>
              <w:t xml:space="preserve"> </w:t>
            </w:r>
          </w:p>
        </w:tc>
        <w:tc>
          <w:tcPr>
            <w:tcW w:w="2804" w:type="dxa"/>
            <w:vAlign w:val="center"/>
          </w:tcPr>
          <w:p w:rsidR="004B6B3A" w:rsidRPr="00C93F78" w:rsidRDefault="00034B8B" w:rsidP="00C93F78">
            <w:pPr>
              <w:spacing w:before="60" w:after="60" w:line="360" w:lineRule="auto"/>
              <w:rPr>
                <w:rFonts w:ascii="Times New Roman" w:hAnsi="Times New Roman"/>
                <w:sz w:val="24"/>
                <w:szCs w:val="24"/>
              </w:rPr>
            </w:pPr>
            <w:r w:rsidRPr="00C93F78">
              <w:rPr>
                <w:rFonts w:ascii="Times New Roman" w:hAnsi="Times New Roman"/>
                <w:sz w:val="24"/>
                <w:szCs w:val="24"/>
              </w:rPr>
              <w:t xml:space="preserve">przychód = 10 zł, koszt = 0 zł; dochód = 10 zł </w:t>
            </w:r>
          </w:p>
        </w:tc>
      </w:tr>
      <w:tr w:rsidR="00034B8B" w:rsidRPr="00C93F78" w:rsidTr="00875EE4">
        <w:tc>
          <w:tcPr>
            <w:tcW w:w="3168" w:type="dxa"/>
            <w:vAlign w:val="center"/>
          </w:tcPr>
          <w:p w:rsidR="00034B8B" w:rsidRPr="00C93F78" w:rsidRDefault="00034B8B" w:rsidP="00C93F78">
            <w:pPr>
              <w:spacing w:before="60" w:after="60" w:line="360" w:lineRule="auto"/>
              <w:rPr>
                <w:rFonts w:ascii="Times New Roman" w:hAnsi="Times New Roman"/>
                <w:sz w:val="24"/>
                <w:szCs w:val="24"/>
              </w:rPr>
            </w:pPr>
            <w:r w:rsidRPr="00C93F78">
              <w:rPr>
                <w:rFonts w:ascii="Times New Roman" w:hAnsi="Times New Roman"/>
                <w:sz w:val="24"/>
                <w:szCs w:val="24"/>
              </w:rPr>
              <w:t xml:space="preserve">Razem podstawa opodatkowania: </w:t>
            </w:r>
          </w:p>
        </w:tc>
        <w:tc>
          <w:tcPr>
            <w:tcW w:w="3240" w:type="dxa"/>
            <w:vAlign w:val="center"/>
          </w:tcPr>
          <w:p w:rsidR="00034B8B" w:rsidRPr="00C93F78" w:rsidRDefault="00034B8B" w:rsidP="00C93F78">
            <w:pPr>
              <w:spacing w:before="60" w:after="60" w:line="360" w:lineRule="auto"/>
              <w:rPr>
                <w:rFonts w:ascii="Times New Roman" w:hAnsi="Times New Roman"/>
                <w:sz w:val="24"/>
                <w:szCs w:val="24"/>
              </w:rPr>
            </w:pPr>
            <w:r w:rsidRPr="00C93F78">
              <w:rPr>
                <w:rFonts w:ascii="Times New Roman" w:hAnsi="Times New Roman"/>
                <w:sz w:val="24"/>
                <w:szCs w:val="24"/>
              </w:rPr>
              <w:t>Przychody = 600 zł; Koszty = 120 zł</w:t>
            </w:r>
          </w:p>
          <w:p w:rsidR="00034B8B" w:rsidRPr="00C93F78" w:rsidRDefault="00034B8B" w:rsidP="00C93F78">
            <w:pPr>
              <w:spacing w:before="60" w:after="60" w:line="360" w:lineRule="auto"/>
              <w:rPr>
                <w:rFonts w:ascii="Times New Roman" w:hAnsi="Times New Roman"/>
                <w:sz w:val="24"/>
                <w:szCs w:val="24"/>
              </w:rPr>
            </w:pPr>
            <w:r w:rsidRPr="00C93F78">
              <w:rPr>
                <w:rFonts w:ascii="Times New Roman" w:hAnsi="Times New Roman"/>
                <w:sz w:val="24"/>
                <w:szCs w:val="24"/>
              </w:rPr>
              <w:t xml:space="preserve">Dochód = 480 zł; </w:t>
            </w:r>
          </w:p>
        </w:tc>
        <w:tc>
          <w:tcPr>
            <w:tcW w:w="2804" w:type="dxa"/>
            <w:vAlign w:val="center"/>
          </w:tcPr>
          <w:p w:rsidR="00034B8B" w:rsidRPr="00C93F78" w:rsidRDefault="00034B8B" w:rsidP="00C93F78">
            <w:pPr>
              <w:spacing w:before="60" w:after="60" w:line="360" w:lineRule="auto"/>
              <w:rPr>
                <w:rFonts w:ascii="Times New Roman" w:hAnsi="Times New Roman"/>
                <w:sz w:val="24"/>
                <w:szCs w:val="24"/>
              </w:rPr>
            </w:pPr>
            <w:r w:rsidRPr="00C93F78">
              <w:rPr>
                <w:rFonts w:ascii="Times New Roman" w:hAnsi="Times New Roman"/>
                <w:sz w:val="24"/>
                <w:szCs w:val="24"/>
              </w:rPr>
              <w:t xml:space="preserve">Przychody = 610 zł; Koszty = 200 zł; Dochód = 410 zł </w:t>
            </w:r>
          </w:p>
        </w:tc>
      </w:tr>
    </w:tbl>
    <w:p w:rsidR="00034B8B" w:rsidRPr="00C93F78" w:rsidRDefault="00494A7C"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Przewiduje się, iż </w:t>
      </w:r>
      <w:r w:rsidR="00034B8B" w:rsidRPr="00C93F78">
        <w:rPr>
          <w:rFonts w:ascii="Times New Roman" w:hAnsi="Times New Roman" w:cs="Times New Roman"/>
          <w:sz w:val="24"/>
          <w:szCs w:val="24"/>
        </w:rPr>
        <w:t xml:space="preserve">analogicznie rozliczane będą przychody i koszty dotyczące wierzytelności nabytych w pakiecie (co najmniej 100 wierzytelności). </w:t>
      </w:r>
      <w:r w:rsidRPr="00C93F78">
        <w:rPr>
          <w:rFonts w:ascii="Times New Roman" w:hAnsi="Times New Roman" w:cs="Times New Roman"/>
          <w:sz w:val="24"/>
          <w:szCs w:val="24"/>
        </w:rPr>
        <w:t>W obecnym stanie prawnym przedsiębiorcy są obowiązani ustalać uśredniony koszt nabycia</w:t>
      </w:r>
      <w:r w:rsidR="00034B8B"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każdej wierzytelności wchodzącej w skład większej liczby nabytych jednorazowo wierzytelności (pakiety wierzytelności). Jak wyjaśniono powyżej, po wejściu w życie projektowanej zmiany, faktyczne spłaty z każdej wierzytelności nabytej w ramach „pakietu” będą zaliczane na spłatę ceny nabycia całego pakietu. </w:t>
      </w:r>
    </w:p>
    <w:p w:rsidR="00B566F5" w:rsidRPr="00C93F78" w:rsidRDefault="005E1384" w:rsidP="00C93F78">
      <w:pPr>
        <w:pStyle w:val="Nagwek2"/>
        <w:spacing w:line="360" w:lineRule="auto"/>
        <w:jc w:val="both"/>
        <w:rPr>
          <w:b w:val="0"/>
          <w:szCs w:val="24"/>
        </w:rPr>
      </w:pPr>
      <w:r w:rsidRPr="00C93F78">
        <w:rPr>
          <w:szCs w:val="24"/>
        </w:rPr>
        <w:t>3</w:t>
      </w:r>
      <w:r w:rsidR="0069413B" w:rsidRPr="00C93F78">
        <w:rPr>
          <w:szCs w:val="24"/>
        </w:rPr>
        <w:t>) wprowadzenie ulgi dla banków spółdzielczych dokonujących wpłat na System Ochrony Instytucjonalnej (IPS)</w:t>
      </w:r>
      <w:r w:rsidR="00840A3E" w:rsidRPr="00C93F78">
        <w:rPr>
          <w:szCs w:val="24"/>
        </w:rPr>
        <w:t xml:space="preserve"> </w:t>
      </w:r>
    </w:p>
    <w:p w:rsidR="004A3138" w:rsidRPr="00C93F78" w:rsidRDefault="00BB07B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związku z </w:t>
      </w:r>
      <w:r w:rsidR="00A46C4F" w:rsidRPr="00C93F78">
        <w:rPr>
          <w:rFonts w:ascii="Times New Roman" w:hAnsi="Times New Roman" w:cs="Times New Roman"/>
          <w:sz w:val="24"/>
          <w:szCs w:val="24"/>
        </w:rPr>
        <w:t xml:space="preserve">przysługującym </w:t>
      </w:r>
      <w:r w:rsidRPr="00C93F78">
        <w:rPr>
          <w:rFonts w:ascii="Times New Roman" w:hAnsi="Times New Roman" w:cs="Times New Roman"/>
          <w:sz w:val="24"/>
          <w:szCs w:val="24"/>
        </w:rPr>
        <w:t>bank</w:t>
      </w:r>
      <w:r w:rsidR="00A46C4F" w:rsidRPr="00C93F78">
        <w:rPr>
          <w:rFonts w:ascii="Times New Roman" w:hAnsi="Times New Roman" w:cs="Times New Roman"/>
          <w:sz w:val="24"/>
          <w:szCs w:val="24"/>
        </w:rPr>
        <w:t>om</w:t>
      </w:r>
      <w:r w:rsidRPr="00C93F78">
        <w:rPr>
          <w:rFonts w:ascii="Times New Roman" w:hAnsi="Times New Roman" w:cs="Times New Roman"/>
          <w:sz w:val="24"/>
          <w:szCs w:val="24"/>
        </w:rPr>
        <w:t xml:space="preserve"> spółdzielczy</w:t>
      </w:r>
      <w:r w:rsidR="00A46C4F" w:rsidRPr="00C93F78">
        <w:rPr>
          <w:rFonts w:ascii="Times New Roman" w:hAnsi="Times New Roman" w:cs="Times New Roman"/>
          <w:sz w:val="24"/>
          <w:szCs w:val="24"/>
        </w:rPr>
        <w:t xml:space="preserve">m uprawnieniem dotyczącym przynależności do </w:t>
      </w:r>
      <w:r w:rsidRPr="00C93F78">
        <w:rPr>
          <w:rFonts w:ascii="Times New Roman" w:hAnsi="Times New Roman" w:cs="Times New Roman"/>
          <w:sz w:val="24"/>
          <w:szCs w:val="24"/>
        </w:rPr>
        <w:t>System</w:t>
      </w:r>
      <w:r w:rsidR="00A46C4F" w:rsidRPr="00C93F78">
        <w:rPr>
          <w:rFonts w:ascii="Times New Roman" w:hAnsi="Times New Roman" w:cs="Times New Roman"/>
          <w:sz w:val="24"/>
          <w:szCs w:val="24"/>
        </w:rPr>
        <w:t>u</w:t>
      </w:r>
      <w:r w:rsidRPr="00C93F78">
        <w:rPr>
          <w:rFonts w:ascii="Times New Roman" w:hAnsi="Times New Roman" w:cs="Times New Roman"/>
          <w:sz w:val="24"/>
          <w:szCs w:val="24"/>
        </w:rPr>
        <w:t xml:space="preserve"> Ochrony Instytucjonalnej (IPS) i wnioskowanym przez to środowisko zaliczeniem do kosztów podatkowych wpłat dokonywanych przez te banki na IPS</w:t>
      </w:r>
      <w:r w:rsidR="00D03E8E" w:rsidRPr="00C93F78">
        <w:rPr>
          <w:rFonts w:ascii="Times New Roman" w:hAnsi="Times New Roman" w:cs="Times New Roman"/>
          <w:sz w:val="24"/>
          <w:szCs w:val="24"/>
        </w:rPr>
        <w:t>,</w:t>
      </w:r>
      <w:r w:rsidRPr="00C93F78">
        <w:rPr>
          <w:rFonts w:ascii="Times New Roman" w:hAnsi="Times New Roman" w:cs="Times New Roman"/>
          <w:sz w:val="24"/>
          <w:szCs w:val="24"/>
        </w:rPr>
        <w:t xml:space="preserve"> </w:t>
      </w:r>
      <w:r w:rsidR="00A46C4F" w:rsidRPr="00C93F78">
        <w:rPr>
          <w:rFonts w:ascii="Times New Roman" w:hAnsi="Times New Roman" w:cs="Times New Roman"/>
          <w:sz w:val="24"/>
          <w:szCs w:val="24"/>
        </w:rPr>
        <w:t xml:space="preserve">w projekcie przewiduje się </w:t>
      </w:r>
      <w:r w:rsidRPr="00C93F78">
        <w:rPr>
          <w:rFonts w:ascii="Times New Roman" w:hAnsi="Times New Roman" w:cs="Times New Roman"/>
          <w:sz w:val="24"/>
          <w:szCs w:val="24"/>
        </w:rPr>
        <w:t>wprowadzenie</w:t>
      </w:r>
      <w:r w:rsidR="004A3138" w:rsidRPr="00C93F78">
        <w:rPr>
          <w:rFonts w:ascii="Times New Roman" w:hAnsi="Times New Roman" w:cs="Times New Roman"/>
          <w:sz w:val="24"/>
          <w:szCs w:val="24"/>
        </w:rPr>
        <w:t xml:space="preserve"> </w:t>
      </w:r>
      <w:r w:rsidR="00A46C4F" w:rsidRPr="00C93F78">
        <w:rPr>
          <w:rFonts w:ascii="Times New Roman" w:hAnsi="Times New Roman" w:cs="Times New Roman"/>
          <w:sz w:val="24"/>
          <w:szCs w:val="24"/>
        </w:rPr>
        <w:t xml:space="preserve">kompleksowego </w:t>
      </w:r>
      <w:r w:rsidR="004A3138" w:rsidRPr="00C93F78">
        <w:rPr>
          <w:rFonts w:ascii="Times New Roman" w:hAnsi="Times New Roman" w:cs="Times New Roman"/>
          <w:sz w:val="24"/>
          <w:szCs w:val="24"/>
        </w:rPr>
        <w:t xml:space="preserve">rozwiązania </w:t>
      </w:r>
      <w:r w:rsidR="00A46C4F" w:rsidRPr="00C93F78">
        <w:rPr>
          <w:rFonts w:ascii="Times New Roman" w:hAnsi="Times New Roman" w:cs="Times New Roman"/>
          <w:sz w:val="24"/>
          <w:szCs w:val="24"/>
        </w:rPr>
        <w:t>kwestii przynależności banków spółdzielczych do IPS.</w:t>
      </w:r>
      <w:r w:rsidR="00840A3E" w:rsidRPr="00C93F78">
        <w:rPr>
          <w:rFonts w:ascii="Times New Roman" w:hAnsi="Times New Roman" w:cs="Times New Roman"/>
          <w:sz w:val="24"/>
          <w:szCs w:val="24"/>
        </w:rPr>
        <w:t xml:space="preserve"> </w:t>
      </w:r>
      <w:r w:rsidR="00A46C4F" w:rsidRPr="00C93F78">
        <w:rPr>
          <w:rFonts w:ascii="Times New Roman" w:hAnsi="Times New Roman" w:cs="Times New Roman"/>
          <w:sz w:val="24"/>
          <w:szCs w:val="24"/>
        </w:rPr>
        <w:t xml:space="preserve">Projekt przewiduje, aby </w:t>
      </w:r>
      <w:r w:rsidR="004A3138" w:rsidRPr="00C93F78">
        <w:rPr>
          <w:rFonts w:ascii="Times New Roman" w:hAnsi="Times New Roman" w:cs="Times New Roman"/>
          <w:sz w:val="24"/>
          <w:szCs w:val="24"/>
        </w:rPr>
        <w:t xml:space="preserve">środki przekazywane </w:t>
      </w:r>
      <w:r w:rsidR="00A46C4F" w:rsidRPr="00C93F78">
        <w:rPr>
          <w:rFonts w:ascii="Times New Roman" w:hAnsi="Times New Roman" w:cs="Times New Roman"/>
          <w:sz w:val="24"/>
          <w:szCs w:val="24"/>
        </w:rPr>
        <w:t xml:space="preserve">przez banki spółdzielcze </w:t>
      </w:r>
      <w:r w:rsidR="004A3138" w:rsidRPr="00C93F78">
        <w:rPr>
          <w:rFonts w:ascii="Times New Roman" w:hAnsi="Times New Roman" w:cs="Times New Roman"/>
          <w:sz w:val="24"/>
          <w:szCs w:val="24"/>
        </w:rPr>
        <w:t xml:space="preserve">na </w:t>
      </w:r>
      <w:r w:rsidRPr="00C93F78">
        <w:rPr>
          <w:rFonts w:ascii="Times New Roman" w:hAnsi="Times New Roman" w:cs="Times New Roman"/>
          <w:sz w:val="24"/>
          <w:szCs w:val="24"/>
        </w:rPr>
        <w:t xml:space="preserve">system </w:t>
      </w:r>
      <w:r w:rsidR="00A46C4F" w:rsidRPr="00C93F78">
        <w:rPr>
          <w:rFonts w:ascii="Times New Roman" w:hAnsi="Times New Roman" w:cs="Times New Roman"/>
          <w:sz w:val="24"/>
          <w:szCs w:val="24"/>
        </w:rPr>
        <w:t xml:space="preserve">IPS </w:t>
      </w:r>
      <w:r w:rsidRPr="00C93F78">
        <w:rPr>
          <w:rFonts w:ascii="Times New Roman" w:hAnsi="Times New Roman" w:cs="Times New Roman"/>
          <w:sz w:val="24"/>
          <w:szCs w:val="24"/>
        </w:rPr>
        <w:t xml:space="preserve">nie </w:t>
      </w:r>
      <w:r w:rsidR="004A3138" w:rsidRPr="00C93F78">
        <w:rPr>
          <w:rFonts w:ascii="Times New Roman" w:hAnsi="Times New Roman" w:cs="Times New Roman"/>
          <w:sz w:val="24"/>
          <w:szCs w:val="24"/>
        </w:rPr>
        <w:t>stanowiły</w:t>
      </w:r>
      <w:r w:rsidRPr="00C93F78">
        <w:rPr>
          <w:rFonts w:ascii="Times New Roman" w:hAnsi="Times New Roman" w:cs="Times New Roman"/>
          <w:sz w:val="24"/>
          <w:szCs w:val="24"/>
        </w:rPr>
        <w:t xml:space="preserve"> kosztów </w:t>
      </w:r>
      <w:r w:rsidR="004A3138" w:rsidRPr="00C93F78">
        <w:rPr>
          <w:rFonts w:ascii="Times New Roman" w:hAnsi="Times New Roman" w:cs="Times New Roman"/>
          <w:sz w:val="24"/>
          <w:szCs w:val="24"/>
        </w:rPr>
        <w:t>uzyskania przychodów, przy jednoczesnym nieuznaniu</w:t>
      </w:r>
      <w:r w:rsidR="00A46C4F" w:rsidRPr="00C93F78">
        <w:rPr>
          <w:rFonts w:ascii="Times New Roman" w:hAnsi="Times New Roman" w:cs="Times New Roman"/>
          <w:sz w:val="24"/>
          <w:szCs w:val="24"/>
        </w:rPr>
        <w:t xml:space="preserve"> za przychód podatkowy</w:t>
      </w:r>
      <w:r w:rsidR="004A3138" w:rsidRPr="00C93F78">
        <w:rPr>
          <w:rFonts w:ascii="Times New Roman" w:hAnsi="Times New Roman" w:cs="Times New Roman"/>
          <w:sz w:val="24"/>
          <w:szCs w:val="24"/>
        </w:rPr>
        <w:t xml:space="preserve"> </w:t>
      </w:r>
      <w:r w:rsidR="008C2FDE" w:rsidRPr="00C93F78">
        <w:rPr>
          <w:rFonts w:ascii="Times New Roman" w:hAnsi="Times New Roman" w:cs="Times New Roman"/>
          <w:sz w:val="24"/>
          <w:szCs w:val="24"/>
        </w:rPr>
        <w:t xml:space="preserve">kwot stanowiących równowartość umorzonych zobowiązań, jeżeli umorzenie związane będzie z </w:t>
      </w:r>
      <w:r w:rsidRPr="00C93F78">
        <w:rPr>
          <w:rFonts w:ascii="Times New Roman" w:hAnsi="Times New Roman" w:cs="Times New Roman"/>
          <w:sz w:val="24"/>
          <w:szCs w:val="24"/>
        </w:rPr>
        <w:t>pomoc</w:t>
      </w:r>
      <w:r w:rsidR="008C2FDE" w:rsidRPr="00C93F78">
        <w:rPr>
          <w:rFonts w:ascii="Times New Roman" w:hAnsi="Times New Roman" w:cs="Times New Roman"/>
          <w:sz w:val="24"/>
          <w:szCs w:val="24"/>
        </w:rPr>
        <w:t xml:space="preserve">ą </w:t>
      </w:r>
      <w:r w:rsidR="004A3138" w:rsidRPr="00C93F78">
        <w:rPr>
          <w:rFonts w:ascii="Times New Roman" w:hAnsi="Times New Roman" w:cs="Times New Roman"/>
          <w:sz w:val="24"/>
          <w:szCs w:val="24"/>
        </w:rPr>
        <w:t>otrzymywan</w:t>
      </w:r>
      <w:r w:rsidR="008C2FDE" w:rsidRPr="00C93F78">
        <w:rPr>
          <w:rFonts w:ascii="Times New Roman" w:hAnsi="Times New Roman" w:cs="Times New Roman"/>
          <w:sz w:val="24"/>
          <w:szCs w:val="24"/>
        </w:rPr>
        <w:t>ą</w:t>
      </w:r>
      <w:r w:rsidR="004A3138" w:rsidRPr="00C93F78">
        <w:rPr>
          <w:rFonts w:ascii="Times New Roman" w:hAnsi="Times New Roman" w:cs="Times New Roman"/>
          <w:sz w:val="24"/>
          <w:szCs w:val="24"/>
        </w:rPr>
        <w:t xml:space="preserve"> przez banki spółdzielcze</w:t>
      </w:r>
      <w:r w:rsidRPr="00C93F78">
        <w:rPr>
          <w:rFonts w:ascii="Times New Roman" w:hAnsi="Times New Roman" w:cs="Times New Roman"/>
          <w:sz w:val="24"/>
          <w:szCs w:val="24"/>
        </w:rPr>
        <w:t xml:space="preserve"> z funduszu pomocowego (IPS)</w:t>
      </w:r>
      <w:r w:rsidR="0042502C" w:rsidRPr="00C93F78">
        <w:rPr>
          <w:rFonts w:ascii="Times New Roman" w:hAnsi="Times New Roman" w:cs="Times New Roman"/>
          <w:sz w:val="24"/>
          <w:szCs w:val="24"/>
        </w:rPr>
        <w:t>.</w:t>
      </w:r>
      <w:r w:rsidRPr="00C93F78">
        <w:rPr>
          <w:rFonts w:ascii="Times New Roman" w:hAnsi="Times New Roman" w:cs="Times New Roman"/>
          <w:sz w:val="24"/>
          <w:szCs w:val="24"/>
        </w:rPr>
        <w:t xml:space="preserve"> </w:t>
      </w:r>
    </w:p>
    <w:p w:rsidR="008433A5" w:rsidRPr="00C93F78" w:rsidRDefault="0042502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Ponadto z</w:t>
      </w:r>
      <w:r w:rsidR="008C2FDE" w:rsidRPr="00C93F78">
        <w:rPr>
          <w:rFonts w:ascii="Times New Roman" w:hAnsi="Times New Roman" w:cs="Times New Roman"/>
          <w:sz w:val="24"/>
          <w:szCs w:val="24"/>
        </w:rPr>
        <w:t xml:space="preserve">wolnione przedmiotowo od podatku zostaną środki finansowe otrzymane przez banki spółdzielcze, </w:t>
      </w:r>
      <w:r w:rsidR="006E7807" w:rsidRPr="00C93F78">
        <w:rPr>
          <w:rFonts w:ascii="Times New Roman" w:hAnsi="Times New Roman" w:cs="Times New Roman"/>
          <w:sz w:val="24"/>
          <w:szCs w:val="24"/>
        </w:rPr>
        <w:t>bank zrzeszający, jednostkę zarządzającą, będących uczestnikami</w:t>
      </w:r>
      <w:r w:rsidR="008C2FDE" w:rsidRPr="00C93F78">
        <w:rPr>
          <w:rFonts w:ascii="Times New Roman" w:hAnsi="Times New Roman" w:cs="Times New Roman"/>
          <w:sz w:val="24"/>
          <w:szCs w:val="24"/>
        </w:rPr>
        <w:t xml:space="preserve"> IPS, pochodzące z funduszu pomocowego w ramach realizacji celów wymienionych w rozumieniu ustawy o funkcjonowaniu banków spółdzielczych, ich zrzeszaniu się i bankach zrzeszających, pochodzące z funduszu pomocowego w ramach realizacji celów wymienionych w tej ustawie, w tym bezzwrotne wpłaty na fundusz zasobowy, fundusz </w:t>
      </w:r>
      <w:r w:rsidR="00CD4454" w:rsidRPr="00C93F78">
        <w:rPr>
          <w:rFonts w:ascii="Times New Roman" w:hAnsi="Times New Roman" w:cs="Times New Roman"/>
          <w:sz w:val="24"/>
          <w:szCs w:val="24"/>
        </w:rPr>
        <w:t xml:space="preserve">(kapitał) </w:t>
      </w:r>
      <w:r w:rsidR="008C2FDE" w:rsidRPr="00C93F78">
        <w:rPr>
          <w:rFonts w:ascii="Times New Roman" w:hAnsi="Times New Roman" w:cs="Times New Roman"/>
          <w:sz w:val="24"/>
          <w:szCs w:val="24"/>
        </w:rPr>
        <w:t>zapasowy</w:t>
      </w:r>
      <w:r w:rsidR="00840A3E" w:rsidRPr="00C93F78">
        <w:rPr>
          <w:rFonts w:ascii="Times New Roman" w:hAnsi="Times New Roman" w:cs="Times New Roman"/>
          <w:sz w:val="24"/>
          <w:szCs w:val="24"/>
        </w:rPr>
        <w:t xml:space="preserve"> </w:t>
      </w:r>
      <w:r w:rsidR="008C2FDE" w:rsidRPr="00C93F78">
        <w:rPr>
          <w:rFonts w:ascii="Times New Roman" w:hAnsi="Times New Roman" w:cs="Times New Roman"/>
          <w:sz w:val="24"/>
          <w:szCs w:val="24"/>
        </w:rPr>
        <w:t xml:space="preserve">lub fundusz </w:t>
      </w:r>
      <w:r w:rsidR="00CD4454" w:rsidRPr="00C93F78">
        <w:rPr>
          <w:rFonts w:ascii="Times New Roman" w:hAnsi="Times New Roman" w:cs="Times New Roman"/>
          <w:sz w:val="24"/>
          <w:szCs w:val="24"/>
        </w:rPr>
        <w:t xml:space="preserve">(kapitał) </w:t>
      </w:r>
      <w:r w:rsidR="008C2FDE" w:rsidRPr="00C93F78">
        <w:rPr>
          <w:rFonts w:ascii="Times New Roman" w:hAnsi="Times New Roman" w:cs="Times New Roman"/>
          <w:sz w:val="24"/>
          <w:szCs w:val="24"/>
        </w:rPr>
        <w:t>rezerwowy w przypadku</w:t>
      </w:r>
      <w:r w:rsidR="00D03E8E" w:rsidRPr="00C93F78">
        <w:rPr>
          <w:rFonts w:ascii="Times New Roman" w:hAnsi="Times New Roman" w:cs="Times New Roman"/>
          <w:sz w:val="24"/>
          <w:szCs w:val="24"/>
        </w:rPr>
        <w:t>,</w:t>
      </w:r>
      <w:r w:rsidR="008C2FDE" w:rsidRPr="00C93F78">
        <w:rPr>
          <w:rFonts w:ascii="Times New Roman" w:hAnsi="Times New Roman" w:cs="Times New Roman"/>
          <w:sz w:val="24"/>
          <w:szCs w:val="24"/>
        </w:rPr>
        <w:t xml:space="preserve"> </w:t>
      </w:r>
      <w:r w:rsidR="008433A5" w:rsidRPr="00C93F78">
        <w:rPr>
          <w:rFonts w:ascii="Times New Roman" w:hAnsi="Times New Roman" w:cs="Times New Roman"/>
          <w:sz w:val="24"/>
          <w:szCs w:val="24"/>
        </w:rPr>
        <w:t>gd</w:t>
      </w:r>
      <w:r w:rsidR="008C2FDE" w:rsidRPr="00C93F78">
        <w:rPr>
          <w:rFonts w:ascii="Times New Roman" w:hAnsi="Times New Roman" w:cs="Times New Roman"/>
          <w:sz w:val="24"/>
          <w:szCs w:val="24"/>
        </w:rPr>
        <w:t xml:space="preserve">y </w:t>
      </w:r>
      <w:r w:rsidR="008433A5" w:rsidRPr="00C93F78">
        <w:rPr>
          <w:rFonts w:ascii="Times New Roman" w:hAnsi="Times New Roman" w:cs="Times New Roman"/>
          <w:sz w:val="24"/>
          <w:szCs w:val="24"/>
        </w:rPr>
        <w:t>jednostką</w:t>
      </w:r>
      <w:r w:rsidR="00840A3E" w:rsidRPr="00C93F78">
        <w:rPr>
          <w:rFonts w:ascii="Times New Roman" w:hAnsi="Times New Roman" w:cs="Times New Roman"/>
          <w:sz w:val="24"/>
          <w:szCs w:val="24"/>
        </w:rPr>
        <w:t xml:space="preserve"> </w:t>
      </w:r>
      <w:r w:rsidR="008433A5" w:rsidRPr="00C93F78">
        <w:rPr>
          <w:rFonts w:ascii="Times New Roman" w:hAnsi="Times New Roman" w:cs="Times New Roman"/>
          <w:sz w:val="24"/>
          <w:szCs w:val="24"/>
        </w:rPr>
        <w:t>zarządzającą</w:t>
      </w:r>
      <w:r w:rsidR="00840A3E" w:rsidRPr="00C93F78">
        <w:rPr>
          <w:rFonts w:ascii="Times New Roman" w:hAnsi="Times New Roman" w:cs="Times New Roman"/>
          <w:sz w:val="24"/>
          <w:szCs w:val="24"/>
        </w:rPr>
        <w:t xml:space="preserve"> </w:t>
      </w:r>
      <w:r w:rsidR="008433A5" w:rsidRPr="00C93F78">
        <w:rPr>
          <w:rFonts w:ascii="Times New Roman" w:hAnsi="Times New Roman" w:cs="Times New Roman"/>
          <w:sz w:val="24"/>
          <w:szCs w:val="24"/>
        </w:rPr>
        <w:t>będzie spółka akcyjna. Wydatki i koszty bezpośrednio sfinansowane z tych dochodów podlega</w:t>
      </w:r>
      <w:r w:rsidRPr="00C93F78">
        <w:rPr>
          <w:rFonts w:ascii="Times New Roman" w:hAnsi="Times New Roman" w:cs="Times New Roman"/>
          <w:sz w:val="24"/>
          <w:szCs w:val="24"/>
        </w:rPr>
        <w:t>ć</w:t>
      </w:r>
      <w:r w:rsidR="008433A5" w:rsidRPr="00C93F78">
        <w:rPr>
          <w:rFonts w:ascii="Times New Roman" w:hAnsi="Times New Roman" w:cs="Times New Roman"/>
          <w:sz w:val="24"/>
          <w:szCs w:val="24"/>
        </w:rPr>
        <w:t xml:space="preserve"> będą wykluczeniu z kosztów uzyskania przychodów. </w:t>
      </w:r>
    </w:p>
    <w:p w:rsidR="00A63EDB" w:rsidRPr="00C93F78" w:rsidRDefault="0042502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 przewiduje ponadto, iż b</w:t>
      </w:r>
      <w:r w:rsidR="008433A5" w:rsidRPr="00C93F78">
        <w:rPr>
          <w:rFonts w:ascii="Times New Roman" w:hAnsi="Times New Roman" w:cs="Times New Roman"/>
          <w:sz w:val="24"/>
          <w:szCs w:val="24"/>
        </w:rPr>
        <w:t>ankom</w:t>
      </w:r>
      <w:r w:rsidR="00061326" w:rsidRPr="00C93F78">
        <w:rPr>
          <w:rFonts w:ascii="Times New Roman" w:hAnsi="Times New Roman" w:cs="Times New Roman"/>
          <w:sz w:val="24"/>
          <w:szCs w:val="24"/>
        </w:rPr>
        <w:t xml:space="preserve"> spółdzielczym będzie przysługiwało </w:t>
      </w:r>
      <w:r w:rsidR="007A04C0" w:rsidRPr="00C93F78">
        <w:rPr>
          <w:rFonts w:ascii="Times New Roman" w:hAnsi="Times New Roman" w:cs="Times New Roman"/>
          <w:sz w:val="24"/>
          <w:szCs w:val="24"/>
        </w:rPr>
        <w:t>praw</w:t>
      </w:r>
      <w:r w:rsidRPr="00C93F78">
        <w:rPr>
          <w:rFonts w:ascii="Times New Roman" w:hAnsi="Times New Roman" w:cs="Times New Roman"/>
          <w:sz w:val="24"/>
          <w:szCs w:val="24"/>
        </w:rPr>
        <w:t>o</w:t>
      </w:r>
      <w:r w:rsidR="00061326" w:rsidRPr="00C93F78">
        <w:rPr>
          <w:rFonts w:ascii="Times New Roman" w:hAnsi="Times New Roman" w:cs="Times New Roman"/>
          <w:sz w:val="24"/>
          <w:szCs w:val="24"/>
        </w:rPr>
        <w:t xml:space="preserve"> do pomniejsz</w:t>
      </w:r>
      <w:r w:rsidR="006B4C12" w:rsidRPr="00C93F78">
        <w:rPr>
          <w:rFonts w:ascii="Times New Roman" w:hAnsi="Times New Roman" w:cs="Times New Roman"/>
          <w:sz w:val="24"/>
          <w:szCs w:val="24"/>
        </w:rPr>
        <w:t xml:space="preserve">enia podstawy opodatkowania o </w:t>
      </w:r>
      <w:r w:rsidR="009113E8" w:rsidRPr="00C93F78">
        <w:rPr>
          <w:rFonts w:ascii="Times New Roman" w:hAnsi="Times New Roman" w:cs="Times New Roman"/>
          <w:sz w:val="24"/>
          <w:szCs w:val="24"/>
        </w:rPr>
        <w:t>50</w:t>
      </w:r>
      <w:r w:rsidR="00061326" w:rsidRPr="00C93F78">
        <w:rPr>
          <w:rFonts w:ascii="Times New Roman" w:hAnsi="Times New Roman" w:cs="Times New Roman"/>
          <w:sz w:val="24"/>
          <w:szCs w:val="24"/>
        </w:rPr>
        <w:t>% kwoty wniesi</w:t>
      </w:r>
      <w:r w:rsidR="006B4C12" w:rsidRPr="00C93F78">
        <w:rPr>
          <w:rFonts w:ascii="Times New Roman" w:hAnsi="Times New Roman" w:cs="Times New Roman"/>
          <w:sz w:val="24"/>
          <w:szCs w:val="24"/>
        </w:rPr>
        <w:t>onej na IPS</w:t>
      </w:r>
      <w:r w:rsidR="00CD4454" w:rsidRPr="00C93F78">
        <w:rPr>
          <w:rFonts w:ascii="Times New Roman" w:hAnsi="Times New Roman" w:cs="Times New Roman"/>
          <w:sz w:val="24"/>
          <w:szCs w:val="24"/>
        </w:rPr>
        <w:t>, jeżeli w roku podatkowym kapitały własne banku zostaną zasilone wartością kwot odpowiadającym wpłatom na IPS</w:t>
      </w:r>
      <w:r w:rsidR="006B4C12" w:rsidRPr="00C93F78">
        <w:rPr>
          <w:rFonts w:ascii="Times New Roman" w:hAnsi="Times New Roman" w:cs="Times New Roman"/>
          <w:sz w:val="24"/>
          <w:szCs w:val="24"/>
        </w:rPr>
        <w:t>. B</w:t>
      </w:r>
      <w:r w:rsidR="00BB07B3" w:rsidRPr="00C93F78">
        <w:rPr>
          <w:rFonts w:ascii="Times New Roman" w:hAnsi="Times New Roman" w:cs="Times New Roman"/>
          <w:sz w:val="24"/>
          <w:szCs w:val="24"/>
        </w:rPr>
        <w:t>anki spółdzielcze</w:t>
      </w:r>
      <w:r w:rsidR="006B4C12" w:rsidRPr="00C93F78">
        <w:rPr>
          <w:rFonts w:ascii="Times New Roman" w:hAnsi="Times New Roman" w:cs="Times New Roman"/>
          <w:sz w:val="24"/>
          <w:szCs w:val="24"/>
        </w:rPr>
        <w:t>, które nabędą prawo do tego odliczenia i</w:t>
      </w:r>
      <w:r w:rsidR="00840A3E" w:rsidRPr="00C93F78">
        <w:rPr>
          <w:rFonts w:ascii="Times New Roman" w:hAnsi="Times New Roman" w:cs="Times New Roman"/>
          <w:sz w:val="24"/>
          <w:szCs w:val="24"/>
        </w:rPr>
        <w:t xml:space="preserve"> </w:t>
      </w:r>
      <w:r w:rsidR="006B4C12" w:rsidRPr="00C93F78">
        <w:rPr>
          <w:rFonts w:ascii="Times New Roman" w:hAnsi="Times New Roman" w:cs="Times New Roman"/>
          <w:sz w:val="24"/>
          <w:szCs w:val="24"/>
        </w:rPr>
        <w:t xml:space="preserve">które poniosą za </w:t>
      </w:r>
      <w:r w:rsidR="00E81E95" w:rsidRPr="00C93F78">
        <w:rPr>
          <w:rFonts w:ascii="Times New Roman" w:hAnsi="Times New Roman" w:cs="Times New Roman"/>
          <w:sz w:val="24"/>
          <w:szCs w:val="24"/>
        </w:rPr>
        <w:t xml:space="preserve">ten </w:t>
      </w:r>
      <w:r w:rsidR="006B4C12" w:rsidRPr="00C93F78">
        <w:rPr>
          <w:rFonts w:ascii="Times New Roman" w:hAnsi="Times New Roman" w:cs="Times New Roman"/>
          <w:sz w:val="24"/>
          <w:szCs w:val="24"/>
        </w:rPr>
        <w:t>rok podatkowy</w:t>
      </w:r>
      <w:r w:rsidR="00106B6E" w:rsidRPr="00C93F78">
        <w:rPr>
          <w:rFonts w:ascii="Times New Roman" w:hAnsi="Times New Roman" w:cs="Times New Roman"/>
          <w:sz w:val="24"/>
          <w:szCs w:val="24"/>
        </w:rPr>
        <w:t xml:space="preserve"> stratę albo wielkość osiągniętego dochodu w tym roku podatkowym będzie niższa od kwoty przysługującego odliczenia</w:t>
      </w:r>
      <w:r w:rsidR="00D03E8E" w:rsidRPr="00C93F78">
        <w:rPr>
          <w:rFonts w:ascii="Times New Roman" w:hAnsi="Times New Roman" w:cs="Times New Roman"/>
          <w:sz w:val="24"/>
          <w:szCs w:val="24"/>
        </w:rPr>
        <w:t>,</w:t>
      </w:r>
      <w:r w:rsidR="00106B6E" w:rsidRPr="00C93F78">
        <w:rPr>
          <w:rFonts w:ascii="Times New Roman" w:hAnsi="Times New Roman" w:cs="Times New Roman"/>
          <w:sz w:val="24"/>
          <w:szCs w:val="24"/>
        </w:rPr>
        <w:t xml:space="preserve"> </w:t>
      </w:r>
      <w:r w:rsidR="00BB07B3" w:rsidRPr="00C93F78">
        <w:rPr>
          <w:rFonts w:ascii="Times New Roman" w:hAnsi="Times New Roman" w:cs="Times New Roman"/>
          <w:sz w:val="24"/>
          <w:szCs w:val="24"/>
        </w:rPr>
        <w:t xml:space="preserve">będą mogły pomniejszyć </w:t>
      </w:r>
      <w:r w:rsidR="006B4C12" w:rsidRPr="00C93F78">
        <w:rPr>
          <w:rFonts w:ascii="Times New Roman" w:hAnsi="Times New Roman" w:cs="Times New Roman"/>
          <w:sz w:val="24"/>
          <w:szCs w:val="24"/>
        </w:rPr>
        <w:t xml:space="preserve">podstawę opodatkowania </w:t>
      </w:r>
      <w:r w:rsidR="00BB07B3" w:rsidRPr="00C93F78">
        <w:rPr>
          <w:rFonts w:ascii="Times New Roman" w:hAnsi="Times New Roman" w:cs="Times New Roman"/>
          <w:sz w:val="24"/>
          <w:szCs w:val="24"/>
        </w:rPr>
        <w:t>do opodatkowania (do czasu wyczerpania), jednak</w:t>
      </w:r>
      <w:r w:rsidR="00E81E95" w:rsidRPr="00C93F78">
        <w:rPr>
          <w:rFonts w:ascii="Times New Roman" w:hAnsi="Times New Roman" w:cs="Times New Roman"/>
          <w:sz w:val="24"/>
          <w:szCs w:val="24"/>
        </w:rPr>
        <w:t>że</w:t>
      </w:r>
      <w:r w:rsidR="00BB07B3" w:rsidRPr="00C93F78">
        <w:rPr>
          <w:rFonts w:ascii="Times New Roman" w:hAnsi="Times New Roman" w:cs="Times New Roman"/>
          <w:sz w:val="24"/>
          <w:szCs w:val="24"/>
        </w:rPr>
        <w:t xml:space="preserve"> przez okres nie dłuższy niż </w:t>
      </w:r>
      <w:r w:rsidRPr="00C93F78">
        <w:rPr>
          <w:rFonts w:ascii="Times New Roman" w:hAnsi="Times New Roman" w:cs="Times New Roman"/>
          <w:sz w:val="24"/>
          <w:szCs w:val="24"/>
        </w:rPr>
        <w:t xml:space="preserve">trzy </w:t>
      </w:r>
      <w:r w:rsidR="00E81E95" w:rsidRPr="00C93F78">
        <w:rPr>
          <w:rFonts w:ascii="Times New Roman" w:hAnsi="Times New Roman" w:cs="Times New Roman"/>
          <w:sz w:val="24"/>
          <w:szCs w:val="24"/>
        </w:rPr>
        <w:t xml:space="preserve">kolejno po sobie następujące </w:t>
      </w:r>
      <w:r w:rsidR="00BB07B3" w:rsidRPr="00C93F78">
        <w:rPr>
          <w:rFonts w:ascii="Times New Roman" w:hAnsi="Times New Roman" w:cs="Times New Roman"/>
          <w:sz w:val="24"/>
          <w:szCs w:val="24"/>
        </w:rPr>
        <w:t>lat</w:t>
      </w:r>
      <w:r w:rsidR="006B4C12" w:rsidRPr="00C93F78">
        <w:rPr>
          <w:rFonts w:ascii="Times New Roman" w:hAnsi="Times New Roman" w:cs="Times New Roman"/>
          <w:sz w:val="24"/>
          <w:szCs w:val="24"/>
        </w:rPr>
        <w:t>a</w:t>
      </w:r>
      <w:r w:rsidR="00BB07B3" w:rsidRPr="00C93F78">
        <w:rPr>
          <w:rFonts w:ascii="Times New Roman" w:hAnsi="Times New Roman" w:cs="Times New Roman"/>
          <w:sz w:val="24"/>
          <w:szCs w:val="24"/>
        </w:rPr>
        <w:t xml:space="preserve"> podatkow</w:t>
      </w:r>
      <w:r w:rsidR="006B4C12" w:rsidRPr="00C93F78">
        <w:rPr>
          <w:rFonts w:ascii="Times New Roman" w:hAnsi="Times New Roman" w:cs="Times New Roman"/>
          <w:sz w:val="24"/>
          <w:szCs w:val="24"/>
        </w:rPr>
        <w:t>e</w:t>
      </w:r>
      <w:r w:rsidR="00106B6E" w:rsidRPr="00C93F78">
        <w:rPr>
          <w:rFonts w:ascii="Times New Roman" w:hAnsi="Times New Roman" w:cs="Times New Roman"/>
          <w:sz w:val="24"/>
          <w:szCs w:val="24"/>
        </w:rPr>
        <w:t>.</w:t>
      </w:r>
    </w:p>
    <w:p w:rsidR="009B0E6C" w:rsidRPr="00C93F78" w:rsidRDefault="005E1384" w:rsidP="00C93F78">
      <w:pPr>
        <w:pStyle w:val="Nagwek2"/>
        <w:spacing w:line="360" w:lineRule="auto"/>
        <w:jc w:val="both"/>
        <w:rPr>
          <w:b w:val="0"/>
          <w:szCs w:val="24"/>
        </w:rPr>
      </w:pPr>
      <w:r w:rsidRPr="00C93F78">
        <w:rPr>
          <w:szCs w:val="24"/>
        </w:rPr>
        <w:t>4</w:t>
      </w:r>
      <w:r w:rsidR="009B0E6C" w:rsidRPr="00C93F78">
        <w:rPr>
          <w:szCs w:val="24"/>
        </w:rPr>
        <w:t>) wprowadzenie alternatywnego sposobu opodatkowania emisji euroobligacji</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Docelowo projekt przewiduje zwolnienie od podatku odsetek i dyskonta, uzyskanych przez nierezydentów (zarówno podatników PIT i CIT) z obligacji emitowanych i dopuszczonych do obrotu na rynku regulowanym lub wprowadzonych do alternatywnego systemu obrotu w rozumieniu przepisów ustawy z dnia 29 lipca 2005 r. o obrocie instrumentami finansowymi, o terminie wykupu nie krótszym niż 1 rok.</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Rozwiązanie to ma jednak obowiązywać do emisji obligacji dokonanych od dnia 1 stycznia 2019 r.</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odniesieniu do emisji obligacji dokonanych przed 1 stycznia 2019 przewiduje się rozwiązanie polegające na</w:t>
      </w:r>
      <w:r w:rsidR="00214B8A" w:rsidRPr="00C93F78">
        <w:rPr>
          <w:rFonts w:ascii="Times New Roman" w:hAnsi="Times New Roman" w:cs="Times New Roman"/>
          <w:sz w:val="24"/>
          <w:szCs w:val="24"/>
        </w:rPr>
        <w:t xml:space="preserve"> </w:t>
      </w:r>
      <w:r w:rsidRPr="00C93F78">
        <w:rPr>
          <w:rFonts w:ascii="Times New Roman" w:hAnsi="Times New Roman" w:cs="Times New Roman"/>
          <w:sz w:val="24"/>
          <w:szCs w:val="24"/>
        </w:rPr>
        <w:t>możliwości wyboru przez emitentów obligacji alternatywnego sposobu opodatkowania dochodów z ww. tytułów.</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Propozycja opiera się na możliwości wyboru przez podatnika, będącego emitentem obligacji, klasycznej (dotychczasowej) formy opodatkowania tych dochodów (tj. podatkiem pobieranym u źródła od obligatariusza) albo proponowanej w projekcie – formy opodatkowania, której założeniem jest przejęcie obowiązku podatkowego w tym zakresie przez podatnika będącego emitentem.</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Przesunięcie opodatkowania na emitenta, w alternatywnej formule, dotyczy tylko dochodów uzyskanych przez nierezydentów, gdyż praktyka realizacji obowiązków płatnika wobec tej grupy podatników wykazała dużą nieefektywność poboru podatku, a także stosowania zwolnienia podatkowego określonego dla dochodów z odsetek i dyskonta od listów zastawnych.</w:t>
      </w:r>
    </w:p>
    <w:p w:rsidR="009B0E6C" w:rsidRPr="00C93F78" w:rsidRDefault="009B0E6C" w:rsidP="00C93F78">
      <w:pPr>
        <w:pStyle w:val="Standard"/>
        <w:spacing w:after="120" w:line="360" w:lineRule="auto"/>
        <w:jc w:val="both"/>
        <w:rPr>
          <w:sz w:val="24"/>
          <w:szCs w:val="24"/>
        </w:rPr>
      </w:pPr>
      <w:r w:rsidRPr="00C93F78">
        <w:rPr>
          <w:rFonts w:ascii="Times New Roman" w:hAnsi="Times New Roman" w:cs="Times New Roman"/>
          <w:sz w:val="24"/>
          <w:szCs w:val="24"/>
        </w:rPr>
        <w:t>Wybór alternatywnego opodatkowania przychodów z odsetek i dyskonta przewidzianych pozostaje w gestii decyzji samego podatnika. Wybór ten ogranicza się jedynie do określonej serii emisji, co oznacza, że tylko emisje obligacji zgłoszone do urzędu skarbowego, na zasadach określonych w projekcie, będą mogły podlegać pod proponowane zasady opodatkowania. Identyfikacji emisji podatnik dokonywać będzie zarówno w zawiadomieniu składanym przed emisją obligacji jak i w deklaracji podatkowej składanej w celu rozliczenia zryczałtowanego podatku dochodowego od przychodu z emisji obligacji.</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Wybór proponowanych zasad opodatkowania przychodów z emisji obligacji oznaczać będzie zwolnienie emitenta i innych podmiotów (podmioty prowadzące rachunki zbiorcze papierów wartościowych) z obowiązków płatnika, w tym z obowiązków składania informacji podatkowych o wysokości uzyskanych dochodów (informacji IFT-1 i IFT-2).</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Przesunięcie opodatkowania odsetek i dyskonta na podatnika będącego emitentem powoduje, że zasadne jest zwolnienie z opodatkowania nabywców obligacji będących nierezydentami, z tytułu dochodów z obligacji (w celu uniknięcia podwójnego opodatkowania tych samych dochodów). Opodatkowanie odsetek i dyskonta realizowane będzie bowiem przez emitenta.</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Emitent zobligowany będzie do zapłaty podatku od sumy dokonanych w roku podatkowym wypłat, w terminach przewidzianych obecnie dla tzw. rozliczenia rocznego, tj. do końca trzeciego miesiąca następującego po zakończeniu roku podatkowego podatnika.</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 skierowany jest również do banków hipotecznych, w zakresie dokonywanych przez te banki emisji listów zastawnych, zgodnie z ustawą o listach zastawnych i bankach hipotecznych. W odniesieniu do listów zastawnych projekt nie wprowadza ograniczeń co do warunków emisji, które uprawniać będą do wyboru alternatywnego sposobu opodatkowania.</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 przewiduje również prawo do wyboru opodatkowania według powyżej opisanych zasad przychodów otrzymanych przez podatników przed dniem wejście w projektowanej ustawy, jeśli na dzień jej wejścia nie doszło jeszcze do wykupu wyemitowanych obligacji. Propozycja ta ma na celu zrównanie praw podatników dokonujących emisji przed i po dniu wejścia w życie ustawy.</w:t>
      </w:r>
    </w:p>
    <w:p w:rsidR="009B0E6C" w:rsidRPr="00C93F78" w:rsidRDefault="009B0E6C"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Proponowane rozwiązania dotyczyć również mogą podatników niemających siedziby ani zarządu na terytorium Polski, jeśli emisja obligacji związana będzie z działalnością zakładu zagranicznego w Polsce takiego podatnika oraz należności i zobowiązania z tytułu obligacji stanowić będą przypisany dla celów podatkowych majątek zakładu zagranicznego.</w:t>
      </w:r>
    </w:p>
    <w:p w:rsidR="009B0E6C" w:rsidRPr="00C93F78" w:rsidRDefault="009B0E6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 przewiduje także możliwość opodatkowania finansowania pochodzącego z emisji obligacji dokonanych przez polskich podatników, za pośrednictwem zagranicznych spółek celowych.</w:t>
      </w:r>
    </w:p>
    <w:p w:rsidR="00B3515C" w:rsidRPr="00C93F78" w:rsidRDefault="005E1384" w:rsidP="00C93F78">
      <w:pPr>
        <w:pStyle w:val="Nagwek2"/>
        <w:spacing w:line="360" w:lineRule="auto"/>
        <w:jc w:val="both"/>
        <w:rPr>
          <w:szCs w:val="24"/>
        </w:rPr>
      </w:pPr>
      <w:r w:rsidRPr="00C93F78">
        <w:rPr>
          <w:szCs w:val="24"/>
        </w:rPr>
        <w:t>5</w:t>
      </w:r>
      <w:r w:rsidR="00B3515C" w:rsidRPr="00C93F78">
        <w:rPr>
          <w:szCs w:val="24"/>
        </w:rPr>
        <w:t>) wprowadzenie odrębnych regulacji regulujących zasady opodatkowania dochodów z walut wirtualnych</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ostatnich latach można zaobserwować dynamiczny rozwój rynku walut wirtualnych. Obowiązujące przepisy, które regulują opodatkowanie dochodów osób fizycznych oraz osób prawnych, nie uwzględniają specyfiki transakcji z użyciem tych walut. Powoduje to, szczególnie w zakresie podatku PIT, wiele wątpliwości interpretacyjnych przy opodatkowaniu dochodów z obrotu kryptowalutami.</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 ustawy wprowadza zmiany do ustawy PIT oraz ustawy CIT, które kompleksowo regulują kwestie opodatkowania dochodów uzyskanych z obrotu walutami wirtualnymi.</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Nowe regulacje obejmować będą obrót walutami wirtualnymi zdefiniowanymi w ustawie z dnia 1 marca 2018 r. o przeciwdziałaniu praniu pieniędzy oraz finansowaniu terroryzmu. </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Według tej ustawy waluta wirtualna, to cyfrowe odwzorowanie wartości, które nie jest: </w:t>
      </w:r>
    </w:p>
    <w:p w:rsidR="00B3515C" w:rsidRPr="00C93F78" w:rsidRDefault="00B3515C" w:rsidP="00C93F78">
      <w:pPr>
        <w:numPr>
          <w:ilvl w:val="0"/>
          <w:numId w:val="3"/>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prawnym środkiem płatniczym emitowanym przez NBP, zagraniczne banki centralne lub inne organy administracji publicznej, </w:t>
      </w:r>
    </w:p>
    <w:p w:rsidR="00B3515C" w:rsidRPr="00C93F78" w:rsidRDefault="00B3515C" w:rsidP="00C93F78">
      <w:pPr>
        <w:numPr>
          <w:ilvl w:val="0"/>
          <w:numId w:val="3"/>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międzynarodową jednostką rozrachunkową ustanawianą przez organizację międzynarodową i akceptowaną przez poszczególne kraje należące do tej organizacji lub z nią współpracujące, </w:t>
      </w:r>
    </w:p>
    <w:p w:rsidR="00B3515C" w:rsidRPr="00C93F78" w:rsidRDefault="00B3515C" w:rsidP="00C93F78">
      <w:pPr>
        <w:numPr>
          <w:ilvl w:val="0"/>
          <w:numId w:val="3"/>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pieniądzem elektronicznym w rozumieniu ustawy z dnia 19 sierpnia 2011 r. o usługach płatniczych, </w:t>
      </w:r>
    </w:p>
    <w:p w:rsidR="00B3515C" w:rsidRPr="00C93F78" w:rsidRDefault="00B3515C" w:rsidP="00C93F78">
      <w:pPr>
        <w:numPr>
          <w:ilvl w:val="0"/>
          <w:numId w:val="3"/>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instrumentem finansowym w rozumieniu ustawy z dnia 29 lipca 2005 r. o obrocie instrumentami finansowymi, </w:t>
      </w:r>
    </w:p>
    <w:p w:rsidR="00B3515C" w:rsidRPr="00C93F78" w:rsidRDefault="00B3515C" w:rsidP="00C93F78">
      <w:pPr>
        <w:numPr>
          <w:ilvl w:val="0"/>
          <w:numId w:val="3"/>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wekslem lub czekiem </w:t>
      </w:r>
    </w:p>
    <w:p w:rsidR="00B3515C" w:rsidRPr="00C93F78" w:rsidRDefault="00C93F78" w:rsidP="00C93F78">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t>
      </w:r>
      <w:r w:rsidR="00B3515C" w:rsidRPr="00C93F78">
        <w:rPr>
          <w:rFonts w:ascii="Times New Roman" w:hAnsi="Times New Roman" w:cs="Times New Roman"/>
          <w:sz w:val="24"/>
          <w:szCs w:val="24"/>
        </w:rPr>
        <w:t xml:space="preserve"> oraz jest wymienialne w obrocie gospodarczym na prawne środki płatnicze i akceptowane jako środek wymiany, a także może być elektronicznie przechowywane lub przeniesione albo może być przedmiotem handlu elektronicznego.</w:t>
      </w:r>
    </w:p>
    <w:p w:rsidR="00B3515C" w:rsidRPr="00C93F78" w:rsidRDefault="00B3515C" w:rsidP="00C93F78">
      <w:p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Definicja ta obejmuje zarówno tzw. kryptowaluty, jak i scentralizowane waluty wirtualne. Użyte pojęcie jest dosłownym tłumaczeniem pojęcia „</w:t>
      </w:r>
      <w:r w:rsidRPr="00C93F78">
        <w:rPr>
          <w:rFonts w:ascii="Times New Roman" w:hAnsi="Times New Roman" w:cs="Times New Roman"/>
          <w:bCs/>
          <w:i/>
          <w:sz w:val="24"/>
          <w:szCs w:val="24"/>
        </w:rPr>
        <w:t>virtual currencies</w:t>
      </w:r>
      <w:r w:rsidRPr="00C93F78">
        <w:rPr>
          <w:rFonts w:ascii="Times New Roman" w:hAnsi="Times New Roman" w:cs="Times New Roman"/>
          <w:bCs/>
          <w:sz w:val="24"/>
          <w:szCs w:val="24"/>
        </w:rPr>
        <w:t>” stosowanego przez FATF (Financial Action Task Force) dla określenia walut niebędących prawnymi środkami płatniczymi i obejmującego zarówno kryptowaluty (takie jak np. Bitcoin, Monero, Litecoin itp.), jak również dla określenia scentralizowanych walut wirtualnych (takie jak np. WebMoney czy PerfectMoney).</w:t>
      </w:r>
      <w:r w:rsidRPr="00C93F78">
        <w:rPr>
          <w:rFonts w:ascii="Times New Roman" w:hAnsi="Times New Roman" w:cs="Times New Roman"/>
          <w:sz w:val="24"/>
          <w:szCs w:val="24"/>
        </w:rPr>
        <w:t xml:space="preserve"> </w:t>
      </w:r>
      <w:r w:rsidRPr="00C93F78">
        <w:rPr>
          <w:rFonts w:ascii="Times New Roman" w:hAnsi="Times New Roman" w:cs="Times New Roman"/>
          <w:bCs/>
          <w:sz w:val="24"/>
          <w:szCs w:val="24"/>
        </w:rPr>
        <w:t xml:space="preserve">Scentralizowana waluta wirtualna posiada jednego centralnego administratora, który zarządza ich wydawaniem i dystrybucją, a także prowadzi centralny rejestr płatności i posiada uprawnienie do wykupu jednostek danej waluty wirtualnej. </w:t>
      </w:r>
    </w:p>
    <w:p w:rsidR="00B3515C" w:rsidRPr="00C93F78" w:rsidRDefault="00B3515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Zakwalifikowanie przychodów z obrotu walutami wirtualnymi do źródła - kapitały pieniężne</w:t>
      </w:r>
    </w:p>
    <w:p w:rsidR="00B3515C" w:rsidRPr="00C93F78" w:rsidRDefault="00B3515C" w:rsidP="00C93F78">
      <w:pPr>
        <w:spacing w:after="120" w:line="360" w:lineRule="auto"/>
        <w:jc w:val="both"/>
        <w:rPr>
          <w:rFonts w:ascii="Times New Roman" w:hAnsi="Times New Roman" w:cs="Times New Roman"/>
          <w:b/>
          <w:sz w:val="24"/>
          <w:szCs w:val="24"/>
          <w:u w:val="single"/>
        </w:rPr>
      </w:pPr>
      <w:r w:rsidRPr="00C93F78">
        <w:rPr>
          <w:rFonts w:ascii="Times New Roman" w:hAnsi="Times New Roman" w:cs="Times New Roman"/>
          <w:sz w:val="24"/>
          <w:szCs w:val="24"/>
        </w:rPr>
        <w:t>Przychody z obrotu walutami wirtualnymi kwalifikowane będą odpowiednio do przychodów z kapitałów pieniężnych (art. 17 ustawy PIT) lub zysków kapitałowych (art. 7b ustawy CIT). Dla przychodów z tego tytułu określone zostaną szczególne zasady opodatkowania. Przychody te nie będą łączone z innymi przychodami z kapitałów pieniężnych (zysków kapitałowych). Kwalifikacja do źródła przychodów – kapitały pieniężne dokonana zostanie nawet wtedy, gdy podatnik będzie osiągał przychody z obrotu walutami wirtualnymi w ramach prowadzonej działalności gospodarczej.</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konsekwencji przyjęcia powyższych zasad, poniesiona strata z obrotu walutami wirtualnymi, nie będzie mogła być odliczona od innych dochodów podatnika, np. ze sprzedaży akcji, czy też z prowadzonej działalności gospodarczej. </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 źródła przychodów z obrotu walutami wirtualnymi nie będą natomiast zaliczane przychody podmiotów prowadzących działalność gospodarczą polegającą na świadczeniu usług w zakresie:</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a) wymiany walut wirtualnych i środków płatniczych,</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b) wymiany walut wirtualnych na inne waluty wirtualne,</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c) pośrednictwa w wymianie, o której mowa w lit. a) lub b),</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 prowadzenia rachunków, czyli prowadzonych w formie elektronicznej zbiorów danych identyfikacyjnych zapewniających osobom uprawnionym możliwość korzystania z jednostek walut wirtualnych, w tym przeprowadzania transakcji ich wymiany.</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Przykładem są tu m.in. podmioty prowadzące giełdy walut wirtualnych, kantory walut wirtualnych.</w:t>
      </w:r>
    </w:p>
    <w:p w:rsidR="00B3515C" w:rsidRPr="00C93F78" w:rsidRDefault="00B3515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Przychody z obrotu walutami wirtualnymi</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Do przychodów zaliczane będą przychody ze sprzedaży walut wirtualnych na giełdzie, w kantorze oraz na wolnym rynku, czyli przychody z wymiany waluty wirtualnej na </w:t>
      </w:r>
      <w:r w:rsidR="005A35A4" w:rsidRPr="00C93F78">
        <w:rPr>
          <w:rFonts w:ascii="Times New Roman" w:hAnsi="Times New Roman" w:cs="Times New Roman"/>
          <w:sz w:val="24"/>
          <w:szCs w:val="24"/>
        </w:rPr>
        <w:t xml:space="preserve">prawny </w:t>
      </w:r>
      <w:r w:rsidRPr="00C93F78">
        <w:rPr>
          <w:rFonts w:ascii="Times New Roman" w:hAnsi="Times New Roman" w:cs="Times New Roman"/>
          <w:sz w:val="24"/>
          <w:szCs w:val="24"/>
        </w:rPr>
        <w:t xml:space="preserve">środek płatniczy. </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 równi ze sprzedażą walut wirtualnych traktowana będzie zapłata takimi walutami za towar, usługę lub prawo majątkowe niebędące walutą wirtualną oraz regulowanie innych zobowiązań walutą wirtualną. W tym przypadku, przychód z kapitałów pieniężnych będzie odpowiadał cenie zakupionego towaru lub usługi.</w:t>
      </w:r>
    </w:p>
    <w:p w:rsidR="00B3515C" w:rsidRPr="00C93F78" w:rsidRDefault="00B3515C" w:rsidP="00C93F78">
      <w:pPr>
        <w:spacing w:after="120"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Wymiana pomiędzy walutami wirtualnymi, niezależnie od tego czy dokonywana na giełdzie, czy też jednostkowo pozostanie obojętna w podatku dochodowym.</w:t>
      </w:r>
    </w:p>
    <w:p w:rsidR="00B3515C" w:rsidRPr="00C93F78" w:rsidRDefault="00B3515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Koszty uzyskania przychodów</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Opodatkowaniu podlegał będzie dochód podatnika, czyli będzie możliwe uwzględnienie wydatków związanych z obrotem walutą wirtualną.</w:t>
      </w:r>
    </w:p>
    <w:p w:rsidR="00B3515C" w:rsidRPr="00C93F78" w:rsidRDefault="00B3515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Międzyokresowe rozliczanie kosztów uzyskania przychodów</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Przy tej metodzie nie będzie konieczne identyfikowanie konkretnych wydatków z konkretnymi przychodami.</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Wszystkie koszty jakie podatnik poniesie w danym roku podatkowym, będzie obowiązany wykazać w zeznaniu rocznym, niezależnie od tego, czy w tym samym roku uzyska przychód, czy też nie.</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Koszty danego roku podatkowego, które przewyższą uzyskane w tym roku przychody, zwiększą koszty podatkowe następnego roku podatkowego. </w:t>
      </w:r>
    </w:p>
    <w:p w:rsidR="00B3515C" w:rsidRPr="00C93F78" w:rsidRDefault="00B3515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Określenie kosztów uzyskania przychodów</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Kosztami podatkowymi będą udokumentowane wydatki na nabycie walut wirtualnych, poniesione w danym roku podatkowym, ale wyłącznie bezpośrednio związane z nabyciem i sprzedażą walut wirtualnych. Kosztami uzyskania przychodów nie będą więc w szczególności koszty finansowania zakupu walut wirtualnych (koszty pożyczek, kredytów itp.).</w:t>
      </w:r>
    </w:p>
    <w:p w:rsidR="00B3515C" w:rsidRPr="00C93F78" w:rsidRDefault="00B3515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Pobór podatku</w:t>
      </w:r>
    </w:p>
    <w:p w:rsidR="00B3515C" w:rsidRPr="00C93F78" w:rsidRDefault="00B3515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sz w:val="24"/>
          <w:szCs w:val="24"/>
        </w:rPr>
        <w:t>Projekt zakłada przyjęcie zasady samoobliczenia podatku, bez pośrednictwa płatnika. Podatek rozliczany będzie w zeznaniu rocznym. W trakcie roku podatnicy nie będą zobowiązani wpłacać zaliczek na podatek (w przypadku innych przychodów z kapitałów pieniężnych, podatnicy PIT nie wpłacają w ciągu roku zaliczek na podatek).</w:t>
      </w:r>
      <w:r w:rsidR="00840A3E" w:rsidRPr="00C93F78">
        <w:rPr>
          <w:rFonts w:ascii="Times New Roman" w:hAnsi="Times New Roman" w:cs="Times New Roman"/>
          <w:sz w:val="24"/>
          <w:szCs w:val="24"/>
        </w:rPr>
        <w:t xml:space="preserve"> </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Biorąc pod uwagę, że obrót walutami wirtualnymi możliwy jest na różnych płaszczyznach (giełda polska, giełda zagraniczna, kantor, obrót prywatny), projekt nie przewiduje wprowadzania przepisów obligujących określone podmioty do sporządzania informacji dla podatników oraz urzędów skarbowych o dokonanych w danym roku podatkowym transakcjach sprzedaży walut wirtualnych. W większości takich transakcji, dane nabywcy, zbywcy waluty wirtualnej nie są bowiem weryfikowane.</w:t>
      </w:r>
    </w:p>
    <w:p w:rsidR="00B3515C" w:rsidRPr="00C93F78" w:rsidRDefault="00B3515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„Wykopywanie” walut wirtualnych przez kopaczy</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zależności od tego, na czyj rachunek dany podmiot będzie „kopał” uzyskane przychody kwalifikowane będą do poszczególnych źródeł. </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Jeżeli „kopacz” będzie to robił na własny rachunek i sam sprzedawał waluty wirtualne (płacił nimi za towar/usługę), przychód z kapitałów pieniężnych (zysków kapitałowych) powstanie u niego w momencie sprzedaży (zapłaty).</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przypadku, gdy „kopacz” będzie to robił na cudze zlecenie (umowa zlecenia, umowa o pracę itp.), wartość otrzymanych walut wirtualnych w ramach wynagrodzenia opodatkowana będzie jak wynagrodzenie za pracę (z tytułu umowy zlecenia), niezależnie od tego czy wynagrodzenie będzie wypłacone w walutach wirtualnych w całości czy w części. Natomiast w momencie sprzedaży przez „kopacza” tak pozyskanych walut (zapłaty nimi), powstały przychód kwalifikowany będzie do źródła przychodów z kapitałów pieniężnych (zysków kapitałowych). </w:t>
      </w:r>
    </w:p>
    <w:p w:rsidR="00B3515C" w:rsidRPr="00C93F78" w:rsidRDefault="00B3515C" w:rsidP="00C93F78">
      <w:pPr>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Sprzedaż towarów/usług rozliczana walutami wirtualnymi</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Przyjęcie płatności przez przedsiębiorcę za towar/usługę w postaci waluty wirtualnej, traktowane będzie jak dwie umowy. Każda ze stron zawartej umowy będzie zarówno sprzedawcą, jak i nabywcą. Przychodem przedsiębiorcy ze sprzedaży np. towaru, będzie cena (wartość) tego towaru.</w:t>
      </w:r>
    </w:p>
    <w:p w:rsidR="00B3515C" w:rsidRPr="00C93F78" w:rsidRDefault="00B3515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Natomiast w momencie sprzedaży przez przedsiębiorcę tak pozyskanych walut (zapłaty nimi), powstały przychód kwalifikowany będzie do źródła przychodów z kapitałów pieniężnych (zysków kapitałowych).</w:t>
      </w:r>
    </w:p>
    <w:p w:rsidR="001E4A85" w:rsidRPr="00C93F78" w:rsidRDefault="00532992" w:rsidP="00C93F78">
      <w:pPr>
        <w:pStyle w:val="Nagwek1"/>
        <w:spacing w:line="360" w:lineRule="auto"/>
        <w:jc w:val="both"/>
        <w:rPr>
          <w:b w:val="0"/>
          <w:szCs w:val="24"/>
        </w:rPr>
      </w:pPr>
      <w:r w:rsidRPr="00C93F78">
        <w:rPr>
          <w:szCs w:val="24"/>
        </w:rPr>
        <w:t xml:space="preserve">II. </w:t>
      </w:r>
      <w:r w:rsidR="001E4A85" w:rsidRPr="00C93F78">
        <w:rPr>
          <w:szCs w:val="24"/>
        </w:rPr>
        <w:t>W odniesieniu do już funkcjonujących regulacji przewidziane projektem modyfikacje polegają na:</w:t>
      </w:r>
      <w:r w:rsidR="00840A3E" w:rsidRPr="00C93F78">
        <w:rPr>
          <w:szCs w:val="24"/>
        </w:rPr>
        <w:t xml:space="preserve"> </w:t>
      </w:r>
    </w:p>
    <w:p w:rsidR="00AB5E4F" w:rsidRPr="00C93F78" w:rsidRDefault="00832F9D" w:rsidP="00C93F78">
      <w:pPr>
        <w:pStyle w:val="Nagwek2"/>
        <w:spacing w:line="360" w:lineRule="auto"/>
        <w:jc w:val="both"/>
        <w:rPr>
          <w:b w:val="0"/>
          <w:szCs w:val="24"/>
        </w:rPr>
      </w:pPr>
      <w:r w:rsidRPr="00C93F78">
        <w:rPr>
          <w:szCs w:val="24"/>
        </w:rPr>
        <w:t>1</w:t>
      </w:r>
      <w:r w:rsidR="009A4F9F" w:rsidRPr="00C93F78">
        <w:rPr>
          <w:szCs w:val="24"/>
        </w:rPr>
        <w:t>) poszerzeni</w:t>
      </w:r>
      <w:r w:rsidR="00BB5BB2" w:rsidRPr="00C93F78">
        <w:rPr>
          <w:szCs w:val="24"/>
        </w:rPr>
        <w:t>u</w:t>
      </w:r>
      <w:r w:rsidR="009A4F9F" w:rsidRPr="00C93F78">
        <w:rPr>
          <w:szCs w:val="24"/>
        </w:rPr>
        <w:t xml:space="preserve"> zakresu zwolnienia określonego w art. 17 ust. 1 pkt 57 lit. b ustawy o CIT</w:t>
      </w:r>
    </w:p>
    <w:p w:rsidR="00431841" w:rsidRPr="00C93F78" w:rsidRDefault="008B240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w:t>
      </w:r>
      <w:r w:rsidR="00CE5977" w:rsidRPr="00C93F78">
        <w:rPr>
          <w:rFonts w:ascii="Times New Roman" w:hAnsi="Times New Roman" w:cs="Times New Roman"/>
          <w:sz w:val="24"/>
          <w:szCs w:val="24"/>
        </w:rPr>
        <w:t xml:space="preserve"> zawarta obecnie w art. 17 ust. 1 pkt 57 lit. b </w:t>
      </w:r>
      <w:r w:rsidRPr="00C93F78">
        <w:rPr>
          <w:rFonts w:ascii="Times New Roman" w:hAnsi="Times New Roman" w:cs="Times New Roman"/>
          <w:sz w:val="24"/>
          <w:szCs w:val="24"/>
        </w:rPr>
        <w:t xml:space="preserve">ma na celu wyłączenie ze zwolnienia </w:t>
      </w:r>
      <w:r w:rsidR="00431841" w:rsidRPr="00C93F78">
        <w:rPr>
          <w:rFonts w:ascii="Times New Roman" w:hAnsi="Times New Roman" w:cs="Times New Roman"/>
          <w:sz w:val="24"/>
          <w:szCs w:val="24"/>
        </w:rPr>
        <w:t xml:space="preserve">przedmiotowego </w:t>
      </w:r>
      <w:r w:rsidR="00CE5977" w:rsidRPr="00C93F78">
        <w:rPr>
          <w:rFonts w:ascii="Times New Roman" w:hAnsi="Times New Roman" w:cs="Times New Roman"/>
          <w:sz w:val="24"/>
          <w:szCs w:val="24"/>
        </w:rPr>
        <w:t xml:space="preserve">dochodów (przychodów) </w:t>
      </w:r>
      <w:r w:rsidR="00431841" w:rsidRPr="00C93F78">
        <w:rPr>
          <w:rFonts w:ascii="Times New Roman" w:hAnsi="Times New Roman" w:cs="Times New Roman"/>
          <w:sz w:val="24"/>
          <w:szCs w:val="24"/>
        </w:rPr>
        <w:t xml:space="preserve">funduszu </w:t>
      </w:r>
      <w:r w:rsidR="00CE5977" w:rsidRPr="00C93F78">
        <w:rPr>
          <w:rFonts w:ascii="Times New Roman" w:hAnsi="Times New Roman" w:cs="Times New Roman"/>
          <w:sz w:val="24"/>
          <w:szCs w:val="24"/>
        </w:rPr>
        <w:t xml:space="preserve">z tytułu </w:t>
      </w:r>
      <w:r w:rsidR="00431841" w:rsidRPr="00C93F78">
        <w:rPr>
          <w:rFonts w:ascii="Times New Roman" w:hAnsi="Times New Roman" w:cs="Times New Roman"/>
          <w:sz w:val="24"/>
          <w:szCs w:val="24"/>
        </w:rPr>
        <w:t xml:space="preserve">m.in. </w:t>
      </w:r>
      <w:r w:rsidRPr="00C93F78">
        <w:rPr>
          <w:rFonts w:ascii="Times New Roman" w:hAnsi="Times New Roman" w:cs="Times New Roman"/>
          <w:sz w:val="24"/>
          <w:szCs w:val="24"/>
        </w:rPr>
        <w:t xml:space="preserve">odsetek od pożyczek udzielonych spółkom niemającym osobowości prawnej, </w:t>
      </w:r>
      <w:r w:rsidR="00CE5977" w:rsidRPr="00C93F78">
        <w:rPr>
          <w:rFonts w:ascii="Times New Roman" w:hAnsi="Times New Roman" w:cs="Times New Roman"/>
          <w:sz w:val="24"/>
          <w:szCs w:val="24"/>
        </w:rPr>
        <w:t xml:space="preserve">które zgodnie z </w:t>
      </w:r>
      <w:r w:rsidR="00431841" w:rsidRPr="00C93F78">
        <w:rPr>
          <w:rFonts w:ascii="Times New Roman" w:hAnsi="Times New Roman" w:cs="Times New Roman"/>
          <w:sz w:val="24"/>
          <w:szCs w:val="24"/>
        </w:rPr>
        <w:t xml:space="preserve">przepisami państwa </w:t>
      </w:r>
      <w:r w:rsidR="00CE5977" w:rsidRPr="00C93F78">
        <w:rPr>
          <w:rFonts w:ascii="Times New Roman" w:hAnsi="Times New Roman" w:cs="Times New Roman"/>
          <w:sz w:val="24"/>
          <w:szCs w:val="24"/>
        </w:rPr>
        <w:t xml:space="preserve">ich siedziby nie są traktowane jak osoby prawne i nie podlegają w tym państwie </w:t>
      </w:r>
      <w:r w:rsidR="00431841" w:rsidRPr="00C93F78">
        <w:rPr>
          <w:rFonts w:ascii="Times New Roman" w:hAnsi="Times New Roman" w:cs="Times New Roman"/>
          <w:sz w:val="24"/>
          <w:szCs w:val="24"/>
        </w:rPr>
        <w:t xml:space="preserve">opodatkowaniu. </w:t>
      </w:r>
    </w:p>
    <w:p w:rsidR="00BB07B3" w:rsidRPr="00C93F78" w:rsidRDefault="00431841"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Proponowana w projekcie zmiana tego przepisu ogranicza zakres wyjątków od zwolnienia przedmiotowego (a tym samym poszerza to zwolnienie) na odsetki</w:t>
      </w:r>
      <w:r w:rsidR="008B2403" w:rsidRPr="00C93F78">
        <w:rPr>
          <w:rFonts w:ascii="Times New Roman" w:hAnsi="Times New Roman" w:cs="Times New Roman"/>
          <w:sz w:val="24"/>
          <w:szCs w:val="24"/>
        </w:rPr>
        <w:t xml:space="preserve"> od pożyczek udzielonych przez </w:t>
      </w:r>
      <w:r w:rsidRPr="00C93F78">
        <w:rPr>
          <w:rFonts w:ascii="Times New Roman" w:hAnsi="Times New Roman" w:cs="Times New Roman"/>
          <w:sz w:val="24"/>
          <w:szCs w:val="24"/>
        </w:rPr>
        <w:t xml:space="preserve">- </w:t>
      </w:r>
      <w:r w:rsidR="008B2403" w:rsidRPr="00C93F78">
        <w:rPr>
          <w:rFonts w:ascii="Times New Roman" w:hAnsi="Times New Roman" w:cs="Times New Roman"/>
          <w:sz w:val="24"/>
          <w:szCs w:val="24"/>
        </w:rPr>
        <w:t>podlegające nadzorowi państwowego organu nadzoru nad rynkiem finansowych</w:t>
      </w:r>
      <w:r w:rsidRPr="00C93F78">
        <w:rPr>
          <w:rFonts w:ascii="Times New Roman" w:hAnsi="Times New Roman" w:cs="Times New Roman"/>
          <w:sz w:val="24"/>
          <w:szCs w:val="24"/>
        </w:rPr>
        <w:t xml:space="preserve"> –</w:t>
      </w:r>
      <w:r w:rsidR="008B2403" w:rsidRPr="00C93F78">
        <w:rPr>
          <w:rFonts w:ascii="Times New Roman" w:hAnsi="Times New Roman" w:cs="Times New Roman"/>
          <w:sz w:val="24"/>
          <w:szCs w:val="24"/>
        </w:rPr>
        <w:t xml:space="preserve"> banki</w:t>
      </w:r>
      <w:r w:rsidRPr="00C93F78">
        <w:rPr>
          <w:rFonts w:ascii="Times New Roman" w:hAnsi="Times New Roman" w:cs="Times New Roman"/>
          <w:sz w:val="24"/>
          <w:szCs w:val="24"/>
        </w:rPr>
        <w:t>,</w:t>
      </w:r>
      <w:r w:rsidR="008B2403" w:rsidRPr="00C93F78">
        <w:rPr>
          <w:rFonts w:ascii="Times New Roman" w:hAnsi="Times New Roman" w:cs="Times New Roman"/>
          <w:sz w:val="24"/>
          <w:szCs w:val="24"/>
        </w:rPr>
        <w:t xml:space="preserve"> w tym banki spółdzielcze lub </w:t>
      </w:r>
      <w:r w:rsidR="00D85ADC" w:rsidRPr="00C93F78">
        <w:rPr>
          <w:rFonts w:ascii="Times New Roman" w:hAnsi="Times New Roman" w:cs="Times New Roman"/>
          <w:sz w:val="24"/>
          <w:szCs w:val="24"/>
        </w:rPr>
        <w:t>SKOKi</w:t>
      </w:r>
      <w:r w:rsidR="008B2403" w:rsidRPr="00C93F78">
        <w:rPr>
          <w:rFonts w:ascii="Times New Roman" w:hAnsi="Times New Roman" w:cs="Times New Roman"/>
          <w:sz w:val="24"/>
          <w:szCs w:val="24"/>
        </w:rPr>
        <w:t>. Udzielanie pożyczek przez te podmioty, co do zasady nie zmierza do optymalizacji, której art. 17 ust. 1 pkt 57 lit. b ustawy</w:t>
      </w:r>
      <w:r w:rsidR="008371CF" w:rsidRPr="00C93F78">
        <w:rPr>
          <w:rFonts w:ascii="Times New Roman" w:hAnsi="Times New Roman" w:cs="Times New Roman"/>
          <w:sz w:val="24"/>
          <w:szCs w:val="24"/>
        </w:rPr>
        <w:t xml:space="preserve"> o</w:t>
      </w:r>
      <w:r w:rsidR="008B2403" w:rsidRPr="00C93F78">
        <w:rPr>
          <w:rFonts w:ascii="Times New Roman" w:hAnsi="Times New Roman" w:cs="Times New Roman"/>
          <w:sz w:val="24"/>
          <w:szCs w:val="24"/>
        </w:rPr>
        <w:t xml:space="preserve"> CIT ma zapobiegać. Na mocy proponowanego</w:t>
      </w:r>
      <w:r w:rsidR="00840A3E" w:rsidRPr="00C93F78">
        <w:rPr>
          <w:rFonts w:ascii="Times New Roman" w:hAnsi="Times New Roman" w:cs="Times New Roman"/>
          <w:sz w:val="24"/>
          <w:szCs w:val="24"/>
        </w:rPr>
        <w:t xml:space="preserve"> </w:t>
      </w:r>
      <w:r w:rsidR="008B2403" w:rsidRPr="00C93F78">
        <w:rPr>
          <w:rFonts w:ascii="Times New Roman" w:hAnsi="Times New Roman" w:cs="Times New Roman"/>
          <w:sz w:val="24"/>
          <w:szCs w:val="24"/>
        </w:rPr>
        <w:t xml:space="preserve">art. 17 ust. 1 pkt 57 lit. b ustawy </w:t>
      </w:r>
      <w:r w:rsidR="008371CF" w:rsidRPr="00C93F78">
        <w:rPr>
          <w:rFonts w:ascii="Times New Roman" w:hAnsi="Times New Roman" w:cs="Times New Roman"/>
          <w:sz w:val="24"/>
          <w:szCs w:val="24"/>
        </w:rPr>
        <w:t xml:space="preserve">o </w:t>
      </w:r>
      <w:r w:rsidR="008B2403" w:rsidRPr="00C93F78">
        <w:rPr>
          <w:rFonts w:ascii="Times New Roman" w:hAnsi="Times New Roman" w:cs="Times New Roman"/>
          <w:sz w:val="24"/>
          <w:szCs w:val="24"/>
        </w:rPr>
        <w:t>CIT, wyeliminowane zostaną także wątpliwości</w:t>
      </w:r>
      <w:r w:rsidR="00840A3E" w:rsidRPr="00C93F78">
        <w:rPr>
          <w:rFonts w:ascii="Times New Roman" w:hAnsi="Times New Roman" w:cs="Times New Roman"/>
          <w:sz w:val="24"/>
          <w:szCs w:val="24"/>
        </w:rPr>
        <w:t xml:space="preserve"> </w:t>
      </w:r>
      <w:r w:rsidR="008B2403" w:rsidRPr="00C93F78">
        <w:rPr>
          <w:rFonts w:ascii="Times New Roman" w:hAnsi="Times New Roman" w:cs="Times New Roman"/>
          <w:sz w:val="24"/>
          <w:szCs w:val="24"/>
        </w:rPr>
        <w:t>co do niewykluczenia z uprawnień podatkowych transakcji, do których odnoszą się regulacje art. 12 ust. 4 pkt 15 li</w:t>
      </w:r>
      <w:r w:rsidR="00C93F78">
        <w:rPr>
          <w:rFonts w:ascii="Times New Roman" w:hAnsi="Times New Roman" w:cs="Times New Roman"/>
          <w:sz w:val="24"/>
          <w:szCs w:val="24"/>
        </w:rPr>
        <w:t>t. c oraz w art. 15 ust. 1h pkt </w:t>
      </w:r>
      <w:r w:rsidR="008B2403" w:rsidRPr="00C93F78">
        <w:rPr>
          <w:rFonts w:ascii="Times New Roman" w:hAnsi="Times New Roman" w:cs="Times New Roman"/>
          <w:sz w:val="24"/>
          <w:szCs w:val="24"/>
        </w:rPr>
        <w:t>2</w:t>
      </w:r>
      <w:r w:rsidR="00C93F78">
        <w:rPr>
          <w:rFonts w:ascii="Times New Roman" w:hAnsi="Times New Roman" w:cs="Times New Roman"/>
          <w:sz w:val="24"/>
          <w:szCs w:val="24"/>
        </w:rPr>
        <w:t>–</w:t>
      </w:r>
      <w:r w:rsidR="008B2403" w:rsidRPr="00C93F78">
        <w:rPr>
          <w:rFonts w:ascii="Times New Roman" w:hAnsi="Times New Roman" w:cs="Times New Roman"/>
          <w:sz w:val="24"/>
          <w:szCs w:val="24"/>
        </w:rPr>
        <w:t>4 ustawy</w:t>
      </w:r>
      <w:r w:rsidR="008371CF" w:rsidRPr="00C93F78">
        <w:rPr>
          <w:rFonts w:ascii="Times New Roman" w:hAnsi="Times New Roman" w:cs="Times New Roman"/>
          <w:sz w:val="24"/>
          <w:szCs w:val="24"/>
        </w:rPr>
        <w:t xml:space="preserve"> o</w:t>
      </w:r>
      <w:r w:rsidR="008B2403" w:rsidRPr="00C93F78">
        <w:rPr>
          <w:rFonts w:ascii="Times New Roman" w:hAnsi="Times New Roman" w:cs="Times New Roman"/>
          <w:sz w:val="24"/>
          <w:szCs w:val="24"/>
        </w:rPr>
        <w:t xml:space="preserve"> CIT w przypadku umów sekurytyzacji i umów o subpartycypację zawartych przez banki z funduszem sekurytyzacyjnym albo z towarzystwem funduszy inwestycyjnych tworzącym fundusz sekrytyzacyjny. Wykluczenie ze zwolnienia</w:t>
      </w:r>
      <w:r w:rsidR="00840A3E" w:rsidRPr="00C93F78">
        <w:rPr>
          <w:rFonts w:ascii="Times New Roman" w:hAnsi="Times New Roman" w:cs="Times New Roman"/>
          <w:sz w:val="24"/>
          <w:szCs w:val="24"/>
        </w:rPr>
        <w:t xml:space="preserve"> </w:t>
      </w:r>
      <w:r w:rsidR="008B2403" w:rsidRPr="00C93F78">
        <w:rPr>
          <w:rFonts w:ascii="Times New Roman" w:hAnsi="Times New Roman" w:cs="Times New Roman"/>
          <w:sz w:val="24"/>
          <w:szCs w:val="24"/>
        </w:rPr>
        <w:t>określonego w art. 17 ust. 1 pkt 57 lit. b</w:t>
      </w:r>
      <w:r w:rsidR="00840A3E" w:rsidRPr="00C93F78">
        <w:rPr>
          <w:rFonts w:ascii="Times New Roman" w:hAnsi="Times New Roman" w:cs="Times New Roman"/>
          <w:sz w:val="24"/>
          <w:szCs w:val="24"/>
        </w:rPr>
        <w:t xml:space="preserve"> </w:t>
      </w:r>
      <w:r w:rsidR="008B2403" w:rsidRPr="00C93F78">
        <w:rPr>
          <w:rFonts w:ascii="Times New Roman" w:hAnsi="Times New Roman" w:cs="Times New Roman"/>
          <w:sz w:val="24"/>
          <w:szCs w:val="24"/>
        </w:rPr>
        <w:t xml:space="preserve">nie obejmuje bowiem wierzytelności banków z tytułu kredytów (pożyczek), niezależnie od tego, jaki jest status prawny kredytobiorcy (pożyczkobiorcy), np. status spółki osobowej. </w:t>
      </w:r>
    </w:p>
    <w:p w:rsidR="0084448C" w:rsidRPr="00C93F78" w:rsidRDefault="005A0A10" w:rsidP="00C93F78">
      <w:pPr>
        <w:pStyle w:val="Nagwek2"/>
        <w:spacing w:line="360" w:lineRule="auto"/>
        <w:jc w:val="both"/>
        <w:rPr>
          <w:b w:val="0"/>
          <w:szCs w:val="24"/>
        </w:rPr>
      </w:pPr>
      <w:r w:rsidRPr="00C93F78">
        <w:rPr>
          <w:szCs w:val="24"/>
        </w:rPr>
        <w:t>2</w:t>
      </w:r>
      <w:r w:rsidR="0084448C" w:rsidRPr="00C93F78">
        <w:rPr>
          <w:szCs w:val="24"/>
        </w:rPr>
        <w:t>) uregulowan</w:t>
      </w:r>
      <w:r w:rsidR="00A0010B" w:rsidRPr="00C93F78">
        <w:rPr>
          <w:szCs w:val="24"/>
        </w:rPr>
        <w:t>iu zasad rozliczania pożyczek papierów wartościowych</w:t>
      </w:r>
    </w:p>
    <w:p w:rsidR="00A0010B" w:rsidRPr="00C93F78" w:rsidRDefault="00A0010B"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Projektowane przepisy wyraźnie wskazują, że pożyczka papierów wartościowych (definiowana w słowniczku ustawy) jest rozliczana wynikowo tj. przychód dla „pożyczkodawcy” stanowi wyłącznie „element odsetkowy” rozumiany jako różnica między ceną odkupu papieru wartościowego a ceną za jaki został on przekazany w ramach takiej transakcji. </w:t>
      </w:r>
    </w:p>
    <w:p w:rsidR="00A0010B" w:rsidRPr="00C93F78" w:rsidRDefault="005A0A10" w:rsidP="00C93F78">
      <w:pPr>
        <w:pStyle w:val="Nagwek2"/>
        <w:spacing w:line="360" w:lineRule="auto"/>
        <w:jc w:val="both"/>
        <w:rPr>
          <w:b w:val="0"/>
          <w:szCs w:val="24"/>
        </w:rPr>
      </w:pPr>
      <w:r w:rsidRPr="00C93F78">
        <w:rPr>
          <w:szCs w:val="24"/>
        </w:rPr>
        <w:t>3</w:t>
      </w:r>
      <w:r w:rsidR="00A0010B" w:rsidRPr="00C93F78">
        <w:rPr>
          <w:szCs w:val="24"/>
        </w:rPr>
        <w:t>) zwolnienia od podatku określonych rodzajów dochodów z tytułu nieodpłatnych świadczeń</w:t>
      </w:r>
      <w:r w:rsidR="00840A3E" w:rsidRPr="00C93F78">
        <w:rPr>
          <w:szCs w:val="24"/>
        </w:rPr>
        <w:t xml:space="preserve"> </w:t>
      </w:r>
      <w:r w:rsidR="00A0010B" w:rsidRPr="00C93F78">
        <w:rPr>
          <w:szCs w:val="24"/>
        </w:rPr>
        <w:t xml:space="preserve">uzyskiwanych w związku z realizacją umów offsetowych </w:t>
      </w:r>
    </w:p>
    <w:p w:rsidR="00A0010B" w:rsidRPr="00C93F78" w:rsidRDefault="00A0010B"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ta ma na celu przeniesienie na poziom ustawowy regulacji wynikającej obecnie z rozporządzeń Ministra Finansów. Jest to o tyle uzasadnione, iż minister właściwy ds. finansów publicznych wydał już kilkanaście rozporządzeń o zaniechaniu poboru podatku od ww. dochodów.</w:t>
      </w:r>
      <w:r w:rsidR="00840A3E" w:rsidRPr="00C93F78">
        <w:rPr>
          <w:rFonts w:ascii="Times New Roman" w:hAnsi="Times New Roman" w:cs="Times New Roman"/>
          <w:sz w:val="24"/>
          <w:szCs w:val="24"/>
        </w:rPr>
        <w:t xml:space="preserve"> </w:t>
      </w:r>
    </w:p>
    <w:p w:rsidR="00F25923" w:rsidRPr="00C93F78" w:rsidRDefault="00F25923" w:rsidP="00C93F78">
      <w:pPr>
        <w:pStyle w:val="Nagwek2"/>
        <w:spacing w:line="360" w:lineRule="auto"/>
        <w:jc w:val="both"/>
        <w:rPr>
          <w:szCs w:val="24"/>
        </w:rPr>
      </w:pPr>
      <w:r w:rsidRPr="00C93F78">
        <w:rPr>
          <w:szCs w:val="24"/>
        </w:rPr>
        <w:t xml:space="preserve">4) zmiany w zakresie przepisów dotyczących cen transferowych </w:t>
      </w:r>
    </w:p>
    <w:p w:rsidR="00F25923" w:rsidRPr="00C93F78" w:rsidRDefault="00F25923" w:rsidP="00C93F78">
      <w:pPr>
        <w:tabs>
          <w:tab w:val="left" w:pos="5387"/>
        </w:tabs>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Ważnym celem wprowadzenia regulacji jest uproszczenie przepisów podatkowych, a także zmniejszenie obciążeń o charakterze biurokratycznym i administracyjnym dla przedsiębiorców, w szczególności małych i średnich przedsiębiorstw.</w:t>
      </w:r>
    </w:p>
    <w:p w:rsidR="00F25923" w:rsidRPr="00C93F78" w:rsidRDefault="00F25923" w:rsidP="00C93F78">
      <w:pPr>
        <w:tabs>
          <w:tab w:val="left" w:pos="5387"/>
        </w:tabs>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Projektowane przepisy wpisują się w pakiet działań legislacyjnych, których celem jest uszczelnienie systemu podatkowego, w szczególności w zakresie podatków dochodowych tak, aby zapewnić powiązanie wysokości podatku, płaconego przez duże przedsiębiorstwa, w szczególności międzynarodowe, z faktycznym miejscem uzyskiwania przez nie dochodu. </w:t>
      </w:r>
    </w:p>
    <w:p w:rsidR="00F25923" w:rsidRPr="00C93F78" w:rsidRDefault="00F25923" w:rsidP="00C93F78">
      <w:pPr>
        <w:tabs>
          <w:tab w:val="left" w:pos="5387"/>
        </w:tabs>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Oba cele projektu ustawy wpisują się w realizację Strategii na Rzecz Odpowiedzialnego Rozwoju, przyjętej przez Radę Ministrów w dniu 14 lutego 2017 r. Jej ogólne ramy wyznacza obowiązująca już Konstytucja Biznesu – Prawo przedsiębiorców. Wynikające z obu tych dokumentów partnerskie podejście w relacjach między administracją podatkową a przedsiębiorcami wyraża się w filozofii 3xP, tj. prostym, przejrzystym i przyjaznym systemie podatkowym. Filozofia ta znajduje odzwierciedlenie we wprowadzanych regulacjach.</w:t>
      </w:r>
    </w:p>
    <w:p w:rsidR="00F25923" w:rsidRPr="00C93F78" w:rsidRDefault="00F25923" w:rsidP="00C93F78">
      <w:pPr>
        <w:tabs>
          <w:tab w:val="left" w:pos="5387"/>
        </w:tabs>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Innym celem projektu jest dostosowanie obowiązujących w Rzeczypospolitej Polskiej regulacji w zakresie cen transferowych do zmieniającego się otoczenia prawnego i gospodarczego.</w:t>
      </w:r>
    </w:p>
    <w:p w:rsidR="00F25923" w:rsidRPr="00C93F78" w:rsidRDefault="00F25923" w:rsidP="00C93F78">
      <w:pPr>
        <w:tabs>
          <w:tab w:val="left" w:pos="5387"/>
        </w:tabs>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W dniu 10 lipca 2017 r. Organizacja Współpracy Gospodarczej i Rozwoju (zwana dalej: „OECD”) opublikowała zaktualizowane „Wytyczne w sprawie cen transferowych dla przedsiębiorstw międzynarodowych i administracji podatkowych” (zwane dalej: „Wytyczne OECD”). Należy przy tym wskazać, że od poprzedniej aktualizacji upłynęło 7 lat. Dokonana aktualizacja miała na celu ujęcie w Wytycznych OECD w sposób kompleksowy dorobku OECD w zakresie zapobiegania erozji podstawy opodatkowania oraz przerzucaniu zysków (ang. BEPS) w obszarze transakcji pomiędzy podmiotami powiązanymi. Zaktualizowana wersja zawiera w szczególności:</w:t>
      </w:r>
    </w:p>
    <w:p w:rsidR="00F25923" w:rsidRPr="00C93F78" w:rsidRDefault="00F25923" w:rsidP="00C93F78">
      <w:pPr>
        <w:pStyle w:val="Akapitzlist"/>
        <w:numPr>
          <w:ilvl w:val="0"/>
          <w:numId w:val="66"/>
        </w:numPr>
        <w:tabs>
          <w:tab w:val="left" w:pos="5387"/>
        </w:tabs>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rezultaty prac w ramach Działań 8-10 projektu BEPS i będące ich wynikiem aktualizacje rozdziałów Wytycznych OECD dotyczących transakcji wewnątrzgrupowych i umów o podziale kosztów, a także stosowania zasady ceny rynkowej (</w:t>
      </w:r>
      <w:r w:rsidRPr="00C93F78">
        <w:rPr>
          <w:rFonts w:ascii="Times New Roman" w:hAnsi="Times New Roman" w:cs="Times New Roman"/>
          <w:i/>
          <w:sz w:val="24"/>
          <w:szCs w:val="24"/>
        </w:rPr>
        <w:t>OECD/G20 Base Erosion and Profit Shifting Project Aligning Transfer Pricing Outcomes with Value Creation ACTIONS 8-10: 2015 Final Reports</w:t>
      </w:r>
      <w:r w:rsidRPr="00C93F78">
        <w:rPr>
          <w:rFonts w:ascii="Times New Roman" w:hAnsi="Times New Roman" w:cs="Times New Roman"/>
          <w:sz w:val="24"/>
          <w:szCs w:val="24"/>
        </w:rPr>
        <w:t>);</w:t>
      </w:r>
    </w:p>
    <w:p w:rsidR="00F25923" w:rsidRPr="00C93F78" w:rsidRDefault="00F25923" w:rsidP="00C93F78">
      <w:pPr>
        <w:pStyle w:val="Akapitzlist"/>
        <w:numPr>
          <w:ilvl w:val="0"/>
          <w:numId w:val="66"/>
        </w:numPr>
        <w:tabs>
          <w:tab w:val="left" w:pos="5387"/>
        </w:tabs>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rezultaty prac w ramach Działania 13 projektu BEPS, który dotyczył obowiązku dokumentacyjnego w zakresie dokumentacji lokalnej (</w:t>
      </w:r>
      <w:r w:rsidRPr="00C93F78">
        <w:rPr>
          <w:rFonts w:ascii="Times New Roman" w:hAnsi="Times New Roman" w:cs="Times New Roman"/>
          <w:i/>
          <w:sz w:val="24"/>
          <w:szCs w:val="24"/>
        </w:rPr>
        <w:t>local file</w:t>
      </w:r>
      <w:r w:rsidRPr="00C93F78">
        <w:rPr>
          <w:rFonts w:ascii="Times New Roman" w:hAnsi="Times New Roman" w:cs="Times New Roman"/>
          <w:sz w:val="24"/>
          <w:szCs w:val="24"/>
        </w:rPr>
        <w:t>), dokumentacji o grupie podmiotów (</w:t>
      </w:r>
      <w:r w:rsidRPr="00C93F78">
        <w:rPr>
          <w:rFonts w:ascii="Times New Roman" w:hAnsi="Times New Roman" w:cs="Times New Roman"/>
          <w:i/>
          <w:sz w:val="24"/>
          <w:szCs w:val="24"/>
        </w:rPr>
        <w:t>master file</w:t>
      </w:r>
      <w:r w:rsidRPr="00C93F78">
        <w:rPr>
          <w:rFonts w:ascii="Times New Roman" w:hAnsi="Times New Roman" w:cs="Times New Roman"/>
          <w:sz w:val="24"/>
          <w:szCs w:val="24"/>
        </w:rPr>
        <w:t>), a także raportowania według krajów (CbC) (</w:t>
      </w:r>
      <w:r w:rsidRPr="00C93F78">
        <w:rPr>
          <w:rFonts w:ascii="Times New Roman" w:hAnsi="Times New Roman" w:cs="Times New Roman"/>
          <w:i/>
          <w:sz w:val="24"/>
          <w:szCs w:val="24"/>
        </w:rPr>
        <w:t>OECD/G20 Base Erosion and Profit Transfer Pricing Documentation and Country-by-Country Reporting Action 13: 2015 Final Reports</w:t>
      </w:r>
      <w:r w:rsidRPr="00C93F78">
        <w:rPr>
          <w:rFonts w:ascii="Times New Roman" w:hAnsi="Times New Roman" w:cs="Times New Roman"/>
          <w:sz w:val="24"/>
          <w:szCs w:val="24"/>
        </w:rPr>
        <w:t>);</w:t>
      </w:r>
    </w:p>
    <w:p w:rsidR="00F25923" w:rsidRPr="00C93F78" w:rsidRDefault="00F25923" w:rsidP="00C93F78">
      <w:pPr>
        <w:pStyle w:val="Akapitzlist"/>
        <w:numPr>
          <w:ilvl w:val="0"/>
          <w:numId w:val="66"/>
        </w:numPr>
        <w:tabs>
          <w:tab w:val="left" w:pos="5387"/>
        </w:tabs>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rezultaty prac w zakresie tworzenia zestawów zasad, których respektowanie skutkowałoby automatycznym akceptowaniem przez krajową administrację podatkową cen transferowych (</w:t>
      </w:r>
      <w:r w:rsidRPr="00C93F78">
        <w:rPr>
          <w:rFonts w:ascii="Times New Roman" w:hAnsi="Times New Roman" w:cs="Times New Roman"/>
          <w:i/>
          <w:sz w:val="24"/>
          <w:szCs w:val="24"/>
        </w:rPr>
        <w:t>safe harbours</w:t>
      </w:r>
      <w:r w:rsidRPr="00C93F78">
        <w:rPr>
          <w:rFonts w:ascii="Times New Roman" w:hAnsi="Times New Roman" w:cs="Times New Roman"/>
          <w:sz w:val="24"/>
          <w:szCs w:val="24"/>
        </w:rPr>
        <w:t>) (</w:t>
      </w:r>
      <w:r w:rsidRPr="00C93F78">
        <w:rPr>
          <w:rFonts w:ascii="Times New Roman" w:hAnsi="Times New Roman" w:cs="Times New Roman"/>
          <w:i/>
          <w:sz w:val="24"/>
          <w:szCs w:val="24"/>
        </w:rPr>
        <w:t>Revised Section E on Safe Harbours in chapter IV of the Transfer Pricing Guidelines 2013</w:t>
      </w:r>
      <w:r w:rsidRPr="00C93F78">
        <w:rPr>
          <w:rFonts w:ascii="Times New Roman" w:hAnsi="Times New Roman" w:cs="Times New Roman"/>
          <w:sz w:val="24"/>
          <w:szCs w:val="24"/>
        </w:rPr>
        <w:t>).</w:t>
      </w:r>
    </w:p>
    <w:p w:rsidR="00F25923" w:rsidRPr="00C93F78" w:rsidRDefault="00F25923" w:rsidP="00C93F78">
      <w:pPr>
        <w:tabs>
          <w:tab w:val="left" w:pos="5387"/>
        </w:tabs>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Rozszerzenie przedmiotu wytycznych skłania również polskie władze podatkowe do odniesienia się do nich, w szczególności poprzez ich bezpośrednie lub pośrednie uwzględnienie w systemie prawnym Rzeczypospolitej Polskiej. Należy podkreślić, że do tej pory, jedynie rezultaty prac w ramach Działania 13 zostały bezpośrednio wprowadzone do krajowego porządku prawnego. Obecna nowelizacja uzupełnia krajowy porządek prawny o kolejne elementy dorobku OECD w zakresie cen transferowych.</w:t>
      </w:r>
    </w:p>
    <w:p w:rsidR="00F25923" w:rsidRPr="00C93F78" w:rsidRDefault="00F25923" w:rsidP="00C93F78">
      <w:pPr>
        <w:tabs>
          <w:tab w:val="left" w:pos="5387"/>
        </w:tabs>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Przedstawiony projekt ustawy dotyczy nie tylko zmiany przepisów w zakresie dokumentacji cen transferowych, ale także m.in. zasady ceny rynkowej, definicji podmiotów powiązanych, korekty cen transferowych, itd. Zatem obejmuje ona swoim zakresem kompleksowe uregulowanie tematyki cen transferowych poprzez stworzenie odrębnego rozdziału w ustawie o CIT i ustawie o PIT. Przepisy w zakresie zasady ceny rynkowej nie były gruntownie nowelizowane i wymagają obecnie dostosowania oraz doprecyzowania, chociażby w kontekście prac OECD w zakresie projektu BEPS w zakresie zwalczania erozji podstawy opodatkowania i transferowania zysków (np. doprecyzowanie kwestii recharakteryzacji transakcji oraz </w:t>
      </w:r>
      <w:r w:rsidRPr="00C93F78">
        <w:rPr>
          <w:rFonts w:ascii="Times New Roman" w:hAnsi="Times New Roman" w:cs="Times New Roman"/>
          <w:i/>
          <w:sz w:val="24"/>
          <w:szCs w:val="24"/>
        </w:rPr>
        <w:t>non-recognition</w:t>
      </w:r>
      <w:r w:rsidRPr="00C93F78">
        <w:rPr>
          <w:rFonts w:ascii="Times New Roman" w:hAnsi="Times New Roman" w:cs="Times New Roman"/>
          <w:sz w:val="24"/>
          <w:szCs w:val="24"/>
        </w:rPr>
        <w:t xml:space="preserve">, wprowadzenie uproszczeń typu </w:t>
      </w:r>
      <w:r w:rsidRPr="00C93F78">
        <w:rPr>
          <w:rFonts w:ascii="Times New Roman" w:hAnsi="Times New Roman" w:cs="Times New Roman"/>
          <w:i/>
          <w:sz w:val="24"/>
          <w:szCs w:val="24"/>
        </w:rPr>
        <w:t>safe harbour</w:t>
      </w:r>
      <w:r w:rsidRPr="00C93F78">
        <w:rPr>
          <w:rFonts w:ascii="Times New Roman" w:hAnsi="Times New Roman" w:cs="Times New Roman"/>
          <w:sz w:val="24"/>
          <w:szCs w:val="24"/>
        </w:rPr>
        <w:t>), jak również z powodu zmieniającej się rzeczywistości gospodarczej (np. dostosowanie definicji podmiotów powiązanych).</w:t>
      </w:r>
    </w:p>
    <w:p w:rsidR="00F25923" w:rsidRPr="00C93F78" w:rsidRDefault="00F25923" w:rsidP="00C93F78">
      <w:pPr>
        <w:tabs>
          <w:tab w:val="left" w:pos="5387"/>
        </w:tabs>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Najważniejsze zmiany wprowadzane niniejszym projektem ustawy obejmują:</w:t>
      </w:r>
    </w:p>
    <w:p w:rsidR="00F25923" w:rsidRPr="00C93F78" w:rsidRDefault="00F25923" w:rsidP="00C93F78">
      <w:pPr>
        <w:pStyle w:val="Akapitzlist"/>
        <w:numPr>
          <w:ilvl w:val="0"/>
          <w:numId w:val="67"/>
        </w:numPr>
        <w:tabs>
          <w:tab w:val="left" w:pos="5387"/>
        </w:tabs>
        <w:spacing w:before="120" w:after="0" w:line="360" w:lineRule="auto"/>
        <w:ind w:left="714" w:hanging="357"/>
        <w:jc w:val="both"/>
        <w:rPr>
          <w:rFonts w:ascii="Times New Roman" w:hAnsi="Times New Roman" w:cs="Times New Roman"/>
          <w:sz w:val="24"/>
          <w:szCs w:val="24"/>
        </w:rPr>
      </w:pPr>
      <w:r w:rsidRPr="00C93F78">
        <w:rPr>
          <w:rFonts w:ascii="Times New Roman" w:hAnsi="Times New Roman" w:cs="Times New Roman"/>
          <w:b/>
          <w:sz w:val="24"/>
          <w:szCs w:val="24"/>
        </w:rPr>
        <w:t>[zmniejszenie obowiązków dokumentacyjnych]</w:t>
      </w:r>
      <w:r w:rsidRPr="00C93F78">
        <w:rPr>
          <w:rFonts w:ascii="Times New Roman" w:hAnsi="Times New Roman" w:cs="Times New Roman"/>
          <w:sz w:val="24"/>
          <w:szCs w:val="24"/>
        </w:rPr>
        <w:t xml:space="preserve"> Projekt przewiduje podniesienie progów dokumentacyjnych, po przekroczeniu których powstaje obowiązek sporządzenia dokumentacji cen transferowych. W efekcie, skutkuje to znaczącym zmniejszeniem obowiązków dla większości podatników, a w szczególności dla mikro, małych i średnich przedsiębiorców. Zmianie ulega też sam mechanizm określenia progów, który będzie dużo łatwiejszy w stosowaniu. </w:t>
      </w:r>
    </w:p>
    <w:p w:rsidR="00F25923" w:rsidRPr="00C93F78" w:rsidRDefault="00F25923" w:rsidP="00C93F78">
      <w:pPr>
        <w:pStyle w:val="Akapitzlist"/>
        <w:numPr>
          <w:ilvl w:val="0"/>
          <w:numId w:val="67"/>
        </w:numPr>
        <w:tabs>
          <w:tab w:val="left" w:pos="5387"/>
        </w:tabs>
        <w:spacing w:before="120" w:after="0" w:line="360" w:lineRule="auto"/>
        <w:ind w:left="714" w:hanging="357"/>
        <w:jc w:val="both"/>
        <w:rPr>
          <w:rFonts w:ascii="Times New Roman" w:hAnsi="Times New Roman" w:cs="Times New Roman"/>
          <w:sz w:val="24"/>
          <w:szCs w:val="24"/>
        </w:rPr>
      </w:pPr>
      <w:r w:rsidRPr="00C93F78">
        <w:rPr>
          <w:rFonts w:ascii="Times New Roman" w:hAnsi="Times New Roman" w:cs="Times New Roman"/>
          <w:b/>
          <w:sz w:val="24"/>
          <w:szCs w:val="24"/>
        </w:rPr>
        <w:t xml:space="preserve">[wydłużenie terminów] </w:t>
      </w:r>
      <w:r w:rsidRPr="00C93F78">
        <w:rPr>
          <w:rFonts w:ascii="Times New Roman" w:hAnsi="Times New Roman" w:cs="Times New Roman"/>
          <w:sz w:val="24"/>
          <w:szCs w:val="24"/>
        </w:rPr>
        <w:t>Wydłuża się terminy na złożenie oświadczenia o sporządzeniu lokalnej dokumentacji cen transferowych oraz złożenie informacji o cenach transferowych z 3 do 9 miesięcy po zakończeniu roku podatkowego. Z kolei termin na sporządzenie grupowej dokumentacji cen transferowych będzie jeszcze dłuższy i wyniesie 12 miesięcy po zakończeniu roku podatkowego.</w:t>
      </w:r>
    </w:p>
    <w:p w:rsidR="00F25923" w:rsidRPr="00C93F78" w:rsidRDefault="00F25923" w:rsidP="00C93F78">
      <w:pPr>
        <w:pStyle w:val="Akapitzlist"/>
        <w:numPr>
          <w:ilvl w:val="0"/>
          <w:numId w:val="67"/>
        </w:numPr>
        <w:tabs>
          <w:tab w:val="left" w:pos="5387"/>
        </w:tabs>
        <w:spacing w:before="120" w:after="0" w:line="360" w:lineRule="auto"/>
        <w:jc w:val="both"/>
        <w:rPr>
          <w:rFonts w:ascii="Times New Roman" w:hAnsi="Times New Roman" w:cs="Times New Roman"/>
          <w:sz w:val="24"/>
          <w:szCs w:val="24"/>
        </w:rPr>
      </w:pPr>
      <w:r w:rsidRPr="00C93F78">
        <w:rPr>
          <w:rFonts w:ascii="Times New Roman" w:hAnsi="Times New Roman" w:cs="Times New Roman"/>
          <w:b/>
          <w:sz w:val="24"/>
          <w:szCs w:val="24"/>
        </w:rPr>
        <w:t>[ułatwienia i zwolnienia dokumentacyjne]</w:t>
      </w:r>
      <w:r w:rsidRPr="00C93F78">
        <w:rPr>
          <w:rFonts w:ascii="Times New Roman" w:hAnsi="Times New Roman" w:cs="Times New Roman"/>
          <w:sz w:val="24"/>
          <w:szCs w:val="24"/>
        </w:rPr>
        <w:t xml:space="preserve"> Wprowadza się możliwość realizacji obowiązku posiadania grupowej dokumentacji cen transferowych poprzez wykorzystanie w tym celu bezpośrednio dokumentacji sporządzonej przez inny podmiot z grupy, w tym również w języku angielskim. W efekcie podatnicy, którzy otrzymują taką dokumentację z grupy nie będą zobowiązani do sporządzenia jej we własnym zakresie. Dodatkowo, wprowadza się cztery nowe zwolnienia dokumentacyjne, obejmujące (a) transakcje kontrolowane zawierane między podmiotami krajowymi (pod pewnymi warunkami), (b) transakcje kontrolowane, które w całości nie stanowią przychodu lub kosztów uzyskania przychodów, (c) transakcje kontrolowane, których cena została ustalona w trybie przetargu nieograniczonego na podstawie ustawy Prawo zamówień publicznych oraz (d) transakcje kontrolowane w zakresie przypisywania dochodu do zagranicznego zakładu położonego na terytorium Rzeczypospolitej Polskiej przez zagraniczne podmioty powiązane, jeżeli przepisy umów o unikaniu podwójnego opodatkowania przewidują, że dochody te mają być opodatkowane poza Rzeczpospolitą Polską.</w:t>
      </w:r>
    </w:p>
    <w:p w:rsidR="00F25923" w:rsidRPr="00C93F78" w:rsidRDefault="00F25923" w:rsidP="00C93F78">
      <w:pPr>
        <w:pStyle w:val="Akapitzlist"/>
        <w:numPr>
          <w:ilvl w:val="0"/>
          <w:numId w:val="67"/>
        </w:numPr>
        <w:tabs>
          <w:tab w:val="left" w:pos="5387"/>
        </w:tabs>
        <w:spacing w:before="120" w:after="0" w:line="360" w:lineRule="auto"/>
        <w:ind w:left="714" w:hanging="357"/>
        <w:jc w:val="both"/>
        <w:rPr>
          <w:rFonts w:ascii="Times New Roman" w:hAnsi="Times New Roman" w:cs="Times New Roman"/>
          <w:sz w:val="24"/>
          <w:szCs w:val="24"/>
        </w:rPr>
      </w:pPr>
      <w:r w:rsidRPr="00C93F78">
        <w:rPr>
          <w:rFonts w:ascii="Times New Roman" w:hAnsi="Times New Roman" w:cs="Times New Roman"/>
          <w:b/>
          <w:sz w:val="24"/>
          <w:szCs w:val="24"/>
        </w:rPr>
        <w:t xml:space="preserve">[ujednolicenie wymogów dokumentacyjnych ze standardami OECD] </w:t>
      </w:r>
      <w:r w:rsidRPr="00C93F78">
        <w:rPr>
          <w:rFonts w:ascii="Times New Roman" w:hAnsi="Times New Roman" w:cs="Times New Roman"/>
          <w:sz w:val="24"/>
          <w:szCs w:val="24"/>
        </w:rPr>
        <w:t>Zmianie ulegają elementy lokalnej i grupowej dokumentacji cen transferowych, tak aby odzwierciedlały one wymogi wynikające z wytycznych OECD.</w:t>
      </w:r>
      <w:r w:rsidR="00214B8A" w:rsidRPr="00C93F78">
        <w:rPr>
          <w:rFonts w:ascii="Times New Roman" w:hAnsi="Times New Roman" w:cs="Times New Roman"/>
          <w:sz w:val="24"/>
          <w:szCs w:val="24"/>
        </w:rPr>
        <w:t xml:space="preserve"> </w:t>
      </w:r>
    </w:p>
    <w:p w:rsidR="00F25923" w:rsidRPr="00C93F78" w:rsidRDefault="00F25923" w:rsidP="00C93F78">
      <w:pPr>
        <w:pStyle w:val="Akapitzlist"/>
        <w:numPr>
          <w:ilvl w:val="0"/>
          <w:numId w:val="67"/>
        </w:numPr>
        <w:tabs>
          <w:tab w:val="left" w:pos="5387"/>
        </w:tabs>
        <w:spacing w:before="120" w:after="0" w:line="360" w:lineRule="auto"/>
        <w:ind w:left="714" w:hanging="357"/>
        <w:jc w:val="both"/>
        <w:rPr>
          <w:rFonts w:ascii="Times New Roman" w:hAnsi="Times New Roman" w:cs="Times New Roman"/>
          <w:sz w:val="24"/>
          <w:szCs w:val="24"/>
        </w:rPr>
      </w:pPr>
      <w:r w:rsidRPr="00C93F78">
        <w:rPr>
          <w:rFonts w:ascii="Times New Roman" w:hAnsi="Times New Roman" w:cs="Times New Roman"/>
          <w:b/>
          <w:sz w:val="24"/>
          <w:szCs w:val="24"/>
        </w:rPr>
        <w:t>[wprowadzenie uproszczonych zasad rozliczeń]</w:t>
      </w:r>
      <w:r w:rsidRPr="00C93F78">
        <w:rPr>
          <w:rFonts w:ascii="Times New Roman" w:hAnsi="Times New Roman" w:cs="Times New Roman"/>
          <w:sz w:val="24"/>
          <w:szCs w:val="24"/>
        </w:rPr>
        <w:t xml:space="preserve"> Wprowadza się uproszczone rozwiązania (ang. </w:t>
      </w:r>
      <w:r w:rsidRPr="00C93F78">
        <w:rPr>
          <w:rFonts w:ascii="Times New Roman" w:hAnsi="Times New Roman" w:cs="Times New Roman"/>
          <w:i/>
          <w:sz w:val="24"/>
          <w:szCs w:val="24"/>
        </w:rPr>
        <w:t>safe harbours</w:t>
      </w:r>
      <w:r w:rsidRPr="00C93F78">
        <w:rPr>
          <w:rFonts w:ascii="Times New Roman" w:hAnsi="Times New Roman" w:cs="Times New Roman"/>
          <w:sz w:val="24"/>
          <w:szCs w:val="24"/>
        </w:rPr>
        <w:t>), których zastosowanie przez podatnika skutkuje uznaniem ceny lub elementu ceny za rynkową. Skorzystanie z takiego rozwiązania z jednej strony zapewnia podatnikom ochronę przed zakwestionowaniem ceny przez organ podatkowy, a z drugiej strony podatnik zostanie zwolniony w dużym stopniu z obowiązków dokumentacyjnych w tym zakresie. Takie rozwiązania są przewidziane dla dwóch rodzajów transakcji, tj. pożyczek oraz usług mających charakter usług o niskiej wartości dodanej.</w:t>
      </w:r>
    </w:p>
    <w:p w:rsidR="00F25923" w:rsidRPr="00C93F78" w:rsidRDefault="00F25923" w:rsidP="00C93F78">
      <w:pPr>
        <w:pStyle w:val="Akapitzlist"/>
        <w:numPr>
          <w:ilvl w:val="0"/>
          <w:numId w:val="67"/>
        </w:numPr>
        <w:tabs>
          <w:tab w:val="left" w:pos="5387"/>
        </w:tabs>
        <w:spacing w:before="120" w:after="0" w:line="360" w:lineRule="auto"/>
        <w:ind w:left="714" w:hanging="357"/>
        <w:jc w:val="both"/>
        <w:rPr>
          <w:rFonts w:ascii="Times New Roman" w:hAnsi="Times New Roman" w:cs="Times New Roman"/>
          <w:sz w:val="24"/>
          <w:szCs w:val="24"/>
        </w:rPr>
      </w:pPr>
      <w:r w:rsidRPr="00C93F78">
        <w:rPr>
          <w:rFonts w:ascii="Times New Roman" w:hAnsi="Times New Roman" w:cs="Times New Roman"/>
          <w:b/>
          <w:sz w:val="24"/>
          <w:szCs w:val="24"/>
        </w:rPr>
        <w:t>[kompleksowe uregulowanie zasady ceny rynkowej]</w:t>
      </w:r>
      <w:r w:rsidRPr="00C93F78">
        <w:rPr>
          <w:rFonts w:ascii="Times New Roman" w:hAnsi="Times New Roman" w:cs="Times New Roman"/>
          <w:sz w:val="24"/>
          <w:szCs w:val="24"/>
        </w:rPr>
        <w:t xml:space="preserve"> Wprowadzane rozwiązania umożliwiają zastosowanie, w uzasadnionych przypadkach, innych niż wymienione w ustawie metod, w tym technik wyceny, do określania przychodów lub kosztów uzyskania przychodów podatnika z transakcji kontrolowanych, co umożliwi organom podatkowym efektywniejszą weryfikację zgodności warunków pomiędzy podmiotami powiązanymi z warunkami rynkowymi.</w:t>
      </w:r>
      <w:r w:rsidRPr="00C93F78">
        <w:rPr>
          <w:rFonts w:ascii="Times New Roman" w:hAnsi="Times New Roman" w:cs="Times New Roman"/>
          <w:b/>
          <w:sz w:val="24"/>
          <w:szCs w:val="24"/>
        </w:rPr>
        <w:t xml:space="preserve"> </w:t>
      </w:r>
    </w:p>
    <w:p w:rsidR="00F25923" w:rsidRPr="00C93F78" w:rsidRDefault="00F25923" w:rsidP="00C93F78">
      <w:pPr>
        <w:pStyle w:val="Akapitzlist"/>
        <w:numPr>
          <w:ilvl w:val="0"/>
          <w:numId w:val="67"/>
        </w:numPr>
        <w:tabs>
          <w:tab w:val="left" w:pos="5387"/>
        </w:tabs>
        <w:spacing w:before="120" w:after="0" w:line="360" w:lineRule="auto"/>
        <w:ind w:left="714" w:hanging="357"/>
        <w:jc w:val="both"/>
        <w:rPr>
          <w:rFonts w:ascii="Times New Roman" w:hAnsi="Times New Roman" w:cs="Times New Roman"/>
          <w:sz w:val="24"/>
          <w:szCs w:val="24"/>
        </w:rPr>
      </w:pPr>
      <w:r w:rsidRPr="00C93F78">
        <w:rPr>
          <w:rFonts w:ascii="Times New Roman" w:hAnsi="Times New Roman" w:cs="Times New Roman"/>
          <w:b/>
          <w:sz w:val="24"/>
          <w:szCs w:val="24"/>
        </w:rPr>
        <w:t>[warunki stosowania korekty cen transferowych]</w:t>
      </w:r>
      <w:r w:rsidRPr="00C93F78">
        <w:rPr>
          <w:rFonts w:ascii="Times New Roman" w:hAnsi="Times New Roman" w:cs="Times New Roman"/>
          <w:sz w:val="24"/>
          <w:szCs w:val="24"/>
        </w:rPr>
        <w:t xml:space="preserve"> Wprowadza się jednoznaczną regułę, że korekta cen transferowych stanowi odpowiednio przychód lub koszt uzyskania przychodów i jest ujmowana w roku, którego dotyczy – o ile spełnione są warunki wskazane w przepisie.</w:t>
      </w:r>
    </w:p>
    <w:p w:rsidR="00F25923" w:rsidRPr="00C93F78" w:rsidRDefault="00F25923" w:rsidP="00C93F78">
      <w:pPr>
        <w:pStyle w:val="Akapitzlist"/>
        <w:numPr>
          <w:ilvl w:val="0"/>
          <w:numId w:val="67"/>
        </w:numPr>
        <w:tabs>
          <w:tab w:val="left" w:pos="5387"/>
        </w:tabs>
        <w:spacing w:before="120" w:after="0" w:line="360" w:lineRule="auto"/>
        <w:ind w:left="714" w:hanging="357"/>
        <w:jc w:val="both"/>
        <w:rPr>
          <w:rFonts w:ascii="Times New Roman" w:hAnsi="Times New Roman" w:cs="Times New Roman"/>
          <w:sz w:val="24"/>
          <w:szCs w:val="24"/>
        </w:rPr>
      </w:pPr>
      <w:r w:rsidRPr="00C93F78">
        <w:rPr>
          <w:rFonts w:ascii="Times New Roman" w:hAnsi="Times New Roman" w:cs="Times New Roman"/>
          <w:b/>
          <w:sz w:val="24"/>
          <w:szCs w:val="24"/>
        </w:rPr>
        <w:t>[doprecyzowanie niektórych instrumentów weryfikacji cen transferowych]</w:t>
      </w:r>
      <w:r w:rsidRPr="00C93F78">
        <w:rPr>
          <w:rFonts w:ascii="Times New Roman" w:hAnsi="Times New Roman" w:cs="Times New Roman"/>
          <w:sz w:val="24"/>
          <w:szCs w:val="24"/>
        </w:rPr>
        <w:t xml:space="preserve"> Dotychczasowe uprawnienie organu podatkowego do uwzględnienia całokształtu warunków, na jakich prowadzą działalność podmioty powiązane poprzez uznanie, że w określonych warunkach dana transakcja nie zostałaby zawarta (ang. </w:t>
      </w:r>
      <w:r w:rsidRPr="00C93F78">
        <w:rPr>
          <w:rFonts w:ascii="Times New Roman" w:hAnsi="Times New Roman" w:cs="Times New Roman"/>
          <w:i/>
          <w:sz w:val="24"/>
          <w:szCs w:val="24"/>
        </w:rPr>
        <w:t>non-recognition</w:t>
      </w:r>
      <w:r w:rsidRPr="00C93F78">
        <w:rPr>
          <w:rFonts w:ascii="Times New Roman" w:hAnsi="Times New Roman" w:cs="Times New Roman"/>
          <w:sz w:val="24"/>
          <w:szCs w:val="24"/>
        </w:rPr>
        <w:t>) lub zostałaby zawarta inna (ang.</w:t>
      </w:r>
      <w:r w:rsidRPr="00C93F78">
        <w:rPr>
          <w:rFonts w:ascii="Times New Roman" w:hAnsi="Times New Roman" w:cs="Times New Roman"/>
          <w:i/>
          <w:sz w:val="24"/>
          <w:szCs w:val="24"/>
        </w:rPr>
        <w:t xml:space="preserve"> recharacterization)</w:t>
      </w:r>
      <w:r w:rsidRPr="00C93F78">
        <w:rPr>
          <w:rFonts w:ascii="Times New Roman" w:hAnsi="Times New Roman" w:cs="Times New Roman"/>
          <w:sz w:val="24"/>
          <w:szCs w:val="24"/>
        </w:rPr>
        <w:t>, wywodzone z brzmienia obowiązującego art. 11 ust. 1 ustawy o CIT oraz art. 25 ust. 1 ustawy o PIT zostało we wprowadzanych regulacjach doprecyzowane. Doprecyzowanie funkcjonowania tych instrumentów stanowi wdrożenie wytycznych OECD w zakresie zapobiegania erozji podstawy opodatkowania oraz przerzucaniu zysków (ang. BEPS).</w:t>
      </w:r>
    </w:p>
    <w:p w:rsidR="00F25923" w:rsidRPr="00C93F78" w:rsidRDefault="00F25923" w:rsidP="00C93F78">
      <w:pPr>
        <w:pStyle w:val="Akapitzlist"/>
        <w:numPr>
          <w:ilvl w:val="0"/>
          <w:numId w:val="67"/>
        </w:numPr>
        <w:tabs>
          <w:tab w:val="left" w:pos="5387"/>
        </w:tabs>
        <w:spacing w:before="120" w:after="0" w:line="360" w:lineRule="auto"/>
        <w:ind w:left="714" w:hanging="357"/>
        <w:jc w:val="both"/>
        <w:rPr>
          <w:rFonts w:ascii="Times New Roman" w:hAnsi="Times New Roman" w:cs="Times New Roman"/>
          <w:sz w:val="24"/>
          <w:szCs w:val="24"/>
        </w:rPr>
      </w:pPr>
      <w:r w:rsidRPr="00C93F78">
        <w:rPr>
          <w:rFonts w:ascii="Times New Roman" w:hAnsi="Times New Roman" w:cs="Times New Roman"/>
          <w:b/>
          <w:sz w:val="24"/>
          <w:szCs w:val="24"/>
        </w:rPr>
        <w:t>[nowoczesne raportowanie cen transferowych]</w:t>
      </w:r>
      <w:r w:rsidRPr="00C93F78">
        <w:rPr>
          <w:rFonts w:ascii="Times New Roman" w:hAnsi="Times New Roman" w:cs="Times New Roman"/>
          <w:sz w:val="24"/>
          <w:szCs w:val="24"/>
        </w:rPr>
        <w:t xml:space="preserve"> Zastąpienie obowiązku składania przez podatników sprawozdań CIT/TP lub PIT/TP prostszym i bardziej przyjaznym dla podatników raportowaniem cen transferowych w formie elektronicznej (TP-R), który jednocześnie zapewni większą efektywność typowania podatników do kontroli.</w:t>
      </w:r>
    </w:p>
    <w:p w:rsidR="00F25923" w:rsidRPr="00C93F78" w:rsidRDefault="00F25923" w:rsidP="00C93F78">
      <w:pPr>
        <w:pStyle w:val="Akapitzlist"/>
        <w:numPr>
          <w:ilvl w:val="0"/>
          <w:numId w:val="67"/>
        </w:numPr>
        <w:tabs>
          <w:tab w:val="left" w:pos="5387"/>
        </w:tabs>
        <w:spacing w:before="120" w:after="0" w:line="360" w:lineRule="auto"/>
        <w:ind w:left="714" w:hanging="357"/>
        <w:jc w:val="both"/>
        <w:rPr>
          <w:rFonts w:ascii="Times New Roman" w:hAnsi="Times New Roman" w:cs="Times New Roman"/>
          <w:sz w:val="24"/>
          <w:szCs w:val="24"/>
        </w:rPr>
      </w:pPr>
      <w:r w:rsidRPr="00C93F78">
        <w:rPr>
          <w:rFonts w:ascii="Times New Roman" w:hAnsi="Times New Roman" w:cs="Times New Roman"/>
          <w:b/>
          <w:sz w:val="24"/>
          <w:szCs w:val="24"/>
        </w:rPr>
        <w:t>[ujednolicenie pojęć i definicji]</w:t>
      </w:r>
      <w:r w:rsidRPr="00C93F78">
        <w:rPr>
          <w:rFonts w:ascii="Times New Roman" w:hAnsi="Times New Roman" w:cs="Times New Roman"/>
          <w:sz w:val="24"/>
          <w:szCs w:val="24"/>
        </w:rPr>
        <w:t xml:space="preserve"> Wszystkie przepisy dotyczące cen transferowych zostaną umieszczone w jednym nowym rozdziale. Jednocześnie, wprowadza się ok. 10 kluczowych definicji legalnych w celu ograniczenia potencjalnych sporów interpretacyjnych, które w przeszłości dotyczyły np. pojęcia transakcji. </w:t>
      </w:r>
    </w:p>
    <w:p w:rsidR="00F25923" w:rsidRPr="00C93F78" w:rsidRDefault="00F25923" w:rsidP="00C93F78">
      <w:pPr>
        <w:tabs>
          <w:tab w:val="left" w:pos="5387"/>
        </w:tabs>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Skutkiem przyjęcia ustawy będzie też wydanie przez ministra właściwego do spraw finansów publicznych nowych przepisów wykonawczych, których stosowanie będzie z jednej strony bardziej przyjazne dla przedsiębiorców, z drugiej strony odpowiednio zabezpieczy interesy finansowe Skarbu Państwa.</w:t>
      </w:r>
    </w:p>
    <w:p w:rsidR="00935045" w:rsidRPr="00C93F78" w:rsidRDefault="00935045" w:rsidP="00C93F78">
      <w:pPr>
        <w:pStyle w:val="Nagwek1"/>
        <w:numPr>
          <w:ilvl w:val="0"/>
          <w:numId w:val="116"/>
        </w:numPr>
        <w:spacing w:line="360" w:lineRule="auto"/>
        <w:jc w:val="both"/>
        <w:rPr>
          <w:b w:val="0"/>
          <w:szCs w:val="24"/>
        </w:rPr>
      </w:pPr>
      <w:r w:rsidRPr="00C93F78">
        <w:rPr>
          <w:szCs w:val="24"/>
        </w:rPr>
        <w:t>Uszczelnienia systemu podatków dochodowych</w:t>
      </w:r>
      <w:r w:rsidRPr="00C93F78" w:rsidDel="00935045">
        <w:rPr>
          <w:szCs w:val="24"/>
        </w:rPr>
        <w:t xml:space="preserve"> </w:t>
      </w:r>
    </w:p>
    <w:p w:rsidR="00921F18" w:rsidRPr="00C93F78" w:rsidRDefault="00081096" w:rsidP="00C93F78">
      <w:pPr>
        <w:pStyle w:val="Nagwek1"/>
        <w:spacing w:after="240" w:line="360" w:lineRule="auto"/>
        <w:jc w:val="both"/>
        <w:rPr>
          <w:b w:val="0"/>
          <w:szCs w:val="24"/>
        </w:rPr>
      </w:pPr>
      <w:r w:rsidRPr="00C93F78">
        <w:rPr>
          <w:szCs w:val="24"/>
        </w:rPr>
        <w:t>I.</w:t>
      </w:r>
      <w:r w:rsidR="00840A3E" w:rsidRPr="00C93F78">
        <w:rPr>
          <w:szCs w:val="24"/>
        </w:rPr>
        <w:t xml:space="preserve"> </w:t>
      </w:r>
      <w:r w:rsidRPr="00C93F78">
        <w:rPr>
          <w:szCs w:val="24"/>
        </w:rPr>
        <w:t>W</w:t>
      </w:r>
      <w:r w:rsidR="00921F18" w:rsidRPr="00C93F78">
        <w:rPr>
          <w:szCs w:val="24"/>
        </w:rPr>
        <w:t xml:space="preserve">prowadzenie opodatkowania dochodów z niezrealizowanych zysków (tzw. </w:t>
      </w:r>
      <w:r w:rsidR="00921F18" w:rsidRPr="00C93F78">
        <w:rPr>
          <w:i/>
          <w:szCs w:val="24"/>
        </w:rPr>
        <w:t>exit tax</w:t>
      </w:r>
      <w:r w:rsidR="00921F18" w:rsidRPr="00C93F78">
        <w:rPr>
          <w:szCs w:val="24"/>
        </w:rPr>
        <w:t>)</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projektowanej nowelizacji ustawy o PIT oraz ustawy o CIT jest również dostosowanie polskich przepisów podatkowych do wprowadzonych w 2016 r. zmian w prawie Unii Europejskiej (dalej: UE) w zakresie opodatkowania niezrealizowanych zysków kapitałowych w przypadku przeniesienia składników majątku, rezydencji podatkowej lub stałego zakładu.</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Istotą przepisów o </w:t>
      </w:r>
      <w:r w:rsidRPr="00C93F78">
        <w:rPr>
          <w:rFonts w:ascii="Times New Roman" w:hAnsi="Times New Roman" w:cs="Times New Roman"/>
          <w:i/>
          <w:sz w:val="24"/>
          <w:szCs w:val="24"/>
        </w:rPr>
        <w:t>exit tax</w:t>
      </w:r>
      <w:r w:rsidRPr="00C93F78">
        <w:rPr>
          <w:rFonts w:ascii="Times New Roman" w:hAnsi="Times New Roman" w:cs="Times New Roman"/>
          <w:sz w:val="24"/>
          <w:szCs w:val="24"/>
        </w:rPr>
        <w:t xml:space="preserve"> jest opodatkowanie nierealizowanych jeszcze zysków kapitałowych, w związku z przeniesieniem przez podatnika , do innego państwa aktywów, w tym wchodzących w skład zagranicznego zakładu lub ze zmianą rezydencji podatkowej. Chodzi zatem o przypadki utraty przez dotychczasowe państwo siedziby podatnika bądź miejsca prowadzenia działalności (Polskę) prawa do opodatkowania dochodów, które zostały faktycznie wypracowane w okresie, w którym dany podatnik (składnik aktywów) podlegał jurysdykcji podatkowej tego państwa. Podatek z od niezrealizowanych zysków ze swej istoty nie dotyczy zatem każdego przeniesienia aktywów, a jedynie takiego, z którym wiąże się utrata przez dane państwo prawa do opodatkowania dochodu efektywnie wygenerowanego przed przeniesieniem.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Niniejszy projekt zawiera regulacje odpowiadające przepisom przewidzianym w Dyrektywie Rady (UE) 2016/1164 z dnia 12 lipca 2016 r. </w:t>
      </w:r>
      <w:r w:rsidRPr="00C93F78">
        <w:rPr>
          <w:rFonts w:ascii="Times New Roman" w:hAnsi="Times New Roman" w:cs="Times New Roman"/>
          <w:i/>
          <w:sz w:val="24"/>
          <w:szCs w:val="24"/>
        </w:rPr>
        <w:t>ustanawiającej przepisy mające na celu przeciwdziałanie praktykom unikania opodatkowania, które mają bezpośredni wpływ na funkcjonowanie rynku wewnętrznego</w:t>
      </w:r>
      <w:r w:rsidRPr="00C93F78">
        <w:rPr>
          <w:rFonts w:ascii="Times New Roman" w:hAnsi="Times New Roman" w:cs="Times New Roman"/>
          <w:sz w:val="24"/>
          <w:szCs w:val="24"/>
        </w:rPr>
        <w:t xml:space="preserve"> (Dz. U. UE L 193 z 19.7.2016 str. 1) – tzw. dyrektywy ATAD, w zakresie art. 5 regulującego opodatkowanie niezrealizowanych zysków kapitałowych w przypadku przeniesienia aktywów, rezydencji podatkowej lub stałego zakładu.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Dyrektywa ATAD została opublikowana w dniu 12 lipca 2016 r. i weszła w życie w dniu 8 sierpnia 2016 r. Ma ona na celu zwiększenie skuteczności krajowych systemów podatku dochodowego od osób prawnych w zakresie przeciwdziałania erozji baz podatkowych na rynku wewnętrznym i przenoszeniu zysków poza obszar rynku wewnętrznego. Cel ten ma zostać osiągnięty poprzez wdrożenie przez wszystkie państwa członkowskie UE do swoich przepisów krajowych, określonych rozwiązań (instytucji) prawnych przeciwdziałających tzw. optymalizacji podatkowej, w tym regulacji przewidującej opodatkowanie niezrealizowanych zysków kapitałowych w przypadku przeniesienia składników majątku, rezydencji podatkowej lub stałego zakładu (</w:t>
      </w:r>
      <w:r w:rsidRPr="00C93F78">
        <w:rPr>
          <w:rFonts w:ascii="Times New Roman" w:hAnsi="Times New Roman" w:cs="Times New Roman"/>
          <w:i/>
          <w:sz w:val="24"/>
          <w:szCs w:val="24"/>
        </w:rPr>
        <w:t>exit taxation</w:t>
      </w:r>
      <w:r w:rsidRPr="00C93F78">
        <w:rPr>
          <w:rFonts w:ascii="Times New Roman" w:hAnsi="Times New Roman" w:cs="Times New Roman"/>
          <w:sz w:val="24"/>
          <w:szCs w:val="24"/>
        </w:rPr>
        <w:t>).</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Termin transpozycji art. 5 dyrektywy ATAD upływa 31 grudnia 2019 r.</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Jak wskazano w motywie 10 preambuły do dyrektywy, podatki od niezrealizowanych zysków kapitałowych mają na celu zapewnienie, aby w przypadku przeniesienia przez podatnika aktywów lub rezydencji podatkowej poza jurysdykcję podatkową danego państwa, państwo to mogło opodatkować wartość ekonomiczną ewentualnych zysków kapitałowych osiągniętych na jego terytorium, chociaż zyski te nie zostały jeszcze zrealizowane w chwili dokonania zmiany jurysdykcji podatkowej.</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Dyrektywa ATAD znajduje zastosowanie do wszystkich podatników podlegających podatkowi od osób prawnych w państwie członkowskim (będących rezydentami do celów podatkowych w państwie członkowskim lub utworzonych na podstawie prawa państwa członkowskiego), jak również do położonych w co najmniej jednym państwie członkowskim stałych zakładów podmiotów będących rezydentami do celów podatkowych w państwie trzecim.</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Przepisy dyrektywy ATAD mają charakter regulacji </w:t>
      </w:r>
      <w:r w:rsidRPr="00C93F78">
        <w:rPr>
          <w:rFonts w:ascii="Times New Roman" w:hAnsi="Times New Roman" w:cs="Times New Roman"/>
          <w:i/>
          <w:sz w:val="24"/>
          <w:szCs w:val="24"/>
        </w:rPr>
        <w:t>de minimis.</w:t>
      </w:r>
      <w:r w:rsidRPr="00C93F78">
        <w:rPr>
          <w:rFonts w:ascii="Times New Roman" w:hAnsi="Times New Roman" w:cs="Times New Roman"/>
          <w:sz w:val="24"/>
          <w:szCs w:val="24"/>
        </w:rPr>
        <w:t xml:space="preserve"> Wyznaczają one zatem jedynie ogólny, minimalny poziom ochrony przed agresywnym planowaniem podatkowym na rynku wewnętrznym. Z uwagi na funkcjonowanie w ramach UE 28 odrębnych porządków prawnych i specyfikę regulowanej materii uznano, iż państwa członkowskich będą w stanie lepiej określić szczegółowe elementy tych przepisów w sposób optymalnie odpowiadający ich systemowi podatku od osób prawnych.</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Konsekwencją powyższego podejścia jest możliwość przyjęcia na gruncie krajowym surowszych warunków, czy też bardziej restrykcyjnych kryteriów przeciwdziałania praktykom unikania opodatkowania, niż przewidziano w jej treści. Charakter dyrektywy jako regulacji </w:t>
      </w:r>
      <w:r w:rsidRPr="00C93F78">
        <w:rPr>
          <w:rFonts w:ascii="Times New Roman" w:hAnsi="Times New Roman" w:cs="Times New Roman"/>
          <w:i/>
          <w:sz w:val="24"/>
          <w:szCs w:val="24"/>
        </w:rPr>
        <w:t>de minimis</w:t>
      </w:r>
      <w:r w:rsidRPr="00C93F78">
        <w:rPr>
          <w:rFonts w:ascii="Times New Roman" w:hAnsi="Times New Roman" w:cs="Times New Roman"/>
          <w:sz w:val="24"/>
          <w:szCs w:val="24"/>
        </w:rPr>
        <w:t xml:space="preserve"> zwiększa zakres swobody państw członkowskich w doborze sposobu wdrożenia poszczególnych instytucji prawnych nią przewidzianych.</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Niemniej, z uwagi na ryzyko niewłaściwej implementacji dyrektywy, należy podejść do tej możliwości z dużą ostrożnością. Zwłaszcza kształt regulacji dotyczącej </w:t>
      </w:r>
      <w:r w:rsidRPr="00C93F78">
        <w:rPr>
          <w:rFonts w:ascii="Times New Roman" w:hAnsi="Times New Roman" w:cs="Times New Roman"/>
          <w:i/>
          <w:sz w:val="24"/>
          <w:szCs w:val="24"/>
        </w:rPr>
        <w:t>exit tax</w:t>
      </w:r>
      <w:r w:rsidRPr="00C93F78">
        <w:rPr>
          <w:rFonts w:ascii="Times New Roman" w:hAnsi="Times New Roman" w:cs="Times New Roman"/>
          <w:sz w:val="24"/>
          <w:szCs w:val="24"/>
        </w:rPr>
        <w:t xml:space="preserve"> został w dyrektywie zdeterminowany potrzebą uwzględnienia wniosków płynących </w:t>
      </w:r>
      <w:r w:rsidRPr="00C93F78">
        <w:rPr>
          <w:rFonts w:ascii="Times New Roman" w:hAnsi="Times New Roman" w:cs="Times New Roman"/>
          <w:color w:val="FF0000"/>
          <w:sz w:val="24"/>
          <w:szCs w:val="24"/>
        </w:rPr>
        <w:t xml:space="preserve">z </w:t>
      </w:r>
      <w:r w:rsidRPr="00C93F78">
        <w:rPr>
          <w:rFonts w:ascii="Times New Roman" w:hAnsi="Times New Roman" w:cs="Times New Roman"/>
          <w:sz w:val="24"/>
          <w:szCs w:val="24"/>
        </w:rPr>
        <w:t>orzecznictwa Trybunału Sprawiedliwości Unii Europejskiej w tym obszarze. Dlatego wybierając podejście bardziej restrykcyjne, państwa członkowskie muszą brać pod uwagę ewentualne ryzyko stwierdzenia niezgodności takich przepisów z prawem UE. Z uwagi na powyższe, punktem wyjścia przy implementacji powinno być przyjęcie rozwiązania jak najbardziej zbieżnego z rozwiązaniem przewidzianym w dyrektywie.</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Należy podkreślić, iż opodatkowanie niezrealizowanych zysków w związku ze zmianą rezydencji podatkowej było rozwiązaniem znanym i stosowanym jeszcze przed wejściem w życie dyrektywy ATAD.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Tzw. podatek od wyjścia (</w:t>
      </w:r>
      <w:r w:rsidRPr="00C93F78">
        <w:rPr>
          <w:rFonts w:ascii="Times New Roman" w:hAnsi="Times New Roman" w:cs="Times New Roman"/>
          <w:i/>
          <w:sz w:val="24"/>
          <w:szCs w:val="24"/>
        </w:rPr>
        <w:t>exit tax</w:t>
      </w:r>
      <w:r w:rsidRPr="00C93F78">
        <w:rPr>
          <w:rFonts w:ascii="Times New Roman" w:hAnsi="Times New Roman" w:cs="Times New Roman"/>
          <w:sz w:val="24"/>
          <w:szCs w:val="24"/>
        </w:rPr>
        <w:t>) został wprowadzony w wielu krajach w celu ochrony ich suwerenności podatkowej w dobie postępującej globalizacji rynków międzynarodowych. Firmy i osoby prywatne dysponują szerokimi możliwościami zmiany rezydencji podatkowej w celu wyboru otoczenia regulacyjnego optymalnego dla swoich potrzeb ekonomicznych. Dla wielu państw utrata jurysdykcji podatkowej w odniesieniu do zysków osiągniętych na ich terytorium stanowi wyzwanie gospodarcze i budżetowe. Podatek od wyjścia stosowany jest m.in. w Niemczech, Holandii, Danii, Francji, Hiszpanii, Irlandii, Luksemburgu, Portugalii, Szwecji i we Włoszech.</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Ograniczony zakres harmonizacji w obszarze podatków bezpośrednich powoduje, iż państwa członkowskie UE mogą stosować różne rozwiązania krajowe dopasowane do własnych potrzeb, z uwzględnieniem jednak orzecznictwa Trybunału Sprawiedliwości Unii Europejskiej. Cechą charakterystyczną konstrukcji podatku od wyjścia jest element transgraniczności – podatek występuje w sytuacji przeniesienia siedziby lub miejsca zamieszkania do innego państwa. Podatek od wyjścia najczęściej obejmuje niezrealizowane zyski kapitałowe, ale przedmiotem opodatkowania mogą być też udzielone zwolnienia podatkowe, zawieszone płatności podatku, przenoszenie środków trwałych pomiędzy podatnikiem a jego zakładem w innym państwie oraz tzw. ciche rezerwy.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Zakres podmiotowy może być ukształtowany różnie – niektóre państwa członkowskie stosują podatek wyłącznie do osób fizycznych albo osób prawnych, a niektóre do obydwu tych kategorii. Poszczególne państwa do obu ww. kategorii podatników stosują odrębne warunki opodatkowana podatkiem od wyjścia, łagodniej traktując osoby fizyczne. W przypadku tej grupy podatników niektóre jurysdykcje stosują progi odnoszące się do wartości przenoszonego majątku bądź warunek odnoszący się do minimalnego okresu, w jakim podatnik musiał być rezydentem danego państwa przed zmianą rezydencji. Podatek taki w odniesieniu do osób fizycznych jest stosowany – w różnym zakresie i pod różnymi warunkami – m.in. we Francji, Danii, Portugalii, Hiszpanii, Belgii, Holandii.</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Stosowane są dwie formy opodatkowania podatkiem od wyjścia. Pierwsza przewiduje opodatkowanie niezrealizowanych zysków kapitałowych (tzw. </w:t>
      </w:r>
      <w:r w:rsidRPr="00C93F78">
        <w:rPr>
          <w:rFonts w:ascii="Times New Roman" w:hAnsi="Times New Roman" w:cs="Times New Roman"/>
          <w:i/>
          <w:sz w:val="24"/>
          <w:szCs w:val="24"/>
        </w:rPr>
        <w:t>immediate exit tax</w:t>
      </w:r>
      <w:r w:rsidRPr="00C93F78">
        <w:rPr>
          <w:rFonts w:ascii="Times New Roman" w:hAnsi="Times New Roman" w:cs="Times New Roman"/>
          <w:sz w:val="24"/>
          <w:szCs w:val="24"/>
        </w:rPr>
        <w:t xml:space="preserve">) z ewentualnym rozłożeniem płatności na raty. W drugiej następuje opodatkowanie zrealizowanych zysków byłego rezydenta (tzw. </w:t>
      </w:r>
      <w:r w:rsidRPr="00C93F78">
        <w:rPr>
          <w:rFonts w:ascii="Times New Roman" w:hAnsi="Times New Roman" w:cs="Times New Roman"/>
          <w:i/>
          <w:sz w:val="24"/>
          <w:szCs w:val="24"/>
        </w:rPr>
        <w:t>extended tax liability</w:t>
      </w:r>
      <w:r w:rsidRPr="00C93F78">
        <w:rPr>
          <w:rFonts w:ascii="Times New Roman" w:hAnsi="Times New Roman" w:cs="Times New Roman"/>
          <w:sz w:val="24"/>
          <w:szCs w:val="24"/>
        </w:rPr>
        <w:t>), czyli ma miejsce odroczenie podatku do czasu realizacji zysku.</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Stosowanie podatku od wyjścia wiąże się z ryzykiem wystąpienia podwójnego opodatkowania. W przypadku opodatkowania zrealizowanych zysków byłego rezydenta (tzw. extended tax liability), gdy ma miejsce odroczenie podatku do czasu realizacji zysku w konsekwencji zmiany rezydencji przez podatnika, pojawiają się dwie jurysdykcje zainteresowane opodatkowaniem tego samego zysku. Niektóre państwa zdecydowały się na uregulowanie kwestii odnoszącej się odroczonego podatku od zrealizowanych zysków do czasu realizacji zysku, w zawieranych umowach o unikaniu podwójnego opodatkowania. OECD w ramach inicjatywy dotyczącej przeciwdziałaniu erozji bazy podatkowej i przenoszeniu zysków</w:t>
      </w:r>
      <w:r w:rsidRPr="00C93F78">
        <w:rPr>
          <w:rStyle w:val="Odwoanieprzypisudolnego"/>
          <w:rFonts w:ascii="Times New Roman" w:hAnsi="Times New Roman" w:cs="Times New Roman"/>
          <w:sz w:val="24"/>
          <w:szCs w:val="24"/>
        </w:rPr>
        <w:footnoteReference w:id="3"/>
      </w:r>
      <w:r w:rsidRPr="00C93F78">
        <w:rPr>
          <w:rFonts w:ascii="Times New Roman" w:hAnsi="Times New Roman" w:cs="Times New Roman"/>
          <w:sz w:val="24"/>
          <w:szCs w:val="24"/>
        </w:rPr>
        <w:t xml:space="preserve"> w ramach Działania 6 obejmującego zapobieganie nadużyciom w wykorzystaniu udogodnień traktatowych stwierdza, iż umowy podatkowe nie powinny uniemożliwiać stosowania podatków od wyjścia w sytuacji zmiany rezydencji podatkowej, ale sugeruje wykorzystywanie procedury wzajemnego porozumiewania jako potencjalnego rozwiązania kwestii podwójnego opodatkowania, która może pojawić się w takich sytuacjach.</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Swoboda państw członkowskich w kreowaniu swoich systemów podatkowych ograniczona jest koniecznością respektowania fundamentalnych swobód traktatowych przewidzianych prawem unijnym. Przepisy w zakresie opodatkowania exit tax, jako rodzące konsekwencje podatkowe w momencie przeniesienia się podatnika do innego kraju, były przedmiotem analizy TS UE głównie w kontekście swobody przedsiębiorczości.</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Swoboda przedsiębiorczości umożliwia obywatelom państw członkowskich zakładanie i zarządzanie przedsiębiorstwami, jak również podejmowanie i wykonywanie działalności prowadzonej na własny rachunek, na terytorium innego państwa członkowskiego na warunkach określonych przez to państwo dla własnych obywateli.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Orzecznictwo TS UE uzasadnia dopuszczalność opodatkowania niezrealizowanych zysków w związku ze zmianą rezydencji podatkowej, względami dotyczącymi zapewnienia zrównoważonego rozdziału kompetencji podatkowych między państwami członkowskimi, zgodnie z zasadą terytorialności podatkowej obejmującą czynnik czasowy, tj. rezydencję podatkową podatnika na terytorium kraju w ciągu okresu, w którym pojawiły się zyski (wyrok ws. </w:t>
      </w:r>
      <w:r w:rsidRPr="00C93F78">
        <w:rPr>
          <w:rFonts w:ascii="Times New Roman" w:hAnsi="Times New Roman" w:cs="Times New Roman"/>
          <w:i/>
          <w:sz w:val="24"/>
          <w:szCs w:val="24"/>
        </w:rPr>
        <w:t>National Grid Indus BV</w:t>
      </w:r>
      <w:r w:rsidRPr="00C93F78">
        <w:rPr>
          <w:rFonts w:ascii="Times New Roman" w:hAnsi="Times New Roman" w:cs="Times New Roman"/>
          <w:sz w:val="24"/>
          <w:szCs w:val="24"/>
        </w:rPr>
        <w:t xml:space="preserve">, C-371/10).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Jednocześnie Trybunał stwierdził, iż swobodę przedsiębiorczości naruszają przepisy przewidujące natychmiastowy pobór podatku od niezrealizowanych zysków związanych ze składnikami majątkowymi spółki przenoszącej siedzibę faktycznego zarządu do innego państwa członkowskiego, już w chwili tego przeniesienia – jako rozwiązanie nieproporcjonalne. W ocenie Trybunału państwa członkowskie powinny określić alternatywne dla podatnika warianty opodatkowania obejmujące płatność natychmiastowa, odroczenie płatności lub rozłożenie jej na raty. W sytuacji odroczenia płatności podatku państwa członkowskie mogą określić odsetki lub wymagać gwarancji bankowych, co powinno jednak następować z uwzględnieniem okoliczności sprawy obejmujących rzeczywiste ryzyko niepobrania podatku (wyrok w sprawie </w:t>
      </w:r>
      <w:r w:rsidRPr="00C93F78">
        <w:rPr>
          <w:rFonts w:ascii="Times New Roman" w:hAnsi="Times New Roman" w:cs="Times New Roman"/>
          <w:i/>
          <w:sz w:val="24"/>
          <w:szCs w:val="24"/>
        </w:rPr>
        <w:t>DMC MBH</w:t>
      </w:r>
      <w:r w:rsidRPr="00C93F78">
        <w:rPr>
          <w:rFonts w:ascii="Times New Roman" w:hAnsi="Times New Roman" w:cs="Times New Roman"/>
          <w:sz w:val="24"/>
          <w:szCs w:val="24"/>
        </w:rPr>
        <w:t>, C-164/12).</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Podobnie z orzeczeń wydanych w zakresie opodatkowania niezrealizowanych zysków osób fizycznych (wyroki ws. </w:t>
      </w:r>
      <w:r w:rsidRPr="00C93F78">
        <w:rPr>
          <w:rFonts w:ascii="Times New Roman" w:hAnsi="Times New Roman" w:cs="Times New Roman"/>
          <w:i/>
          <w:sz w:val="24"/>
          <w:szCs w:val="24"/>
        </w:rPr>
        <w:t>Lasteyrie du Saillant</w:t>
      </w:r>
      <w:r w:rsidRPr="00C93F78">
        <w:rPr>
          <w:rFonts w:ascii="Times New Roman" w:hAnsi="Times New Roman" w:cs="Times New Roman"/>
          <w:sz w:val="24"/>
          <w:szCs w:val="24"/>
        </w:rPr>
        <w:t xml:space="preserve">, C-9/02 i ws. </w:t>
      </w:r>
      <w:r w:rsidRPr="00C93F78">
        <w:rPr>
          <w:rFonts w:ascii="Times New Roman" w:hAnsi="Times New Roman" w:cs="Times New Roman"/>
          <w:i/>
          <w:sz w:val="24"/>
          <w:szCs w:val="24"/>
        </w:rPr>
        <w:t>N</w:t>
      </w:r>
      <w:r w:rsidRPr="00C93F78">
        <w:rPr>
          <w:rFonts w:ascii="Times New Roman" w:hAnsi="Times New Roman" w:cs="Times New Roman"/>
          <w:sz w:val="24"/>
          <w:szCs w:val="24"/>
        </w:rPr>
        <w:t>, C-470/04) można wywnioskować, iż zasadniczo stanowi ono ograniczenie swobody przedsiębiorczości, które może być jednak uzasadnione względami związanymi z zachowaniem integralności bazy podatkowej. Przyjęte rozwiązania muszą być jednak proporcjonalne.</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związku z orzecznictwem TS UE państwa członkowskie zmodyfikowały swoje przepisy przewidujące opodatkowanie niezrealizowanych zysków kapitałowych w związku ze zmianą rezydencji podatkowej, wprowadzając opcje rozłożenia płatności na raty lub odroczenia jej do momentu realizacji zysków. Np. w Holandii w przypadku emigracji, przeniesienia siedziby czy fuzji transgranicznej, które powodują naliczenie podatku od wyjścia, podatnik podatku dochodowego od osób prawnych ma do wyboru dobrowolną natychmiastową zapłatę podatku od wyjścia, płatność w momencie realizacji zysku kapitałowego lub zapłatę w dziesięciu ratach rocznych, niezależnie od momentu realizacji zysku.</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Obecnie państwa członkowskie będą obowiązane do dostosowania swoich regulacji w zakresie opodatkowania </w:t>
      </w:r>
      <w:r w:rsidRPr="00C93F78">
        <w:rPr>
          <w:rFonts w:ascii="Times New Roman" w:hAnsi="Times New Roman" w:cs="Times New Roman"/>
          <w:i/>
          <w:sz w:val="24"/>
          <w:szCs w:val="24"/>
        </w:rPr>
        <w:t>exit tax</w:t>
      </w:r>
      <w:r w:rsidRPr="00C93F78">
        <w:rPr>
          <w:rFonts w:ascii="Times New Roman" w:hAnsi="Times New Roman" w:cs="Times New Roman"/>
          <w:sz w:val="24"/>
          <w:szCs w:val="24"/>
        </w:rPr>
        <w:t>, stosowanej w odniesieniu do osób prawnych, do zakresu przewidzianego dyrektywą ATAD.</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Systematyka przepisów prawa dotyczących zasad opodatkowania podatkiem dochodowym, wynikająca z konstytucyjnej równości podmiotów w prawie nakazuje stosowanie analogicznych rozwiązań dotyczących osób prawnych oraz fizycznych, z uwzględnieniem jednak specyfiki wynikającej z odrębności podmiotowej osób fizycznych i osób prawnych oraz faktu, że w zakresie osób fizycznych państwo może wprowadzić inne regulacje, niż przewiduje Dyrektywa ATAD.</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Uwzględniając powyższe, również w ustawie o podatku dochodowym od osób fizycznych wprowadzono zmiany, które umożliwią także opodatkowanie niezrealizowanych zysków kapitałowych osiąganych przez osoby fizyczne zarówno prowadzące działalność gospodarczą, jak i nie prowadzące działalności gospodarczej, w przypadku przeniesienia poza terytorium Rzeczypospolitej Polskiej składników majątku lub zmiany rezydencji podatkowej. Jednakże w przypadku osób fizycznych przewiduje się wprowadzenie progu kwotowego w wysokości </w:t>
      </w:r>
      <w:r w:rsidR="00A8357E" w:rsidRPr="00C93F78">
        <w:rPr>
          <w:rFonts w:ascii="Times New Roman" w:hAnsi="Times New Roman" w:cs="Times New Roman"/>
          <w:sz w:val="24"/>
          <w:szCs w:val="24"/>
        </w:rPr>
        <w:t>4</w:t>
      </w:r>
      <w:r w:rsidRPr="00C93F78">
        <w:rPr>
          <w:rFonts w:ascii="Times New Roman" w:hAnsi="Times New Roman" w:cs="Times New Roman"/>
          <w:sz w:val="24"/>
          <w:szCs w:val="24"/>
        </w:rPr>
        <w:t xml:space="preserve"> mln zł dla wartości aktywów objętych podatkiem od niezrealizowanych zysków. Próg ten będzie miał zastosowanie do wszystkich osób fizycznych (zarówno nieprowadzących działalności gospodarczej, jak i prowadzących taką działalność). Należy zaznaczyć, iż wprowadzenie takiego progu dla osób prawnych nie jest dopuszczalne dyrektywą ATAD. Ponadto w przypadku tzw. majątku osobistego opodatkowanie </w:t>
      </w:r>
      <w:r w:rsidRPr="00C93F78">
        <w:rPr>
          <w:rFonts w:ascii="Times New Roman" w:hAnsi="Times New Roman" w:cs="Times New Roman"/>
          <w:i/>
          <w:sz w:val="24"/>
          <w:szCs w:val="24"/>
        </w:rPr>
        <w:t>exit tax</w:t>
      </w:r>
      <w:r w:rsidRPr="00C93F78">
        <w:rPr>
          <w:rFonts w:ascii="Times New Roman" w:hAnsi="Times New Roman" w:cs="Times New Roman"/>
          <w:sz w:val="24"/>
          <w:szCs w:val="24"/>
        </w:rPr>
        <w:t xml:space="preserve"> zakłada się dodatkowe ograniczone działania omawianej regulacji do określnych kategorii składników majątku tj. wyłącznie do ogółu praw i obowiązków w spółce niebędącej osobą prawną, udziałów w spółce, akcji i innych papierów wartościowych, pochodnych instrumentów finansowych oraz tytułów uczestnictwa w funduszach kapitałowych</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Konkretyzacja zdarzeń z którymi wiązać się będzie konieczność wykazania niezrealizowanych zysków jest zawarta w Dyrektywie i znajduje swoje odzwierciedlenie w przygotowywanym projekcie. Zdarzeniami tymi są: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 1) przeniesienie przez polskiego rezydenta do swojego zagranicznego zakładu składnika majątku dotychczas związany z działalnością prowadzoną na terytorium Rzeczypospolitej Polskiej;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2) przeniesienie przez nierezydenta do państwa swojej rezydencji podatkowej lub do innego niż Rzeczpospolita Polska państwa w którym prowadzi działalność poprzez zagraniczny zakład, składnika majątku dotychczas związanego z działalnością prowadzoną na terytorium Rzeczypospolitej Polskiej przez zagraniczny zakład;</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3) przeniesienie przez nierezydenta do innego państwa całości lub części działalności prowadzonej dotychczas poprzez położony na terytorium Rzeczypospolitej Polskiej zagraniczny zakład.</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4) zmiana rezydencji podatkowej przez polskiego rezydenta w wyniku której Rzeczpospolita Polska traci prawo do opodatkowania dochodów ze zbycia składnika majątku będącego własnością tego podatnika, w związku z przeniesieniem jego miejsca zamieszkania, siedziby lub zarządu do innego państwa.</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 powyższego wynika, iż opodatkowanie dochodów z niezrealizowanych zysków zasadniczo dotyczyć ma przypadków transgranicznego przeniesienia składników majątku „w ramach tego samego podatnika”.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Zgodnie z projektem dla podatników podatku PIT obowiązywać mają 2 stawki - 3% podstawy opodatkowania (gdy nie ustala się wartości podatkowej składnika majątku) i stawka 19% w pozostałych sytuacjach. W przypadku podatników CIT stawka podatku wynosić ma 19% podstawy opodatkowania. </w:t>
      </w:r>
    </w:p>
    <w:p w:rsidR="00996063" w:rsidRPr="00C93F78" w:rsidRDefault="00996063"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Podstawę opodatkowania podatkiem od dochodów z niezrealizowanych zysków stanowić ma suma dochodów z niezrealizowanych zysków ustalonych dla poszczególnych składników majątku. Z kolei dochód z niezrealizowanych zysków stanowić ma nadwyżka wartości rynkowej przenoszonego składnika majątku, w tym wynikającego ze zmiany rezydencji podatkowej, ustalanej na dzień jego przeniesienia ponad jego wartość podatkową.</w:t>
      </w:r>
    </w:p>
    <w:p w:rsidR="00996063" w:rsidRPr="00C93F78" w:rsidRDefault="00996063" w:rsidP="00C93F78">
      <w:pPr>
        <w:spacing w:after="240" w:line="360" w:lineRule="auto"/>
        <w:jc w:val="both"/>
        <w:rPr>
          <w:rFonts w:ascii="Times New Roman" w:hAnsi="Times New Roman" w:cs="Times New Roman"/>
          <w:sz w:val="24"/>
          <w:szCs w:val="24"/>
        </w:rPr>
      </w:pPr>
      <w:r w:rsidRPr="00C93F78">
        <w:rPr>
          <w:rFonts w:ascii="Times New Roman" w:hAnsi="Times New Roman" w:cs="Times New Roman"/>
          <w:sz w:val="24"/>
          <w:szCs w:val="24"/>
        </w:rPr>
        <w:t>Przewiduje się, że omawiane przepisy wejdą w życie z dniem 1 stycznia 2019 r.</w:t>
      </w:r>
    </w:p>
    <w:p w:rsidR="00D05D84" w:rsidRPr="00C93F78" w:rsidRDefault="00D05D84" w:rsidP="00C93F78">
      <w:pPr>
        <w:pStyle w:val="Nagwek1"/>
        <w:spacing w:line="360" w:lineRule="auto"/>
        <w:jc w:val="both"/>
        <w:rPr>
          <w:szCs w:val="24"/>
        </w:rPr>
      </w:pPr>
      <w:r w:rsidRPr="00C93F78">
        <w:rPr>
          <w:szCs w:val="24"/>
        </w:rPr>
        <w:t>II. Zmiany w zakresie klauzuli ogólnej w związku z ATAD</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Projekt ustawy </w:t>
      </w:r>
      <w:r w:rsidR="00027CB2" w:rsidRPr="00C93F78">
        <w:rPr>
          <w:rFonts w:ascii="Times New Roman" w:eastAsia="Calibri" w:hAnsi="Times New Roman" w:cs="Times New Roman"/>
          <w:sz w:val="24"/>
          <w:szCs w:val="24"/>
        </w:rPr>
        <w:t xml:space="preserve">w tej części </w:t>
      </w:r>
      <w:r w:rsidRPr="00C93F78">
        <w:rPr>
          <w:rFonts w:ascii="Times New Roman" w:eastAsia="Calibri" w:hAnsi="Times New Roman" w:cs="Times New Roman"/>
          <w:sz w:val="24"/>
          <w:szCs w:val="24"/>
        </w:rPr>
        <w:t xml:space="preserve">wprowadza zmiany w ustawie z dnia 29 sierpnia 1997 r. – </w:t>
      </w:r>
      <w:r w:rsidRPr="00C93F78">
        <w:rPr>
          <w:rFonts w:ascii="Times New Roman" w:eastAsia="Calibri" w:hAnsi="Times New Roman" w:cs="Times New Roman"/>
          <w:i/>
          <w:sz w:val="24"/>
          <w:szCs w:val="24"/>
        </w:rPr>
        <w:t>Ordynacja podatkowa</w:t>
      </w:r>
      <w:r w:rsidRPr="00C93F78">
        <w:rPr>
          <w:rFonts w:ascii="Times New Roman" w:eastAsia="Calibri" w:hAnsi="Times New Roman" w:cs="Times New Roman"/>
          <w:sz w:val="24"/>
          <w:szCs w:val="24"/>
        </w:rPr>
        <w:t xml:space="preserve"> (Dz. U. z 2018 r. poz. 800, z późn. zm., dalej: Ordynacja podatkowa lub Op), ustawie z dnia 17 czerwca 1966 r. </w:t>
      </w:r>
      <w:r w:rsidRPr="00C93F78">
        <w:rPr>
          <w:rFonts w:ascii="Times New Roman" w:eastAsia="Calibri" w:hAnsi="Times New Roman" w:cs="Times New Roman"/>
          <w:i/>
          <w:sz w:val="24"/>
          <w:szCs w:val="24"/>
        </w:rPr>
        <w:t>o postępowaniu egzekucyjnym w administracji</w:t>
      </w:r>
      <w:r w:rsidRPr="00C93F78">
        <w:rPr>
          <w:rFonts w:ascii="Times New Roman" w:eastAsia="Calibri" w:hAnsi="Times New Roman" w:cs="Times New Roman"/>
          <w:sz w:val="24"/>
          <w:szCs w:val="24"/>
        </w:rPr>
        <w:t xml:space="preserve"> (Dz. U. z 2017 r. poz. 1201, 1475, 1954 i 2491), ustawie z dnia 13 listopada 2003 r. </w:t>
      </w:r>
      <w:r w:rsidRPr="00C93F78">
        <w:rPr>
          <w:rFonts w:ascii="Times New Roman" w:eastAsia="Calibri" w:hAnsi="Times New Roman" w:cs="Times New Roman"/>
          <w:i/>
          <w:sz w:val="24"/>
          <w:szCs w:val="24"/>
        </w:rPr>
        <w:t>o dochodach jednostek samorządu terytorialnego</w:t>
      </w:r>
      <w:r w:rsidRPr="00C93F78">
        <w:rPr>
          <w:rFonts w:ascii="Times New Roman" w:eastAsia="Calibri" w:hAnsi="Times New Roman" w:cs="Times New Roman"/>
          <w:sz w:val="24"/>
          <w:szCs w:val="24"/>
        </w:rPr>
        <w:t xml:space="preserve"> (Dz. U. z 2017 r., poz. 1453) oraz ustawie </w:t>
      </w:r>
      <w:r w:rsidR="00231A34" w:rsidRPr="00C93F78">
        <w:rPr>
          <w:rFonts w:ascii="Times New Roman" w:eastAsia="Calibri" w:hAnsi="Times New Roman" w:cs="Times New Roman"/>
          <w:sz w:val="24"/>
          <w:szCs w:val="24"/>
        </w:rPr>
        <w:t>o KAS.</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Główne zmiany objęte projektem w tym zakresie dotyczą:</w:t>
      </w:r>
    </w:p>
    <w:p w:rsidR="00D05D84" w:rsidRPr="00C93F78" w:rsidRDefault="00D05D84" w:rsidP="00C93F78">
      <w:pPr>
        <w:pStyle w:val="Akapitzlist"/>
        <w:numPr>
          <w:ilvl w:val="0"/>
          <w:numId w:val="60"/>
        </w:num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częściowej implementacji dyrektywy Rady 2016/1164 z dnia 12 lipca 2016 r </w:t>
      </w:r>
      <w:r w:rsidRPr="00C93F78">
        <w:rPr>
          <w:rFonts w:ascii="Times New Roman" w:eastAsia="Calibri" w:hAnsi="Times New Roman" w:cs="Times New Roman"/>
          <w:i/>
          <w:sz w:val="24"/>
          <w:szCs w:val="24"/>
        </w:rPr>
        <w:t>ustanawiającej przepisy mające na celu przeciwdziałanie praktykom unikania opodatkowania, które mają bezpośredni wpływ na funkcjonowanie rynku wewnętrznego</w:t>
      </w:r>
      <w:r w:rsidRPr="00C93F78">
        <w:rPr>
          <w:rFonts w:ascii="Times New Roman" w:eastAsia="Calibri" w:hAnsi="Times New Roman" w:cs="Times New Roman"/>
          <w:sz w:val="24"/>
          <w:szCs w:val="24"/>
        </w:rPr>
        <w:t xml:space="preserve"> (ATAD)</w:t>
      </w:r>
    </w:p>
    <w:p w:rsidR="00D05D84" w:rsidRPr="00C93F78" w:rsidRDefault="00D05D84" w:rsidP="00C93F78">
      <w:pPr>
        <w:numPr>
          <w:ilvl w:val="0"/>
          <w:numId w:val="60"/>
        </w:numPr>
        <w:spacing w:after="0" w:line="360" w:lineRule="auto"/>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wprowadzenia rozwiązań, które mogą wpłynąć na zwiększenie efektu prewencyjnego przepisów przeciwko unikaniu opodatkowania oraz doprecyzowujących niektóre ich elementy,</w:t>
      </w:r>
    </w:p>
    <w:p w:rsidR="00D05D84" w:rsidRPr="00C93F78" w:rsidRDefault="00D05D84" w:rsidP="00C93F78">
      <w:pPr>
        <w:numPr>
          <w:ilvl w:val="0"/>
          <w:numId w:val="60"/>
        </w:numPr>
        <w:spacing w:after="0" w:line="360" w:lineRule="auto"/>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wprowadzenia zmian wpływających na poprawę ekonomiki postępowań przeciwko unikaniu opodatkowania,</w:t>
      </w:r>
    </w:p>
    <w:p w:rsidR="00D05D84" w:rsidRPr="00C93F78" w:rsidRDefault="00D05D84" w:rsidP="00C93F78">
      <w:pPr>
        <w:numPr>
          <w:ilvl w:val="0"/>
          <w:numId w:val="60"/>
        </w:numPr>
        <w:spacing w:after="0" w:line="360" w:lineRule="auto"/>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doprecyzowania roli Szefa Krajowej Administracji Skarbowej (dalej: „Szef KAS”), jako organu podatkowego, w zakresie wykonywania zadań dotyczących przeciwdziałania unikaniu opodatkowania,</w:t>
      </w:r>
    </w:p>
    <w:p w:rsidR="00D05D84" w:rsidRPr="00C93F78" w:rsidRDefault="00D05D84" w:rsidP="00C93F78">
      <w:pPr>
        <w:numPr>
          <w:ilvl w:val="0"/>
          <w:numId w:val="60"/>
        </w:numPr>
        <w:spacing w:after="0" w:line="360" w:lineRule="auto"/>
        <w:contextualSpacing/>
        <w:jc w:val="both"/>
        <w:rPr>
          <w:rFonts w:ascii="Times New Roman" w:eastAsia="Calibri" w:hAnsi="Times New Roman" w:cs="Times New Roman"/>
          <w:sz w:val="24"/>
          <w:szCs w:val="24"/>
        </w:rPr>
      </w:pPr>
      <w:r w:rsidRPr="00C93F78">
        <w:rPr>
          <w:rFonts w:ascii="Times New Roman" w:hAnsi="Times New Roman" w:cs="Times New Roman"/>
          <w:color w:val="000000"/>
          <w:sz w:val="24"/>
          <w:szCs w:val="24"/>
        </w:rPr>
        <w:t xml:space="preserve">dodania do słowniczka pojęć nowej definicji dot. środków ograniczających umowne korzyści. Środki ograniczające umowne korzyści </w:t>
      </w:r>
      <w:r w:rsidR="00506211" w:rsidRPr="00C93F78">
        <w:rPr>
          <w:rFonts w:ascii="Times New Roman" w:hAnsi="Times New Roman" w:cs="Times New Roman"/>
          <w:color w:val="000000"/>
          <w:sz w:val="24"/>
          <w:szCs w:val="24"/>
        </w:rPr>
        <w:t>postanowienia ratyfikowanych przez Rzeczpospolitą Polską umów o unikaniu podwójnego opodatkowania oraz ratyfikowanych przez Rzeczpospolitą Polską innych umów międzynarodowych dotyczących problematyki podatkowej lub inne środki ograniczające lub odmawiające korzyści wynikających wynikające z tych umów</w:t>
      </w:r>
      <w:r w:rsidR="00097771" w:rsidRPr="00C93F78">
        <w:rPr>
          <w:rFonts w:ascii="Times New Roman" w:hAnsi="Times New Roman" w:cs="Times New Roman"/>
          <w:color w:val="000000"/>
          <w:sz w:val="24"/>
          <w:szCs w:val="24"/>
        </w:rPr>
        <w:t>”;</w:t>
      </w:r>
      <w:r w:rsidRPr="00C93F78">
        <w:rPr>
          <w:rFonts w:ascii="Times New Roman" w:hAnsi="Times New Roman"/>
          <w:color w:val="000000"/>
          <w:sz w:val="24"/>
          <w:szCs w:val="24"/>
        </w:rPr>
        <w:t>.</w:t>
      </w:r>
    </w:p>
    <w:p w:rsidR="00D05D84" w:rsidRPr="00C93F78" w:rsidRDefault="00D05D84"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Zmiany objęte projektem zmierzają do pełniejszej realizacji wywodzonych z art. 84 Konstytucji RP – zasad sprawiedliwości podatkowej i powszechności opodatkowania oraz mają na celu dalsze ograniczania zjawiska agresywnej optymalizacji podatkowej. Stanowią one także element </w:t>
      </w:r>
      <w:r w:rsidRPr="00C93F78">
        <w:rPr>
          <w:rFonts w:ascii="Times New Roman" w:hAnsi="Times New Roman" w:cs="Times New Roman"/>
          <w:sz w:val="24"/>
          <w:szCs w:val="24"/>
        </w:rPr>
        <w:t>ewolucj</w:t>
      </w:r>
      <w:r w:rsidRPr="00C93F78">
        <w:rPr>
          <w:rFonts w:ascii="Times New Roman" w:eastAsia="Calibri" w:hAnsi="Times New Roman" w:cs="Times New Roman"/>
          <w:sz w:val="24"/>
          <w:szCs w:val="24"/>
        </w:rPr>
        <w:t xml:space="preserve">i rozwiązań wprowadzonych ustawą z dnia 13 maja 2016 r. </w:t>
      </w:r>
      <w:r w:rsidRPr="00C93F78">
        <w:rPr>
          <w:rFonts w:ascii="Times New Roman" w:eastAsia="Calibri" w:hAnsi="Times New Roman" w:cs="Times New Roman"/>
          <w:i/>
          <w:sz w:val="24"/>
          <w:szCs w:val="24"/>
        </w:rPr>
        <w:t>o zmianie ustawy – Ordynacja podatkowa oraz niektórych innych ustaw</w:t>
      </w:r>
      <w:r w:rsidRPr="00C93F78">
        <w:rPr>
          <w:rFonts w:ascii="Times New Roman" w:eastAsia="Calibri" w:hAnsi="Times New Roman" w:cs="Times New Roman"/>
          <w:sz w:val="24"/>
          <w:szCs w:val="24"/>
        </w:rPr>
        <w:t xml:space="preserve"> (Dz. U. z 2016 r., poz. 846, z późn. zm., dalej: ustawa zmieniająca z 2016 r.), która </w:t>
      </w:r>
      <w:r w:rsidRPr="00C93F78">
        <w:rPr>
          <w:rFonts w:ascii="Times New Roman" w:hAnsi="Times New Roman" w:cs="Times New Roman"/>
          <w:sz w:val="24"/>
          <w:szCs w:val="24"/>
        </w:rPr>
        <w:t>przywróciła</w:t>
      </w:r>
      <w:r w:rsidRPr="00C93F78">
        <w:rPr>
          <w:rFonts w:ascii="Times New Roman" w:eastAsia="Calibri" w:hAnsi="Times New Roman" w:cs="Times New Roman"/>
          <w:sz w:val="24"/>
          <w:szCs w:val="24"/>
        </w:rPr>
        <w:t xml:space="preserve"> do polskiego systemu prawnego tzw. generalną klauzulę przeciwko unikaniu opodatkowania.</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 zakresie zmian dostosowawczych do przepisów prawa UE, projekt stanowi także odzwierciedlenie woli ustawodawcy unijnego, wskazującego w preambule do dyrektywy ATAD na konieczność przywrócenia zaufania do systemów podatkowych, w kontekście umożliwienia państwom członkowskim utrzymania suwerenności podatkowej. W tym celu, dyrektywa ATAD ustanawia minimalny poziom ochrony krajowych systemów podatku od osób prawnych, w celu przeciwdziałania praktykom unikania opodatkowania w UE.</w:t>
      </w:r>
    </w:p>
    <w:p w:rsidR="00D05D84" w:rsidRPr="00C93F78" w:rsidRDefault="00D05D84" w:rsidP="00C93F78">
      <w:pPr>
        <w:spacing w:after="120" w:line="360" w:lineRule="auto"/>
        <w:jc w:val="both"/>
        <w:rPr>
          <w:rFonts w:ascii="Times New Roman" w:hAnsi="Times New Roman"/>
          <w:b/>
          <w:sz w:val="24"/>
          <w:szCs w:val="24"/>
        </w:rPr>
      </w:pPr>
      <w:r w:rsidRPr="00C93F78">
        <w:rPr>
          <w:rFonts w:ascii="Times New Roman" w:hAnsi="Times New Roman" w:cs="Times New Roman"/>
          <w:b/>
          <w:sz w:val="24"/>
          <w:szCs w:val="24"/>
        </w:rPr>
        <w:t>Implementacja przepisów dyrektywy 2016/1164/UE w zakresie generalnej klauzuli przeciwko unikaniu opodatkowania</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Celem dyrektywy ATAD jest zwiększenie skuteczności krajowych systemów opodatkowania podatkiem dochodowym od osób prawnych w zakresie przeciwdziałania erozji bazy podatkowej na rynku wewnętrznym i przenoszeniu zysków poza jego obszar. Cel ten ma zostać osiągnięty poprzez wdrożenie przez wszystkie państwa członkowskie UE najbardziej podstawowych rozwiązań (instytucji) prawnych, obliczonych na przeciwdziałanie agresywnej optymalizacji podatkowej.</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Charakter przepisów zawartych w dyrektywie ATAD stanowi wyraz politycznego dążenia do zapewnienia, aby podatki były płacone w jurysdykcji, w której generowane są zyski podatników i wytwarzana jest wartość ekonomiczna. Dyrektywa stanowi emanację prac Organizacji Współpracy Gospodarczej i Rozwoju w ramach inicjatywy dotyczącej przeciwdziałania erozji bazy podatkowej i przenoszeniu zysków (BEPS – base erosion and profit shifting). Realizuje ona część zaleceń OECD, sformułowanych w raportach końcowych BEPS, wpisując je w kontekst prawny funkcjonujący w państwach członkowskich.</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Polska, jako członek OECD także zobowiązana jest do wdrożenia wniosków płynących ze sprawozdań końcowych OECD, dotyczących piętnastu działań służących zwalczaniu erozji bazy podatkowej i przenoszenia zysków. Należy przy tym zauważyć, iż w konkluzjach Rady UE z 8 grudnia 2015 r. stwierdzono m.in., że dyrektywy UE powinny być preferowanym narzędziem wdrażania na szczeblu UE wyników prac OECD dotyczących BEPS. Forma prawna dyrektywy pozwala bowiem na wdrażanie przez państwa członkowskie UE wniosków BEPS w jednolity i skoordynowany sposób, co ma znaczenie dla zapewnienia prawidłowego funkcjonowania rynku wewnętrznego. Jak zauważono w preambule do dyrektywy ATAD, w przypadku rynku, który tworzą ściśle powiązane ze sobą gospodarki, konieczne jest przyjęcie wspólnego podejścia strategicznego i skoordynowanie działań, aby poprawić funkcjonowanie rynku wewnętrznego i zmaksymalizować pozytywne efekty inicjatywy przeciwdziałającej erozji bazy podatkowej i przenoszeniu zysków.</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Przepisy dyrektywy ATAD mają charakter regulacji de minimis. Wyznaczają one zatem jedynie ogólny, minimalny poziom ochrony przed agresywnym planowaniem podatkowym na rynku wewnętrznym. Z uwagi na funkcjonowanie w ramach UE 28 odrębnych porządków prawnych i specyfikę regulowanej materii uznano, iż państwa członkowskie będą w stanie lepiej określić szczegółowe elementy tych przepisów w sposób optymalnie odpowiadający ich systemowi podatku od osób prawnych. Konsekwencją tego jest możliwość przyjęcia na gruncie krajowym bardziej restrykcyjnych kryteriów przeciwdziałania praktykom unikania opodatkowania, niż przewidziane w treści dyrektywy ATAD. Charakter dyrektywy jako regulacji de minimis zwiększa zatem zakres swobody państw członkowskich w doborze sposobu wdrożenia poszczególnych instytucji prawnych przez nią przewidzianych.</w:t>
      </w:r>
    </w:p>
    <w:p w:rsidR="00D05D84" w:rsidRPr="00C93F78" w:rsidRDefault="00D05D84" w:rsidP="00C93F78">
      <w:pPr>
        <w:pStyle w:val="Nagwek2"/>
        <w:spacing w:line="360" w:lineRule="auto"/>
        <w:jc w:val="both"/>
        <w:rPr>
          <w:szCs w:val="24"/>
        </w:rPr>
      </w:pPr>
      <w:r w:rsidRPr="00C93F78">
        <w:rPr>
          <w:szCs w:val="24"/>
        </w:rPr>
        <w:t>Definicje środków ograniczających umowne korzyści oraz korzyści podatkowej, a także właściwość rzeczowa Szefa KAS</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 projektowanych przepisach proponuje się wprowadzenie wspólnej w obrębie Ordynacji podatkowej definicji „korzyści podatkowej”. Zgodnie z brzmi</w:t>
      </w:r>
      <w:r w:rsidR="00C93F78">
        <w:rPr>
          <w:rFonts w:ascii="Times New Roman" w:eastAsia="Calibri" w:hAnsi="Times New Roman" w:cs="Times New Roman"/>
          <w:sz w:val="24"/>
          <w:szCs w:val="24"/>
        </w:rPr>
        <w:t>eniem projektowanego art. 3 pkt </w:t>
      </w:r>
      <w:r w:rsidRPr="00C93F78">
        <w:rPr>
          <w:rFonts w:ascii="Times New Roman" w:eastAsia="Calibri" w:hAnsi="Times New Roman" w:cs="Times New Roman"/>
          <w:sz w:val="24"/>
          <w:szCs w:val="24"/>
        </w:rPr>
        <w:t>16 Ordynacji podatkowej, będzie nią korzyść wynikająca z uzgodnienia, polegająca na:</w:t>
      </w:r>
    </w:p>
    <w:p w:rsidR="00D05D84" w:rsidRPr="00C93F78" w:rsidRDefault="00D05D84" w:rsidP="00C93F78">
      <w:pPr>
        <w:numPr>
          <w:ilvl w:val="1"/>
          <w:numId w:val="54"/>
        </w:numPr>
        <w:spacing w:after="120" w:line="360" w:lineRule="auto"/>
        <w:ind w:left="540" w:hanging="540"/>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niepowstaniu zobowiązania podatkowego, odsunięciu w czasie powstania zobowiązania podatkowego lub obniżeniu jego wysokości,</w:t>
      </w:r>
    </w:p>
    <w:p w:rsidR="00D05D84" w:rsidRPr="00C93F78" w:rsidRDefault="00D05D84" w:rsidP="00C93F78">
      <w:pPr>
        <w:numPr>
          <w:ilvl w:val="1"/>
          <w:numId w:val="54"/>
        </w:numPr>
        <w:spacing w:after="120" w:line="360" w:lineRule="auto"/>
        <w:ind w:left="540" w:hanging="540"/>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powstaniu lub zawyżeniu straty podatkowej,</w:t>
      </w:r>
    </w:p>
    <w:p w:rsidR="00D05D84" w:rsidRPr="00C93F78" w:rsidRDefault="00D05D84" w:rsidP="00C93F78">
      <w:pPr>
        <w:numPr>
          <w:ilvl w:val="1"/>
          <w:numId w:val="54"/>
        </w:numPr>
        <w:spacing w:after="120" w:line="360" w:lineRule="auto"/>
        <w:ind w:left="540" w:hanging="540"/>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powstaniu nadpłaty lub prawa do zwrotu podatku albo podwyższeniu kwoty nadpłaty lub zwrotu podatku,</w:t>
      </w:r>
    </w:p>
    <w:p w:rsidR="00D05D84" w:rsidRPr="00C93F78" w:rsidRDefault="00D05D84" w:rsidP="00C93F78">
      <w:pPr>
        <w:numPr>
          <w:ilvl w:val="1"/>
          <w:numId w:val="54"/>
        </w:numPr>
        <w:spacing w:after="120" w:line="360" w:lineRule="auto"/>
        <w:ind w:left="540" w:hanging="540"/>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braku obowiązku pobrania przez płatnika podatku, jeżeli wynika on z okoliczności wskazanych w lit. a.</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Pojęcie „korzyść podatkowa” było wcześniej zdefiniowane w art. 119e Ordynacji podatkowej na potrzeby Rozdziału 1 Klauzula przeciwko unikaniu opodatkowania Działu IIIA Przeciwdziałanie unikaniu opodatkowania. Projekt przewiduje uchylenie art. 119e Ordynacji podatkowej. Za korzyść podatkową, zgodnie w tym przepisem, uznaje się dotychczas:</w:t>
      </w:r>
    </w:p>
    <w:p w:rsidR="00D05D84" w:rsidRPr="00C93F78" w:rsidRDefault="00D05D84" w:rsidP="00C93F78">
      <w:pPr>
        <w:numPr>
          <w:ilvl w:val="0"/>
          <w:numId w:val="36"/>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niepowstanie zobowiązania podatkowego, odsunięcie w czasie powstania zobowiązania podatkowego lub obniżenie jego wysokości lub powstanie lub zawyżenie straty podatkowej,</w:t>
      </w:r>
    </w:p>
    <w:p w:rsidR="00D05D84" w:rsidRPr="00C93F78" w:rsidRDefault="00D05D84" w:rsidP="00C93F78">
      <w:pPr>
        <w:numPr>
          <w:ilvl w:val="0"/>
          <w:numId w:val="36"/>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powstanie nadpłaty lub prawa do zwrotu podatku albo podwyższenie kwoty nadpłaty lub zwrotu podatku. </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Zastosowanie wspólnej definicji „korzyści podatkowej” w projekcie ustawy jest uzasadnione z uwagi na cel projektowanych przepisów. </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Działania podatników, zmierzające do minimalizowania obciążeń podatkowych przez wykorzystanie różnic w opodatkowaniu zachodzących na styku krajowych i międzynarodowych jurysdykcji podatkowych stanowi niebezpieczne zjawisko, które w efekcie może prowadzić do nadużywania przepisów umów o unikaniu podwójnego opodatkowania i do nabywania korzyści umownych w sytuacjach, które – z perspektywy państw zawierających te umowy – nie powinny prowadzić do takich podatkowo korzystnych rezultatów. W konsekwencji, zawierane przez Polskę umowy o unikaniu podwójnego opodatkowania obejmują coraz większą liczbę klauzul, które nakierowane są na przeciwdziałanie nadużyciom i których zastosowanie prowadzi do ograniczenia korzyści, które wynikać mogą z tych umów. Zjawisko to w szczególności dotyczy korzyści powstałych w związku z utworzeniem struktur o sztucznym charakterze lub nadużyciem pozostałych przepisów umowy. Przykładami takich klauzul są przepisy art. 24 Umowy między Rzecząpospolitą Polską a Republiką Słowacką w sprawie unikania podwójnego opodatkowania w zakresie podatków od dochodu i majątku</w:t>
      </w:r>
      <w:r w:rsidRPr="00C93F78">
        <w:rPr>
          <w:rFonts w:ascii="Times New Roman" w:hAnsi="Times New Roman" w:cs="Times New Roman"/>
          <w:sz w:val="24"/>
          <w:szCs w:val="24"/>
          <w:vertAlign w:val="superscript"/>
        </w:rPr>
        <w:footnoteReference w:id="4"/>
      </w:r>
      <w:r w:rsidRPr="00C93F78">
        <w:rPr>
          <w:rFonts w:ascii="Times New Roman" w:eastAsia="Calibri" w:hAnsi="Times New Roman" w:cs="Times New Roman"/>
          <w:sz w:val="24"/>
          <w:szCs w:val="24"/>
        </w:rPr>
        <w:t xml:space="preserve"> lub art. 29 Konwencji między Rzecząpospolitą Polską a Wielkim Księstwem Luksemburga</w:t>
      </w:r>
      <w:r w:rsidRPr="00C93F78">
        <w:rPr>
          <w:rFonts w:ascii="Times New Roman" w:hAnsi="Times New Roman" w:cs="Times New Roman"/>
          <w:sz w:val="24"/>
          <w:szCs w:val="24"/>
          <w:vertAlign w:val="superscript"/>
        </w:rPr>
        <w:footnoteReference w:id="5"/>
      </w:r>
      <w:r w:rsidRPr="00C93F78">
        <w:rPr>
          <w:rFonts w:ascii="Times New Roman" w:eastAsia="Calibri" w:hAnsi="Times New Roman" w:cs="Times New Roman"/>
          <w:sz w:val="24"/>
          <w:szCs w:val="24"/>
        </w:rPr>
        <w:t xml:space="preserve"> w zakresie podatków od dochodu i majątku.</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Jednocześnie, Rzeczpospolita Polska podpisała i ratyfikowała Konwencję wielostronną implementującą środki traktatowego prawa podatkowego mające na celu zapobieganie erozji podstawy opodatkowania i przenoszeniu zysku, sporządzoną w Paryżu dnia 24 listopada 2016 r.,</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podpisaną w Paryżu dnia 7 czerwca 2017 r.</w:t>
      </w:r>
      <w:r w:rsidRPr="00C93F78">
        <w:rPr>
          <w:rFonts w:ascii="Times New Roman" w:hAnsi="Times New Roman" w:cs="Times New Roman"/>
          <w:sz w:val="24"/>
          <w:szCs w:val="24"/>
          <w:vertAlign w:val="superscript"/>
        </w:rPr>
        <w:footnoteReference w:id="6"/>
      </w:r>
      <w:r w:rsidRPr="00C93F78">
        <w:rPr>
          <w:rFonts w:ascii="Times New Roman" w:eastAsia="Calibri" w:hAnsi="Times New Roman" w:cs="Times New Roman"/>
          <w:sz w:val="24"/>
          <w:szCs w:val="24"/>
        </w:rPr>
        <w:t xml:space="preserve"> Konwencja ta zakłada wprowadzenie do umów o unikaniu podwójnego opodatkowania klauzul ograniczających możliwość korzystania z przywilejów danej umowy w sytuacji, gdy głównym celem lub jednym z głównych celów zawarcia transakcji lub utworzenia danej struktury było uzyskanie takich korzyści, a ich uzyskanie byłoby sprzeczne z przedmiotem lub celem odpowiednich postanowień umownych (art. 7 ust. 1 Konwencji). Obecnie zakładane jest, że taka regulacja zostanie wprowadzona do ponad pięćdziesięciu zawartych przez Polskę umów (a docelowo nawet do 78 umów).</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Wprowadzenie do ustawy pojęcia środków ograniczających umowne korzyści uzasadnione jest uproszczeniem przepisów Ordynacji podatkowej, tj. chęcią ograniczenia konieczności wielokrotnego powtarzania w zmienianych przepisach opisowego charakteru tych środków. Stosowanie tych środków wymaga odpowiedniego otoczenia procesowego. Z tego względu proponuje się przede wszystkim ich zdefiniowanie w art. 3 Ordynacji podatkowej. Wprowadzana definicja zostaje użyta w kilkunastu przepisach ustaw wprowadzanych lub zmienianych omawianą nowelizacją. Jednym z celów takiego działania jest to, aby stosowanie art. 119a oraz środków ograniczających umowne korzyści odbywało się w zbliżonej procedurze, gdyż są to regulacje o podobnym charakterze i celu działania (vide np. art. 119m, art. 200 § 3, art. 210 § 2b, art. 239d § 2)</w:t>
      </w:r>
    </w:p>
    <w:p w:rsidR="00D05D84" w:rsidRPr="00C93F78" w:rsidRDefault="00D05D84" w:rsidP="00C93F78">
      <w:pPr>
        <w:spacing w:after="120" w:line="360" w:lineRule="auto"/>
        <w:jc w:val="both"/>
        <w:rPr>
          <w:rFonts w:ascii="Times New Roman" w:eastAsia="Times New Roman" w:hAnsi="Times New Roman" w:cs="Times New Roman"/>
          <w:sz w:val="24"/>
          <w:szCs w:val="24"/>
        </w:rPr>
      </w:pPr>
      <w:r w:rsidRPr="00C93F78">
        <w:rPr>
          <w:rFonts w:ascii="Times New Roman" w:eastAsia="Calibri" w:hAnsi="Times New Roman" w:cs="Times New Roman"/>
          <w:sz w:val="24"/>
          <w:szCs w:val="24"/>
        </w:rPr>
        <w:t>Przez środki ograniczające umowne korzyści należy szeroko rozumieć postanowienia (przepisy) umów podatkowych. Pojęcie to należy również traktować jako odwołanie do innych środków ograniczających umowne korzyści.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eastAsia="Calibri" w:hAnsi="Times New Roman" w:cs="Times New Roman"/>
          <w:sz w:val="24"/>
          <w:szCs w:val="24"/>
        </w:rPr>
        <w:t>W tym zakresie zwrócić uwagę należy, że z zasad wykładni umów międzynarodowych w szczególności z obowiązku stosowania umowy w dobrej wierze wyprowadzana jest ogólna reguła przewagi treści nad formą czynności prawnych, która uniemożliwiać ma nadużywanie postanowień umów podatkowych. Koncepcja ta nawiązuje do stanowiska Klausa Vogla, będącego wielkim autorytetem w dziedzinie międzynarodowego opodatkowania, a w szczególności w zakresie traktatów podatkowych</w:t>
      </w:r>
      <w:r w:rsidRPr="00C93F78">
        <w:rPr>
          <w:rFonts w:ascii="Times New Roman" w:hAnsi="Times New Roman" w:cs="Times New Roman"/>
          <w:sz w:val="24"/>
          <w:szCs w:val="24"/>
          <w:vertAlign w:val="superscript"/>
        </w:rPr>
        <w:footnoteReference w:id="7"/>
      </w:r>
      <w:r w:rsidRPr="00C93F78">
        <w:rPr>
          <w:rFonts w:ascii="Times New Roman" w:eastAsia="Calibri" w:hAnsi="Times New Roman" w:cs="Times New Roman"/>
          <w:sz w:val="24"/>
          <w:szCs w:val="24"/>
        </w:rPr>
        <w:t>. Klaus Vogel dostrzegał problem w stosowaniu krajowych środków prawnych do tych przypadków unikania opodatkowania, które związane były ściśle z niewłaściwym korzystaniem z postanowień umów podatkowych. Celem projektodawcy jest w tym przypadku objęcie zakresem pojęcia środków ograniczających umowne korzyści do środków przeciwdziałających nadużyciu tych umów.</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zakresie przedmiotowym omawianych zmian proponuje się </w:t>
      </w:r>
      <w:r w:rsidR="00B90A44" w:rsidRPr="00C93F78">
        <w:rPr>
          <w:rFonts w:ascii="Times New Roman" w:hAnsi="Times New Roman" w:cs="Times New Roman"/>
          <w:sz w:val="24"/>
          <w:szCs w:val="24"/>
        </w:rPr>
        <w:t xml:space="preserve">uchylenie </w:t>
      </w:r>
      <w:r w:rsidRPr="00C93F78">
        <w:rPr>
          <w:rFonts w:ascii="Times New Roman" w:hAnsi="Times New Roman" w:cs="Times New Roman"/>
          <w:sz w:val="24"/>
          <w:szCs w:val="24"/>
        </w:rPr>
        <w:t xml:space="preserve">art. 119b § 2 Ordynacji podatkowej. Umiejscowienie i treść tego przepisu wskazuje bowiem wyraźnie, że do </w:t>
      </w:r>
      <w:r w:rsidRPr="00C93F78">
        <w:rPr>
          <w:rFonts w:ascii="Times New Roman" w:eastAsia="Calibri" w:hAnsi="Times New Roman" w:cs="Times New Roman"/>
          <w:sz w:val="24"/>
          <w:szCs w:val="24"/>
        </w:rPr>
        <w:t xml:space="preserve">środków ograniczających umowne korzyści </w:t>
      </w:r>
      <w:r w:rsidRPr="00C93F78">
        <w:rPr>
          <w:rFonts w:ascii="Times New Roman" w:hAnsi="Times New Roman" w:cs="Times New Roman"/>
          <w:sz w:val="24"/>
          <w:szCs w:val="24"/>
        </w:rPr>
        <w:t>stosować należy odpowiednio również przepisy o charakterze materialnym, które umieszczone zostały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 xml:space="preserve">rozdziale 1 działu IIIa Ordynacji podatkowej. </w:t>
      </w:r>
      <w:r w:rsidRPr="00C93F78">
        <w:rPr>
          <w:rFonts w:ascii="Times New Roman" w:eastAsia="Calibri" w:hAnsi="Times New Roman" w:cs="Times New Roman"/>
          <w:sz w:val="24"/>
          <w:szCs w:val="24"/>
        </w:rPr>
        <w:t>Porównanie</w:t>
      </w:r>
      <w:r w:rsidRPr="00C93F78">
        <w:rPr>
          <w:rFonts w:ascii="Times New Roman" w:hAnsi="Times New Roman" w:cs="Times New Roman"/>
          <w:sz w:val="24"/>
          <w:szCs w:val="24"/>
        </w:rPr>
        <w:t xml:space="preserve"> dotychczasowych środków ograniczających umowne korzyści z krajową generalną klauzulą przeciwko unikaniu opodatkowania, zdefiniowaną w tym rozdziale, wskazuje, że są to instytucje o zauważalnie odmiennych warunkach i przesłankach stosowania. Zastosowanie środków ograniczających umowne korzyści powinno być zapewnione, jak dotychczas, w ramach istniejącej procedury opisanej w rozdziale 2 działu IIIa Ordynacji podatkowej, co określa proponowany art. 119g § 8 Ordynacji podatkowej.</w:t>
      </w:r>
    </w:p>
    <w:p w:rsidR="00D05D84" w:rsidRPr="00C93F78" w:rsidRDefault="00D05D84" w:rsidP="00C93F78">
      <w:pPr>
        <w:pStyle w:val="Nagwek2"/>
        <w:spacing w:line="360" w:lineRule="auto"/>
        <w:jc w:val="both"/>
        <w:rPr>
          <w:szCs w:val="24"/>
        </w:rPr>
      </w:pPr>
      <w:r w:rsidRPr="00C93F78">
        <w:rPr>
          <w:szCs w:val="24"/>
        </w:rPr>
        <w:t xml:space="preserve">Zmiany w art. 13 § 2 Ordynacji podatkowej – właściwość Szefa KAS w zakresie przeciwdziałaniu unikania opodatkowania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projekcie ustawy (art. 13 § 2</w:t>
      </w:r>
      <w:r w:rsidR="00B80744"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Ordynacji podatkowej) proponuje się regulację, że Szef KAS jest właściwym organem podatkowym w sprawach, w których może być wydana decyzja z zastosowaniem </w:t>
      </w:r>
      <w:r w:rsidRPr="00C93F78">
        <w:rPr>
          <w:rFonts w:ascii="Times New Roman" w:eastAsia="Calibri" w:hAnsi="Times New Roman" w:cs="Times New Roman"/>
          <w:sz w:val="24"/>
          <w:szCs w:val="24"/>
        </w:rPr>
        <w:t>środków ograniczających umowne korzyści,</w:t>
      </w:r>
      <w:r w:rsidRPr="00C93F78">
        <w:rPr>
          <w:rFonts w:ascii="Times New Roman" w:hAnsi="Times New Roman" w:cs="Times New Roman"/>
          <w:sz w:val="24"/>
          <w:szCs w:val="24"/>
        </w:rPr>
        <w:t xml:space="preserve"> jest organem odwoławczym od decyzji wydanych w sprawach, stwierdzenia nieważności decyzji, wznowienia postępowania, zmiany lub uchylenia decyzji, wznowienia postępowania, zmiany lub uchylenia decyzji lub stwierdzenia jej wygaśnięcia, a także w sprawach postępowań podatkowych w przypadku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Opisane zmiany uzasadniają uzupełnienie zadań Szefa KAS w ustawie o KAS o przeciwdziałanie unikaniu opodatkowania. Konsekwencją wprowadzenia ustawy zmieniającej było utworzenie w Ministerstwie Finansów komórki dedykowanej stosowaniu klauzuli przeciwko unikaniu opodatkowania. Proponowany przepis stanowiłby wyraźną podstawę do przeciwdziałania unikaniu opodatkowania przez Szefa KAS również w inny sposób, niż prowadzenie postępowań podatkowych, o których mowa w art. 119g Op, i koncentracji wykwalifikowanych w tym zakresie pracowników w strukturze KAS.</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projektowanym art. 119gd Ordynacji podatkowej uregulowano właściwość rzeczową organu uprawnionego do wydania decyzji o zabezpieczeniu w postępowaniu, w którym ma zastosowanie klauzula przeciwko unikaniu opodatkowania</w:t>
      </w:r>
      <w:r w:rsidR="003C5CE4" w:rsidRPr="00C93F78">
        <w:rPr>
          <w:rFonts w:ascii="Times New Roman" w:hAnsi="Times New Roman" w:cs="Times New Roman"/>
          <w:sz w:val="24"/>
          <w:szCs w:val="24"/>
        </w:rPr>
        <w:t xml:space="preserve"> lub środki ograniczające umowne korzyści</w:t>
      </w:r>
      <w:r w:rsidRPr="00C93F78">
        <w:rPr>
          <w:rFonts w:ascii="Times New Roman" w:hAnsi="Times New Roman" w:cs="Times New Roman"/>
          <w:sz w:val="24"/>
          <w:szCs w:val="24"/>
        </w:rPr>
        <w:t xml:space="preserve">. Przyjęto, że organem właściwym do wydania tej decyzji będzie organ podatkowy określony w art. 13 § 1 Op . Rozwiązanie to ma na celu pozostawienie we właściwości naczelników urzędów skarbowych i naczelników urzędów celno-skarbowych kompetencji związanych z zabezpieczeniem przedwymiarowym, po wszczęciu lub przejęciu w całości lub w części postępowania podatkowego, kontroli podatkowej, kontroli celno – skarbowej przez Szefa KAS, na mocy art. 119g. Jednocześnie projektowana regulacja przesądza o charakterze kompetencji Szefa KAS na mocy art. 119g, które związane są ściśle z zastosowaniem art. 119a. Odciążenie Szefa KAS, w ramach prowadzonego postępowania podatkowego, z obowiązku wydania decyzji o zabezpieczeniu, jest związane z faktem, iż właściwe </w:t>
      </w:r>
      <w:r w:rsidR="003C5CE4" w:rsidRPr="00C93F78">
        <w:rPr>
          <w:rFonts w:ascii="Times New Roman" w:hAnsi="Times New Roman" w:cs="Times New Roman"/>
          <w:sz w:val="24"/>
          <w:szCs w:val="24"/>
        </w:rPr>
        <w:t xml:space="preserve">miejscowo </w:t>
      </w:r>
      <w:r w:rsidRPr="00C93F78">
        <w:rPr>
          <w:rFonts w:ascii="Times New Roman" w:hAnsi="Times New Roman" w:cs="Times New Roman"/>
          <w:sz w:val="24"/>
          <w:szCs w:val="24"/>
        </w:rPr>
        <w:t>organy podatkowe posiadają większą wiedzę o podatniku i jego sytuacji majątkowej. W tym kontekście jest zasadne pozostawienie tym organom uprawnień do zabezpieczenia należności pieniężnej przed wymiarem, co minimalizuje ryzyko wierzyciela co do niewykonania lub nienależytego wykonania przez podatnika zobowiązania podatkowego. Jednocześnie uznano, że wydanie decyzji o zabezpieczeniu, w toku postępowania podatkowego albo przed wszczęciem lub przejęciem pos</w:t>
      </w:r>
      <w:r w:rsidR="003C5CE4" w:rsidRPr="00C93F78">
        <w:rPr>
          <w:rFonts w:ascii="Times New Roman" w:hAnsi="Times New Roman" w:cs="Times New Roman"/>
          <w:sz w:val="24"/>
          <w:szCs w:val="24"/>
        </w:rPr>
        <w:t>tę</w:t>
      </w:r>
      <w:r w:rsidRPr="00C93F78">
        <w:rPr>
          <w:rFonts w:ascii="Times New Roman" w:hAnsi="Times New Roman" w:cs="Times New Roman"/>
          <w:sz w:val="24"/>
          <w:szCs w:val="24"/>
        </w:rPr>
        <w:t>powania podatkowego na podstawie art. 119g § 1 lub 3, następuje po zasięgnięciu opinii Szefa KAS (art. 119gd § 2).</w:t>
      </w:r>
    </w:p>
    <w:p w:rsidR="00D05D84" w:rsidRPr="00C93F78" w:rsidRDefault="00D05D84" w:rsidP="00C93F78">
      <w:pPr>
        <w:pStyle w:val="Nagwek2"/>
        <w:spacing w:after="240" w:line="360" w:lineRule="auto"/>
        <w:jc w:val="both"/>
        <w:rPr>
          <w:szCs w:val="24"/>
        </w:rPr>
      </w:pPr>
      <w:r w:rsidRPr="00C93F78">
        <w:rPr>
          <w:szCs w:val="24"/>
        </w:rPr>
        <w:t>Ograniczenie możliwości wydawania interpretacji indywidualnych w zakresie przepisów zapobiegających unikaniu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Katalog przepisów uwzględnionych w art. 14b § 2a lit. a-c</w:t>
      </w:r>
      <w:r w:rsidRPr="00C93F78">
        <w:rPr>
          <w:rFonts w:ascii="Times New Roman" w:eastAsia="Calibri" w:hAnsi="Times New Roman" w:cs="Times New Roman"/>
          <w:sz w:val="24"/>
          <w:szCs w:val="24"/>
        </w:rPr>
        <w:t xml:space="preserve"> Ordynacji podatkowej</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ma charakter otwarty oraz obejmuje przykładowe sytuacje, gdy przedmiotem wniosku o</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interpretację indywidualną nie mogą być przepisy prawa podatkowego:</w:t>
      </w:r>
    </w:p>
    <w:p w:rsidR="00D05D84" w:rsidRPr="00C93F78" w:rsidRDefault="00D05D84" w:rsidP="00C93F78">
      <w:pPr>
        <w:numPr>
          <w:ilvl w:val="0"/>
          <w:numId w:val="29"/>
        </w:numPr>
        <w:spacing w:after="120" w:line="360" w:lineRule="auto"/>
        <w:ind w:left="720"/>
        <w:jc w:val="both"/>
        <w:rPr>
          <w:rFonts w:ascii="Times New Roman" w:hAnsi="Times New Roman" w:cs="Times New Roman"/>
          <w:sz w:val="24"/>
          <w:szCs w:val="24"/>
        </w:rPr>
      </w:pPr>
      <w:r w:rsidRPr="00C93F78">
        <w:rPr>
          <w:rFonts w:ascii="Times New Roman" w:hAnsi="Times New Roman" w:cs="Times New Roman"/>
          <w:sz w:val="24"/>
          <w:szCs w:val="24"/>
        </w:rPr>
        <w:t>regulujące właściwość, uprawnienia i obowiązki organów podatkowych;</w:t>
      </w:r>
    </w:p>
    <w:p w:rsidR="00D05D84" w:rsidRPr="00C93F78" w:rsidRDefault="00D05D84" w:rsidP="00C93F78">
      <w:pPr>
        <w:numPr>
          <w:ilvl w:val="0"/>
          <w:numId w:val="29"/>
        </w:numPr>
        <w:spacing w:after="120" w:line="360" w:lineRule="auto"/>
        <w:ind w:left="720"/>
        <w:jc w:val="both"/>
        <w:rPr>
          <w:rFonts w:ascii="Times New Roman" w:hAnsi="Times New Roman" w:cs="Times New Roman"/>
          <w:sz w:val="24"/>
          <w:szCs w:val="24"/>
        </w:rPr>
      </w:pPr>
      <w:r w:rsidRPr="00C93F78">
        <w:rPr>
          <w:rFonts w:ascii="Times New Roman" w:hAnsi="Times New Roman" w:cs="Times New Roman"/>
          <w:sz w:val="24"/>
          <w:szCs w:val="24"/>
        </w:rPr>
        <w:t>mające na celu przeciwdziałanie unikaniu opodatkowania, odnosząc się do transakcji lub innej czynności poprzez ocenę jej uzasadnienia ekonomicznego, lub dokonania jej w warunkach sztuczności lub w celu nadużycia prawa, w tym w zakresie klauzuli przeciwko unikaniu opodatkowania oraz małych klauzul przeciwko unikaniu opodatkowania, np. art. 4a pkt 23, art. 12 ust 13 i 14, art. 22c updop.</w:t>
      </w:r>
    </w:p>
    <w:p w:rsidR="00D05D84" w:rsidRPr="00C93F78" w:rsidRDefault="00D05D84" w:rsidP="00C93F78">
      <w:pPr>
        <w:numPr>
          <w:ilvl w:val="0"/>
          <w:numId w:val="29"/>
        </w:numPr>
        <w:spacing w:after="120" w:line="360" w:lineRule="auto"/>
        <w:ind w:left="720"/>
        <w:jc w:val="both"/>
        <w:rPr>
          <w:rFonts w:ascii="Times New Roman" w:hAnsi="Times New Roman" w:cs="Times New Roman"/>
          <w:sz w:val="24"/>
          <w:szCs w:val="24"/>
        </w:rPr>
      </w:pPr>
      <w:r w:rsidRPr="00C93F78">
        <w:rPr>
          <w:rFonts w:ascii="Times New Roman" w:hAnsi="Times New Roman" w:cs="Times New Roman"/>
          <w:sz w:val="24"/>
          <w:szCs w:val="24"/>
        </w:rPr>
        <w:t xml:space="preserve">dotyczące środków ograniczających umowne korzyści. </w:t>
      </w:r>
    </w:p>
    <w:p w:rsidR="00D05D84" w:rsidRPr="00C93F78" w:rsidRDefault="00D05D84" w:rsidP="00C93F78">
      <w:pPr>
        <w:spacing w:after="120" w:line="360" w:lineRule="auto"/>
        <w:ind w:firstLine="360"/>
        <w:jc w:val="both"/>
        <w:rPr>
          <w:rFonts w:ascii="Times New Roman" w:hAnsi="Times New Roman" w:cs="Times New Roman"/>
          <w:sz w:val="24"/>
          <w:szCs w:val="24"/>
        </w:rPr>
      </w:pPr>
      <w:r w:rsidRPr="00C93F78">
        <w:rPr>
          <w:rFonts w:ascii="Times New Roman" w:hAnsi="Times New Roman" w:cs="Times New Roman"/>
          <w:sz w:val="24"/>
          <w:szCs w:val="24"/>
        </w:rPr>
        <w:t xml:space="preserve">Obowiązującej od 15 lipca 2016 r. generalnej klauzuli przeciwko unikania opodatkowania towarzyszy instytucja wydawania tzw. opinii zabezpieczających. Polega ona na </w:t>
      </w:r>
      <w:r w:rsidRPr="00C93F78">
        <w:rPr>
          <w:rFonts w:ascii="Times New Roman" w:eastAsia="Calibri" w:hAnsi="Times New Roman" w:cs="Times New Roman"/>
          <w:sz w:val="24"/>
          <w:szCs w:val="24"/>
        </w:rPr>
        <w:t>możliwości uzyskania stanowiska</w:t>
      </w:r>
      <w:r w:rsidRPr="00C93F78">
        <w:rPr>
          <w:rFonts w:ascii="Times New Roman" w:hAnsi="Times New Roman" w:cs="Times New Roman"/>
          <w:sz w:val="24"/>
          <w:szCs w:val="24"/>
        </w:rPr>
        <w:t xml:space="preserve"> Szefa KAS, w którym organ ten </w:t>
      </w:r>
      <w:r w:rsidRPr="00C93F78">
        <w:rPr>
          <w:rFonts w:ascii="Times New Roman" w:eastAsia="Calibri" w:hAnsi="Times New Roman" w:cs="Times New Roman"/>
          <w:sz w:val="24"/>
          <w:szCs w:val="24"/>
        </w:rPr>
        <w:t>ocenia</w:t>
      </w:r>
      <w:r w:rsidRPr="00C93F78">
        <w:rPr>
          <w:rFonts w:ascii="Times New Roman" w:hAnsi="Times New Roman" w:cs="Times New Roman"/>
          <w:sz w:val="24"/>
          <w:szCs w:val="24"/>
        </w:rPr>
        <w:t xml:space="preserve">, czy w danym stanie faktycznym opisanym przez podatnika klauzula mogłaby mieć zastosowanie. Opinie zabezpieczające stanowią więc instrument, z którego podatnik powinien korzystać, jeżeli poszukuje </w:t>
      </w:r>
      <w:r w:rsidRPr="00C93F78">
        <w:rPr>
          <w:rFonts w:ascii="Times New Roman" w:eastAsia="Calibri" w:hAnsi="Times New Roman" w:cs="Times New Roman"/>
          <w:sz w:val="24"/>
          <w:szCs w:val="24"/>
        </w:rPr>
        <w:t>zabezpieczenia swojej sytuacji</w:t>
      </w:r>
      <w:r w:rsidRPr="00C93F78">
        <w:rPr>
          <w:rFonts w:ascii="Times New Roman" w:hAnsi="Times New Roman" w:cs="Times New Roman"/>
          <w:sz w:val="24"/>
          <w:szCs w:val="24"/>
        </w:rPr>
        <w:t xml:space="preserve"> prawnej z perspektywy uniknięcia zarzutu prowadzenia </w:t>
      </w:r>
      <w:r w:rsidRPr="00C93F78">
        <w:rPr>
          <w:rFonts w:ascii="Times New Roman" w:eastAsia="Calibri" w:hAnsi="Times New Roman" w:cs="Times New Roman"/>
          <w:sz w:val="24"/>
          <w:szCs w:val="24"/>
        </w:rPr>
        <w:t>agresywnej</w:t>
      </w:r>
      <w:r w:rsidRPr="00C93F78">
        <w:rPr>
          <w:rFonts w:ascii="Times New Roman" w:hAnsi="Times New Roman" w:cs="Times New Roman"/>
          <w:sz w:val="24"/>
          <w:szCs w:val="24"/>
        </w:rPr>
        <w:t xml:space="preserve"> optymalizacji podatkowej.</w:t>
      </w:r>
    </w:p>
    <w:p w:rsidR="00D05D84" w:rsidRPr="00C93F78" w:rsidRDefault="00D05D84" w:rsidP="00C93F78">
      <w:pPr>
        <w:spacing w:after="120" w:line="360" w:lineRule="auto"/>
        <w:ind w:firstLine="360"/>
        <w:jc w:val="both"/>
        <w:rPr>
          <w:rFonts w:ascii="Times New Roman" w:eastAsia="Calibri" w:hAnsi="Times New Roman" w:cs="Times New Roman"/>
          <w:sz w:val="24"/>
          <w:szCs w:val="24"/>
        </w:rPr>
      </w:pPr>
      <w:r w:rsidRPr="00C93F78">
        <w:rPr>
          <w:rFonts w:ascii="Times New Roman" w:hAnsi="Times New Roman" w:cs="Times New Roman"/>
          <w:sz w:val="24"/>
          <w:szCs w:val="24"/>
        </w:rPr>
        <w:t>Jednakże, pomimo wprowadzenia instytucji opinii zabezpieczającej, nie ma przepisu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 xml:space="preserve">Ordynacji podatkowej, który wyłączałby </w:t>
      </w:r>
      <w:r w:rsidRPr="00C93F78">
        <w:rPr>
          <w:rFonts w:ascii="Times New Roman" w:hAnsi="Times New Roman" w:cs="Times New Roman"/>
          <w:i/>
          <w:sz w:val="24"/>
          <w:szCs w:val="24"/>
        </w:rPr>
        <w:t>explicite</w:t>
      </w:r>
      <w:r w:rsidRPr="00C93F78">
        <w:rPr>
          <w:rFonts w:ascii="Times New Roman" w:hAnsi="Times New Roman" w:cs="Times New Roman"/>
          <w:sz w:val="24"/>
          <w:szCs w:val="24"/>
        </w:rPr>
        <w:t xml:space="preserve"> możliwość zadawania przez podatników pytań w formule indywidualnej interpretacji przepisów prawa podatkowego, dotyczących zastosowania klauzuli przeciwko unikaniu opodatkowania (choć wyłączenie takie można wywieść z wykładni systemowej przepisów regulujących te instytucje). </w:t>
      </w:r>
      <w:r w:rsidRPr="00C93F78">
        <w:rPr>
          <w:rFonts w:ascii="Times New Roman" w:eastAsia="Calibri" w:hAnsi="Times New Roman" w:cs="Times New Roman"/>
          <w:sz w:val="24"/>
          <w:szCs w:val="24"/>
        </w:rPr>
        <w:t xml:space="preserve">Brak jest również przepisów wyłączających możliwość wnioskowania o wydanie interpretacji indywidualnej w stosunku do przepisów klauzul szczególnych lub środków ograniczających umowne korzyści, mimo iż materialne prawo podatkowe zawiera przepisy podobne w swoim charakterze do generalnej klauzuli przeciwko unikaniu opodatkowania. </w:t>
      </w:r>
      <w:r w:rsidRPr="00C93F78">
        <w:rPr>
          <w:rFonts w:ascii="Times New Roman" w:hAnsi="Times New Roman" w:cs="Times New Roman"/>
          <w:sz w:val="24"/>
          <w:szCs w:val="24"/>
        </w:rPr>
        <w:t>Są to środki ograniczające umowne korzyści, tzw. małe klauzule przeciwko unikaniu opodatkowania oraz klauzula nadużycia prawa (np. art. 5 ust. 5 uptu).</w:t>
      </w:r>
    </w:p>
    <w:p w:rsidR="00D05D84" w:rsidRPr="00C93F78" w:rsidRDefault="00D05D84" w:rsidP="00C93F78">
      <w:pPr>
        <w:spacing w:after="120" w:line="360" w:lineRule="auto"/>
        <w:ind w:firstLine="360"/>
        <w:jc w:val="both"/>
        <w:rPr>
          <w:rFonts w:ascii="Times New Roman" w:hAnsi="Times New Roman" w:cs="Times New Roman"/>
          <w:sz w:val="24"/>
          <w:szCs w:val="24"/>
        </w:rPr>
      </w:pPr>
      <w:r w:rsidRPr="00C93F78">
        <w:rPr>
          <w:rFonts w:ascii="Times New Roman" w:hAnsi="Times New Roman" w:cs="Times New Roman"/>
          <w:sz w:val="24"/>
          <w:szCs w:val="24"/>
        </w:rPr>
        <w:t>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 xml:space="preserve">orzecznictwie sądów administracyjnych </w:t>
      </w:r>
      <w:r w:rsidRPr="00C93F78">
        <w:rPr>
          <w:rFonts w:ascii="Times New Roman" w:eastAsia="Calibri" w:hAnsi="Times New Roman" w:cs="Times New Roman"/>
          <w:sz w:val="24"/>
          <w:szCs w:val="24"/>
        </w:rPr>
        <w:t>potwierdzona została, wynikająca z art. 14 § 5b Op, możliwość nie wydawania interpretacji indywidualnej w zakresie tych elementów stanu faktycznego lub zdarzenia przyszłego, co do których istnieje uzasadnione przypuszczenie, że</w:t>
      </w:r>
      <w:r w:rsidRPr="00C93F78">
        <w:rPr>
          <w:rFonts w:ascii="Times New Roman" w:hAnsi="Times New Roman" w:cs="Times New Roman"/>
          <w:sz w:val="24"/>
          <w:szCs w:val="24"/>
        </w:rPr>
        <w:t xml:space="preserve"> pytania wnioskodawcy dotyczą zastosowania klauzuli przeciwko unikaniu opodatkowania (por. wyrok Wojewódzkiego Sądu Administracyjnego w Łodzi z dnia 27</w:t>
      </w:r>
      <w:r w:rsidRPr="00C93F78">
        <w:rPr>
          <w:rFonts w:ascii="Times New Roman" w:eastAsia="Calibri" w:hAnsi="Times New Roman" w:cs="Times New Roman"/>
          <w:sz w:val="24"/>
          <w:szCs w:val="24"/>
        </w:rPr>
        <w:t xml:space="preserve"> kwietnia </w:t>
      </w:r>
      <w:r w:rsidRPr="00C93F78">
        <w:rPr>
          <w:rFonts w:ascii="Times New Roman" w:hAnsi="Times New Roman" w:cs="Times New Roman"/>
          <w:sz w:val="24"/>
          <w:szCs w:val="24"/>
        </w:rPr>
        <w:t xml:space="preserve">2017 r., sygn. akt I SA/Łd 228/17). Z </w:t>
      </w:r>
      <w:r w:rsidRPr="00C93F78">
        <w:rPr>
          <w:rFonts w:ascii="Times New Roman" w:eastAsia="Calibri" w:hAnsi="Times New Roman" w:cs="Times New Roman"/>
          <w:sz w:val="24"/>
          <w:szCs w:val="24"/>
        </w:rPr>
        <w:t>tych powodów</w:t>
      </w:r>
      <w:r w:rsidRPr="00C93F78">
        <w:rPr>
          <w:rFonts w:ascii="Times New Roman" w:hAnsi="Times New Roman" w:cs="Times New Roman"/>
          <w:sz w:val="24"/>
          <w:szCs w:val="24"/>
        </w:rPr>
        <w:t>, w ocenie projektodawcy zasadnym jest wprowadzenie przepisów, które będą ograniczały możliwość uzyskiwania interpretacji indywidualnych w zakresie możliwości zastosowania klauzuli przeciwko unikaniu opodatkowania, jak również tzw. małych klauzul przeciwko unikaniu opodatkowania, które wprowadzone zostały do poszczególnych ustaw podatkowych, np. art. 12 ust. 12 – 13 ustawy z</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dnia 15 lutego 1992 r. o podatku dochodowym od osób prawnych</w:t>
      </w:r>
      <w:r w:rsidR="008E112A" w:rsidRPr="00C93F78">
        <w:rPr>
          <w:rFonts w:ascii="Times New Roman" w:hAnsi="Times New Roman" w:cs="Times New Roman"/>
          <w:sz w:val="24"/>
          <w:szCs w:val="24"/>
        </w:rPr>
        <w:t xml:space="preserve"> </w:t>
      </w:r>
      <w:r w:rsidRPr="00C93F78">
        <w:rPr>
          <w:rFonts w:ascii="Times New Roman" w:eastAsia="Calibri" w:hAnsi="Times New Roman" w:cs="Times New Roman"/>
          <w:sz w:val="24"/>
          <w:szCs w:val="24"/>
        </w:rPr>
        <w:t>oraz środków ograniczających umowne korzyści</w:t>
      </w:r>
      <w:r w:rsidRPr="00C93F78">
        <w:rPr>
          <w:rFonts w:ascii="Times New Roman" w:hAnsi="Times New Roman" w:cs="Times New Roman"/>
          <w:sz w:val="24"/>
          <w:szCs w:val="24"/>
        </w:rPr>
        <w:t>.</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Należy zwrócić uwagę, że postępowanie w zakresie wydawania interpretacji indywidualnych przez Dyrektora Krajowej Informacji Skarbowej nie jest obliczone w swoich założeniach na dokonywanie oceny złożonych zagadnień, mogących pojawić się w toku postępowania podatkowego, w którym może zostać wydana decyzja z zastosowaniem przepisów przeciwko unikaniu opodatkowania. Z tychże względów, </w:t>
      </w:r>
      <w:r w:rsidRPr="00C93F78">
        <w:rPr>
          <w:rFonts w:ascii="Times New Roman" w:eastAsia="Calibri" w:hAnsi="Times New Roman" w:cs="Times New Roman"/>
          <w:sz w:val="24"/>
          <w:szCs w:val="24"/>
        </w:rPr>
        <w:t>zaproponowano</w:t>
      </w:r>
      <w:r w:rsidRPr="00C93F78">
        <w:rPr>
          <w:rFonts w:ascii="Times New Roman" w:hAnsi="Times New Roman" w:cs="Times New Roman"/>
          <w:sz w:val="24"/>
          <w:szCs w:val="24"/>
        </w:rPr>
        <w:t xml:space="preserve"> uzupełnienie art. 14b § 2a Ordynacji podatkowej o negatywne przesłanki wszczęcia postępowania w zakresie wydania interpretacji indywidualnej, które będą odnosić się do przepisów mających na celu przeciwdziałanie unikaniu opodatkowania, takich jak zawarte w rozdziale 1 działu IIIa (generalna klauzula przeciwko unikaniu opodatkowania), środki ograniczające umowne korzyści, klauzuli nadużycia prawa zawartej w przepisach ustawy z dnia 11 marca 2004 r. o podatku od towarów i usług, tzw. małych klauzul przeciwko unikaniu opodatkowania oraz zagranicznej spółce kontrolowanej.</w:t>
      </w:r>
    </w:p>
    <w:p w:rsidR="00D05D84" w:rsidRPr="00C93F78" w:rsidRDefault="00D05D84" w:rsidP="00C93F78">
      <w:pPr>
        <w:keepNext/>
        <w:keepLines/>
        <w:spacing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Forma rozstrzygnięcia wniosków o wydanie interpretacji indywidualnej w przypadku spełnienia przesłanek zawartych w art. 14b § 5b Op; uprawnienia nadzorcze Szefa KAS</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art. 14b § 5b Op odmawia się w drodze postanowienia, wydania interpretacji indywidualnej w zakresie tych elementów stanu faktycznego lub zdarzenia przyszłego, co do których istnieje uzasadnione przypuszczenie, że mogą:</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stanowić czynność lub element czynności dokonanej przede wszystkim w celu osiągnięcia korzyści podatkowej (określonej w art. 119a § 1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być przedmiotem decyzji wydanej z zastosowaniem środków ograniczających umowne korzyści, lub</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 stanowić nadużycie prawa, o którym mowa w art. 5 ust. 5 uptu.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Wydawane przez Dyrektora Krajowej Informacji Skarbowej postanowienia o odmowie wszczęcia postępowania w zakresie wydania interpretacji indywidualnej (na podstawie art. 165a § 1 w zw. z art. 14h Ordynacji podatkowej), z uwagi na wystąpienie przesłanek, o których mowa w art. 14b § 5b Ordynacji podatkowej, w ocenie projektodawcy nie stanowi wystarczającej regulacji, w sytuacji, gdy w zakresie elementów stanu faktycznego lub zdarzenia przyszłego istnieje uzasadnione przypuszczenie, że mogą stanowić unikanie opodatkowania. Stąd celowym w ocenie projektodawcy jest wprowadzenie powyższej regulacji.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otrzymania wniosku o wydanie interpretacji indywidualnej organ interpretacyjny powinien występować do Szefa KAS z</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wnioskiem o wydanie opinii, o której mowa w art. 14b § 5c Ordynacji podatkowej już po sprawdzeniu braków formalnych wniosków i po wykluczeniu innych przeszkód uniemożliwiających wszczęcie postępowania i rozpatrzenie wniosku o wydanie interpretacji indywidualnej. Postanowienie oparte o przesłanki wskazane w art. 14b § 5b Ordynacji podatkowej jest w istocie wydawane po przeprowadzeniu postępowania oraz po merytorycznym rozpoznaniu wniosku zainteresowanego podmiotu. Stan faktyczny (zdarzenie przyszłe) jest oceniany bowiem także w kontekście przepisów, o które pyta wnioskodawca. Z</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tego względu zasadna jest zmiana, zgodnie z którą art. 14b § 5b Ordynacji podatkowej stanowiłby samodzielną podstawę do wydania postanowienia w przedmiocie odmowy wydania interpretacji, na które będzie służyć zażalenie. Organ interpretacyjny, w myśl projektu, na tych samych zasadach odmówi wydania interpretacji indywidualnej także w przypadku, w którym zaistnieje uzasadnione przypuszczenie wydania decyzji z zastosowaniem środków ograniczających umowne korzyści.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 uwagi na fakt, że schematy unikania opodatkowania stanowią zazwyczaj szereg skomplikowanych czynności, ich poszczególne fragmenty mogą być przedmiotem odrębnych wniosków o wydanie interpretacji indywidualnej. Taka fragmentaryzacja schematów unikania opodatkowania może stanowić formę wykluczenia lub utrudnienia możliwości zastosowania art. 14b § 5b Op, co nie jest zgodne z </w:t>
      </w:r>
      <w:r w:rsidRPr="00C93F78">
        <w:rPr>
          <w:rFonts w:ascii="Times New Roman" w:hAnsi="Times New Roman" w:cs="Times New Roman"/>
          <w:i/>
          <w:sz w:val="24"/>
          <w:szCs w:val="24"/>
        </w:rPr>
        <w:t>ratio legis</w:t>
      </w:r>
      <w:r w:rsidRPr="00C93F78">
        <w:rPr>
          <w:rFonts w:ascii="Times New Roman" w:hAnsi="Times New Roman" w:cs="Times New Roman"/>
          <w:sz w:val="24"/>
          <w:szCs w:val="24"/>
        </w:rPr>
        <w:t xml:space="preserve"> przepisu. Proponuje się zatem doprecyzować w nowododawanym art. 14b § 5d Op, że organ interpretacyjny może, dla celów stosowania omawianej regulacji, łączyć elementy stanu faktycznego (zdarzenia przyszłego) zawarte w więcej niż jednym wniosku złożonym przez wnioskodawcę lub wnioskodawców mogących uczestniczyć w tej samej czynności. Organ interpretacyjny będzie mógł zastosować art. 14b § 5b wobec kilku wniosków o wydanie interpretacji indywidualnej, jeżeli wobec elementów stanu faktycznego (zdarzenia przyszłego) wynikających z tych wniosków zaistnieje uzasadnione przypuszczenie spełnienia przesłanki z art. 119a</w:t>
      </w:r>
      <w:r w:rsidRPr="00C93F78">
        <w:rPr>
          <w:rFonts w:ascii="Times New Roman" w:eastAsia="Calibri" w:hAnsi="Times New Roman" w:cs="Times New Roman"/>
          <w:sz w:val="24"/>
          <w:szCs w:val="24"/>
        </w:rPr>
        <w:t xml:space="preserve"> Op</w:t>
      </w:r>
      <w:r w:rsidRPr="00C93F78">
        <w:rPr>
          <w:rFonts w:ascii="Times New Roman" w:hAnsi="Times New Roman" w:cs="Times New Roman"/>
          <w:sz w:val="24"/>
          <w:szCs w:val="24"/>
        </w:rPr>
        <w:t xml:space="preserve">, środków ograniczających umowne korzyści lub art. 5 ust. 4 i 5 uptu. Opisywana zmiana ma charakter jedynie redakcyjny i uwypuklający prewencyjny charakter tej regulacji, bowiem na podstawie dotychczasowej treści art. 14b § 5b Op orzecznictwo sądów administracyjnych interpretowało omawianą normę zgodnie z jej </w:t>
      </w:r>
      <w:r w:rsidRPr="00C93F78">
        <w:rPr>
          <w:rFonts w:ascii="Times New Roman" w:hAnsi="Times New Roman" w:cs="Times New Roman"/>
          <w:i/>
          <w:sz w:val="24"/>
          <w:szCs w:val="24"/>
        </w:rPr>
        <w:t>ratio legis</w:t>
      </w:r>
      <w:r w:rsidRPr="00C93F78">
        <w:rPr>
          <w:rFonts w:ascii="Times New Roman" w:hAnsi="Times New Roman" w:cs="Times New Roman"/>
          <w:sz w:val="24"/>
          <w:szCs w:val="24"/>
        </w:rPr>
        <w:t>, tj. dostrzegając, że elementy schematu optymalizacyjnego mogą być dzielone na kilka wniosków o wydanie interpretacji indywidualnej, por. np. wyrok WSA w Gdańsku z dnia 12</w:t>
      </w:r>
      <w:r w:rsidRPr="00C93F78">
        <w:rPr>
          <w:rFonts w:ascii="Times New Roman" w:eastAsia="Calibri" w:hAnsi="Times New Roman" w:cs="Times New Roman"/>
          <w:sz w:val="24"/>
          <w:szCs w:val="24"/>
        </w:rPr>
        <w:t xml:space="preserve"> lipca </w:t>
      </w:r>
      <w:r w:rsidRPr="00C93F78">
        <w:rPr>
          <w:rFonts w:ascii="Times New Roman" w:hAnsi="Times New Roman" w:cs="Times New Roman"/>
          <w:sz w:val="24"/>
          <w:szCs w:val="24"/>
        </w:rPr>
        <w:t>2017 r., sygn. akt I SA/Gd 676/17. Termin „uzasadnione przypuszczenie” nie został zdefiniowany w Op, co pozwala organowi podatkowemu na swobodę w zakresie wywiedzenia spełnienia tej przesłanki i</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 xml:space="preserve">korzystania z faktów i informacji znanych mu z urzędu. </w:t>
      </w:r>
      <w:r w:rsidRPr="00C93F78">
        <w:rPr>
          <w:rFonts w:ascii="Times New Roman" w:eastAsia="Calibri" w:hAnsi="Times New Roman" w:cs="Times New Roman"/>
          <w:sz w:val="24"/>
          <w:szCs w:val="24"/>
        </w:rPr>
        <w:t>Wystąpienie</w:t>
      </w:r>
      <w:r w:rsidRPr="00C93F78">
        <w:rPr>
          <w:rFonts w:ascii="Times New Roman" w:hAnsi="Times New Roman" w:cs="Times New Roman"/>
          <w:sz w:val="24"/>
          <w:szCs w:val="24"/>
        </w:rPr>
        <w:t xml:space="preserve"> uzasadnionego przypuszczenia może być </w:t>
      </w:r>
      <w:r w:rsidRPr="00C93F78">
        <w:rPr>
          <w:rFonts w:ascii="Times New Roman" w:eastAsia="Calibri" w:hAnsi="Times New Roman" w:cs="Times New Roman"/>
          <w:sz w:val="24"/>
          <w:szCs w:val="24"/>
        </w:rPr>
        <w:t>zatem wywiedzione</w:t>
      </w:r>
      <w:r w:rsidRPr="00C93F78">
        <w:rPr>
          <w:rFonts w:ascii="Times New Roman" w:hAnsi="Times New Roman" w:cs="Times New Roman"/>
          <w:sz w:val="24"/>
          <w:szCs w:val="24"/>
        </w:rPr>
        <w:t xml:space="preserve"> także z okoliczności złożenia przez wnioskodawcę lub inne powiązane podmioty innych wniosków o wydanie interpretacji indywidualnej, które będą uzupełniać przedstawiony stan faktyczny (zdarzenie przyszłe).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Modyfikacja art. 14b § 5b Op będzie dotyczyć także przesłanek, po spełnieniu których organ interpretacyjny odmówi wydania interpretacji indywidualnej. Z uwagi na fakt, że organ interpretacyjny nie jest uprawniony do wydania decyzji z zastosowaniem art. 119a Op oraz nie jest uprawniony do prowadzenia postępowania dowodowego, nie jest zasadne, aby oceniał on również przesłanki zawarte w art. 119b § 1 tej ustawy. W szczególności, organ interpretacyjny nie powinien oceniać wysokości potencjalnej korzyści podatkowej lub być związany wskazaną przez wnioskodawcę wysokością korzyści podatkowej albo informacją, że wnioskodawca otrzymał lub otrzyma opinię zabezpieczającą. Z tego względu, odmowa wydania interpretacji indywidualnej nastąpi w przypadku powzięcia uzasadnionego przypuszczenia, że elementy stanu faktycznego lub zdarzenia przyszłego spełniają definicję unikania opodatkowania w rozumieniu art. 119a § 1 Ordynacji podatkowej</w:t>
      </w:r>
      <w:r w:rsidRPr="00C93F78">
        <w:rPr>
          <w:rFonts w:ascii="Times New Roman" w:eastAsia="Calibri" w:hAnsi="Times New Roman" w:cs="Times New Roman"/>
          <w:sz w:val="24"/>
          <w:szCs w:val="24"/>
        </w:rPr>
        <w:t>, mogą być przedmiotem decyzji wydanej z zastosowaniem środków ograniczających umowne korzyści lub stanowić nadużycie prawa w rozumieniu art. 5 ust. 4 i 5 ustawy o VAT</w:t>
      </w:r>
      <w:r w:rsidRPr="00C93F78">
        <w:rPr>
          <w:rFonts w:ascii="Times New Roman" w:hAnsi="Times New Roman" w:cs="Times New Roman"/>
          <w:sz w:val="24"/>
          <w:szCs w:val="24"/>
        </w:rPr>
        <w:t xml:space="preserve"> .</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sz w:val="24"/>
          <w:szCs w:val="24"/>
        </w:rPr>
        <w:t>Szef KAS uzyska ponadto nadzorcze uprawnienie do uchylenia wydanej interpretacji indywidualnej z uwagi na wystąpienie przesłanki określonej w art. 14b § 5b Ordynacji podatkowej. Zmiana ta wpisuje się w uprawnienia nadzorcze Szefa KAS, które zostały określone w art. 14e § 1 Ordynacji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obecnym stanie prawnym Szef KAS nie posiada uprawnienia pozwalającego na eliminację z systemu prawnego interpretacji indywidualnych wydanych po rozpatrzeniu wniosków spełniających kryteria zawarte w art. 14b § 5b Ordynacji podatkowej. Przyznanie takiego uprawnienia Szefowi KAS przyczyni się do uszczelnienia systemu interpretacji indywidualnych. W niektórych, pojedynczych, przypadkach organ interpretacyjny może nie dostrzec dostatecznie wcześnie nowego schematu unikania opodatkowania (nadużycia prawa) lub nie połączyć kilku wniosków składających się na spójny stan faktyczny (zdarzenie przyszłe) prowadzący do unikania opodatkowania (nadużycia prawa).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Biorąc pod uwagę, że instytucja wydawania interpretacji indywidualnych jest i będzie narażona na rozpatrywanie coraz bardziej wyrafinowanych wniosków, których zadaniem będzie ominięcie przesłanek zawartych w art. 14b § 5b Ordynacji podatkowej, zasadne jest przyznanie Szefowi KAS omawianego uprawnienia. Uprawnienie to stanowiłoby pewnego rodzaju wentyl bezpieczeństwa i podnosiłoby nieopłacalność działalności gospodarczej polegającej m.in. na oferowaniu klientom sprzedaży podmiotów „wyposażonych” w oczekiwaną interpretację indywidualną.</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założeniu uprawnienie to stosowane byłoby przez Szefa KAS tylko wyjątkowo, ponieważ nadal do głównych zadań Krajowej Informacji Skarbowej należałaby identyfikacja stanów faktycznych i zdarzeń przyszłych mogących prowadzić do wydania decyzji opisanych w omawianym przepisie.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Moc wiążąca uchylonej interpretacji indywidualnej będzie określana na podstawie dotychczas stosowanych przepisów..</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art. 14e §1 Op. Szef KAS może z urzędu:</w:t>
      </w:r>
    </w:p>
    <w:p w:rsidR="00D05D84" w:rsidRPr="00C93F78" w:rsidRDefault="00D05D84" w:rsidP="00C93F78">
      <w:pPr>
        <w:pStyle w:val="Akapitzlist"/>
        <w:numPr>
          <w:ilvl w:val="2"/>
          <w:numId w:val="54"/>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zmienić wydaną interpretację indywidualną, jeżeli stwierdzi jej nieprawidłowość, uwzględniając w szczególności orzecznictwo sądów, TK lub Trybunału Sprawiedliwości UE,</w:t>
      </w:r>
    </w:p>
    <w:p w:rsidR="00D05D84" w:rsidRPr="00C93F78" w:rsidRDefault="00D05D84" w:rsidP="00C93F78">
      <w:pPr>
        <w:pStyle w:val="Akapitzlist"/>
        <w:numPr>
          <w:ilvl w:val="2"/>
          <w:numId w:val="54"/>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uchylić wydaną interpretację indywidualną i umorzyć postępowanie w sprawie wydania interpretacji indywidualnej, jeżeli w dniu jej wydania istniały przesłanki odmowy wszczęcia postępowania w sprawie wydania interpretacji indywidualnej.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Proponuje się dodanie punktu 3 do niniejszego przepisu art. 14e §</w:t>
      </w:r>
      <w:r w:rsidR="003C5CE4"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1, zgodnie z którym Szef KAS będzie mógł z urzędu uchylić wydaną interpretację indywidualną z uwagi na wystąpienie przesłanki, wymienionej w art. 14b § 5b. </w:t>
      </w:r>
      <w:r w:rsidRPr="00C93F78">
        <w:rPr>
          <w:rFonts w:ascii="Times New Roman" w:hAnsi="Times New Roman" w:cs="Times New Roman"/>
          <w:bCs/>
          <w:sz w:val="24"/>
          <w:szCs w:val="24"/>
        </w:rPr>
        <w:t>i odmówić, w drodze postanowienia na które służy zażalenie, wydania interpretacji indywidualnej.</w:t>
      </w:r>
    </w:p>
    <w:p w:rsidR="00D05D84" w:rsidRPr="00C93F78" w:rsidRDefault="00D05D84" w:rsidP="00C93F78">
      <w:pPr>
        <w:pStyle w:val="Nagwek2"/>
        <w:spacing w:after="240" w:line="360" w:lineRule="auto"/>
        <w:jc w:val="both"/>
        <w:rPr>
          <w:szCs w:val="24"/>
        </w:rPr>
      </w:pPr>
      <w:r w:rsidRPr="00C93F78">
        <w:rPr>
          <w:szCs w:val="24"/>
        </w:rPr>
        <w:t xml:space="preserve">Zmiany w przepisach art. 14na odnoszących się do mocy ochronnej interpretacji ogólnych oraz objaśnień podatkowych w przypadku unikania opodatkowania </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eastAsia="Calibri" w:hAnsi="Times New Roman" w:cs="Times New Roman"/>
          <w:color w:val="000000" w:themeColor="text1"/>
          <w:sz w:val="24"/>
          <w:szCs w:val="24"/>
        </w:rPr>
        <w:t>Zgodnie z przepisem art. 14na dotychczasową treść przepisu oznacza się jako §1 oraz dodaje się punkt 3, zgodnie z którym przepisów art. 14k-14n nie stosuje się, jeżeli stan faktyczny lub zdarzenie przyszłe będące przedmiotem interpretacji indywidualnej stanowi element czynności będących przedmiotem decyzji wydanej z zastosowaniem środków ograniczających umowne korzyści.</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eastAsia="Calibri" w:hAnsi="Times New Roman" w:cs="Times New Roman"/>
          <w:color w:val="000000" w:themeColor="text1"/>
          <w:sz w:val="24"/>
          <w:szCs w:val="24"/>
        </w:rPr>
        <w:t>Do przepisu art. 14 na, proponuje się ponadto dodanie §2, zgodnie z którym przepisów art. 14k</w:t>
      </w:r>
      <w:r w:rsidRPr="00C93F78">
        <w:rPr>
          <w:rFonts w:ascii="Times New Roman" w:eastAsia="Calibri" w:hAnsi="Times New Roman" w:cs="Times New Roman"/>
          <w:color w:val="000000" w:themeColor="text1"/>
          <w:sz w:val="24"/>
          <w:szCs w:val="24"/>
        </w:rPr>
        <w:noBreakHyphen/>
        <w:t>14n nie stosuje się, jeżeli korzyść podatkowa, stwierdzona w decyzjach wymienionych w § 1 pkt 1</w:t>
      </w:r>
      <w:r w:rsidRPr="00C93F78">
        <w:rPr>
          <w:rFonts w:ascii="Times New Roman" w:eastAsia="Calibri" w:hAnsi="Times New Roman" w:cs="Times New Roman"/>
          <w:color w:val="000000" w:themeColor="text1"/>
          <w:sz w:val="24"/>
          <w:szCs w:val="24"/>
        </w:rPr>
        <w:noBreakHyphen/>
        <w:t>3, jest skutkiem zastosowania się do wyjaśnień zakresu i sposobu stosowania przepisów prawa podatkowego wynikających z utrwalonej praktyki interpretacyjnej lub interpretacji ogólnej, lub wyjaśnień przepisów prawa podatkowego dotyczących stosowania tych przepisów zawartych w objaśnieniach podatkowych.</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uzasadnieniu do ustawy z dnia 13 maja 2016 r. o zmianie ustawy Ordynacja podatkowa oraz niektórych innych ustaw, w zakresie art. 14na Ordynacji podatkowej, stwierdzono m.in., że „</w:t>
      </w:r>
      <w:r w:rsidRPr="00C93F78">
        <w:rPr>
          <w:rFonts w:ascii="Times New Roman" w:hAnsi="Times New Roman" w:cs="Times New Roman"/>
          <w:i/>
          <w:sz w:val="24"/>
          <w:szCs w:val="24"/>
        </w:rPr>
        <w:t>(…) W związku z przewidzianym wprowadzeniem klauzuli przeciwko unikaniu opodatkowania zasadnym jest wprowadzenie rozwiązania wyłączającego ochronę prawną z tytułu zastosowania się do interpretacji indywidualnej dotyczącej zdarzenia, które stanowi unikanie opodatkowania. Nie ma uzasadnienia, aby podmiot, który unika opodatkowania, korzystał z ochrony wynikającej z uzyskanej interpretacji indywidualnej oraz mógł powoływać się na nieograniczone bezpieczeństwo prawne. Z uwagi na skutki ochronne interpretacji podatkowych (zwolnienie z obowiązku zapłaty podatku) brak proponowanego rozwiązania w zasadniczy sposób ograniczał będzie, a niejednokrotnie wyłączał, stosowanie klauzuli przeciwko unikaniu opodatkowania. Dlatego też zmiana w przedmiotowym zakresie powinna wyłączać ochronę prawną, uregulowaną w art. 14k–14n Ordynacji podatkowej. Proponuje się zatem wyłączenie ochrony w przypadku stwierdzenia w postępowaniu podatkowym przez organ podatkowy lub organ kontroli skarbowej, że stan faktyczny lub zdarzenie przyszłe będące przedmiotem interpretacji indywidualnej stanowi element (część) czynności będących przedmiotem decyzji w związku z zastosowaniem klauzuli przeciwko unikaniu opodatkowania</w:t>
      </w:r>
      <w:r w:rsidRPr="00C93F78">
        <w:rPr>
          <w:rFonts w:ascii="Times New Roman" w:hAnsi="Times New Roman" w:cs="Times New Roman"/>
          <w:sz w:val="24"/>
          <w:szCs w:val="24"/>
        </w:rPr>
        <w:t>”.</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hAnsi="Times New Roman" w:cs="Times New Roman"/>
          <w:sz w:val="24"/>
          <w:szCs w:val="24"/>
        </w:rPr>
        <w:t xml:space="preserve">Podobną funkcję ochronną dla podatnika mogą sprawować instytucje takie jak utrwalona praktyka interpretacyjna, interpretacja ogólna oraz objaśnienia podatkowe. Także w tym przypadku ich skutki ochronne nie </w:t>
      </w:r>
      <w:r w:rsidRPr="00C93F78">
        <w:rPr>
          <w:rFonts w:ascii="Times New Roman" w:eastAsia="Calibri" w:hAnsi="Times New Roman" w:cs="Times New Roman"/>
          <w:sz w:val="24"/>
          <w:szCs w:val="24"/>
        </w:rPr>
        <w:t>mogą</w:t>
      </w:r>
      <w:r w:rsidRPr="00C93F78">
        <w:rPr>
          <w:rFonts w:ascii="Times New Roman" w:hAnsi="Times New Roman" w:cs="Times New Roman"/>
          <w:sz w:val="24"/>
          <w:szCs w:val="24"/>
        </w:rPr>
        <w:t xml:space="preserve"> wyłączać stosowania przepisów przeciwko unikaniu opodatkowania oraz klauzuli nadużycia prawa w podatku od towarów i usług. </w:t>
      </w:r>
      <w:r w:rsidRPr="00C93F78">
        <w:rPr>
          <w:rFonts w:ascii="Times New Roman" w:eastAsia="Calibri" w:hAnsi="Times New Roman" w:cs="Times New Roman"/>
          <w:sz w:val="24"/>
          <w:szCs w:val="24"/>
        </w:rPr>
        <w:t>Dotychczas funkcję tę realizowało odesłanie do art. 14na Op zawarte w treści art. 14n § 4 Ordynacji podatkowej. W projekcie zdecydowano się dokonać przesunięcia tej regulacji z dotychczasowego art. 14n wprost do treści art. 14na Op</w:t>
      </w:r>
      <w:r w:rsidRPr="00C93F78">
        <w:rPr>
          <w:rFonts w:ascii="Times New Roman" w:hAnsi="Times New Roman" w:cs="Times New Roman"/>
          <w:sz w:val="24"/>
          <w:szCs w:val="24"/>
        </w:rPr>
        <w:t xml:space="preserve">. Pouczenie o treści art. 14na Op będzie stanowiło obligatoryjną część interpretacji indywidualnej. </w:t>
      </w:r>
      <w:r w:rsidRPr="00C93F78">
        <w:rPr>
          <w:rFonts w:ascii="Times New Roman" w:eastAsia="Calibri" w:hAnsi="Times New Roman" w:cs="Times New Roman"/>
          <w:sz w:val="24"/>
          <w:szCs w:val="24"/>
        </w:rPr>
        <w:t>Jednocześnie w celu uniknięcia wątpliwości</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wprowadzona została regulacja intertemporalna. Zgodnie z tym przepisem </w:t>
      </w:r>
      <w:r w:rsidRPr="00C93F78">
        <w:rPr>
          <w:rFonts w:ascii="Times New Roman" w:eastAsia="Calibri" w:hAnsi="Times New Roman" w:cs="Times New Roman"/>
          <w:i/>
          <w:sz w:val="24"/>
          <w:szCs w:val="24"/>
        </w:rPr>
        <w:t>jeżeli korzyść podatkowa uzyskana do dnia wejścia w życie niniejszej ustawy jest skutkiem zastosowania przepisów prawa podatkowego będących przedmiotem wyjaśnień zakresu i sposobu stosowania tych przepisów wynikających z utrwalonej praktyki interpretacyjnej lub wyjaśnień przepisów prawa podatkowego, dotyczących stosowania tych przepisów, zawartych w objaśnieniach podatkowych, do utrwalonej praktyki interpretacyjnej zaistniałej przed dniem wejścia w życie niniejszej ustawy oraz do objaśnień podatkowych wydanych przed dniem wejścia w życie niniejszej ustawy stosuje się przepis art. 14n § 4 ustawy zmienianej w art. 1 w wersji obowiązującej na dzień uzyskania korzyści podatkowej</w:t>
      </w:r>
      <w:r w:rsidRPr="00C93F78">
        <w:rPr>
          <w:rFonts w:ascii="Times New Roman" w:eastAsia="Calibri" w:hAnsi="Times New Roman" w:cs="Times New Roman"/>
          <w:sz w:val="24"/>
          <w:szCs w:val="24"/>
        </w:rPr>
        <w:t>.</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Powyższe unormowanie należy odczytywać łącznie z art. 29 ustawy z dnia 16 grudnia 2016 r. o zmianie niektórych ustaw w celu poprawy otoczenia prawnego przedsiębiorców (Dz. U. poz. 2255 ze zm.). Wskazaną ustawą wprowadzono § 4 w art. 14n Ordynacji podatkowej – tj. unormowanie, w którym wskazano między innymi na moc ochronną</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zastosowania się do objaśnień podatkowych i utrwalonej praktyki interpretacyjnej przepisem przejściowym oraz jej ograniczenie w sytuacji unikania opodatkowania. Przepis art. 29 wymienionej ustawy z 16 grudnia 2016 r. wskazuje, że przepis art. 14n § 4 Op ma zastosowanie do okresów rozliczeniowych rozpoczynających się od dnia 1 stycznia 2017 r. (tj. od dnia wejścia w życie tamtej ustawy). Łączna analiza ww. art. 29 oraz projektowanego art. 9 ust. 4 wskazuje, że projektowane rozwiązania oznaczają jedynie zmianę redakcyjną, tj. zastąpienie odesłania w treści art. 14n § 4 Ordynacji podatkowej do art. 14na tej ustawy na bezpośrednie uregulowanie w tym drugim przepisie braku ochrony w unikania opodatkowania, nadużycia prawa w podatku od towarów i usług lub zastosowania środków ograniczających korzyści podatkowych.</w:t>
      </w:r>
    </w:p>
    <w:p w:rsidR="00D05D84" w:rsidRPr="00C93F78" w:rsidRDefault="00D05D84" w:rsidP="00C93F78">
      <w:pPr>
        <w:pStyle w:val="Nagwek2"/>
        <w:spacing w:after="240" w:line="360" w:lineRule="auto"/>
        <w:jc w:val="both"/>
        <w:rPr>
          <w:szCs w:val="24"/>
        </w:rPr>
      </w:pPr>
      <w:r w:rsidRPr="00C93F78">
        <w:rPr>
          <w:szCs w:val="24"/>
        </w:rPr>
        <w:t xml:space="preserve">Zakaz przenoszenia winy z płatnika na podatnika w przypadku istnienia powiązań lub struktur powierniczych </w:t>
      </w:r>
    </w:p>
    <w:p w:rsidR="00D05D84" w:rsidRPr="00C93F78" w:rsidRDefault="00D05D84"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Zgodnie z art. 30 § 1 Ordynacji podatkowej, płatnik, który nie wykonał obowiązków określonych w art. 8, odpowiada za podatek niepobrany lub podatek pobrany a niewpłacony. Odpowiedzialność płatnika jest wyłączona zgodnie z § 5 ww. przepisu, między innymi, gdy podatek nie został pobrany z winy podatnika. Niemniej jednak w pewnych sytuacjach wyłączenie tego obowiązku może być nadużywane przez płatnika, co jest związane z ryzykiem unikania opodatkowania, bądź niedokładnego uregulowania zobowiązań podatkowych. </w:t>
      </w:r>
      <w:r w:rsidR="006D4257" w:rsidRPr="00C93F78">
        <w:rPr>
          <w:rFonts w:ascii="Times New Roman" w:hAnsi="Times New Roman" w:cs="Times New Roman"/>
          <w:sz w:val="24"/>
          <w:szCs w:val="24"/>
        </w:rPr>
        <w:t xml:space="preserve">Należy wskazać, że </w:t>
      </w:r>
      <w:r w:rsidR="006673FD" w:rsidRPr="00C93F78">
        <w:rPr>
          <w:rFonts w:ascii="Times New Roman" w:hAnsi="Times New Roman" w:cs="Times New Roman"/>
          <w:sz w:val="24"/>
          <w:szCs w:val="24"/>
        </w:rPr>
        <w:t xml:space="preserve">na </w:t>
      </w:r>
      <w:r w:rsidR="006D4257" w:rsidRPr="00C93F78">
        <w:rPr>
          <w:rFonts w:ascii="Times New Roman" w:hAnsi="Times New Roman" w:cs="Times New Roman"/>
          <w:sz w:val="24"/>
          <w:szCs w:val="24"/>
        </w:rPr>
        <w:t>skutek wystąpienia jednej z przesłanek zawartych w § 5a art. 30</w:t>
      </w:r>
      <w:r w:rsidR="006673FD" w:rsidRPr="00C93F78">
        <w:rPr>
          <w:rFonts w:ascii="Times New Roman" w:hAnsi="Times New Roman" w:cs="Times New Roman"/>
          <w:sz w:val="24"/>
          <w:szCs w:val="24"/>
        </w:rPr>
        <w:t>, opisanych poniżej</w:t>
      </w:r>
      <w:r w:rsidR="006D4257" w:rsidRPr="00C93F78">
        <w:rPr>
          <w:rFonts w:ascii="Times New Roman" w:hAnsi="Times New Roman" w:cs="Times New Roman"/>
          <w:sz w:val="24"/>
          <w:szCs w:val="24"/>
        </w:rPr>
        <w:t xml:space="preserve">, zastosowanie będą mieć przepisy o odpowiedzialności płatnika, określone w </w:t>
      </w:r>
      <w:r w:rsidR="007E0C57" w:rsidRPr="00C93F78">
        <w:rPr>
          <w:rFonts w:ascii="Times New Roman" w:hAnsi="Times New Roman" w:cs="Times New Roman"/>
          <w:sz w:val="24"/>
          <w:szCs w:val="24"/>
        </w:rPr>
        <w:t xml:space="preserve">przepisach ogólnych, tj. </w:t>
      </w:r>
      <w:r w:rsidR="006673FD" w:rsidRPr="00C93F78">
        <w:rPr>
          <w:rFonts w:ascii="Times New Roman" w:hAnsi="Times New Roman" w:cs="Times New Roman"/>
          <w:sz w:val="24"/>
          <w:szCs w:val="24"/>
        </w:rPr>
        <w:t xml:space="preserve">art. 30 </w:t>
      </w:r>
      <w:r w:rsidR="006D4257" w:rsidRPr="00C93F78">
        <w:rPr>
          <w:rFonts w:ascii="Times New Roman" w:hAnsi="Times New Roman" w:cs="Times New Roman"/>
          <w:sz w:val="24"/>
          <w:szCs w:val="24"/>
        </w:rPr>
        <w:t>§ 1</w:t>
      </w:r>
      <w:r w:rsidR="007E0C57" w:rsidRPr="00C93F78">
        <w:rPr>
          <w:rFonts w:ascii="Times New Roman" w:hAnsi="Times New Roman" w:cs="Times New Roman"/>
          <w:sz w:val="24"/>
          <w:szCs w:val="24"/>
        </w:rPr>
        <w:t xml:space="preserve">, § 3 i § </w:t>
      </w:r>
      <w:r w:rsidR="006D4257" w:rsidRPr="00C93F78">
        <w:rPr>
          <w:rFonts w:ascii="Times New Roman" w:hAnsi="Times New Roman" w:cs="Times New Roman"/>
          <w:sz w:val="24"/>
          <w:szCs w:val="24"/>
        </w:rPr>
        <w:t>4.</w:t>
      </w:r>
      <w:r w:rsidR="007E0C57" w:rsidRPr="00C93F78">
        <w:rPr>
          <w:rFonts w:ascii="Times New Roman" w:hAnsi="Times New Roman" w:cs="Times New Roman"/>
          <w:sz w:val="24"/>
          <w:szCs w:val="24"/>
        </w:rPr>
        <w:t xml:space="preserve"> Uznano bowiem, że w </w:t>
      </w:r>
      <w:r w:rsidR="00F93B0F" w:rsidRPr="00C93F78">
        <w:rPr>
          <w:rFonts w:ascii="Times New Roman" w:hAnsi="Times New Roman" w:cs="Times New Roman"/>
          <w:sz w:val="24"/>
          <w:szCs w:val="24"/>
        </w:rPr>
        <w:t xml:space="preserve">przypadkach </w:t>
      </w:r>
      <w:r w:rsidR="007E0C57" w:rsidRPr="00C93F78">
        <w:rPr>
          <w:rFonts w:ascii="Times New Roman" w:hAnsi="Times New Roman" w:cs="Times New Roman"/>
          <w:sz w:val="24"/>
          <w:szCs w:val="24"/>
        </w:rPr>
        <w:t>uregulowanych w</w:t>
      </w:r>
      <w:r w:rsidR="00F93B0F" w:rsidRPr="00C93F78">
        <w:rPr>
          <w:rFonts w:ascii="Times New Roman" w:hAnsi="Times New Roman" w:cs="Times New Roman"/>
          <w:sz w:val="24"/>
          <w:szCs w:val="24"/>
        </w:rPr>
        <w:t xml:space="preserve"> </w:t>
      </w:r>
      <w:r w:rsidR="007E0C57" w:rsidRPr="00C93F78">
        <w:rPr>
          <w:rFonts w:ascii="Times New Roman" w:hAnsi="Times New Roman" w:cs="Times New Roman"/>
          <w:sz w:val="24"/>
          <w:szCs w:val="24"/>
        </w:rPr>
        <w:t>§ 5a</w:t>
      </w:r>
      <w:r w:rsidR="00F93B0F" w:rsidRPr="00C93F78">
        <w:rPr>
          <w:rFonts w:ascii="Times New Roman" w:hAnsi="Times New Roman" w:cs="Times New Roman"/>
          <w:sz w:val="24"/>
          <w:szCs w:val="24"/>
        </w:rPr>
        <w:t xml:space="preserve"> nie powinno dochodzić do wyłączenia lub ograniczenia odpowiedzialności płatnika</w:t>
      </w:r>
      <w:r w:rsidR="007E0C57" w:rsidRPr="00C93F78">
        <w:rPr>
          <w:rFonts w:ascii="Times New Roman" w:hAnsi="Times New Roman" w:cs="Times New Roman"/>
          <w:sz w:val="24"/>
          <w:szCs w:val="24"/>
        </w:rPr>
        <w:t xml:space="preserve">. </w:t>
      </w:r>
      <w:r w:rsidRPr="00C93F78">
        <w:rPr>
          <w:rFonts w:ascii="Times New Roman" w:hAnsi="Times New Roman" w:cs="Times New Roman"/>
          <w:sz w:val="24"/>
          <w:szCs w:val="24"/>
        </w:rPr>
        <w:t>Do takich sytuacji należy zaliczyć:</w:t>
      </w:r>
    </w:p>
    <w:p w:rsidR="00D05D84" w:rsidRPr="00C93F78" w:rsidRDefault="00D05D84"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1) Występowanie kontroli między płatnikiem i podatnikiem zgodnie z przepisami art. 30f ust. 3 pkt 3 ustawy z dnia 26 lipca 1991 r. o podatku dochodowym od osób fizycznych lub art. 24a ust 3 pkt 3 ustawy z dnia 15 lutego 1992 r. o podatku dochodowym od osób prawnych – ponieważ dotyczy to relacji, które często występują w strukturach agresywnej optymalizacji podatkowej (kontrola umożliwia manipulację przepływami środków finansowych i niefinansowych bez uzasadnienie ekonomicznego poza uniknięciem podatku);</w:t>
      </w:r>
    </w:p>
    <w:p w:rsidR="00D05D84" w:rsidRPr="00C93F78" w:rsidRDefault="00D05D84"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2) Posiadanie przez podatnika lub płatnika rezydencji podatkowej, miejsca rejestru lub lokalizacji w raju podatkowym lub innej jurysdykcji, z którą Polska nie ma podstaw prawnych do wymiany informacji podatkowych – ponieważ ww. jurysdykcje najczęściej służą do unikania lub uchylania się od opodatkowania ze względu na obowiązujące tam bardzo niskie lub zerowe opodatkowanie dochodu oraz tajemnicę w stosunku do informacji właściwych dla stosowania przepisów podatkowych w innych państwach;</w:t>
      </w:r>
    </w:p>
    <w:p w:rsidR="00D05D84" w:rsidRPr="00C93F78" w:rsidRDefault="00D05D84" w:rsidP="00C93F78">
      <w:pPr>
        <w:spacing w:line="360" w:lineRule="auto"/>
        <w:jc w:val="both"/>
        <w:rPr>
          <w:rFonts w:ascii="Times New Roman" w:hAnsi="Times New Roman"/>
          <w:sz w:val="24"/>
          <w:szCs w:val="24"/>
        </w:rPr>
      </w:pPr>
      <w:r w:rsidRPr="00C93F78">
        <w:rPr>
          <w:rFonts w:ascii="Times New Roman" w:hAnsi="Times New Roman" w:cs="Times New Roman"/>
          <w:sz w:val="24"/>
          <w:szCs w:val="24"/>
        </w:rPr>
        <w:t>3) Zarządzanie lub kontrolowanie, bezpośrednio lub pośrednio, przez podatnika lub płatnika, lub przebywanie przez któregoś z nich w relacjach umownych lub faktycznych, w tym jako założyciel/fundator lub beneficjent fundacji lub trustu lub innego podmiotu lub tytułu o charakterze powierniczym – ponieważ stosunki o charakterze powierniczym, w szczególności te dotyczące zagranicznych fundacji lub trustów, ze względu na specyfikę ich funkcjonowania (duża anonimowość podmiotów funkcjonujących w ramach fundacji lub trustów oraz daleko idąca ochrona majątku w dyspozycji fundacji lub trustu oraz bardzo preferencyjne opodatkowania tych podmiotów fundacji i trustów) są często związane z unikaniem opodatkowania, w tym z próbami wyjścia poza zakres zastosowania przepisów skierowanych przeciwko unikaniu opodatkowania, takich, jak przepisy o zagranicznych spółkach kontrolowanych lub ogólnej klauzuli skierowanej przeciwko unikaniu opodatkowania,</w:t>
      </w:r>
    </w:p>
    <w:p w:rsidR="00D05D84" w:rsidRPr="00C93F78" w:rsidRDefault="00D05D84"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4) Niewykonanie przez płatnika obowiązku nastąpiło w odniesieniu do podmiotu, dla którego na podstawie publicznie dostępnych informacji nie jest możliwe ustalenie udziałowca, akcjonariusza lub podmiotu o zbliżonych uprawnieniach, który posiada co najmniej 10% udziałów w kapitale lub co najmniej 10% praw głosu w organach kontrolnych, stanowiących lub zarządczych, lub co najmniej 10% udziałów związanych z prawem do uczestnictwa w zyskach.”.</w:t>
      </w:r>
    </w:p>
    <w:p w:rsidR="00D05D84" w:rsidRPr="00C93F78" w:rsidRDefault="00D05D84" w:rsidP="00C93F78">
      <w:pPr>
        <w:pStyle w:val="Nagwek2"/>
        <w:spacing w:after="240" w:line="360" w:lineRule="auto"/>
        <w:jc w:val="both"/>
        <w:rPr>
          <w:szCs w:val="24"/>
        </w:rPr>
      </w:pPr>
      <w:r w:rsidRPr="00C93F78">
        <w:rPr>
          <w:szCs w:val="24"/>
        </w:rPr>
        <w:t>Umożliwienie dokonania zabezpieczenia wykonania zobowiązań podatkowych związanych z unikaniem opodatkowania przez inne organy podatkowe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Prognozuje się, że postępowania podatkowe w zakresie stosowania klauzuli przeciwko unikaniu opodatkowania lub środków ograniczających umowne korzyści będą prowadzone przede wszystkim w wyniku przejęcia takich postępowań od naczelników urzędów skarbowych, naczelników urzędów celno-skarbowych oraz organów podatkowych będących jednostkami samorządu terytorialnego. W przypadku naczelnika urzędu skarbowego lub naczelnika urzędu celno-skarbowego możliwe jest także przejęcie odpowiednio kontroli podatkowej lub kontroli celno-skarbowej w celu wszczęcia postępowania podatkowego przez Szefa KAS. W obecnym stanie prawnym, z uwagi na brzmienie art. 13 § 2 pkt 7 Ordynacji podatkowej, należy przyjąć, że organy podatkowe inne niż Szef KAS nie mogą dokonywać zabezpieczenia zobowiązań podatkowych związanych z unikaniem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Proponowane uzupełnienie art. 33 Ordynacji podatkowej umożliwi organom podatkowym dokonanie zabezpieczenia zobowiązań podatkowych związanych z unikaniem opodatkowania w okolicznościach wymienionych w art. 33 § 1 i 2 Op. Brak takiej regulacji oznaczałby bowiem, że podatnicy i płatnicy, do czasu przejęcia postępowania podatkowego przez Szefa KAS, będą przede wszystkim mogli wyzbywać się majątku mogącego stanowić podstawę do wykonania zobowiązań podatkowych związanych z unikaniem opodatkowania. Dodatkową zachętę do takich działań może stanowić dla podatników ryzyko ustalenia dodatkowego zobowiązania podatkowego związanego z unikaniem opodatkowania. W tym scenariuszu spodziewane działania mogą polegać na przesuwaniu aktywów z podmiotu zagrożonego otrzymaniem decyzji wydanej na podstawie art. 119a lub umownej klauzuli przeciwko unikaniu opodatkowania do np. powiązanego podmiotu wolnego od takiego ryzyka.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 uwagi na fakt, że w przypadku dokonywania zabezpieczeń zobowiązań podatkowych istotne jest szybkie i efektywne działanie, wskazane jest przyznanie organom podatkowym innym niż Szef KAS stosownego uprawnienia. Podkreślić należy, że choć te organy podatkowe nie mogą stosować klauzuli przeciwko unikaniu opodatkowania lub środków ograniczających umowne korzyści, to przepisy Ordynacji podatkowej nie stoją na przeszkodzie prowadzeniu kontroli podatkowej, kontroli celno-skarbowej lub postępowania podatkowego w kierunku stwierdzenia unikania opodatkowania i przekazania prowadzonego postępowania Szefowi KAS. Istotne jest także to, aby żmudne i kosztowne postępowania podatkowe w zakresie unikania opodatkowania nie były prowadzone wobec podatników, którzy wyzbywają lub wyzbyli się już majątku, co będzie prowadzić do bezskutecznej egzekucji administracyjnej i braku efektu fiskalnego.</w:t>
      </w:r>
    </w:p>
    <w:p w:rsidR="003C5CE4" w:rsidRPr="00C93F78" w:rsidRDefault="003C5CE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art. 33 § 4b proponuje się ponadto doprecyzować, że dokonywanie zabezpieczeń zobowiązań podatkowych wynikających z możliwości wydania decyzji z zastosowaniem klauzuli przeciwko unikaniu opodatkowania lub środków ograniczających umowne korzyści przez inne organy podatkowe przed przejęciem lub wszczęciem postępowania na podstawie art. 119g § 1 lub 3 Ordynacji podatkowej nie narusza kompetencji Szefa Krajowej Administracji Skarbowej, tj. organu pierwszej instancji właściwego w tych sprawach zgodnie z art. 13 § 2 pkt 7 Ordynacji podatkowej.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Proponowana zmiana nie wpływa na regulację, zgodnie z którą decyzja organu I instancji w zakresie zastosowania klauzuli przeciwko unikaniu opodatkowania nie może być przedmiotem nadania rygoru natychmiastowej wykonalności. Podnosi jednak efektywność przepisów związanych z przeciwdziałaniem unikaniu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przypadku przejęcia lub wszczęcia postępowania podatkowego przez Szefa KAS proponuje się, aby zgodnie z projektowanym art. 119gd § 1 Op organem właściwym do wydania decyzji o zabezpieczeniu na podstawie art. 33 Ordynacji podatkowej był organ pierwszej instancji </w:t>
      </w:r>
      <w:r w:rsidR="003C5CE4" w:rsidRPr="00C93F78">
        <w:rPr>
          <w:rFonts w:ascii="Times New Roman" w:hAnsi="Times New Roman" w:cs="Times New Roman"/>
          <w:sz w:val="24"/>
          <w:szCs w:val="24"/>
        </w:rPr>
        <w:t>wskazany w art. 13 § 1 pkt 1 Ordynacji podatkowej</w:t>
      </w:r>
      <w:r w:rsidRPr="00C93F78">
        <w:rPr>
          <w:rFonts w:ascii="Times New Roman" w:hAnsi="Times New Roman" w:cs="Times New Roman"/>
          <w:sz w:val="24"/>
          <w:szCs w:val="24"/>
        </w:rPr>
        <w:t>. Organ podatkowy ustalony zgodnie z właściwością miejscową podatnika posiada bowiem większą wiedzę na temat dotychczasowego wypełniania przez podatnika zobowiązań podatkowych oraz dokonywanych przez niego czynności polegających na zbywaniu majątku. Organ ten jednak będzie zobligowany, w toku postępowania określonego w przepisach rozdziału 2 działu IIIa, do wystąpienia do Szefa KAS o opinię w zakresie dokonania zabezpieczenia, zaś Szef KAS będzie mógł – wyrażając pozytywną opinię – przekazać informacje określone w art. 33 § 4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 uwagi na fakt, że postępowanie w sprawie zabezpieczenia cechuje się ograniczoną jawnością, o czym świadczą przepisy art. 165 § 5 pkt 4 oraz art. 200 § 2 pkt 2 Op, niezasadne jest aby podatnik był informowany o zasięgnięciu przez organ podatkowy opinii Szefa KAS. Z tego względu proponuje się wyłączenie stosowania art. 209 § 2 Op. Ponadto nie jest zasadne, aby formą wyrażenia opinii przez Szefa KAS, w danej sytuacji, było postanowienie (art. 209 § 5 Op).</w:t>
      </w:r>
    </w:p>
    <w:p w:rsidR="00D05D84" w:rsidRPr="00C93F78" w:rsidRDefault="00D05D84" w:rsidP="00C93F78">
      <w:pPr>
        <w:pStyle w:val="Nagwek2"/>
        <w:spacing w:line="360" w:lineRule="auto"/>
        <w:jc w:val="both"/>
        <w:rPr>
          <w:b w:val="0"/>
          <w:szCs w:val="24"/>
        </w:rPr>
      </w:pPr>
      <w:r w:rsidRPr="00C93F78">
        <w:rPr>
          <w:rStyle w:val="Nagwek2Znak"/>
          <w:b/>
          <w:szCs w:val="24"/>
        </w:rPr>
        <w:t>Odsetki za zwłokę</w:t>
      </w:r>
      <w:r w:rsidRPr="00C93F78">
        <w:rPr>
          <w:b w:val="0"/>
          <w:szCs w:val="24"/>
        </w:rPr>
        <w:t xml:space="preserve">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Zgodnie z projektowanym pkt 7b do art. 54 §1 odsetek za zwłokę nie nalicza się za okres od dnia złożenia wniosku o wydanie decyzji w zakresie cofnięcia skutków unikania opodatkowania, do dnia cofnięcia skutków unikania opodatkowania zgodnie z art. 119zfk §1 lub 2, od zaległości związanych z osiągnięciem korzyści podatkowej. Wobec powyższego organ podatkowy może zabezpieczyć zobowiązanie z tytułu zastosowania klauzuli przeciwko unikaniu opodatkowania lub środków ograniczających umowne korzyści jeszcze przed przekazaniem postępowania Szefowi KAS. </w:t>
      </w:r>
    </w:p>
    <w:p w:rsidR="00D05D84" w:rsidRPr="00C93F78" w:rsidRDefault="00D05D84" w:rsidP="00C93F78">
      <w:pPr>
        <w:pStyle w:val="Nagwek2"/>
        <w:spacing w:after="240" w:line="360" w:lineRule="auto"/>
        <w:jc w:val="both"/>
        <w:rPr>
          <w:b w:val="0"/>
          <w:szCs w:val="24"/>
        </w:rPr>
      </w:pPr>
      <w:r w:rsidRPr="00C93F78">
        <w:rPr>
          <w:rStyle w:val="Nagwek2Znak"/>
          <w:b/>
          <w:szCs w:val="24"/>
        </w:rPr>
        <w:t>Dodatkowe zobowiązanie podatkowe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Jednym z założeń projektu jest wprowadzenie dodatkowego zobowiązania podatkowego związanego z unikaniem opodatkowania</w:t>
      </w:r>
      <w:r w:rsidRPr="00C93F78">
        <w:rPr>
          <w:rFonts w:ascii="Times New Roman" w:eastAsia="Calibri" w:hAnsi="Times New Roman" w:cs="Times New Roman"/>
          <w:sz w:val="24"/>
          <w:szCs w:val="24"/>
        </w:rPr>
        <w:t>, zastosowaniem środków ograniczających umowne korzyści lub przepisów o cenach transferowych.</w:t>
      </w:r>
      <w:r w:rsidRPr="00C93F78">
        <w:rPr>
          <w:rFonts w:ascii="Times New Roman" w:hAnsi="Times New Roman" w:cs="Times New Roman"/>
          <w:sz w:val="24"/>
          <w:szCs w:val="24"/>
        </w:rPr>
        <w:t xml:space="preserve"> Organ podatkowy wydając decyzję z zastosowaniem </w:t>
      </w:r>
      <w:r w:rsidRPr="00C93F78">
        <w:rPr>
          <w:rFonts w:ascii="Times New Roman" w:eastAsia="Calibri" w:hAnsi="Times New Roman" w:cs="Times New Roman"/>
          <w:sz w:val="24"/>
          <w:szCs w:val="24"/>
        </w:rPr>
        <w:t>tych przepisów ustalał będzie</w:t>
      </w:r>
      <w:r w:rsidRPr="00C93F78">
        <w:rPr>
          <w:rFonts w:ascii="Times New Roman" w:hAnsi="Times New Roman" w:cs="Times New Roman"/>
          <w:sz w:val="24"/>
          <w:szCs w:val="24"/>
        </w:rPr>
        <w:t xml:space="preserve"> dodatkowe zobowiązanie podatkowe odpowiadające ułamkowi stwierdzonej w postępowaniu korzyści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Zasadniczym powodem wprowadzenia </w:t>
      </w:r>
      <w:r w:rsidRPr="00C93F78">
        <w:rPr>
          <w:rFonts w:ascii="Times New Roman" w:eastAsia="Calibri" w:hAnsi="Times New Roman" w:cs="Times New Roman"/>
          <w:sz w:val="24"/>
          <w:szCs w:val="24"/>
        </w:rPr>
        <w:t>tych uregulowań</w:t>
      </w:r>
      <w:r w:rsidRPr="00C93F78">
        <w:rPr>
          <w:rFonts w:ascii="Times New Roman" w:hAnsi="Times New Roman" w:cs="Times New Roman"/>
          <w:sz w:val="24"/>
          <w:szCs w:val="24"/>
        </w:rPr>
        <w:t xml:space="preserve"> jest niewystarczający efekt prewencyjny</w:t>
      </w:r>
      <w:r w:rsidRPr="00C93F78">
        <w:rPr>
          <w:rFonts w:ascii="Times New Roman" w:eastAsia="Calibri" w:hAnsi="Times New Roman" w:cs="Times New Roman"/>
          <w:sz w:val="24"/>
          <w:szCs w:val="24"/>
        </w:rPr>
        <w:t>,</w:t>
      </w:r>
      <w:r w:rsidRPr="00C93F78">
        <w:rPr>
          <w:rFonts w:ascii="Times New Roman" w:hAnsi="Times New Roman" w:cs="Times New Roman"/>
          <w:sz w:val="24"/>
          <w:szCs w:val="24"/>
        </w:rPr>
        <w:t xml:space="preserve"> jaki aktualnie wywierany jest przez </w:t>
      </w:r>
      <w:r w:rsidRPr="00C93F78">
        <w:rPr>
          <w:rFonts w:ascii="Times New Roman" w:eastAsia="Calibri" w:hAnsi="Times New Roman" w:cs="Times New Roman"/>
          <w:sz w:val="24"/>
          <w:szCs w:val="24"/>
        </w:rPr>
        <w:t>przepisy klauzuli</w:t>
      </w:r>
      <w:r w:rsidRPr="00C93F78">
        <w:rPr>
          <w:rFonts w:ascii="Times New Roman" w:hAnsi="Times New Roman" w:cs="Times New Roman"/>
          <w:sz w:val="24"/>
          <w:szCs w:val="24"/>
        </w:rPr>
        <w:t xml:space="preserve"> przeciwko unikaniu opodatkowania</w:t>
      </w:r>
      <w:r w:rsidR="00B51E08" w:rsidRPr="00C93F78">
        <w:rPr>
          <w:rFonts w:ascii="Times New Roman" w:hAnsi="Times New Roman" w:cs="Times New Roman"/>
          <w:sz w:val="24"/>
          <w:szCs w:val="24"/>
        </w:rPr>
        <w:t>.</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Pomimo przyjęcia przez projektodawcę założenia, że najistotniejszą funkcją klauzuli powinna być prewencja, to w ocenie projektodawcy trudno uznać, że konsekwencje zastosowania przedmiotowej klauzuli zniechęcają obecnie podatników do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Jak wskazuje się w doktrynie, jedną z wad</w:t>
      </w:r>
      <w:r w:rsidRPr="00C93F78">
        <w:rPr>
          <w:rFonts w:ascii="Times New Roman" w:eastAsia="Calibri" w:hAnsi="Times New Roman" w:cs="Times New Roman"/>
          <w:sz w:val="24"/>
          <w:szCs w:val="24"/>
        </w:rPr>
        <w:t xml:space="preserve"> obecnie obowiązującego kształtu</w:t>
      </w:r>
      <w:r w:rsidRPr="00C93F78">
        <w:rPr>
          <w:rFonts w:ascii="Times New Roman" w:hAnsi="Times New Roman" w:cs="Times New Roman"/>
          <w:sz w:val="24"/>
          <w:szCs w:val="24"/>
        </w:rPr>
        <w:t xml:space="preserve"> klauzuli przeciwko unikaniu opodatkowania jest jej niewielkie oddziaływanie prewencyjne „</w:t>
      </w:r>
      <w:r w:rsidRPr="00C93F78">
        <w:rPr>
          <w:rFonts w:ascii="Times New Roman" w:hAnsi="Times New Roman" w:cs="Times New Roman"/>
          <w:i/>
          <w:sz w:val="24"/>
          <w:szCs w:val="24"/>
        </w:rPr>
        <w:t>(…) gdyż zastosowanie klauzuli nie wymaga poniesienia dodatkowych konsekwencji przekraczających należne zobowiązanie podatkowe (czasami dodatkowe sankcje administracyjne są przewidziane. Występują one w takich państwach jak: Australia, Francja, Irlandia, Nowa Zelandia, Stany Zjednoczone i Węgry). Oznacza to, że unikający opodatkowania mogą być skłonni zaryzykować zastosowanie sztucznych konstrukcji, licząc na to, że konsekwencją zastosowania klauzuli będzie jedynie zapłata wyższego podatku, który byłby i tak zapłacony, gdyby dana konstrukcja służąca unikaniu opodatkowania nie została zastosowana. Z punktu widzenia ekonomicznej analizy prawa brak kar zachęca do unikania opodatkowania, ponieważ unikanie opodatkowania nie zmniejsza użyteczności podatnika (zapłaci on podatek w</w:t>
      </w:r>
      <w:r w:rsidRPr="00C93F78">
        <w:rPr>
          <w:rFonts w:ascii="Times New Roman" w:eastAsia="Calibri" w:hAnsi="Times New Roman" w:cs="Times New Roman"/>
          <w:i/>
          <w:sz w:val="24"/>
          <w:szCs w:val="24"/>
        </w:rPr>
        <w:t> </w:t>
      </w:r>
      <w:r w:rsidRPr="00C93F78">
        <w:rPr>
          <w:rFonts w:ascii="Times New Roman" w:hAnsi="Times New Roman" w:cs="Times New Roman"/>
          <w:i/>
          <w:sz w:val="24"/>
          <w:szCs w:val="24"/>
        </w:rPr>
        <w:t>prawidłowej wysokości określonej przez organy podatkowe lub podatek w niższej wysokości, jeśli zastosowane działania nie zostaną zakwestionowane)</w:t>
      </w:r>
      <w:r w:rsidRPr="00C93F78">
        <w:rPr>
          <w:rFonts w:ascii="Times New Roman" w:hAnsi="Times New Roman" w:cs="Times New Roman"/>
          <w:sz w:val="24"/>
          <w:szCs w:val="24"/>
        </w:rPr>
        <w:t>” (por. J. Kudła, Klauzula przeciwko unikaniu opodatkowania – ujęcie ekonomiczne, Analizy i Studia CASP nr 1(2)/2017).</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kontekście dodatkowego zobowiązania podatkowego z tytułu zastosowania klauzuli przeciwko unikaniu opodatkowania odwołać się można do teorii gier oraz problematyki analizy ryzyka w kontekście maksymalizacji korzyści podatkowych. Teoria gier jest dziedziną zajmującą się opisem sytuacji, w których uczestniczą podmioty świadomie podejmujące pewne decyzje, w wyniku których następują rozstrzygnięcia mogące zmienić ich położenie. Analogicznie do analizy ryzyka oraz podejmowania racjonalnych działań w teorii gier, planowanie podatkowe cechuje takie kształtowanie zobowiązań podatkowych, by maksymalizować korzyści podatkowe, przy jednoczesnym dążeniu do minimalizowania ryzyka. Celem projektodawcy jest, by sankcje z tytułu stosowania klauzuli przeciwko unikaniu opodatkowania, pozwalały na zminimalizowanie ryzyka kalkulacji przez podatników, czy korzyść podatkowa, przewyższa ryzyko zakwestionowania transakcji.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teorii ekonomicznej analizy prawa wskazuje się natomiast, że „</w:t>
      </w:r>
      <w:r w:rsidRPr="00C93F78">
        <w:rPr>
          <w:rFonts w:ascii="Times New Roman" w:hAnsi="Times New Roman" w:cs="Times New Roman"/>
          <w:i/>
          <w:sz w:val="24"/>
          <w:szCs w:val="24"/>
        </w:rPr>
        <w:t>(…) na ogół nie uda się odstraszyć złodziei, przez wymaganie, aby wtedy, kiedy udało się ich złapać, musieli oddać, co ukradli. W celu odstraszenia złodziei prawo musi ustanowić wystarczające kary, tak by oczekiwana korzyść netto z przestępstwa była dla przestępcy ujemna</w:t>
      </w:r>
      <w:r w:rsidRPr="00C93F78">
        <w:rPr>
          <w:rFonts w:ascii="Times New Roman" w:hAnsi="Times New Roman" w:cs="Times New Roman"/>
          <w:sz w:val="24"/>
          <w:szCs w:val="24"/>
        </w:rPr>
        <w:t>” (por. R. Cooter, T. Ulen, Ekonomiczna analiza prawa, Wydanie II C.H. Beck, Warszawa 2011, s. 598). Omawiając zagadnienie „przestępstwa racjonalnego” wskazuje się, że „</w:t>
      </w:r>
      <w:r w:rsidRPr="00C93F78">
        <w:rPr>
          <w:rFonts w:ascii="Times New Roman" w:hAnsi="Times New Roman" w:cs="Times New Roman"/>
          <w:i/>
          <w:sz w:val="24"/>
          <w:szCs w:val="24"/>
        </w:rPr>
        <w:t>(…) Karanie przestępców ma charakter probabilistyczny. Sprawca może uniknąć wykrycia lub skazania, albo zostać złapany, ale nie skazany. Osoba racjonalnie podejmująca decyzje bierze pod uwagę prawdopodobieństwo wymierzenia kary, kiedy rozważa popełnienie dowolnego przestępstwa (…). Możemy powiedzieć, że racjonalni oszuści obliczają oczekiwaną wartość przestępstwa, która równa się korzyściom pomniejszonym o wysokość kary pomnożonej przez prawdopodobieństwo bycia schwytanym i skazanym. Jeśli na przykład grzywna za sprzeniewierzenie 1000 USD wynosi 2000 USD, a prawdopodobieństwo, że sprawca zostanie schwytany i skazany wynosi 0,75, oczekiwana wartość kary wynosi 0,75*2000 USD = 1500 USD</w:t>
      </w:r>
      <w:r w:rsidRPr="00C93F78">
        <w:rPr>
          <w:rFonts w:ascii="Times New Roman" w:hAnsi="Times New Roman" w:cs="Times New Roman"/>
          <w:sz w:val="24"/>
          <w:szCs w:val="24"/>
        </w:rPr>
        <w:t>” (por. tamże, s. 601). Zakłada się, racjonalny przestępca będzie popełniał zakazany czyn, dopóki korzyści z niego wynikające będą przekraczać oczekiwaną karę.</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ocenie projektodawcy, obecny kształt regulacji zawartych w dziale IIIa Ordynacji podatkowej świadczy, że unikanie opodatkowania stanowi „przestępstwo racjonalne” w rozumieniu teorii ekonomicznej analizy prawa, co może wręcz zachęcać do kontynuowania takich działań. Zastosowanie klauzuli przeciwko unikaniu opodatkowania polega bowiem tylko na odebraniu nienależnie uzyskanej korzyści podatkowej powiększonej, w niektórych sytuacjach, o należne odsetki z tytułu zaległości podatkowej. Podobny efekt ma zastosowanie umownej klauzuli przeciwko unikaniu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Projektodawca odwołał się do konstrukcji zastosowanej w Ordynacji podatkowej w zakresie odsetek od zaległości podatkowych. Należy wyjaśnić, że konieczność zapłaty odsetek od zaległości podatkowej według podstawowej stawki nie jest elementem szczególnie odstraszającym czy penalizującym działanie podatnika. Podstawowa stawka odsetek za zwłokę wynosi od dnia 10.09.2014 r. 8%. Zastosowanie niektórych schematów unikania opodatkowania nie ma ponadto bezpośrednio na celu zmniejszenia wysokości zobowiązania podatkowego, w przypadku podatków dochodowych niektóre agresywne optymalizacje są przeprowadzane w celu powstania straty podatkowej, która w kolejnych latach będzie obniżała uzyskiwany dochód. Zastosowanie klauzuli przeciwko unikaniu opodatkowania do zniwelowania nienależnie wykazanej straty podatkowej nie spowoduje konieczności zapłaty odsetek za zwłokę. Powyższe jest zasadniczym argumentem przeciw wprowadzeniu rozwiązań tego rodzaju, w myśl których zwiększona stawka odsetek od zaległości podatkowych, np. 250% stawki podstawowej, zniechęcałaby do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Kraje OECD stosują instytucje podobne do proponowanej w celu podniesienia prewencji działania przepisów przeciwdziałających unikaniu opodatkowania. Przykładowo, we Francji stawka dodatkowego podatku wynosi 40% lub 80% w zależności od wystąpienia przesłanek ustawowych. Zastosowanie brytyjskiej klauzuli przeciwko unikaniu opodatkowania wiąże się z zapłaceniem </w:t>
      </w:r>
      <w:r w:rsidRPr="00C93F78">
        <w:rPr>
          <w:rFonts w:ascii="Times New Roman" w:hAnsi="Times New Roman" w:cs="Times New Roman"/>
          <w:i/>
          <w:sz w:val="24"/>
          <w:szCs w:val="24"/>
        </w:rPr>
        <w:t>penalty tax</w:t>
      </w:r>
      <w:r w:rsidRPr="00C93F78">
        <w:rPr>
          <w:rFonts w:ascii="Times New Roman" w:hAnsi="Times New Roman" w:cs="Times New Roman"/>
          <w:sz w:val="24"/>
          <w:szCs w:val="24"/>
        </w:rPr>
        <w:t xml:space="preserve"> w wysokości co najmniej 60% uzyskanej korzyści podatkowej. Australijska </w:t>
      </w:r>
      <w:r w:rsidRPr="00C93F78">
        <w:rPr>
          <w:rFonts w:ascii="Times New Roman" w:hAnsi="Times New Roman" w:cs="Times New Roman"/>
          <w:i/>
          <w:sz w:val="24"/>
          <w:szCs w:val="24"/>
        </w:rPr>
        <w:t xml:space="preserve">Taxation Administration Act 1953 </w:t>
      </w:r>
      <w:r w:rsidRPr="00C93F78">
        <w:rPr>
          <w:rFonts w:ascii="Times New Roman" w:hAnsi="Times New Roman" w:cs="Times New Roman"/>
          <w:sz w:val="24"/>
          <w:szCs w:val="24"/>
        </w:rPr>
        <w:t>posługuje się natomiast rozbudowanym wzorem matematycznym pozwalającym wyliczyć wysokość karnego podatku w zależności od wystąpienia szeregu ustawowych przesłanek, który w niektórych sytuacjach może przekroczyć 100% korzyści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Podnieść należy, że projektodawca wspólnotowy w pkt 11 preambuły dyrektywy ATAD wskazuje na możliwość stosowania tego rodzaju instytucji stwierdzając, jak już wspomniano wcześniej, że „</w:t>
      </w:r>
      <w:r w:rsidRPr="00C93F78">
        <w:rPr>
          <w:rFonts w:ascii="Times New Roman" w:hAnsi="Times New Roman" w:cs="Times New Roman"/>
          <w:i/>
          <w:sz w:val="24"/>
          <w:szCs w:val="24"/>
        </w:rPr>
        <w:t>Państwa członkowskie powinny mieć możliwość stosowania kar, w przypadku gdy zastosowanie mają przepisy ogólne przeciw unikaniu opodatkowania</w:t>
      </w:r>
      <w:r w:rsidRPr="00C93F78">
        <w:rPr>
          <w:rFonts w:ascii="Times New Roman" w:hAnsi="Times New Roman" w:cs="Times New Roman"/>
          <w:sz w:val="24"/>
          <w:szCs w:val="24"/>
        </w:rPr>
        <w:t>”.</w:t>
      </w:r>
    </w:p>
    <w:p w:rsidR="008E112A" w:rsidRPr="00C93F78" w:rsidRDefault="008E112A"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kontekście cen transferowych warto podkreślić, że obecnie istniejące instrumenty sankcyjne przewidziane w art. </w:t>
      </w:r>
      <w:r w:rsidRPr="00C93F78">
        <w:rPr>
          <w:rFonts w:ascii="Times New Roman" w:hAnsi="Times New Roman"/>
          <w:sz w:val="24"/>
          <w:szCs w:val="24"/>
        </w:rPr>
        <w:t xml:space="preserve">19 ust. </w:t>
      </w:r>
      <w:r w:rsidRPr="00C93F78">
        <w:rPr>
          <w:rFonts w:ascii="Times New Roman" w:hAnsi="Times New Roman" w:cs="Times New Roman"/>
          <w:sz w:val="24"/>
          <w:szCs w:val="24"/>
        </w:rPr>
        <w:t xml:space="preserve">4 updop oraz art. </w:t>
      </w:r>
      <w:r w:rsidRPr="00C93F78">
        <w:rPr>
          <w:rFonts w:ascii="Times New Roman" w:hAnsi="Times New Roman"/>
          <w:sz w:val="24"/>
          <w:szCs w:val="24"/>
        </w:rPr>
        <w:t xml:space="preserve">30d ust. </w:t>
      </w:r>
      <w:r w:rsidRPr="00C93F78">
        <w:rPr>
          <w:rFonts w:ascii="Times New Roman" w:hAnsi="Times New Roman" w:cs="Times New Roman"/>
          <w:sz w:val="24"/>
          <w:szCs w:val="24"/>
        </w:rPr>
        <w:t>1 updof w praktyce sankcjonują podatników wyłącznie za nieposiadanie dokumentacji cen transferowych, natomiast nie sankcjonują podatników za stosowanie w rozliczeniach nierynkowych mechanizmów. Innymi słowy nie istnieje obecnie w prawie podstawa do sankcjonowania podatnika, który pomimo że posiada kompletną dokumentację cen transferowych, nie stosuje zasady ceny rynkowej i zaniża podstawę opodatkowania. Na gruncie istniejących przepisów podatnik taki od kwoty doszacowanego dochodu płaci bowiem podstawową stawkę podatku dochodowego. Oznacza to, że aktualnie obowiązujące regulacje w zakresie sankcji dotyczących spraw z zakresu cen transferowych nie spełniają założenia o ich prewencyjnym efekcie oddziaływania.</w:t>
      </w:r>
    </w:p>
    <w:p w:rsidR="008E112A" w:rsidRPr="00C93F78" w:rsidRDefault="008E112A"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Proponowana konstrukcja sankcji pozwoli na wyeliminowanie ww. problemów. Nadrzędnym celem projektowanej sankcji jest penalizowanie podatników za stosowanie nierynkowych mechanizmów prowadzących do zaniżania podstawy opodatkowania. Ponadto, brak dokumentacji cen transferowych, w przypadkach, w których jest ona wymagana – ze względu na powodowane tym brakiem utrudnienia dla organów w badaniu rozliczeń i podniesienie kosztów kontroli – będzie okolicznością pozwalającą na podwyższenie stawki sankcyjnej w przypadku dokonania doszacowania.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ocenie projektodawcy, zawierane przez Rzeczpospolitą Polską umowy o unikaniu podwójnego opodatkowania nie sprzeciwiają się temu, aby konsekwencją zastosowania środków ograniczających umowne korzyści było wymierzenie dodatkowego zobowiązania podatkowego. Umowy te nie regulują konsekwencji zastosowania tego instrumentu i</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 xml:space="preserve">pozostawiają dobór odpowiednich środków umawiającej się </w:t>
      </w:r>
      <w:r w:rsidRPr="00C93F78">
        <w:rPr>
          <w:rFonts w:ascii="Times New Roman" w:eastAsia="Calibri" w:hAnsi="Times New Roman" w:cs="Times New Roman"/>
          <w:sz w:val="24"/>
          <w:szCs w:val="24"/>
        </w:rPr>
        <w:t>państwu-</w:t>
      </w:r>
      <w:r w:rsidRPr="00C93F78">
        <w:rPr>
          <w:rFonts w:ascii="Times New Roman" w:hAnsi="Times New Roman" w:cs="Times New Roman"/>
          <w:sz w:val="24"/>
          <w:szCs w:val="24"/>
        </w:rPr>
        <w:t>stronie</w:t>
      </w:r>
      <w:r w:rsidRPr="00C93F78">
        <w:rPr>
          <w:rFonts w:ascii="Times New Roman" w:eastAsia="Calibri" w:hAnsi="Times New Roman" w:cs="Times New Roman"/>
          <w:sz w:val="24"/>
          <w:szCs w:val="24"/>
        </w:rPr>
        <w:t xml:space="preserve"> umowy</w:t>
      </w:r>
      <w:r w:rsidRPr="00C93F78">
        <w:rPr>
          <w:rFonts w:ascii="Times New Roman" w:hAnsi="Times New Roman" w:cs="Times New Roman"/>
          <w:sz w:val="24"/>
          <w:szCs w:val="24"/>
        </w:rPr>
        <w:t xml:space="preserve">. Jeśli przyjąć, że </w:t>
      </w:r>
      <w:r w:rsidRPr="00C93F78">
        <w:rPr>
          <w:rFonts w:ascii="Times New Roman" w:eastAsia="Calibri" w:hAnsi="Times New Roman" w:cs="Times New Roman"/>
          <w:sz w:val="24"/>
          <w:szCs w:val="24"/>
        </w:rPr>
        <w:t>umawiające</w:t>
      </w:r>
      <w:r w:rsidRPr="00C93F78">
        <w:rPr>
          <w:rFonts w:ascii="Times New Roman" w:hAnsi="Times New Roman" w:cs="Times New Roman"/>
          <w:sz w:val="24"/>
          <w:szCs w:val="24"/>
        </w:rPr>
        <w:t xml:space="preserve"> się </w:t>
      </w:r>
      <w:r w:rsidRPr="00C93F78">
        <w:rPr>
          <w:rFonts w:ascii="Times New Roman" w:eastAsia="Calibri" w:hAnsi="Times New Roman" w:cs="Times New Roman"/>
          <w:sz w:val="24"/>
          <w:szCs w:val="24"/>
        </w:rPr>
        <w:t>państwo mogłoby</w:t>
      </w:r>
      <w:r w:rsidRPr="00C93F78">
        <w:rPr>
          <w:rFonts w:ascii="Times New Roman" w:hAnsi="Times New Roman" w:cs="Times New Roman"/>
          <w:sz w:val="24"/>
          <w:szCs w:val="24"/>
        </w:rPr>
        <w:t xml:space="preserve"> w przypadku zastosowania umownej klauzuli przeciwko unikaniu opodatkowania domagać się również zapłaty odsetek za zwłokę, to na tej samej podstawie </w:t>
      </w:r>
      <w:r w:rsidRPr="00C93F78">
        <w:rPr>
          <w:rFonts w:ascii="Times New Roman" w:eastAsia="Calibri" w:hAnsi="Times New Roman" w:cs="Times New Roman"/>
          <w:sz w:val="24"/>
          <w:szCs w:val="24"/>
        </w:rPr>
        <w:t>umawiające</w:t>
      </w:r>
      <w:r w:rsidRPr="00C93F78">
        <w:rPr>
          <w:rFonts w:ascii="Times New Roman" w:hAnsi="Times New Roman" w:cs="Times New Roman"/>
          <w:sz w:val="24"/>
          <w:szCs w:val="24"/>
        </w:rPr>
        <w:t xml:space="preserve"> się </w:t>
      </w:r>
      <w:r w:rsidRPr="00C93F78">
        <w:rPr>
          <w:rFonts w:ascii="Times New Roman" w:eastAsia="Calibri" w:hAnsi="Times New Roman" w:cs="Times New Roman"/>
          <w:sz w:val="24"/>
          <w:szCs w:val="24"/>
        </w:rPr>
        <w:t>państwo</w:t>
      </w:r>
      <w:r w:rsidRPr="00C93F78">
        <w:rPr>
          <w:rFonts w:ascii="Times New Roman" w:hAnsi="Times New Roman" w:cs="Times New Roman"/>
          <w:sz w:val="24"/>
          <w:szCs w:val="24"/>
        </w:rPr>
        <w:t xml:space="preserve"> może ustanowić na gruncie krajowym inne środki, takie jak: dodatkowe zobowiązanie podatkowe lub odpowiedzialność karna.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 mocy proponowanych przepisów art. 58a § 1 Ordynacji podatkowej, organ podatkowy wydając decyzję z zastosowaniem:</w:t>
      </w:r>
    </w:p>
    <w:p w:rsidR="00D05D84" w:rsidRPr="00C93F78" w:rsidRDefault="00D05D84" w:rsidP="00C93F78">
      <w:pPr>
        <w:numPr>
          <w:ilvl w:val="0"/>
          <w:numId w:val="61"/>
        </w:numPr>
        <w:spacing w:after="120" w:line="360" w:lineRule="auto"/>
        <w:ind w:left="567" w:hanging="425"/>
        <w:contextualSpacing/>
        <w:jc w:val="both"/>
        <w:rPr>
          <w:rFonts w:ascii="Times New Roman" w:hAnsi="Times New Roman" w:cs="Times New Roman"/>
          <w:sz w:val="24"/>
          <w:szCs w:val="24"/>
        </w:rPr>
      </w:pPr>
      <w:r w:rsidRPr="00C93F78">
        <w:rPr>
          <w:rFonts w:ascii="Times New Roman" w:hAnsi="Times New Roman" w:cs="Times New Roman"/>
          <w:sz w:val="24"/>
          <w:szCs w:val="24"/>
        </w:rPr>
        <w:t>art. 119a § 1 lub 7 Op</w:t>
      </w:r>
      <w:r w:rsidRPr="00C93F78">
        <w:rPr>
          <w:rFonts w:ascii="Times New Roman" w:eastAsia="Calibri" w:hAnsi="Times New Roman" w:cs="Times New Roman"/>
          <w:sz w:val="24"/>
          <w:szCs w:val="24"/>
        </w:rPr>
        <w:t>,</w:t>
      </w:r>
      <w:r w:rsidRPr="00C93F78">
        <w:rPr>
          <w:rFonts w:ascii="Times New Roman" w:hAnsi="Times New Roman" w:cs="Times New Roman"/>
          <w:sz w:val="24"/>
          <w:szCs w:val="24"/>
        </w:rPr>
        <w:t xml:space="preserve"> </w:t>
      </w:r>
    </w:p>
    <w:p w:rsidR="00D05D84" w:rsidRPr="00C93F78" w:rsidRDefault="00D05D84" w:rsidP="00C93F78">
      <w:pPr>
        <w:numPr>
          <w:ilvl w:val="0"/>
          <w:numId w:val="61"/>
        </w:numPr>
        <w:spacing w:after="120" w:line="360" w:lineRule="auto"/>
        <w:ind w:left="567" w:hanging="425"/>
        <w:contextualSpacing/>
        <w:jc w:val="both"/>
        <w:rPr>
          <w:rFonts w:ascii="Times New Roman" w:hAnsi="Times New Roman" w:cs="Times New Roman"/>
          <w:sz w:val="24"/>
          <w:szCs w:val="24"/>
        </w:rPr>
      </w:pPr>
      <w:r w:rsidRPr="00C93F78">
        <w:rPr>
          <w:rFonts w:ascii="Times New Roman" w:hAnsi="Times New Roman" w:cs="Times New Roman"/>
          <w:sz w:val="24"/>
          <w:szCs w:val="24"/>
        </w:rPr>
        <w:t>środków ograniczających umowne korzyści,</w:t>
      </w:r>
    </w:p>
    <w:p w:rsidR="00D05D84" w:rsidRPr="00C93F78" w:rsidRDefault="00D05D84" w:rsidP="00C93F78">
      <w:pPr>
        <w:spacing w:after="120" w:line="360" w:lineRule="auto"/>
        <w:ind w:left="567" w:hanging="425"/>
        <w:contextualSpacing/>
        <w:jc w:val="both"/>
        <w:rPr>
          <w:rFonts w:ascii="Times New Roman" w:eastAsia="Calibri" w:hAnsi="Times New Roman" w:cs="Times New Roman"/>
          <w:sz w:val="24"/>
          <w:szCs w:val="24"/>
        </w:rPr>
      </w:pPr>
      <w:r w:rsidRPr="00C93F78">
        <w:rPr>
          <w:rFonts w:ascii="Times New Roman" w:hAnsi="Times New Roman" w:cs="Times New Roman"/>
          <w:sz w:val="24"/>
          <w:szCs w:val="24"/>
        </w:rPr>
        <w:t>3)</w:t>
      </w:r>
      <w:r w:rsidR="00C93F78">
        <w:rPr>
          <w:rFonts w:ascii="Times New Roman" w:hAnsi="Times New Roman" w:cs="Times New Roman"/>
          <w:sz w:val="24"/>
          <w:szCs w:val="24"/>
        </w:rPr>
        <w:tab/>
      </w:r>
      <w:r w:rsidRPr="00C93F78">
        <w:rPr>
          <w:rFonts w:ascii="Times New Roman" w:hAnsi="Times New Roman" w:cs="Times New Roman"/>
          <w:sz w:val="24"/>
          <w:szCs w:val="24"/>
        </w:rPr>
        <w:t>tzw. małych klauzul przeciwko unikaniu opodatkowania, tj. art. 12 ust. 13 i 14 oraz art. 22c updop a także art. 24 ust. 19 i 20 updof,</w:t>
      </w:r>
      <w:r w:rsidRPr="00C93F78">
        <w:rPr>
          <w:rFonts w:ascii="Times New Roman" w:eastAsia="Calibri" w:hAnsi="Times New Roman" w:cs="Times New Roman"/>
          <w:sz w:val="24"/>
          <w:szCs w:val="24"/>
        </w:rPr>
        <w:t xml:space="preserve">4) </w:t>
      </w:r>
    </w:p>
    <w:p w:rsidR="005271EE" w:rsidRPr="00C93F78" w:rsidRDefault="00C93F78" w:rsidP="00C93F78">
      <w:pPr>
        <w:spacing w:after="120" w:line="360" w:lineRule="auto"/>
        <w:ind w:left="567" w:hanging="42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Pr>
          <w:rFonts w:ascii="Times New Roman" w:eastAsia="Calibri" w:hAnsi="Times New Roman" w:cs="Times New Roman"/>
          <w:sz w:val="24"/>
          <w:szCs w:val="24"/>
        </w:rPr>
        <w:tab/>
      </w:r>
      <w:r w:rsidR="005271EE" w:rsidRPr="00C93F78">
        <w:rPr>
          <w:rFonts w:ascii="Times New Roman" w:eastAsia="Calibri" w:hAnsi="Times New Roman" w:cs="Times New Roman"/>
          <w:sz w:val="24"/>
          <w:szCs w:val="24"/>
        </w:rPr>
        <w:t xml:space="preserve">oddziału 2 rozdziału 1a updop lub oddziału 2 rozdziału 4b updof (tj. na podstawie przepisów o cenach transferowych) </w:t>
      </w:r>
    </w:p>
    <w:p w:rsidR="00693D7B" w:rsidRPr="00C93F78" w:rsidRDefault="005271EE" w:rsidP="00C93F78">
      <w:pPr>
        <w:spacing w:after="120" w:line="360" w:lineRule="auto"/>
        <w:ind w:left="567" w:hanging="425"/>
        <w:contextualSpacing/>
        <w:jc w:val="both"/>
        <w:rPr>
          <w:rFonts w:ascii="Times New Roman" w:hAnsi="Times New Roman" w:cs="Times New Roman"/>
          <w:sz w:val="24"/>
          <w:szCs w:val="24"/>
        </w:rPr>
      </w:pPr>
      <w:r w:rsidRPr="00C93F78">
        <w:rPr>
          <w:rFonts w:ascii="Times New Roman" w:hAnsi="Times New Roman" w:cs="Times New Roman"/>
          <w:sz w:val="24"/>
          <w:szCs w:val="24"/>
        </w:rPr>
        <w:t>5</w:t>
      </w:r>
      <w:r w:rsidR="00C93F78">
        <w:rPr>
          <w:rFonts w:ascii="Times New Roman" w:hAnsi="Times New Roman" w:cs="Times New Roman"/>
          <w:sz w:val="24"/>
          <w:szCs w:val="24"/>
        </w:rPr>
        <w:t>)</w:t>
      </w:r>
      <w:r w:rsidR="00C93F78">
        <w:rPr>
          <w:rFonts w:ascii="Times New Roman" w:hAnsi="Times New Roman" w:cs="Times New Roman"/>
          <w:sz w:val="24"/>
          <w:szCs w:val="24"/>
        </w:rPr>
        <w:tab/>
      </w:r>
      <w:r w:rsidR="00693D7B" w:rsidRPr="00C93F78">
        <w:rPr>
          <w:rFonts w:ascii="Times New Roman" w:hAnsi="Times New Roman" w:cs="Times New Roman"/>
          <w:sz w:val="24"/>
          <w:szCs w:val="24"/>
        </w:rPr>
        <w:t>art. 30§ 1, gdy oświadczenie, o którym mowa w art. 26 ust. 7a lub 7g updop lub oświadczenie, o którym mowa w art. 41 ust. 15 lub 21 updof, nie było zgodne z prawdą, płatnik nie dokonał wymaganej weryfikacji lub podjęta przez płatnika weryfikacja nie była adekwatna do charakteru i skali działalności płatnika</w:t>
      </w:r>
    </w:p>
    <w:p w:rsidR="00D05D84" w:rsidRPr="00C93F78" w:rsidRDefault="00D05D84" w:rsidP="00C93F78">
      <w:p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ustala</w:t>
      </w:r>
      <w:r w:rsidR="00A653D9" w:rsidRPr="00C93F78">
        <w:rPr>
          <w:rFonts w:ascii="Times New Roman" w:hAnsi="Times New Roman" w:cs="Times New Roman"/>
          <w:sz w:val="24"/>
          <w:szCs w:val="24"/>
        </w:rPr>
        <w:t xml:space="preserve">ć będzie </w:t>
      </w:r>
      <w:r w:rsidRPr="00C93F78">
        <w:rPr>
          <w:rFonts w:ascii="Times New Roman" w:hAnsi="Times New Roman" w:cs="Times New Roman"/>
          <w:sz w:val="24"/>
          <w:szCs w:val="24"/>
        </w:rPr>
        <w:t>dodatkowe zobowiązanie podatkowe</w:t>
      </w:r>
      <w:r w:rsidRPr="00C93F78">
        <w:rPr>
          <w:rFonts w:ascii="Times New Roman" w:eastAsia="Calibri" w:hAnsi="Times New Roman" w:cs="Times New Roman"/>
          <w:sz w:val="24"/>
          <w:szCs w:val="24"/>
        </w:rPr>
        <w:t>. Do</w:t>
      </w:r>
      <w:r w:rsidRPr="00C93F78">
        <w:rPr>
          <w:rFonts w:ascii="Times New Roman" w:hAnsi="Times New Roman" w:cs="Times New Roman"/>
          <w:sz w:val="24"/>
          <w:szCs w:val="24"/>
        </w:rPr>
        <w:t xml:space="preserve"> dodatkowego zobowiązania podatkowego</w:t>
      </w:r>
      <w:r w:rsidRPr="00C93F78">
        <w:rPr>
          <w:rFonts w:ascii="Times New Roman" w:eastAsia="Calibri" w:hAnsi="Times New Roman" w:cs="Times New Roman"/>
          <w:sz w:val="24"/>
          <w:szCs w:val="24"/>
        </w:rPr>
        <w:t xml:space="preserve"> związanego z zastosowaniem art. 119a § 1 lub 7 lub środków ograniczających umowne korzyści</w:t>
      </w:r>
      <w:r w:rsidRPr="00C93F78">
        <w:rPr>
          <w:rFonts w:ascii="Times New Roman" w:hAnsi="Times New Roman" w:cs="Times New Roman"/>
          <w:sz w:val="24"/>
          <w:szCs w:val="24"/>
        </w:rPr>
        <w:t xml:space="preserve"> miałaby zastosowanie zasada, iż decyzji tej nie można byłoby nadać rygoru natychmiastowej wykonalności.</w:t>
      </w:r>
    </w:p>
    <w:p w:rsidR="006673FD" w:rsidRPr="00C93F78" w:rsidRDefault="00A653D9" w:rsidP="00C93F78">
      <w:pPr>
        <w:spacing w:before="24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Jednocześnie wprowadzono możliwość odstąpienia od zastosowania tej sankcji (</w:t>
      </w:r>
      <w:r w:rsidR="00410EE1" w:rsidRPr="00C93F78">
        <w:rPr>
          <w:rFonts w:ascii="Times New Roman" w:hAnsi="Times New Roman" w:cs="Times New Roman"/>
          <w:sz w:val="24"/>
          <w:szCs w:val="24"/>
        </w:rPr>
        <w:t>dod</w:t>
      </w:r>
      <w:r w:rsidRPr="00C93F78">
        <w:rPr>
          <w:rFonts w:ascii="Times New Roman" w:hAnsi="Times New Roman" w:cs="Times New Roman"/>
          <w:sz w:val="24"/>
          <w:szCs w:val="24"/>
        </w:rPr>
        <w:t xml:space="preserve">anie </w:t>
      </w:r>
      <w:r w:rsidR="00410EE1" w:rsidRPr="00C93F78">
        <w:rPr>
          <w:rFonts w:ascii="Times New Roman" w:hAnsi="Times New Roman" w:cs="Times New Roman"/>
          <w:sz w:val="24"/>
          <w:szCs w:val="24"/>
        </w:rPr>
        <w:t xml:space="preserve">§3 i 4 </w:t>
      </w:r>
      <w:r w:rsidRPr="00C93F78">
        <w:rPr>
          <w:rFonts w:ascii="Times New Roman" w:hAnsi="Times New Roman" w:cs="Times New Roman"/>
          <w:sz w:val="24"/>
          <w:szCs w:val="24"/>
        </w:rPr>
        <w:t xml:space="preserve">do </w:t>
      </w:r>
      <w:r w:rsidR="00410EE1" w:rsidRPr="00C93F78">
        <w:rPr>
          <w:rFonts w:ascii="Times New Roman" w:hAnsi="Times New Roman" w:cs="Times New Roman"/>
          <w:sz w:val="24"/>
          <w:szCs w:val="24"/>
        </w:rPr>
        <w:t>art. 58a</w:t>
      </w:r>
      <w:r w:rsidRPr="00C93F78">
        <w:rPr>
          <w:rFonts w:ascii="Times New Roman" w:hAnsi="Times New Roman" w:cs="Times New Roman"/>
          <w:sz w:val="24"/>
          <w:szCs w:val="24"/>
        </w:rPr>
        <w:t>). Intencją projektodawcy</w:t>
      </w:r>
      <w:r w:rsidR="00410EE1" w:rsidRPr="00C93F78">
        <w:rPr>
          <w:rFonts w:ascii="Times New Roman" w:hAnsi="Times New Roman" w:cs="Times New Roman"/>
          <w:sz w:val="24"/>
          <w:szCs w:val="24"/>
        </w:rPr>
        <w:t xml:space="preserve"> </w:t>
      </w:r>
      <w:r w:rsidR="006673FD" w:rsidRPr="00C93F78">
        <w:rPr>
          <w:rFonts w:ascii="Times New Roman" w:hAnsi="Times New Roman" w:cs="Times New Roman"/>
          <w:sz w:val="24"/>
          <w:szCs w:val="24"/>
        </w:rPr>
        <w:t xml:space="preserve">jest </w:t>
      </w:r>
      <w:r w:rsidR="00097771" w:rsidRPr="00C93F78">
        <w:rPr>
          <w:rFonts w:ascii="Times New Roman" w:hAnsi="Times New Roman" w:cs="Times New Roman"/>
          <w:sz w:val="24"/>
          <w:szCs w:val="24"/>
        </w:rPr>
        <w:t>ograniczenie</w:t>
      </w:r>
      <w:r w:rsidR="006673FD" w:rsidRPr="00C93F78">
        <w:rPr>
          <w:rFonts w:ascii="Times New Roman" w:hAnsi="Times New Roman" w:cs="Times New Roman"/>
          <w:sz w:val="24"/>
          <w:szCs w:val="24"/>
        </w:rPr>
        <w:t xml:space="preserve"> ryzyka</w:t>
      </w:r>
      <w:r w:rsidR="00097771" w:rsidRPr="00C93F78">
        <w:rPr>
          <w:rFonts w:ascii="Times New Roman" w:hAnsi="Times New Roman" w:cs="Times New Roman"/>
          <w:sz w:val="24"/>
          <w:szCs w:val="24"/>
        </w:rPr>
        <w:t xml:space="preserve"> zastosowania instytucji dodatkowego zobowiązania podatkowego względem </w:t>
      </w:r>
      <w:r w:rsidR="006673FD" w:rsidRPr="00C93F78">
        <w:rPr>
          <w:rFonts w:ascii="Times New Roman" w:hAnsi="Times New Roman" w:cs="Times New Roman"/>
          <w:sz w:val="24"/>
          <w:szCs w:val="24"/>
        </w:rPr>
        <w:t xml:space="preserve">podmiotów, które nie </w:t>
      </w:r>
      <w:r w:rsidR="00097771" w:rsidRPr="00C93F78">
        <w:rPr>
          <w:rFonts w:ascii="Times New Roman" w:hAnsi="Times New Roman" w:cs="Times New Roman"/>
          <w:sz w:val="24"/>
          <w:szCs w:val="24"/>
        </w:rPr>
        <w:t xml:space="preserve">prowadzą </w:t>
      </w:r>
      <w:r w:rsidR="00410EE1" w:rsidRPr="00C93F78">
        <w:rPr>
          <w:rFonts w:ascii="Times New Roman" w:hAnsi="Times New Roman" w:cs="Times New Roman"/>
          <w:sz w:val="24"/>
          <w:szCs w:val="24"/>
        </w:rPr>
        <w:t>dział</w:t>
      </w:r>
      <w:r w:rsidR="006673FD" w:rsidRPr="00C93F78">
        <w:rPr>
          <w:rFonts w:ascii="Times New Roman" w:hAnsi="Times New Roman" w:cs="Times New Roman"/>
          <w:sz w:val="24"/>
          <w:szCs w:val="24"/>
        </w:rPr>
        <w:t>alności</w:t>
      </w:r>
      <w:r w:rsidR="00410EE1" w:rsidRPr="00C93F78">
        <w:rPr>
          <w:rFonts w:ascii="Times New Roman" w:hAnsi="Times New Roman" w:cs="Times New Roman"/>
          <w:sz w:val="24"/>
          <w:szCs w:val="24"/>
        </w:rPr>
        <w:t xml:space="preserve"> gospodarczej</w:t>
      </w:r>
      <w:r w:rsidR="006673FD" w:rsidRPr="00C93F78">
        <w:rPr>
          <w:rFonts w:ascii="Times New Roman" w:hAnsi="Times New Roman" w:cs="Times New Roman"/>
          <w:sz w:val="24"/>
          <w:szCs w:val="24"/>
        </w:rPr>
        <w:t xml:space="preserve"> lub z uwagi na </w:t>
      </w:r>
      <w:r w:rsidR="00097771" w:rsidRPr="00C93F78">
        <w:rPr>
          <w:rFonts w:ascii="Times New Roman" w:hAnsi="Times New Roman" w:cs="Times New Roman"/>
          <w:sz w:val="24"/>
          <w:szCs w:val="24"/>
        </w:rPr>
        <w:t xml:space="preserve">jej </w:t>
      </w:r>
      <w:r w:rsidR="006673FD" w:rsidRPr="00C93F78">
        <w:rPr>
          <w:rFonts w:ascii="Times New Roman" w:hAnsi="Times New Roman" w:cs="Times New Roman"/>
          <w:sz w:val="24"/>
          <w:szCs w:val="24"/>
        </w:rPr>
        <w:t xml:space="preserve">niewielki </w:t>
      </w:r>
      <w:r w:rsidR="00410EE1" w:rsidRPr="00C93F78">
        <w:rPr>
          <w:rFonts w:ascii="Times New Roman" w:hAnsi="Times New Roman" w:cs="Times New Roman"/>
          <w:sz w:val="24"/>
          <w:szCs w:val="24"/>
        </w:rPr>
        <w:t>rozmiar prowadzonej działalności gospodarczej, n</w:t>
      </w:r>
      <w:r w:rsidR="006673FD" w:rsidRPr="00C93F78">
        <w:rPr>
          <w:rFonts w:ascii="Times New Roman" w:hAnsi="Times New Roman" w:cs="Times New Roman"/>
          <w:sz w:val="24"/>
          <w:szCs w:val="24"/>
        </w:rPr>
        <w:t>ie jest racjonalne</w:t>
      </w:r>
      <w:r w:rsidR="00097771" w:rsidRPr="00C93F78">
        <w:rPr>
          <w:rFonts w:ascii="Times New Roman" w:hAnsi="Times New Roman" w:cs="Times New Roman"/>
          <w:sz w:val="24"/>
          <w:szCs w:val="24"/>
        </w:rPr>
        <w:t xml:space="preserve"> </w:t>
      </w:r>
      <w:r w:rsidR="006673FD" w:rsidRPr="00C93F78">
        <w:rPr>
          <w:rFonts w:ascii="Times New Roman" w:hAnsi="Times New Roman" w:cs="Times New Roman"/>
          <w:sz w:val="24"/>
          <w:szCs w:val="24"/>
        </w:rPr>
        <w:t>oczekiwać, że</w:t>
      </w:r>
      <w:r w:rsidR="00410EE1" w:rsidRPr="00C93F78">
        <w:rPr>
          <w:rFonts w:ascii="Times New Roman" w:hAnsi="Times New Roman" w:cs="Times New Roman"/>
          <w:sz w:val="24"/>
          <w:szCs w:val="24"/>
        </w:rPr>
        <w:t xml:space="preserve"> podmioty te</w:t>
      </w:r>
      <w:r w:rsidR="006673FD" w:rsidRPr="00C93F78">
        <w:rPr>
          <w:rFonts w:ascii="Times New Roman" w:hAnsi="Times New Roman" w:cs="Times New Roman"/>
          <w:sz w:val="24"/>
          <w:szCs w:val="24"/>
        </w:rPr>
        <w:t xml:space="preserve"> korzysta</w:t>
      </w:r>
      <w:r w:rsidR="00097771" w:rsidRPr="00C93F78">
        <w:rPr>
          <w:rFonts w:ascii="Times New Roman" w:hAnsi="Times New Roman" w:cs="Times New Roman"/>
          <w:sz w:val="24"/>
          <w:szCs w:val="24"/>
        </w:rPr>
        <w:t>ły</w:t>
      </w:r>
      <w:r w:rsidR="006673FD" w:rsidRPr="00C93F78">
        <w:rPr>
          <w:rFonts w:ascii="Times New Roman" w:hAnsi="Times New Roman" w:cs="Times New Roman"/>
          <w:sz w:val="24"/>
          <w:szCs w:val="24"/>
        </w:rPr>
        <w:t xml:space="preserve"> z usług </w:t>
      </w:r>
      <w:r w:rsidR="00410EE1" w:rsidRPr="00C93F78">
        <w:rPr>
          <w:rFonts w:ascii="Times New Roman" w:hAnsi="Times New Roman" w:cs="Times New Roman"/>
          <w:sz w:val="24"/>
          <w:szCs w:val="24"/>
        </w:rPr>
        <w:t>profesjonalnych kancelarii</w:t>
      </w:r>
      <w:r w:rsidR="00097771" w:rsidRPr="00C93F78">
        <w:rPr>
          <w:rFonts w:ascii="Times New Roman" w:hAnsi="Times New Roman" w:cs="Times New Roman"/>
          <w:sz w:val="24"/>
          <w:szCs w:val="24"/>
        </w:rPr>
        <w:t xml:space="preserve"> doradzających w kwestiach podatkowych</w:t>
      </w:r>
      <w:r w:rsidR="006673FD" w:rsidRPr="00C93F78">
        <w:rPr>
          <w:rFonts w:ascii="Times New Roman" w:hAnsi="Times New Roman" w:cs="Times New Roman"/>
          <w:sz w:val="24"/>
          <w:szCs w:val="24"/>
        </w:rPr>
        <w:t xml:space="preserve">. Jeśli podmiot </w:t>
      </w:r>
      <w:r w:rsidR="00097771" w:rsidRPr="00C93F78">
        <w:rPr>
          <w:rFonts w:ascii="Times New Roman" w:hAnsi="Times New Roman" w:cs="Times New Roman"/>
          <w:sz w:val="24"/>
          <w:szCs w:val="24"/>
        </w:rPr>
        <w:t xml:space="preserve">taki </w:t>
      </w:r>
      <w:r w:rsidR="006673FD" w:rsidRPr="00C93F78">
        <w:rPr>
          <w:rFonts w:ascii="Times New Roman" w:hAnsi="Times New Roman" w:cs="Times New Roman"/>
          <w:sz w:val="24"/>
          <w:szCs w:val="24"/>
        </w:rPr>
        <w:t>będzie działał w dobrej wierze</w:t>
      </w:r>
      <w:r w:rsidR="00097771" w:rsidRPr="00C93F78">
        <w:rPr>
          <w:rFonts w:ascii="Times New Roman" w:hAnsi="Times New Roman" w:cs="Times New Roman"/>
          <w:sz w:val="24"/>
          <w:szCs w:val="24"/>
        </w:rPr>
        <w:t xml:space="preserve"> (tzn. gdy na podstawie istniejących okoliczności oraz faktów okaże się, że w momencie dokonywania czynności, podatnik pozostawał, w błędnym, ale usprawiedliwionym przekonaniu o zgodności uzyskanej korzyści podatkowej z przedmiotem i celem ustawy podatkowej lub jej przepisu</w:t>
      </w:r>
      <w:r w:rsidRPr="00C93F78">
        <w:rPr>
          <w:rFonts w:ascii="Times New Roman" w:hAnsi="Times New Roman" w:cs="Times New Roman"/>
          <w:sz w:val="24"/>
          <w:szCs w:val="24"/>
        </w:rPr>
        <w:t>)</w:t>
      </w:r>
      <w:r w:rsidR="006673FD" w:rsidRPr="00C93F78">
        <w:rPr>
          <w:rFonts w:ascii="Times New Roman" w:hAnsi="Times New Roman" w:cs="Times New Roman"/>
          <w:sz w:val="24"/>
          <w:szCs w:val="24"/>
        </w:rPr>
        <w:t xml:space="preserve">, uznano, że nie jest racjonalnym by </w:t>
      </w:r>
      <w:r w:rsidR="00410EE1" w:rsidRPr="00C93F78">
        <w:rPr>
          <w:rFonts w:ascii="Times New Roman" w:hAnsi="Times New Roman" w:cs="Times New Roman"/>
          <w:sz w:val="24"/>
          <w:szCs w:val="24"/>
        </w:rPr>
        <w:t>stosować</w:t>
      </w:r>
      <w:r w:rsidR="006673FD" w:rsidRPr="00C93F78">
        <w:rPr>
          <w:rFonts w:ascii="Times New Roman" w:hAnsi="Times New Roman" w:cs="Times New Roman"/>
          <w:sz w:val="24"/>
          <w:szCs w:val="24"/>
        </w:rPr>
        <w:t xml:space="preserve"> wobec niego dodatkową dolegliwość w postaci </w:t>
      </w:r>
      <w:r w:rsidRPr="00C93F78">
        <w:rPr>
          <w:rFonts w:ascii="Times New Roman" w:hAnsi="Times New Roman" w:cs="Times New Roman"/>
          <w:sz w:val="24"/>
          <w:szCs w:val="24"/>
        </w:rPr>
        <w:t xml:space="preserve">instytucji </w:t>
      </w:r>
      <w:r w:rsidR="00410EE1" w:rsidRPr="00C93F78">
        <w:rPr>
          <w:rFonts w:ascii="Times New Roman" w:hAnsi="Times New Roman" w:cs="Times New Roman"/>
          <w:sz w:val="24"/>
          <w:szCs w:val="24"/>
        </w:rPr>
        <w:t>dodatkowego zobowiązania</w:t>
      </w:r>
      <w:r w:rsidRPr="00C93F78">
        <w:rPr>
          <w:rFonts w:ascii="Times New Roman" w:hAnsi="Times New Roman" w:cs="Times New Roman"/>
          <w:sz w:val="24"/>
          <w:szCs w:val="24"/>
        </w:rPr>
        <w:t xml:space="preserve"> podatkowego</w:t>
      </w:r>
      <w:r w:rsidR="006673FD" w:rsidRPr="00C93F78">
        <w:rPr>
          <w:rFonts w:ascii="Times New Roman" w:hAnsi="Times New Roman" w:cs="Times New Roman"/>
          <w:sz w:val="24"/>
          <w:szCs w:val="24"/>
        </w:rPr>
        <w:t xml:space="preserve">. Nie zmienia to faktu, że </w:t>
      </w:r>
      <w:r w:rsidRPr="00C93F78">
        <w:rPr>
          <w:rFonts w:ascii="Times New Roman" w:hAnsi="Times New Roman" w:cs="Times New Roman"/>
          <w:sz w:val="24"/>
          <w:szCs w:val="24"/>
        </w:rPr>
        <w:t xml:space="preserve">podmiot ten zostanie pozbawiony osiągniętej </w:t>
      </w:r>
      <w:r w:rsidR="00410EE1" w:rsidRPr="00C93F78">
        <w:rPr>
          <w:rFonts w:ascii="Times New Roman" w:hAnsi="Times New Roman" w:cs="Times New Roman"/>
          <w:sz w:val="24"/>
          <w:szCs w:val="24"/>
        </w:rPr>
        <w:t>korzyś</w:t>
      </w:r>
      <w:r w:rsidRPr="00C93F78">
        <w:rPr>
          <w:rFonts w:ascii="Times New Roman" w:hAnsi="Times New Roman" w:cs="Times New Roman"/>
          <w:sz w:val="24"/>
          <w:szCs w:val="24"/>
        </w:rPr>
        <w:t>ci</w:t>
      </w:r>
      <w:r w:rsidR="006673FD" w:rsidRPr="00C93F78">
        <w:rPr>
          <w:rFonts w:ascii="Times New Roman" w:hAnsi="Times New Roman" w:cs="Times New Roman"/>
          <w:sz w:val="24"/>
          <w:szCs w:val="24"/>
        </w:rPr>
        <w:t xml:space="preserve"> podatkow</w:t>
      </w:r>
      <w:r w:rsidRPr="00C93F78">
        <w:rPr>
          <w:rFonts w:ascii="Times New Roman" w:hAnsi="Times New Roman" w:cs="Times New Roman"/>
          <w:sz w:val="24"/>
          <w:szCs w:val="24"/>
        </w:rPr>
        <w:t xml:space="preserve">ej. Jej osiągnięcie było bowiem </w:t>
      </w:r>
      <w:r w:rsidR="006673FD" w:rsidRPr="00C93F78">
        <w:rPr>
          <w:rFonts w:ascii="Times New Roman" w:hAnsi="Times New Roman" w:cs="Times New Roman"/>
          <w:sz w:val="24"/>
          <w:szCs w:val="24"/>
        </w:rPr>
        <w:t>obiektywnie sprzeczn</w:t>
      </w:r>
      <w:r w:rsidRPr="00C93F78">
        <w:rPr>
          <w:rFonts w:ascii="Times New Roman" w:hAnsi="Times New Roman" w:cs="Times New Roman"/>
          <w:sz w:val="24"/>
          <w:szCs w:val="24"/>
        </w:rPr>
        <w:t>e</w:t>
      </w:r>
      <w:r w:rsidR="006673FD" w:rsidRPr="00C93F78">
        <w:rPr>
          <w:rFonts w:ascii="Times New Roman" w:hAnsi="Times New Roman" w:cs="Times New Roman"/>
          <w:sz w:val="24"/>
          <w:szCs w:val="24"/>
        </w:rPr>
        <w:t xml:space="preserve"> z przedmiotem i celem </w:t>
      </w:r>
      <w:r w:rsidRPr="00C93F78">
        <w:rPr>
          <w:rFonts w:ascii="Times New Roman" w:hAnsi="Times New Roman" w:cs="Times New Roman"/>
          <w:sz w:val="24"/>
          <w:szCs w:val="24"/>
        </w:rPr>
        <w:t xml:space="preserve">ustawy podatkowej lub jej </w:t>
      </w:r>
      <w:r w:rsidR="006673FD" w:rsidRPr="00C93F78">
        <w:rPr>
          <w:rFonts w:ascii="Times New Roman" w:hAnsi="Times New Roman" w:cs="Times New Roman"/>
          <w:sz w:val="24"/>
          <w:szCs w:val="24"/>
        </w:rPr>
        <w:t>przepisu</w:t>
      </w:r>
      <w:r w:rsidR="00410EE1" w:rsidRPr="00C93F78">
        <w:rPr>
          <w:rFonts w:ascii="Times New Roman" w:hAnsi="Times New Roman" w:cs="Times New Roman"/>
          <w:sz w:val="24"/>
          <w:szCs w:val="24"/>
        </w:rPr>
        <w:t>. W analizowanym przypadku</w:t>
      </w:r>
      <w:r w:rsidRPr="00C93F78">
        <w:rPr>
          <w:rFonts w:ascii="Times New Roman" w:hAnsi="Times New Roman" w:cs="Times New Roman"/>
          <w:sz w:val="24"/>
          <w:szCs w:val="24"/>
        </w:rPr>
        <w:t xml:space="preserve"> rozwiązania prawne wskazane w art. 58a § 1 pkt 1-3</w:t>
      </w:r>
      <w:r w:rsidR="006673FD" w:rsidRPr="00C93F78">
        <w:rPr>
          <w:rFonts w:ascii="Times New Roman" w:hAnsi="Times New Roman" w:cs="Times New Roman"/>
          <w:sz w:val="24"/>
          <w:szCs w:val="24"/>
        </w:rPr>
        <w:t>będ</w:t>
      </w:r>
      <w:r w:rsidRPr="00C93F78">
        <w:rPr>
          <w:rFonts w:ascii="Times New Roman" w:hAnsi="Times New Roman" w:cs="Times New Roman"/>
          <w:sz w:val="24"/>
          <w:szCs w:val="24"/>
        </w:rPr>
        <w:t>ą</w:t>
      </w:r>
      <w:r w:rsidR="006673FD" w:rsidRPr="00C93F78">
        <w:rPr>
          <w:rFonts w:ascii="Times New Roman" w:hAnsi="Times New Roman" w:cs="Times New Roman"/>
          <w:sz w:val="24"/>
          <w:szCs w:val="24"/>
        </w:rPr>
        <w:t xml:space="preserve"> mi</w:t>
      </w:r>
      <w:r w:rsidRPr="00C93F78">
        <w:rPr>
          <w:rFonts w:ascii="Times New Roman" w:hAnsi="Times New Roman" w:cs="Times New Roman"/>
          <w:sz w:val="24"/>
          <w:szCs w:val="24"/>
        </w:rPr>
        <w:t>eć</w:t>
      </w:r>
      <w:r w:rsidR="00410EE1" w:rsidRPr="00C93F78">
        <w:rPr>
          <w:rFonts w:ascii="Times New Roman" w:hAnsi="Times New Roman" w:cs="Times New Roman"/>
          <w:sz w:val="24"/>
          <w:szCs w:val="24"/>
        </w:rPr>
        <w:t xml:space="preserve"> zastosowanie</w:t>
      </w:r>
      <w:r w:rsidRPr="00C93F78">
        <w:rPr>
          <w:rFonts w:ascii="Times New Roman" w:hAnsi="Times New Roman" w:cs="Times New Roman"/>
          <w:sz w:val="24"/>
          <w:szCs w:val="24"/>
        </w:rPr>
        <w:t>.</w:t>
      </w:r>
      <w:r w:rsidR="00410EE1"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Organ będzie mógł jednak odstąpić od </w:t>
      </w:r>
      <w:r w:rsidR="006673FD" w:rsidRPr="00C93F78">
        <w:rPr>
          <w:rFonts w:ascii="Times New Roman" w:hAnsi="Times New Roman" w:cs="Times New Roman"/>
          <w:sz w:val="24"/>
          <w:szCs w:val="24"/>
        </w:rPr>
        <w:t>nałożenie dodatkowe</w:t>
      </w:r>
      <w:r w:rsidRPr="00C93F78">
        <w:rPr>
          <w:rFonts w:ascii="Times New Roman" w:hAnsi="Times New Roman" w:cs="Times New Roman"/>
          <w:sz w:val="24"/>
          <w:szCs w:val="24"/>
        </w:rPr>
        <w:t>go zobowiązania podatkowego</w:t>
      </w:r>
      <w:r w:rsidR="006673FD" w:rsidRPr="00C93F78">
        <w:rPr>
          <w:rFonts w:ascii="Times New Roman" w:hAnsi="Times New Roman" w:cs="Times New Roman"/>
          <w:sz w:val="24"/>
          <w:szCs w:val="24"/>
        </w:rPr>
        <w:t xml:space="preserve">. </w:t>
      </w:r>
    </w:p>
    <w:p w:rsidR="00D05D84" w:rsidRPr="00C93F78" w:rsidRDefault="00A653D9"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 drugiej strony z</w:t>
      </w:r>
      <w:r w:rsidR="00D05D84" w:rsidRPr="00C93F78">
        <w:rPr>
          <w:rFonts w:ascii="Times New Roman" w:hAnsi="Times New Roman" w:cs="Times New Roman"/>
          <w:sz w:val="24"/>
          <w:szCs w:val="24"/>
        </w:rPr>
        <w:t>godnie z projektowanymi przepisami ustawy w przypadkach wydania decyzji z</w:t>
      </w:r>
      <w:r w:rsidR="00D05D84" w:rsidRPr="00C93F78">
        <w:rPr>
          <w:rFonts w:ascii="Times New Roman" w:eastAsia="Calibri" w:hAnsi="Times New Roman" w:cs="Times New Roman"/>
          <w:sz w:val="24"/>
          <w:szCs w:val="24"/>
        </w:rPr>
        <w:t> </w:t>
      </w:r>
      <w:r w:rsidR="00D05D84" w:rsidRPr="00C93F78">
        <w:rPr>
          <w:rFonts w:ascii="Times New Roman" w:hAnsi="Times New Roman" w:cs="Times New Roman"/>
          <w:sz w:val="24"/>
          <w:szCs w:val="24"/>
        </w:rPr>
        <w:t xml:space="preserve">zastosowaniem środków określonych w art. 58a § 1 </w:t>
      </w:r>
      <w:r w:rsidR="00D05D84" w:rsidRPr="00C93F78">
        <w:rPr>
          <w:rFonts w:ascii="Times New Roman" w:eastAsia="Calibri" w:hAnsi="Times New Roman" w:cs="Times New Roman"/>
          <w:sz w:val="24"/>
          <w:szCs w:val="24"/>
        </w:rPr>
        <w:t xml:space="preserve">Op , </w:t>
      </w:r>
      <w:r w:rsidR="00D05D84" w:rsidRPr="00C93F78">
        <w:rPr>
          <w:rFonts w:ascii="Times New Roman" w:hAnsi="Times New Roman" w:cs="Times New Roman"/>
          <w:sz w:val="24"/>
          <w:szCs w:val="24"/>
        </w:rPr>
        <w:t>dodatkowe zobowiązanie wynosi 40% kwoty korzyści podatkowej w rozumieniu przepisów</w:t>
      </w:r>
      <w:r w:rsidR="00D05D84" w:rsidRPr="00C93F78">
        <w:rPr>
          <w:rFonts w:ascii="Times New Roman" w:eastAsia="Calibri" w:hAnsi="Times New Roman" w:cs="Times New Roman"/>
          <w:sz w:val="24"/>
          <w:szCs w:val="24"/>
        </w:rPr>
        <w:t xml:space="preserve"> Ordynacji podatkowej</w:t>
      </w:r>
      <w:r w:rsidR="00D05D84" w:rsidRPr="00C93F78">
        <w:rPr>
          <w:rFonts w:ascii="Times New Roman" w:hAnsi="Times New Roman" w:cs="Times New Roman"/>
          <w:sz w:val="24"/>
          <w:szCs w:val="24"/>
        </w:rPr>
        <w:t>. Jeżeli wydawana jest decyzja w zakresie podatku dochodowego od osób prawnych lub podatku dochodowego od osób fizycznych</w:t>
      </w:r>
      <w:r w:rsidR="00EE2A50" w:rsidRPr="00C93F78">
        <w:rPr>
          <w:rFonts w:ascii="Times New Roman" w:hAnsi="Times New Roman" w:cs="Times New Roman"/>
          <w:sz w:val="24"/>
          <w:szCs w:val="24"/>
        </w:rPr>
        <w:t xml:space="preserve"> z wyłączeniem zryczałtowanych form opodatkowania</w:t>
      </w:r>
      <w:r w:rsidR="00D05D84" w:rsidRPr="00C93F78">
        <w:rPr>
          <w:rFonts w:ascii="Times New Roman" w:hAnsi="Times New Roman" w:cs="Times New Roman"/>
          <w:sz w:val="24"/>
          <w:szCs w:val="24"/>
        </w:rPr>
        <w:t xml:space="preserve">, dodatkowe zobowiązanie podatkowe wynosi 10% sumy składników wynikających z tej decyzji. Organ podatkowy oblicza podstawę do ustalenia dodatkowego zobowiązania podatkowego przyjmując, że środki określone w art. </w:t>
      </w:r>
      <w:r w:rsidR="00D05D84" w:rsidRPr="00C93F78">
        <w:rPr>
          <w:rFonts w:ascii="Times New Roman" w:eastAsia="Calibri" w:hAnsi="Times New Roman" w:cs="Times New Roman"/>
          <w:sz w:val="24"/>
          <w:szCs w:val="24"/>
        </w:rPr>
        <w:t>58 § 1 Op mają wpływ na rozliczenie podatkowe jako ostatnie. Oznacza to, że w sytuacji, w której w wyniku weryfikacji rozliczeń podatkowych zidentyfikowane zostały inne nieprawidłowości (np. nieuprawnione zaliczenie do kosztów uzyskania przychodów określonych wydatków), to wpływ na wysokość zobowiązania podatkowego rozstrzygnięcia z zastosowaniem środków opisanych w art. 58 § 1 Op, który rzutować będzie na wysokość dodatkowego zobowiązania podatkowego, obliczany będzie jako ostatni.</w:t>
      </w:r>
      <w:r w:rsidR="00D05D84" w:rsidRPr="00C93F78">
        <w:rPr>
          <w:rFonts w:ascii="Times New Roman" w:hAnsi="Times New Roman" w:cs="Times New Roman"/>
          <w:sz w:val="24"/>
          <w:szCs w:val="24"/>
        </w:rPr>
        <w:t xml:space="preserve"> Przez składniki, decyzji, o której mowa powyżej, rozumie się</w:t>
      </w:r>
      <w:r w:rsidR="00214B8A" w:rsidRPr="00C93F78">
        <w:rPr>
          <w:rFonts w:ascii="Times New Roman" w:hAnsi="Times New Roman" w:cs="Times New Roman"/>
          <w:sz w:val="24"/>
          <w:szCs w:val="24"/>
        </w:rPr>
        <w:t xml:space="preserve"> </w:t>
      </w:r>
      <w:r w:rsidR="00896137" w:rsidRPr="00C93F78">
        <w:rPr>
          <w:rFonts w:ascii="Times New Roman" w:hAnsi="Times New Roman" w:cs="Times New Roman"/>
          <w:sz w:val="24"/>
          <w:szCs w:val="24"/>
        </w:rPr>
        <w:t xml:space="preserve">kwoty </w:t>
      </w:r>
      <w:r w:rsidR="00D05D84" w:rsidRPr="00C93F78">
        <w:rPr>
          <w:rFonts w:ascii="Times New Roman" w:hAnsi="Times New Roman" w:cs="Times New Roman"/>
          <w:sz w:val="24"/>
          <w:szCs w:val="24"/>
        </w:rPr>
        <w:t>nienależnego:</w:t>
      </w:r>
    </w:p>
    <w:p w:rsidR="00D05D84" w:rsidRPr="00C93F78" w:rsidRDefault="00D05D84" w:rsidP="00C93F78">
      <w:pPr>
        <w:tabs>
          <w:tab w:val="center" w:pos="4890"/>
        </w:tabs>
        <w:spacing w:after="120" w:line="360" w:lineRule="auto"/>
        <w:ind w:left="284" w:hanging="284"/>
        <w:jc w:val="both"/>
        <w:rPr>
          <w:rFonts w:ascii="Times New Roman" w:hAnsi="Times New Roman" w:cs="Times New Roman"/>
          <w:sz w:val="24"/>
          <w:szCs w:val="24"/>
        </w:rPr>
      </w:pPr>
      <w:r w:rsidRPr="00C93F78">
        <w:rPr>
          <w:rFonts w:ascii="Times New Roman" w:hAnsi="Times New Roman" w:cs="Times New Roman"/>
          <w:sz w:val="24"/>
          <w:szCs w:val="24"/>
        </w:rPr>
        <w:t>1) zawyżenia straty podatkowej;</w:t>
      </w:r>
    </w:p>
    <w:p w:rsidR="00D05D84" w:rsidRPr="00C93F78" w:rsidRDefault="00D05D84" w:rsidP="00C93F78">
      <w:pPr>
        <w:spacing w:after="120" w:line="360" w:lineRule="auto"/>
        <w:ind w:left="284" w:hanging="284"/>
        <w:jc w:val="both"/>
        <w:rPr>
          <w:rFonts w:ascii="Times New Roman" w:hAnsi="Times New Roman" w:cs="Times New Roman"/>
          <w:sz w:val="24"/>
          <w:szCs w:val="24"/>
        </w:rPr>
      </w:pPr>
      <w:r w:rsidRPr="00C93F78">
        <w:rPr>
          <w:rFonts w:ascii="Times New Roman" w:hAnsi="Times New Roman" w:cs="Times New Roman"/>
          <w:sz w:val="24"/>
          <w:szCs w:val="24"/>
        </w:rPr>
        <w:t>2) powstania straty podatkowej;</w:t>
      </w:r>
    </w:p>
    <w:p w:rsidR="00D05D84" w:rsidRPr="00C93F78" w:rsidRDefault="00D05D84" w:rsidP="00C93F78">
      <w:pPr>
        <w:spacing w:after="120" w:line="360" w:lineRule="auto"/>
        <w:ind w:left="284" w:hanging="284"/>
        <w:jc w:val="both"/>
        <w:rPr>
          <w:rFonts w:ascii="Times New Roman" w:hAnsi="Times New Roman" w:cs="Times New Roman"/>
          <w:sz w:val="24"/>
          <w:szCs w:val="24"/>
        </w:rPr>
      </w:pPr>
      <w:r w:rsidRPr="00C93F78">
        <w:rPr>
          <w:rFonts w:ascii="Times New Roman" w:hAnsi="Times New Roman" w:cs="Times New Roman"/>
          <w:sz w:val="24"/>
          <w:szCs w:val="24"/>
        </w:rPr>
        <w:t xml:space="preserve">3) zaniżenia dochodu do opodatkowania, lub </w:t>
      </w:r>
    </w:p>
    <w:p w:rsidR="00F93B0F" w:rsidRPr="00C93F78" w:rsidRDefault="00D05D84" w:rsidP="00C93F78">
      <w:pPr>
        <w:spacing w:after="120" w:line="360" w:lineRule="auto"/>
        <w:ind w:left="284" w:hanging="284"/>
        <w:jc w:val="both"/>
        <w:rPr>
          <w:rFonts w:ascii="Times New Roman" w:hAnsi="Times New Roman" w:cs="Times New Roman"/>
          <w:sz w:val="24"/>
          <w:szCs w:val="24"/>
        </w:rPr>
      </w:pPr>
      <w:r w:rsidRPr="00C93F78">
        <w:rPr>
          <w:rFonts w:ascii="Times New Roman" w:hAnsi="Times New Roman" w:cs="Times New Roman"/>
          <w:sz w:val="24"/>
          <w:szCs w:val="24"/>
        </w:rPr>
        <w:t>4) niepowstania dochodu do opodatkowania</w:t>
      </w:r>
      <w:r w:rsidR="00F93B0F" w:rsidRPr="00C93F78">
        <w:rPr>
          <w:rFonts w:ascii="Times New Roman" w:hAnsi="Times New Roman" w:cs="Times New Roman"/>
          <w:sz w:val="24"/>
          <w:szCs w:val="24"/>
        </w:rPr>
        <w:t>,</w:t>
      </w:r>
    </w:p>
    <w:p w:rsidR="00D05D84" w:rsidRPr="00C93F78" w:rsidRDefault="00F93B0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zakresie wynikającym z zastosowania przepisów lub środków określonych w art. 58a § 1.</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sytuacji określonej powyżej w punkcie 5. dodatkowe zobowiązanie podatkowe ustala się jako 10% podstawy opodatkowania należności, od której płatnik nie pobrał podatku.</w:t>
      </w:r>
    </w:p>
    <w:p w:rsidR="00D05D84" w:rsidRPr="00C93F78" w:rsidRDefault="00D05D84" w:rsidP="00C93F78">
      <w:pPr>
        <w:pStyle w:val="Nagwek2"/>
        <w:spacing w:line="360" w:lineRule="auto"/>
        <w:jc w:val="both"/>
        <w:rPr>
          <w:szCs w:val="24"/>
        </w:rPr>
      </w:pPr>
      <w:r w:rsidRPr="00C93F78">
        <w:rPr>
          <w:szCs w:val="24"/>
        </w:rPr>
        <w:t>Podwojenie stawki</w:t>
      </w:r>
    </w:p>
    <w:p w:rsidR="005271EE" w:rsidRPr="00C93F78" w:rsidRDefault="005271EE"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§1 art. 58c stawki w wysokości 40% oraz 10% opisane powyżej ulegają podwojeniu, jeżeli:</w:t>
      </w:r>
    </w:p>
    <w:p w:rsidR="00D05D84" w:rsidRPr="00C93F78" w:rsidRDefault="00D05D84" w:rsidP="00C93F78">
      <w:pPr>
        <w:numPr>
          <w:ilvl w:val="0"/>
          <w:numId w:val="26"/>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podstawa do ustalenia dodatkowego zobowiązania podatkowego przekracza 15 000 000 zł – w zakresie nadwyżki ponad tę kwotę;</w:t>
      </w:r>
    </w:p>
    <w:p w:rsidR="00D05D84" w:rsidRPr="00C93F78" w:rsidRDefault="00D05D84" w:rsidP="00C93F78">
      <w:pPr>
        <w:numPr>
          <w:ilvl w:val="0"/>
          <w:numId w:val="26"/>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nie upłynęło 10 lat od końca roku kalendarzowego, w którym podatnikowi lub płatnikowi doręczono ostateczną decyzję z zastosowaniem przepisów lub środków, o których mowa w art. 58a § 1 pkt 1-</w:t>
      </w:r>
      <w:r w:rsidR="00D02DF8" w:rsidRPr="00C93F78">
        <w:rPr>
          <w:rFonts w:ascii="Times New Roman" w:hAnsi="Times New Roman" w:cs="Times New Roman"/>
          <w:sz w:val="24"/>
          <w:szCs w:val="24"/>
        </w:rPr>
        <w:t xml:space="preserve">3 </w:t>
      </w:r>
      <w:r w:rsidRPr="00C93F78">
        <w:rPr>
          <w:rFonts w:ascii="Times New Roman" w:hAnsi="Times New Roman" w:cs="Times New Roman"/>
          <w:sz w:val="24"/>
          <w:szCs w:val="24"/>
        </w:rPr>
        <w:t xml:space="preserve">– w zakresie </w:t>
      </w:r>
      <w:r w:rsidR="00410EE1" w:rsidRPr="00C93F78">
        <w:rPr>
          <w:rFonts w:ascii="Times New Roman" w:hAnsi="Times New Roman" w:cs="Times New Roman"/>
          <w:sz w:val="24"/>
          <w:szCs w:val="24"/>
        </w:rPr>
        <w:t>kwoty stanowiącej podstawę</w:t>
      </w:r>
      <w:r w:rsidRPr="00C93F78">
        <w:rPr>
          <w:rFonts w:ascii="Times New Roman" w:hAnsi="Times New Roman" w:cs="Times New Roman"/>
          <w:sz w:val="24"/>
          <w:szCs w:val="24"/>
        </w:rPr>
        <w:t xml:space="preserve"> ustalenia dodatkowego zobowiązania podatkowego związanej z zastosowaniem tych </w:t>
      </w:r>
      <w:r w:rsidR="003036BF" w:rsidRPr="00C93F78">
        <w:rPr>
          <w:rFonts w:ascii="Times New Roman" w:hAnsi="Times New Roman" w:cs="Times New Roman"/>
          <w:sz w:val="24"/>
          <w:szCs w:val="24"/>
        </w:rPr>
        <w:t xml:space="preserve">przepisów lub </w:t>
      </w:r>
      <w:r w:rsidRPr="00C93F78">
        <w:rPr>
          <w:rFonts w:ascii="Times New Roman" w:hAnsi="Times New Roman" w:cs="Times New Roman"/>
          <w:sz w:val="24"/>
          <w:szCs w:val="24"/>
        </w:rPr>
        <w:t>środków;</w:t>
      </w:r>
    </w:p>
    <w:p w:rsidR="005271EE" w:rsidRPr="00C93F78" w:rsidRDefault="005271EE" w:rsidP="00C93F78">
      <w:pPr>
        <w:numPr>
          <w:ilvl w:val="0"/>
          <w:numId w:val="26"/>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strona nie przedłożyła organowi podatkowemu dokumentacji podatkowej w zakresie cen transferowych o której mowa w oddziale 3 rozdziału 1a updop lub oddziale 3 rozdziału 4b updof – w zakresie tej części podstawy ustalenia dodatkowego zobowiązania podatkowego, która wynika z zastosowania przepisów wskazanych w art. 58a § 1 pkt 4 i dotyczy transakcji, dla której nie przedłożono dokumentacji podatkowej. Należy wskazać, że przedłożenie niekompletnej dokumentacji, a następnie jej uzupełnienie w pełnym zakresie wskazanym w wezwaniu przez organ podatkowy w określonym terminie nie będzie wywierało negatywnych skutków.</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Jedną z przesłanek zastosowania podwojonej stawki, do całej wartości korzyści podatkowej, będzie uprzednie otrzymanie przez stronę postępowania ostatecznej decyzji z zastosowaniem art. 119a § 1 lub środków ograniczających umowne korzyści. Regulacja ta ma dodatkowo skłonić podatników do odstąpienia od przeprowadzania agresywnych optymalizacji podatkowych, jeżeli ich działania zostały już wcześniej zakwestionowane przez organ podatkowy. W szczególności jednak ta przesłanka skierowana jest do podatników, którzy stosują schematy optymalizacyjne dające korzyści podatkowe uzyskiwane przez wiele lat. Regulacja ta ma zachęcić podatników, którzy otrzymali już ostateczną decyzję kwestionującą działania optymalizacyjne, do samodzielnej rezygnacji z korzyści podatkowych uzyskiwanych w ten sam sposób w kolejnych okresach rozliczeniowych – już bez przeprowadzania postępowania podatkowego na podstawie i bez określenia dodatkowego zobowiązania podatkowego. Kwestia schematów optymalizacyjnych dających korzyść podatkową przez wiele okresów rozliczeniowych jest kolejnym powodem wprowadzenia instytucji dodatkowego zobowiązania podatkowego w przypadku unikania opodatkowania. W obecnym stanie prawnym odwrócenie skutków takich schematów optymalizacyjnych wymaga bowiem interwencji wyspecjalizowanego organu podatkowego w każdym okresie rozliczeniowym, zaś strona postępowania, z uwagi na ograniczony efekt prewencyjny przepisów zawartych w dziale IIIa Op, nie posiada interesu ekonomicznego do samodzielnej rezygnacji z korzyści podatkowej związanej z unikaniem opodatkowania.</w:t>
      </w:r>
    </w:p>
    <w:p w:rsidR="005271EE"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Projektodawca przewidział ponadto potrojenie stawki, o której mowa w art. 58b § 1, w przypadku, gdy</w:t>
      </w:r>
      <w:r w:rsidR="005271EE" w:rsidRPr="00C93F78">
        <w:rPr>
          <w:rFonts w:ascii="Times New Roman" w:hAnsi="Times New Roman" w:cs="Times New Roman"/>
          <w:sz w:val="24"/>
          <w:szCs w:val="24"/>
        </w:rPr>
        <w:t>:</w:t>
      </w:r>
    </w:p>
    <w:p w:rsidR="005271EE" w:rsidRPr="00C93F78" w:rsidRDefault="005271EE" w:rsidP="00C93F78">
      <w:pPr>
        <w:pStyle w:val="Akapitzlist"/>
        <w:numPr>
          <w:ilvl w:val="0"/>
          <w:numId w:val="81"/>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podstawa do ustalenia dodatkowego zobowiązania podatkowego przekracza 15 000 000 zł – w zakresie nadwyżki ponad tę kwotę;</w:t>
      </w:r>
    </w:p>
    <w:p w:rsidR="005271EE" w:rsidRPr="00C93F78" w:rsidRDefault="005271EE" w:rsidP="00C93F78">
      <w:pPr>
        <w:pStyle w:val="Akapitzlist"/>
        <w:numPr>
          <w:ilvl w:val="0"/>
          <w:numId w:val="81"/>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nie upłynęło 10 lat od końca roku kalendarzowego, w którym podatnikowi lub płatnikowi doręczono ostateczną decyzję z zastosowaniem przepisów lub środków, o których mowa w art. 58a § 1 pkt 1-3 – w zakresie kwoty stanowiącej podstawę ustalenia dodatkowego zobowiązania podatkowego związanej z zastosowaniem tych przepisów lub środków;</w:t>
      </w:r>
    </w:p>
    <w:p w:rsidR="005271EE" w:rsidRPr="00C93F78" w:rsidRDefault="005271EE" w:rsidP="00C93F78">
      <w:pPr>
        <w:pStyle w:val="Akapitzlist"/>
        <w:numPr>
          <w:ilvl w:val="0"/>
          <w:numId w:val="81"/>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strona nie przedłożyła organowi podatkowemu dokumentacji podatkowej, o której mowa w przepisach oddziału 3 rozdziału 4b ustawy z dnia 26 lipca 1991 r. o podatku dochodowym od osób fizycznych lub oddziału 3 rozdziału 1a ustawy z dnia 15 lutego 1992 r. o podatku dochodowym od osób prawnych – w zakresie tej części podstawy ustalenia dodatkowego zobowiązania podatkowego, która wynika z zastosowania przepisów wskazanych w art. 58a § 1 pkt 4 i dotyczy transakcji, dla której nie przedłożono dokumentacji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Potrojenie stawki jest celowe z uwagi na penalizację zachowań najbardziej ryzykownych z punktu widzenia potencjalnych strat w budżecie państwa. Zaznaczyć należy, że schematy optymalizacyjne dające znaczące korzyści podatkowe (liczone w mln zł) będą wiązać się z lepszym przygotowaniem i poniesieniem przez podatników lub płatników większych nakładów na ich implementację. Podatnicy decydujący się na wdrożenie takich schematów powinni w sposób szczególny być świadomi ryzyka ich zakwestionowania.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Należy podkreślić, że projektowane stawki sankcyjne, które będą mogły mieć zastosowanie do spraw z zakresu cen transferowych nie są wyższe niż aktualnie obowiązująca stawka sankcyjna dla takich spraw tj. 50% wartości doszacowanego dochodu. Co więcej, stawka projektowana dla nadużyć o mniej istotnym znaczeniu dla budżetu państwa będzie znacząco niższa niż stawka obecnie obowiązująca. Natomiast stawka projektowana, która będzie miała zastosowanie dla nierynkowych transakcji o dużej wartości, dla których podatnik uchyli się od przedstawienia dokumentacji cen transferowych, pozostanie na poziomie zbliżonym do obecnie obowiązującej.</w:t>
      </w:r>
    </w:p>
    <w:p w:rsidR="00D05D84" w:rsidRPr="00C93F78" w:rsidRDefault="00D05D84" w:rsidP="00C93F78">
      <w:pPr>
        <w:pStyle w:val="Nagwek2"/>
        <w:spacing w:line="360" w:lineRule="auto"/>
        <w:jc w:val="both"/>
        <w:rPr>
          <w:szCs w:val="24"/>
        </w:rPr>
      </w:pPr>
      <w:r w:rsidRPr="00C93F78">
        <w:rPr>
          <w:szCs w:val="24"/>
        </w:rPr>
        <w:t>Obniżenie stawki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Projektodawca przewidział obniżenie o połowę stawek wskazanych w art. 58b i art. 58c w przypadku wydania decyzji na podstawie art. 119 § 7 – odnośnie podstawy ustalenia dodatkowego zobowiązania podatkowego, która związana jest z cofnięciem skutków unikania opodatkowania określonym w art. 81b § 1a. Proponuje się objęcie obniżoną stawką dodatkowego zobowiązania podatkowego tych korzyści podatkowych, które będą przedmiotem korekty deklaracji dokonanej przez stronę postępowania na podstawie art. 81b § 1a Ordynacji podatkowej</w:t>
      </w:r>
      <w:r w:rsidR="001C02FE" w:rsidRPr="00C93F78">
        <w:rPr>
          <w:rFonts w:ascii="Times New Roman" w:hAnsi="Times New Roman" w:cs="Times New Roman"/>
          <w:sz w:val="24"/>
          <w:szCs w:val="24"/>
        </w:rPr>
        <w:t xml:space="preserve">, z zastrzeżeniem art. 200 § 4. </w:t>
      </w:r>
      <w:r w:rsidRPr="00C93F78">
        <w:rPr>
          <w:rFonts w:ascii="Times New Roman" w:hAnsi="Times New Roman" w:cs="Times New Roman"/>
          <w:sz w:val="24"/>
          <w:szCs w:val="24"/>
        </w:rPr>
        <w:t>W tej sytuacji, organ podatkowy w wydanej decyzji stwierdzi zaistnienie unikania opodatkowania w wysokości określonej w przedmiotowej korekcie deklaracji, która będzie uwzględniać treść doręczonego zawiadomienia i ustali dodatkowe zobowiązanie podatkowe w odniesieniu do tej korzyści. Obniżenie stawek nawiązuje do rozwiązań w Ordynacji podatkowej, polegających na obniżeniu stawek odsetek za zwłokę w przypadku złożenia prawnie skutecznej korekty deklaracji nie później niż w terminie 6 miesięcy od dnia upływu terminu do złożenia deklaracji i zapłaty zaległości w całości w ciągu 7 dni od dnia złożenia korekty (art. 56a § 1 Ordynacji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68 § 3a wymienione zostały okoliczności, w których dodatkowe zobowiązanie podatkowe nie powstaje. Są to sytuacje, gdy decyzja w przedmiotowym zakresie została doręczona po upływie:</w:t>
      </w:r>
    </w:p>
    <w:p w:rsidR="00D05D84" w:rsidRPr="00C93F78" w:rsidRDefault="00D05D84" w:rsidP="00C93F78">
      <w:pPr>
        <w:numPr>
          <w:ilvl w:val="0"/>
          <w:numId w:val="27"/>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terminu przedawnienia zobowiązania podatkowego — w przypadku określenia wysokości zobowiązania podatkowego, straty podatkowej, wysokości nadpłaty lub zwrotu podatku, lub orzeczenia o odpowiedzialności płatnika za podatek niepobrany lub pobrany a niewpłacony, odpowiedzialności podatnika za podatek niepobrany przez płatnika, lub zakresie odpowiedzialności lub uprawnień spadkobiercy, albo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przypadku umorzenia postępowania w tej sprawie;</w:t>
      </w:r>
    </w:p>
    <w:p w:rsidR="00D05D84" w:rsidRPr="00C93F78" w:rsidRDefault="00D05D84" w:rsidP="00C93F78">
      <w:pPr>
        <w:numPr>
          <w:ilvl w:val="0"/>
          <w:numId w:val="27"/>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terminu określonego w art. 68 § 1 i 2, do którego ustawa dopuszcza powstanie zobowiązania podatkowego —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przypadku ustalenia zobowiązania podatkowego albo w przypadku umorzenia postępowania w tej sprawie;</w:t>
      </w:r>
    </w:p>
    <w:p w:rsidR="00D05D84" w:rsidRPr="00C93F78" w:rsidRDefault="00D05D84" w:rsidP="00C93F78">
      <w:pPr>
        <w:numPr>
          <w:ilvl w:val="0"/>
          <w:numId w:val="27"/>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terminów wskazanych w art. 118 § 1 — w przypadku orzeczenia o odpowiedzialności osoby trzeciej albo w przypadku umorzenia postępowania w tej sprawie;</w:t>
      </w:r>
    </w:p>
    <w:p w:rsidR="00D05D84" w:rsidRPr="00C93F78" w:rsidRDefault="00D05D84" w:rsidP="00C93F78">
      <w:pPr>
        <w:numPr>
          <w:ilvl w:val="0"/>
          <w:numId w:val="27"/>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3 lat, licząc od końca roku kalendarzowego, w którym upłynął termin przedawnienia zobowiązania podatkowego — w przypadku rozpatrzenia wniosku o stwierdzenie nadpłaty lub zwrot podatku, lub umorzenia postępowania w tych sprawach.</w:t>
      </w:r>
    </w:p>
    <w:p w:rsidR="00D05D84" w:rsidRPr="00C93F78" w:rsidRDefault="00D05D84" w:rsidP="00C93F78">
      <w:pPr>
        <w:pStyle w:val="Nagwek2"/>
        <w:spacing w:line="360" w:lineRule="auto"/>
        <w:jc w:val="both"/>
        <w:rPr>
          <w:szCs w:val="24"/>
        </w:rPr>
      </w:pPr>
      <w:r w:rsidRPr="00C93F78">
        <w:rPr>
          <w:szCs w:val="24"/>
        </w:rPr>
        <w:t>Dopuszczenie możliwości zastosowania klauzuli przeciwko unikaniu opodatkowania wobec płatników</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119g § 1 pkt 1-5 Ordynacji podatkowej wskazano rodzaje postępowań podatkowych, w ramach których możliwe jest zastosowanie klauzuli przeciwko unikaniu opodatkowania. Zamknięty katalog tych postępowań nie uwzględnia postępowań w zakresie odpowiedzialności podatkowej płatnika. Konsekwencją tego stanu prawnego jest praktyczna legalizacja schematów polegająca na uniknięciu opodatkowania dochodu u źródła. Niemożliwe jest także określanie takich czynności odpowiednich, które wskazywałyby na obowiązek płatnika do obliczenia, pobrania i odprowadzenia podatku. Wprawdzie nadal możliwe jest prowadzenie postępowania w sprawie odpowiedzialności podatnika za podatek niepobrany przez płatnika, lecz w sytuacji, gdy podmiot ten ma siedzibę poza granicami kraju, skuteczność takiego postępowania jest wątpliwa.</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hAnsi="Times New Roman" w:cs="Times New Roman"/>
          <w:sz w:val="24"/>
          <w:szCs w:val="24"/>
        </w:rPr>
        <w:t>Z tychże względów proponuje się uzupełnienie art. 119g § 1 pkt 4 Ordynacji podatkowej o postępowania w przedmiocie odpowiedzialności płatnika za podatek niepobrany lub pobrany a niewpłacony.</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Wynikiem tej zmiany </w:t>
      </w:r>
      <w:r w:rsidRPr="00C93F78">
        <w:rPr>
          <w:rFonts w:ascii="Times New Roman" w:eastAsia="Calibri" w:hAnsi="Times New Roman" w:cs="Times New Roman"/>
          <w:sz w:val="24"/>
          <w:szCs w:val="24"/>
        </w:rPr>
        <w:t>była</w:t>
      </w:r>
      <w:r w:rsidRPr="00C93F78">
        <w:rPr>
          <w:rFonts w:ascii="Times New Roman" w:hAnsi="Times New Roman" w:cs="Times New Roman"/>
          <w:sz w:val="24"/>
          <w:szCs w:val="24"/>
        </w:rPr>
        <w:t xml:space="preserve"> konieczność modyfikacji </w:t>
      </w:r>
      <w:r w:rsidRPr="00C93F78">
        <w:rPr>
          <w:rFonts w:ascii="Times New Roman" w:eastAsia="Calibri" w:hAnsi="Times New Roman" w:cs="Times New Roman"/>
          <w:sz w:val="24"/>
          <w:szCs w:val="24"/>
        </w:rPr>
        <w:t>definicji korzyści podatkowej. Dotychczas definicja korzyści podatkowej uregulowana była w </w:t>
      </w:r>
      <w:r w:rsidRPr="00C93F78">
        <w:rPr>
          <w:rFonts w:ascii="Times New Roman" w:hAnsi="Times New Roman" w:cs="Times New Roman"/>
          <w:sz w:val="24"/>
          <w:szCs w:val="24"/>
        </w:rPr>
        <w:t xml:space="preserve">treści art. 119e Ordynacji podatkowej. </w:t>
      </w:r>
      <w:r w:rsidRPr="00C93F78">
        <w:rPr>
          <w:rFonts w:ascii="Times New Roman" w:eastAsia="Calibri" w:hAnsi="Times New Roman" w:cs="Times New Roman"/>
          <w:sz w:val="24"/>
          <w:szCs w:val="24"/>
        </w:rPr>
        <w:t>Jednocześnie w związku z równolegle toczącymi się pracami nad projektami zmian w przepisach Ordynacji podatkowej dotyczącymi wprowadzenia do polskiego porządku prawnego przepisów o obowiązku ujawniania schematów podatkowych oraz projektu zmian w przepisach Ordynacji podatkowej dotyczących tzw. interpretacji grupowych</w:t>
      </w:r>
      <w:r w:rsidRPr="00C93F78">
        <w:rPr>
          <w:rFonts w:ascii="Times New Roman" w:hAnsi="Times New Roman" w:cs="Times New Roman"/>
          <w:sz w:val="24"/>
          <w:szCs w:val="24"/>
          <w:vertAlign w:val="superscript"/>
        </w:rPr>
        <w:footnoteReference w:id="8"/>
      </w:r>
      <w:r w:rsidRPr="00C93F78">
        <w:rPr>
          <w:rFonts w:ascii="Times New Roman" w:eastAsia="Calibri" w:hAnsi="Times New Roman" w:cs="Times New Roman"/>
          <w:sz w:val="24"/>
          <w:szCs w:val="24"/>
        </w:rPr>
        <w:t>, w których to projektach również posłużono się terminem „korzyści podatkowej”, właściwym stało się wprowadzenie jednej, możliwie ujednoliconej, definicji korzyści podatkowej. W efekcie w niniejszym projekcie zaproponowano wykreślenie odrębnej definicji korzyści podatkowej, która znajdowała się dotychczas w art. 119e Op. Jej</w:t>
      </w:r>
      <w:r w:rsidRPr="00C93F78">
        <w:rPr>
          <w:rFonts w:ascii="Times New Roman" w:hAnsi="Times New Roman" w:cs="Times New Roman"/>
          <w:sz w:val="24"/>
          <w:szCs w:val="24"/>
        </w:rPr>
        <w:t xml:space="preserve"> dotychczasową treść</w:t>
      </w:r>
      <w:r w:rsidRPr="00C93F78">
        <w:rPr>
          <w:rFonts w:ascii="Times New Roman" w:eastAsia="Calibri" w:hAnsi="Times New Roman" w:cs="Times New Roman"/>
          <w:sz w:val="24"/>
          <w:szCs w:val="24"/>
        </w:rPr>
        <w:t xml:space="preserve"> podzielono</w:t>
      </w:r>
      <w:r w:rsidRPr="00C93F78">
        <w:rPr>
          <w:rFonts w:ascii="Times New Roman" w:hAnsi="Times New Roman" w:cs="Times New Roman"/>
          <w:sz w:val="24"/>
          <w:szCs w:val="24"/>
        </w:rPr>
        <w:t xml:space="preserve"> na trzy punkty</w:t>
      </w:r>
      <w:r w:rsidRPr="00C93F78">
        <w:rPr>
          <w:rFonts w:ascii="Times New Roman" w:eastAsia="Calibri" w:hAnsi="Times New Roman" w:cs="Times New Roman"/>
          <w:sz w:val="24"/>
          <w:szCs w:val="24"/>
        </w:rPr>
        <w:t xml:space="preserve"> oraz biorąc pod uwagę uwzględnienia zagadnienia korzyści podatkowej w sytuacji niepobrania podatku</w:t>
      </w:r>
      <w:r w:rsidRPr="00C93F78">
        <w:rPr>
          <w:rFonts w:ascii="Times New Roman" w:hAnsi="Times New Roman" w:cs="Times New Roman"/>
          <w:sz w:val="24"/>
          <w:szCs w:val="24"/>
        </w:rPr>
        <w:t xml:space="preserve"> przez płatnika </w:t>
      </w:r>
      <w:r w:rsidRPr="00C93F78">
        <w:rPr>
          <w:rFonts w:ascii="Times New Roman" w:eastAsia="Calibri" w:hAnsi="Times New Roman" w:cs="Times New Roman"/>
          <w:sz w:val="24"/>
          <w:szCs w:val="24"/>
        </w:rPr>
        <w:t>zaproponowano wprowadzenie nowej definicji do słownika ustawy (</w:t>
      </w:r>
      <w:r w:rsidRPr="00C93F78">
        <w:rPr>
          <w:rFonts w:ascii="Times New Roman" w:eastAsia="Calibri" w:hAnsi="Times New Roman" w:cs="Times New Roman"/>
          <w:b/>
          <w:sz w:val="24"/>
          <w:szCs w:val="24"/>
        </w:rPr>
        <w:t>propozycja dodania punktu 16 w art. 3 Ordynacji podatkowej)</w:t>
      </w:r>
      <w:r w:rsidRPr="00C93F78">
        <w:rPr>
          <w:rFonts w:ascii="Times New Roman" w:hAnsi="Times New Roman" w:cs="Times New Roman"/>
          <w:sz w:val="24"/>
          <w:szCs w:val="24"/>
        </w:rPr>
        <w:t>. Wskazane rodzaje korzyści odnoszące się do płatnika będą również koniecznym elementem decyzji wydanej z zastosowaniem art. 119a lub środków ograniczających umowne korzyści.</w:t>
      </w:r>
    </w:p>
    <w:p w:rsidR="00D05D84" w:rsidRPr="00C93F78" w:rsidRDefault="00D05D84" w:rsidP="00C93F78">
      <w:pPr>
        <w:pStyle w:val="Nagwek2"/>
        <w:spacing w:line="360" w:lineRule="auto"/>
        <w:jc w:val="both"/>
        <w:rPr>
          <w:szCs w:val="24"/>
        </w:rPr>
      </w:pPr>
      <w:r w:rsidRPr="00C93F78">
        <w:rPr>
          <w:szCs w:val="24"/>
        </w:rPr>
        <w:t>Zawieszenie biegu terminu przedawnienia zobowiązania podatkowego w przypadku zasięgnięcia opinii Rady</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Przyjąć należy, że postępowania podatkowe w zakresie zastosowania generalnej klauzuli przeciwko unikaniu opodatkowania lub umownej klauzuli przeciwko unikaniu opodatkowania będą dłuższe niż standardowe. Wpływ na to będzie mieć szereg czynników, takich jak prowadzenie postępowania przez dwa organy podatkowe (inicjujący oraz przejmujący), skomplikowany charakter zagadnień pojawiających się w toku postępowania, konieczność zdefiniowania czynności odpowiedniej oraz możliwość zasięgnięcia opinii Rady do Spraw Przeciwdziałania Unikaniu Opodatkowania</w:t>
      </w:r>
      <w:r w:rsidRPr="00C93F78">
        <w:rPr>
          <w:rFonts w:ascii="Times New Roman" w:eastAsia="Calibri" w:hAnsi="Times New Roman" w:cs="Times New Roman"/>
          <w:sz w:val="24"/>
          <w:szCs w:val="24"/>
        </w:rPr>
        <w:t xml:space="preserve"> (</w:t>
      </w:r>
      <w:r w:rsidRPr="00C93F78">
        <w:rPr>
          <w:rFonts w:ascii="Times New Roman" w:hAnsi="Times New Roman" w:cs="Times New Roman"/>
          <w:sz w:val="24"/>
          <w:szCs w:val="24"/>
        </w:rPr>
        <w:t>dalej: Rada</w:t>
      </w:r>
      <w:r w:rsidRPr="00C93F78">
        <w:rPr>
          <w:rFonts w:ascii="Times New Roman" w:eastAsia="Calibri" w:hAnsi="Times New Roman" w:cs="Times New Roman"/>
          <w:sz w:val="24"/>
          <w:szCs w:val="24"/>
        </w:rPr>
        <w:t>).</w:t>
      </w:r>
      <w:r w:rsidRPr="00C93F78">
        <w:rPr>
          <w:rFonts w:ascii="Times New Roman" w:hAnsi="Times New Roman" w:cs="Times New Roman"/>
          <w:sz w:val="24"/>
          <w:szCs w:val="24"/>
        </w:rPr>
        <w:t xml:space="preserve"> Przypomnieć należy, że Szef Krajowej Administracji Skarbowej obok stosowania klauzuli przeciwko unikaniu opodatkowania w prowadzonych postępowaniach podatkowych pełni rolę także „zwykłego” organu podatkowego uprawnionego do załatwienia sprawy w całości. Decyzje Szefa KAS określają bowiem np. wysokość zobowiązania podatkowego w danym podatku za wskazany okres rozliczeniowy.</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Można z dużą dozą pewności założyć, że w sprawach, w których podatnik nie uzna argumentacji prawnej Szefa KAS w zakresie unikania opodatkowania, złożone odwołanie będzie zawierać wniosek o zasięgnięcie opinii Rady, o ile taka opinia nie zostanie wydana w postępowaniu podatkowym w I instancji. Zgodnie z brzmieniem art. 119i § 5 zdanie 2 Ordynacji podatkowej, postępowanie przed Radą może trwać nawet ponad 3 miesiące. Co więcej, w przypadku uchylenia decyzji organu I instancji przez sąd administracyjny, stronie będzie przysługiwać prawo do złożenia wraz z odwołaniem wniosku o ponowne wydanie opinii przez Radę. Nie można wykluczyć również sytuacji, w której Rada z uwagi na utratę co najmniej trzech swoich członków nie będzie mogła przejściowo procedować, a tym samym wydać opinii w przewidzianym terminie. W trakcie rozpatrywania wniosku przez Radę organ podatkowy nie może prowadzić postępowania podatkowego (art. 201 § 1 pkt 8 Ordynacji podatkowej). W obecnym stanie prawnym, bieg terminu przedawnienia zobowiązania podatkowego biegnie mimo tego, że organ podatkowy nie jest opieszały w swoich działaniach.</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Aby zapewnić efektywność stosowania klauzuli przeciwko unikaniu opodatkowania i nie pogarszać skuteczności przedmiotowych postępowań podatkowych proponuje się zatem wyłączyć z biegu terminu przedawnienia zobowiązania podatkowego czas przeznaczony dla Rady na wydanie opinii w sprawie (art. 70 § 6 pkt 6, § 7 pkt 6). Rozwiązanie to wykluczy ponadto składanie wniosków o wydanie opinii przez Radę tylko w celu obstrukcji postępowania i, ostatecznie, przedawnienia zobowiązania podatkowego. Zmiana jest systemowo zgodna z podobnymi już regulacjami, zawartymi art. 70 § 6 pkt 2 i 3 oraz § 7 pkt 2 i 3 Ordynacji podatkowej.</w:t>
      </w:r>
    </w:p>
    <w:p w:rsidR="00D05D84" w:rsidRPr="00C93F78" w:rsidRDefault="00D05D84" w:rsidP="00C93F78">
      <w:pPr>
        <w:pStyle w:val="Nagwek2"/>
        <w:spacing w:line="360" w:lineRule="auto"/>
        <w:jc w:val="both"/>
        <w:rPr>
          <w:szCs w:val="24"/>
        </w:rPr>
      </w:pPr>
      <w:r w:rsidRPr="00C93F78">
        <w:rPr>
          <w:szCs w:val="24"/>
        </w:rPr>
        <w:t>Zawieszenie biegu terminu przedawnienia zobowiązania podatkowego w przypadku wniosku o cofnięcie unikania (art. 3 pkt 16)</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sz w:val="24"/>
          <w:szCs w:val="24"/>
        </w:rPr>
        <w:t xml:space="preserve">Zgodnie z dodawanym art. 70e § 1 bieg terminu przedawnienia, o którym mowa w art. 68 § 1, 3 i 3a oraz w art. 70 § 1, ulega zawieszeniu, w przypadku wszczęcia postępowania w sprawie wydania decyzji określającej warunki cofnięcia unikania opodatkowania. </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sz w:val="24"/>
          <w:szCs w:val="24"/>
        </w:rPr>
        <w:t>Zgodnie z §2 tego artykułu zawieszenie terminu przedawnienia, o którym mowa w § 1, następuje z dniem złożenia wniosku o wydanie decyzji określającej warunki cofnięcia skutków unikania opodatkowania i trwa do dnia następującego po dniu wydania ostatecznej decyzji określającej warunki cofnięcia skutków unikania opodatkowania lub innego aktu kończącego postępowanie w sprawie, a w przypadku wniesienia skargi do sądu administracyjnego na tę decyzję lub akt, do dnia następującego po dniu doręczenia organowi podatkowemu odpisu orzeczenia sądu administracyjnego, ze stwierdzeniem jego prawomocności.</w:t>
      </w:r>
      <w:r w:rsidR="00840A3E" w:rsidRPr="00C93F78">
        <w:rPr>
          <w:rFonts w:ascii="Times New Roman" w:hAnsi="Times New Roman" w:cs="Times New Roman"/>
          <w:sz w:val="24"/>
          <w:szCs w:val="24"/>
        </w:rPr>
        <w:t xml:space="preserve"> </w:t>
      </w:r>
    </w:p>
    <w:p w:rsidR="00D05D84" w:rsidRPr="00C93F78" w:rsidRDefault="00D05D84" w:rsidP="00C93F78">
      <w:pPr>
        <w:pStyle w:val="Nagwek2"/>
        <w:spacing w:after="240" w:line="360" w:lineRule="auto"/>
        <w:jc w:val="both"/>
        <w:rPr>
          <w:szCs w:val="24"/>
        </w:rPr>
      </w:pPr>
      <w:r w:rsidRPr="00C93F78">
        <w:rPr>
          <w:szCs w:val="24"/>
        </w:rPr>
        <w:t>Korekta deklaracji w toku postępowania podatkowego związanego z unikaniem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w:t>
      </w:r>
      <w:r w:rsidR="00214B8A" w:rsidRPr="00C93F78">
        <w:rPr>
          <w:rFonts w:ascii="Times New Roman" w:hAnsi="Times New Roman" w:cs="Times New Roman"/>
          <w:sz w:val="24"/>
          <w:szCs w:val="24"/>
        </w:rPr>
        <w:t xml:space="preserve"> </w:t>
      </w:r>
      <w:r w:rsidRPr="00C93F78">
        <w:rPr>
          <w:rFonts w:ascii="Times New Roman" w:hAnsi="Times New Roman" w:cs="Times New Roman"/>
          <w:sz w:val="24"/>
          <w:szCs w:val="24"/>
        </w:rPr>
        <w:t>obowiązującym stan</w:t>
      </w:r>
      <w:r w:rsidR="003C5CE4" w:rsidRPr="00C93F78">
        <w:rPr>
          <w:rFonts w:ascii="Times New Roman" w:hAnsi="Times New Roman" w:cs="Times New Roman"/>
          <w:sz w:val="24"/>
          <w:szCs w:val="24"/>
        </w:rPr>
        <w:t>em</w:t>
      </w:r>
      <w:r w:rsidRPr="00C93F78">
        <w:rPr>
          <w:rFonts w:ascii="Times New Roman" w:hAnsi="Times New Roman" w:cs="Times New Roman"/>
          <w:sz w:val="24"/>
          <w:szCs w:val="24"/>
        </w:rPr>
        <w:t xml:space="preserve"> prawnym, stronie postępowania podatkowego prowadzonego w zakresie przepisów działu III</w:t>
      </w:r>
      <w:r w:rsidR="003C5CE4" w:rsidRPr="00C93F78">
        <w:rPr>
          <w:rFonts w:ascii="Times New Roman" w:hAnsi="Times New Roman" w:cs="Times New Roman"/>
          <w:sz w:val="24"/>
          <w:szCs w:val="24"/>
        </w:rPr>
        <w:t>A</w:t>
      </w:r>
      <w:r w:rsidRPr="00C93F78">
        <w:rPr>
          <w:rFonts w:ascii="Times New Roman" w:hAnsi="Times New Roman" w:cs="Times New Roman"/>
          <w:sz w:val="24"/>
          <w:szCs w:val="24"/>
        </w:rPr>
        <w:t xml:space="preserve"> Ordynacji podatkowej przysługuje uprawnienie do skorygowania deklaracji w ciągu 14 dni od dnia doręczenia postanowienia o wyznaczeniu terminu do wypowiedzenia się w sprawie zebranego materiału dowodowego. Zauważyć należy, że w ramach procedur przeprowadzanych przez Krajową Administrację Skarbową możliwość skorygowania deklaracji podatkowej na tak późnym etapie postępowania podatkowego jest wyjątkiem, który może w niektórych postępowaniach rodzić istotne problemy praktyczne, prawne i fiskalne.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postępowań w sprawach przeciwdziałaniu unikania opodatkowania ocena prawna zawarta w postanowieniu w przedmiocie wyznaczenia terminu do wypowiedzenia się w sprawie zebranego materiału dowodowego może dotyczyć nie tylko kwestii związanych z zastosowaniem klauzuli przeciwko unikaniu opodatkowania, ale także innych nieprawidłowości ujawnionych w trakcie postępowania, np. zasadności rozliczenia w danym okresie kosztów uzyskania przychodu. Nie można zatem wykluczyć, że w złożonych postępowaniach podatkowych wystąpi wiele zagadnień spornych, łącznie z tymi dotyczącymi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Ze złożonej korekty deklaracji podatkowej może zatem nie wynikać w sposób wyraźny dla organu podatkowego to, jakie elementy oceny prawnej strona podzieliła, a jakie nie oraz w jakiej części ta ocena prawna została przez stronę uznana za prawidłową. Utrudnione lub wręcz niemożliwe może okazać się stosowanie obecnej normy zawartej w art. 81b § 1a zdanie drugie, w myśl którego „Ponowne skorygowanie deklaracji po zakończeniu postępowania podatkowego nie wywołuje skutków prawnych w zakresie, w jakim wcześniej dokonana korekta przewidywała cofnięcie skutków unikania opodatkowania”. Korekta deklaracji nie wskazuje bowiem wyraźnie, w jakim stopniu przewiduje cofnięcie skutków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§1b art. 81 b korekta złożona w przypadku, o którym mowa powyżej nie wywołuje skutków unikania opodatkowania, jeżeli tylko częściowo uwzględnia ocenę prawną związaną z unikaniem opodatkowania, zawartą w zawiadomieniu, o którym mowa w art. 200 § 3 lub nie uwzględnia tej oceny wcale.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niektórych okolicznościach może ponadto dojść do konieczności ponownego zbadania dokumentacji księgowo-podatkowej strony, w celu precyzyjnego ustalenia aktualnego stanu faktycznego sprawy. Czynności te mogą rodzić konieczność wydania kolejnego postanowienia o wyznaczeniu terminu do wypowiedzenia się w sprawie zebranego materiału dowodowego, a tym samym przyznania stronie kolejnego uprawnienia do złożenia korekty deklaracji.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Zauważenia wymaga, że obowiązujący od początku 2016 r. art. 81 § 2 Op zniósł konieczność dołączania do korekty deklaracji jej uzasadnienia, co dodatkowo utrudnia organowi podatkowemu otrzymującemu korektę deklaracji bezpośrednio przed wydaniem decyzji w toku postępowania podatkowego ustalenie przyczyny tej korekty. W tych okolicznościach stwierdzić należy, że obecna treść art. 81b § 1a Ordynacji podatkowej może utrudniać zakończenie postępowania podatkowego prowadzonego na podstawie art. 119g Op.</w:t>
      </w:r>
      <w:r w:rsidR="00CF71F5" w:rsidRPr="00C93F78">
        <w:rPr>
          <w:rFonts w:ascii="Times New Roman" w:eastAsiaTheme="minorEastAsia" w:hAnsi="Times New Roman" w:cs="Arial"/>
          <w:sz w:val="24"/>
          <w:szCs w:val="24"/>
          <w:lang w:eastAsia="pl-PL"/>
        </w:rPr>
        <w:t xml:space="preserve"> Należy podkreślić, że zgodnie z projektowanymi przepisami k</w:t>
      </w:r>
      <w:r w:rsidR="00CF71F5" w:rsidRPr="00C93F78">
        <w:rPr>
          <w:rFonts w:ascii="Times New Roman" w:hAnsi="Times New Roman" w:cs="Times New Roman"/>
          <w:sz w:val="24"/>
          <w:szCs w:val="24"/>
        </w:rPr>
        <w:t>orektę, o której mowa w § 1a, składa się wraz z uzasadnieniem przyczyn korekty.</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119k § 1 Ordynacji podatkowej, jak również może tworzyć pole do „optymalizacji” rozliczeń podatkowych w zakresie unikania opodatkowania w toku samego postępowania podatkowego, co nie powinno mieć miejsca.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Nie można również przeoczyć faktu, że tylko częściowe wycofanie się przez stronę postępowania z unikania opodatkowania, tj. niezgodne z treścią postanowienia wydanego na podstawie art. 200 § 3 Op, będzie skutkować koniecznością wydania decyzji na podstawie art. 119a</w:t>
      </w:r>
      <w:r w:rsidRPr="00C93F78">
        <w:rPr>
          <w:rFonts w:ascii="Times New Roman" w:eastAsia="Calibri" w:hAnsi="Times New Roman" w:cs="Times New Roman"/>
          <w:sz w:val="24"/>
          <w:szCs w:val="24"/>
        </w:rPr>
        <w:t xml:space="preserve"> Ordynacji podatkowej</w:t>
      </w:r>
      <w:r w:rsidRPr="00C93F78">
        <w:rPr>
          <w:rFonts w:ascii="Times New Roman" w:hAnsi="Times New Roman" w:cs="Times New Roman"/>
          <w:sz w:val="24"/>
          <w:szCs w:val="24"/>
        </w:rPr>
        <w:t xml:space="preserve"> lub środków ograniczających umowne korzyści. Zasadność istnienia instytucji „częściowego wycofania się z unikania opodatkowania” jest zatem pragmatycznie wątpliwa.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Przepisy art. 81b § 1a-1d Op skonstruowano wobec powyższego tak, aby prawo do złożenia korekty deklaracji uwzględniającej w całości ocenę prawną związaną z unikaniem opodatkowania, a zawartą w postanowieniu wydanym na podstawie art. 200 § 3 Ordynacji podatkowej, przysługiwało stronie wyłącznie jeden raz, po doręczeniu pierwszego postanowienia w przedmiocie wyznaczenia terminu do wypowiedzenia się w sprawie zebranego materiału dowodowego.</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Strona postępowania nie będzie mieć zatem możliwości skorygowania deklaracji w przypadku ponownego wydania postanowienia w trybie art. 200 Ordynacji podatkowej. Uprawnienie to nie powstanie także w przypadku uchylenia decyzji organu I instancji przez organ II instancji lub sąd administracyjny. Zwrócić bowiem należy uwagę, że uchylenie decyzji organu pierwszej instancji np. przez sąd administracyjny nie musi realnie prowadzić do poprawy sytuacji procesowej strony. Sąd administracyjny może bowiem wskazać, że w zakresie unikania opodatkowania rozstrzygnięcie organu podatkowego jest prawidłowe, zaś uchylenie decyzji organu pierwszej instancji nastąpi z powodu innych kwestii spornych. Ze względu na potencjalny charakter uchybień organu podatkowego I instancji, sytuację procesową strony oraz możliwość ustalenia dodatkowego zobowiązania podatkowego, przyznanie stronie powtórnego prawa do korekty deklaracji również po uchyleniu decyzji organu pierwszej instancji przez organy nadrzędne mogłoby stanowić pole do nadużycia przywileju skorygowania deklaracji oraz osłabić prewencyjny efekt klauzuli przeciwko unikaniu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Uprawnienie do skorygowania deklaracji w toku postępowania podatkowego nie powstanie również w przypadku, gdy strona postępowania otrzymała w ciągu ostatnich 10 lat w innej sprawie ostateczną decyzję z zastosowaniem art. 119a § 1 lub 7 Op. lub środków ograniczających umowne korzyści. Rolą proponowanego przepisu art. 81b § 1c pkt 2 Op jest zapewnienie efektywności oddziaływania podwyższonych stawek dodatkowego zobowiązania podatkowego wskazanych w rozdziale 6a działu IIIa.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Konsekwencją powyższych zmian jest modyfikacja art. 200 § 3 Ordynacji podatkowej. Postanowienie na podstawie tego przepisu będzie wydawane wówczas, gdy jego doręczenie będzie rodzić prawo do złożenia korekty deklaracji w toku postępowania podatkowego prowadzonego na podstawie art. 119g Ordynacji podatkowej. W pozostałych sytuacjach zastosowanie będzie mieć art. 200 § 1 Ordynacji podatkowej. Niezasadne bowiem wydaje się zamieszczanie w treści postanowienia oceny prawnej, skoro strona postępowania nie będzie mogła się do niego odnieść poprzez złożenie korekty deklaracji.</w:t>
      </w:r>
    </w:p>
    <w:p w:rsidR="00CF71F5" w:rsidRPr="00C93F78" w:rsidRDefault="00CF71F5" w:rsidP="00C93F78">
      <w:pPr>
        <w:tabs>
          <w:tab w:val="left" w:pos="5624"/>
        </w:tabs>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§4 i 5 art. 200 jeżeli po doręczeniu zawiadomienia, o którym mowa w § 3, organ podatkowy zmienił ocenę prawną sprawy lub wysokość korzyści podatkowej, a strona nie skorzystała skutecznie z uprawnienia określonego w art. 81b § 1a w zakresie cofnięcia skutków unikania opodatkowania, organ podatkowy ponownie doręcza wskazane zawiadomienie uwzględniając zmienioną ocenę prawną.</w:t>
      </w:r>
    </w:p>
    <w:p w:rsidR="00CF71F5" w:rsidRPr="00C93F78" w:rsidRDefault="00CF71F5" w:rsidP="00C93F78">
      <w:pPr>
        <w:tabs>
          <w:tab w:val="left" w:pos="5624"/>
        </w:tabs>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Przepisu § 3 art. 200 nie stosuje się, jeżeli w wyniku doręczenia zawiadomienia stronie nie przysługiwałoby uprawnienie wskazane w art. 81 § 1a.</w:t>
      </w:r>
    </w:p>
    <w:p w:rsidR="00D05D84" w:rsidRPr="00C93F78" w:rsidRDefault="00D05D84" w:rsidP="00C93F78">
      <w:pPr>
        <w:pStyle w:val="Nagwek2"/>
        <w:spacing w:after="240" w:line="360" w:lineRule="auto"/>
        <w:jc w:val="both"/>
        <w:rPr>
          <w:szCs w:val="24"/>
        </w:rPr>
      </w:pPr>
      <w:r w:rsidRPr="00C93F78">
        <w:rPr>
          <w:szCs w:val="24"/>
        </w:rPr>
        <w:t>Implementacja przepisów dyrektywy 2016/1164/UE w zakresie generalnej klauzuli przeciwko unikaniu opodatkowania</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sz w:val="24"/>
          <w:szCs w:val="24"/>
        </w:rPr>
        <w:t xml:space="preserve"> Zgodnie z art. 6 ust. 1 dyrektywy ATAD, „Na użytek obliczenia zobowiązania z tytułu podatku od osób prawnych państwo członkowskie nie uwzględnia jednostkowych ani seryjnych uzgodnień, które – z uwagi na to, że głównym celem lub jednym z głównych celów ich wprowadzenia było uzyskanie korzyści podatkowej sprzecznej z przedmiotem lub celem mającego zastosowanie prawa podatkowego – są nierzeczywiste, wziąwszy pod uwagę wszystkie stosowne fakty i okoliczności. Jednostkowe uzgodnienie może obejmować więcej niż jeden etap lub więcej niż jedną część”. Dyrektywa wyznaczyła ponadto termin dostosowania przepisów krajowych do tej formuły na dzień 31 grudnia 2018 r.</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punkcie 11 preambuły do dyrektywy ATAD stwierdzono, że „</w:t>
      </w:r>
      <w:r w:rsidRPr="00C93F78">
        <w:rPr>
          <w:rFonts w:ascii="Times New Roman" w:hAnsi="Times New Roman" w:cs="Times New Roman"/>
          <w:i/>
          <w:sz w:val="24"/>
          <w:szCs w:val="24"/>
        </w:rPr>
        <w:t>Przepisy ogólne przeciw unikaniu opodatkowania są włączane do systemów podatkowych, aby zwalczać nadużycia podatkowe, w odniesieniu do których nie zostały jeszcze przyjęte specjalnie ukierunkowane przepisy. Przepisy ogólne przeciw unikaniu opodatkowania służą zatem wypełnianiu luk, ale nie powinny mieć wpływu na możliwość stosowania szczegółowych przepisów w zakresie przeciwdziałania nadużyciom. W Unii przepisy ogólne przeciw unikaniu opodatkowania powinny mieć zastosowanie do uzgodnień, które nie są rzeczywiste; we wszystkich pozostałych przypadkach podatnik powinien mieć swobodę wyboru takiej struktury podatkowej, która jest najbardziej efektywna z punktu widzenia prowadzonej przez niego działalności gospodarczej. Ważne jest również zapewnienie jednolitego stosowania przepisów ogólnych przeciw unikaniu opodatkowania w sytuacjach wewnątrzkrajowych, w obrębie Unii i w relacjach z państwami trzecimi, tak aby ich zakres i wyniki stosowania były takie same zarówno w przypadku sytuacji wewnętrznych, jak i transgranicznych. Państwa członkowskie powinny mieć możliwość stosowania kar, w przypadku gdy zastosowanie mają przepisy ogólne przeciw unikaniu opodatkowania. Przy ocenie, czy dane uzgodnienie należy uznać za nierzeczywiste, powinno być możliwe rozważenie przez państwa członkowskie wszystkich ważnych względów ekonomicznych, w tym działalności finansowej</w:t>
      </w:r>
      <w:r w:rsidRPr="00C93F78">
        <w:rPr>
          <w:rFonts w:ascii="Times New Roman" w:hAnsi="Times New Roman" w:cs="Times New Roman"/>
          <w:sz w:val="24"/>
          <w:szCs w:val="24"/>
        </w:rPr>
        <w:t>”.</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Art. 6 ust. 1 dyrektywy ATAD ustanawia zatem ogólną klauzulę przeciwko unikaniu opodatkowania, mającą zastosowanie do podatku dochodowego od osób prawnych. Odpowiednikiem tego rozwiązania w polskim systemie prawnym jest generalna klauzula przeciwko unikaniu opodatkowania, która została wprowadzona ustawą zmieniającą z 2016 r., normatywnie ujęta w przepisie art. 119a § 1 Ordynacji podatkowej. Wobec przyjęcia w tym zakresie uregulowania wspólnotowego oraz wypełnienia obowiązku implementacyjnego należało rozważyć spełnianie przez regulację krajową wymagań stawianych przez art. 6 ust. 1 dyrektywy ATAD.</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Zauważyć należy, że obecnie obowiązująca klauzula przeciwko unikaniu opodatkowania może mieć zastosowanie – zgodnie z treścią art. 119a § 1 Ordynacji podatkowej – w sytuacji, gdy „</w:t>
      </w:r>
      <w:r w:rsidRPr="00C93F78">
        <w:rPr>
          <w:rFonts w:ascii="Times New Roman" w:hAnsi="Times New Roman" w:cs="Times New Roman"/>
          <w:i/>
          <w:sz w:val="24"/>
          <w:szCs w:val="24"/>
        </w:rPr>
        <w:t>Czynność została dokonana przede wszystkim w celu osiągnięcia korzyści podatkowej (…)</w:t>
      </w:r>
      <w:r w:rsidRPr="00C93F78">
        <w:rPr>
          <w:rFonts w:ascii="Times New Roman" w:hAnsi="Times New Roman" w:cs="Times New Roman"/>
          <w:sz w:val="24"/>
          <w:szCs w:val="24"/>
        </w:rPr>
        <w:t xml:space="preserve">”. Motyw osiągnięcia korzyści podatkowej powinien być więc motywem dominującym, choć nie musi mieć charakteru wyłącznego. Z kolei klauzula generalna zawarta w art. 6 ust. 1 dyrektywy ATAD powinna mieć zastosowanie, gdy głównym lub jednym z głównych celów wprowadzenia uzgodnień (przeprowadzenia czynności) było osiągnięcie korzyści podatkowej.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Zestawienie obydwu kryteriów, tj. działania „</w:t>
      </w:r>
      <w:r w:rsidRPr="00C93F78">
        <w:rPr>
          <w:rFonts w:ascii="Times New Roman" w:hAnsi="Times New Roman" w:cs="Times New Roman"/>
          <w:i/>
          <w:sz w:val="24"/>
          <w:szCs w:val="24"/>
        </w:rPr>
        <w:t>przede wszystkim w celu</w:t>
      </w:r>
      <w:r w:rsidRPr="00C93F78">
        <w:rPr>
          <w:rFonts w:ascii="Times New Roman" w:hAnsi="Times New Roman" w:cs="Times New Roman"/>
          <w:sz w:val="24"/>
          <w:szCs w:val="24"/>
        </w:rPr>
        <w:t>” z motywem, w którym korzyść podatkowa jest „</w:t>
      </w:r>
      <w:r w:rsidRPr="00C93F78">
        <w:rPr>
          <w:rFonts w:ascii="Times New Roman" w:hAnsi="Times New Roman" w:cs="Times New Roman"/>
          <w:i/>
          <w:sz w:val="24"/>
          <w:szCs w:val="24"/>
        </w:rPr>
        <w:t>głównym lub jednym z głównych celów</w:t>
      </w:r>
      <w:r w:rsidRPr="00C93F78">
        <w:rPr>
          <w:rFonts w:ascii="Times New Roman" w:hAnsi="Times New Roman" w:cs="Times New Roman"/>
          <w:sz w:val="24"/>
          <w:szCs w:val="24"/>
        </w:rPr>
        <w:t>” aktywności podatnika prowadzi do wniosku, że ujęty normatywnie w dyrektywie ATAD „</w:t>
      </w:r>
      <w:r w:rsidRPr="00C93F78">
        <w:rPr>
          <w:rFonts w:ascii="Times New Roman" w:hAnsi="Times New Roman" w:cs="Times New Roman"/>
          <w:i/>
          <w:sz w:val="24"/>
          <w:szCs w:val="24"/>
        </w:rPr>
        <w:t>próg</w:t>
      </w:r>
      <w:r w:rsidRPr="00C93F78">
        <w:rPr>
          <w:rFonts w:ascii="Times New Roman" w:hAnsi="Times New Roman" w:cs="Times New Roman"/>
          <w:sz w:val="24"/>
          <w:szCs w:val="24"/>
        </w:rPr>
        <w:t xml:space="preserve">” zastosowania krajowej klauzuli przeciwko unikaniu opodatkowania – mierzony poprzez odwołanie się do </w:t>
      </w:r>
      <w:r w:rsidRPr="00C93F78">
        <w:rPr>
          <w:rFonts w:ascii="Times New Roman" w:hAnsi="Times New Roman" w:cs="Times New Roman"/>
          <w:i/>
          <w:sz w:val="24"/>
          <w:szCs w:val="24"/>
        </w:rPr>
        <w:t>spiritus movens</w:t>
      </w:r>
      <w:r w:rsidRPr="00C93F78">
        <w:rPr>
          <w:rFonts w:ascii="Times New Roman" w:hAnsi="Times New Roman" w:cs="Times New Roman"/>
          <w:sz w:val="24"/>
          <w:szCs w:val="24"/>
        </w:rPr>
        <w:t xml:space="preserve"> podatnika – jest wyższy niż dla generalnej klauzuli zawartej aktualnie w art. 119a Ordynacji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Proponowana przez dyrektywę klauzula mogłaby zostać powołana dla weryfikacji skutków podatkowych czynności podatnika już w sytuacji, w której czynności tej towarzyszy kilka (obiektywnie) równorzędnych celów, a perspektywa osiągnięcia korzyści podatkowej sprzecznej w danych okolicznościach z przedmiotem lub celem ustawy podatkowej jest tylko jednym z nich. W takiej sytuacji nie mogłaby mieć zastosowania klauzula zawarta w art. 119a § 1 Ordynacji podatkowej. Wymaga ona bowiem, aby cel osiągnięcia korzyści podatkowej - sprzecznej w danych okolicznościach z przedmiotem i celem przepisu ustawy podatkowej - był głównym i jednocześnie dominującym aspektem działania podatnika („</w:t>
      </w:r>
      <w:r w:rsidRPr="00C93F78">
        <w:rPr>
          <w:rFonts w:ascii="Times New Roman" w:hAnsi="Times New Roman" w:cs="Times New Roman"/>
          <w:i/>
          <w:sz w:val="24"/>
          <w:szCs w:val="24"/>
        </w:rPr>
        <w:t>przede wszystkim</w:t>
      </w:r>
      <w:r w:rsidRPr="00C93F78">
        <w:rPr>
          <w:rFonts w:ascii="Times New Roman" w:hAnsi="Times New Roman" w:cs="Times New Roman"/>
          <w:sz w:val="24"/>
          <w:szCs w:val="24"/>
        </w:rPr>
        <w:t>”).</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Należy zatem ocenić, iż powyższe różnice w ujęciu motywacji podatnika, jako elementu mogącego wyzwolić działanie przepisów przeciwko unikaniu opodatkowania nie mają charakteru czysto redakcyjnego i powinny skutkować odpowiednimi zmianami w ujęciu art. 119a i art. 119d Ordynacji podatkowej. Wymagają one zatem zmiany w ten sposób, aby klauzula przeciwko unikaniu opodatkowania mogła mieć zastosowanie w sytuacji, gdy głównym lub jednym z głównych celów dokonania czynności będzie uzyskanie korzyści podatkowej sprzecznej w danych okolicznościach z przedmiotem lub ustawy podatkowej. Proponowana zmiana systemowo współgra także z ujęciem już obecnym w polskich ustawach podatkowych, w których wcześniej dokonano implementacji innych przepisów prawa wspólnotowego, przewidujących stosowanie specyficznych klauzul przeciwko unikaniu opodatkowania (np. art. 12 ust. 13 oraz art. 22c ustawy z dnia 15 lutego 1992 r. o podatku dochodowym od osób prawnych). Można zauważyć, że analogicznie definiowany próg działania przepisów przeciwko unikaniu opodatkowania występuje m.in. w brytyjskiej generalnej klauzuli przeciwko unikaniu opodatkowania (</w:t>
      </w:r>
      <w:r w:rsidRPr="00C93F78">
        <w:rPr>
          <w:rFonts w:ascii="Times New Roman" w:hAnsi="Times New Roman" w:cs="Times New Roman"/>
          <w:i/>
          <w:sz w:val="24"/>
          <w:szCs w:val="24"/>
        </w:rPr>
        <w:t>Finance Act 2013</w:t>
      </w:r>
      <w:r w:rsidRPr="00C93F78">
        <w:rPr>
          <w:rFonts w:ascii="Times New Roman" w:hAnsi="Times New Roman" w:cs="Times New Roman"/>
          <w:sz w:val="24"/>
          <w:szCs w:val="24"/>
        </w:rPr>
        <w:t>, sekcja 207(1)).</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Obecnie obowiązująca klauzula przeciwko unikaniu opodatkowania dla jej zastosowania wymaga ponadto, aby uzyskana korzyść podatkowa była sprzeczna z przedmiotem i celem przepisu ustawy podatkowej (koniunkcja). Z kolei art. 6 ust. 1 dyrektywy ATAD wskazuje, że klauzula może być zastosowana, o ile korzyść podatkowa jest sprzeczna z przedmiotem lub celem mającego zastosowanie prawa podatkowego (alternatywa łączna). Dyrektywa ATAD nie zawęża przy tym możliwej sprzeczności tylko do pojedynczego przepisu ustawy podatkowej, lecz odnosi się do mającego zastosowania prawa podatkowego. Proponuje się zatem, aby treść zmienianego art. 119a Ordynacji podatkowej odpowiadała ujęciu wynikającym z art. 6 ust. 1 dyrektywy ATAD.</w:t>
      </w:r>
    </w:p>
    <w:p w:rsidR="00D05D84" w:rsidRPr="00C93F78" w:rsidRDefault="00D05D84" w:rsidP="00C93F78">
      <w:pPr>
        <w:pStyle w:val="Nagwek2"/>
        <w:spacing w:line="360" w:lineRule="auto"/>
        <w:jc w:val="both"/>
        <w:rPr>
          <w:szCs w:val="24"/>
        </w:rPr>
      </w:pPr>
      <w:r w:rsidRPr="00C93F78">
        <w:rPr>
          <w:szCs w:val="24"/>
        </w:rPr>
        <w:t>Przesłanka sztuczności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art. 119c sposób działania nie jest sztuczny, jeżeli na podstawie istniejących okoliczności należy przyjąć, że podmiot rozsądnie działający i kierujący się zgodnymi z prawem celami zastosowałby ten sposób działania w dominującej mierze z uzasadnionych przyczyn ekonomicznych. Do przyczyn, o których mowa w zdaniu poprzednim, nie zalicza się celu osiągniecia korzyści podatkowej sprzecznej z przedmiotem lub celem ustawy podatkowej lub jej przepisu. Zgodnie z projektowanym przepisem sztuczność działania należy wiązać z ocenami spoza prawa podatkowego. Układ zdarzeń kwalifikowanych pozapodatkowo może wieść do ustalenia, czy przyjęty model działania jest obliczony na korzyści podatkowe, czy też ma charakter uzasadniony</w:t>
      </w:r>
      <w:r w:rsidRPr="00C93F78">
        <w:rPr>
          <w:rFonts w:ascii="Times New Roman" w:eastAsia="Calibri" w:hAnsi="Times New Roman" w:cs="Times New Roman"/>
          <w:sz w:val="24"/>
          <w:szCs w:val="24"/>
        </w:rPr>
        <w:t xml:space="preserve"> w dominującej mierze celami ekonomicznymi</w:t>
      </w:r>
      <w:r w:rsidRPr="00C93F78">
        <w:rPr>
          <w:rFonts w:ascii="Times New Roman" w:hAnsi="Times New Roman" w:cs="Times New Roman"/>
          <w:sz w:val="24"/>
          <w:szCs w:val="24"/>
        </w:rPr>
        <w:t xml:space="preserve">.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Porównując obecny oraz projektowany stan prawny, wydawać się może, że w projektowanych przepisach przesłanka sztuczności potencjalnie będzie mogła mieć zastosowanie do większej liczby stanów faktycznych. Należy jednak podkreślić, że sztuczność stanowi tylko jedną z przesłanek zastosowania klauzuli przeciwko unikaniu opodatkowania Głównym kryterium oceny, czy czynność podlega pod klauzulę jest to, czy podatnik działa zgodnie z celem ustawy. Pogląd ten został również przedstawiony w literaturze: </w:t>
      </w:r>
      <w:r w:rsidRPr="00C93F78">
        <w:rPr>
          <w:rFonts w:ascii="Times New Roman" w:hAnsi="Times New Roman" w:cs="Times New Roman"/>
          <w:i/>
          <w:sz w:val="24"/>
          <w:szCs w:val="24"/>
        </w:rPr>
        <w:t xml:space="preserve">Unikanie opodatkowania jest działaniem (czynnością), która niweczy „przedmiot i cel” legislacji podatkowej, stanowiących istotę prawa. Wobec powyższego, postępowanie to jest równoważne nadużyciu prawa podatkowego. </w:t>
      </w:r>
      <w:r w:rsidRPr="00C93F78">
        <w:rPr>
          <w:rFonts w:ascii="Times New Roman" w:hAnsi="Times New Roman" w:cs="Times New Roman"/>
          <w:i/>
          <w:color w:val="212121"/>
          <w:sz w:val="24"/>
          <w:szCs w:val="24"/>
          <w:shd w:val="clear" w:color="auto" w:fill="FFFFFF"/>
        </w:rPr>
        <w:t>Inne typowe kryteria unikania opodatkowania ograniczają się do działań naruszających istotę prawa (sztuczność schematu czy brak uzasadnienia ekonomicznego) lub niemających znaczenia dla istoty prawa (czynność wykonana z intencją zminimalizowania ciężaru podatkowego)</w:t>
      </w:r>
      <w:r w:rsidRPr="00C93F78">
        <w:rPr>
          <w:rFonts w:ascii="Times New Roman" w:hAnsi="Times New Roman" w:cs="Times New Roman"/>
          <w:color w:val="212121"/>
          <w:sz w:val="24"/>
          <w:szCs w:val="24"/>
          <w:shd w:val="clear" w:color="auto" w:fill="FFFFFF"/>
        </w:rPr>
        <w:t>[tłumaczenie własne]</w:t>
      </w:r>
      <w:r w:rsidRPr="00C93F78">
        <w:rPr>
          <w:rStyle w:val="Odwoanieprzypisudolnego"/>
          <w:rFonts w:ascii="Times New Roman" w:hAnsi="Times New Roman" w:cs="Times New Roman"/>
          <w:i/>
          <w:color w:val="212121"/>
          <w:sz w:val="24"/>
          <w:szCs w:val="24"/>
          <w:shd w:val="clear" w:color="auto" w:fill="FFFFFF"/>
        </w:rPr>
        <w:footnoteReference w:id="9"/>
      </w:r>
      <w:r w:rsidRPr="00C93F78">
        <w:rPr>
          <w:rFonts w:ascii="Times New Roman" w:hAnsi="Times New Roman" w:cs="Times New Roman"/>
          <w:sz w:val="24"/>
          <w:szCs w:val="24"/>
        </w:rPr>
        <w:t>.</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eastAsia="Calibri" w:hAnsi="Times New Roman" w:cs="Times New Roman"/>
          <w:bCs/>
          <w:sz w:val="24"/>
          <w:szCs w:val="24"/>
        </w:rPr>
        <w:t>Dodatkowo w art. 119c Ordynacji podatkowej zmodyfikowany został obecny, otwarty</w:t>
      </w:r>
      <w:r w:rsidRPr="00C93F78">
        <w:rPr>
          <w:rFonts w:ascii="Times New Roman" w:hAnsi="Times New Roman" w:cs="Times New Roman"/>
          <w:sz w:val="24"/>
          <w:szCs w:val="24"/>
        </w:rPr>
        <w:t xml:space="preserve"> katalog zdarzeń, które mogą wskazywać na </w:t>
      </w:r>
      <w:r w:rsidRPr="00C93F78">
        <w:rPr>
          <w:rFonts w:ascii="Times New Roman" w:eastAsia="Calibri" w:hAnsi="Times New Roman" w:cs="Times New Roman"/>
          <w:bCs/>
          <w:sz w:val="24"/>
          <w:szCs w:val="24"/>
        </w:rPr>
        <w:t>sztuczny</w:t>
      </w:r>
      <w:r w:rsidRPr="00C93F78">
        <w:rPr>
          <w:rFonts w:ascii="Times New Roman" w:hAnsi="Times New Roman" w:cs="Times New Roman"/>
          <w:sz w:val="24"/>
          <w:szCs w:val="24"/>
        </w:rPr>
        <w:t xml:space="preserve"> sposób działania</w:t>
      </w:r>
      <w:r w:rsidRPr="00C93F78">
        <w:rPr>
          <w:rFonts w:ascii="Times New Roman" w:eastAsia="Calibri" w:hAnsi="Times New Roman" w:cs="Times New Roman"/>
          <w:bCs/>
          <w:sz w:val="24"/>
          <w:szCs w:val="24"/>
        </w:rPr>
        <w:t>, zmieniono przykład z punktu 5 oraz dodano nowe punkty 6-8. Projekt przewiduje, że na sztuczny sposób działania ma wskazywać w szczególności</w:t>
      </w:r>
      <w:r w:rsidRPr="00C93F78">
        <w:rPr>
          <w:rFonts w:ascii="Times New Roman" w:hAnsi="Times New Roman" w:cs="Times New Roman"/>
          <w:sz w:val="24"/>
          <w:szCs w:val="24"/>
        </w:rPr>
        <w:t xml:space="preserve"> występowanie:</w:t>
      </w:r>
    </w:p>
    <w:p w:rsidR="00D05D84" w:rsidRPr="00C93F78" w:rsidRDefault="00D05D84" w:rsidP="00C93F78">
      <w:pPr>
        <w:numPr>
          <w:ilvl w:val="0"/>
          <w:numId w:val="28"/>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ryzyka gospodarczego przewyższającego spodziewane korzyści inne niż podatkowe w</w:t>
      </w:r>
      <w:r w:rsidRPr="00C93F78">
        <w:rPr>
          <w:rFonts w:ascii="Times New Roman" w:eastAsia="Calibri" w:hAnsi="Times New Roman" w:cs="Times New Roman"/>
          <w:bCs/>
          <w:sz w:val="24"/>
          <w:szCs w:val="24"/>
        </w:rPr>
        <w:t> </w:t>
      </w:r>
      <w:r w:rsidRPr="00C93F78">
        <w:rPr>
          <w:rFonts w:ascii="Times New Roman" w:hAnsi="Times New Roman" w:cs="Times New Roman"/>
          <w:sz w:val="24"/>
          <w:szCs w:val="24"/>
        </w:rPr>
        <w:t>takim stopniu, że należy uznać, że działający rozsądnie podmiot nie wybrałby tego sposobu działania, lub</w:t>
      </w:r>
    </w:p>
    <w:p w:rsidR="00D05D84" w:rsidRPr="00C93F78" w:rsidRDefault="00D05D84" w:rsidP="00C93F78">
      <w:pPr>
        <w:numPr>
          <w:ilvl w:val="0"/>
          <w:numId w:val="28"/>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sytuacji, w której osiągnięta korzyść podatkowa nie ma odzwierciedlenia w poniesionym przez podmiot ryzyku gospodarczym lub jego przepływach pieniężnych, lub</w:t>
      </w:r>
    </w:p>
    <w:p w:rsidR="00D05D84" w:rsidRPr="00C93F78" w:rsidRDefault="00D05D84" w:rsidP="00C93F78">
      <w:pPr>
        <w:numPr>
          <w:ilvl w:val="0"/>
          <w:numId w:val="28"/>
        </w:numPr>
        <w:spacing w:after="120" w:line="360" w:lineRule="auto"/>
        <w:contextualSpacing/>
        <w:jc w:val="both"/>
        <w:rPr>
          <w:rFonts w:ascii="Times New Roman" w:hAnsi="Times New Roman" w:cs="Times New Roman"/>
          <w:sz w:val="24"/>
          <w:szCs w:val="24"/>
        </w:rPr>
      </w:pPr>
      <w:r w:rsidRPr="00C93F78">
        <w:rPr>
          <w:rFonts w:ascii="Times New Roman" w:hAnsi="Times New Roman" w:cs="Times New Roman"/>
          <w:sz w:val="24"/>
          <w:szCs w:val="24"/>
        </w:rPr>
        <w:t>zysku przed opodatkowaniem, który jest nieznaczny w porównaniu do korzyści podatkowej, która nie wynika bezpośrednio z rzeczywiście poniesionej ekonomicznej straty, lub</w:t>
      </w:r>
    </w:p>
    <w:p w:rsidR="00D05D84" w:rsidRPr="00C93F78" w:rsidRDefault="00D05D84" w:rsidP="00C93F78">
      <w:pPr>
        <w:numPr>
          <w:ilvl w:val="0"/>
          <w:numId w:val="28"/>
        </w:numPr>
        <w:spacing w:after="120" w:line="360" w:lineRule="auto"/>
        <w:ind w:left="714" w:hanging="357"/>
        <w:jc w:val="both"/>
        <w:rPr>
          <w:rFonts w:ascii="Times New Roman" w:hAnsi="Times New Roman" w:cs="Times New Roman"/>
          <w:sz w:val="24"/>
          <w:szCs w:val="24"/>
        </w:rPr>
      </w:pPr>
      <w:r w:rsidRPr="00C93F78">
        <w:rPr>
          <w:rFonts w:ascii="Times New Roman" w:hAnsi="Times New Roman" w:cs="Times New Roman"/>
          <w:sz w:val="24"/>
          <w:szCs w:val="24"/>
        </w:rPr>
        <w:t>angażowania podmiotu</w:t>
      </w:r>
      <w:r w:rsidRPr="00C93F78">
        <w:rPr>
          <w:rFonts w:ascii="Times New Roman" w:eastAsia="Calibri" w:hAnsi="Times New Roman" w:cs="Times New Roman"/>
          <w:sz w:val="24"/>
          <w:szCs w:val="24"/>
        </w:rPr>
        <w:t>, który nie prowadzi rzeczywistej działalności gospodarczej lub nie pełni istotnej funkcji ekonomicznej, lub który posiada</w:t>
      </w:r>
      <w:r w:rsidRPr="00C93F78">
        <w:rPr>
          <w:rFonts w:ascii="Times New Roman" w:hAnsi="Times New Roman" w:cs="Times New Roman"/>
          <w:sz w:val="24"/>
          <w:szCs w:val="24"/>
        </w:rPr>
        <w:t xml:space="preserve"> siedzibę lub miejsce zamieszkania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kraju lub na terytorium określonym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przepisach wydanych na podstawie art.</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9a ust.</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6 updop lub art.</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25a ust.</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6 updof.</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Należy podkreślić, że opisany powyżej katalog jest otwarty, co oznacza, że mogą istnieć również inne okoliczności, które będą wskazywały na to, że sposób działania podatnika był sztuczny. Działanie sztuczne to – w uproszczeniu – takie działanie, które nie zostałoby zastosowane, gdyby nie towarzysząca podmiotowi chęć osiągnięcia korzyści podatkowej. Jeżeli zatem chęć osiągnięcia korzyści podatkowej ma zasadniczy wpływ na to, czy podmiot wybrał działanie w sposób sztuczny, to można z dużą dozą pewności przyjąć, że osiągnięcie korzyści podatkowej było jednym z głównych celów dokonania czynności. To główne bowiem cele towarzyszące czynności mają wpływ na sposób działania.</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sz w:val="24"/>
          <w:szCs w:val="24"/>
        </w:rPr>
        <w:t>Dodać należy, że zasada o podobnym charakterze została już uwzględniona w art. 12 ust. 14 ustawy o CIT, który stanowi implementację art. 15 ust. 1 lit. a Dyrektywy Rady 2009/133/WE z dnia 19 października 2009 r. w sprawie wspólnego systemu opodatkowania mającego zastosowanie w przypadku łączenia, podziałów, podziałów przez wydzielenie, wnoszenia aktywów i wymiany udziałów dotyczących spółek różnych państw członkowskich oraz przeniesienia statutowej siedziby SE lub SCE z jednego państwa członkowskiego do innego państwa członkowskiego.</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b/>
          <w:sz w:val="24"/>
          <w:szCs w:val="24"/>
        </w:rPr>
        <w:t>Pozostałe zmiany przepisów materialnych dotyczących klauzuli przeciwko unikaniu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Obecne brzmienie art. 119a § 3 Ordynacji podatkowej może nieprawidłowo sugerować, że czynność odpowiednia polega w każdym wypadku na działaniu. W ocenie projektodawcy, podmiot działający rozsądnie i kierujący się zgodnymi z prawem celami innymi niż osiągnięcie korzyści podatkowej sprzecznej z przedmiotem lub celem ustawy podatkowej lub jej przepisu mógłby również – w ramach czynności odpowiedniej – nie podjąć żadnej czynności. Z tego względu proponuje się </w:t>
      </w:r>
      <w:r w:rsidR="003C5CE4" w:rsidRPr="00C93F78">
        <w:rPr>
          <w:rFonts w:ascii="Times New Roman" w:hAnsi="Times New Roman" w:cs="Times New Roman"/>
          <w:sz w:val="24"/>
          <w:szCs w:val="24"/>
        </w:rPr>
        <w:t xml:space="preserve">jedynie redakcyjnie </w:t>
      </w:r>
      <w:r w:rsidRPr="00C93F78">
        <w:rPr>
          <w:rFonts w:ascii="Times New Roman" w:hAnsi="Times New Roman" w:cs="Times New Roman"/>
          <w:sz w:val="24"/>
          <w:szCs w:val="24"/>
        </w:rPr>
        <w:t>uściślić, że czynność odpowiednia może polegać także na zaniechaniu działania</w:t>
      </w:r>
      <w:r w:rsidR="003C5CE4" w:rsidRPr="00C93F78">
        <w:rPr>
          <w:rFonts w:ascii="Times New Roman" w:hAnsi="Times New Roman" w:cs="Times New Roman"/>
          <w:sz w:val="24"/>
          <w:szCs w:val="24"/>
        </w:rPr>
        <w:t>, co jest zgodne z cywilistyczną koncepcją działania (por. np. art. 5 lub 443 Kodeksu cywilnego)</w:t>
      </w:r>
      <w:r w:rsidRPr="00C93F78">
        <w:rPr>
          <w:rFonts w:ascii="Times New Roman" w:hAnsi="Times New Roman" w:cs="Times New Roman"/>
          <w:sz w:val="24"/>
          <w:szCs w:val="24"/>
        </w:rPr>
        <w:t>. Choć osiągnięcie korzyści podatkowej może nie być jedynym celem działania podmiotu, to jednak ocena zachowania podmiotu rozsądnego może prowadzić do wniosku, że w danej sytuacji podmiot ten, działając rozsądnie i kierując się pozostałymi zgodnymi z prawem celami innymi niż osiągnięcie korzyści podatkowej, nie podjąłby żadnego działania. Kolejną zmianą jest wskazanie, by czynność odpowiednio ustalana na podstawie art. 119a § 3 Op nie wypełniała jednocześnie definicji sztucznego działania w rozumieniu art. 119c § 1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119a § 6 Op proponuje się wprowadzić alternatywny rodzaj działania klauzuli przeciwko unikaniu opodatkowania wyłączający stosowanie przepisów dotyczących określania czynności odpowiedniej (art. 119a § 2-5 Op). Jeżeli w sprawie zostaną spełnione przesłanki wynikające z art. 119a § 1 Op a stwierdzona korzyść podatkowa będzie wynikać z zastosowania przepisu ustawy podatkowej określającego warunki przyznania zwolnienia podmiotowego lub przedmiotowego, wyłączenia z podstawy opodatkowania, w tym wyłączenia przychodów (dochodów) z opodatkowania, lub odliczenia od przychodu, dochodu lub podatku, to organ podatkowy określi skutki podatkowe na podstawie stanu prawnego jaki zaistniałby, gdyby dany przepis ustawy podatkowej – będący podstawą uzyskania korzyści podatkowej – nie miał zastosowania. Mechanizm działania proponowanej regulacji jest podobny do norm zawartych m.in. w art. 12 ust. 13 oraz art. 22c ust. 1 ustawy z dnia 15 lutego 1992 r. o podatku dochodowym od osób prawnych.</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Proponowana w § 6 i § 7 art. 119 a Op regulacja</w:t>
      </w:r>
      <w:r w:rsidRPr="00C93F78">
        <w:rPr>
          <w:rFonts w:ascii="Times New Roman" w:hAnsi="Times New Roman"/>
          <w:sz w:val="24"/>
          <w:szCs w:val="24"/>
        </w:rPr>
        <w:t xml:space="preserve"> ma</w:t>
      </w:r>
      <w:r w:rsidRPr="00C93F78">
        <w:rPr>
          <w:rFonts w:ascii="Times New Roman" w:hAnsi="Times New Roman" w:cs="Times New Roman"/>
          <w:sz w:val="24"/>
          <w:szCs w:val="24"/>
        </w:rPr>
        <w:t xml:space="preserve"> na celu zwiększenie </w:t>
      </w:r>
      <w:r w:rsidR="00574D81" w:rsidRPr="00C93F78">
        <w:rPr>
          <w:rFonts w:ascii="Times New Roman" w:hAnsi="Times New Roman" w:cs="Times New Roman"/>
          <w:sz w:val="24"/>
          <w:szCs w:val="24"/>
        </w:rPr>
        <w:t xml:space="preserve">przewidywalności stosowania </w:t>
      </w:r>
      <w:r w:rsidRPr="00C93F78">
        <w:rPr>
          <w:rFonts w:ascii="Times New Roman" w:hAnsi="Times New Roman" w:cs="Times New Roman"/>
          <w:sz w:val="24"/>
          <w:szCs w:val="24"/>
        </w:rPr>
        <w:t>klauzuli przeciwko unikaniu opodatkowania</w:t>
      </w:r>
      <w:r w:rsidR="00574D81" w:rsidRPr="00C93F78">
        <w:rPr>
          <w:rFonts w:ascii="Times New Roman" w:hAnsi="Times New Roman" w:cs="Times New Roman"/>
          <w:sz w:val="24"/>
          <w:szCs w:val="24"/>
        </w:rPr>
        <w:t>. W obu sytuacjach uregulowanych tymi przepisami zniesi</w:t>
      </w:r>
      <w:r w:rsidR="00630B95" w:rsidRPr="00C93F78">
        <w:rPr>
          <w:rFonts w:ascii="Times New Roman" w:hAnsi="Times New Roman" w:cs="Times New Roman"/>
          <w:sz w:val="24"/>
          <w:szCs w:val="24"/>
        </w:rPr>
        <w:t>ony</w:t>
      </w:r>
      <w:r w:rsidR="00574D81" w:rsidRPr="00C93F78">
        <w:rPr>
          <w:rFonts w:ascii="Times New Roman" w:hAnsi="Times New Roman" w:cs="Times New Roman"/>
          <w:sz w:val="24"/>
          <w:szCs w:val="24"/>
        </w:rPr>
        <w:t xml:space="preserve"> będzie </w:t>
      </w:r>
      <w:r w:rsidR="00630B95" w:rsidRPr="00C93F78">
        <w:rPr>
          <w:rFonts w:ascii="Times New Roman" w:hAnsi="Times New Roman" w:cs="Times New Roman"/>
          <w:sz w:val="24"/>
          <w:szCs w:val="24"/>
        </w:rPr>
        <w:t xml:space="preserve">wymóg </w:t>
      </w:r>
      <w:r w:rsidRPr="00C93F78">
        <w:rPr>
          <w:rFonts w:ascii="Times New Roman" w:hAnsi="Times New Roman" w:cs="Times New Roman"/>
          <w:sz w:val="24"/>
          <w:szCs w:val="24"/>
        </w:rPr>
        <w:t>kreowania czynności odpowiedniej. W przypadku korzyści podatkowych uzyskiwanych na podstawie przepisów prawa podatkowego przyznającego przywilej podatkowy (np. zwolnienie z opodatkowania) wskazywanie czynności odpowiedniej nie zawsze przynosi efekty oczekiwane przez ustawodawcę w postaci zniesienia skutków unikania opodatkowania. Wskazuje na to m.in. implementowanie tzw. małych klauzul przeciwko unikaniu opodatkowania, których działanie polega na wyłączeniu działania takiego przywileju.</w:t>
      </w:r>
    </w:p>
    <w:p w:rsidR="00574D81" w:rsidRPr="00C93F78" w:rsidRDefault="00630B95"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tym kontekście warto wskazać, że przewidywalność rozstrzygnięć będących efektem zastosowania klauzuli przeciwko unikaniu opodatkowania ma istotne znaczenie. Jak bowiem wskazywał </w:t>
      </w:r>
      <w:r w:rsidR="00574D81" w:rsidRPr="00C93F78">
        <w:rPr>
          <w:rFonts w:ascii="Times New Roman" w:hAnsi="Times New Roman" w:cs="Times New Roman"/>
          <w:sz w:val="24"/>
          <w:szCs w:val="24"/>
        </w:rPr>
        <w:t>Trybunał Konstytucyjny zagrożenia takiej przewidywalności upatrywać można po pierwsze w tym, że przesłanki rozumienia (interpretacji) danego zwrotu niedookreślonego determinowane są elementami subiektywnymi. Im większe pole do zindywidualizowanej interpretacji danego pojęcia, tym większa też groźba nieprzewidywalności rozstrzygnięć podejmowanych na jego podstawie. Po drugie, Trybunał wskazał, że wykorzystywaniu zwrotów niedookreślonych powinna towarzyszyć konieczność nadania im takiej treści, która zagwarantuje jednolitość linii orzeczniczej (decyzji stosowania prawa). W kontekście pożądanej przewidywalności rozstrzygnięć dokonywanych na podstawie klauzuli Trybunał wskazał wreszcie, że konieczne jest zapewnienie, iż ustalenie treści pojęć nieostrych zastosowanych w danej regulacji nie stanie się udziałem organów stosujących te przepisy, co prowadzić może w konsekwencji do niedozwolonego prawotwórstwa ze strony tych organów </w:t>
      </w:r>
    </w:p>
    <w:p w:rsidR="00574D81" w:rsidRPr="00C93F78" w:rsidRDefault="00574D81"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(pkt III 1.6. uzasadnienia wyroku</w:t>
      </w:r>
      <w:r w:rsidR="00630B95" w:rsidRPr="00C93F78">
        <w:rPr>
          <w:rFonts w:ascii="Times New Roman" w:hAnsi="Times New Roman" w:cs="Times New Roman"/>
          <w:sz w:val="24"/>
          <w:szCs w:val="24"/>
        </w:rPr>
        <w:t xml:space="preserve"> K 4/03 z 11 maja 2004 r.</w:t>
      </w:r>
      <w:r w:rsidRPr="00C93F78">
        <w:rPr>
          <w:rFonts w:ascii="Times New Roman" w:hAnsi="Times New Roman" w:cs="Times New Roman"/>
          <w:sz w:val="24"/>
          <w:szCs w:val="24"/>
        </w:rPr>
        <w:t>)</w:t>
      </w:r>
    </w:p>
    <w:p w:rsidR="00017B30" w:rsidRPr="00C93F78" w:rsidRDefault="00630B95"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Tak więc w sytuacji wystąpienia sytuacji unikania opodatkowania – tj. spełnienia przesłanek opisanych w art. 119a § 1 Op – gdy korzyść podatkowa </w:t>
      </w:r>
      <w:r w:rsidR="00017B30" w:rsidRPr="00C93F78">
        <w:rPr>
          <w:rFonts w:ascii="Times New Roman" w:hAnsi="Times New Roman" w:cs="Times New Roman"/>
          <w:sz w:val="24"/>
          <w:szCs w:val="24"/>
        </w:rPr>
        <w:t>została osiągnięta w rezultacie dokonania czynności opisanych w § 6 (tj. w wyniku zastosowania przepisu ustawy podatkowej określającego warunki przyznania zwolnienia podmiotowego lub przedmiotowego, wyłączenia z podstawy opodatkowania, w tym wyłączenia przychodów [dochodów] z opodatkowania, lub odliczenia od przychodu, dochodu lub podatku), efektem zastosowania klauzuli będzie odebranie osiągniętej przez podatnika korzyści podatkowej. Skutki podatkowe zostaną bowiem wówczas określone na podstawie stanu prawnego, jaki zaistniałby, gdyby przepis powodujący powstanie korzyści podatkowej nie miał zastosowania.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art. 119a § 7 Op zawarto odrębną podstawę do wydania decyzji w przypadku, gdy strona postępowania podatkowego w całości cofnie skutki unikania opodatkowania działając na podstawie art. 81b § 1a Op. Zgodnie z tym przepisem § 7, jeżeli dokonane przez stronę cofnięcie skutków unikania opodatkowania, o którym mowa w art. 81b § 1a, w całości uwzględnia ocenę prawną organu podatkowego związaną z unikaniem opodatkowania zawartą w zawiadomieniu wydanym na podstawie art. 200 § 3, </w:t>
      </w:r>
      <w:r w:rsidRPr="00C93F78">
        <w:rPr>
          <w:rFonts w:ascii="Times New Roman" w:hAnsi="Times New Roman" w:cs="Times New Roman"/>
          <w:bCs/>
          <w:sz w:val="24"/>
          <w:szCs w:val="24"/>
        </w:rPr>
        <w:t>organ podatkowy zawiera w decyzji wskazanie korzyści podatkowej lub dochodu stanowiącego podstawę ustalenia dodatkowego zobowiązania podatkowego, o którym mowa w art. 58d.</w:t>
      </w:r>
      <w:r w:rsidR="003C5CE4" w:rsidRPr="00C93F78">
        <w:rPr>
          <w:rFonts w:ascii="Times New Roman" w:hAnsi="Times New Roman" w:cs="Times New Roman"/>
          <w:bCs/>
          <w:sz w:val="24"/>
          <w:szCs w:val="24"/>
        </w:rPr>
        <w:t xml:space="preserve"> </w:t>
      </w:r>
      <w:r w:rsidRPr="00C93F78">
        <w:rPr>
          <w:rFonts w:ascii="Times New Roman" w:hAnsi="Times New Roman" w:cs="Times New Roman"/>
          <w:sz w:val="24"/>
          <w:szCs w:val="24"/>
        </w:rPr>
        <w:t>W tym wypadku Szef Krajowej Administracji Skarbowej pozostanie właściwy w sprawie, a w wydanej decyzji stwierdzi wystąpienie korzyści podatkowej, która została dobrowolnie wyeliminowana przez stronę postępowania, oraz ustali dodatkowe zobowiązanie podatkowe na podstawie przepisów rozdziału 6a działu IIIa. Jeżeli oprócz kwestii związanych z unikaniem opodatkowania, w toku postępowania podatkowego prowadzonego na podstawie art. 119g Op pojawią się inne kwestie sporne, a kwestie te nie zostaną rozwiązane w wyniku złożenia korekty deklaracji na podstawie art. 81b § 1a Op – decyzja organu podatkowego będzie dotyczyła także tych elementów. W szczególności organ podatkowy w wydanej decyzji określi lub ustali wysokość zobowiązania podatkowego.</w:t>
      </w:r>
    </w:p>
    <w:p w:rsidR="00A734B4" w:rsidRPr="00C93F78" w:rsidRDefault="00542DB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zakresie projektowanego art. 119b § 1, projektodawca postanowił uchylić pkt 1, w wyniku czego przypadki osiągnięcia korzyści poniżej 100 000 zł również zostaną objęte działaniem klauzuli przeciwko unikaniu opodatkowania. </w:t>
      </w:r>
      <w:r w:rsidR="00C7591E" w:rsidRPr="00C93F78">
        <w:rPr>
          <w:rFonts w:ascii="Times New Roman" w:hAnsi="Times New Roman" w:cs="Times New Roman"/>
          <w:sz w:val="24"/>
          <w:szCs w:val="24"/>
        </w:rPr>
        <w:t>Zgodnie z uwaga podniesioną przez Ministra Spraw Zagranicznych jest to konieczne w celu prawidłowej implementacji Dyrektywy ATAD.</w:t>
      </w:r>
    </w:p>
    <w:p w:rsidR="004042BC" w:rsidRPr="00C93F78" w:rsidRDefault="004042B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art. 119b § 1 proponuje się uchylić pkt 3. Zgodnie z aktualnym brzmieniem tego przepisu</w:t>
      </w:r>
      <w:r w:rsidR="001A6F72"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art. 119a nie stosuje się do podmiotu, którego wniosek o wydanie opinii zabezpieczającej nie został załatwiony w terminie, o którym mowa w art. 119zb, tj. bez zbędnej zwłoki, nie później niż w terminie 6 miesięcy od dnia otrzymania wniosku przez Szefa KAS. </w:t>
      </w:r>
      <w:r w:rsidR="001A6F72" w:rsidRPr="00C93F78">
        <w:rPr>
          <w:rFonts w:ascii="Times New Roman" w:hAnsi="Times New Roman" w:cs="Times New Roman"/>
          <w:sz w:val="24"/>
          <w:szCs w:val="24"/>
        </w:rPr>
        <w:t>Należy podkreślić, że zgodnie z Dyrektywą ATAD przepis ten nie powinien przewidywać wyjątku w odniesieniu do podmiotów, których wnioski o wydanie opinii zabezpieczającej nie zostały załatwione w terminie (pkt 3), Dyrektywa w tym zakresie nie prze</w:t>
      </w:r>
      <w:r w:rsidR="000434CC" w:rsidRPr="00C93F78">
        <w:rPr>
          <w:rFonts w:ascii="Times New Roman" w:hAnsi="Times New Roman" w:cs="Times New Roman"/>
          <w:sz w:val="24"/>
          <w:szCs w:val="24"/>
        </w:rPr>
        <w:t>widuje specjalnego traktowania, wobec czego nowelizacja aktualnego brzmienia przepisu jest zasadna.</w:t>
      </w:r>
    </w:p>
    <w:p w:rsidR="00D05D84" w:rsidRPr="00C93F78" w:rsidRDefault="004042BC"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art. 119b § 1 </w:t>
      </w:r>
      <w:r w:rsidR="00D05D84" w:rsidRPr="00C93F78">
        <w:rPr>
          <w:rFonts w:ascii="Times New Roman" w:hAnsi="Times New Roman" w:cs="Times New Roman"/>
          <w:sz w:val="24"/>
          <w:szCs w:val="24"/>
        </w:rPr>
        <w:t xml:space="preserve">proponuje się uchylić pkt 5, zgodnie z którym przepisu 119a nie stosuje się jeżeli zastosowanie innych przepisów prawa podatkowego pozwala na przeciwdziałanie unikaniu opodatkowania. </w:t>
      </w:r>
      <w:r w:rsidR="003C5CE4" w:rsidRPr="00C93F78">
        <w:rPr>
          <w:rFonts w:ascii="Times New Roman" w:hAnsi="Times New Roman" w:cs="Times New Roman"/>
          <w:sz w:val="24"/>
          <w:szCs w:val="24"/>
        </w:rPr>
        <w:t>Zmiana ta została uzasadniona we wcześniejszej części uzasadnienia.</w:t>
      </w:r>
      <w:r w:rsidR="00D05D84" w:rsidRPr="00C93F78">
        <w:rPr>
          <w:rFonts w:ascii="Times New Roman" w:hAnsi="Times New Roman" w:cs="Times New Roman"/>
          <w:sz w:val="24"/>
          <w:szCs w:val="24"/>
        </w:rPr>
        <w:t xml:space="preserve">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Przepis art. 119j Op kreuje uprawnienie dla podmiotów, które uczestniczyły w czynności, której skutki podatkowe określono w decyzji wydanej na podstawie art. 119a Op. Zdaniem projektodawcy, norma ogólna wyrażona obecnie w tym przepisie wymaga doprecyzowania, m.in. z tego względu, że art. 129 Ordynacji podatkowej stanowi, że postępowanie podatkowe jest jawne wyłącznie dla stron.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119j § 1 Op doprecyzowano zatem, że omawiane uprawnienie przysługiwać będzie, jeżeli decyzja z zastosowaniem art. 119a będzie ostateczna oraz zostanie wykonana w całości. Warunki te zapewnią, aby podmiot uczestniczący w czynności mógł skorzystać z uprawnienia w momencie, gdy decyzja z zastosowaniem art. 119a</w:t>
      </w:r>
      <w:r w:rsidRPr="00C93F78">
        <w:rPr>
          <w:rFonts w:ascii="Times New Roman" w:eastAsia="Calibri" w:hAnsi="Times New Roman" w:cs="Times New Roman"/>
          <w:sz w:val="24"/>
          <w:szCs w:val="24"/>
        </w:rPr>
        <w:t xml:space="preserve"> Op</w:t>
      </w:r>
      <w:r w:rsidRPr="00C93F78">
        <w:rPr>
          <w:rFonts w:ascii="Times New Roman" w:hAnsi="Times New Roman" w:cs="Times New Roman"/>
          <w:sz w:val="24"/>
          <w:szCs w:val="24"/>
        </w:rPr>
        <w:t xml:space="preserve"> nie jest już przedmiotem kontroli organu podatkowego lub sądu administracyjnego. Ponadto skorzystanie z tego uprawnienia nie przyniesie ujemnego wyniku fiskalnego, który mógłby wystąpić, gdyby podmiot otrzymujący decyzję na podstawie art. 119a</w:t>
      </w:r>
      <w:r w:rsidRPr="00C93F78">
        <w:rPr>
          <w:rFonts w:ascii="Times New Roman" w:eastAsia="Calibri" w:hAnsi="Times New Roman" w:cs="Times New Roman"/>
          <w:sz w:val="24"/>
          <w:szCs w:val="24"/>
        </w:rPr>
        <w:t xml:space="preserve"> Ordynacji podatkowej</w:t>
      </w:r>
      <w:r w:rsidRPr="00C93F78">
        <w:rPr>
          <w:rFonts w:ascii="Times New Roman" w:hAnsi="Times New Roman" w:cs="Times New Roman"/>
          <w:sz w:val="24"/>
          <w:szCs w:val="24"/>
        </w:rPr>
        <w:t xml:space="preserve"> nie wykonał jej w całości, zaś podmiot uczestniczący w czynności – w wyniku skorzystania z uprawnienia – np. zwiększył wysokość kosztów uzyskania przychodów. Uprawnienie nie będzie przysługiwać, jeżeli w decyzja została wydana m.in. na podstawie art. 119a § 6 Op. W tym bowiem przypadku organ podatkowy nie będzie wywodził skutków podatkowych z dokonania czynności odpowiedniej lub zaniechania działania.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 podstawie art. 119j § 2 Op Szef KAS, po stwierdzeniu spełnienia warunków określonych w § 1, poinformuje</w:t>
      </w:r>
      <w:r w:rsidR="00F94381" w:rsidRPr="00C93F78">
        <w:rPr>
          <w:rFonts w:ascii="Times New Roman" w:hAnsi="Times New Roman" w:cs="Times New Roman"/>
          <w:sz w:val="24"/>
          <w:szCs w:val="24"/>
        </w:rPr>
        <w:t xml:space="preserve"> w drodze postanowienia</w:t>
      </w:r>
      <w:r w:rsidRPr="00C93F78">
        <w:rPr>
          <w:rFonts w:ascii="Times New Roman" w:hAnsi="Times New Roman" w:cs="Times New Roman"/>
          <w:sz w:val="24"/>
          <w:szCs w:val="24"/>
        </w:rPr>
        <w:t xml:space="preserve"> w ciągu miesiąca podmioty uczestniczące w czynności o możliwości skorzystania z uprawnienia. Podmioty uczestniczące w czynności będą mogły – zgodnie z § 3 – złożyć korektę deklaracji lub wniosek o stwierdzenie nadpłaty lub zwrot podatku w terminie 30 dni od otrzymania zawiadomienia, zaś pouczenie w tym zakresie będzie elementem zawiadomienia. Wskazane wydaje się bowiem zakreślenie terminu, w którym skorzystanie z uprawnienia będzie skutecznie możliwe, skoro będzie immanentnie wiązać się z treścią decyzji.</w:t>
      </w:r>
      <w:r w:rsidR="00F94381" w:rsidRPr="00C93F78">
        <w:rPr>
          <w:rFonts w:ascii="Times New Roman" w:hAnsi="Times New Roman" w:cs="Times New Roman"/>
          <w:sz w:val="24"/>
          <w:szCs w:val="24"/>
        </w:rPr>
        <w:t xml:space="preserve"> W sytuacji skierowania zawiadomienia do podmiotów uczestniczących w czynności konieczne jest wyłączenie regulacji zawartych w art. 293, dotyczących tajemnicy skarbowej. Podmioty te nie były bowiem stronami zakończonego postępowania podatkowego.</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Bieg terminu na skorzystanie z ww. uprawnienia proponuje się zawiesić, jeżeli skorzystanie z niego nie będzie możliwe – np. z powodu trwającej kontroli celno-skarbowej lub </w:t>
      </w:r>
      <w:r w:rsidR="00F94381" w:rsidRPr="00C93F78">
        <w:rPr>
          <w:rFonts w:ascii="Times New Roman" w:hAnsi="Times New Roman" w:cs="Times New Roman"/>
          <w:sz w:val="24"/>
          <w:szCs w:val="24"/>
        </w:rPr>
        <w:t>postępowania podatkowego</w:t>
      </w:r>
      <w:r w:rsidRPr="00C93F78">
        <w:rPr>
          <w:rFonts w:ascii="Times New Roman" w:hAnsi="Times New Roman" w:cs="Times New Roman"/>
          <w:sz w:val="24"/>
          <w:szCs w:val="24"/>
        </w:rPr>
        <w:t xml:space="preserve"> (§ 4). Jeżeli jednak otrzymanie zawiadomienia na podstawie § 3 zbiegnie się z prowadzonym postępowaniem podatkowym, to strona postępowania będzie mogła zażądać od organu podatkowego uwzględnienia uprawnień wynikających z § 1 w toku tego postępowania, o ile będzie ono związane z przedmiotowymi uprawnieniami</w:t>
      </w:r>
      <w:r w:rsidR="00F94381" w:rsidRPr="00C93F78">
        <w:rPr>
          <w:rFonts w:ascii="Times New Roman" w:hAnsi="Times New Roman" w:cs="Times New Roman"/>
          <w:sz w:val="24"/>
          <w:szCs w:val="24"/>
        </w:rPr>
        <w:t xml:space="preserve"> (§ 5)</w:t>
      </w:r>
      <w:r w:rsidRPr="00C93F78">
        <w:rPr>
          <w:rFonts w:ascii="Times New Roman" w:hAnsi="Times New Roman" w:cs="Times New Roman"/>
          <w:sz w:val="24"/>
          <w:szCs w:val="24"/>
        </w:rPr>
        <w:t>.</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hAnsi="Times New Roman" w:cs="Times New Roman"/>
          <w:sz w:val="24"/>
          <w:szCs w:val="24"/>
        </w:rPr>
        <w:t>Tak jak dotychczas, omawiana regulacja będzie dostępna także w razie dobrowolnego wycofania się ze skutków unikania opodatkowania w toku postępowania podatkowego</w:t>
      </w:r>
      <w:r w:rsidR="007D2D04" w:rsidRPr="00C93F78">
        <w:rPr>
          <w:rFonts w:ascii="Times New Roman" w:hAnsi="Times New Roman" w:cs="Times New Roman"/>
          <w:sz w:val="24"/>
          <w:szCs w:val="24"/>
        </w:rPr>
        <w:t>, lecz proponuje się jej przeniesienie do odpowiedniej części ustawy</w:t>
      </w:r>
      <w:r w:rsidRPr="00C93F78">
        <w:rPr>
          <w:rFonts w:ascii="Times New Roman" w:hAnsi="Times New Roman" w:cs="Times New Roman"/>
          <w:sz w:val="24"/>
          <w:szCs w:val="24"/>
        </w:rPr>
        <w:t xml:space="preserve"> (art. </w:t>
      </w:r>
      <w:r w:rsidR="007D2D04" w:rsidRPr="00C93F78">
        <w:rPr>
          <w:rFonts w:ascii="Times New Roman" w:hAnsi="Times New Roman" w:cs="Times New Roman"/>
          <w:sz w:val="24"/>
          <w:szCs w:val="24"/>
        </w:rPr>
        <w:t>81b § 1e</w:t>
      </w:r>
      <w:r w:rsidR="00214B8A" w:rsidRPr="00C93F78">
        <w:rPr>
          <w:rFonts w:ascii="Times New Roman" w:hAnsi="Times New Roman" w:cs="Times New Roman"/>
          <w:sz w:val="24"/>
          <w:szCs w:val="24"/>
        </w:rPr>
        <w:t xml:space="preserve"> </w:t>
      </w:r>
      <w:r w:rsidRPr="00C93F78">
        <w:rPr>
          <w:rFonts w:ascii="Times New Roman" w:hAnsi="Times New Roman" w:cs="Times New Roman"/>
          <w:sz w:val="24"/>
          <w:szCs w:val="24"/>
        </w:rPr>
        <w:t>§ 6 Op).</w:t>
      </w:r>
      <w:r w:rsidR="0055029C" w:rsidRPr="00C93F78">
        <w:rPr>
          <w:rFonts w:ascii="Times New Roman" w:hAnsi="Times New Roman" w:cs="Times New Roman"/>
          <w:sz w:val="24"/>
          <w:szCs w:val="24"/>
        </w:rPr>
        <w:t xml:space="preserve"> Przepisy art. 119j § 1-5 Op będą w tym przypadku stosowane odpowiednio, a skutki podatkowe dotyczące czynności powinny zostać określone w zawiadomieniu wydanym na podstawie art. 200 § 3 Op.</w:t>
      </w:r>
    </w:p>
    <w:p w:rsidR="00D05D84" w:rsidRPr="00C93F78" w:rsidRDefault="00D05D84" w:rsidP="00C93F78">
      <w:pPr>
        <w:pStyle w:val="Nagwek2"/>
        <w:spacing w:line="360" w:lineRule="auto"/>
        <w:jc w:val="both"/>
        <w:rPr>
          <w:szCs w:val="24"/>
        </w:rPr>
      </w:pPr>
      <w:r w:rsidRPr="00C93F78">
        <w:rPr>
          <w:szCs w:val="24"/>
        </w:rPr>
        <w:t>Zmiany w zakresie inicjowania i prowadzenia postępowania podatkowego w przedmiocie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zakresie inicjowania i prowadzenia postępowań podatkowych w zakresie unikania opodatkowania dostrzeżono mankament aktualnych rozwiązań polegający na tym, że Szef KAS – prowadząc postępowanie podatkowe w omawianym zakresie – jest pozbawiony możliwości samodzielnego wyjaśniania stanu faktycznego sprawy w ramach czynności kontrolnych. Po przejęciu lub wszczęciu postępowania podatkowego w dyspozycji Szefa KAS pozostają tylko instrumenty zawarte w Dziale IV Ordynacji podatkowej. Instrumenty te mogą jednak okazać się niewystarczające do skutecznego wyjaśnienia stanu faktycznego sprawy.</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Aby umożliwić wyspecjalizowanemu organowi podatkowemu wyjaśnianie stanu faktycznego sprawy za pomocą czynności kontrolnych w kierunku zagadnienia unikania opodatkowania proponuje się zmienić treść wyliczenia do art. 119g § 1 Ordynacji podatkowej, aby Szef KAS był uprawniony do przejęcia również kontroli podatkowej prowadzonej przez naczelnika urzędu skarbowego. Zmiany w art. 119g § 2-6 Op (</w:t>
      </w:r>
      <w:r w:rsidRPr="00C93F78">
        <w:rPr>
          <w:rFonts w:ascii="Times New Roman" w:hAnsi="Times New Roman" w:cs="Times New Roman"/>
          <w:b/>
          <w:sz w:val="24"/>
          <w:szCs w:val="24"/>
        </w:rPr>
        <w:t xml:space="preserve">art. 13 pkt </w:t>
      </w:r>
      <w:r w:rsidRPr="00C93F78">
        <w:rPr>
          <w:rFonts w:ascii="Times New Roman" w:eastAsia="Calibri" w:hAnsi="Times New Roman" w:cs="Times New Roman"/>
          <w:b/>
          <w:sz w:val="24"/>
          <w:szCs w:val="24"/>
        </w:rPr>
        <w:t>25</w:t>
      </w:r>
      <w:r w:rsidRPr="00C93F78">
        <w:rPr>
          <w:rFonts w:ascii="Times New Roman" w:hAnsi="Times New Roman" w:cs="Times New Roman"/>
          <w:b/>
          <w:sz w:val="24"/>
          <w:szCs w:val="24"/>
        </w:rPr>
        <w:t xml:space="preserve"> lit. b</w:t>
      </w:r>
      <w:r w:rsidRPr="00C93F78">
        <w:rPr>
          <w:rFonts w:ascii="Times New Roman" w:hAnsi="Times New Roman" w:cs="Times New Roman"/>
          <w:sz w:val="24"/>
          <w:szCs w:val="24"/>
        </w:rPr>
        <w:t xml:space="preserve">).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Następnie proponuje się ujednolicenie procedury przejmowania przez Szefa KAS do dalszego prowadzenia kontroli podatkowej i kontroli celno-skarbowej, tj.:</w:t>
      </w:r>
    </w:p>
    <w:p w:rsidR="00D05D84" w:rsidRPr="00C93F78" w:rsidRDefault="00D05D84" w:rsidP="00C93F78">
      <w:pPr>
        <w:numPr>
          <w:ilvl w:val="0"/>
          <w:numId w:val="21"/>
        </w:numPr>
        <w:spacing w:after="120" w:line="360" w:lineRule="auto"/>
        <w:ind w:left="709" w:hanging="709"/>
        <w:contextualSpacing/>
        <w:jc w:val="both"/>
        <w:rPr>
          <w:rFonts w:ascii="Times New Roman" w:hAnsi="Times New Roman" w:cs="Times New Roman"/>
          <w:sz w:val="24"/>
          <w:szCs w:val="24"/>
        </w:rPr>
      </w:pPr>
      <w:r w:rsidRPr="00C93F78">
        <w:rPr>
          <w:rFonts w:ascii="Times New Roman" w:hAnsi="Times New Roman" w:cs="Times New Roman"/>
          <w:sz w:val="24"/>
          <w:szCs w:val="24"/>
        </w:rPr>
        <w:t>po przeprowadzeniu założonych czynności kontrolnych naczelnik urzędu skarbowego lub naczelnik urzędu celno-skarbowego występowałby do Szefa KAS ze skonkretyzowanym wnioskiem o przejęcie kontroli, jeżeli zachodziłoby uzasadnione przypuszczenie, poparte dowodami zebranymi w aktach kontroli, że w sprawie może zostać wydana decyzja z zastosowaniem art. 119a lub umownej klauzuli przeciwko unikaniu opodatkowania;</w:t>
      </w:r>
    </w:p>
    <w:p w:rsidR="00D05D84" w:rsidRPr="00C93F78" w:rsidRDefault="00D05D84" w:rsidP="00C93F78">
      <w:pPr>
        <w:numPr>
          <w:ilvl w:val="0"/>
          <w:numId w:val="21"/>
        </w:numPr>
        <w:spacing w:after="120" w:line="360" w:lineRule="auto"/>
        <w:ind w:left="709" w:hanging="709"/>
        <w:contextualSpacing/>
        <w:jc w:val="both"/>
        <w:rPr>
          <w:rFonts w:ascii="Times New Roman" w:hAnsi="Times New Roman" w:cs="Times New Roman"/>
          <w:sz w:val="24"/>
          <w:szCs w:val="24"/>
        </w:rPr>
      </w:pPr>
      <w:r w:rsidRPr="00C93F78">
        <w:rPr>
          <w:rFonts w:ascii="Times New Roman" w:hAnsi="Times New Roman" w:cs="Times New Roman"/>
          <w:sz w:val="24"/>
          <w:szCs w:val="24"/>
        </w:rPr>
        <w:t>po otrzymaniu akt kontroli i ich analizie Szef KAS mógłby zlecić organowi podatkowemu prowadzącemu kontrolę podatkową lub kontrolę celno-skarbową przeprowadzenie dodatkowych czynności kontrolnych, ze szczególnym uwzględnieniem wyjaśnienia zagadnień dotyczących unikania opodatkowania;</w:t>
      </w:r>
    </w:p>
    <w:p w:rsidR="00D05D84" w:rsidRPr="00C93F78" w:rsidRDefault="00D05D84" w:rsidP="00C93F78">
      <w:pPr>
        <w:numPr>
          <w:ilvl w:val="0"/>
          <w:numId w:val="21"/>
        </w:numPr>
        <w:spacing w:after="120" w:line="360" w:lineRule="auto"/>
        <w:ind w:left="709" w:hanging="709"/>
        <w:contextualSpacing/>
        <w:jc w:val="both"/>
        <w:rPr>
          <w:rFonts w:ascii="Times New Roman" w:hAnsi="Times New Roman" w:cs="Times New Roman"/>
          <w:sz w:val="24"/>
          <w:szCs w:val="24"/>
        </w:rPr>
      </w:pPr>
      <w:r w:rsidRPr="00C93F78">
        <w:rPr>
          <w:rFonts w:ascii="Times New Roman" w:hAnsi="Times New Roman" w:cs="Times New Roman"/>
          <w:sz w:val="24"/>
          <w:szCs w:val="24"/>
        </w:rPr>
        <w:t xml:space="preserve">w przypadku nieprzejęcia kontroli podatkowej lub kontroli celno-skarbowej przez Szefa KAS z uwagi na niezasadność wniosku lub wystąpienie przesłanki określonej w proponowanym art. </w:t>
      </w:r>
      <w:r w:rsidR="009F01D6" w:rsidRPr="00C93F78">
        <w:rPr>
          <w:rFonts w:ascii="Times New Roman" w:hAnsi="Times New Roman" w:cs="Times New Roman"/>
          <w:sz w:val="24"/>
          <w:szCs w:val="24"/>
        </w:rPr>
        <w:t>119gb</w:t>
      </w:r>
      <w:r w:rsidRPr="00C93F78">
        <w:rPr>
          <w:rFonts w:ascii="Times New Roman" w:hAnsi="Times New Roman" w:cs="Times New Roman"/>
          <w:sz w:val="24"/>
          <w:szCs w:val="24"/>
        </w:rPr>
        <w:t xml:space="preserve"> § 1 Op, odpowiednio naczelnik urzędu skarbowego lub naczelnik urzędu celno-skarbowego sporządzałby i doręczałby protokół kontroli w zwykłym trybie.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 podstawie ww. zmian Szef KAS uzyskałby prawo do zlecania czynności kontrolnych, a zatem posiadałby pośrednio dostęp do innych instrumentów wyjaśniania stanu faktycznego sprawy, aniżeli tylko te wymienione w dziale IV Ordynacji podatkowej. Propozycje tych rozwiązań zawierają dodawany art. 290c Ordynacji podatkowe</w:t>
      </w:r>
      <w:r w:rsidR="001F5C69">
        <w:rPr>
          <w:rFonts w:ascii="Times New Roman" w:hAnsi="Times New Roman" w:cs="Times New Roman"/>
          <w:sz w:val="24"/>
          <w:szCs w:val="24"/>
        </w:rPr>
        <w:t>j oraz art. 82 ust. 1 oraz art. </w:t>
      </w:r>
      <w:r w:rsidRPr="00C93F78">
        <w:rPr>
          <w:rFonts w:ascii="Times New Roman" w:hAnsi="Times New Roman" w:cs="Times New Roman"/>
          <w:sz w:val="24"/>
          <w:szCs w:val="24"/>
        </w:rPr>
        <w:t>82a ust. 1</w:t>
      </w:r>
      <w:r w:rsidR="001F5C69">
        <w:rPr>
          <w:rFonts w:ascii="Times New Roman" w:hAnsi="Times New Roman" w:cs="Times New Roman"/>
          <w:sz w:val="24"/>
          <w:szCs w:val="24"/>
        </w:rPr>
        <w:t>–</w:t>
      </w:r>
      <w:r w:rsidRPr="00C93F78">
        <w:rPr>
          <w:rFonts w:ascii="Times New Roman" w:hAnsi="Times New Roman" w:cs="Times New Roman"/>
          <w:sz w:val="24"/>
          <w:szCs w:val="24"/>
        </w:rPr>
        <w:t>3 ustawy o KAS.</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Nie kwestionując racji, że organy samorządu terytorialnego powinny mieć możliwość złożenia wniosku o zastosowanie przez Szefa KAS klauzuli przeciwko unikaniu opodatkowania w zakresie podatków, do których ustalania lub określania uprawnione są samorządowe organy podatkowe, to podnieść należy, że procedura określona w art. 119g § 2 Ordynacji podatkowej nie jest w ocenie projektodawcy efektywna. Omawiana regulacja uprawnia organy samorządu terytorialnego do złożenia wniosku o m.in. wszczęcie postępowania podatkowego w zakresie podatku stanowiącego dochód JST. Oznacza to, że Szef KAS jest obecnie zobowiązany na podstawie oględnych informacji wskazujących na wstępną zasadność zastosowania art. 119a § 1 Op do przeprowadzenia całego postępowania w zakresie podatku stanowiącego dochód JST, również w aspektach, które nie dotyczą zastosowania klauzuli przeciwko unikaniu opodatkowania. W ocenie projektodawcy, taka regulacja może prowadzić do niewłaściwego wykorzystania zasobów komórki organizacyjnej Ministerstwa Finansów powołanej w celu przeprowadzenia postępowań podatkowych związanych z unikaniem opodatkowania i wypaczenia założeń ustawodawcy. W szczególności, obecna treść art. 119g § 2 Ordynacji podatkowej tworzy zachętę do wykorzystywania zasobów Szefa KAS przez te organy samorządu terytorialnego, które nie posiadają zorganizowanych referatów ds. podatków, zdolnych do przeprowadzenia kontroli podatkowej i postępowania podatkowego w celu ustalenia stanu faktycznego i określenia zobowiązania podatkowego.</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 powyższego względu proponuje się modyfikację art. 119g § 2 Ordynacji podatkowej w ten sposób, aby w przypadku podatków, do których ustalania lub określania uprawnieni są wójt, burmistrz (prezydent miasta), starosta lub marszałek województwa, Szef KAS na wniosek właściwego organu mógł wyłącznie przejąć postępowanie podatkowe.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Przejmując kontrolę podatkową lub celno-skarbową, Szef KAS z urzędu ją zawiesza i jednocześnie wszczyna postępowanie podatkowe. Do zawieszonej kontroli podatkowej lub celno-skarbowej przepisy art. 201 § 3 i art. 206 stosuje się odpowiednio.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postanowieniu, o wszczęciu postępowania (o którym mowa w §1), Szef KAS wskazuje, w jakim zakresie przejmuje postępowanie podatkowe, kontrolę podatkową lub kontrolę celno-skarbową.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Czynności dokonane przez organ podatkowy przed przejęciem postępowania podatkowego, kontroli podatkowej lub kontroli celno-skarbowej pozostają w mocy. Postępowanie o przejęciu postępowania podatkowego, kontroli podatkowej lub kontroli celno-skarbowej doręcza się stronie albo kontrolowanemu oraz organowi, który prowadził postępowanie lub kontrolę.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Proponowana zmiana przyczyni się do lepszego wykorzystania zasobów wskazanej komórki organizacyjnej Ministerstwa Finansów oraz w racjonalny sposób podzieli zadania związane z ustalaniem stanu faktycznego sprawy i stosowaniem klauzuli przeciwko unikaniu opodatkowania pomiędzy Szefa KAS a zainteresowany organ samorządu terytorialnego, tym bardziej, że liberalizacja przesłanek zastosowania przedmiotowej klauzuli, , może wpłynąć na wzrost liczby przypadków jej zastosowania również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podatkach, do których określania lub ustalania są uprawnione samorządowe organy podatkowe. Zgodnie natomiast z §7 art. 119g w przypadku, gdy będąca stroną postępowania podatkowego spółka cywilna, jawna, partnerska, komandytowa albo komandytowo-akcyjna została rozwiązana w jego trakcje, postępowanie podatkowe kończy się decyzją, o której mowa w art. 115 § 4.</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Zgodnie z § 8 projektowanego art. 119g jeżeli w sprawie może być wydana decyzja z zastosowaniem środków ograniczających umowne korzyści, art. 119a § 7 oraz przepisy niniejszego rozdziału stosuje się odpowiednio.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myśl projektowanych przepisów 119ga</w:t>
      </w:r>
      <w:r w:rsidR="001F5C69">
        <w:rPr>
          <w:rFonts w:ascii="Times New Roman" w:hAnsi="Times New Roman" w:cs="Times New Roman"/>
          <w:sz w:val="24"/>
          <w:szCs w:val="24"/>
        </w:rPr>
        <w:t>–</w:t>
      </w:r>
      <w:r w:rsidRPr="00C93F78">
        <w:rPr>
          <w:rFonts w:ascii="Times New Roman" w:hAnsi="Times New Roman" w:cs="Times New Roman"/>
          <w:sz w:val="24"/>
          <w:szCs w:val="24"/>
        </w:rPr>
        <w:t xml:space="preserve">119gd, zasady przejmowania spraw przez Szefa KAS będą jednolite w każdej z procedur, tj. postępowanie podatkowe, kontrola podatkowa, kontrola celno-skarbowa. Szef KAS może odmówić wszczęcia postepowania podatkowego lub odmówić przejęcia postępowania podatkowego, kontroli podatkowej lub kontroli celno-skarbowej, zaś postępowanie wszczęte lub przejęte może umorzyć lub przekazać właściwemu organowi podatkowemu, jeżeli zastosowanie innych niż art. 119a przepisów prawa podatkowego pozawala na przeciwdziałanie unikaniu opodatkowania, np. tzw. małych klauzul przeciwko unikaniu opodatkowania. W takiej sytuacji, Szef KAS może umorzyć wszczęte na podstawie art. 119g § 3 postępowanie podatkowe, a przejętą kontrolę podatkową lub kontrolę celno-skarbową przekazać organowi podatkowemu. W sprawie przekazania, o którym mowa powyżej wydaje się postanowienie, które doręcza się stronie oraz organowi podatkowemu, któremu sprawa jest przekazywana. Czynności dokonane przed przekazaniem sprawy pozostają w mocy.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przejęcia postępowania podatkowego od samorządowego organu podatkowego, Szef KAS będzie uprawniony na podstawie art.</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 xml:space="preserve">119gc Op do </w:t>
      </w:r>
      <w:r w:rsidR="00545383" w:rsidRPr="00C93F78">
        <w:rPr>
          <w:rFonts w:ascii="Times New Roman" w:hAnsi="Times New Roman" w:cs="Times New Roman"/>
          <w:sz w:val="24"/>
          <w:szCs w:val="24"/>
        </w:rPr>
        <w:t>wystąpienia do tego</w:t>
      </w:r>
      <w:r w:rsidRPr="00C93F78">
        <w:rPr>
          <w:rFonts w:ascii="Times New Roman" w:hAnsi="Times New Roman" w:cs="Times New Roman"/>
          <w:sz w:val="24"/>
          <w:szCs w:val="24"/>
        </w:rPr>
        <w:t xml:space="preserve"> organu o</w:t>
      </w:r>
      <w:r w:rsidR="00545383" w:rsidRPr="00C93F78">
        <w:rPr>
          <w:rFonts w:ascii="Times New Roman" w:hAnsi="Times New Roman" w:cs="Times New Roman"/>
          <w:sz w:val="24"/>
          <w:szCs w:val="24"/>
        </w:rPr>
        <w:t xml:space="preserve"> zajęcie stanowiska</w:t>
      </w:r>
      <w:r w:rsidRPr="00C93F78">
        <w:rPr>
          <w:rFonts w:ascii="Times New Roman" w:hAnsi="Times New Roman" w:cs="Times New Roman"/>
          <w:sz w:val="24"/>
          <w:szCs w:val="24"/>
        </w:rPr>
        <w:t xml:space="preserve"> w wyznaczonym terminie</w:t>
      </w:r>
      <w:r w:rsidR="00545383" w:rsidRPr="00C93F78">
        <w:rPr>
          <w:rFonts w:ascii="Times New Roman" w:hAnsi="Times New Roman" w:cs="Times New Roman"/>
          <w:sz w:val="24"/>
          <w:szCs w:val="24"/>
        </w:rPr>
        <w:t xml:space="preserve"> (nie dłuższym niż 2 miesiące)</w:t>
      </w:r>
      <w:r w:rsidRPr="00C93F78">
        <w:rPr>
          <w:rFonts w:ascii="Times New Roman" w:hAnsi="Times New Roman" w:cs="Times New Roman"/>
          <w:sz w:val="24"/>
          <w:szCs w:val="24"/>
        </w:rPr>
        <w:t xml:space="preserve">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zakresie zebranych w postępowaniu dowodów i materiałów lub do zajęcia stanowiska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sprawie. Zmiana ta umożliwi samorządowemu organowi podatkowemu bardziej aktywne uczestnictwo w postępowaniu podatkowym związanym z jego dochodami budżetowymi</w:t>
      </w:r>
      <w:r w:rsidR="00545383" w:rsidRPr="00C93F78">
        <w:rPr>
          <w:rFonts w:ascii="Times New Roman" w:hAnsi="Times New Roman" w:cs="Times New Roman"/>
          <w:sz w:val="24"/>
          <w:szCs w:val="24"/>
        </w:rPr>
        <w:t xml:space="preserve"> i przedstawienia swojej oceny prawnej sprawy</w:t>
      </w:r>
      <w:r w:rsidRPr="00C93F78">
        <w:rPr>
          <w:rFonts w:ascii="Times New Roman" w:hAnsi="Times New Roman" w:cs="Times New Roman"/>
          <w:sz w:val="24"/>
          <w:szCs w:val="24"/>
        </w:rPr>
        <w:t>.</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hAnsi="Times New Roman" w:cs="Times New Roman"/>
          <w:sz w:val="24"/>
          <w:szCs w:val="24"/>
        </w:rPr>
        <w:t>Należy wskazać, że zgodnie z projektowanym § 2 art. 119gd wydanie decyzji o zabezpieczeniu wykonania zobowiązania podatkowego, o którym mowa w art. 33, w toku postępowania podatkowego określonego w niniejszym rozdziale albo przed wszczęciem lub przejęciem postępowania podatkowego na podstawie art. 119g § 1 lub 3, następuje po zasięgnięciu opinii Szefa KAS.</w:t>
      </w:r>
      <w:r w:rsidR="00840A3E" w:rsidRPr="00C93F78">
        <w:rPr>
          <w:rFonts w:ascii="Times New Roman" w:hAnsi="Times New Roman" w:cs="Times New Roman"/>
          <w:sz w:val="24"/>
          <w:szCs w:val="24"/>
        </w:rPr>
        <w:t xml:space="preserve">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119k Ordynacji podatkowej proponuje się doprecyzować kwestie związane z zakończeniem przez Szefa KAS postępowania podatkowego, w którym może być wydana decyzja z zastosowaniem art. 119a. W § 1 proponuje się użyć alternatywy łącznej („lub”), aby organ podatkowy był władny jednocześnie umorzyć własne postępowanie podatkowe wszczęte na podstawie art. 119g § 3 Op oraz przekazać przejętą kontrolę podatkową lub kontrolę celno-skarbową właściwemu organowi podatkowemu. Obecne użycie alternatywy rozłącznej wyklucza taką możliwość. W zdaniu drugim tego przepisu proponuje się ponadto poszerzyć względem art. 233 Op kompetencję Szefa KAS jako organu odwoławczego, jeżeli dojdzie on do przekonania, że w sprawie nie będzie mieć zastosowania art. 119a Op. Organ odwoławczy będzie mógł w tym przypadku uchylić decyzję organu pierwszej instancji i jednocześnie przekazać sprawę właściwemu organowi podatkowemu, co na gruncie art. 233 Op nie byłoby możliwe.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ocenie projektodawcy nie ma ponadto uzasadnienia, aby w przypadku wydania decyzji z zastosowaniem art. 119a lub środków ograniczających umowne korzyści Szef KAS zwracał kontrolę podatkową lub kontrolę celno-skarbową organowi podatkowemu. Szef KAS jako organ podatkowy stosujący przepisy przeciwko unikaniu opodatkowania jest zobowiązany do załatwienia sprawy w całości, a zatem kontynuowanie ww. kontroli wydaje się zbędne. Z</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tego względu, art. 119k § 2 będzie wskazywał, że wydanie decyzji z zastosowaniem art. 119a lub środków ograniczających umowne korzyści (art. 119g § 8 w zw. z art. 119k § 2 Op) będzie stanowić jednocześnie zakończenie kontroli podatkowej lub kontroli celno-skarbowej 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przejętym zakresie.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tych okolicznościach zasadne wydaje się uchylenie § 3 i przeniesienie określenia podstawy przekazania postępowania w I instancji do § 1. W przypadku postępowania odwoławczego, organ odwoławczy uchyli w drodze decyzji na podstawie art. 119k § 1 zdanie drugie zaskarżoną decyzję organu I instancji i jednocześnie w tej decyzji umorzy postępowanie lub postanowi o przekazaniu sprawy właściwemu organowi podatkowemu.</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Wyjaśnić ponadto należy, że schematy unikania opodatkowania są niekiedy realizowane w kilku okresach rozliczeniowych, a ściślej: czynności schematu optymalizacyjnego mogą być dokonane w różnych okresach rozliczeniowych. Dopiero po zrealizowaniu wszystkich czynności na przestrzeni nawet kilkudziesięciu miesięcy podatnik może uzyskać korzyść podatkową. Na gruncie obecnych przepisów Ordynacji podatkowej możliwa jest sytuacja, w której za pierwszy z okresów rozliczeniowych zostanie wydana ostateczna decyzja wymiarowa, choć w takim postępowaniu organ podatkowy nie będzie miał jakiejkolwiek możliwości dostrzeżenia schematu unikania opodatkowania, ponieważ nie został on jeszcze całkowicie zrealizowany. W takiej sytuacji organ podatkowy może zostać pozbawiony możliwości zastosowania klauzuli przeciwko unikaniu opodatkowania. Nieprzydatna będzie przy tym przesłanka zawarta w art. 240 § 1 pkt 5 Ordynacji podatkowej, ponieważ w przypadku realizacji schematu unikania opodatkowania na przestrzeni kilku okresów rozliczeniowych, dowody pozwalające na stwierdzenie obecności schematu unikania opodatkowania w momencie wydania decyzji nie będą jeszcze istniały. Biorąc powyższe pod uwagę proponuje się uzupełnienie katalogu przesłanek zezwalających na wznowienie postępowania. Konieczne także jest przyznanie Szefowi Krajowej Administracji Skarbowej wyraźnej – wobec treści art. 244 § 1 w zw. z art. 243 § 2 Op – możliwości przejęcia postępowania podatkowego prowadzonego w wyniku jego wznowienia, jeżeli przesłanki określone w art. 240 § 1 zostaną wypełnione. Szef Krajowej Administracji Skarbowej wyda decyzję w sytuacji określonej w art. 245 § 1 pkt 1 Op tylko, gdy zasadne będzie zastosowanie art. 119a lub środków ograniczających umowne korzyści. W innym wypadku odpowiednie zastosowanie znajdzie art. 119k § 1 Op, na podstawie którego Szef KAS zwróci postępowanie organowi podatkowemu określonemu w art. 244 § 1 Op.</w:t>
      </w:r>
    </w:p>
    <w:p w:rsidR="00D05D84" w:rsidRPr="00C93F78" w:rsidRDefault="00D05D84" w:rsidP="00C93F78">
      <w:pPr>
        <w:pStyle w:val="Nagwek2"/>
        <w:spacing w:line="360" w:lineRule="auto"/>
        <w:jc w:val="both"/>
        <w:rPr>
          <w:szCs w:val="24"/>
        </w:rPr>
      </w:pPr>
      <w:r w:rsidRPr="00C93F78">
        <w:rPr>
          <w:szCs w:val="24"/>
        </w:rPr>
        <w:t>Poprawa relacji pomiędzy klauzulą przeciwko unikaniu opodatkowania a innymi przepisami przeciwdziałającymi unikaniu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Zgodnie z art. 119b § 1 pkt 5 Ordynacji podatkowej w aktualnym brzmieniu, klauzuli przeciwko unikaniu opodatkowania nie stosuje się, jeżeli zastosowanie innych przepisów prawa podatkowego pozwala na przeciwdziałanie unikaniu opodatkowania. Przepis ten został umieszczony w rozdziale 1 działu IIIa Ordynacji podatkowej, obok innych przepisów o fundamentalnym charakterze.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Zaznaczyć należy, że system prawa podatkowego obok generalnej klauzuli przeciwko unikaniu opodatkowania zawiera również inne instytucje przeciwdziałające unikaniu opodatkowania. Wskazać w tym miejscu należy m.in. tzw. małe klauzule przeciwko unikaniu opodatkowania zawarte w art. 12 ust. 13 i 14 i art. 22c ustawy o CIT. Nie można również pominąć pewnych prób przeciwdziałania unikaniu opodatkowania przeprowadzanych za pośrednictwem art. 199a § 1 Ordynacji podatkowej, szczególnie do okresów rozliczeniowych, w których klauzula przeciwko unikaniu opodatkowania jeszcze nie obowiązywała.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Analiza schematów unikania opodatkowania wskazuje, że w związku z treścią art. 119b § 1 pkt 5 Ordynacji podatkowej nierzadko powstają wątpliwości, czy skutki unikania opodatkowania mogą zostać zniwelowane za pośrednictwem innych niż klauzula przeciwko unikaniu opodatkowania przepisów prawa podatkowego, a jeśli tak, to czy w takim samym stopniu. Wątpliwości takie powstają m.in. na tle zespołów czynności prowadzących do unikania opodatkowania, w których jeden z etapów czynności podlega wyraźnie jednej z małych klauzul przeciwko unikaniu opodatkowania. Polem działania dla podatników w zakresie wywodzenia zarzutów na podstawie art. 119b § 1 pkt 5 Ordynacji podatkowej, jest również dotychczasowy dorobek orzeczniczy związany ze stosowaniem art. 199a § 1 Ordynacji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Projektodawca wprowadzając art. 119b § 1 pkt 5 Ordynacji podatkowej założył, że klauzula przeciwko unikaniu opodatkowania będzie narzędziem ostatniej szansy fiskusa przed działaniami prowadzącymi do unikania opodatkowania. W ocenie projektodawcy, powyższe założenie jest słuszne. Nie ma powodów, aby wyspecjalizowany organ podatkowy jakim jest Szef KAS, prowadził postępowania podatkowe w zakresie takich przypadków unikania opodatkowania, które mogą być niwelowane tak samo skutecznie za pomocą innych przepisów materialnego prawa podatkowego przez terenowe organy podatkowe.</w:t>
      </w:r>
      <w:r w:rsidRPr="00C93F78">
        <w:rPr>
          <w:rFonts w:ascii="Times New Roman" w:eastAsia="Calibri" w:hAnsi="Times New Roman" w:cs="Times New Roman"/>
          <w:sz w:val="24"/>
          <w:szCs w:val="24"/>
        </w:rPr>
        <w:t xml:space="preserve"> Zgodne to jest z koncepcją zasady efektywnego zwalczania unikania opodatkowania – tj. art. 119b § 1 pkt 5 Ordynacji podatkowej oznaczała brak możliwości stosowania ogólnej klauzuli przeciwko unikaniu opodatkowania, jeśli szczególny środek byłby wystarczający do wyeliminowania skutku w postaci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ocenie projektodawcy, sposób redakcji ww. normy w przepisie art. 119b § 1 pkt 5 Ordynacji podatkowej jest jednak niewłaściwy i szkodliwy dla skuteczności działania Krajowej Administracji Skarbowej. Tworzy on dodatkowe, choć z aksjologicznego punktu widzenia całkowicie zbędne, pole do kwestionowania działań organu podatkowego stosującego klauzulę przeciwko unikaniu opodatkowania. Nie można wykluczyć, że w niektórych sprawach sedno sporu nie będzie dotyczyć oceny tego, czy dana czynność stanowiła unikanie opodatkowania, lecz tego, czy przeciwdziałanie unikaniu opodatkowania nie mogło zostać przeprowadzone za pośrednictwem innych przepisów – co z punktu widzenia strony postępowania, w kontekście biegu terminu przedawnienia zobowiązania podatkowego, może być wystarczającym celem działania.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Pobocznym, choć także niekorzystnym efektem działania art. 119b § 1 pkt 5 Ordynacji podatkowej jest to, że musi być on uwzględniany w procedurze określonej w art. 14b § 5b tej ustawy. Osłabia on zatem cel tego przepisu, który polega na ograniczeniu wydawania interpretacji podatkowych w stanach faktycznych lub zdarzeniach przyszłych, w których występuje unikanie opodatkowania w rozumieniu art. 119a § 1 Ordynacji podatkowej. Dyrektor Krajowej Informacji Skarbowej zobligowany jest do wydania interpretacji indywidualnej w stanach faktycznych (zdarzeniach przyszłych), w których mogłaby mieć zastosowanie klauzula przeciwko unikaniu opodatkowania, jeżeli przeciwdziałanie unikaniu opodatkowania byłoby możliwe także za pomocą innych przepisów prawa podatkowego.</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 powyższych względów proponuje się uchylenie art. 119b § 1 pkt 5 Ordynacji podatkowej zawierającego materialnoprawną przeszkodę stosowania klauzuli przeciwko unikaniu opodatkowania. Omawianą intencję projektodawcy będzie realizować proponowany art. 119g</w:t>
      </w:r>
      <w:r w:rsidR="00574D81" w:rsidRPr="00C93F78">
        <w:rPr>
          <w:rFonts w:ascii="Times New Roman" w:hAnsi="Times New Roman" w:cs="Times New Roman"/>
          <w:sz w:val="24"/>
          <w:szCs w:val="24"/>
        </w:rPr>
        <w:t>b</w:t>
      </w:r>
      <w:r w:rsidRPr="00C93F78">
        <w:rPr>
          <w:rFonts w:ascii="Times New Roman" w:hAnsi="Times New Roman" w:cs="Times New Roman"/>
          <w:sz w:val="24"/>
          <w:szCs w:val="24"/>
        </w:rPr>
        <w:t xml:space="preserve"> Ordynacji podatkowej. Na mocy ww. przepisu, Szef KAS będzie mógł odmówić wszczęcia postępowania podatkowego lub przejęcia postępowania podatkowego, kontroli celno-skarbowej lub kontroli podatkowej, jeżeli zastosowanie innych niż art. 119a lub umowna klauzula przeciwko unikaniu opodatkowania przepisów prawa podatkowego pozwoli na przeciwdziałanie unikaniu opodatkowania. Postępowanie zaś wszczęte lub przejęte Szef KAS będzie mógł przekazać innemu organowi podatkowemu, który zastosuje inne przepisy niwelujące skutki unikania opodatkowania. Omawiana regulacja nie będzie mogła być podstawą zarzutu w przypadku wystąpienia ewentualnej kolizji klauzuli przeciwko unikaniu opodatkowania lub umownych klauzul przeciwko unikaniu opodatkowania z innymi przepisami prawa materialnego.</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Podkreślić wyraźnie należy, że celem proponowanej regulacji nie jest poszerzanie kompetencji Szefa KAS w zakresie stosowania klauzuli przeciwko unikaniu opodatkowania, lecz implementacja postulatu projektodawcy zawartego dotychczas w art. 119b § 1 pkt 5 Ordynacji podatkowej w taki sposób, który nie będzie powodował nieuzasadnionych przeszkód przy stosowaniu klauzuli przeciwko unikaniu opodatkowania w skomplikowanych stanach faktycznych.</w:t>
      </w:r>
    </w:p>
    <w:p w:rsidR="00ED28A9" w:rsidRPr="00C93F78" w:rsidRDefault="00ED28A9"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Nie będzie także możliwe prowadzenie równoległego postępowania przez dwa różne organy podatkowe. Postępowanie podatkowe zarówno wszczęte na podstawie art. 165, jak i art. 119g § 1 Ordynacji podatkowej dotyczy bowiem danego podatku w konkretnym okresie rozliczeniowym. Wydanie dwóch decyzji w tych postępowaniach jest jednoznaczne z nieważnością postępowania w jednym z nich, o czym stanowi art. 247 § 1 pkt 4 Op.</w:t>
      </w:r>
    </w:p>
    <w:p w:rsidR="00D05D84" w:rsidRPr="00C93F78" w:rsidRDefault="00D05D84" w:rsidP="00C93F78">
      <w:pPr>
        <w:spacing w:after="120" w:line="360" w:lineRule="auto"/>
        <w:jc w:val="both"/>
        <w:rPr>
          <w:rFonts w:cs="Times New Roman"/>
          <w:sz w:val="24"/>
          <w:szCs w:val="24"/>
        </w:rPr>
      </w:pPr>
      <w:r w:rsidRPr="00C93F78">
        <w:rPr>
          <w:rFonts w:ascii="Times New Roman" w:hAnsi="Times New Roman" w:cs="Times New Roman"/>
          <w:sz w:val="24"/>
          <w:szCs w:val="24"/>
        </w:rPr>
        <w:t>Regulacja zawarta w art. 119g</w:t>
      </w:r>
      <w:r w:rsidR="00630B95" w:rsidRPr="00C93F78">
        <w:rPr>
          <w:rFonts w:ascii="Times New Roman" w:hAnsi="Times New Roman" w:cs="Times New Roman"/>
          <w:sz w:val="24"/>
          <w:szCs w:val="24"/>
        </w:rPr>
        <w:t>b</w:t>
      </w:r>
      <w:r w:rsidRPr="00C93F78">
        <w:rPr>
          <w:rFonts w:ascii="Times New Roman" w:hAnsi="Times New Roman" w:cs="Times New Roman"/>
          <w:sz w:val="24"/>
          <w:szCs w:val="24"/>
        </w:rPr>
        <w:t xml:space="preserve"> § 2 wymaga przyznania organom podatkowym odpowiedniego prawa do podjęcia zawieszonej kontroli podatkowej lub kontroli celno-skarbowej, co uwzględnia nowododawany art. 290c Ordynacji podatkowej oraz modyfikowany art. 87 ust. 3 ustawy o KAS</w:t>
      </w:r>
    </w:p>
    <w:p w:rsidR="00D05D84" w:rsidRPr="00C93F78" w:rsidRDefault="00D05D84" w:rsidP="00C93F78">
      <w:pPr>
        <w:pStyle w:val="Nagwek2"/>
        <w:spacing w:line="360" w:lineRule="auto"/>
        <w:jc w:val="both"/>
        <w:rPr>
          <w:szCs w:val="24"/>
        </w:rPr>
      </w:pPr>
      <w:r w:rsidRPr="00C93F78">
        <w:rPr>
          <w:szCs w:val="24"/>
        </w:rPr>
        <w:t>Zmiany w zakresie Rady do Spraw Przeciwdziałania Unikaniu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ocenie projektodawcy potrzebna jest korekta przepisów Ordynacji podatkowej dotyczących Rady do Spraw Przeciwdziałania Unikaniu Opodatkowania, dalej: Rada, oraz jej współpracy z organem prowadzącym postępowanie podatkowe</w:t>
      </w:r>
      <w:r w:rsidR="00214B8A" w:rsidRPr="00C93F78">
        <w:rPr>
          <w:rFonts w:ascii="Times New Roman" w:hAnsi="Times New Roman" w:cs="Times New Roman"/>
          <w:sz w:val="24"/>
          <w:szCs w:val="24"/>
        </w:rPr>
        <w:t xml:space="preserve">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efekcie wprowadzenia dodatkowego zobowiązania podatkowego związanego z unikaniem opodatkowania, organ podatkowy będzie uprawniony do wydania decyzji ustalającej to zobowiązanie w obniżonej wysokości, jeżeli strona w toku postępowania samodzielnie dokona cofnięcia skutków unikania opodatkowania w zakresie wynikającym z oceny prawnej doręczonej przez organ podatkowy (</w:t>
      </w:r>
      <w:r w:rsidRPr="00C93F78">
        <w:rPr>
          <w:rFonts w:ascii="Times New Roman" w:hAnsi="Times New Roman" w:cs="Times New Roman"/>
          <w:i/>
          <w:sz w:val="24"/>
          <w:szCs w:val="24"/>
        </w:rPr>
        <w:t xml:space="preserve">vide </w:t>
      </w:r>
      <w:r w:rsidRPr="00C93F78">
        <w:rPr>
          <w:rFonts w:ascii="Times New Roman" w:hAnsi="Times New Roman" w:cs="Times New Roman"/>
          <w:sz w:val="24"/>
          <w:szCs w:val="24"/>
        </w:rPr>
        <w:t>proponowany art. 119a § 7 oraz przepisy rozdziału 6a działu IIIa Ordynacji podatkowej). W takiej sytuacji proponuje się, aby w wyniku złożenia ewentualnego odwołania od tej decyzji stronie nie przysługiwało już prawo do zasięgnięcia opinii Rady (proponowany art. 119h § 4 Ordynacji podatkowej), skoro zarzut unikania opodatkowania został przez stronę uznany.</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art. 119i § 3 Op proponuje się wykluczyć możliwe dotychczas rozwiązanie, w którym Rada może zaprosić na swoje posiedzenie stronę oraz jednocześnie nie zaprosić przedstawiciela organu podatkowego. Zaproszenie przedstawiciela Szefa KAS albo strony do udziału w posiedzeniu </w:t>
      </w:r>
      <w:r w:rsidR="00545383" w:rsidRPr="00C93F78">
        <w:rPr>
          <w:rFonts w:ascii="Times New Roman" w:hAnsi="Times New Roman" w:cs="Times New Roman"/>
          <w:sz w:val="24"/>
          <w:szCs w:val="24"/>
        </w:rPr>
        <w:t xml:space="preserve">będzie wymagało </w:t>
      </w:r>
      <w:r w:rsidRPr="00C93F78">
        <w:rPr>
          <w:rFonts w:ascii="Times New Roman" w:hAnsi="Times New Roman" w:cs="Times New Roman"/>
          <w:sz w:val="24"/>
          <w:szCs w:val="24"/>
        </w:rPr>
        <w:t>skierowania zaproszenia w takim samym zakresie także odpowiednio do strony albo przedstawiciela Szefa KAS.</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obecnym stanie prawnym możliwa jest sytuacja, w której organ podatkowy i Rada będą oceniać nieco inny stan faktyczny wynikający ze zgromadzonych w aktach sprawy dokumentów. Wynika to bowiem z regulacji zawartej w art. 119i § 2 Ordynacji podatkowej, w myśl której strona może przedstawić Radzie nieznaną dotąd organowi podatkowemu dokumentację. Żaden jednak przepis nie wskazuje, że otrzymana przez Radę od strony postępowania dokumentacja włączana jest do akt sprawy. Z tego względu w art. 119i § 8 Ordynacji podatkowej proponuje się wskazać, że otrzymane przez Radę od strony, na podstawie art. 119i § 2 Ordynacji podatkowej, dodatkowe dokumenty i informacje włącza się do akt sprawy zwracanych organowi podatkowemu. W przepisie doprecyzowano również, że Rada jest zobowiązana do zwrotu akt sprawy również po bezskutecznym upływie terminu na wydanie przez nią opinii, co może nastąpić w wypadku zasięgnięcia opinii Rady na wniosek strony postępowania.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gdy wolę zasięgnięcia opinii Rady wyraził organ podatkowy, ustawodawca przyjął w art. 119i § 9 zdanie pierwsze Ordynacji podatkowej fikcję, iż niewydanie przez Radę opinii w przepisanym terminie równoznaczne jest z opinią Rady o zasadności zastosowania art. 119a przedmiotowej ustawy. Z tego względu przepis art. 119i § 9 zdanie drugie tej ustawy należy uznać za zbędne powtórzenie normy zawartej już w poprzednim artykule.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Obecna treść art. 119i § 10 Ordynacji podatkowej może sugerować, że Rada nie jest zobligowana do zwrotu akt sprawy, jeżeli termin przepisany na wydanie opinii upłynął, a zasięgnięcie opinii Rady wynikało z autonomicznej decyzji organu podatkowej. Regulacja taka nie jest w ocenie projektodawcy trafna. Z tego względu proponuje się uchylenie § 10. W treści § 9 </w:t>
      </w:r>
      <w:r w:rsidR="00545383" w:rsidRPr="00C93F78">
        <w:rPr>
          <w:rFonts w:ascii="Times New Roman" w:hAnsi="Times New Roman" w:cs="Times New Roman"/>
          <w:sz w:val="24"/>
          <w:szCs w:val="24"/>
        </w:rPr>
        <w:t xml:space="preserve">wskazano </w:t>
      </w:r>
      <w:r w:rsidRPr="00C93F78">
        <w:rPr>
          <w:rFonts w:ascii="Times New Roman" w:hAnsi="Times New Roman" w:cs="Times New Roman"/>
          <w:sz w:val="24"/>
          <w:szCs w:val="24"/>
        </w:rPr>
        <w:t>natomiast</w:t>
      </w:r>
      <w:r w:rsidR="00545383" w:rsidRPr="00C93F78">
        <w:rPr>
          <w:rFonts w:ascii="Times New Roman" w:hAnsi="Times New Roman" w:cs="Times New Roman"/>
          <w:sz w:val="24"/>
          <w:szCs w:val="24"/>
        </w:rPr>
        <w:t>, że w organ podatkowy pominie opinię Rady wydaną z uchybieniem terminu wskazanego w art. 119i § 5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119m oraz art. 119s § 1 pkt 3 i § 2 Ordynacji podatkowej proponuje się wyraźnie wskazać, że do kompetencji Rady należy również opiniowanie zasadności zastosowania środków ograniczających umowne korzyści w indywidualnych sprawach. Opinie te, tak jak opinie odnoszące się do zasadności zastosowania art. 119a przedmiotowej ustawy, nie byłyby wiążące dla organu podatkowego. Ponadto w nowododawanym art. 119m § 2 proponuje się przyznać Radzie kompetencję do opiniowania projektów ustaw podatkowych i</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zmian w przepisach prawa podatkowego innych aktów normatywnych związanych z</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przeciwdziałaniem unikaniu opodatkowania.</w:t>
      </w:r>
      <w:r w:rsidR="00472AAC" w:rsidRPr="00C93F78">
        <w:rPr>
          <w:rFonts w:ascii="Times New Roman" w:hAnsi="Times New Roman" w:cs="Times New Roman"/>
          <w:sz w:val="24"/>
          <w:szCs w:val="24"/>
        </w:rPr>
        <w:t xml:space="preserve"> Rada może wydać również opinię w sprawach dotyczących cofnięcia skutków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Zasadne wydaje się, aby wzorem m.in. doradców podatkowych lub radców prawnych, członkiem Rady mogła zostać osoba, która jest nieskazitelnego charakteru (art. 119o § 2 pkt 6 Op), co może przyczynić się do zwiększenia autorytetu Rady i jej rozstrzygnięć. Ocenę, czy kandydat na członka Rady wypełnia omawiany przymiot będzie należeć co do zasady do podmiotu zgłaszającego (art. 119o § 3 Op). W trakcie kadencji Rady minister właściwy do spraw finansów publicznych będzie mógł odwołać członka Rady z uwagi na utratę przymiotu nieskazitelnego charakteru (art. 119p § 1 Op). Aby jednak minister właściwy do spraw finansów publicznych nie dysponował w tej kwestii zbyt dużym zakresem dowolności proponuje się, aby </w:t>
      </w:r>
      <w:r w:rsidR="00254CC3" w:rsidRPr="00C93F78">
        <w:rPr>
          <w:rFonts w:ascii="Times New Roman" w:hAnsi="Times New Roman" w:cs="Times New Roman"/>
          <w:sz w:val="24"/>
          <w:szCs w:val="24"/>
        </w:rPr>
        <w:t>informacja o utracie nieskazitelnego charakteru przez członka Rady była poparta szczegółowym uzasadnieniem oraz</w:t>
      </w:r>
      <w:r w:rsidRPr="00C93F78">
        <w:rPr>
          <w:rFonts w:ascii="Times New Roman" w:hAnsi="Times New Roman" w:cs="Times New Roman"/>
          <w:sz w:val="24"/>
          <w:szCs w:val="24"/>
        </w:rPr>
        <w:t xml:space="preserve"> Rada w ciągu 30 dni od powzięcia informacji o wygaśnięciu członkostwa w Radzie z uwagi na utratę przymiotu nieskazitelnego charakteru mogła wyrazić sprzeciw. Sprzeciw niweczący decyzję ministra będzie mógł zostać wyrażony poprzez uchwałę podjętą w głosowaniu tajnym, bezwzględną większością głosów w obecności co najmniej połowy członków Rady, z wyłączeniem zainteresowanego (art. 119p § 1a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w art. 119s § 5 Ordynacji podatkowej polega natomiast na przyznaniu ministrowi właściwemu do spraw finansów publicznych swobody w powoływaniu i odwoływaniu w każdym czasie sekretarza Rady spośród pracowników urzędu obsługującego tego ministra. Sekretarz Rady nie jest bowiem członkiem Rady i jego funkcja nie jest związana z jej kadencją.</w:t>
      </w:r>
    </w:p>
    <w:p w:rsidR="00D05D84" w:rsidRPr="00C93F78" w:rsidRDefault="00D05D84" w:rsidP="00C93F78">
      <w:pPr>
        <w:pStyle w:val="Nagwek2"/>
        <w:spacing w:line="360" w:lineRule="auto"/>
        <w:jc w:val="both"/>
        <w:rPr>
          <w:szCs w:val="24"/>
        </w:rPr>
      </w:pPr>
      <w:r w:rsidRPr="00C93F78">
        <w:rPr>
          <w:szCs w:val="24"/>
        </w:rPr>
        <w:t>Zmiany w zakresie właściwości przepisów mających zastosowanie w toku postępowania podatkowego prowadzonego na podstawie art. 119g Ordynacji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wyniku wejścia w życie ustawy z dnia 16 listopada 2016 r. o Krajowej Administracji Skarbowej (Dz. U. z 2016 r. poz. 1947, z późn. zm.), organem właściwym do prowadzenia postępowania podatkowego w zakresie przeciwdziałania unikaniu opodatkowania stał się Szef KAS, będący jednym z organów KAS. Wskazana ustawa przyznała organom KAS ogólne uprawnienia (dział IV), które mogą być stosowane także w toku postępowania podatkowego.</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Zgodnie z obecną treścią art. 119l Ordynacji podatkowej, Szef KAS prowadząc postępowanie podatkowe w zakresie unikania opodatkowania może korzystać z instytucji zawartych wyłącznie w dziale IV Ordynacji podatkowej. Organ ten nie może korzystać z uprawnień, które mogą mu przyznawać przepisy innych ustaw, w tym ww. ustawa o Krajowej Administracji Skarbowej. Konieczne jest zatem, zdaniem projektodawcy, zrównanie pozycji Szefa KAS prowadzącego postępowanie podatkowe określone w rozdziale 2 działu IIIA Ordynacji podatkowej z innymi organami KAS. Proponuje się zatem zmianę art. 119l Ordynacji podatkowej w ten sposób, aby przepis ten pozwalał także na zastosowanie w toku postępowania podatkowego przepisów </w:t>
      </w:r>
      <w:r w:rsidR="00574D81" w:rsidRPr="00C93F78">
        <w:rPr>
          <w:rFonts w:ascii="Times New Roman" w:hAnsi="Times New Roman" w:cs="Times New Roman"/>
          <w:sz w:val="24"/>
          <w:szCs w:val="24"/>
        </w:rPr>
        <w:t xml:space="preserve">art. 45, art. 46, art. 49 i art. 51 </w:t>
      </w:r>
      <w:r w:rsidRPr="00C93F78">
        <w:rPr>
          <w:rFonts w:ascii="Times New Roman" w:hAnsi="Times New Roman" w:cs="Times New Roman"/>
          <w:sz w:val="24"/>
          <w:szCs w:val="24"/>
        </w:rPr>
        <w:t>ustawy o Krajowej Administracji Skarbowej</w:t>
      </w:r>
      <w:r w:rsidR="00545383" w:rsidRPr="00C93F78">
        <w:rPr>
          <w:rFonts w:ascii="Times New Roman" w:hAnsi="Times New Roman" w:cs="Times New Roman"/>
          <w:sz w:val="24"/>
          <w:szCs w:val="24"/>
        </w:rPr>
        <w:t>, które kreują uprawnienia o charakterze procesowym (żądanie informacji).</w:t>
      </w:r>
      <w:r w:rsidRPr="00C93F78">
        <w:rPr>
          <w:rFonts w:ascii="Times New Roman" w:hAnsi="Times New Roman" w:cs="Times New Roman"/>
          <w:sz w:val="24"/>
          <w:szCs w:val="24"/>
        </w:rPr>
        <w:t xml:space="preserve">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b/>
          <w:sz w:val="24"/>
          <w:szCs w:val="24"/>
        </w:rPr>
        <w:t>Zmiany w zakresie postępowania w przedmiocie wydania opinii zabezpieczającej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Aktualna treść art. 119w § 2 Ordynacji podatkowej wskazuje, że z wnioskiem o wydanie opinii zabezpieczającej mogą wystąpić zainteresowani dokonujący niezależnych, ale analogicznych czynności. Treść przepisu nie wymaga, że zainteresowani powinni być powiązani przedstawianą do oceny czynnością. W ocenie projektodawcy taka regulacja stanowi lukę prawną. Należy zatem doprecyzować, że zainteresowani powinni być powiązani tą samą czynnością, która zostaje poddana pod ocenę organu podatkowego. Podobne rozwiązanie, w przypadku postępowania w przedmiocie wydania interpretacji indywidualnej, zastosowano już w art. 14r § 1 Ordynacji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zawartym w art. 119x § 1 Ordynacji podatkowej wprowadzeniem do wyliczenia, wniosek o wydanie opinii zabezpieczającej powinien zawierać dane istotne</w:t>
      </w:r>
      <w:r w:rsidR="00896137" w:rsidRPr="00C93F78">
        <w:rPr>
          <w:rFonts w:ascii="Times New Roman" w:hAnsi="Times New Roman" w:cs="Times New Roman"/>
          <w:sz w:val="24"/>
          <w:szCs w:val="24"/>
        </w:rPr>
        <w:t xml:space="preserve"> dla określenia podatkowych skutków czynności</w:t>
      </w:r>
      <w:r w:rsidRPr="00C93F78">
        <w:rPr>
          <w:rFonts w:ascii="Times New Roman" w:hAnsi="Times New Roman" w:cs="Times New Roman"/>
          <w:sz w:val="24"/>
          <w:szCs w:val="24"/>
        </w:rPr>
        <w:t xml:space="preserve"> </w:t>
      </w:r>
      <w:r w:rsidR="00896137" w:rsidRPr="00C93F78">
        <w:rPr>
          <w:rFonts w:ascii="Times New Roman" w:hAnsi="Times New Roman" w:cs="Times New Roman"/>
          <w:sz w:val="24"/>
          <w:szCs w:val="24"/>
        </w:rPr>
        <w:t>oraz zastosowania do tej czynności art. 119a § 1</w:t>
      </w:r>
      <w:r w:rsidRPr="00C93F78">
        <w:rPr>
          <w:rFonts w:ascii="Times New Roman" w:hAnsi="Times New Roman" w:cs="Times New Roman"/>
          <w:sz w:val="24"/>
          <w:szCs w:val="24"/>
        </w:rPr>
        <w:t xml:space="preserve">. Zdaniem projektodawcy, tak zakreślony obszar informacji nie do końca odpowiada ani informacjom najbardziej oczekiwanym i przydatnym do oceny, czy dana czynność stanowi unikanie opodatkowania, ani zawartościom punktów znajdujących się w treści tego paragrafu. Proponuje się zatem uzupełnienie wstępu do wyliczenia o dane istotne z punktu przesłanek zastosowania art. 119a.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myśl przepisów art. 11 updop i art. 25 updof, w brzmieniu obowiązującym od dnia 1 stycznia 2017 r., przez podmioty powiązane należy rozumieć m.in. te, które bezpośrednio lub pośrednio posiadają w kapitale innego podmiotu udział nie mniejszy niż 25%. Ustawodawca zwiększył z tym dniem z 5% do 25% próg, od którego dane podmioty są uważane za powiązane i mają do nich zastosowanie regulacje dotyczące cen transferowych.</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 ww. przepisów ustawodawca odwołuje się w art. 119x § 1 pkt 3 Ordynacji podatkowej, czyniąc informacje o podmiotach powiązanych w rozumieniu regulacji właściwych dla cen transferowych jedną z przesłanek wniosku o wydanie opinii zabezpieczającej. Omawiana zmiana w ustawach o podatkach dochodowych, która zaszła z dniem 1 stycznia 2017 r. zawęziła zakres informacji wymaganych do złożenia wniosku, co jest sytuacją niekorzystną, gdyż:</w:t>
      </w:r>
    </w:p>
    <w:p w:rsidR="00D05D84" w:rsidRPr="00C93F78" w:rsidRDefault="00D05D84" w:rsidP="001F5C69">
      <w:pPr>
        <w:numPr>
          <w:ilvl w:val="0"/>
          <w:numId w:val="20"/>
        </w:numPr>
        <w:spacing w:after="120" w:line="360" w:lineRule="auto"/>
        <w:ind w:left="567" w:hanging="425"/>
        <w:contextualSpacing/>
        <w:jc w:val="both"/>
        <w:rPr>
          <w:rFonts w:ascii="Times New Roman" w:hAnsi="Times New Roman" w:cs="Times New Roman"/>
          <w:sz w:val="24"/>
          <w:szCs w:val="24"/>
        </w:rPr>
      </w:pPr>
      <w:r w:rsidRPr="00C93F78">
        <w:rPr>
          <w:rFonts w:ascii="Times New Roman" w:hAnsi="Times New Roman" w:cs="Times New Roman"/>
          <w:sz w:val="24"/>
          <w:szCs w:val="24"/>
        </w:rPr>
        <w:t>klauzula przeciwko unikaniu opodatkowania nie jest dedykowana wyłącznie podatkom dochodowym;</w:t>
      </w:r>
    </w:p>
    <w:p w:rsidR="00D05D84" w:rsidRPr="00C93F78" w:rsidRDefault="00D05D84" w:rsidP="001F5C69">
      <w:pPr>
        <w:numPr>
          <w:ilvl w:val="0"/>
          <w:numId w:val="20"/>
        </w:numPr>
        <w:spacing w:after="120" w:line="360" w:lineRule="auto"/>
        <w:ind w:left="567" w:hanging="425"/>
        <w:contextualSpacing/>
        <w:jc w:val="both"/>
        <w:rPr>
          <w:rFonts w:ascii="Times New Roman" w:hAnsi="Times New Roman" w:cs="Times New Roman"/>
          <w:sz w:val="24"/>
          <w:szCs w:val="24"/>
        </w:rPr>
      </w:pPr>
      <w:r w:rsidRPr="00C93F78">
        <w:rPr>
          <w:rFonts w:ascii="Times New Roman" w:hAnsi="Times New Roman" w:cs="Times New Roman"/>
          <w:sz w:val="24"/>
          <w:szCs w:val="24"/>
        </w:rPr>
        <w:t>zastosowanie regulacji w przedmiocie cen transferowych, jeżeli przeciwdziałają one unikaniu opodatkowania co najmniej w takim samym stopniu jak klauzula generalna, powinno co do zasady wyłączyć zastosowanie tej klauzuli;</w:t>
      </w:r>
    </w:p>
    <w:p w:rsidR="00D05D84" w:rsidRPr="00C93F78" w:rsidRDefault="00D05D84" w:rsidP="001F5C69">
      <w:pPr>
        <w:numPr>
          <w:ilvl w:val="0"/>
          <w:numId w:val="20"/>
        </w:numPr>
        <w:spacing w:after="120" w:line="360" w:lineRule="auto"/>
        <w:ind w:left="567" w:hanging="425"/>
        <w:jc w:val="both"/>
        <w:rPr>
          <w:rFonts w:ascii="Times New Roman" w:hAnsi="Times New Roman" w:cs="Times New Roman"/>
          <w:sz w:val="24"/>
          <w:szCs w:val="24"/>
        </w:rPr>
      </w:pPr>
      <w:r w:rsidRPr="00C93F78">
        <w:rPr>
          <w:rFonts w:ascii="Times New Roman" w:hAnsi="Times New Roman" w:cs="Times New Roman"/>
          <w:sz w:val="24"/>
          <w:szCs w:val="24"/>
        </w:rPr>
        <w:t>powiązania wymykające się wskazanym obecnie w art. 119x § 1 pkt 3 Op warunkom mogą mieć znaczenie dla oceny, czy klauzula przeciwko unikaniu opodatkowania może mieć zastosowanie.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 powyższych względów proponuje się zmodyfikować art. 119x § 1 pkt 3 Ordynacji podatkowej w ten sposób, aby jego treść odpowiadała zakresowi informacji przedkładanych przed dniem 1 stycznia 2017 r., a więc gdy udział w kapitale innego podmiotu był nie mniejszy niż 5%.</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119x § 1 pkt 6a i 6b Op proponuje się uzupełnić zakres informacji przedstawianych we wniosku o wskazanie innych niż ocena korzyści podatkowych, których osiągnięcie uzależnione jest choćby pośrednio od dokonania czynności oraz o wskazanie innych czynności dokonanych, rozpoczętych lub planowanych, od których choćby pośrednio uzależnione jest osiągnięcie korzyści podatkowej do których zastosowania będzie mieć opinia zabezpieczająca oraz wymienione w pkt 6a. Rozszerzenie zakresu przedstawianych informacji pozwoli organowi podatkowemu ocenić działania podatnika w szerszym kontekście oraz wykluczy celowość wąskiego przedstawiania przez zainteresowanego kwestii dotyczących uzyskiwanej korzyści podatkowej. Jest to szczególnie istotne ze względu na treść art. 119f § 1 Op, w myśl którego czynność to także zespół czynności. Ewentualne pominięcie przez zainteresowanych podania informacji wymaganych przez art. 119x § 1 pkt 6a i 6b powinno prowadzić do ograniczenia ochrony płynącej z uzyskanej opinii zabezpieczającej, o ile informacje te miałyby wpływ na ocenę możliwości zastosowania art. 119a § 1 Op do korzyści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w:t>
      </w:r>
      <w:r w:rsidR="00545383" w:rsidRPr="00C93F78">
        <w:rPr>
          <w:rFonts w:ascii="Times New Roman" w:hAnsi="Times New Roman" w:cs="Times New Roman"/>
          <w:sz w:val="24"/>
          <w:szCs w:val="24"/>
        </w:rPr>
        <w:t xml:space="preserve"> 3a</w:t>
      </w:r>
      <w:r w:rsidRPr="00C93F78">
        <w:rPr>
          <w:rFonts w:ascii="Times New Roman" w:hAnsi="Times New Roman" w:cs="Times New Roman"/>
          <w:sz w:val="24"/>
          <w:szCs w:val="24"/>
        </w:rPr>
        <w:t xml:space="preserve"> art. 119x Szef KAS wzywa wnoszącego wniosek o wydanie opinii zabezpieczającej do usunięcia braków, o których mowa w §</w:t>
      </w:r>
      <w:r w:rsidR="00545383"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3, w terminie 14 dni od dnia jego otrzymania.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Dotychczasowe doświadczenia Szefa KAS związane z rozpatrywaniem wniosków o wydanie opinii zabezpieczającej wskazują, że część wniosków jest przygotowywana samodzielnie przez podatników, tj. bez pośrednictwa fachowych pełnomocników. Stwierdzono, że takie wnioski są nierzadko obarczone brakami formalnymi lub zawierają nieprecyzyjne sformułowania w kluczowych aspektach. Zasadne jest zatem zawarcie w art. </w:t>
      </w:r>
      <w:r w:rsidR="002C5FBC" w:rsidRPr="00C93F78">
        <w:rPr>
          <w:rFonts w:ascii="Times New Roman" w:hAnsi="Times New Roman" w:cs="Times New Roman"/>
          <w:sz w:val="24"/>
          <w:szCs w:val="24"/>
        </w:rPr>
        <w:t>119zea</w:t>
      </w:r>
      <w:r w:rsidRPr="00C93F78">
        <w:rPr>
          <w:rFonts w:ascii="Times New Roman" w:hAnsi="Times New Roman" w:cs="Times New Roman"/>
          <w:sz w:val="24"/>
          <w:szCs w:val="24"/>
        </w:rPr>
        <w:t xml:space="preserve"> Ordynacji podatkowej upoważnienia dla ministra właściwego do spraw finansów publicznych do wydania rozporządzenia, w którym określi on wzór wniosku o wydanie opinii zabezpieczającej. Zdaniem projektodawcy, wzór taki ułatwi podatnikom, szczególnie tym działającym bez pośrednictwa fachowego pełnomocnika, prawidłowe sporządzenie wniosku o wydanie opinii zabezpieczającej, zmniejszy częstotliwość występowania przez organ podatkowy z wezwaniem do usunięcia braków formalnych wniosku, usystematyzuje informacje, które zostaną zawarte we wniosku oraz pozytywnie wpłynie na liczbę merytorycznych rozstrzygnięć tych wniosków.</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aktualnej treści art. 119y § 2 Ordynacji podatkowej dostrzec należy sprzeczność pomiędzy treścią pierwszego i drugiego zdania. Zgodnie z pierwszym zdaniem tego przepisu „</w:t>
      </w:r>
      <w:r w:rsidRPr="00C93F78">
        <w:rPr>
          <w:rFonts w:ascii="Times New Roman" w:hAnsi="Times New Roman" w:cs="Times New Roman"/>
          <w:i/>
          <w:sz w:val="24"/>
          <w:szCs w:val="24"/>
        </w:rPr>
        <w:t xml:space="preserve">Szef Krajowej Administracji Skarbowej odmawia wydania opinii zabezpieczającej, jeżeli przedstawione we wniosku okoliczności wskazują, że do czynności </w:t>
      </w:r>
      <w:r w:rsidRPr="00C93F78">
        <w:rPr>
          <w:rFonts w:ascii="Times New Roman" w:hAnsi="Times New Roman" w:cs="Times New Roman"/>
          <w:i/>
          <w:sz w:val="24"/>
          <w:szCs w:val="24"/>
          <w:u w:val="single"/>
        </w:rPr>
        <w:t>ma</w:t>
      </w:r>
      <w:r w:rsidRPr="00C93F78">
        <w:rPr>
          <w:rFonts w:ascii="Times New Roman" w:hAnsi="Times New Roman" w:cs="Times New Roman"/>
          <w:i/>
          <w:sz w:val="24"/>
          <w:szCs w:val="24"/>
        </w:rPr>
        <w:t xml:space="preserve"> zastosowanie art. 119a.</w:t>
      </w:r>
      <w:r w:rsidRPr="00C93F78">
        <w:rPr>
          <w:rFonts w:ascii="Times New Roman" w:hAnsi="Times New Roman" w:cs="Times New Roman"/>
          <w:sz w:val="24"/>
          <w:szCs w:val="24"/>
        </w:rPr>
        <w:t>” Stosownie do drugiego zdania, „</w:t>
      </w:r>
      <w:r w:rsidRPr="00C93F78">
        <w:rPr>
          <w:rFonts w:ascii="Times New Roman" w:hAnsi="Times New Roman" w:cs="Times New Roman"/>
          <w:i/>
          <w:sz w:val="24"/>
          <w:szCs w:val="24"/>
        </w:rPr>
        <w:t xml:space="preserve">Odmawiając wydania opinii zabezpieczającej, wskazuje się okoliczności świadczące o tym, że do czynności </w:t>
      </w:r>
      <w:r w:rsidRPr="00C93F78">
        <w:rPr>
          <w:rFonts w:ascii="Times New Roman" w:hAnsi="Times New Roman" w:cs="Times New Roman"/>
          <w:i/>
          <w:sz w:val="24"/>
          <w:szCs w:val="24"/>
          <w:u w:val="single"/>
        </w:rPr>
        <w:t>może mieć</w:t>
      </w:r>
      <w:r w:rsidRPr="00C93F78">
        <w:rPr>
          <w:rFonts w:ascii="Times New Roman" w:hAnsi="Times New Roman" w:cs="Times New Roman"/>
          <w:i/>
          <w:sz w:val="24"/>
          <w:szCs w:val="24"/>
        </w:rPr>
        <w:t xml:space="preserve"> zastosowanie art. 119a</w:t>
      </w:r>
      <w:r w:rsidRPr="00C93F78">
        <w:rPr>
          <w:rFonts w:ascii="Times New Roman" w:hAnsi="Times New Roman" w:cs="Times New Roman"/>
          <w:sz w:val="24"/>
          <w:szCs w:val="24"/>
        </w:rPr>
        <w:t>”. Wskazany przepis jest zatem wewnętrznie sprzeczny w kontekście treści przesłanki odmowy wydania opinii zabezpieczającej. Sprzeczności tej nie wyjaśnia także treść uzasadnienia do projektu ustawy ustanawiającej klauzulę przeciwko unikaniu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Zdaniem projektodawcy, omawiany przepis należy skorygować w ten sposób, aby pierwsze i drugie zdanie posługiwało się jednolicie tą samą przesłanką odmowy wydania opinii zabezpieczającej. Ostateczny kształt relacji art. 119y § 1 i 2 Ordynacji podatkowej powinien wskazywać, że Szef KAS:</w:t>
      </w:r>
    </w:p>
    <w:p w:rsidR="00D05D84" w:rsidRPr="00C93F78" w:rsidRDefault="00D05D84" w:rsidP="001F5C69">
      <w:pPr>
        <w:numPr>
          <w:ilvl w:val="0"/>
          <w:numId w:val="123"/>
        </w:numPr>
        <w:spacing w:after="120" w:line="360" w:lineRule="auto"/>
        <w:ind w:left="567"/>
        <w:contextualSpacing/>
        <w:jc w:val="both"/>
        <w:rPr>
          <w:rFonts w:ascii="Times New Roman" w:hAnsi="Times New Roman" w:cs="Times New Roman"/>
          <w:sz w:val="24"/>
          <w:szCs w:val="24"/>
        </w:rPr>
      </w:pPr>
      <w:r w:rsidRPr="00C93F78">
        <w:rPr>
          <w:rFonts w:ascii="Times New Roman" w:hAnsi="Times New Roman" w:cs="Times New Roman"/>
          <w:sz w:val="24"/>
          <w:szCs w:val="24"/>
        </w:rPr>
        <w:t>wydaje opinię zabezpieczającą, jeżeli w oparciu o przedstawiony wniosek poweźmie pewność, iż do ocenianej czynności nie będzie mieć zastosowania art. 119a § 1 Ordynacji podatkowej;</w:t>
      </w:r>
    </w:p>
    <w:p w:rsidR="00D05D84" w:rsidRPr="00C93F78" w:rsidRDefault="00D05D84" w:rsidP="001F5C69">
      <w:pPr>
        <w:numPr>
          <w:ilvl w:val="0"/>
          <w:numId w:val="123"/>
        </w:numPr>
        <w:spacing w:after="120" w:line="360" w:lineRule="auto"/>
        <w:ind w:left="567"/>
        <w:contextualSpacing/>
        <w:jc w:val="both"/>
        <w:rPr>
          <w:rFonts w:ascii="Times New Roman" w:hAnsi="Times New Roman" w:cs="Times New Roman"/>
          <w:sz w:val="24"/>
          <w:szCs w:val="24"/>
        </w:rPr>
      </w:pPr>
      <w:r w:rsidRPr="00C93F78">
        <w:rPr>
          <w:rFonts w:ascii="Times New Roman" w:hAnsi="Times New Roman" w:cs="Times New Roman"/>
          <w:sz w:val="24"/>
          <w:szCs w:val="24"/>
        </w:rPr>
        <w:t>odmawia wydania opinii zabezpieczającej, jeżeli okoliczności wynikające z wniosku wskazują, że do ocenianej czynności może mieć zastosowanie art. 119a § 1 Ordynacji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Podkreślenia wymaga, że postępowanie w przedmiocie wydania opinii zabezpieczającej jest w niektórych aspektach zbliżone do postępowania w zakresie wydania interpretacji indywidualnej. Organ podatkowy rozpatrujący wniosek o wydanie opinii zabezpieczającej pozbawiony jest bowiem możliwości gromadzenia dowodów i wyjaśniania stanu faktycznego sprawy. W tej sytuacji, to do obowiązku wnioskodawcy powinno należeć wszechstronne przekonanie organu podatkowego, że do ocenianej czynności nie będzie mieć zastosowania art. 119a Ordynacji podatkowej.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Ujmując niniejsze zagadnienie na skali wyjaśnić należy, że pomiędzy przekonaniem, że do czynności nie będzie mieć zastosowania art. 119a Ordynacji podatkowej (</w:t>
      </w:r>
      <w:r w:rsidRPr="00C93F78">
        <w:rPr>
          <w:rFonts w:ascii="Times New Roman" w:hAnsi="Times New Roman" w:cs="Times New Roman"/>
          <w:i/>
          <w:sz w:val="24"/>
          <w:szCs w:val="24"/>
        </w:rPr>
        <w:t>vide</w:t>
      </w:r>
      <w:r w:rsidRPr="00C93F78">
        <w:rPr>
          <w:rFonts w:ascii="Times New Roman" w:hAnsi="Times New Roman" w:cs="Times New Roman"/>
          <w:sz w:val="24"/>
          <w:szCs w:val="24"/>
        </w:rPr>
        <w:t xml:space="preserve"> art. 119y § 1 tej ustawy) a przekonaniem, że do czynności będzie mieć zastosowanie art. 119a przedmiotowej ustawy (</w:t>
      </w:r>
      <w:r w:rsidRPr="00C93F78">
        <w:rPr>
          <w:rFonts w:ascii="Times New Roman" w:hAnsi="Times New Roman" w:cs="Times New Roman"/>
          <w:i/>
          <w:sz w:val="24"/>
          <w:szCs w:val="24"/>
        </w:rPr>
        <w:t>vide</w:t>
      </w:r>
      <w:r w:rsidRPr="00C93F78">
        <w:rPr>
          <w:rFonts w:ascii="Times New Roman" w:hAnsi="Times New Roman" w:cs="Times New Roman"/>
          <w:sz w:val="24"/>
          <w:szCs w:val="24"/>
        </w:rPr>
        <w:t xml:space="preserve"> art. 119y § 2 zdanie pierwsze tej ustawy) istnieje szereg pośrednich ocen wskazujących na prawdopodobieństwo zastosowania art. 119a Ordynacji podatkowej. Można przyjąć, że z uwagi na ograniczoną możliwość wyjaśniania stanu faktycznego sprawy, ocena podjęta przez organ podatkowy będzie niekiedy plasować się w granicach prawdopodobieństwa zastosowania art. 119a do ocenianej czynności. Podjęcie takiej oceny, przy istnieniu stosownych argumentów wskazujących na jej racjonalność, powinno być warunkiem wystarczającym odmowy wydania opinii zabezpieczającej. Przyjęcie odmiennego poglądu, prowadziłoby do sytuacji, w których organ podatkowy, pomimo uznania, że do ocenianej czynności może mieć zastosowanie art. 119a, zobligowany byłby do wydania opinii zabezpieczającej, choć pogłębiona ocena tej czynności powzięta w ramach postępowania podatkowego uzasadniałaby wydanie decyzji z zastosowaniem art. 119a ustawy procesowej.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Dodać także należy, że przyjęcie, że organ podatkowy uprawniony byłby do odmowy wydania opinii zabezpieczającej wyłącznie w przypadku powzięcia przekonania, iż do czynności ma zastosowanie art. 119a Ordynacji podatkowej prowadziłoby do wniosku, że odmowa wydania opinii zabezpieczającej zastępuje w istocie, w przypadku czynności dokonanej, wynik postępowania podatkowego. Nie taka jest jednak rola tej instytucji.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Zdaniem projektodawcy, zasadne jest także ograniczenie przesłanki negatywnej odmowy wydania opinii zabezpieczającej wyłącznie do możliwości zastosowania art. 119a § 1 Ordynacji podatkowej, a nie całego artykułu. Uzasadnienie odmowy wydania opinii zabezpieczającej nie powinno wymagać od organu podatkowej przedstawienia kontrfaktycznej czynności odpowiedniej, która byłaby zastosowana w wyniku przeprowadzenia postępowania podatkowego, ponieważ nie pozwala na to zasadniczo zakres informacji zawartych we wniosku (</w:t>
      </w:r>
      <w:r w:rsidRPr="00C93F78">
        <w:rPr>
          <w:rFonts w:ascii="Times New Roman" w:hAnsi="Times New Roman" w:cs="Times New Roman"/>
          <w:i/>
          <w:sz w:val="24"/>
          <w:szCs w:val="24"/>
        </w:rPr>
        <w:t xml:space="preserve">vide </w:t>
      </w:r>
      <w:r w:rsidRPr="00C93F78">
        <w:rPr>
          <w:rFonts w:ascii="Times New Roman" w:hAnsi="Times New Roman" w:cs="Times New Roman"/>
          <w:sz w:val="24"/>
          <w:szCs w:val="24"/>
        </w:rPr>
        <w:t>art. 119x § 1 Ordynacji podatkowej). Informacje, na podstawie których organ podatkowy mógłby wskazać czynność odpowiednią dostępne byłyby do uzyskania w toku postępowania podatkowego. Różnorodność i bogactwo takich informacji umożliwiających wskazanie czynności odpowiedniej nie pozwala na precyzyjne ujęcie ich jako kolejnej informacji-przesłanki mającej zostać zawartej we wniosku o wydanie opinii zabezpieczającej.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Jak ponadto wskazano w uzasadnieniu ustawy wprowadzającej klauzulę przeciwko unikaniu opodatkowania: „</w:t>
      </w:r>
      <w:r w:rsidRPr="00C93F78">
        <w:rPr>
          <w:rFonts w:ascii="Times New Roman" w:hAnsi="Times New Roman" w:cs="Times New Roman"/>
          <w:i/>
          <w:sz w:val="24"/>
          <w:szCs w:val="24"/>
        </w:rPr>
        <w:t xml:space="preserve">(…) Opinie </w:t>
      </w:r>
      <w:r w:rsidRPr="00C93F78">
        <w:rPr>
          <w:rFonts w:ascii="Times New Roman" w:hAnsi="Times New Roman" w:cs="Times New Roman"/>
          <w:sz w:val="24"/>
          <w:szCs w:val="24"/>
        </w:rPr>
        <w:t>[zabezpieczające – dop. projektodawca]</w:t>
      </w:r>
      <w:r w:rsidRPr="00C93F78">
        <w:rPr>
          <w:rFonts w:ascii="Times New Roman" w:hAnsi="Times New Roman" w:cs="Times New Roman"/>
          <w:i/>
          <w:sz w:val="24"/>
          <w:szCs w:val="24"/>
        </w:rPr>
        <w:t xml:space="preserve"> będą zawierały ocenę, czy planowana przez podatnika konstrukcja prawna stanowi nadużycie swobody kształtowania stosunków prawnych uzasadniające zastosowanie ogólnej klauzuli przeciwko unikaniu opodatkowania. (…) Opinię taką na wniosek zainteresowanego minister wyda w razie stwierdzenia, że planowane lub dokonane przez zainteresowanego czynności, przedstawione przez niego we wniosku, nie stanowią unikania opodatkowania w rozumieniu art. 119a. (…) Przedmiotem tej opinii nie będzie ocena stanowiska wnioskodawcy, ale ocena, czy w okolicznościach przestawionych we wniosku istnieją przesłanki do zastosowania klauzuli</w:t>
      </w:r>
      <w:r w:rsidRPr="00C93F78">
        <w:rPr>
          <w:rFonts w:ascii="Times New Roman" w:hAnsi="Times New Roman" w:cs="Times New Roman"/>
          <w:sz w:val="24"/>
          <w:szCs w:val="24"/>
        </w:rPr>
        <w:t>”. Wyjaśnić w tym miejscu należy, że klauzula przeciwko unikaniu opodatkowania oraz definicja unikania opodatkowania zawarta jest w art. 119a § 1 Ordynacji podatkowej. Jeżeli zgodnie z założeniem ustawodawcy, celem opinii zabezpieczającej powinna być ocena, czy przedstawiana czynność stanowi unikanie opodatkowania w rozumieniu art. 119a § 1 Ordynacji podatkowej, to opinia taka powinna zostać zawężona do oceny możliwości zastosowania ww.</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przepisu. Proponowana zmiana ma zatem właściwe odzwierciedlenie intencji ustawodawcy.</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Przepisy art. 119y § 1 i 2 oraz art. 119za pkt 2 wymagają także w ocenie projektodawcy zmiany w zakresie uściślenia zakresu ochrony wynikającej z opinii zabezpieczającej. W treści art. 119a § 1 Op wymieniona jest konkretna czynność, której dokonanie skutkuje osiągnięciem korzyści podatkowej. Przepisy art. 119y § 1 i 2 oraz art. 119za pkt 2 Op koncentrują się natomiast jedynie na czynności. Oznacza to, że uzyskanie opinii zabezpieczającej wyłącza zastosowanie klauzuli przeciwko unikaniu opodatkowania wobec wszystkich korzyści podatkowej z niej wynikających, nawet jeśli korzyści te nie zostały wskazane we wniosku o wydanie opinii zabezpieczającej, a organ podatkowy nie mógł ocenić np. ich sprzeczności z celem i przedmiotem przepisy ustawy podatkowej. Proponowane zmiany mają na celu wyraźne powiązanie ocenianej czynności oraz konkretnej korzyści podatkowej z</w:t>
      </w:r>
      <w:r w:rsidRPr="00C93F78">
        <w:rPr>
          <w:rFonts w:ascii="Times New Roman" w:eastAsia="Calibri" w:hAnsi="Times New Roman" w:cs="Times New Roman"/>
          <w:sz w:val="24"/>
          <w:szCs w:val="24"/>
        </w:rPr>
        <w:t> </w:t>
      </w:r>
      <w:r w:rsidRPr="00C93F78">
        <w:rPr>
          <w:rFonts w:ascii="Times New Roman" w:hAnsi="Times New Roman" w:cs="Times New Roman"/>
          <w:sz w:val="24"/>
          <w:szCs w:val="24"/>
        </w:rPr>
        <w:t>niej wynikającej, którą zainteresowany powinien wskazać we wniosku.</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art. 119zb § 1 Ordynacji podatkowej, wniosek o wydanie opinii zabezpieczającej załatwia się bez zbędnej zwłoki, nie później niż w terminie 6 miesięcy od dnia otrzymania wniosku przez Szefa KAS. Przepisy rozdziału 4 działu IIIa Op nie zawierają podstawy prawnej do wydłużenia tego terminu. Takiej podstawy nie stanowi art. 119zf w związku z art. 140 Ordynacji podatkowej, gdyż termin wskazany w art. 119zb § 1 Op jest terminem o charakterze materialnym. Ponieważ w toku wydania opinii zabezpieczającej dopuszczalne jest zasięgnięcie opinii biegłego, to z uwagi na czasochłonność tej procedury w art. 119zb Op proponuje się dodać § 3, który stanowiłby wyraźną podstawę do wydłużenia materialnego terminu rozpatrzenia wniosku o wydanie opinii zabezpieczającej. Inną podstawą do przedłużenia terminu, o którym mowa w art. 119zb § 1 Op będzie złożoność sprawy, w szczególności w razie zasięgnięcia opinii biegłego, sześciomiesięczny termin, może być przedłużany nie dłużej jednak niż o 9 miesięcy łącznie, co zapewni zainteresowanym gwarancję, że wniosek o wydanie opinii zabezpieczającej zostanie załatwiony w oznaczonym czasie, tj. maksymalnie w terminie 15 miesięcy od otrzymania wniosku przez Szefa KAS.</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119zc § 1 Ordynacji podatkowej proponuje się podniesienie opłaty za rozpatrzenie wspólnego wniosku o wydanie opinii zabezpieczającej. Opłata podstawowa będzie wzrastać o 5 000 zł od piątego i każdego kolejnego zainteresowanego wnioskodawcy. Wzrost tej opłaty uzasadniony jest większym skomplikowaniem wniosków składanych przez grupy zainteresowanych podmiotów, większym nakładem środków koniecznych do rozpoznania takich wniosków, jak również – co do zasady – istotnie większą wysokością korzyści podatkowej, którą hipotetyczna opinia ma zabezpieczać. Zauważyć także należy, że gradacja opłat od rozpatrzenia wniosku uzależniona jego potencjalnym skomplikowaniem występuje już w przypadku procedury uprzednich porozumień cenowych (</w:t>
      </w:r>
      <w:r w:rsidRPr="00C93F78">
        <w:rPr>
          <w:rFonts w:ascii="Times New Roman" w:hAnsi="Times New Roman" w:cs="Times New Roman"/>
          <w:i/>
          <w:sz w:val="24"/>
          <w:szCs w:val="24"/>
        </w:rPr>
        <w:t>vide</w:t>
      </w:r>
      <w:r w:rsidRPr="00C93F78">
        <w:rPr>
          <w:rFonts w:ascii="Times New Roman" w:hAnsi="Times New Roman" w:cs="Times New Roman"/>
          <w:sz w:val="24"/>
          <w:szCs w:val="24"/>
        </w:rPr>
        <w:t xml:space="preserve"> art. 20m § 2 Ordynacji podatkowej). Proponowana zmiana nie powinna mieć wpływu na sytuację typowych podatników, którzy nie przeprowadzają czynności gospodarczych w większych grupach. Poza zakresem proponowanej zmiany zostaną także wnioskodawcy wspólnie ubiegający się o wydanie opinii zabezpieczającej, jeżeli ich liczba nie przekracza czterech.</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aktualnym stanie prawnym, treść opinii zabezpieczających oraz odmów wydania opinii zabezpieczających, po usunięciu danych identyfikujących wnioskodawcę i inne podmioty, publikowana jest w Biuletynie Informacji Publicznej urzędu obsługującego ministra właściwego do spraw finansów publicznych. Choć ze zrozumieniem należy podejść do potrzeby informowania opinii publicznej o wynikach postępowań w zakresie wydawania opinii zabezpieczających i powodach podjętych rozstrzygnięć, to jednak obowiązek publikowania treści rozstrzygnięć organu podatkowego wymaga zdaniem projektodawcy korekty.</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Jak wskazano w uzasadnieniu do ustawy wprowadzającej klauzulę przeciwko unikaniu opodatkowania, procedura wydawania opinii zabezpieczającej obejmuje cechy procedury zawierania porozumień w zakresie stosowania cen transferowych określonej w dziale IIa Ordynacji podatkowej. To, co łączy te procedury to przede wszystkim fakt, że dotyczą one oceny czynności, które dopiero są planowane (w przypadku opinii zabezpieczających to jeden z wariantów czynności), zakres informacji przekazywanych organowi podatkowemu jest dość szeroki, przekazywane informacje mogą być dla zainteresowanego podmiotu istotne z biznesowego punktu widzenia, zaś w interesie zainteresowanego podmiotu może być zachowanie niektórych lub wszystkich informacji w tajemnicy przed konkurentami rynkowymi. Można też przyjąć, że zasadniczo w obu procedurach korzystniejsze dla zainteresowanego podmiotu jest udzielenie organowi podatkowemu wszelkich wyjaśnień w zakresie procedowanego wniosku.</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Procedura zawierania uprzednich porozumień cenowych w szczególny sposób chroni informacje przekazywane przez zainteresowany porozumieniem podmiot. Decyzje w zakresie stosowania cen transferowych nie podlegają publikacji. W stosunku do informacji uzyskanych przez organ podatkowy w toku postępowania określonego w dziale IIa Ordynacji podatkowej pogłębione zostają rygory związane z zachowaniem tajemnicy skarbowej (</w:t>
      </w:r>
      <w:r w:rsidRPr="00C93F78">
        <w:rPr>
          <w:rFonts w:ascii="Times New Roman" w:hAnsi="Times New Roman" w:cs="Times New Roman"/>
          <w:i/>
          <w:sz w:val="24"/>
          <w:szCs w:val="24"/>
        </w:rPr>
        <w:t xml:space="preserve">vide </w:t>
      </w:r>
      <w:r w:rsidRPr="00C93F78">
        <w:rPr>
          <w:rFonts w:ascii="Times New Roman" w:hAnsi="Times New Roman" w:cs="Times New Roman"/>
          <w:sz w:val="24"/>
          <w:szCs w:val="24"/>
        </w:rPr>
        <w:t>art. 295a, art. 296 § 1 pkt 3 oraz art. 297b Ordynacji podatkowej). Celem omawianych przepisów jest zachęcenie, poprzez zapewnienie podwyższonych standardów tajemnicy skarbowej, podmiotów do występowania z wnioskami o zawarcie porozumienia w zakresie stosowania cen transakcyjnych.</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tym miejscu uznać należy, że regulacja zobowiązująca Szefa KAS do publikowania treści opinii zabezpieczających lub odmów wydania opinii zabezpieczających po usunięciu jedynie danych identyfikujących wnioskodawcę i inne podmioty może zniechęcać potencjalnych zainteresowanych do występowania z wnioskami o wydanie opinii zabezpieczającej. W treści tych wniosków, a w konsekwencji w treści aktów wydanych przez Szefa KAS mogą znajdować się bowiem informacje niekorzystne dla zainteresowanych podmiotów, dotyczące planowanych działań lub z innego powodu utrzymywane w tajemnicy przed konkurencyjnymi podmiotami. Usunięcie natomiast danych identyfikacyjnych może natomiast nie stanowić dla konkurencyjnych podmiotów lub ekspertów biznesowych istotnej bariery chroniącej wnioskodawców przed identyfikacją. Przedmiotowa regulacja wymaga zatem zdaniem projektodawcy zmiany, ponieważ utrudnia prowadzenie działalności gospodarczej oraz zwiększenie przewidywalności działania Krajowej Administracji Skarbowej w obszarze, który jest przecież temu zadaniu dedykowany.</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 powyższych względów po art. 119zd proponuje się dodanie art. 119zda, na podstawie którego w Biuletynie Informacji Publicznej zamieszczane byłyby informacje odnoszące się do wydania opinii zabezpieczającej lub odmowy wydania opinii zabezpieczającej. Informacje te zawierałyby zwięzły opis poddanej pod opinię Szefa KAS czynności oraz wyjaśnienie powodów podjętego rozstrzygnięcia. Informacje nie mogłyby natomiast zawierać danych identyfikujących lub mogących zidentyfikować wnioskodawcę lub inne podmioty wymienione w treści aktu. Informacja nie zawierałyby także danych potencjalnie wrażliwych dla zainteresowanych podmiotów, np. wymienionych w art. 119x § 1 pkt 4 i 5 Ordynacji podatkowej. Dodatkowo proponuje się objęcie akt postępowania w sprawie wydania opinii zabezpieczającej tajemnicą skarbową.</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myśl art. 208 § 1 Ordynacji podatkowej, gdy postępowanie z jakiejkolwiek przyczyny stało się bezprzedmiotowe, w szczególności w razie przedawnienia zobowiązania podatkowego, organ podatkowy wydaje decyzję o umorzeniu postępowania. Przepis ten uprawnia organ podatkowy do umorzenia postępowania w przypadku wystąpienia jakiejkolwiek przyczyn powodującej bezprzedmiotowość postępowania. Przyczyny te nie były </w:t>
      </w:r>
      <w:r w:rsidRPr="00C93F78">
        <w:rPr>
          <w:rFonts w:ascii="Times New Roman" w:hAnsi="Times New Roman" w:cs="Times New Roman"/>
          <w:i/>
          <w:sz w:val="24"/>
          <w:szCs w:val="24"/>
        </w:rPr>
        <w:t xml:space="preserve">a priori </w:t>
      </w:r>
      <w:r w:rsidRPr="00C93F78">
        <w:rPr>
          <w:rFonts w:ascii="Times New Roman" w:hAnsi="Times New Roman" w:cs="Times New Roman"/>
          <w:sz w:val="24"/>
          <w:szCs w:val="24"/>
        </w:rPr>
        <w:t>znane ustawodawcy, który nie wymienił ich enumeratywnie, gdyż – jak można sądzić – ich katalog jest otwarty. W ocenie projektodawcy, art. 119ze Ordynacji podatkowej niezasadnie zawężą możliwość zastosowania art. 208 tej ustawy wyłącznie do przypadku wycofania wniosku o wydanie opinii zabezpieczającej. Regulacja taka nie uwzględnia takich sytuacji jak śmierć wnioskodawcy, rozwiązanie osoby prawnej będącej wnioskodawcą czy też uchylenie przepisów, na podstawie których wnioskodawca planował uzyskać korzyść podatkową. Z tego względu proponuje się zmianę art. 119ze w ten sposób, aby organ podatkowy miał możliwość umorzenia postępowania w sprawie wydania opinii zabezpieczającej w każdej sytuacji, w której postępowanie to stało się bezprzedmiotowe. Dodatkowo należy jednak doprecyzować, że jedną z sytuacji skutkujących bezprzedmiotowością postępowania w sprawie wydania opinii zabezpieczającej jest wcześniejsze wydanie decyzji z zastosowaniem art. 119a w zakresie objętym wnioskiem o wydanie opinii. Ustawodawca w art. 119z Ordynacji podatkowej przyjął bowiem, że złożenie wniosku o wydanie opinii zabezpieczającej może skutkować równoległym prowadzeniem kontroli podatkowej, kontroli celno-skarbowej lub postępowania podatkowego.</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119zf Ordynacji podatkowej proponuję się przeprowadzenie następujących zmian:</w:t>
      </w:r>
    </w:p>
    <w:p w:rsidR="00D05D84" w:rsidRPr="00C93F78" w:rsidRDefault="00D05D84" w:rsidP="00C93F78">
      <w:pPr>
        <w:numPr>
          <w:ilvl w:val="0"/>
          <w:numId w:val="19"/>
        </w:numPr>
        <w:spacing w:after="120" w:line="360" w:lineRule="auto"/>
        <w:ind w:left="1134" w:hanging="425"/>
        <w:contextualSpacing/>
        <w:jc w:val="both"/>
        <w:rPr>
          <w:rFonts w:ascii="Times New Roman" w:hAnsi="Times New Roman" w:cs="Times New Roman"/>
          <w:sz w:val="24"/>
          <w:szCs w:val="24"/>
        </w:rPr>
      </w:pPr>
      <w:r w:rsidRPr="00C93F78">
        <w:rPr>
          <w:rFonts w:ascii="Times New Roman" w:hAnsi="Times New Roman" w:cs="Times New Roman"/>
          <w:sz w:val="24"/>
          <w:szCs w:val="24"/>
        </w:rPr>
        <w:t>usunięcie odesłania do art. 14i § 3 – zmiana jest wynikiem wprowadzenia art. 119zda;</w:t>
      </w:r>
    </w:p>
    <w:p w:rsidR="00D05D84" w:rsidRPr="00C93F78" w:rsidRDefault="00D05D84" w:rsidP="00C93F78">
      <w:pPr>
        <w:numPr>
          <w:ilvl w:val="0"/>
          <w:numId w:val="19"/>
        </w:numPr>
        <w:spacing w:after="120" w:line="360" w:lineRule="auto"/>
        <w:ind w:left="1134" w:hanging="425"/>
        <w:contextualSpacing/>
        <w:jc w:val="both"/>
        <w:rPr>
          <w:rFonts w:ascii="Times New Roman" w:hAnsi="Times New Roman" w:cs="Times New Roman"/>
          <w:sz w:val="24"/>
          <w:szCs w:val="24"/>
        </w:rPr>
      </w:pPr>
      <w:r w:rsidRPr="00C93F78">
        <w:rPr>
          <w:rFonts w:ascii="Times New Roman" w:hAnsi="Times New Roman" w:cs="Times New Roman"/>
          <w:sz w:val="24"/>
          <w:szCs w:val="24"/>
        </w:rPr>
        <w:t>dodaniu odesłania do art. 14r § 2 i 3 – zmiana umożliwi sprawniejszą obsługę wspólnych wniosków o wydanie opinii zabezpieczającej;</w:t>
      </w:r>
    </w:p>
    <w:p w:rsidR="00D05D84" w:rsidRPr="00C93F78" w:rsidRDefault="00D05D84" w:rsidP="00C93F78">
      <w:pPr>
        <w:numPr>
          <w:ilvl w:val="0"/>
          <w:numId w:val="19"/>
        </w:numPr>
        <w:spacing w:after="120" w:line="360" w:lineRule="auto"/>
        <w:ind w:left="1134" w:hanging="425"/>
        <w:contextualSpacing/>
        <w:jc w:val="both"/>
        <w:rPr>
          <w:rFonts w:ascii="Times New Roman" w:hAnsi="Times New Roman" w:cs="Times New Roman"/>
          <w:sz w:val="24"/>
          <w:szCs w:val="24"/>
        </w:rPr>
      </w:pPr>
      <w:r w:rsidRPr="00C93F78">
        <w:rPr>
          <w:rFonts w:ascii="Times New Roman" w:hAnsi="Times New Roman" w:cs="Times New Roman"/>
          <w:sz w:val="24"/>
          <w:szCs w:val="24"/>
        </w:rPr>
        <w:t>usunięciu odesłania do art. 123 – zasada wyrażona w tym przepisie nie ma, w ocenie projektodawcy, zastosowania w przypadku tego postępowania;</w:t>
      </w:r>
    </w:p>
    <w:p w:rsidR="00D05D84" w:rsidRPr="00C93F78" w:rsidRDefault="00D05D84" w:rsidP="00C93F78">
      <w:pPr>
        <w:numPr>
          <w:ilvl w:val="0"/>
          <w:numId w:val="19"/>
        </w:numPr>
        <w:spacing w:after="120" w:line="360" w:lineRule="auto"/>
        <w:ind w:left="1134" w:hanging="425"/>
        <w:contextualSpacing/>
        <w:jc w:val="both"/>
        <w:rPr>
          <w:rFonts w:ascii="Times New Roman" w:hAnsi="Times New Roman" w:cs="Times New Roman"/>
          <w:sz w:val="24"/>
          <w:szCs w:val="24"/>
        </w:rPr>
      </w:pPr>
      <w:r w:rsidRPr="00C93F78">
        <w:rPr>
          <w:rFonts w:ascii="Times New Roman" w:hAnsi="Times New Roman" w:cs="Times New Roman"/>
          <w:sz w:val="24"/>
          <w:szCs w:val="24"/>
        </w:rPr>
        <w:t>dodaniu odesłania do art. 187 § 3 – w ocenie projektodawcy zasadne jest, aby organ podatkowy mógł oprzeć swoją ocenę również na faktach powszechnie znanych lub znanych z urzędu.</w:t>
      </w:r>
    </w:p>
    <w:p w:rsidR="00D05D84" w:rsidRPr="00C93F78" w:rsidRDefault="00D05D84" w:rsidP="00C93F78">
      <w:pPr>
        <w:pStyle w:val="Nagwek2"/>
        <w:spacing w:line="360" w:lineRule="auto"/>
        <w:jc w:val="both"/>
        <w:rPr>
          <w:szCs w:val="24"/>
        </w:rPr>
      </w:pPr>
      <w:r w:rsidRPr="00C93F78">
        <w:rPr>
          <w:szCs w:val="24"/>
        </w:rPr>
        <w:t>Postępowanie w zakresie cofnięcia skutków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myśl przepisów art. 119a-119f Ordynacji podatkowej, jedynie organ podatkowy jest władny, w drodze decyzji, zastosować klauzulę przeciwko unikaniu opodatkowania (</w:t>
      </w:r>
      <w:r w:rsidRPr="00C93F78">
        <w:rPr>
          <w:rFonts w:ascii="Times New Roman" w:hAnsi="Times New Roman" w:cs="Times New Roman"/>
          <w:i/>
          <w:sz w:val="24"/>
          <w:szCs w:val="24"/>
        </w:rPr>
        <w:t>vide</w:t>
      </w:r>
      <w:r w:rsidRPr="00C93F78">
        <w:rPr>
          <w:rFonts w:ascii="Times New Roman" w:hAnsi="Times New Roman" w:cs="Times New Roman"/>
          <w:sz w:val="24"/>
          <w:szCs w:val="24"/>
        </w:rPr>
        <w:t xml:space="preserve"> m.in. wyrok Wojewódzkiego Sądu Administracyjnego w Szczecinie z dnia 31.05.2017 r., sygn.. akt I SA/Sz 216/17). Od tej zasady ustawodawca wprowadził dwa wyjątki polegające na możliwości korekty deklaracji przez stronę postępowania prowadzonego na podstawie art. 119g Ordynacji podatkowej lub przez podmiot uczestniczący w czynności prowadzącej do unikania opodatkowania (art. 119j Op). Wyjątki te są jednak ściśle powiązane z działaniami organu podatkowego prowadzącego postępowanie podatkowe na podstawie art. 119g Ordynacji podatkowej i są pochodną treści postanowienia wydanego na podstawie art. 200 § 3 Ordynacji podatkowej lub decyzji, w której zastosowano klauzulę przeciwko unikaniu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Choć podatnicy mają teoretyczne prawo do złożenia deklaracji lub korekty deklaracji, w której uwzględnią taki stan rzeczy, jaki zaistniałby gdyby nie przeprowadzono czynności prowadzącej do unikania opodatkowania, to jednak działanie takie może zostać uznane za niewłaściwe z systemowego punktu widzenia i które nie powinno być akceptowane przez organy podatkowe. Z wyłączeniem przypadków, o których mowa w poprzednim akapicie, treść deklaracji podatkowych odzwierciedla bowiem skutki podatkowe wynikające z rzeczywistego stanu rzeczy, a nie z hipotetycznego stanu, który zaistniałby gdyby dokonano czynności odpowiedniej, krytycznej czynności nie dokonano lub przepis prawa nie miał zastosowania (art. 119a § 2-6 Op). Przyjęcie innego poglądu prowadziłoby do stanu, w którym organ podatkowy, inny niż Szef KAS, zobligowany byłby do weryfikowania deklaracji podatkowej nieodpowiadającej rzeczywistym zdarzeniom przy braku informacji na temat przyjętej przez podatnika czynności odpowiedniej. Co więcej, w przypadku wykazania przez podatnika podatku dochodowego wyższych przychodów wynikających z dokonania hipotetycznej czynności odpowiedniej, organ podatkowy zobligowany jest w obecnym stanie prawnym, zgodnie z art. 21 § 3 Ordynacji podatkowej, do określenia – w drodze postępowania podatkowego – wysokości przychodów, a w konsekwencji wysokości zobowiązania podatkowego (straty podatkowej) w rzeczywistej wysokości.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Zauważenia także wymaga, że ustawodawca przyznał prawo do korekty deklaracji podmiotowi, o którym mowa w art. 119j Ordynacji podatkowej, w przypadku określenia czynności odpowiedniej w toku postępowania podatkowego. </w:t>
      </w:r>
      <w:r w:rsidRPr="00C93F78">
        <w:rPr>
          <w:rFonts w:ascii="Times New Roman" w:hAnsi="Times New Roman" w:cs="Times New Roman"/>
          <w:i/>
          <w:sz w:val="24"/>
          <w:szCs w:val="24"/>
        </w:rPr>
        <w:t>A</w:t>
      </w:r>
      <w:r w:rsidRPr="00C93F78">
        <w:rPr>
          <w:rFonts w:ascii="Times New Roman" w:hAnsi="Times New Roman" w:cs="Times New Roman"/>
          <w:sz w:val="24"/>
          <w:szCs w:val="24"/>
        </w:rPr>
        <w:t> </w:t>
      </w:r>
      <w:r w:rsidRPr="00C93F78">
        <w:rPr>
          <w:rFonts w:ascii="Times New Roman" w:hAnsi="Times New Roman" w:cs="Times New Roman"/>
          <w:i/>
          <w:sz w:val="24"/>
          <w:szCs w:val="24"/>
        </w:rPr>
        <w:t xml:space="preserve">contrario </w:t>
      </w:r>
      <w:r w:rsidRPr="00C93F78">
        <w:rPr>
          <w:rFonts w:ascii="Times New Roman" w:hAnsi="Times New Roman" w:cs="Times New Roman"/>
          <w:sz w:val="24"/>
          <w:szCs w:val="24"/>
        </w:rPr>
        <w:t>należy przyjąć, że analogiczne prawo dla tego podmiotu nie powstaje, jeżeli korekta skutków unikania opodatkowania następowałaby poza dedykowanym postępowaniem podatkowym.</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ocenie projektodawcy, podatnicy i płatnicy powinni mieć zagwarantowaną możliwość wycofania się ze skutków unikania opodatkowania, a w szczególności możliwość wycofania się ze schematów unikania opodatkowania dających korzyści podatkowe przez wiele lat. Zaletą tej drogi korygowania rozliczeń podatkowych będzie ograniczenie negatywnych skutków unikania opodatkowania, które zaistniałyby w przypadku wydania decyzji z zastosowaniem klauzuli przeciwko unikaniu opodatkowania (odsetki od zaległości podatkowych, wymiar dodatkowego zobowiązania podatkowego). Zdaniem projektodawcy, obecny kształt przepisów, według których, cofnięcie skutków unikania opodatkowania może nastąpić wyłącznie w wyniku przeprowadzenia postępowania podatkowego może godzić w prawa konstytucyjne podatników.</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Uwzględniając, że zastosowanie klauzuli przeciwko unikaniu opodatkowania wymaga określenia skutków podatkowych na podstawie takiego stanu rzeczy, który zaistniałby gdyby dokonano czynności odpowiedniej albo stanu prawnego jaki zaistniałby gdyby dany przepis ustawy podatkowej nie miał zastosowania oraz że złożona deklaracja lub korekta deklaracji powinna – w razie potrzeby i stosownie do okoliczności – uprawniać do złożenia korekty deklaracji przez inne podmioty uczestniczące w czynności prowadzącej do unikania opodatkowania, proponuje się wprowadzenie odrębnej procedury cofnięcia skutków unikania opodatkowania poza postępowaniem podatkowym.</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Procedura cofnięcia skutków unikania opodatkowania, zawarta w proponowanym rozdziale 5 działu IIIa, będzie dwustopniowa i polegać będzie na:</w:t>
      </w:r>
    </w:p>
    <w:p w:rsidR="00D05D84" w:rsidRPr="00C93F78" w:rsidRDefault="00D05D84" w:rsidP="00C93F78">
      <w:pPr>
        <w:numPr>
          <w:ilvl w:val="0"/>
          <w:numId w:val="22"/>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przeprowadzeniu postępowania, w ramach którego Szef KAS oraz podmioty zainteresowane cofnięciem skutków unikania opodatkowania uzgodnią wysokość uzyskanej w wyniku unikania opodatkowania korzyści podatkowej, czynność odpowiednią oraz skutki przyjętej czynności odpowiedniej (względnie: osiągnięcie korzyści podatkowej było jedynym celem podjęcia czynności skutkującej unikaniem opodatkowania i skutki podatkowe takiego stanu rzeczy) lub skutki stanu prawnego, jaki zaistniałby gdyby uzgodniony przepis prawa nie miał zastosowania, co znajdzie odzwierciedlenie w decyzji określającej warunki cofnięcia unikania opodatkowania, zwaną dalej w tym punkcie „decyzją”,</w:t>
      </w:r>
    </w:p>
    <w:p w:rsidR="00D05D84" w:rsidRPr="00C93F78" w:rsidRDefault="00D05D84" w:rsidP="00C93F78">
      <w:pPr>
        <w:numPr>
          <w:ilvl w:val="0"/>
          <w:numId w:val="22"/>
        </w:numPr>
        <w:spacing w:after="120" w:line="360" w:lineRule="auto"/>
        <w:ind w:left="1066" w:hanging="357"/>
        <w:jc w:val="both"/>
        <w:rPr>
          <w:rFonts w:ascii="Times New Roman" w:hAnsi="Times New Roman" w:cs="Times New Roman"/>
          <w:sz w:val="24"/>
          <w:szCs w:val="24"/>
        </w:rPr>
      </w:pPr>
      <w:r w:rsidRPr="00C93F78">
        <w:rPr>
          <w:rFonts w:ascii="Times New Roman" w:hAnsi="Times New Roman" w:cs="Times New Roman"/>
          <w:sz w:val="24"/>
          <w:szCs w:val="24"/>
        </w:rPr>
        <w:t>złożeniu przez podmioty zainteresowane korekty deklaracji na podstawie treści decyzji wydanej w postępowaniu określonym w pkt 1.</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Podkreślenia wymaga, że rolą tej procedury nie będzie ustalenie, czy przedstawiona we wniosku czynność, w wyniku której uzyskano korzyść podatkową, stanowi unikanie opodatkowania w rozumieniu art. 119a § 1 Ordynacji podatkowej. Taka ocena może być dokonana w toku postępowania o wydanie opinii zabezpieczającej.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Złożenie wniosku będzie równać się przyznaniu przez zainteresowanego dla potrzeb prowadzonego postępowania, że dokonał czynności prowadzącej do unikania opodatkowania (art. 119zfe § 2) i wyrażeniu woli cofnięcia jej skutków związanych z unikaniem opodatkowania. Przyznanie takie może w szczególności nastąpić po przeprowadzeniu badania sprawozdania finansowego lub audytu, lub też po publikacji ostrzeżeń w zakresie możliwego zastosowania klauzuli przeciwko unikaniu opodatkowania przez ministra właściwego do spraw finansów publicznych lub Szefa KAS. </w:t>
      </w:r>
      <w:r w:rsidR="00E55970" w:rsidRPr="00C93F78">
        <w:rPr>
          <w:rFonts w:ascii="Times New Roman" w:hAnsi="Times New Roman" w:cs="Times New Roman"/>
          <w:sz w:val="24"/>
          <w:szCs w:val="24"/>
        </w:rPr>
        <w:t>W toku postępowania o wydanie decyzji określającej warunki cofnięcia skutków unikania opodatkowania organ podatkowy przyjmie, że odnośnie wskazanej czynności zaistniały przesłanki określone w art. 119a § 1 Ordynacji podatkowej. W decyzji wydanej na podstawie art. 119zfi § 1 Ordynacji podatkowej będzie mógł jednak wskazać, że – wbrew stanowisku podatnika – nie doszło do osiągnięcia przez niego korzyści podatkowej.</w:t>
      </w:r>
      <w:r w:rsidRPr="00C93F78">
        <w:rPr>
          <w:rFonts w:ascii="Times New Roman" w:hAnsi="Times New Roman" w:cs="Times New Roman"/>
          <w:sz w:val="24"/>
          <w:szCs w:val="24"/>
        </w:rPr>
        <w:t xml:space="preserve"> Z uwagi na doniosłość wniosku</w:t>
      </w:r>
      <w:r w:rsidR="00E55970" w:rsidRPr="00C93F78">
        <w:rPr>
          <w:rFonts w:ascii="Times New Roman" w:hAnsi="Times New Roman" w:cs="Times New Roman"/>
          <w:sz w:val="24"/>
          <w:szCs w:val="24"/>
        </w:rPr>
        <w:t xml:space="preserve"> oraz przyjęte w art. 119zfe § 2 Op domniemania</w:t>
      </w:r>
      <w:r w:rsidRPr="00C93F78">
        <w:rPr>
          <w:rFonts w:ascii="Times New Roman" w:hAnsi="Times New Roman" w:cs="Times New Roman"/>
          <w:sz w:val="24"/>
          <w:szCs w:val="24"/>
        </w:rPr>
        <w:t xml:space="preserve"> proponuje się, aby jego skuteczne złożenie obarczone było tzw. przymusem adwokacko-radcowskim (art. 119zfd § 3).</w:t>
      </w:r>
      <w:r w:rsidR="004E5AEB" w:rsidRPr="00C93F78">
        <w:rPr>
          <w:rFonts w:ascii="Times New Roman" w:hAnsi="Times New Roman" w:cs="Times New Roman"/>
          <w:sz w:val="24"/>
          <w:szCs w:val="24"/>
        </w:rPr>
        <w:t xml:space="preserve"> Wprowadzenie trzech domniemań w treści projektowanego art. 119zfe § 2 Op wynika z faktu, że przepisy te dotyczą sytuacji, w której sam zainteresowany złożył wniosek o cofnięcie skutków unikania opodatkowania. Rozwiązanie to powinno wydatnie przyczynić do poprawy ekonomiki postępowań w sprawie cofnięcia unikania opodatkowania. Co do zasady, w sytuacji, w której zainteresowany złożył stosowny wniosek o cofnięcie skutków unikania opodatkowania, nie wydaje się celowe spowalnianie cofnięcia tych skutków. Z drugiej jednak strony, nie można wykluczyć ryzyka nieprawidłowego korzystania przez zainteresowanych ze stworzonej możliwości. W tym celu domniemania przewidziane w analizowanych przepisach mogą zostać obalone przez Szefa KAS.</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Stronami postępowania określonego w rozdziale 5 działu IIIa będą podmioty uczestniczące w czynności prowadzącej do unikania opodatkowania (art. 119zfa § 2 Op). Wniosek o wszczęcie postępowania w przedmiocie określenia warunków cofnięcia unikania opodatkowania będzie mógł dotyczyć już uzyskanej korzyści podatkowej (§ 3). Postępowanie to nie będzie mogło jednak zostać wszczęte, jeżeli określona we wniosku korzyść podatkowa będzie w momencie jego złożenia przedmiotem kontroli podatkowej, kontroli celno-skarbowej lub postępowania podatkowego, gdy stanowisko zainteresowanego będzie wskazywać na konieczność wydania decyzji na podstawie art. 119zn, lub gdy stanowisko zawarte we wniosku wskazuje na zasadność wydania decyzji na podstawie art. 119zfi § 1 lub 2 (art. 119zfb). Celem rozwiązania zawartego w art. 119zfb pkt 2 jest wyłączenie z rozpatrywania takich wniosków, w których zainteresowani mogliby dowodzić, że mimo wypełnienia przesłanki z art. 119a § 1 Op nie doszło do unikania opodatkowania lub gdy unikanie opodatkowania może zostać cofnięte poprzez właściwe zastosowanie innych przepisów prawa podatkowego. Projektowane postępowanie nie powinno być traktowane jako szczególna forma uzyskania opinii zabezpieczającej, zaś regulacja zawarta w art. 119zfb pkt 2 ma zapobiegać ewentualnym nadużyciom.</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Mimo pewnych odmienności pomiędzy przepisami przeciwdziałającym unikaniu opodatkowania, proponowana procedura powinna mieć odpowiednie zastosowanie również do skutków unikania opodatkowania wynikających z opodatkowania środków ograniczających umowne korzyści (art. 119zfa § 5).</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 wzór procedury zawierania porozumień w sprawach ustalenia cen transakcyjnych, zainteresowane wydaniem decyzji podmioty będą mogły zwrócić się do organu podatkowego o wyjaśnienie wszelkich wątpliwości dotyczących wydawania decyzji w indywidualnej sprawie, w szczególności celowości jej wydania, zakresu niezbędnych informacji, trybu i przypuszczalnego terminu zakończenia postępowania (art. 119zfc § 1 Op). Wątpliwości te mogą dotyczyć zarówno przebiegu procedury wydawania decyzji określającej warunki cofnięcia unikania opodatkowania, jak i szans na uzyskanie satysfakcjonującego wnioskodawcę wyniku tej procedury. Regulacja ta jest przejawem nasilenia cech koncyliacyjnych tej szczególnej procedury. Ma też zapobiegać występowaniu przez zainteresowanych z wnioskiem o konsultację, gdy w sposób oczywisty wniosek ten nie może doprowadzić do pożądanego przezeń rezultatu.</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art. 119zfc § 2 ustanowiono zakaz dowodowy, dotyczący wykorzystania informacji uzyskanych w ramach tzw. spotkań wstępnych, o których mowa w § 1. Pogłębienie zaufania pomiędzy zainteresowanym podmiotem a organem podatkowym jest szczególnie istotne, gdyż złożenie przez zainteresowanego wniosku o wydanie decyzji będzie stanowić jednocześnie – jak już wskazano wyżej – przyznanie się przez niego do tego, że określona we wniosku czynność stanowiła unikanie opodatkowania i zastępować będzie rozstrzygnięcie organu podatkowego w zakresie </w:t>
      </w:r>
      <w:r w:rsidRPr="00C93F78">
        <w:rPr>
          <w:rFonts w:ascii="Times New Roman" w:hAnsi="Times New Roman" w:cs="Times New Roman"/>
          <w:i/>
          <w:sz w:val="24"/>
          <w:szCs w:val="24"/>
        </w:rPr>
        <w:t>stricte</w:t>
      </w:r>
      <w:r w:rsidRPr="00C93F78">
        <w:rPr>
          <w:rFonts w:ascii="Times New Roman" w:hAnsi="Times New Roman" w:cs="Times New Roman"/>
          <w:sz w:val="24"/>
          <w:szCs w:val="24"/>
        </w:rPr>
        <w:t xml:space="preserve"> art. 119a § 1 Op. Organ podatkowy będzie jednak mógł korzystać z tych dokumentów i informacji, jeśli uzyska je poprzez inne czynności podjęte w ramach odrębnych procedur, w tym w toku postępowania o wydanie decyzji.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119zfd § 1 Op określono zakres informacji, które należy zawrzeć we wniosku o wydanie decyzji. Składają się na niego:</w:t>
      </w:r>
    </w:p>
    <w:p w:rsidR="00D05D84" w:rsidRPr="00C93F78" w:rsidRDefault="00D05D84" w:rsidP="00C93F78">
      <w:pPr>
        <w:numPr>
          <w:ilvl w:val="0"/>
          <w:numId w:val="82"/>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ab/>
        <w:t>stan faktyczny składający się z:</w:t>
      </w:r>
    </w:p>
    <w:p w:rsidR="00D05D84" w:rsidRPr="00C93F78" w:rsidRDefault="00D05D84" w:rsidP="00C93F78">
      <w:pPr>
        <w:numPr>
          <w:ilvl w:val="1"/>
          <w:numId w:val="56"/>
        </w:numPr>
        <w:spacing w:after="120" w:line="360" w:lineRule="auto"/>
        <w:jc w:val="both"/>
        <w:rPr>
          <w:rFonts w:ascii="Times New Roman" w:hAnsi="Times New Roman" w:cs="Times New Roman"/>
          <w:bCs/>
          <w:sz w:val="24"/>
          <w:szCs w:val="24"/>
        </w:rPr>
      </w:pPr>
      <w:r w:rsidRPr="00C93F78">
        <w:rPr>
          <w:rFonts w:ascii="Times New Roman" w:hAnsi="Times New Roman" w:cs="Times New Roman"/>
          <w:sz w:val="24"/>
          <w:szCs w:val="24"/>
        </w:rPr>
        <w:t>wyczerpującego opisu dokonanej czynności prowadzącej do unikania</w:t>
      </w:r>
      <w:r w:rsidRPr="00C93F78">
        <w:rPr>
          <w:rFonts w:ascii="Times New Roman" w:hAnsi="Times New Roman" w:cs="Times New Roman"/>
          <w:bCs/>
          <w:sz w:val="24"/>
          <w:szCs w:val="24"/>
        </w:rPr>
        <w:t xml:space="preserve"> opodatkowania;</w:t>
      </w:r>
    </w:p>
    <w:p w:rsidR="00DC2B5E" w:rsidRPr="00C93F78" w:rsidRDefault="00D05D84" w:rsidP="00C93F78">
      <w:pPr>
        <w:numPr>
          <w:ilvl w:val="1"/>
          <w:numId w:val="56"/>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 xml:space="preserve">wskazania podmiotów biorących udział czynności określonej w lit. a wraz ze wskazaniem występujących pomiędzy podmiotami </w:t>
      </w:r>
      <w:r w:rsidR="00DC2B5E" w:rsidRPr="00C93F78">
        <w:rPr>
          <w:rFonts w:ascii="Times New Roman" w:hAnsi="Times New Roman" w:cs="Times New Roman"/>
          <w:bCs/>
          <w:sz w:val="24"/>
          <w:szCs w:val="24"/>
        </w:rPr>
        <w:t xml:space="preserve">powiązań w rozumieniu art. 23m ust. 1 pkt 5 ustawy z dnia 26 lipca 1991 r. o podatku dochodowym od osób fizycznych i art. 11a ust. 1 pkt 5 ustawy z dnia 15 lutego 1992 r. o podatku dochodowym od osób prawnych, </w:t>
      </w:r>
    </w:p>
    <w:p w:rsidR="00D05D84" w:rsidRPr="00C93F78" w:rsidRDefault="00D05D84" w:rsidP="00C93F78">
      <w:pPr>
        <w:numPr>
          <w:ilvl w:val="1"/>
          <w:numId w:val="56"/>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określenia skutków podatkowych będących rezultatem czynności określonej w lit. a, w tym korzyści podatkowej, o której mowa w art. 119a § 1, wraz z przedstawieniem sposobu i metody wyliczenia tych skutków;</w:t>
      </w:r>
    </w:p>
    <w:p w:rsidR="00D05D84" w:rsidRPr="00C93F78" w:rsidRDefault="00D05D84" w:rsidP="00C93F78">
      <w:pPr>
        <w:numPr>
          <w:ilvl w:val="0"/>
          <w:numId w:val="82"/>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 xml:space="preserve"> w zależności od okoliczności:</w:t>
      </w:r>
    </w:p>
    <w:p w:rsidR="00D05D84" w:rsidRPr="00C93F78" w:rsidRDefault="00D05D84" w:rsidP="00C93F78">
      <w:pPr>
        <w:numPr>
          <w:ilvl w:val="1"/>
          <w:numId w:val="57"/>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wyczerpujący opis przyjętej czynności odpowiedniej w rozumieniu art. 119a § 3,</w:t>
      </w:r>
    </w:p>
    <w:p w:rsidR="00D05D84" w:rsidRPr="00C93F78" w:rsidRDefault="00D05D84" w:rsidP="00C93F78">
      <w:pPr>
        <w:numPr>
          <w:ilvl w:val="1"/>
          <w:numId w:val="57"/>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oświadczenie, że osiągnięcie korzyści podatkowej było jedynym celem dokonania czynności prowadzącej do unikania opodatkowania,</w:t>
      </w:r>
    </w:p>
    <w:p w:rsidR="00D05D84" w:rsidRPr="00C93F78" w:rsidRDefault="00D05D84" w:rsidP="00C93F78">
      <w:pPr>
        <w:numPr>
          <w:ilvl w:val="1"/>
          <w:numId w:val="57"/>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wskazanie przepisu ustawy podatkowej określonego w art. 119a § 6, który nie powinien mieć zastosowania;</w:t>
      </w:r>
    </w:p>
    <w:p w:rsidR="00D05D84" w:rsidRPr="00C93F78" w:rsidRDefault="00D05D84" w:rsidP="00C93F78">
      <w:pPr>
        <w:numPr>
          <w:ilvl w:val="0"/>
          <w:numId w:val="82"/>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uzasadnienie przyjęcia wybranej czynności odpowiedniej lub złożonego oświadczenia albo wskazania;</w:t>
      </w:r>
    </w:p>
    <w:p w:rsidR="00D05D84" w:rsidRPr="00C93F78" w:rsidRDefault="00D05D84" w:rsidP="00C93F78">
      <w:pPr>
        <w:numPr>
          <w:ilvl w:val="0"/>
          <w:numId w:val="82"/>
        </w:numPr>
        <w:spacing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określenie skutków podatkowych, wraz z przedstawieniem sposobu i metody ich wyliczenia:</w:t>
      </w:r>
    </w:p>
    <w:p w:rsidR="00D05D84" w:rsidRPr="00C93F78" w:rsidRDefault="00D05D84" w:rsidP="00C93F78">
      <w:pPr>
        <w:numPr>
          <w:ilvl w:val="1"/>
          <w:numId w:val="58"/>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jakie mogłyby zaistnieć gdyby dokonano przyjętej czynności odpowiedniej,</w:t>
      </w:r>
    </w:p>
    <w:p w:rsidR="00D05D84" w:rsidRPr="00C93F78" w:rsidRDefault="00D05D84" w:rsidP="00C93F78">
      <w:pPr>
        <w:numPr>
          <w:ilvl w:val="1"/>
          <w:numId w:val="58"/>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stanu rzeczy, jaki zaistniałby, gdyby czynność prowadząca do unikania opodatkowania nie została dokonana,</w:t>
      </w:r>
    </w:p>
    <w:p w:rsidR="00D05D84" w:rsidRPr="00C93F78" w:rsidRDefault="00D05D84" w:rsidP="00C93F78">
      <w:pPr>
        <w:numPr>
          <w:ilvl w:val="1"/>
          <w:numId w:val="58"/>
        </w:numPr>
        <w:spacing w:after="120" w:line="360" w:lineRule="auto"/>
        <w:ind w:left="1491" w:hanging="357"/>
        <w:jc w:val="both"/>
        <w:rPr>
          <w:rFonts w:ascii="Times New Roman" w:hAnsi="Times New Roman" w:cs="Times New Roman"/>
          <w:bCs/>
          <w:sz w:val="24"/>
          <w:szCs w:val="24"/>
        </w:rPr>
      </w:pPr>
      <w:r w:rsidRPr="00C93F78">
        <w:rPr>
          <w:rFonts w:ascii="Times New Roman" w:hAnsi="Times New Roman" w:cs="Times New Roman"/>
          <w:bCs/>
          <w:sz w:val="24"/>
          <w:szCs w:val="24"/>
        </w:rPr>
        <w:t>stanu prawnego, jaki zaistniałaby, gdyby wskazany przepis ustawy podatkowej nie miał zastosowania.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art. 119zfd § 2 Op, wniosek będzie mógł zostać uzupełniony o dokumentację dotyczącą czynności prowadzącej do unikania opodatkowania oraz potwierdzającą stanowisko zainteresowanego co do zasadności wyboru czynności odpowiedniej.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Minister właściwy do spraw finansów publicznych będzie mógł w drodze rozporządzenia określić wzór wniosku o wydanie decyzji, co powinno przyczynić się do ich ujednolicenia oraz zmniejszyć ryzyko wystąpienia braków formalnych wniosku (art. 119zfd § 5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Złożenie wniosku o wydanie decyzji nie będzie miało wpływu na możliwość przeprowadzenia kontroli podatkowej, kontroli celno-skarbowej lub postępowania podatkowego (art. 119zfe § 1). Skorygowanie deklaracji w wyniku wydania decyzji wykluczy jednak w zakresie ocenianej czynności możliwość wszczęcia lub przejęcia postępowania podatkowego na podstawie art. 119g § 1 Op, a w konsekwencji wydanie decyzji z zastosowaniem art. 119a Op. Organ podatkowy prowadzący kontrolę podatkową, kontrolę celno-skarbową lub postępowanie podatkowe uwzględni skutki wynikające ze złożonej korekty deklaracji mającej na celu cofnięcie skutków unikania opodatkowania (art. 119zfl § 1 Op), jeżeli:</w:t>
      </w:r>
    </w:p>
    <w:p w:rsidR="00D05D84" w:rsidRPr="00C93F78" w:rsidRDefault="00D05D84" w:rsidP="00C93F78">
      <w:pPr>
        <w:numPr>
          <w:ilvl w:val="0"/>
          <w:numId w:val="23"/>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korekta deklaracji będzie odpowiadać treści decyzji (art. 119zfk § 3 Op);</w:t>
      </w:r>
    </w:p>
    <w:p w:rsidR="00D05D84" w:rsidRPr="00C93F78" w:rsidRDefault="00D05D84" w:rsidP="00C93F78">
      <w:pPr>
        <w:numPr>
          <w:ilvl w:val="0"/>
          <w:numId w:val="23"/>
        </w:numPr>
        <w:spacing w:after="120" w:line="360" w:lineRule="auto"/>
        <w:ind w:left="1066" w:hanging="357"/>
        <w:jc w:val="both"/>
        <w:rPr>
          <w:rFonts w:ascii="Times New Roman" w:hAnsi="Times New Roman" w:cs="Times New Roman"/>
          <w:sz w:val="24"/>
          <w:szCs w:val="24"/>
        </w:rPr>
      </w:pPr>
      <w:r w:rsidRPr="00C93F78">
        <w:rPr>
          <w:rFonts w:ascii="Times New Roman" w:hAnsi="Times New Roman" w:cs="Times New Roman"/>
          <w:sz w:val="24"/>
          <w:szCs w:val="24"/>
        </w:rPr>
        <w:t>organ podatkowy na podstawie zgromadzonych dowodów nie dojdzie do przekonania, że zainteresowany nierzetelnie przedstawił stan faktyczny (art. 119zfl § 2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119zff § 1 Ordynacji podatkowej proponuje się ustalenie zasad kalkulacji opłaty od wniosku o wydanie decyzji. Uzależnienie rozpatrzenia wniosku o wydanie decyzji od uiszczenia opłaty będzie dodatkowo wpływać prewencyjnie na podmioty unikające lub chcące unikać opodatkowania. Opłata będzie odpowiadać co do zasady:</w:t>
      </w:r>
    </w:p>
    <w:p w:rsidR="00D05D84" w:rsidRPr="00C93F78" w:rsidRDefault="00D05D84" w:rsidP="00C93F78">
      <w:pPr>
        <w:numPr>
          <w:ilvl w:val="0"/>
          <w:numId w:val="55"/>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0,2% kwoty korzyści podatkowej, o której mowa w art. 119 zfd § 1 pkt 1 lit. c – odnośnie korzyści podatkowej lub jej części powodującej powstanie lub zawyżenie straty podatkowej,</w:t>
      </w:r>
    </w:p>
    <w:p w:rsidR="00D05D84" w:rsidRPr="00C93F78" w:rsidRDefault="00D05D84" w:rsidP="00C93F78">
      <w:pPr>
        <w:numPr>
          <w:ilvl w:val="0"/>
          <w:numId w:val="55"/>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1% kwoty korzyści podatkowej, o której mowa w art. 119 zfd § 1 pkt 1</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lit c – w pozostałych przypadkach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Opłata wspomniana powyżej nie będzie wynosić jednak mniej niż 1000 zł i nie więcej niż 15 000 zł.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Od zasady zawartej w § 1 proponuje się wprowadzenie kilku wyjątków. Pierwszy z nich będzie umożliwiał obniżenie opłaty, jeżeli czynność zawarta we wniosku była wcześniej oceniona przez Szefa KAS w odmowie wydania opinii zabezpieczającej, a zatem część jej oceny została już dokonana przez administrację skarbową. Opłata podstawowa zostanie w takim wypadku obniżona o opłatę uiszczoną w związku z postępowaniem o wydanie opinii zabezpieczającej, zaś opłatę wynikową obliczoną na podstawie § 3 będzie stanowić 75% tak określonego wyniku pośredniego. Taka konstrukcja wyliczenia opłaty wskazuje, że naturalną konsekwencją otrzymania przez zainteresowanego odmowy wydania opinii zabezpieczającej może być złożenie wniosku o wydanie decyzji.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§4 opłata podlega zwrotowi w przypadku:</w:t>
      </w:r>
    </w:p>
    <w:p w:rsidR="00D05D84" w:rsidRPr="00C93F78" w:rsidRDefault="00D05D84" w:rsidP="00C93F78">
      <w:pPr>
        <w:numPr>
          <w:ilvl w:val="0"/>
          <w:numId w:val="59"/>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wycofania wniosku</w:t>
      </w:r>
    </w:p>
    <w:p w:rsidR="00D05D84" w:rsidRPr="00C93F78" w:rsidRDefault="00D05D84" w:rsidP="00C93F78">
      <w:pPr>
        <w:numPr>
          <w:ilvl w:val="0"/>
          <w:numId w:val="59"/>
        </w:numPr>
        <w:spacing w:after="120" w:line="360" w:lineRule="auto"/>
        <w:ind w:left="1208" w:hanging="357"/>
        <w:jc w:val="both"/>
        <w:rPr>
          <w:rFonts w:ascii="Times New Roman" w:hAnsi="Times New Roman" w:cs="Times New Roman"/>
          <w:sz w:val="24"/>
          <w:szCs w:val="24"/>
        </w:rPr>
      </w:pPr>
      <w:r w:rsidRPr="00C93F78">
        <w:rPr>
          <w:rFonts w:ascii="Times New Roman" w:hAnsi="Times New Roman" w:cs="Times New Roman"/>
          <w:sz w:val="24"/>
          <w:szCs w:val="24"/>
        </w:rPr>
        <w:t xml:space="preserve">uiszczenia jej w kwocie wyższej niż należna – w odpowiedniej części.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Opłatę należy uiścić w terminie 7 dni od dnia złożenia wniosku. Zwrot nienależnie uiszczonej opłaty następuje nie później niż w terminie 7 dni od dnia zakończenia postępowania w sprawie wydania decyzji. </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 6 omawianego artykułu zawarto uprawnienie dla Szefa KAS do wydania postanowienia w przedmiocie ustalenia opłaty uzupełniającej od wniosku, jeżeli w ocenie organu podatkowego zainteresowany nieprawidłowo obliczył, a w konsekwencji zaniżył we wniosku o wydanie decyzji wartość uzyskanej korzyści podatkowej z tytułu czynności. Proponuje się, aby postanowienie w tym zakresie nie było zaskarżalne, ponieważ zakres postanowienia immanentnie związany jest z rozstrzygnięciem zawartym w decyzji. Istotne jest jednak to, że organ podatkowy zwróci na podstawie § 4 pkt 2 omawianego artykułu tę część opłaty, która w wyniku zawyżenia przez zainteresowanego korzyści podatkowej, została uiszczona nienależnie.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przyjęcia przez organ podatkowy w decyzji, że korzyść podatkowa wynika z zastosowania przepisu prawa podatkowego, o którym mowa w art. 119a § 6 Op, zwrócone zostanie 60% uiszczonej opłaty jeżeli zainteresowany złoży korektę deklaracji lub informację zastępczą odpowiadającą treści otrzymanej decyzji oraz wpłaci na rachunek właściwego organu podatkowego kwotę wynikającą ze złożonej korekty deklaracji lub informacji zastępczej wraz z odsetkami za zwłokę. W tej bowiem sytuacji rysuje się wyraźna przestrzeń do ulgowego traktowania zainteresowanych faktycznie wykorzystujących uprawnienia wynikające z decyzji, zwłaszcza gdy w toku postępowanie nie było konieczności określania czynności odpowiedniej.</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Odnośnie zainteresowanych, którzy w wyniku dokonania czynności prowadzącej do unikania opodatkowania będą cyklicznie uzyskiwać korzyść podatkową w kolejnych okresach rozliczeniowych na podstawie jednej lub cyklicznie dokonywanej czynności, Szef KAS będzie mógł w drodze zaskarżalnego postanowienia obniżyć opłatę od wniosku o wydanie decyzji (§ 9). Nie należy bowiem pobierać opłaty podstawowej od wniosku o wydanie decyzji, jeżeli analogiczny wniosek został już rozpatrzony przez organ podatkowy. Regulacja ta ma zachęcić podatników i płatników do wycofywania się ze schematów unikania opodatkowania, które przynoszą wieloletnie korzyści podatkowe. Stopień obniżenia opłaty należeć będzie do uznania organu podatkowego.</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119zfg Op zawarto „miękkie” uprawnienia organu podatkowego prowadzącego postępowania w zakresie wydania decyzji określającej warunki cofnięcia skutków unikania opodatkowania. Wskazują one, że w postępowaniu tym strony powinny dążyć do porozumienia w zakresie jego istotnych punktów.</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Jeżeli w toku postępowania organ podatkowy uzna, że zainteresowany nieprawidłowo przedstawił we wniosku elementy wniosku, o których mowa w art. 119zfd § 1 pkt 2-4 Op, tj. m.in. nieprawidłowo przyjął czynność odpowiednią lub wskazał, że osiągnięcie korzyści podatkowej było jedynym celem dokonania czynności prowadzącej do unikania opodatkowania, lub nieprawidłowo określił skutki podatkowe jakie mogłyby zaistnieć gdyby dokonano przyjętej czynności odpowiedniej lub stanu rzeczy, jaki zaistniałby, gdyby czynność prowadząca do unikania opodatkowania nie została dokonana, Szef KAS w drodze postanowienia zawiadomi o tym zainteresowanego. Zawiadomienie będzie zawierać uzasadnienie faktyczne i prawne (art. 119zfh § 1 Op). W wyniku otrzymania tego zawiadomienia, zainteresowany będzie mógł w terminie 14 dni przedstawić dodatkowe wyjaśnienia i dokumenty lub, niezależnie od tego, złożyć wniosek o zasięgnięcie przez Szefa KAS opinii Rady co do kwestii spornych uwzględnionych w treści zawiadomienia (art. 119zfh § 2 Op). Możliwość udziału w postępowaniu organu eksperckiego, takiego jak Rada, powinien przyczynić się do zwiększenia pewności zainteresowanego do rzetelności warunków zawartych w decyzji i pozytywnie wpłynąć na ich uznanie.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Szef KAS uwzględni wniosek zainteresowanego i zwróci się o opinię Rady jedynie wtedy, jeżeli w wyniku otrzymania dodatkowych informacji i dokumentów kwestie określone w treści zawiadomienia nadal pozostaną sporne (art. 119zfh § 3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treścią proponowanego art. 119zfh § 4 Op, Rada powinna w pierwszej kolejności ocenić zasadność przedstawionych jej stanowisk zainteresowanego oraz Szefa KAS. W przypadku odrzucenia każdego z tych stanowisk, Rada przedstawi własną ocenę kwestii poddanych pod jej opinię uwzględniając jednak szczególne zasady postępowania określone w art. 119zfe § 2. Choć opinie Rady nie będą wiążące dla organu podatkowego, to mogą one stanowić pole do zbliżenia stanowisk organu podatkowego oraz zainteresowanego, w szczególności powzięcia przez Radę własnej opinii.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119zfi § 1 Op zawarto szczególne i autonomiczne uprawnienie do wydania decyzji odmawiającej określenia warunków cofnięcia unikania opodatkowania z uwagi na brak korzyści podatkowej lub nieprzekroczenie progu wskazanego w art. 119b § 1 pkt 1. Regulacja ta dotyczy sytuacji, w których czynność dokonana w celu osiągnięcia korzyści podatkowej sprzecznej z celem lub przedmiotem prawa podatkowego nie skutkowała, wbrew stanowisku zainteresowanego, jej osiągnięciem w kontekście przepisów art. 119a § 2-6 Op lub zastosowanie będzie miał przepis art. 119b § 1 pkt 1 Op. Możliwość ta stanowi wyraz realizacji zasady zawartej w art. 121 § 1 Op. Rozstrzygnięcie wydane na podstawie art. 119zfi § 1 Op będzie uwzględniane przez organy podatkowe w toku kontroli podatkowej, kontroli celno-skarbowej oraz postępowania podatkowego, co wykluczy wydanie decyzji na podstawie art. 119a wobec czynności przedstawionej we wniosku (art. 119zfl § 1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Szef KAS będzie mógł ponadto odmówić wydania decyzji, jeżeli zastosowanie innych przepisów prawa podatkowego pozwala na przeciwdziałanie unikaniu opodatkowania, co odpowiada regulacji proponowanej w art. 119g</w:t>
      </w:r>
      <w:r w:rsidR="00630B95" w:rsidRPr="00C93F78">
        <w:rPr>
          <w:rFonts w:ascii="Times New Roman" w:hAnsi="Times New Roman" w:cs="Times New Roman"/>
          <w:sz w:val="24"/>
          <w:szCs w:val="24"/>
        </w:rPr>
        <w:t>b</w:t>
      </w:r>
      <w:r w:rsidRPr="00C93F78">
        <w:rPr>
          <w:rFonts w:ascii="Times New Roman" w:hAnsi="Times New Roman" w:cs="Times New Roman"/>
          <w:sz w:val="24"/>
          <w:szCs w:val="24"/>
        </w:rPr>
        <w:t xml:space="preserve"> § 1 Op. Także w tym przypadku otrzymanie takiej decyzji wykluczy możliwość wydania decyzji z zastosowaniem art. 119a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art. 119zfj § 1 określa elementy konieczne decyzji określającej warunki cofnięcia skutków unikania opodatkowania, tj.:</w:t>
      </w:r>
    </w:p>
    <w:p w:rsidR="00D05D84" w:rsidRPr="00C93F78" w:rsidRDefault="00D05D84" w:rsidP="00C93F78">
      <w:pPr>
        <w:numPr>
          <w:ilvl w:val="0"/>
          <w:numId w:val="24"/>
        </w:numPr>
        <w:spacing w:after="120" w:line="360" w:lineRule="auto"/>
        <w:ind w:left="1069"/>
        <w:jc w:val="both"/>
        <w:rPr>
          <w:rFonts w:ascii="Times New Roman" w:hAnsi="Times New Roman" w:cs="Times New Roman"/>
          <w:sz w:val="24"/>
          <w:szCs w:val="24"/>
        </w:rPr>
      </w:pPr>
      <w:r w:rsidRPr="00C93F78">
        <w:rPr>
          <w:rFonts w:ascii="Times New Roman" w:hAnsi="Times New Roman" w:cs="Times New Roman"/>
          <w:sz w:val="24"/>
          <w:szCs w:val="24"/>
        </w:rPr>
        <w:t>wynikający z przedstawionego stanu faktycznego wyczerpujący opis czynności prowadzącej do unikania opodatkowania wraz ze wskazaniem podmiotów w niej uczestniczących;</w:t>
      </w:r>
    </w:p>
    <w:p w:rsidR="00D05D84" w:rsidRPr="00C93F78" w:rsidRDefault="00D05D84" w:rsidP="00C93F78">
      <w:pPr>
        <w:numPr>
          <w:ilvl w:val="0"/>
          <w:numId w:val="24"/>
        </w:numPr>
        <w:spacing w:after="120" w:line="360" w:lineRule="auto"/>
        <w:ind w:left="1069"/>
        <w:jc w:val="both"/>
        <w:rPr>
          <w:rFonts w:ascii="Times New Roman" w:hAnsi="Times New Roman" w:cs="Times New Roman"/>
          <w:sz w:val="24"/>
          <w:szCs w:val="24"/>
        </w:rPr>
      </w:pPr>
      <w:r w:rsidRPr="00C93F78" w:rsidDel="00AE44F8">
        <w:rPr>
          <w:rFonts w:ascii="Times New Roman" w:hAnsi="Times New Roman" w:cs="Times New Roman"/>
          <w:sz w:val="24"/>
          <w:szCs w:val="24"/>
        </w:rPr>
        <w:t>o</w:t>
      </w:r>
      <w:r w:rsidRPr="00C93F78">
        <w:rPr>
          <w:rFonts w:ascii="Times New Roman" w:hAnsi="Times New Roman" w:cs="Times New Roman"/>
          <w:sz w:val="24"/>
          <w:szCs w:val="24"/>
        </w:rPr>
        <w:t>rozstrzygnięcie co do:</w:t>
      </w:r>
    </w:p>
    <w:p w:rsidR="00D05D84" w:rsidRPr="00C93F78" w:rsidRDefault="00D05D84" w:rsidP="00C93F78">
      <w:pPr>
        <w:numPr>
          <w:ilvl w:val="1"/>
          <w:numId w:val="25"/>
        </w:numPr>
        <w:spacing w:after="120" w:line="360" w:lineRule="auto"/>
        <w:ind w:left="1789"/>
        <w:jc w:val="both"/>
        <w:rPr>
          <w:rFonts w:ascii="Times New Roman" w:hAnsi="Times New Roman" w:cs="Times New Roman"/>
          <w:sz w:val="24"/>
          <w:szCs w:val="24"/>
        </w:rPr>
      </w:pPr>
      <w:r w:rsidRPr="00C93F78">
        <w:rPr>
          <w:rFonts w:ascii="Times New Roman" w:hAnsi="Times New Roman" w:cs="Times New Roman"/>
          <w:sz w:val="24"/>
          <w:szCs w:val="24"/>
        </w:rPr>
        <w:t>określenia skutków podatkowych będących rezultatem czynności określonej w pkt 1, w tym korzyści podatkowej, o której mowa w art. 119a § 1;</w:t>
      </w:r>
    </w:p>
    <w:p w:rsidR="00D05D84" w:rsidRPr="00C93F78" w:rsidRDefault="00D05D84" w:rsidP="00C93F78">
      <w:pPr>
        <w:numPr>
          <w:ilvl w:val="1"/>
          <w:numId w:val="25"/>
        </w:numPr>
        <w:spacing w:after="120" w:line="360" w:lineRule="auto"/>
        <w:ind w:left="1789"/>
        <w:jc w:val="both"/>
        <w:rPr>
          <w:rFonts w:ascii="Times New Roman" w:hAnsi="Times New Roman" w:cs="Times New Roman"/>
          <w:sz w:val="24"/>
          <w:szCs w:val="24"/>
        </w:rPr>
      </w:pPr>
      <w:r w:rsidRPr="00C93F78">
        <w:rPr>
          <w:rFonts w:ascii="Times New Roman" w:hAnsi="Times New Roman" w:cs="Times New Roman"/>
          <w:sz w:val="24"/>
          <w:szCs w:val="24"/>
        </w:rPr>
        <w:t>prawidłowości przyjęcia czynności odpowiedniej, uznania, że osiągnięcie korzyści podatkowej było jedynym celem dokonania czynności prowadzącej do unikania opodatkowania, albo wskazania określonego w art. 119a § 6 przepisu ustawy podatkowej, który nie powinien mieć zastosowania;</w:t>
      </w:r>
    </w:p>
    <w:p w:rsidR="00D05D84" w:rsidRPr="00C93F78" w:rsidRDefault="00D05D84" w:rsidP="00C93F78">
      <w:pPr>
        <w:numPr>
          <w:ilvl w:val="1"/>
          <w:numId w:val="25"/>
        </w:numPr>
        <w:spacing w:after="120" w:line="360" w:lineRule="auto"/>
        <w:ind w:left="1789"/>
        <w:jc w:val="both"/>
        <w:rPr>
          <w:rFonts w:ascii="Times New Roman" w:hAnsi="Times New Roman" w:cs="Times New Roman"/>
          <w:sz w:val="24"/>
          <w:szCs w:val="24"/>
        </w:rPr>
      </w:pPr>
      <w:r w:rsidRPr="00C93F78" w:rsidDel="00AE44F8">
        <w:rPr>
          <w:rFonts w:ascii="Times New Roman" w:hAnsi="Times New Roman" w:cs="Times New Roman"/>
          <w:sz w:val="24"/>
          <w:szCs w:val="24"/>
        </w:rPr>
        <w:t>o</w:t>
      </w:r>
      <w:r w:rsidRPr="00C93F78">
        <w:rPr>
          <w:rFonts w:ascii="Times New Roman" w:hAnsi="Times New Roman" w:cs="Times New Roman"/>
          <w:sz w:val="24"/>
          <w:szCs w:val="24"/>
        </w:rPr>
        <w:t>wskazanie skutków podatkowych jakie mogłyby zaistnieć gdyby dokonano przyjętej czynności odpowiedniej, stanu rzeczy, jaki zaistniałby, gdyby czynność prowadząca do unikania opodatkowania nie została dokonana, albo stanu prawnego, jaki zaistniałby, gdyby wskazany przepis ustawy podatkowej nie miał zastosowania;</w:t>
      </w:r>
    </w:p>
    <w:p w:rsidR="00D05D84" w:rsidRPr="00C93F78" w:rsidRDefault="00D05D84" w:rsidP="00C93F78">
      <w:pPr>
        <w:numPr>
          <w:ilvl w:val="0"/>
          <w:numId w:val="24"/>
        </w:numPr>
        <w:spacing w:after="120" w:line="360" w:lineRule="auto"/>
        <w:ind w:left="1069"/>
        <w:jc w:val="both"/>
        <w:rPr>
          <w:rFonts w:ascii="Times New Roman" w:hAnsi="Times New Roman" w:cs="Times New Roman"/>
          <w:sz w:val="24"/>
          <w:szCs w:val="24"/>
        </w:rPr>
      </w:pPr>
      <w:r w:rsidRPr="00C93F78">
        <w:rPr>
          <w:rFonts w:ascii="Times New Roman" w:hAnsi="Times New Roman" w:cs="Times New Roman"/>
          <w:sz w:val="24"/>
          <w:szCs w:val="24"/>
        </w:rPr>
        <w:t>określenie, w jaki sposób zainteresowany może cofnąć skutki unikania opodatkowania, przy uwzględnieniu elementów wymienionych w pkt 2 lit. b i c.</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Element przedstawiony w pkt 3 stanowi wynik końcowy postępowania w przedmiocie określenia warunków cofnięcia unikania opodatkowania.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art. 119zfj § 2 kształtuje władcze uprawnienie Szefa KAS do samodzielnego określenia konsekwencji dokonania czynności skutkującej unikaniem opodatkowania. Uprawnienie to powinno być stosowane w szczególności wtedy, gdy w toku postępowania nie uda się rozwikłać istniejących pomiędzy zainteresowanym a organem podatkowym kwestii spornych.</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Decyzja może także kształtować prawa innych zainteresowanych podmiotów, które uczestniczyły w czynności prowadzącej do unikania opodatkowania, chyba że wydana decyzja dotyczy określenia skutków podatkowych jakie zaistniałaby gdyby przepis ustawy podatkowej nie miał zastosowania (art. 119zfj § 3 Op). Relacja przepisów art. 119zfj § 3 Op do art. 119zfm Op stanowi analogię relacji treści decyzji wydanej na podstawie art. 119a Op do art. 119j Op. Decyzja określająca warunki cofnięcia skutków unikania opodatkowania otwiera zainteresowanemu podmiotowi możliwość cofnięcia skutków unikania opodatkowania w terminie 14 dni od jej doręczenia poprzez złożenie korekty deklaracji lub informacji zastępczej (art. 119zfk § 1 i 2 Op). Zainteresowani nie mają obowiązku skorzystania z powstałego uprawnienia. Brak cofnięcia skutków unikania opodatkowania otworzy jednak organowi podatkowemu możliwość wydania decyzji na podstawie art. 119a Op i skorzystania z informacji zgromadzonych w toku postępowania o wydanie decyzji.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sytuacji, w której czynność prowadząca do unikania opodatkowania skutkowała zmianą sposobu opodatkowania podmiotu, proponuje się, aby zainteresowany podmiot nie składał deklaracji dla podatku, który nie jest dla niego już właściwy. Proponowana w art. 119zfk § 2 Ordynacji podatkowej regulacja ma zapobiegać sytuacjom, w których np. osoby fizyczne będące wspólnikami spółki osobowej zobligowane byłyby do składania korekty deklaracji w podatku dochodowym od osób prawnych, bowiem czynność odpowiednia zakładałaby że spółka kapitałowa nie przekształciłaby się w spółkę osobową. W tej sytuacji proponuje się, aby zainteresowane cofnięciem skutków unikania opodatkowania podmioty składały informację zastępczą, której skutki odpowiadałyby złożeniu korekty deklaracji. Kwota podatku wykazana w takiej informacji zastępczej będzie równoznaczna kwocie podatku do zapłaty w rozumieniu art. 21 § 2 Op.</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119zfk § 4 Op wskazano, że ponowne skorygowanie deklaracji nie wywołuje skutków prawnych w zakresie, w jakim dokonana na podstawie § 1 korekta przewidywała cofnięcie skutków unikania opodatkowania. Przepis ten stanowi na gruncie omawianej procedury odpowiednik art. 81b § 1a Op zdanie drugie.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Proponowany art. 119zfm Op kreuje prawo do skorygowania deklaracji przez zainteresowane podmioty uczestniczące w czynności prowadzącej do unikania opodatkowania. Aby regulacja ta nie była nadużywana, powstanie prawa do korekty rozliczeń u innych podmiotów uczestniczących w czynności prowadzącej do unikania opodatkowania będzie obarczone dwoma warunkami, tj.: </w:t>
      </w:r>
    </w:p>
    <w:p w:rsidR="00D05D84" w:rsidRPr="00C93F78" w:rsidRDefault="00D05D84" w:rsidP="00C93F78">
      <w:pPr>
        <w:numPr>
          <w:ilvl w:val="0"/>
          <w:numId w:val="17"/>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cofnięciem skutków unikania opodatkowania zgodnie z art. 119zfk § 1 lub 2, oraz</w:t>
      </w:r>
    </w:p>
    <w:p w:rsidR="00D05D84" w:rsidRPr="00C93F78" w:rsidRDefault="00D05D84" w:rsidP="00C93F78">
      <w:pPr>
        <w:numPr>
          <w:ilvl w:val="0"/>
          <w:numId w:val="17"/>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wpłaceniem na rachunek właściwego organu podatkowego kwoty wynikającej ze złożonej korekty deklaracji lub informacji zastępczej wraz z odsetkami za zwłokę.</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innym wypadku możliwe byłoby bowiem np. podwyższenie u jednego z zainteresowanych podmiotów kosztów uzyskania przychodów, co wynikałoby z przyjętej czynności odpowiedniej, podczas gdy podmiot, u którego doszło do unikania opodatkowania, nie korzystałby z uprawnienia wynikającego z decyzji.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Podobnie jak w przypadku procedury zawierania porozumień w przedmiocie ustalenia cen transakcyjnych do omawianego postępowania będą miały odpowiednie zastosowanie przepisy działu IV. Uzupełniająco, zgodnie ze zmianami zawartymi w art. 119l, proponuje się uwzględnienie</w:t>
      </w:r>
      <w:r w:rsidR="00214B8A" w:rsidRPr="00C93F78">
        <w:rPr>
          <w:rFonts w:ascii="Times New Roman" w:hAnsi="Times New Roman" w:cs="Times New Roman"/>
          <w:sz w:val="24"/>
          <w:szCs w:val="24"/>
        </w:rPr>
        <w:t xml:space="preserve"> </w:t>
      </w:r>
      <w:r w:rsidR="00574D81" w:rsidRPr="00C93F78">
        <w:rPr>
          <w:rFonts w:ascii="Times New Roman" w:hAnsi="Times New Roman" w:cs="Times New Roman"/>
          <w:sz w:val="24"/>
          <w:szCs w:val="24"/>
        </w:rPr>
        <w:t xml:space="preserve">art. 45, art. 46, art. 49 i art. 51 </w:t>
      </w:r>
      <w:r w:rsidRPr="00C93F78">
        <w:rPr>
          <w:rFonts w:ascii="Times New Roman" w:hAnsi="Times New Roman" w:cs="Times New Roman"/>
          <w:sz w:val="24"/>
          <w:szCs w:val="24"/>
        </w:rPr>
        <w:t>z dnia 16 listopada 2016 r. o Krajowej Administracji Skarbowej (art. 119zfn Op). Zastosowanie w zakresie tego postępowania powinny też odpowiednio znaleźć art. 14b § 4, art. 14i § 2, art.</w:t>
      </w:r>
      <w:r w:rsidR="004E5AEB" w:rsidRPr="00C93F78">
        <w:rPr>
          <w:rFonts w:ascii="Times New Roman" w:hAnsi="Times New Roman" w:cs="Times New Roman"/>
          <w:sz w:val="24"/>
          <w:szCs w:val="24"/>
        </w:rPr>
        <w:t xml:space="preserve"> 14r § 2 i 3, art. 20g § 3, art. 119gc, art. 119h § 3, art. 119i, art. 119m § 1, art. 119s § 2, art. 119u, działu IV, z wyłączeniem art. 133 </w:t>
      </w:r>
      <w:r w:rsidRPr="00C93F78">
        <w:rPr>
          <w:rFonts w:ascii="Times New Roman" w:hAnsi="Times New Roman" w:cs="Times New Roman"/>
          <w:sz w:val="24"/>
          <w:szCs w:val="24"/>
        </w:rPr>
        <w:t>Op. Przepis art. 119g</w:t>
      </w:r>
      <w:r w:rsidR="00630B95" w:rsidRPr="00C93F78">
        <w:rPr>
          <w:rFonts w:ascii="Times New Roman" w:hAnsi="Times New Roman" w:cs="Times New Roman"/>
          <w:sz w:val="24"/>
          <w:szCs w:val="24"/>
        </w:rPr>
        <w:t>c</w:t>
      </w:r>
      <w:r w:rsidRPr="00C93F78">
        <w:rPr>
          <w:rFonts w:ascii="Times New Roman" w:hAnsi="Times New Roman" w:cs="Times New Roman"/>
          <w:sz w:val="24"/>
          <w:szCs w:val="24"/>
        </w:rPr>
        <w:t xml:space="preserve"> umożliwi ewentualne zajęcie stanowiska w sprawie przez samorządowy organ podatkowy. Z kolei wyłączenie przepisu art. 119t Op, w wyniku którego opinia Rady wydana w omawianym postępowaniu nie zostanie opublikowana, zwiększy zaufanie pomiędzy organem podatkowym a podmiotem zainteresowanym cofnięciem skutków unikania opodatkowania. Obowiązek publikacji takiej opinii mógłby zniechęcać niektóre podmioty do składania wniosków o wydanie decyzji. Argumentacja dotycząca proponowanego w punkcie 17 art. 119zda Ordynacji podatkowej ma tutaj również zastosowanie.</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odróżnieniu od procedury zawierania porozumień w przedmiocie cen transakcyjnych (dział IIa Op), proponowana procedura dotyczyć będzie czynności dokonanych, a tym samym korzyści podatkowych, co do których w momencie złożenia wniosku o wydanie decyzji będzie już biegł termin przedawnienia. Omawiana procedura może być nadużywana w ten sposób, że wnioski wydanie decyzji będą składane jedynie dla pozoru, celem odwleczenia lub obniżenia ryzyka uruchomienia postępowania określonego w art. 119g § 1, a w ostateczności do przedawnienia zobowiązań podatkowych obarczonych unikaniem opodatkowania. Uznać bowiem należy, że Szef KAS nie będzie co do zasady równolegle prowadził i kończył postępowania określonego w art. 119g § 1 Op, w zakresie, w którym rozpatruje również wniosek o wydanie decyzji.</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 powyższych względów proponuje się, aby złożenie wniosku o wydanie decyzji stanowiło przesłankę zawieszenia biegu terminów określonych w art. 68 i art. 70 Ordynacji podatkowej. Rolą tej regulacji ma być zapewnienie, że o wydanie decyzji będą występować jedynie te podmioty, które rzeczywiście będą zainteresowane cofnięciem skutków unikania opodatkowania. Umożliwią one ponadto przeprowadzenie postępowania określonego w art. 119g § 1, jeżeli zainteresowany nie skorzysta z uprawnienia wynikającego z otrzymanej decyzji. Złożenie wniosku o wydanie decyzji będzie jednak powodować zaprzestanie naliczania odsetek związanych z zaległością podatkową wynikającą z osiągnięcia nienależnej korzyści podatkowej, o ile strona postępowania efektywnie skorzysta z wydanej decyzji poprzez cofnięcie skutków unikania opodatkowania. Odstąpienie od naliczania odsetek w tym wypadku może dodatkowo zmotywować podatników do przyspieszenia działań prowadzących do cofnięcia skutków unikania opodatkowania.</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sz w:val="24"/>
          <w:szCs w:val="24"/>
        </w:rPr>
        <w:t>Akta postępowania w sprawie wydania decyzji będą objęte tajemnicą skarbową.</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b/>
          <w:sz w:val="24"/>
          <w:szCs w:val="24"/>
        </w:rPr>
        <w:t>Ograniczenie zakazu nadania rygoru natychmiastowej wykonalności w przypadku możliwego upływu biegu terminu przedawnienia</w:t>
      </w:r>
    </w:p>
    <w:p w:rsidR="00D05D84" w:rsidRPr="00C93F78" w:rsidRDefault="00D05D84"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art. 239d § 2 Ordynacji proponuje się rozszerzenie regulacji wyłączającej możliwość nadania rygoru natychmiastowej wykonalności o decyzje wydane z zastosowaniem środków ograniczających umowne korzyści. Ponadto, w ocenie projektodawcy, celowe jest jednoczesne ograniczenie ww. zasady w przypadku wystąpienia okoliczności określonych w art. 239b § 1 pkt 4 Ordynacji podatkowej. Organ podatkowy pierwszej instancji miałby zatem możliwość nadania rygoru natychmiastowej wykonalności decyzjom wydanym z zastosowaniem art. 119a lub środków ograniczających umowne korzyści, jeżeli do upływu biegu terminu przedawnienia zobowiązania podatkowego pozostało mniej niż trzy miesiące.</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sz w:val="24"/>
          <w:szCs w:val="24"/>
        </w:rPr>
        <w:t>Zdaniem projektodawcy, dotychczasowa regulacja, obejmująca również przesłankę wskazaną w art. 239b § 1 pkt 4 Ordynacji podatkowej, jest szczególnie niezasadna w sytuacji, w której postępowania podatkowe prowadzone w zakresie unikania opodatkowania będą szczególnie skomplikowane, a tym samym bardziej narażone na upływ biegu terminu przedawnienia zobowiązań podatkowych. W tym przypadku, wskazane jest zbliżenie regulacji dotyczących postępowania podatkowego w zakresie unikania opodatkowania do zasad podstawowego postępowania podatkowego.</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b/>
          <w:sz w:val="24"/>
          <w:szCs w:val="24"/>
        </w:rPr>
        <w:t>Uprawnienie do żądania w toku postępowania podatkowego informacji objętych tajemnicą bankową przez Szefa KAS</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sz w:val="24"/>
          <w:szCs w:val="24"/>
        </w:rPr>
        <w:t>Zgodnie z obowiązującymi przepisami, Szef KAS prowadzący postępowania podatkowe, w tym postępowanie podatkowe w zakresie unikania opodatkowania, nie posiada uprawnień do żądania informacji objętych tajemnicą bankową, choć uprawnienia te na mocy art. 182 Ordynacji podatkowej oraz art. 49 ustawy o KAS posiadają w toku postępowania podatkowego pozostałe organy KAS. Proponuje się zatem przyznać Szefowi KAS uprawnienie do żądania informacji określonych w art. 48 ust. 1-6 ustawy o KAS poprzez modyfikację art. 49 tej ustawy. Z uwagi na, szerszy niż w art. 182 i n. Op. zakres informacji wskazanych w art. 48 ust. 1-6 ustawy o KAS oraz możliwość dyscyplinowania podmiotów zobowiązanych do udostępnienia informacji (</w:t>
      </w:r>
      <w:r w:rsidRPr="00C93F78">
        <w:rPr>
          <w:rFonts w:ascii="Times New Roman" w:hAnsi="Times New Roman" w:cs="Times New Roman"/>
          <w:i/>
          <w:sz w:val="24"/>
          <w:szCs w:val="24"/>
        </w:rPr>
        <w:t xml:space="preserve">vide </w:t>
      </w:r>
      <w:r w:rsidRPr="00C93F78">
        <w:rPr>
          <w:rFonts w:ascii="Times New Roman" w:hAnsi="Times New Roman" w:cs="Times New Roman"/>
          <w:sz w:val="24"/>
          <w:szCs w:val="24"/>
        </w:rPr>
        <w:t>art. 48 ust. 11 ustawy o KAS)</w:t>
      </w:r>
      <w:r w:rsidRPr="00C93F78">
        <w:rPr>
          <w:rFonts w:ascii="Times New Roman" w:hAnsi="Times New Roman" w:cs="Times New Roman"/>
          <w:i/>
          <w:sz w:val="24"/>
          <w:szCs w:val="24"/>
        </w:rPr>
        <w:t xml:space="preserve"> </w:t>
      </w:r>
      <w:r w:rsidRPr="00C93F78">
        <w:rPr>
          <w:rFonts w:ascii="Times New Roman" w:hAnsi="Times New Roman" w:cs="Times New Roman"/>
          <w:sz w:val="24"/>
          <w:szCs w:val="24"/>
        </w:rPr>
        <w:t>bardziej racjonalne, w ocenie projektodawcy, jest przyznanie tego uprawnienia w ramach treści art. 49 ustawy o KAS, a nie w ramach art. 182 Ordynacji podatkowej, przy uwzględnieniu zmiany art. 119l Ordynacji podatkowej</w:t>
      </w:r>
    </w:p>
    <w:p w:rsidR="00D05D84" w:rsidRPr="00C93F78" w:rsidRDefault="00D05D84" w:rsidP="00C93F78">
      <w:pPr>
        <w:spacing w:after="120" w:line="360" w:lineRule="auto"/>
        <w:jc w:val="both"/>
        <w:rPr>
          <w:rFonts w:ascii="Times New Roman" w:hAnsi="Times New Roman"/>
          <w:sz w:val="24"/>
          <w:szCs w:val="24"/>
        </w:rPr>
      </w:pPr>
      <w:r w:rsidRPr="00C93F78">
        <w:rPr>
          <w:rFonts w:ascii="Times New Roman" w:hAnsi="Times New Roman" w:cs="Times New Roman"/>
          <w:b/>
          <w:sz w:val="24"/>
          <w:szCs w:val="24"/>
        </w:rPr>
        <w:t>Zmiany zachodzące w innych ustawach w związku z projektem ustawy o zmianie ustawy – Ordynacja podatkowa oraz niektórych innych ustaw</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Zmiana ustawy z dnia 17 czerwca 1966 r. o postępowaniu egzeku</w:t>
      </w:r>
      <w:r w:rsidR="00A35697" w:rsidRPr="00C93F78">
        <w:rPr>
          <w:rFonts w:ascii="Times New Roman" w:eastAsia="Calibri" w:hAnsi="Times New Roman" w:cs="Times New Roman"/>
          <w:sz w:val="24"/>
          <w:szCs w:val="24"/>
        </w:rPr>
        <w:t>cyjnym w administracji</w:t>
      </w:r>
      <w:r w:rsidRPr="00C93F78">
        <w:rPr>
          <w:rFonts w:ascii="Times New Roman" w:eastAsia="Calibri" w:hAnsi="Times New Roman" w:cs="Times New Roman"/>
          <w:sz w:val="24"/>
          <w:szCs w:val="24"/>
        </w:rPr>
        <w:t xml:space="preserve">, ma na celu dostosowanie, właściwości rzeczowej, kategorii podmiotów pełniących funkcje wierzyciela w postępowaniu egzekucyjnym w administracji (art. 5 tej ustawy) do zmian wynikających z projektowanego art. 119g ustawy – Ordynacja podatkowa. Zakłada się bowiem, że wszczęcie lub przejęcie postępowania podatkowego, kontroli podatkowej lub kontroli celno-skarbowej czy też postępowania podatkowego od organów jednostek samorządu terytorialnego na podstawie projektowanego art. 119g § 1-3, nie skutkuje przeniesieniem na Szefa Krajowej Administracji Skarbowej uprawnień wierzyciela w rozumieniu przepisów ustawy o postępowaniu egzekucyjnym w administracji. </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Zmiana art. 5 § 1 pkt 1 ustawy o postępowaniu egzekucyjnym w administracji, wyłącza stosowanie ogólnego sposobu określania właściwości rzeczowej wierzyciela w stosunku do Szefa KAS, w przypadku gdy wyda on w toku wszczętego lub przejętego od organów jednostek samorządu terytorialnego postępowania podatkowego, kontroli podatkowej lub kontroli celno-skarbowej czy też postępowania podatkowego decyzję lub postanowienie z zastosowaniem art. 119a. Nie jest zasadne bowiem aby Szef KAS, jako właściwy do orzekania organ I instancji pełnił jednocześnie rolę wierzyciela obowiązków wynikających z wydanych przez siebie decyzji czy postanowień. Przy czym uznano, że w przypadku wydania przez Szefa KAS decyzji, postanowień z zastosowaniem art. 119a ustawy - Ordynacja podatkowa nie będzie miał również zastosowania art. 5 § 1 pkt 4a ustawy o postępowaniu egzekucyjnym w administracji. Konieczność stosowania ww. art. 5 § 1 pkt 4a skutkowałby tym, że właściwość rzeczowa organu uprawnionego do żądania wykonania obowiązku, wynikającego z wydanych przez Szefa KAS decyzji lub postanowień, każdorazowo przypadałaby naczelnikowi urzędu skarbowego właściwemu według siedziby Szefa KAS. </w:t>
      </w:r>
    </w:p>
    <w:p w:rsidR="00D05D84" w:rsidRPr="00C93F78" w:rsidRDefault="00D05D8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Za zasadne uznano, w sprawach w</w:t>
      </w:r>
      <w:r w:rsidRPr="00C93F78">
        <w:rPr>
          <w:rFonts w:ascii="Times New Roman" w:hAnsi="Times New Roman" w:cs="Times New Roman"/>
          <w:sz w:val="24"/>
          <w:szCs w:val="24"/>
        </w:rPr>
        <w:t> </w:t>
      </w:r>
      <w:r w:rsidRPr="00C93F78">
        <w:rPr>
          <w:rFonts w:ascii="Times New Roman" w:eastAsia="Calibri" w:hAnsi="Times New Roman" w:cs="Times New Roman"/>
          <w:sz w:val="24"/>
          <w:szCs w:val="24"/>
        </w:rPr>
        <w:t xml:space="preserve">których Szef KAS wyda decyzję lub postanowienie z zastosowaniem art. 119a ustawy Ordynacja podatkowa, przyjęcie szczególnej regulacji i w zmienianym art. 5 § 1 ustawy o postępowaniu egzekucyjnym w administracji dodano pkt 4c. Zgodnie z tym przepisem w przypadku wydania przez Szefa KAS decyzji lub postanowienia w postępowaniu podatkowym, o którym mowa w projektowanym art. 119g § 1-3 ustawy – Ordynacja podatkowa, wierzycielem tych obowiązków będzie właściwy naczelnik urzędu skarbowego. Natomiast w przypadku wydania przez Szefa KAS decyzji lub postanowienia w toku postępowania podatkowego dotyczącego podatków, do których ustalania lub określania jest uprawniony wójt, burmistrz (prezydent miasta), starosta lub marszałek województwa, podmiotem pełniącym funkcje wierzyciela będzie organ jednostki samorządu terytorialnego, na wniosek którego postępowanie podatkowe zostało przejęte. </w:t>
      </w:r>
    </w:p>
    <w:p w:rsidR="00D05D84" w:rsidRPr="00C93F78" w:rsidRDefault="00D05D84" w:rsidP="00C93F78">
      <w:pPr>
        <w:spacing w:after="240" w:line="360" w:lineRule="auto"/>
        <w:jc w:val="both"/>
        <w:rPr>
          <w:rFonts w:ascii="Times New Roman" w:hAnsi="Times New Roman" w:cs="Times New Roman"/>
          <w:sz w:val="24"/>
          <w:szCs w:val="24"/>
        </w:rPr>
      </w:pPr>
      <w:r w:rsidRPr="00C93F78">
        <w:rPr>
          <w:rFonts w:ascii="Times New Roman" w:eastAsia="Calibri" w:hAnsi="Times New Roman" w:cs="Times New Roman"/>
          <w:sz w:val="24"/>
          <w:szCs w:val="24"/>
        </w:rPr>
        <w:t>Wykluczenie Szefa KAS z kręgu podmiotów pełniących funkcje wierzyciela w postępowaniu egzekucyjnym w administracji umożliwi skupienie się tego organu bezpośrednio na przedmiocie postępowania podatkowego lub kontrolnego wszczętego w związku z unikaniem opodatkowania.</w:t>
      </w:r>
    </w:p>
    <w:p w:rsidR="00B861DF" w:rsidRPr="00C93F78" w:rsidRDefault="00B861DF" w:rsidP="00C93F78">
      <w:pPr>
        <w:pStyle w:val="Nagwek1"/>
        <w:spacing w:after="160" w:line="360" w:lineRule="auto"/>
        <w:jc w:val="both"/>
        <w:rPr>
          <w:szCs w:val="24"/>
        </w:rPr>
      </w:pPr>
      <w:r w:rsidRPr="00C93F78">
        <w:rPr>
          <w:szCs w:val="24"/>
        </w:rPr>
        <w:t>III. Wprowadzenie obowiązku przekazywania organom podatkowym informacji o schematach podatkowych (MDR)</w:t>
      </w:r>
    </w:p>
    <w:p w:rsidR="00B861DF" w:rsidRPr="00C93F78" w:rsidRDefault="00B861DF" w:rsidP="00C93F78">
      <w:pPr>
        <w:pStyle w:val="Nagwek2"/>
        <w:spacing w:after="240" w:line="360" w:lineRule="auto"/>
        <w:jc w:val="both"/>
        <w:rPr>
          <w:szCs w:val="24"/>
        </w:rPr>
      </w:pPr>
      <w:r w:rsidRPr="00C93F78">
        <w:rPr>
          <w:rFonts w:cs="Times New Roman"/>
          <w:szCs w:val="24"/>
        </w:rPr>
        <w:t xml:space="preserve"> </w:t>
      </w:r>
      <w:r w:rsidRPr="00C93F78">
        <w:rPr>
          <w:szCs w:val="24"/>
        </w:rPr>
        <w:t xml:space="preserve">Część ogólna </w:t>
      </w:r>
    </w:p>
    <w:p w:rsidR="00B861DF" w:rsidRPr="00C93F78" w:rsidRDefault="00B861DF" w:rsidP="00C93F78">
      <w:pPr>
        <w:pStyle w:val="Nagwek3"/>
        <w:spacing w:line="360" w:lineRule="auto"/>
        <w:jc w:val="both"/>
        <w:rPr>
          <w:b w:val="0"/>
        </w:rPr>
      </w:pPr>
      <w:r w:rsidRPr="00C93F78">
        <w:rPr>
          <w:b w:val="0"/>
        </w:rPr>
        <w:t>Potrzeba i cel wydania ustawy</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niniejszej ustawy jest wprowadzenie do przepisów ogólnego prawa podatkowego nowej instytucji – obowiązkowego ujawniania informacji o schematach podatkowych (ang. </w:t>
      </w:r>
      <w:r w:rsidRPr="00C93F78">
        <w:rPr>
          <w:rFonts w:ascii="Times New Roman" w:hAnsi="Times New Roman"/>
          <w:i/>
          <w:sz w:val="24"/>
          <w:szCs w:val="24"/>
        </w:rPr>
        <w:t xml:space="preserve">Mandatory Disclosure Rules – </w:t>
      </w:r>
      <w:r w:rsidRPr="00C93F78">
        <w:rPr>
          <w:rFonts w:ascii="Times New Roman" w:hAnsi="Times New Roman" w:cs="Times New Roman"/>
          <w:sz w:val="24"/>
          <w:szCs w:val="24"/>
        </w:rPr>
        <w:t xml:space="preserve">dalej: </w:t>
      </w:r>
      <w:r w:rsidRPr="00C93F78">
        <w:rPr>
          <w:rFonts w:ascii="Times New Roman" w:hAnsi="Times New Roman"/>
          <w:b/>
          <w:sz w:val="24"/>
          <w:szCs w:val="24"/>
        </w:rPr>
        <w:t>MDR</w:t>
      </w:r>
      <w:r w:rsidRPr="00C93F78">
        <w:rPr>
          <w:rFonts w:ascii="Times New Roman" w:hAnsi="Times New Roman" w:cs="Times New Roman"/>
          <w:sz w:val="24"/>
          <w:szCs w:val="24"/>
        </w:rPr>
        <w:t xml:space="preserve">), m.in. poprzez częściową transpozycję Dyrektywy Rady (UE) 2018/822 z dnia 25 maja 2018 r. zmieniająca dyrektywę 2011/16/UE w zakresie obowiązkowej automatycznej wymiany informacji w dziedzinie opodatkowania w odniesieniu do podlegających zgłoszeniu uzgodnień transgranicznych (dalej: </w:t>
      </w:r>
      <w:r w:rsidRPr="00C93F78">
        <w:rPr>
          <w:rFonts w:ascii="Times New Roman" w:hAnsi="Times New Roman"/>
          <w:b/>
          <w:sz w:val="24"/>
          <w:szCs w:val="24"/>
        </w:rPr>
        <w:t>Dyrektywa</w:t>
      </w:r>
      <w:r w:rsidRPr="00C93F78">
        <w:rPr>
          <w:rFonts w:ascii="Times New Roman" w:hAnsi="Times New Roman" w:cs="Times New Roman"/>
          <w:sz w:val="24"/>
          <w:szCs w:val="24"/>
        </w:rPr>
        <w:t xml:space="preserve">).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 przewiduje w szczególności:</w:t>
      </w:r>
    </w:p>
    <w:p w:rsidR="00B861DF" w:rsidRPr="00C93F78" w:rsidRDefault="00B861DF" w:rsidP="00C93F78">
      <w:pPr>
        <w:pStyle w:val="Akapitzlist"/>
        <w:numPr>
          <w:ilvl w:val="0"/>
          <w:numId w:val="48"/>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określenie definicji schematu podatkowego oraz przesłanek raportowania,</w:t>
      </w:r>
    </w:p>
    <w:p w:rsidR="00B861DF" w:rsidRPr="00C93F78" w:rsidRDefault="00B861DF" w:rsidP="00C93F78">
      <w:pPr>
        <w:pStyle w:val="Akapitzlist"/>
        <w:numPr>
          <w:ilvl w:val="0"/>
          <w:numId w:val="48"/>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wskazanie kręgu podmiotów obowiązanych do przekazywania informacji,</w:t>
      </w:r>
    </w:p>
    <w:p w:rsidR="00B861DF" w:rsidRPr="00C93F78" w:rsidRDefault="00B861DF" w:rsidP="00C93F78">
      <w:pPr>
        <w:pStyle w:val="Akapitzlist"/>
        <w:numPr>
          <w:ilvl w:val="0"/>
          <w:numId w:val="48"/>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określenie organu podatkowego, do którego będą kierowane informacje,</w:t>
      </w:r>
    </w:p>
    <w:p w:rsidR="00B861DF" w:rsidRPr="00C93F78" w:rsidRDefault="00B861DF" w:rsidP="00C93F78">
      <w:pPr>
        <w:pStyle w:val="Akapitzlist"/>
        <w:numPr>
          <w:ilvl w:val="0"/>
          <w:numId w:val="48"/>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zakres raportowanych informacji,</w:t>
      </w:r>
    </w:p>
    <w:p w:rsidR="00B861DF" w:rsidRPr="00C93F78" w:rsidRDefault="00B861DF" w:rsidP="00C93F78">
      <w:pPr>
        <w:pStyle w:val="Akapitzlist"/>
        <w:numPr>
          <w:ilvl w:val="0"/>
          <w:numId w:val="48"/>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sposób i termin raportowania,</w:t>
      </w:r>
    </w:p>
    <w:p w:rsidR="00B861DF" w:rsidRPr="00C93F78" w:rsidRDefault="00B861DF" w:rsidP="00C93F78">
      <w:pPr>
        <w:pStyle w:val="Akapitzlist"/>
        <w:numPr>
          <w:ilvl w:val="0"/>
          <w:numId w:val="48"/>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konsekwencje karne niewypełnienia tego obowiązku przez podmioty obowiązane.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eastAsia="Times New Roman" w:hAnsi="Times New Roman" w:cs="Times New Roman"/>
          <w:sz w:val="24"/>
          <w:szCs w:val="24"/>
          <w:lang w:eastAsia="pl-PL"/>
        </w:rPr>
        <w:t>Polska administracja skarbowa potrzebuje szybkiego dostępu do istotnych informacji dotyczących podejmowanych przez podatników działań w obszarze potencjalnie agresywnego planowania podatkowego. Tego rodzaju informacje są niezbędne w celu zidentyfikowania zagrożeń w obrębie prawa podatkowego, jakie stwarzają schematy podatkowe i podjęcia stosownych działań. Dostęp do właściwych informacji już na etapie opracowania schematów pozwala na poprawę szybkości reagowania i podejmowania kroków legislacyjnych lub regulacyjnych, w tym na skuteczniejszą ocenę ryzyka podatkowego i lepsze wykorzystanie przez administrację skarbową zasobów w celu ochrony dochodów budżetu państwa z podatków. Administracja podatkowa musi z kolei wdrożyć skuteczne procedury dla jak najlepszego wykorzystania informacji przekazywanych przez podatników. Wydatki związane z wdrożeniem tego typu rozwiązań mogą być skompensowane przez oszczędności zasobów z zastosowania szybszej i bardziej wydajnej identyfikacji pojawiających się schematów podatkowych.</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Pomijając fakt obowiązku transpozycji przepisów Dyrektywy do polskiego porządku prawnego, istotnym argumentem na rzecz wprowadzenia do polskiego porządku prawnego obowiązku raportowania schematów podatkowych i nałożenia obowiązku przekazywania informacji o tych schematach na podmioty, które zawodowo zajmują się przygotowywaniem, oferowaniem i wdrażaniem swoim klientom tych schematów są wnioski z analizy dotychczasowej praktyki w tym obszarze. Zauważyć bowiem należy, że schemat podatkowy może być pewnym rozwiązaniem intelektualnym, wypracowanym w oparciu o znajomość przepisów prawa podatkowego i praktykę jego stosowania. Taki schemat opracowywany jest przez promotora (np. doradcę podatkowego) bez uwzględniania informacji uzyskanych od jego klienta. Opracowanie takiego schematu podatkowego następuje przed spotkaniem z klientem i pozyskaniem od niego jakichkolwiek informacji. Mówimy więc tu raczej o schemacie podatkowym jako efekcie rozważań teoretycznych, opracowanym abstrakcyjnie, bez potrzeby pozyskania informacji od przyszłego klienta. W takiej sytuacji stworzony schemat podatkowy „oczekuje” u promotora (razem z innymi schematami) na implementację u klienta, u którego w oparciu o przedstawione przez klienta informacje, zidentyfikowany zostanie potencjał do implementacji tego konkretnego schematu. W tym modelu działalności informacje dostarczane przez klienta prowadzą doradcę do wybrania odpowiedniego dla danego klienta schematu spośród wcześniej przygotowanych abstrakcyjnych rozwiązań.</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Argumentem przemawiającym za trafnością takiego rozumienia procesów tworzenia i wdrażania schematów podatkowych jest obserwacja praktyki. Przykładowo wskazać można na rozwiązanie wykorzystywane na przestrzeni kilku lat przez szereg podmiotów, a związane z prowadzeniem działalności gospodarczej w formie spółek komandytowo-akcyjnych (dalej: </w:t>
      </w:r>
      <w:r w:rsidRPr="00C93F78">
        <w:rPr>
          <w:rFonts w:ascii="Times New Roman" w:hAnsi="Times New Roman"/>
          <w:b/>
          <w:sz w:val="24"/>
          <w:szCs w:val="24"/>
        </w:rPr>
        <w:t>SKA</w:t>
      </w:r>
      <w:r w:rsidRPr="00C93F78">
        <w:rPr>
          <w:rFonts w:ascii="Times New Roman" w:eastAsia="Times New Roman" w:hAnsi="Times New Roman" w:cs="Times New Roman"/>
          <w:sz w:val="24"/>
          <w:szCs w:val="24"/>
          <w:lang w:eastAsia="pl-PL"/>
        </w:rPr>
        <w:t>). Do momentu pełnego osiągnięcia skutków wynikających ze zmian w prawie podatkowym, które zaczęły obowiązywać z początkiem 2014 r., prowadzenie działalności gospodarczej w tej formie dawało wymierne korzyści podatkowe. Przykładowo opis jednego ze schematów podatkowych z wykorzystaniem SKA, pozbawionego celu gospodarczego, którego wyłącznym celem przeprowadzenia było osiągnięcie korzyści podatkowych, był przedmiotem artykułu w prasie codziennej</w:t>
      </w:r>
      <w:r w:rsidRPr="00C93F78">
        <w:rPr>
          <w:rFonts w:ascii="Times New Roman" w:eastAsia="Times New Roman" w:hAnsi="Times New Roman" w:cs="Times New Roman"/>
          <w:sz w:val="24"/>
          <w:szCs w:val="24"/>
          <w:vertAlign w:val="superscript"/>
          <w:lang w:eastAsia="pl-PL"/>
        </w:rPr>
        <w:footnoteReference w:id="10"/>
      </w:r>
      <w:r w:rsidRPr="00C93F78">
        <w:rPr>
          <w:rFonts w:ascii="Times New Roman" w:eastAsia="Times New Roman" w:hAnsi="Times New Roman" w:cs="Times New Roman"/>
          <w:sz w:val="24"/>
          <w:szCs w:val="24"/>
          <w:lang w:eastAsia="pl-PL"/>
        </w:rPr>
        <w:t>.</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O wielokrotnej implementacji wypracowanych teoretycznie schematów podatkowych z wykorzystaniem SKA świadczy gwałtowny wzrost liczby zarejestrowanych SKA na przestrzeni kilku lat. Jak wskazano w uzasadnieniu i ocenie skutków regulacji do rządowego projektu ustawy o zmianie ustawy o podatku dochodowym od osób prawnych, ustawy o podatku dochodowym od osób fizycznych oraz ustawy o podatku tonażowym z dnia 17 września 2013 r.</w:t>
      </w:r>
      <w:r w:rsidRPr="00C93F78">
        <w:rPr>
          <w:rFonts w:ascii="Times New Roman" w:eastAsia="Times New Roman" w:hAnsi="Times New Roman" w:cs="Times New Roman"/>
          <w:sz w:val="24"/>
          <w:szCs w:val="24"/>
          <w:vertAlign w:val="superscript"/>
          <w:lang w:eastAsia="pl-PL"/>
        </w:rPr>
        <w:footnoteReference w:id="11"/>
      </w:r>
      <w:r w:rsidRPr="00C93F78">
        <w:rPr>
          <w:rFonts w:ascii="Times New Roman" w:eastAsia="Times New Roman" w:hAnsi="Times New Roman" w:cs="Times New Roman"/>
          <w:sz w:val="24"/>
          <w:szCs w:val="24"/>
          <w:lang w:eastAsia="pl-PL"/>
        </w:rPr>
        <w:t xml:space="preserve"> w poszczególnych latach liczba zarejestrowanych w Krajowym Rejestrze Sądowym SKA przedstawiała się następująco:</w:t>
      </w:r>
    </w:p>
    <w:tbl>
      <w:tblPr>
        <w:tblW w:w="0" w:type="auto"/>
        <w:tblCellMar>
          <w:left w:w="0" w:type="dxa"/>
          <w:right w:w="0" w:type="dxa"/>
        </w:tblCellMar>
        <w:tblLook w:val="04A0" w:firstRow="1" w:lastRow="0" w:firstColumn="1" w:lastColumn="0" w:noHBand="0" w:noVBand="1"/>
      </w:tblPr>
      <w:tblGrid>
        <w:gridCol w:w="1409"/>
        <w:gridCol w:w="696"/>
        <w:gridCol w:w="696"/>
        <w:gridCol w:w="696"/>
        <w:gridCol w:w="696"/>
        <w:gridCol w:w="696"/>
        <w:gridCol w:w="696"/>
        <w:gridCol w:w="696"/>
        <w:gridCol w:w="756"/>
        <w:gridCol w:w="756"/>
        <w:gridCol w:w="756"/>
      </w:tblGrid>
      <w:tr w:rsidR="00B861DF" w:rsidRPr="00C93F78" w:rsidTr="002B6DD0">
        <w:trPr>
          <w:trHeight w:val="157"/>
        </w:trPr>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Rok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2003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2004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2005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2006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2007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2008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2009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2010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2011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2012 </w:t>
            </w:r>
          </w:p>
        </w:tc>
      </w:tr>
      <w:tr w:rsidR="00B861DF" w:rsidRPr="00C93F78" w:rsidTr="002B6DD0">
        <w:trPr>
          <w:trHeight w:val="347"/>
        </w:trPr>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Liczba SKA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19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27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49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123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284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570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745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1 089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1 548 </w:t>
            </w:r>
          </w:p>
        </w:tc>
        <w:tc>
          <w:tcPr>
            <w:tcW w:w="0" w:type="auto"/>
            <w:shd w:val="clear" w:color="auto" w:fill="auto"/>
            <w:tcMar>
              <w:top w:w="0" w:type="dxa"/>
              <w:left w:w="108" w:type="dxa"/>
              <w:bottom w:w="0" w:type="dxa"/>
              <w:right w:w="108" w:type="dxa"/>
            </w:tcMar>
            <w:hideMark/>
          </w:tcPr>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2 908 </w:t>
            </w:r>
          </w:p>
        </w:tc>
      </w:tr>
    </w:tbl>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Powyższe dane wskazują wyraźnie na masowość występowania w praktyce określonych schematów podatkowych. Stosowanie takich rozwiązań optymalizacyjnych prowadzi do strat finansowych budżetu państwa.</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Innym przykładem potwierdzającym taki model działania (tj. teoretyczne opracowywanie schematu podatkowego, a następnie podjęcie działań w celu jego wielokrotnej implementacji u zainteresowanych klientów) jest praktyka nadużywania podatkowych grup kapitałowych (dalej: </w:t>
      </w:r>
      <w:r w:rsidRPr="00C93F78">
        <w:rPr>
          <w:rFonts w:ascii="Times New Roman" w:hAnsi="Times New Roman"/>
          <w:b/>
          <w:sz w:val="24"/>
          <w:szCs w:val="24"/>
        </w:rPr>
        <w:t>PGK</w:t>
      </w:r>
      <w:r w:rsidRPr="00C93F78">
        <w:rPr>
          <w:rFonts w:ascii="Times New Roman" w:eastAsia="Times New Roman" w:hAnsi="Times New Roman" w:cs="Times New Roman"/>
          <w:sz w:val="24"/>
          <w:szCs w:val="24"/>
          <w:lang w:eastAsia="pl-PL"/>
        </w:rPr>
        <w:t>). Jak bowiem wskazano w uzasadnieniu do rządowego projektu ustawy o zmianie ustawy o podatku dochodowym od osób fizycznych, ustawy o podatku dochodowym od osób prawnych oraz ustawy o zryczałtowanym podatku dochodowym od niektórych przychodów osiąganych przez osoby fizyczne</w:t>
      </w:r>
      <w:r w:rsidRPr="00C93F78">
        <w:rPr>
          <w:rFonts w:ascii="Times New Roman" w:eastAsia="Times New Roman" w:hAnsi="Times New Roman" w:cs="Times New Roman"/>
          <w:sz w:val="24"/>
          <w:szCs w:val="24"/>
          <w:vertAlign w:val="superscript"/>
          <w:lang w:eastAsia="pl-PL"/>
        </w:rPr>
        <w:footnoteReference w:id="12"/>
      </w:r>
      <w:r w:rsidRPr="00C93F78">
        <w:rPr>
          <w:rFonts w:ascii="Times New Roman" w:eastAsia="Times New Roman" w:hAnsi="Times New Roman" w:cs="Times New Roman"/>
          <w:sz w:val="24"/>
          <w:szCs w:val="24"/>
          <w:lang w:eastAsia="pl-PL"/>
        </w:rPr>
        <w:t xml:space="preserve"> w latach 2010–2016 na wniosek PGK (w tym spółek zależnych) wydanych zostało łącznie 765 indywidualnych interpretacji przepisów prawa podatkowego, z czego 116 dotyczyło darowizn dokonywanych pomiędzy spółkami tworzącymi PGK. Jednocześnie liczba złożonych rocznych zeznań CIT-8A przez PGK do roku 2016 nie przekroczyła 70.</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Dane te wyraźnie wskazują, że opracowano abstrakcyjny schemat podatkowy dotyczący darowizn pomiędzy podmiotami tworzącymi PGK, a następnie starano się uzyskać interpretacje indywidualne w celu zabezpieczenia pozycji podmiotów zaangażowanych w ten schemat. Dodatkowo ten przykład wskazuje również, że dotychczas reakcja na dostrzeżone nieprawidłowości następowała dopiero </w:t>
      </w:r>
      <w:r w:rsidRPr="00C93F78">
        <w:rPr>
          <w:rFonts w:ascii="Times New Roman" w:hAnsi="Times New Roman"/>
          <w:i/>
          <w:sz w:val="24"/>
          <w:szCs w:val="24"/>
        </w:rPr>
        <w:t>post factum</w:t>
      </w:r>
      <w:r w:rsidRPr="00C93F78">
        <w:rPr>
          <w:rFonts w:ascii="Times New Roman" w:eastAsia="Times New Roman" w:hAnsi="Times New Roman" w:cs="Times New Roman"/>
          <w:sz w:val="24"/>
          <w:szCs w:val="24"/>
          <w:lang w:eastAsia="pl-PL"/>
        </w:rPr>
        <w:t>.</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Formą odpowiedzi na dostrzeżoną praktykę jest zastosowanie w projekcie pojęcia schematu podatkowego standaryzowanego (projektowany art. 86a § 1 pkt 10) oraz zasady raportowania tego schematu, w ramach których założono obowiązek przekazania informacji z opisem tego uzgodnienia bez podawania danych o korzystających (projektowany art. 86f § 2). Rozwiązanie powyższe stanowi odpowiedź na uwagi zgłoszone w trakcie przeprowadzonych konsultacji podatkowych</w:t>
      </w:r>
      <w:r w:rsidRPr="00C93F78">
        <w:rPr>
          <w:rStyle w:val="Odwoanieprzypisudolnego"/>
          <w:rFonts w:ascii="Times New Roman" w:eastAsia="Times New Roman" w:hAnsi="Times New Roman" w:cs="Times New Roman"/>
          <w:sz w:val="24"/>
          <w:szCs w:val="24"/>
          <w:lang w:eastAsia="pl-PL"/>
        </w:rPr>
        <w:footnoteReference w:id="13"/>
      </w:r>
      <w:r w:rsidRPr="00C93F78">
        <w:rPr>
          <w:rFonts w:ascii="Times New Roman" w:eastAsia="Times New Roman" w:hAnsi="Times New Roman" w:cs="Times New Roman"/>
          <w:sz w:val="24"/>
          <w:szCs w:val="24"/>
          <w:lang w:eastAsia="pl-PL"/>
        </w:rPr>
        <w:t xml:space="preserve">. Jest ono kompromisem pomiędzy uwagami zgłaszanymi przez przedstawicieli samorządów zawodowych dotyczącymi obowiązku poszanowania tajemnicy zawodowej oraz interesem publicznym, przejawiającym się w dbałości o stan finansów publicznych. Raportowanie zanonimizowanych standaryzowanych schematów podatkowych umożliwi poszanowanie tajemnicy zawodowej przy jednoczesnym zapewnieniu szybkiego dostępu administracji skarbowej do istotnych informacji dotyczących potencjalnego agresywnego planowania podatkowego. </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Kolejnym argumentem przemawiającym za wprowadzeniem do polskiego porządku prawnego mechanizmu raportowania schematów podatkowych są dane opublikowane przez Międzynarodowe Konsorcjum Dziennikarzy Śledczych (ang. </w:t>
      </w:r>
      <w:r w:rsidRPr="00C93F78">
        <w:rPr>
          <w:rFonts w:ascii="Times New Roman" w:hAnsi="Times New Roman"/>
          <w:i/>
          <w:sz w:val="24"/>
          <w:szCs w:val="24"/>
        </w:rPr>
        <w:t>The International Consortium of Investigative Journalists</w:t>
      </w:r>
      <w:r w:rsidRPr="00C93F78">
        <w:rPr>
          <w:rFonts w:ascii="Times New Roman" w:eastAsia="Times New Roman" w:hAnsi="Times New Roman" w:cs="Times New Roman"/>
          <w:sz w:val="24"/>
          <w:szCs w:val="24"/>
          <w:lang w:eastAsia="pl-PL"/>
        </w:rPr>
        <w:t xml:space="preserve">). Zawarto w nich między innymi informacje o powiązaniach z podmiotami z siedzibą w jurysdykcjach określanych jako „raje podatkowe”. Weryfikacja danych pochodzących z wycieków dokumentów w ramach: </w:t>
      </w:r>
      <w:r w:rsidRPr="00C93F78">
        <w:rPr>
          <w:rFonts w:ascii="Times New Roman" w:hAnsi="Times New Roman"/>
          <w:i/>
          <w:sz w:val="24"/>
          <w:szCs w:val="24"/>
        </w:rPr>
        <w:t>Offshore Leaks</w:t>
      </w:r>
      <w:r w:rsidRPr="00C93F78">
        <w:rPr>
          <w:rFonts w:ascii="Times New Roman" w:eastAsia="Times New Roman" w:hAnsi="Times New Roman" w:cs="Times New Roman"/>
          <w:sz w:val="24"/>
          <w:szCs w:val="24"/>
          <w:lang w:eastAsia="pl-PL"/>
        </w:rPr>
        <w:t xml:space="preserve"> (2013), </w:t>
      </w:r>
      <w:r w:rsidRPr="00C93F78">
        <w:rPr>
          <w:rFonts w:ascii="Times New Roman" w:hAnsi="Times New Roman"/>
          <w:i/>
          <w:sz w:val="24"/>
          <w:szCs w:val="24"/>
        </w:rPr>
        <w:t>Panama Papers</w:t>
      </w:r>
      <w:r w:rsidRPr="00C93F78">
        <w:rPr>
          <w:rFonts w:ascii="Times New Roman" w:eastAsia="Times New Roman" w:hAnsi="Times New Roman" w:cs="Times New Roman"/>
          <w:sz w:val="24"/>
          <w:szCs w:val="24"/>
          <w:lang w:eastAsia="pl-PL"/>
        </w:rPr>
        <w:t xml:space="preserve"> (2016) oraz </w:t>
      </w:r>
      <w:r w:rsidRPr="00C93F78">
        <w:rPr>
          <w:rFonts w:ascii="Times New Roman" w:hAnsi="Times New Roman"/>
          <w:i/>
          <w:sz w:val="24"/>
          <w:szCs w:val="24"/>
        </w:rPr>
        <w:t>Paradise Papers</w:t>
      </w:r>
      <w:r w:rsidRPr="00C93F78">
        <w:rPr>
          <w:rFonts w:ascii="Times New Roman" w:eastAsia="Times New Roman" w:hAnsi="Times New Roman" w:cs="Times New Roman"/>
          <w:sz w:val="24"/>
          <w:szCs w:val="24"/>
          <w:lang w:eastAsia="pl-PL"/>
        </w:rPr>
        <w:t xml:space="preserve"> (2017) wskazuje, że konsorcjum dziennikarzy powiązało z Polską ponad 1000 podmiotów</w:t>
      </w:r>
      <w:r w:rsidRPr="00C93F78">
        <w:rPr>
          <w:rFonts w:ascii="Times New Roman" w:eastAsia="Times New Roman" w:hAnsi="Times New Roman" w:cs="Times New Roman"/>
          <w:sz w:val="24"/>
          <w:szCs w:val="24"/>
          <w:vertAlign w:val="superscript"/>
          <w:lang w:eastAsia="pl-PL"/>
        </w:rPr>
        <w:footnoteReference w:id="14"/>
      </w:r>
      <w:r w:rsidRPr="00C93F78">
        <w:rPr>
          <w:rFonts w:ascii="Times New Roman" w:eastAsia="Times New Roman" w:hAnsi="Times New Roman" w:cs="Times New Roman"/>
          <w:sz w:val="24"/>
          <w:szCs w:val="24"/>
          <w:lang w:eastAsia="pl-PL"/>
        </w:rPr>
        <w:t>. Powiązania te dotyczą osób fizycznych oraz osób prawnych. Ujawnione dokumenty pokazują, że stosowane są różne często skomplikowane struktury obejmujące sieć powiązań kapitałowych lub osobowych.</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Część z funkcjonujących w praktyce schematów podatkowych opisana została w opublikowanych przez Ministerstwo Finansów ostrzeżeniach o możliwości zastosowania klauzuli ogólnej przeciwko unikaniu opodatkowania</w:t>
      </w:r>
      <w:r w:rsidRPr="00C93F78">
        <w:rPr>
          <w:rFonts w:ascii="Times New Roman" w:eastAsia="Times New Roman" w:hAnsi="Times New Roman" w:cs="Times New Roman"/>
          <w:sz w:val="24"/>
          <w:szCs w:val="24"/>
          <w:vertAlign w:val="superscript"/>
          <w:lang w:eastAsia="pl-PL"/>
        </w:rPr>
        <w:footnoteReference w:id="15"/>
      </w:r>
      <w:r w:rsidRPr="00C93F78">
        <w:rPr>
          <w:rFonts w:ascii="Times New Roman" w:eastAsia="Times New Roman" w:hAnsi="Times New Roman" w:cs="Times New Roman"/>
          <w:sz w:val="24"/>
          <w:szCs w:val="24"/>
          <w:lang w:eastAsia="pl-PL"/>
        </w:rPr>
        <w:t>.</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Za wprowadzeniem do polskiego porządku prawnego zasad obowiązkowego ujawniania informacji o schematach podatkowych przemawia również szczególna ochrona konstytucyjnych zasad sprawiedliwości podatkowej i powszechności opodatkowania oraz ochrona równowagi budżetowej i stabilności finansów publicznych. Nakładanie przez państwo podatków i ściąganie dochodów budżetowych jest czynnikiem ściśle powiązanym z suwerennością państwa i z tego powodu powinno podlegać szczególnej ochronie.</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eastAsia="Times New Roman" w:hAnsi="Times New Roman" w:cs="Times New Roman"/>
          <w:sz w:val="24"/>
          <w:szCs w:val="24"/>
          <w:lang w:eastAsia="pl-PL"/>
        </w:rPr>
        <w:t>Artykuł 84 Konstytucji</w:t>
      </w:r>
      <w:r w:rsidRPr="00C93F78">
        <w:rPr>
          <w:rFonts w:ascii="Times New Roman" w:hAnsi="Times New Roman" w:cs="Times New Roman"/>
          <w:sz w:val="24"/>
          <w:szCs w:val="24"/>
        </w:rPr>
        <w:t xml:space="preserve"> RP określa zasadę powszechności opodatkowania, będącą wyrazem zasady sprawiedliwości podatkowej, wynikającej z art. 217 Konstytucji RP. Wprowadzenie MDR wypełni lukę w systemie podatkowym, która powoduje, że wartości konstytucyjne – równość i powszechność opodatkowania – nie są w pełni realizowane. Wprowadzenie zasad raportowania powinno zniechęcić podatników do stosowania praktyk polegających na unikaniu opodatkowania przy użyciu schematów podatkowych.</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Unikanie opodatkowania stanowi także zagrożenie dla wartości konstytucyjnej, jaką jest równowaga budżetowa i stabilność finansów publicznych. Równowaga budżetowa stanowi samoistną wartość konstytucyjną, od której zależy zdolność państwa do działania i</w:t>
      </w:r>
      <w:r w:rsidRPr="00C93F78">
        <w:rPr>
          <w:rFonts w:ascii="Times New Roman" w:hAnsi="Times New Roman" w:cs="Times New Roman"/>
        </w:rPr>
        <w:t> </w:t>
      </w:r>
      <w:r w:rsidRPr="00C93F78">
        <w:rPr>
          <w:rFonts w:ascii="Times New Roman" w:hAnsi="Times New Roman"/>
        </w:rPr>
        <w:t>wypełniania jego zadań. Konieczność jej ochrony i zachowania wynika z ogółu regulacji zawartych w</w:t>
      </w:r>
      <w:r w:rsidRPr="00C93F78">
        <w:rPr>
          <w:rFonts w:ascii="Times New Roman" w:hAnsi="Times New Roman" w:cs="Times New Roman"/>
        </w:rPr>
        <w:t> </w:t>
      </w:r>
      <w:r w:rsidRPr="00C93F78">
        <w:rPr>
          <w:rFonts w:ascii="Times New Roman" w:hAnsi="Times New Roman"/>
        </w:rPr>
        <w:t>rozdziale X Konstytucji RP oraz z jej art. 1 stanowiącego, że Rzeczpospolita Polska jest dobrem wspólnym. Z orzecznictwa Trybunału Konstytucyjnego wynika, że różnego rodzaju wartości konstytucyjne powinny być ze sobą harmonijnie godzone, z tym zastrzeżeniem, że akurat te wartości konstytucyjne, którymi są równowaga budżetowa i</w:t>
      </w:r>
      <w:r w:rsidRPr="00C93F78">
        <w:rPr>
          <w:rFonts w:ascii="Times New Roman" w:hAnsi="Times New Roman" w:cs="Times New Roman"/>
        </w:rPr>
        <w:t> </w:t>
      </w:r>
      <w:r w:rsidRPr="00C93F78">
        <w:rPr>
          <w:rFonts w:ascii="Times New Roman" w:hAnsi="Times New Roman"/>
        </w:rPr>
        <w:t>stabilność finansów publicznych, mają zdecydowanie priorytetowy charakter (zob. wyroki TK z: 26 listopada 2001</w:t>
      </w:r>
      <w:r w:rsidRPr="00C93F78">
        <w:rPr>
          <w:rFonts w:ascii="Times New Roman" w:hAnsi="Times New Roman" w:cs="Times New Roman"/>
        </w:rPr>
        <w:t> </w:t>
      </w:r>
      <w:r w:rsidRPr="00C93F78">
        <w:rPr>
          <w:rFonts w:ascii="Times New Roman" w:hAnsi="Times New Roman"/>
        </w:rPr>
        <w:t>r., sygn. K</w:t>
      </w:r>
      <w:r w:rsidRPr="00C93F78">
        <w:rPr>
          <w:rFonts w:ascii="Times New Roman" w:hAnsi="Times New Roman" w:cs="Times New Roman"/>
        </w:rPr>
        <w:t> </w:t>
      </w:r>
      <w:r w:rsidRPr="00C93F78">
        <w:rPr>
          <w:rFonts w:ascii="Times New Roman" w:hAnsi="Times New Roman"/>
        </w:rPr>
        <w:t>2/00; 12 grudnia 2012 r., sygn. K 1/12). Społeczna gospodarka rynkowa oparta na wolności działalności gospodarczej, własności prywatnej oraz solidarności, dialogu i</w:t>
      </w:r>
      <w:r w:rsidRPr="00C93F78">
        <w:rPr>
          <w:rFonts w:ascii="Times New Roman" w:hAnsi="Times New Roman" w:cs="Times New Roman"/>
        </w:rPr>
        <w:t> </w:t>
      </w:r>
      <w:r w:rsidRPr="00C93F78">
        <w:rPr>
          <w:rFonts w:ascii="Times New Roman" w:hAnsi="Times New Roman"/>
        </w:rPr>
        <w:t>współpracy partnerów społecznych stanowi podstawę ustroju gospodarczego Rzeczypospolitej Polskiej.</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Z kolei art. 20 Konstytucji RP wyraża zasady ustroju gospodarczego Rzeczypospolitej Polskiej wskazując, że jego podstawę stanowi społeczna gospodarka rynkowa oparta na wolności działalności gospodarczej, własności prywatnej oraz solidarności, dialogu i</w:t>
      </w:r>
      <w:r w:rsidRPr="00C93F78">
        <w:rPr>
          <w:rFonts w:ascii="Times New Roman" w:hAnsi="Times New Roman" w:cs="Times New Roman"/>
        </w:rPr>
        <w:t> </w:t>
      </w:r>
      <w:r w:rsidRPr="00C93F78">
        <w:rPr>
          <w:rFonts w:ascii="Times New Roman" w:hAnsi="Times New Roman"/>
        </w:rPr>
        <w:t>współpracy partnerów społecznych. Podstawową zasadą tego ustroju jest wolność gospodarcza, obejmująca m.in. prawo do konkurencji. Ograniczenie wolności prowadzenia działalności i konkurencji może mieć miejsce ze względu na konieczność realizacji innej zasady konstytucyjnej i może nastąpić jedynie w drodze ustawy.</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Ustawa o Prawo przedsiębiorców</w:t>
      </w:r>
      <w:r w:rsidRPr="00C93F78">
        <w:rPr>
          <w:rStyle w:val="Odwoanieprzypisudolnego"/>
          <w:rFonts w:ascii="Times New Roman" w:hAnsi="Times New Roman" w:cs="Times New Roman"/>
        </w:rPr>
        <w:footnoteReference w:id="16"/>
      </w:r>
      <w:r w:rsidRPr="00C93F78">
        <w:rPr>
          <w:rFonts w:ascii="Times New Roman" w:hAnsi="Times New Roman"/>
        </w:rPr>
        <w:t xml:space="preserve"> uszczegóławia konstytucyjną zasadę wolności wykonywania działalności gospodarczej stanowiąc w art. 2, że: „podejmowanie, wykonywanie i zakończenie działalności gospodarczej jest wolne dla każdego na równych prawach</w:t>
      </w:r>
      <w:r w:rsidRPr="00C93F78" w:rsidDel="00B25C3D">
        <w:rPr>
          <w:rFonts w:ascii="Times New Roman" w:hAnsi="Times New Roman"/>
        </w:rPr>
        <w:t xml:space="preserve"> </w:t>
      </w:r>
      <w:r w:rsidRPr="00C93F78">
        <w:rPr>
          <w:rFonts w:ascii="Times New Roman" w:hAnsi="Times New Roman"/>
        </w:rPr>
        <w:t>". Wcześniej zasada ta ujęta była w art. 6 ust. 1 ustawy o swobodzie działalności gospodarczej</w:t>
      </w:r>
      <w:r w:rsidRPr="00C93F78">
        <w:rPr>
          <w:rStyle w:val="Odwoanieprzypisudolnego"/>
          <w:rFonts w:ascii="Times New Roman" w:hAnsi="Times New Roman" w:cs="Times New Roman"/>
        </w:rPr>
        <w:footnoteReference w:id="17"/>
      </w:r>
      <w:r w:rsidRPr="00C93F78">
        <w:rPr>
          <w:rFonts w:ascii="Times New Roman" w:hAnsi="Times New Roman"/>
        </w:rPr>
        <w:t>. Wolność gospodarcza pozostaje w ścisłym związku z zasadami niedyskryminacji i ochrony konkurencji wyrażonymi też w prawie unijnym. Przysługuje ona na równych prawach z</w:t>
      </w:r>
      <w:r w:rsidRPr="00C93F78">
        <w:rPr>
          <w:rFonts w:ascii="Times New Roman" w:hAnsi="Times New Roman" w:cs="Times New Roman"/>
        </w:rPr>
        <w:t> </w:t>
      </w:r>
      <w:r w:rsidRPr="00C93F78">
        <w:rPr>
          <w:rFonts w:ascii="Times New Roman" w:hAnsi="Times New Roman"/>
        </w:rPr>
        <w:t>obywatelami polskimi wszystkim osobom z krajów UE i EOG, tj. obywatelom państw członkowskich oraz spółkom utworzonym zgodnie z porządkiem prawnym któregokolwiek z państw członkowskich (lub spółce europejskiej) i mających siedzibę na terenie UE. Zasada ochrony konkurencji doznaje uszczerbku poprzez nieuczciwe zachowania podmiotów prowadzących działalność gospodarczą, stosujących agresywne planowanie podatkowe. Podatnicy stosujący schematy podatkowe i uczestniczący w systemach podatkowych, których celem jest uzyskanie korzyści w związku z unikaniem opodatkowania, zdobywają przewagę konkurencyjną nad podmiotami niestosującymi tego typu metod. Zdobyta w nieuczciwy sposób przewaga nie może podlegać ochronie. W tym przypadku, dla zachowania konkurencji, państwo powinno podjąć działania, zmierzające do powstrzymywania utrudnień w prowadzeniu przedsiębiorstw ze strony innych podmiotów i wyrównania szans.</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Szczególna ochrona tych wartości konstytucyjnych wymaga więc wprowadzenia do polskiego porządku prawnego obowiązku raportowania schematów podatkowych.</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Należy też podkreślić istotną funkcję wprowadzanych zasad MDR jaką jest zniechęcenie podatników do korzystania ze schematów podatkowych. Wiedząc, że rezultaty i ewentualne korzyści podatkowe udziału w schematach podatkowych będą musiały zostać ujawnione i</w:t>
      </w:r>
      <w:r w:rsidRPr="00C93F78">
        <w:rPr>
          <w:rFonts w:ascii="Times New Roman" w:hAnsi="Times New Roman" w:cs="Times New Roman"/>
        </w:rPr>
        <w:t> </w:t>
      </w:r>
      <w:r w:rsidRPr="00C93F78">
        <w:rPr>
          <w:rFonts w:ascii="Times New Roman" w:hAnsi="Times New Roman"/>
        </w:rPr>
        <w:t xml:space="preserve">mogą być później kwestionowane przez administrację podatkową, jest mniej prawdopodobne, że podatnik podejmie ryzyko wejścia do systemu agresywnego planowania podatkowego. </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Systemy obowiązkowego raportowania schematów podatkowych wymagają ujawnienia informacji nie tylko przez osoby korzystające ze schematu, ale także przez inne podmioty uczestniczące w projektowaniu i wprowadzaniu do obrotu schematu. Konieczne będzie nałożenie obowiązku raportowania schematów podatkowych na część zawodów regulowanych zbliżonych do obowiązków informacyjnych w przypadku np. prania pieniędzy. Zwiększa się zatem prawdopodobieństwo uzyskania przez administrację skarbową informacji o schematach podatkowych, co z uwagi na potencjalnie negatywne konsekwencje podatkowe, może zniechęcić zainteresowanych do skorzystania ze schematu. Korzyścią dla podatników płynącą z wprowadzenia zasad MDR może być zmniejszenie liczby kontroli podatkowych. Dzięki temu, że organy podatkowe będą dysponowały szczegółowymi informacjami o</w:t>
      </w:r>
      <w:r w:rsidRPr="00C93F78">
        <w:rPr>
          <w:rFonts w:ascii="Times New Roman" w:hAnsi="Times New Roman" w:cs="Times New Roman"/>
        </w:rPr>
        <w:t> </w:t>
      </w:r>
      <w:r w:rsidRPr="00C93F78">
        <w:rPr>
          <w:rFonts w:ascii="Times New Roman" w:hAnsi="Times New Roman"/>
        </w:rPr>
        <w:t>stosowanych schematach podatkowych oraz obszarach, w których występuje agresywne planowanie podatkowe, będą mogły precyzyjnie określać cele kontroli podatkowej. Będzie to</w:t>
      </w:r>
      <w:r w:rsidRPr="00C93F78">
        <w:rPr>
          <w:rFonts w:ascii="Times New Roman" w:hAnsi="Times New Roman" w:cs="Times New Roman"/>
        </w:rPr>
        <w:t> </w:t>
      </w:r>
      <w:r w:rsidRPr="00C93F78">
        <w:rPr>
          <w:rFonts w:ascii="Times New Roman" w:hAnsi="Times New Roman"/>
        </w:rPr>
        <w:t>skutkowało nakierowaniem organów podatkowych na kontrole dokładnie wytypowanych podatników.</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eastAsia="Times New Roman" w:hAnsi="Times New Roman" w:cs="Times New Roman"/>
          <w:sz w:val="24"/>
          <w:szCs w:val="24"/>
          <w:lang w:eastAsia="pl-PL"/>
        </w:rPr>
        <w:t xml:space="preserve">Dodatkowym argumentem wskazującym na konieczność wprowadzenia projektowanych rozwiązań jest analiza tendencji w rozwoju relacji gospodarczych. Integracja gospodarek i rynków krajowych w ostatnich latach wzrosła w znacznym stopniu. </w:t>
      </w:r>
      <w:r w:rsidRPr="00C93F78">
        <w:rPr>
          <w:rFonts w:ascii="Times New Roman" w:hAnsi="Times New Roman" w:cs="Times New Roman"/>
          <w:sz w:val="24"/>
          <w:szCs w:val="24"/>
        </w:rPr>
        <w:t xml:space="preserve">Obserwowane we wszystkich rozwiniętych gospodarkach rynkowych działania podatników, noszące znamiona agresywnej optymalizacji podatkowej, umożliwiają całkowite lub częściowe uniknięcie obciążeń podatkowych. Słabości krajowych systemów podatkowych tworzą możliwość erozji podstawy opodatkowania i przerzucenia zysków (ang. </w:t>
      </w:r>
      <w:r w:rsidRPr="00C93F78">
        <w:rPr>
          <w:rFonts w:ascii="Times New Roman" w:hAnsi="Times New Roman"/>
          <w:i/>
          <w:sz w:val="24"/>
          <w:szCs w:val="24"/>
        </w:rPr>
        <w:t>Base Erosion and Profit Shifting - BEPS</w:t>
      </w:r>
      <w:r w:rsidRPr="00C93F78">
        <w:rPr>
          <w:rFonts w:ascii="Times New Roman" w:hAnsi="Times New Roman" w:cs="Times New Roman"/>
          <w:sz w:val="24"/>
          <w:szCs w:val="24"/>
        </w:rPr>
        <w:t>) i są często wykorzystywane do planowania podatkowego przez korporacje wielonarodowe. Globalizacja zjawiska całkowitego lub częściowego unikania opodatkowania zysku w kraju prowadzenia faktycznej działalności wymusza na rządach państw zwalczanie tego zjawiska. Wymaga to zdecydowanych działań w celu przywrócenia zaufania do systemów podatkowych poszczególnych państw. Międzynarodowe organizacje takie jak Organizacja Współpracy Gospodarczej i Rozwoju czy Unia Europejska, wskazują na potrzebę podjęcia nowych działań i wprowadzenia instrumentów potrzebnych do rozwiązania problemu agresywnego planowania podatkowego z użyciem schematów zarówno na poziomie krajowym jak i międzynarodowym.</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Projektowane przepisy dotyczące obowiązkowego raportowania schematów podatkowych to część większego procesu zmian w prawie podatkowym, który zmierza do ograniczenia nieuczciwych praktyk podatkowych. Inicjatywa dotycząca przeciwdziałania erozji bazy podatkowej i przenoszeniu zysków podjęta została przez Organizację Współpracy Gospodarczej i Rozwoju. OECD wraz z przedstawicielami państw Grupy G20 opublikowała w 2015 roku ostateczną wersję raportu </w:t>
      </w:r>
      <w:r w:rsidRPr="00C93F78">
        <w:rPr>
          <w:rFonts w:ascii="Times New Roman" w:hAnsi="Times New Roman"/>
          <w:i/>
          <w:sz w:val="24"/>
          <w:szCs w:val="24"/>
        </w:rPr>
        <w:t>Mandatory Disclosure Rules, Action 12 - 2015 Final Report OECD</w:t>
      </w:r>
      <w:r w:rsidRPr="00C93F78">
        <w:rPr>
          <w:rStyle w:val="Odwoanieprzypisudolnego"/>
          <w:rFonts w:ascii="Times New Roman" w:hAnsi="Times New Roman" w:cs="Times New Roman"/>
          <w:i/>
          <w:sz w:val="24"/>
          <w:szCs w:val="24"/>
        </w:rPr>
        <w:footnoteReference w:id="18"/>
      </w:r>
      <w:r w:rsidRPr="00C93F78">
        <w:rPr>
          <w:rFonts w:ascii="Times New Roman" w:hAnsi="Times New Roman" w:cs="Times New Roman"/>
          <w:sz w:val="24"/>
          <w:szCs w:val="24"/>
        </w:rPr>
        <w:t xml:space="preserve"> w którym rekomendowanym działaniem, mającym na celu przeciwdziałanie praktykom nadużyć podatkowych, jest wprowadzenie przez państwa członkowskie zasad obowiązkowego ujawniania informacji. W raporcie określono zalecenia dotyczące między innymi modelowego projektu obowiązkowego systemu raportowania, w którym wykorzystano doświadczenia państw, w których funkcjonuje system obowiązkowego ujawniania informacji podatkowych.</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zaleceniami OECD dotyczącymi obowiązkowego systemu ujawniania informacji, celem tego systemu jest też zdobycie informacji o międzynarodowych systemach podatkowych. OECD rekomenduje rozwiązanie, zgodnie z którym zasady obowiązkowego ujawniania informacji zostały rozszerzone i umocnione w taki sposób, by zwiększyć skuteczność walki z transgranicznymi schematami unikania opodatkowania.</w:t>
      </w:r>
    </w:p>
    <w:p w:rsidR="00E4219D" w:rsidRPr="00C93F78" w:rsidRDefault="00E4219D" w:rsidP="001F5C69">
      <w:pPr>
        <w:spacing w:before="120"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Realizacja zasady proporcjonalności</w:t>
      </w:r>
    </w:p>
    <w:p w:rsidR="00E4219D" w:rsidRPr="00C93F78" w:rsidRDefault="00E4219D" w:rsidP="001F5C69">
      <w:pPr>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Prawodawca w ramach prac legislacyjnych obowiązany jest uwzględnić </w:t>
      </w:r>
      <w:r w:rsidR="009B4C84" w:rsidRPr="00C93F78">
        <w:rPr>
          <w:rFonts w:ascii="Times New Roman" w:eastAsia="Calibri" w:hAnsi="Times New Roman" w:cs="Times New Roman"/>
          <w:sz w:val="24"/>
          <w:szCs w:val="24"/>
        </w:rPr>
        <w:t>konstytucyjną zasadę proporcjonalności, z</w:t>
      </w:r>
      <w:r w:rsidRPr="00C93F78">
        <w:rPr>
          <w:rFonts w:ascii="Times New Roman" w:eastAsia="Calibri" w:hAnsi="Times New Roman" w:cs="Times New Roman"/>
          <w:sz w:val="24"/>
          <w:szCs w:val="24"/>
        </w:rPr>
        <w:t xml:space="preserve"> któr</w:t>
      </w:r>
      <w:r w:rsidR="009B4C84" w:rsidRPr="00C93F78">
        <w:rPr>
          <w:rFonts w:ascii="Times New Roman" w:eastAsia="Calibri" w:hAnsi="Times New Roman" w:cs="Times New Roman"/>
          <w:sz w:val="24"/>
          <w:szCs w:val="24"/>
        </w:rPr>
        <w:t>ej</w:t>
      </w:r>
      <w:r w:rsidRPr="00C93F78">
        <w:rPr>
          <w:rFonts w:ascii="Times New Roman" w:eastAsia="Calibri" w:hAnsi="Times New Roman" w:cs="Times New Roman"/>
          <w:sz w:val="24"/>
          <w:szCs w:val="24"/>
        </w:rPr>
        <w:t xml:space="preserve"> Trybunał Konstytucyjny wyprowadził trzy powiązane między sobą obowiązki prawodawcy: 1) przyjmowanie danej regulacji tylko wówczas, gdy jest niezbędna dla ochrony interesu publicznego, z którym jest związana, 2) kształtowanie danej regulacji w sposób zapewniający osiągnięcie zamierzonych celów (skutków), 3) zachowanie proporcji między efektami wprowadzonej regulacji a ciężarami bądź niedogodnościami wynikającymi z niej dla obywateli. Zasada ta kładzie szczególny nacisk na adekwatność celu i środka użytego do jego osiągnięcia. To znaczy, że spośród możliwych środków oddziaływania należałoby wybierać środki skuteczne dla osiągnięcia założonych celów, a zarazem jak najmniej uciążliwe dla podmiotów, wobec których mają być zastosowane, lub dolegliwe w stopniu nie większym niż jest to niezbędne dla osiągnięcia założonego celu (wyroki z: 18 października 2011 r., SK 2/10, 12 stycznia 2012 r., Kp 10/09 i 23 maja 2012 r., P 11/10).</w:t>
      </w:r>
    </w:p>
    <w:p w:rsidR="00E4219D" w:rsidRPr="00C93F78" w:rsidRDefault="00E4219D" w:rsidP="001F5C69">
      <w:pPr>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Projektowane rozwiązania nie stanowią naruszenia analizowanej zasady. Zasadność wprowadzenia projektowanych przepisów niejednokrotnie jest wskazana w różnych częściach uzasadnienia. Ocena Skutków Regulacji wskazuje kwoty korzyści dla budżetu państwa w związku z wprowadzeniem MDR. </w:t>
      </w:r>
    </w:p>
    <w:p w:rsidR="00E4219D" w:rsidRPr="00C93F78" w:rsidRDefault="00E4219D" w:rsidP="001F5C69">
      <w:pPr>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MDR uzupełnia dostępne administracji podatkowej narzędzia do walki z agresywnym opodatkowaniem. W odróżnieniu od innych jest rozwiązaniem znacznie bardziej precyzyjnym i przede wszystkim szybszym. Dotychczas organy podatkowe nie były w stanie – na podstawie dostępnych rozwiązań (instytucji) – osiągnąć celów określonych Dyrektywą. Rozwiązanie MDR zakłada później międzynarodową wymianę informacji o możliwych potencjalnych agresywnych schematach podatkowych. Dotychczas w UE nie było takiego rodzaju rozwiązania, na podstawie którego dane państwo otrzymuje szczegółową informację o potencjalnych zagrożeniach dla budżetu państwa (zob. również część uzasadnienia dot. umów o unikaniu podwójnego opodatkowania str. 87).</w:t>
      </w:r>
      <w:r w:rsidR="00214B8A" w:rsidRPr="00C93F78">
        <w:rPr>
          <w:rFonts w:ascii="Times New Roman" w:eastAsia="Calibri" w:hAnsi="Times New Roman" w:cs="Times New Roman"/>
          <w:sz w:val="24"/>
          <w:szCs w:val="24"/>
        </w:rPr>
        <w:t xml:space="preserve"> </w:t>
      </w:r>
    </w:p>
    <w:p w:rsidR="00E4219D" w:rsidRPr="00C93F78" w:rsidRDefault="00E4219D" w:rsidP="001F5C69">
      <w:pPr>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Niemniej jednak, należy podkreślić, iż niezbędność (konieczność) wprowadzenia tych regulacji dla ochrony interesu publicznego znalazłaby swoje uzasadnienie również przy braku obowiązku transpozycji Dyrektywy Rady 2018/822. Odpowiedź na konieczność wprowadzenia rozwiązań MDR znajduje się w istotnych, często bardzo głębokich zmianach zachodzących na arenie szeroko rozumianego międzynarodowego prawa podatkowego, oraz we efektywności tego rozwiązania, potwierdzonej przez OECD w raporcie BEPS</w:t>
      </w:r>
      <w:r w:rsidRPr="00C93F78">
        <w:rPr>
          <w:rFonts w:ascii="Times New Roman" w:eastAsia="Calibri" w:hAnsi="Times New Roman" w:cs="Times New Roman"/>
          <w:sz w:val="24"/>
          <w:szCs w:val="24"/>
          <w:vertAlign w:val="superscript"/>
        </w:rPr>
        <w:footnoteReference w:id="19"/>
      </w:r>
      <w:r w:rsidRPr="00C93F78">
        <w:rPr>
          <w:rFonts w:ascii="Times New Roman" w:eastAsia="Calibri" w:hAnsi="Times New Roman" w:cs="Times New Roman"/>
          <w:sz w:val="24"/>
          <w:szCs w:val="24"/>
        </w:rPr>
        <w:t xml:space="preserve">. Globalizacja, jej skutki oraz brak dostatecznej ochrony przez państwa budżetów państw, dały swój wyraz na przełomie 2008/09 r. w postaci kryzysu finansowego. Wtedy to, m.in. OECD postanowiło wypracować wytyczne dla państw, celem tworzenia ram (rozwiązań) instytucjonalnych oraz prawnych walki z agresywnym opodatkowaniem. Owocem działań OECD są przede wszystkim wytyczne w ramach projektu BEPS. Raz jeszcze warto wskazać, iż z raportu OECD wynika, że z sukcesem dla budżetów państw kontynentalnych można zastosować instytucje (rozwiązania) prawne, które dotychczas sprawdziły się w systemach prawnych </w:t>
      </w:r>
      <w:r w:rsidRPr="00C93F78">
        <w:rPr>
          <w:rFonts w:ascii="Times New Roman" w:eastAsia="Calibri" w:hAnsi="Times New Roman" w:cs="Times New Roman"/>
          <w:i/>
          <w:sz w:val="24"/>
          <w:szCs w:val="24"/>
        </w:rPr>
        <w:t>common law,</w:t>
      </w:r>
      <w:r w:rsidRPr="00C93F78">
        <w:rPr>
          <w:rFonts w:ascii="Times New Roman" w:eastAsia="Calibri" w:hAnsi="Times New Roman" w:cs="Times New Roman"/>
          <w:sz w:val="24"/>
          <w:szCs w:val="24"/>
        </w:rPr>
        <w:t xml:space="preserve"> np. w Wielkiej Brytanii czy przede wszystkim USA. Niemniej jednak, skopiowane rozwiązania muszą oczywiście odzwierciedlać i „wpisywać się” w systemy danych państw. </w:t>
      </w:r>
    </w:p>
    <w:p w:rsidR="00E4219D" w:rsidRPr="00C93F78" w:rsidRDefault="00E4219D"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Prawodawca transponując unijne przepisy prawa podatkowego kieruje się celem Dyrektywy, przyjmując rozwiązania w „duchu” krajowego systemu prawa, w tym przypadku prawa podatkowego. Przyjęte ustawowe rozwiązania dają gwarancję prawidłowej ochrony praw podatników, podmiotów przekazujących informacje o schematach podatkowych oraz skutecznie zrealizują zakładany cel ustawy odnoszący się do wprowadzenia MDR. </w:t>
      </w:r>
    </w:p>
    <w:p w:rsidR="00E4219D" w:rsidRPr="00C93F78" w:rsidRDefault="00E4219D"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Wprowadzając rozwiązania MDR, prawodawca – dla jak najmniejszego obciążenia adresatów tych norm - przyjął rozwiązania systemowe możliwie najbardziej przejrzyste i czytelne, planując jednocześnie informatyczne formy przekazywania tych informacji. Ze względu na cel Dyrektywy (objęcie rozwiązaniami najszerszy krąg podmiotów oraz możliwych sytuacji), zarówno sama Dyrektywa i tym samym projektowana ustawa musi posługiwać się zwrotami, określeniami, które mogą wydawać się nieostre i generalne. Z jednej strony może to powodować pewne trudności interpretacyjne, z drugiej jednak regulacja bardziej precyzyjna i, co za tym idzie, kazuistyczna byłaby o wiele obszerniejsza oraz bardziej podatna na powstawanie luk prawnych, pozwalających np. na omijanie przepisów. Mając to na uwadze na przełomie października</w:t>
      </w:r>
      <w:r w:rsidR="00214B8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i listopada 2017 r. Ministerstwo Finansów przeprowadziło w tym </w:t>
      </w:r>
      <w:r w:rsidR="00DC2B5E" w:rsidRPr="00C93F78">
        <w:rPr>
          <w:rFonts w:ascii="Times New Roman" w:eastAsia="Calibri" w:hAnsi="Times New Roman" w:cs="Times New Roman"/>
          <w:sz w:val="24"/>
          <w:szCs w:val="24"/>
        </w:rPr>
        <w:t>z</w:t>
      </w:r>
      <w:r w:rsidRPr="00C93F78">
        <w:rPr>
          <w:rFonts w:ascii="Times New Roman" w:eastAsia="Calibri" w:hAnsi="Times New Roman" w:cs="Times New Roman"/>
          <w:sz w:val="24"/>
          <w:szCs w:val="24"/>
        </w:rPr>
        <w:t>akresie konsultacje podatkowe</w:t>
      </w:r>
      <w:r w:rsidRPr="00C93F78">
        <w:rPr>
          <w:rFonts w:ascii="Times New Roman" w:eastAsia="Calibri" w:hAnsi="Times New Roman" w:cs="Times New Roman"/>
          <w:sz w:val="24"/>
          <w:szCs w:val="24"/>
          <w:vertAlign w:val="superscript"/>
        </w:rPr>
        <w:footnoteReference w:id="20"/>
      </w:r>
      <w:r w:rsidRPr="00C93F78">
        <w:rPr>
          <w:rFonts w:ascii="Times New Roman" w:eastAsia="Calibri" w:hAnsi="Times New Roman" w:cs="Times New Roman"/>
          <w:sz w:val="24"/>
          <w:szCs w:val="24"/>
        </w:rPr>
        <w:t>. Projektowana ustawa w zakresie MDR uwzględnia zgłoszone wtedy uwagi</w:t>
      </w:r>
      <w:r w:rsidR="009B4C84" w:rsidRPr="00C93F78">
        <w:rPr>
          <w:rFonts w:ascii="Times New Roman" w:eastAsia="Calibri" w:hAnsi="Times New Roman" w:cs="Times New Roman"/>
          <w:sz w:val="24"/>
          <w:szCs w:val="24"/>
        </w:rPr>
        <w:t>.</w:t>
      </w:r>
    </w:p>
    <w:p w:rsidR="00365927" w:rsidRPr="00C93F78" w:rsidRDefault="00365927"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W zakresie warunku tzw. proporcjonalności </w:t>
      </w:r>
      <w:r w:rsidRPr="00C93F78">
        <w:rPr>
          <w:rFonts w:ascii="Times New Roman" w:eastAsia="Calibri" w:hAnsi="Times New Roman" w:cs="Times New Roman"/>
          <w:i/>
          <w:sz w:val="24"/>
          <w:szCs w:val="24"/>
        </w:rPr>
        <w:t>sensu stricto</w:t>
      </w:r>
      <w:r w:rsidRPr="00C93F78">
        <w:rPr>
          <w:rFonts w:ascii="Times New Roman" w:eastAsia="Calibri" w:hAnsi="Times New Roman" w:cs="Times New Roman"/>
          <w:sz w:val="24"/>
          <w:szCs w:val="24"/>
        </w:rPr>
        <w:t>, czyli proporcji spodziewanych efektów projektowanej regulacji do nakładanych nią obowiązków i ograniczeń, wskazać należy na szereg rozwiązań „łagodzących” zaproponowanych w projekcie:</w:t>
      </w:r>
    </w:p>
    <w:p w:rsidR="00365927" w:rsidRPr="00C93F78" w:rsidRDefault="00365927"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1) progi </w:t>
      </w:r>
      <w:r w:rsidRPr="00C93F78">
        <w:rPr>
          <w:rFonts w:ascii="Times New Roman" w:eastAsia="Calibri" w:hAnsi="Times New Roman" w:cs="Times New Roman"/>
          <w:i/>
          <w:sz w:val="24"/>
          <w:szCs w:val="24"/>
        </w:rPr>
        <w:t>de minimis</w:t>
      </w:r>
      <w:r w:rsidRPr="00C93F78">
        <w:rPr>
          <w:rFonts w:ascii="Times New Roman" w:eastAsia="Calibri" w:hAnsi="Times New Roman" w:cs="Times New Roman"/>
          <w:sz w:val="24"/>
          <w:szCs w:val="24"/>
        </w:rPr>
        <w:t xml:space="preserve"> w definicji kwalifikowanego korzystającego (</w:t>
      </w:r>
      <w:r w:rsidR="0043281B" w:rsidRPr="00C93F78">
        <w:rPr>
          <w:rFonts w:ascii="Times New Roman" w:eastAsia="Calibri" w:hAnsi="Times New Roman" w:cs="Times New Roman"/>
          <w:sz w:val="24"/>
          <w:szCs w:val="24"/>
        </w:rPr>
        <w:t>3</w:t>
      </w:r>
      <w:r w:rsidRPr="00C93F78">
        <w:rPr>
          <w:rFonts w:ascii="Times New Roman" w:eastAsia="Calibri" w:hAnsi="Times New Roman" w:cs="Times New Roman"/>
          <w:sz w:val="24"/>
          <w:szCs w:val="24"/>
        </w:rPr>
        <w:t>0 milionów złotych przychodów, kosztów lub aktywów), w innych szczególnych cechach rozpoznawczych (kwoty 5 i 25 milionów złotych) oraz w obowiązku stosowania przez podmioty zatrudniające promotorów wewnętrznych procedur (8 milionów złotych przychodów), które znacząca redukują zakres podmiotowy i przedmiotowy regulacji w obszarze, w jakim wychodzi ona poza minimum wynikające z Dyrektywy;</w:t>
      </w:r>
    </w:p>
    <w:p w:rsidR="00365927" w:rsidRPr="00C93F78" w:rsidRDefault="00365927"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2) ochrona tajemnicy zawodowej wyrażająca się w możliwości nieprzekazania informacji przez promotora, jeżeli naruszałoby to tę tajemnicę (zgodnie z Dyrektywą jest to dla państw członkowskich opcja, z której projektodawca zdecydował się skorzystać, w celu ochrony tak ważnej wartości);</w:t>
      </w:r>
    </w:p>
    <w:p w:rsidR="00365927" w:rsidRPr="00C93F78" w:rsidRDefault="00365927"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3) ułatwienie wywiązania się z obowiązku przekazania informacji przez korzystających, na których obowiązek ten „przeszedł” z uwagi na tajemnicę zawodową ich promotorów – promotor powinien przekazać korzystającemu informacje, które w jego ocenie powinny podlegać przekazaniu – dzięki temu uciążliwość tego obowiązku dla podmiotów nieprofesjonalnych jest znacząco ograniczona.</w:t>
      </w:r>
    </w:p>
    <w:p w:rsidR="00365927" w:rsidRPr="00C93F78" w:rsidRDefault="00365927"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 ocenie projektodawcy przyjęcie dalej idących rozwiązań łagodzących nowe ciężary</w:t>
      </w:r>
      <w:r w:rsidR="001B795C" w:rsidRPr="00C93F78">
        <w:rPr>
          <w:rFonts w:ascii="Times New Roman" w:eastAsia="Calibri" w:hAnsi="Times New Roman" w:cs="Times New Roman"/>
          <w:sz w:val="24"/>
          <w:szCs w:val="24"/>
        </w:rPr>
        <w:t xml:space="preserve"> miałoby istotny </w:t>
      </w:r>
      <w:r w:rsidR="009B4C84" w:rsidRPr="00C93F78">
        <w:rPr>
          <w:rFonts w:ascii="Times New Roman" w:eastAsia="Calibri" w:hAnsi="Times New Roman" w:cs="Times New Roman"/>
          <w:sz w:val="24"/>
          <w:szCs w:val="24"/>
        </w:rPr>
        <w:t>negatywny skutek dla zakładanych efektów</w:t>
      </w:r>
      <w:r w:rsidR="001B795C" w:rsidRPr="00C93F78">
        <w:rPr>
          <w:rFonts w:ascii="Times New Roman" w:eastAsia="Calibri" w:hAnsi="Times New Roman" w:cs="Times New Roman"/>
          <w:sz w:val="24"/>
          <w:szCs w:val="24"/>
        </w:rPr>
        <w:t xml:space="preserve"> regulacji. Zaproponowany kształt przepisów wydaje się optymalnie </w:t>
      </w:r>
      <w:r w:rsidR="009B4C84" w:rsidRPr="00C93F78">
        <w:rPr>
          <w:rFonts w:ascii="Times New Roman" w:eastAsia="Calibri" w:hAnsi="Times New Roman" w:cs="Times New Roman"/>
          <w:sz w:val="24"/>
          <w:szCs w:val="24"/>
        </w:rPr>
        <w:t>równoważyć</w:t>
      </w:r>
      <w:r w:rsidR="001B795C" w:rsidRPr="00C93F78">
        <w:rPr>
          <w:rFonts w:ascii="Times New Roman" w:eastAsia="Calibri" w:hAnsi="Times New Roman" w:cs="Times New Roman"/>
          <w:sz w:val="24"/>
          <w:szCs w:val="24"/>
        </w:rPr>
        <w:t xml:space="preserve"> obowiązki i ograniczenia wynikające z projektu ze spodziewanymi </w:t>
      </w:r>
      <w:r w:rsidR="009B4C84" w:rsidRPr="00C93F78">
        <w:rPr>
          <w:rFonts w:ascii="Times New Roman" w:eastAsia="Calibri" w:hAnsi="Times New Roman" w:cs="Times New Roman"/>
          <w:sz w:val="24"/>
          <w:szCs w:val="24"/>
        </w:rPr>
        <w:t>korzyściami</w:t>
      </w:r>
      <w:r w:rsidR="001B795C" w:rsidRPr="00C93F78">
        <w:rPr>
          <w:rFonts w:ascii="Times New Roman" w:eastAsia="Calibri" w:hAnsi="Times New Roman" w:cs="Times New Roman"/>
          <w:sz w:val="24"/>
          <w:szCs w:val="24"/>
        </w:rPr>
        <w:t xml:space="preserve">. W konsekwencji warunek proporcjonalności </w:t>
      </w:r>
      <w:r w:rsidR="001B795C" w:rsidRPr="00C93F78">
        <w:rPr>
          <w:rFonts w:ascii="Times New Roman" w:eastAsia="Calibri" w:hAnsi="Times New Roman" w:cs="Times New Roman"/>
          <w:i/>
          <w:sz w:val="24"/>
          <w:szCs w:val="24"/>
        </w:rPr>
        <w:t>sensu stricto</w:t>
      </w:r>
      <w:r w:rsidR="001B795C" w:rsidRPr="00C93F78">
        <w:rPr>
          <w:rFonts w:ascii="Times New Roman" w:eastAsia="Calibri" w:hAnsi="Times New Roman" w:cs="Times New Roman"/>
          <w:sz w:val="24"/>
          <w:szCs w:val="24"/>
        </w:rPr>
        <w:t xml:space="preserve"> należy uznać za spełniony.</w:t>
      </w:r>
    </w:p>
    <w:p w:rsidR="00E4219D" w:rsidRPr="00C93F78" w:rsidRDefault="00E4219D" w:rsidP="00C93F78">
      <w:pPr>
        <w:keepNext/>
        <w:spacing w:before="120"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Rozwiązania wychodzące poza wymagania Dyrektywy</w:t>
      </w:r>
    </w:p>
    <w:p w:rsidR="00E4219D" w:rsidRPr="00C93F78" w:rsidRDefault="00E4219D"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Niniejsza część uzasadnienia dotyczy skorzystania z zasady określonej w Dyrektywie (motyw 10 Preambuły Dyrektywy),</w:t>
      </w:r>
      <w:r w:rsidR="00045BD1" w:rsidRPr="00C93F78">
        <w:rPr>
          <w:rFonts w:ascii="Times New Roman" w:eastAsia="Calibri" w:hAnsi="Times New Roman" w:cs="Times New Roman"/>
          <w:sz w:val="24"/>
          <w:szCs w:val="24"/>
        </w:rPr>
        <w:t xml:space="preserve"> który</w:t>
      </w:r>
      <w:r w:rsidRPr="00C93F78">
        <w:rPr>
          <w:rFonts w:ascii="Times New Roman" w:eastAsia="Calibri" w:hAnsi="Times New Roman" w:cs="Times New Roman"/>
          <w:sz w:val="24"/>
          <w:szCs w:val="24"/>
        </w:rPr>
        <w:t xml:space="preserve"> mówi „(…) </w:t>
      </w:r>
      <w:r w:rsidRPr="00C93F78">
        <w:rPr>
          <w:rFonts w:ascii="Times New Roman" w:eastAsia="Calibri" w:hAnsi="Times New Roman" w:cs="Times New Roman"/>
          <w:i/>
          <w:sz w:val="24"/>
          <w:szCs w:val="24"/>
        </w:rPr>
        <w:t>Państwo członkowskie może przedsięwziąć dodatkowe krajowe środki sprawozdawcze o podobnym charakterze, jednak wszelkie informacje zebrane dodatkowo względem informacji podlegających zgłoszeniu zgodnie z niniejszą dyrektywą nie powinny być automatycznie przekazywane właściwym organom innych państw członkowskich. Informacje takie mogłyby być udostępniane na wniosek lub z własnej inicjatywy zgodnie z mającymi zastosowanie przepisami.</w:t>
      </w:r>
      <w:r w:rsidRPr="00C93F78">
        <w:rPr>
          <w:rFonts w:ascii="Times New Roman" w:eastAsia="Calibri" w:hAnsi="Times New Roman" w:cs="Times New Roman"/>
          <w:sz w:val="24"/>
          <w:szCs w:val="24"/>
        </w:rPr>
        <w:t>”</w:t>
      </w:r>
    </w:p>
    <w:p w:rsidR="00E4219D" w:rsidRPr="00C93F78" w:rsidRDefault="00E4219D"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Dyrektywa dotyczy uzgodnień transgranicznych oraz ich automatycznej wymiany pomiędzy państwami członkowskimi. Wynika to z faktu ścisłego zainteresowania prawodawcy unijnego funkcjonowaniem wspólnego rynku i związanych z tym transgranicznych operacji gospodarczych. Polski prawodawca jest jednak zdania, że agresywna optymalizacja nie dotyczy tylko uzgodnień transgranicznych. Jak pokazuje dotychczasowa praktyka agresywnej optymalizacji podatkowej w Polsce, wskazana również w niniejszym uzasadnieniu, często unikanie opodatkowania dotyczy właśnie relacji </w:t>
      </w:r>
      <w:r w:rsidRPr="00C93F78">
        <w:rPr>
          <w:rFonts w:ascii="Times New Roman" w:eastAsia="Calibri" w:hAnsi="Times New Roman" w:cs="Times New Roman"/>
          <w:i/>
          <w:sz w:val="24"/>
          <w:szCs w:val="24"/>
        </w:rPr>
        <w:t>stricte</w:t>
      </w:r>
      <w:r w:rsidRPr="00C93F78">
        <w:rPr>
          <w:rFonts w:ascii="Times New Roman" w:eastAsia="Calibri" w:hAnsi="Times New Roman" w:cs="Times New Roman"/>
          <w:sz w:val="24"/>
          <w:szCs w:val="24"/>
        </w:rPr>
        <w:t xml:space="preserve"> krajowych. W ocenie prawodawcy, zasadnym jest zatem określenie rozwiązań MDR do krajowych sytuacji, celem szybkiego otrzymania informacji o schematach podatkowych. </w:t>
      </w:r>
    </w:p>
    <w:p w:rsidR="00E4219D" w:rsidRPr="00C93F78" w:rsidRDefault="00E4219D"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Dyrektywa w świetle jej motywu 10 umożliwia więc państwom członkowskim Unii Europejskiej nałożenie obowiązków raportowania o schematach podatkowych również do uzgodnień, które nie mają w sobie elementu transgranicznego. Polski prawodawca postanowił skorzystać z tej możliwości, jednakże przewidując dodatkowe</w:t>
      </w:r>
      <w:r w:rsidR="00214B8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przesłanki do powstania obowiązku raportowania uzgodnień krajowych w stosunku do uzgodnień transgranicznych. W przypadku obowiązku raportowania schematów podatkowych dla uzgodnień krajowych zastosowano kwotowy próg podmiotowy (zob. projektowane art. 86a § 4 i 5 Ordynacji podatkowej, w których zastosowano kwotę </w:t>
      </w:r>
      <w:r w:rsidR="0043281B" w:rsidRPr="00C93F78">
        <w:rPr>
          <w:rFonts w:ascii="Times New Roman" w:eastAsia="Calibri" w:hAnsi="Times New Roman" w:cs="Times New Roman"/>
          <w:sz w:val="24"/>
          <w:szCs w:val="24"/>
        </w:rPr>
        <w:t>3</w:t>
      </w:r>
      <w:r w:rsidRPr="00C93F78">
        <w:rPr>
          <w:rFonts w:ascii="Times New Roman" w:eastAsia="Calibri" w:hAnsi="Times New Roman" w:cs="Times New Roman"/>
          <w:sz w:val="24"/>
          <w:szCs w:val="24"/>
        </w:rPr>
        <w:t xml:space="preserve">0 milionów złotych przychodów / kosztów / wartości praw jako kryterium kwalifikowanego korzystającego powodującego obowiązek raportowania krajowych schematów podatkowych). Kryterium to stanowi swoisty próg </w:t>
      </w:r>
      <w:r w:rsidRPr="00C93F78">
        <w:rPr>
          <w:rFonts w:ascii="Times New Roman" w:eastAsia="Calibri" w:hAnsi="Times New Roman" w:cs="Times New Roman"/>
          <w:i/>
          <w:sz w:val="24"/>
          <w:szCs w:val="24"/>
        </w:rPr>
        <w:t xml:space="preserve">de minimis </w:t>
      </w:r>
      <w:r w:rsidRPr="00C93F78">
        <w:rPr>
          <w:rFonts w:ascii="Times New Roman" w:eastAsia="Calibri" w:hAnsi="Times New Roman" w:cs="Times New Roman"/>
          <w:sz w:val="24"/>
          <w:szCs w:val="24"/>
        </w:rPr>
        <w:t>dla schematów krajowych</w:t>
      </w:r>
      <w:r w:rsidRPr="00C93F78">
        <w:rPr>
          <w:rFonts w:ascii="Times New Roman" w:eastAsia="Calibri" w:hAnsi="Times New Roman" w:cs="Times New Roman"/>
          <w:i/>
          <w:sz w:val="24"/>
          <w:szCs w:val="24"/>
        </w:rPr>
        <w:t xml:space="preserve">, </w:t>
      </w:r>
      <w:r w:rsidRPr="00C93F78">
        <w:rPr>
          <w:rFonts w:ascii="Times New Roman" w:eastAsia="Calibri" w:hAnsi="Times New Roman" w:cs="Times New Roman"/>
          <w:sz w:val="24"/>
          <w:szCs w:val="24"/>
        </w:rPr>
        <w:t xml:space="preserve">który spowoduje wyłączenie zdecydowanej większości podatników spod reżimu raportowania krajowych schematów podatkowych. </w:t>
      </w:r>
    </w:p>
    <w:p w:rsidR="00E4219D" w:rsidRPr="00C93F78" w:rsidRDefault="00E4219D"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Dodatkowo, kryteria kwotowe zastosowano do „innych szczególnych cech rozpoznawczych” (zob. projektowany art. 86a § 1 pkt 13 Ordynacji podatkowej). W opisie tych cech zastosowano progi </w:t>
      </w:r>
      <w:r w:rsidRPr="00C93F78">
        <w:rPr>
          <w:rFonts w:ascii="Times New Roman" w:eastAsia="Calibri" w:hAnsi="Times New Roman" w:cs="Times New Roman"/>
          <w:i/>
          <w:sz w:val="24"/>
          <w:szCs w:val="24"/>
        </w:rPr>
        <w:t>de minimis</w:t>
      </w:r>
      <w:r w:rsidRPr="00C93F78">
        <w:rPr>
          <w:rFonts w:ascii="Times New Roman" w:eastAsia="Calibri" w:hAnsi="Times New Roman" w:cs="Times New Roman"/>
          <w:sz w:val="24"/>
          <w:szCs w:val="24"/>
        </w:rPr>
        <w:t xml:space="preserve"> 5 lub 25 milionów złotych.</w:t>
      </w:r>
      <w:r w:rsidR="001B795C" w:rsidRPr="00C93F78">
        <w:rPr>
          <w:rFonts w:ascii="Times New Roman" w:eastAsia="Calibri" w:hAnsi="Times New Roman" w:cs="Times New Roman"/>
          <w:sz w:val="24"/>
          <w:szCs w:val="24"/>
        </w:rPr>
        <w:t xml:space="preserve"> Podobne ograniczenie wprowadzono również przy obowiązku stosowania przez podmioty zatrudniające promotorów wewnętrznych procedur związanych z przeciwdziałaniem naruszania obowiązków z zakresu MDR (próg 8 milionów złotych przychodów takiego podmiotu).</w:t>
      </w:r>
    </w:p>
    <w:p w:rsidR="00E4219D" w:rsidRPr="00C93F78" w:rsidRDefault="00E4219D" w:rsidP="00C93F78">
      <w:pPr>
        <w:keepNext/>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Powyższe rozwiązania w istotny sposób „ograniczą” zakres oddziaływania projektowanych przepisów i w efekcie obowiązek raportowania krajowych schematów podatkowych będzie spoczywać na tych podatnikach, których działania tzw. optymalizacji podatkowej prowadzić mogą do istotnych skutków w dochodach budżetu państwa i jednostek samorządu terytorialnego.</w:t>
      </w:r>
    </w:p>
    <w:p w:rsidR="00E4219D" w:rsidRPr="00C93F78" w:rsidRDefault="00E4219D" w:rsidP="00C93F78">
      <w:pPr>
        <w:keepNext/>
        <w:spacing w:before="120"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Szczegółowe wskazanie działań na forum Unii Europejskiej</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Uznając, że przejrzyste ramy dla rozwijania działalności gospodarczej mogłyby przyczynić się do zahamowania zjawiska unikania opodatkowania i uchylania się od opodatkowania na rynku wewnętrznym, Komisja została wezwana do podjęcia inicjatyw w sprawie obowiązkowego ujawniania informacji dotyczących uzgodnień z zakresu potencjalnie agresywnego planowania podatkowego zgodnie z działaniem 12 projektu OECD dotyczącego erozji bazy podatkowej i przenoszenia zysków (motyw preambuły 4 Dyrektywy).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W związku z powyższym, w dniu 5 czerwca 2018 r. w Dzienniku Urzędowym Unii Europejskiej opublikowano Dyrektywę Rady (UE) 2018/822 z dnia 25 maja 2018 r. zmieniającą dyrektywę 2011/16/UE w zakresie obowiązkowej automatycznej wymiany informacji w dziedzinie opodatkowania w odniesieniu do podlegających zgłoszeniu uzgodnień transgranicznych. Dyrektywa ta wpisuje się w proces zwiększania przejrzystości i wymiany informacji, uznanych za jedne z kluczowych środków mających na celu walkę z agresywnym planowaniem podatkowym i uchylaniem się od opodatkowania. Główne cele projektowanej dyrektywy, to rozwiązanie problemu unikania opodatkowania i uchylania się od opodatkowania poprzez wprowadzenie obowiązku raportowania o transgranicznych uzgodnieniach z zakresu potencjalnie agresywnego planowania podatkowego przez pośredników i podatników.</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Dyrektywy jest zwiększenie przejrzystości i dostępu organów podatkowych do właściwych informacji na wczesnym etapie, co powinno umożliwić organom szybszą i dokładniejszą ocenę ryzyka oraz terminowe podejmowanie świadomych decyzji w zakresie ochrony dochodów podatkowych państw członkowskich Unii Europejskiej. Jeżeli organy podatkowe będą otrzymywać informacje o uzgodnieniach z zakresu potencjalnie agresywnego planowania podatkowego przed ich wdrożeniem, powinny być w stanie monitorować uzgodnienia i reagować na stwarzane przez nie zagrożenia podatkowe poprzez podjęcie odpowiednich kroków w celu ich ograniczenia.</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Dwoma kluczowymi celami MDR są:</w:t>
      </w:r>
    </w:p>
    <w:p w:rsidR="00B861DF" w:rsidRPr="00C93F78" w:rsidRDefault="00B861DF" w:rsidP="00C93F78">
      <w:pPr>
        <w:pStyle w:val="Akapitzlist"/>
        <w:numPr>
          <w:ilvl w:val="0"/>
          <w:numId w:val="31"/>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szybki dostęp administracji podatkowych do informacji o potencjalnie agresywnym planowaniu lub nadużyciach związanych z planowaniem podatkowym oraz o promotorach i użytkownikach schematów podatkowych,</w:t>
      </w:r>
    </w:p>
    <w:p w:rsidR="00B861DF" w:rsidRPr="00C93F78" w:rsidRDefault="00B861DF" w:rsidP="00C93F78">
      <w:pPr>
        <w:pStyle w:val="Akapitzlist"/>
        <w:numPr>
          <w:ilvl w:val="0"/>
          <w:numId w:val="31"/>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zniechęcenie podatników i ich doradców do korzystania ze schematów podatkowych.</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Przepisy dyrektywy przewidują obowiązek przyjęcia i publikacji przez państwa członkowskie najpóźniej do dnia 31 grudnia 2019</w:t>
      </w:r>
      <w:r w:rsidRPr="00C93F78">
        <w:rPr>
          <w:rFonts w:ascii="Times New Roman" w:hAnsi="Times New Roman" w:cs="Times New Roman"/>
        </w:rPr>
        <w:t> </w:t>
      </w:r>
      <w:r w:rsidRPr="00C93F78">
        <w:rPr>
          <w:rFonts w:ascii="Times New Roman" w:hAnsi="Times New Roman"/>
        </w:rPr>
        <w:t>r., przepisów ustawowych, wykonawczych i</w:t>
      </w:r>
      <w:r w:rsidRPr="00C93F78">
        <w:rPr>
          <w:rFonts w:ascii="Times New Roman" w:hAnsi="Times New Roman" w:cs="Times New Roman"/>
        </w:rPr>
        <w:t> </w:t>
      </w:r>
      <w:r w:rsidRPr="00C93F78">
        <w:rPr>
          <w:rFonts w:ascii="Times New Roman" w:hAnsi="Times New Roman"/>
        </w:rPr>
        <w:t>administracyjnych niezbędnych do wykonania tej dyrektywy. Dyrektywa będzie miała zastosowanie od dnia 1 lipca 2020 r.</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Zgodnie z ustawodawstwem unijnym, każde państwo członkowskie ma obowiązek wdrożenia dyrektywy w terminie przez nią określonym. Jednocześnie w okresie poprzedzającym termin implementacji, państwo jest zobowiązane powstrzymać się od wydawania przepisów, które mogłyby podważyć cele dyrektyw</w:t>
      </w:r>
      <w:r w:rsidRPr="00C93F78">
        <w:rPr>
          <w:rStyle w:val="Odwoanieprzypisudolnego"/>
          <w:rFonts w:ascii="Times New Roman" w:hAnsi="Times New Roman" w:cs="Times New Roman"/>
        </w:rPr>
        <w:footnoteReference w:id="21"/>
      </w:r>
      <w:r w:rsidRPr="00C93F78">
        <w:rPr>
          <w:rFonts w:ascii="Times New Roman" w:hAnsi="Times New Roman"/>
        </w:rPr>
        <w:t>. Zatem w okresie prac nad transpozycją dyrektywy państwa członkowskie UE muszą podejmować działania na rzecz osiągnięcia rezultatu określonego w dyrektywie i powstrzymywać się od działań, które mogłyby utrudniać jej późniejszą transpozycję. Niniejszy projekt ustawy realizuję tę zasadę, w możliwie największym stopniu „transponując” jej przepisy do krajowego ustawodawstwa. Niemniej jednak, pełna transpozycja do polskiego ustawodawstwa kwestii związanych przede wszystkim z automatyczną wymianą informacji o schematach podatkowych, będzie miała miejsce w 2019 r. Niniejsza ustawa krok po kroku implementuje do polskiego systemu prawnego założenia dyrektywy, którymi są m.in. raportowanie przez pośrednika (</w:t>
      </w:r>
      <w:r w:rsidRPr="00C93F78">
        <w:rPr>
          <w:rFonts w:ascii="Times New Roman" w:hAnsi="Times New Roman"/>
          <w:i/>
        </w:rPr>
        <w:t>intermediary</w:t>
      </w:r>
      <w:r w:rsidRPr="00C93F78">
        <w:rPr>
          <w:rFonts w:ascii="Times New Roman" w:hAnsi="Times New Roman"/>
        </w:rPr>
        <w:t>) z</w:t>
      </w:r>
      <w:r w:rsidRPr="00C93F78">
        <w:rPr>
          <w:rFonts w:ascii="Times New Roman" w:hAnsi="Times New Roman" w:cs="Times New Roman"/>
        </w:rPr>
        <w:t> </w:t>
      </w:r>
      <w:r w:rsidRPr="00C93F78">
        <w:rPr>
          <w:rFonts w:ascii="Times New Roman" w:hAnsi="Times New Roman"/>
        </w:rPr>
        <w:t>możliwością powołania się na tajemnicę zawodową oraz raportowanie do państwa rezydencji pośrednika lub podatnika (w zależności, który podmiot zobowiązany jest do zaraportowania) są zgodne z przepisami projektowanej ustawy. Kolejnym etapem implementacji Dyrektywy będzie nowelizacja ustawy o wymianie informacji podatkowych z innymi państwami</w:t>
      </w:r>
      <w:r w:rsidRPr="00C93F78">
        <w:rPr>
          <w:rStyle w:val="Odwoanieprzypisudolnego"/>
          <w:rFonts w:ascii="Times New Roman" w:hAnsi="Times New Roman" w:cs="Times New Roman"/>
        </w:rPr>
        <w:footnoteReference w:id="22"/>
      </w:r>
      <w:r w:rsidRPr="00C93F78">
        <w:rPr>
          <w:rFonts w:ascii="Times New Roman" w:hAnsi="Times New Roman"/>
        </w:rPr>
        <w:t xml:space="preserve">. </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Wprowadzając obowiązek raportowania o schematach podatkowych, warto również podkreślić, iż dotychczasowe doświadczenia Polski oraz innych krajów wskazują, że same umowy o</w:t>
      </w:r>
      <w:r w:rsidRPr="00C93F78">
        <w:rPr>
          <w:rFonts w:ascii="Times New Roman" w:hAnsi="Times New Roman" w:cs="Times New Roman"/>
          <w:noProof/>
        </w:rPr>
        <w:t> </w:t>
      </w:r>
      <w:r w:rsidRPr="00C93F78">
        <w:rPr>
          <w:rFonts w:ascii="Times New Roman" w:hAnsi="Times New Roman"/>
        </w:rPr>
        <w:t xml:space="preserve">unikaniu podwójnego opodatkowania, jak również wprowadzenie klauzuli przeciwko unikaniu opodatkowania czy też obowiązkowej wymiany informacji podatkowych z innymi państwami, nie wystarczają do efektywnego przeciwdziałania częściowemu lub całkowitemu unikaniu opodatkowania oraz uszczelniania systemu podatkowego. </w:t>
      </w:r>
    </w:p>
    <w:p w:rsidR="00B861DF" w:rsidRPr="00C93F78" w:rsidRDefault="00B861DF" w:rsidP="00C93F78">
      <w:pPr>
        <w:pStyle w:val="NormalnyWeb"/>
        <w:spacing w:before="120" w:line="360" w:lineRule="auto"/>
        <w:jc w:val="both"/>
        <w:rPr>
          <w:rFonts w:ascii="Times New Roman" w:hAnsi="Times New Roman"/>
        </w:rPr>
      </w:pPr>
      <w:r w:rsidRPr="00C93F78">
        <w:rPr>
          <w:rFonts w:ascii="Times New Roman" w:hAnsi="Times New Roman"/>
        </w:rPr>
        <w:t>Uzyskanie wszechstronnych i istotnych informacji na temat potencjalnie agresywnego planowania podatkowego oraz strategii podatkowych stosowanych z użyciem schematów to jedno z głównych wyzwań stojących przed organami podatkowymi na całym świecie. Dostęp do takich informacji na wczesnym etapie daje możliwość szybkiego reagowania na ryzyko podatkowe poprzez dokonanie jego oceny i dokonanie koniecznej zmiany przepisów prawa w tym zakresie.</w:t>
      </w:r>
    </w:p>
    <w:p w:rsidR="00B861DF" w:rsidRPr="00C93F78" w:rsidRDefault="00B861DF" w:rsidP="00C93F78">
      <w:pPr>
        <w:pStyle w:val="Nagwek3"/>
        <w:spacing w:line="360" w:lineRule="auto"/>
        <w:jc w:val="both"/>
        <w:rPr>
          <w:b w:val="0"/>
        </w:rPr>
      </w:pPr>
      <w:r w:rsidRPr="00C93F78">
        <w:rPr>
          <w:b w:val="0"/>
        </w:rPr>
        <w:t xml:space="preserve">Stan prawny w dziedzinie, która ma być unormowana </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W polskim systemie podatkowym nie ma obowiązku ujawniania informacji o schematach podatkowych umożliwiających administracji podatkowej pozyskiwanie informacji w oparciu o dobrowolne czy też obowiązkowe ich przekazywanie przez podmioty opracowujące czy stosujące takie schematy. Dostępność tego rodzaju informacji jest niezbędna dla szybkiego określenia przez administrację skarbową obszarów polityki podatkowej i dochodów, gdzie poprzez stosowanie schematów podatkowych podatnicy uzyskują nieuzasadnione korzyści podatkowe.</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Pewnym źródłem informacji o niepożądanych działaniach w obrębie prawa podatkowego są wnioski o wydanie indywidualnej interpretacji prawa podatkowego. Funkcjonująca na gruncie przepisów Ordynacji podatkowej możliwość wystąpienia z wnioskiem o wydanie indywidualnej interpretacji przepisów prawa podatkowego stanowi jednak niewystarczające źródło informacji o stosowanych schematach podatkowych. Ocena taka wynika z zauważalnej praktyki polegającej na dzieleniu złożonych, wieloetapowych schematów i operacji gospodarczych powiązanych ze sobą celowościowo i ekonomicznie na poszczególne części i występowanie z wnioskami o wydanie interpretacji podatkowych jedynie dla części wdrażanego schematu bez wykazania ich prawdziwego celu. Częściowo wynika to z istoty tej instytucji, gdyż każdy wnioskodawca (np. uczestnik schematu optymalizacyjnego) stara się uzyskać indywidualną interpretację dotyczącą jego konkretnej sytuacji. Dodatkowo zauważyć należy, że celem instytucji interpretacji indywidualnych nie jest dostarczanie organom podatkowym wiedzy o schematach podatkowych, ale umożliwienie zainteresowanym zdobycia urzędowego potwierdzenia sposobu interpretacji przepisów prawa podatkowego i wynikającą stąd ochroną prawną.</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Nie stanowi także wystarczającej odpowiedzi na potrzebę dostarczania organom podatkowym wiedzy o schematach podatkowych a podatnikom potrzebnej ochrony, uregulowana w przepisach Ordynacji podatkowej, instytucja opinii zabezpieczającej. Dobrowolność wystąpienia z wnioskiem o wydanie opinii zabezpieczającej, brak wiedzy co do tego czy dany schemat działań jest potencjalnie niebezpieczny oraz kwestie proceduralne związane z takim wnioskiem powodują, że instytucja ta również nie umożliwia w zadowalającym stopniu zdobycia wczesnej informacji na temat schematów podatkowych, które występują w praktyce obrotu gospodarczego.</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W chwili obecnej kluczowym źródłem informacji o realizowanych schematach podatkowych pozostają kontrole i postępowania podatkowe, w trakcie których w indywidualnych sprawach określane są konsekwencje podatkowe i niekiedy karno-skarbowe tych schematów. Kontrole i postępowania podatkowe nie stanowią jednak efektywnego narzędzia do wczesnego wykrywania i reagowania na nieprawidłowości w obszarze prawa podatkowego, gdyż kontrole prowadzone są, z istoty rzeczy, dopiero po zaistnieniu stanu faktycznego.</w:t>
      </w:r>
    </w:p>
    <w:p w:rsidR="00B861DF" w:rsidRPr="00C93F78" w:rsidRDefault="00B861DF" w:rsidP="00C93F78">
      <w:pPr>
        <w:keepNext/>
        <w:spacing w:before="120" w:after="0" w:line="360" w:lineRule="auto"/>
        <w:jc w:val="both"/>
        <w:rPr>
          <w:rFonts w:ascii="Times New Roman" w:hAnsi="Times New Roman"/>
          <w:i/>
          <w:sz w:val="24"/>
          <w:szCs w:val="24"/>
        </w:rPr>
      </w:pPr>
      <w:r w:rsidRPr="00C93F78">
        <w:rPr>
          <w:rFonts w:ascii="Times New Roman" w:hAnsi="Times New Roman"/>
          <w:i/>
          <w:sz w:val="24"/>
          <w:szCs w:val="24"/>
        </w:rPr>
        <w:t>Rozwiązania stosowane w innych państwach</w:t>
      </w:r>
      <w:r w:rsidRPr="00C93F78">
        <w:rPr>
          <w:rFonts w:ascii="Times New Roman" w:eastAsia="Times New Roman" w:hAnsi="Times New Roman" w:cs="Times New Roman"/>
          <w:i/>
          <w:sz w:val="24"/>
          <w:szCs w:val="24"/>
          <w:lang w:eastAsia="pl-PL"/>
        </w:rPr>
        <w:t>.</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W wielu krajach członkowskich OECD wprowadzono inicjatywy dotyczące obowiązkowego ujawniania informacji o schematach podatkowych czy planowaniu podatkowym oraz zgłaszanie ich użytkowników, promotorów i doradców. W każdym przypadku, celem obowiązkowego ujawnienia jest w większym lub mniejszym stopniu obowiązek lub zachęcenie podatników i ich doradców do systematycznego przekazywania organom podatkowym istotnych informacji na temat działań w sferze planowania podatkowego podatnika, które są albo bardziej szczegółowe lub aktualne w porównaniu z informacjami wykazanymi w deklaracji podatkowej.</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W niektórych krajach wprowadzono system dobrowolnego przekazywania określonych informacji przez podatników np. o poszczególnych transakcjach. Jednak, w przeciwieństwie do systemu obowiązkowego informowania, dodatkowe obowiązki sprawozdawcze wypełniane dobrowolnie zazwyczaj nie dostarczają organom podatkowym bezpośrednich informacji na temat planowania podatkowego czy stosowania schematów podatkowych. </w:t>
      </w:r>
    </w:p>
    <w:p w:rsidR="00B861DF" w:rsidRPr="00C93F78" w:rsidRDefault="00B861DF" w:rsidP="00C93F78">
      <w:pPr>
        <w:spacing w:before="120" w:after="0" w:line="360" w:lineRule="auto"/>
        <w:jc w:val="both"/>
        <w:rPr>
          <w:rFonts w:ascii="Times New Roman" w:hAnsi="Times New Roman"/>
          <w:color w:val="000000" w:themeColor="text1"/>
          <w:sz w:val="24"/>
          <w:szCs w:val="24"/>
        </w:rPr>
      </w:pPr>
      <w:r w:rsidRPr="00C93F78">
        <w:rPr>
          <w:rFonts w:ascii="Times New Roman" w:eastAsia="Times New Roman" w:hAnsi="Times New Roman" w:cs="Times New Roman"/>
          <w:sz w:val="24"/>
          <w:szCs w:val="24"/>
          <w:lang w:eastAsia="pl-PL"/>
        </w:rPr>
        <w:t xml:space="preserve">Systemy obowiązkowego ujawniania informacji mają zastosowanie do wszystkich podatków i wszystkich podatników </w:t>
      </w:r>
      <w:r w:rsidRPr="00C93F78">
        <w:rPr>
          <w:rFonts w:ascii="Times New Roman" w:hAnsi="Times New Roman"/>
          <w:color w:val="000000" w:themeColor="text1"/>
          <w:sz w:val="24"/>
          <w:szCs w:val="24"/>
        </w:rPr>
        <w:t xml:space="preserve">zarówno dużych, jak i małych, mają więc szeroki zakres, co pozwala rozpoznać i zgromadzić informacje o działaniach podatników oraz typach transakcji podatkowych, które mogą nosić cechy agresywnego planowania podatkowego. </w:t>
      </w:r>
    </w:p>
    <w:p w:rsidR="00B861DF" w:rsidRPr="00C93F78" w:rsidRDefault="00B861DF" w:rsidP="00C93F78">
      <w:pPr>
        <w:spacing w:before="120" w:after="0" w:line="360" w:lineRule="auto"/>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 xml:space="preserve">Obowiązek ujawniania informacji o schematach podatkowych obejmuje również osoby trzecie uczestniczące w projektowaniu, promowaniu czy wdrażaniu systemów planowania podatkowego. </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Te dodatkowe obowiązki sprawozdawcze umożliwiają organom podatkowym poprawę efektywności kontroli dzięki skuteczniejszemu zbieraniu i analizowaniu danych. W przypadku braku systemu obowiązkowego ujawniania informacji, organy podatkowe mogą mieć znaczne trudności w zidentyfikowaniu na podstawie dostępnych informacji schematów podatkowych, bądź przeznaczając czas na poszukiwanie i identyfikację systemów planowania podatkowego zbyt późno będą zapobiegać znacznej utracie przychodów.</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Z uwagi na to, że system obowiązkowego ujawniania informacji dotyczy wielu podmiotów uczestniczących w tworzeniu, wdrażaniu i korzystaniu ze schematów podatkowych, wymaga od podatników, ich doradców czy promotorów podawania określonych informacji bezpośrednio do administracji podatkowej, jest bardziej wydajnym i skutecznym sposobem uzyskania wyczerpujących informacji na temat planowania podatkowego niż opieranie się na analizie lub badaniu informacji wynikających z zeznań podatkowych.</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System obowiązkowego ujawniania informacji, dostarczając administracji podatkowej szczegółowych danych na temat użytkowników, osób odpowiedzialnych za promowanie i wdrażanie schematów podatkowych oraz numerów identyfikacyjnych schematów, umożliwia administracji podatkowej uzyskanie dokładnego obrazu sytuacji w zakresie danego podatku i ryzyka stwarzanego przez stosowanie schematu, ułatwia też zidentyfikowanie przypadku, gdy podatnik skorzystał z systemu. Dostęp do informacji o podmiotach korzystających ze schematów otwiera możliwość bezpośredniej komunikacji z podatnikiem już na wczesnym etapie stosowania przepisów podatkowych. </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Państwa członkowskie OECD i Grupy G20 które wprowadziły obowiązek raportowania o schematach podatkowych wskazują, że poprawę jakości, terminowości i skuteczność w zbieraniu informacji na temat systemów planowania podatkowego, pozwalające na bardziej skuteczne powstrzymywanie agresywnego planowania podatkowego, a także odpowiedź administracji podatkowej na te zjawiska i podjęcie działań legislacyjnych czy regulacyjnych.</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Wśród krajów OECD i G20 obowiązkowe zasady ujawniania zostały wprowadzony w Stanach Zjednoczonych, Kanadzie, RPA, Wielkiej Brytanii, Portugalii, Irlandii, Izraelu i Korei. Pierwszym państwem, które wprowadziło już w 1984 roku zasady obowiązkowego wczesnego informowania o planowaniu podatkowym były Stany Zjednoczone. </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Warto zwrócić uwagę na rozwiązania stosowane w tym zakresie w Wielkiej Brytanii. Zasady obowiązkowego raportowania o schematach podatkowych uchwalono w tym państwie w 2004 roku, a w 2006 roku zmieniono je zasadniczo. </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W Wielkiej Brytanii funkcjonuje system obowiązkowego ujawniania schematów unikania opodatkowania (DOTAS), który dostarcza administracji skarbowej już na wczesnym etapie informacji o schematach podatkowych. Umożliwia to rządowi brytyjskiemu wprowadzenie, w stosownych przypadkach, przepisów pozwalających „zamknąć” schemat unikając tym samym utraty wpływów z podatku. W brytyjskim rozwiązaniu przyjęto zasadę jednokrotnego zgłaszania schematu. Zgłoszenia dokonuje promotor, który przygotował schemat lub podmiot korzystający. </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Doświadczenia Wielkiej Brytanii pokazują, że na początku roku następującego po wprowadzeniu zasad obowiązkowego raportowania (DOTAS), odkąd było dostępnych więcej informacji o planowaniu podatkowym, wzrosła liczba zmian legislacyjnych, których celem była likwidacja luk w przepisach i ochrona wpływów podatkowych. Nastąpił też ogólny spadek liczby schematów raportowanych, niekiedy w terminie tygodnia od ujawnienia, co również zabezpieczyło wpływy budżetowe.</w:t>
      </w:r>
    </w:p>
    <w:p w:rsidR="00B861DF" w:rsidRPr="00C93F78" w:rsidRDefault="00B861DF" w:rsidP="00C93F78">
      <w:pPr>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Warto też podkreślić, że Wielka Brytania, wprowadzając rozwiązania z zakresu DOTAS, zdecydowanie podąża w kierunku transparentności, nakazując korporacjom publikowanie na stronach internetowych swoich strategii podatkowych zawierających opis metod zarządzania ryzykiem podatkowym czy stosunku do optymalizacji podatkowych</w:t>
      </w:r>
      <w:r w:rsidRPr="00C93F78">
        <w:rPr>
          <w:rStyle w:val="Odwoanieprzypisudolnego"/>
          <w:rFonts w:ascii="Times New Roman" w:eastAsia="Times New Roman" w:hAnsi="Times New Roman" w:cs="Times New Roman"/>
          <w:sz w:val="24"/>
          <w:szCs w:val="24"/>
          <w:lang w:eastAsia="pl-PL"/>
        </w:rPr>
        <w:footnoteReference w:id="23"/>
      </w:r>
      <w:r w:rsidRPr="00C93F78">
        <w:rPr>
          <w:rFonts w:ascii="Times New Roman" w:eastAsia="Times New Roman" w:hAnsi="Times New Roman" w:cs="Times New Roman"/>
          <w:sz w:val="24"/>
          <w:szCs w:val="24"/>
          <w:lang w:eastAsia="pl-PL"/>
        </w:rPr>
        <w:t>.</w:t>
      </w:r>
    </w:p>
    <w:p w:rsidR="00B861DF" w:rsidRPr="00C93F78" w:rsidRDefault="00B861DF" w:rsidP="00C93F78">
      <w:pPr>
        <w:spacing w:before="12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 xml:space="preserve">W kanadyjskim systemie raportowania schematów podatkowych wymagane jest uzyskanie przez promotora numeru identyfikacyjnego dla schematu przed jego sprzedażą. Konieczne jest też zgłoszenie wszystkich uczestników schematu i kwoty w określonym terminie tj. do końca lutego następnego roku. Informacja ta umożliwiła kanadyjskiej administracji skarbowej szybsze określenia zakresu problemów związanych z określonymi rodzajami transakcji, np. schemat wykorzystujący datki na działalność charytatywną. Ponadto, mając dane osobowe uczestników schematów znacznie skraca się czas na przeprowadzenie kontroli, ponieważ łatwiej zidentyfikować uczestników schematów. </w:t>
      </w:r>
    </w:p>
    <w:p w:rsidR="00B861DF" w:rsidRPr="00C93F78" w:rsidRDefault="00B861DF" w:rsidP="00C93F78">
      <w:pPr>
        <w:pStyle w:val="Nagwek3"/>
        <w:spacing w:line="360" w:lineRule="auto"/>
        <w:ind w:left="720"/>
        <w:jc w:val="both"/>
        <w:rPr>
          <w:b w:val="0"/>
        </w:rPr>
      </w:pPr>
      <w:r w:rsidRPr="00C93F78">
        <w:rPr>
          <w:b w:val="0"/>
        </w:rPr>
        <w:t>Konstytucyjność projektowanych rozwiązań. Ochrona tajemnicy zawodowej</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 zawiera regulacje dotyczące raportowania o schematach podatkowych przez podmioty korzystające ze schematów oraz ich promotorów. Projekt wkracza w obszar, który stanowi materię konstytucyjną, dlatego powinien być oceniony pod względem jego zgodności z Konstytucją RP. Według projektodawcy projekt spełnia standardy konstytucyjne.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Obowiązek raportowania schematów odnosi się do sfery związanej z planowaniem podatkowym, a więc działaniami, które mogą wiązać się z tajemnicą przedsiębiorstwa, ze szczegółami współpracy z określonymi doradcami, w tym zobowiązanymi do przestrzegania tajemnicy zawodowej, czy też ze strategią rozwoju firmy, co pomaga budować przewagę nad konkurencją. Takie aspekty działalności podatnicy zwykle zachowują w poufności wobec osób trzecich, w tym w szczególności jeśli działania nie są przejrzyste i noszą znamiona agresywnego planowania.</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eastAsia="Times New Roman" w:hAnsi="Times New Roman" w:cs="Times New Roman"/>
          <w:sz w:val="24"/>
          <w:szCs w:val="24"/>
          <w:lang w:eastAsia="pl-PL"/>
        </w:rPr>
        <w:t xml:space="preserve">Projektowane regulacje MDR mogą budzić obawy, że noszą cechy „samooskarżania się” podatników przed administracją skarbową. Rozwiewając te obawy należy zwrócić uwagę, że zakres informacji, które podatnik będzie przekazywał w ramach obowiązku raportowania schematów podatkowych nie będzie szerszy niż informacje czy dokumenty, których organ podatkowy mógłby wymagać w ramach prowadzonej kontroli lub postępowania podatkowego. Dodatkowo należy pamiętać, że </w:t>
      </w:r>
      <w:r w:rsidRPr="00C93F78">
        <w:rPr>
          <w:rFonts w:ascii="Times New Roman" w:hAnsi="Times New Roman" w:cs="Times New Roman"/>
          <w:sz w:val="24"/>
          <w:szCs w:val="24"/>
        </w:rPr>
        <w:t xml:space="preserve">indywidualne dane zawarte w deklaracji oraz innych dokumentach składanych przez podatników, płatników lub inkasentów objęte są tajemnicą skarbową, co gwarantuje art. 293 § 1 ustawy – Ordynacja podatkowa.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Podkreślić należy, że w projektowanym art. 86h § 2 Ordynacji podatkowej </w:t>
      </w:r>
      <w:r w:rsidR="008C6686" w:rsidRPr="00C93F78">
        <w:rPr>
          <w:rFonts w:ascii="Times New Roman" w:hAnsi="Times New Roman" w:cs="Times New Roman"/>
          <w:sz w:val="24"/>
          <w:szCs w:val="24"/>
        </w:rPr>
        <w:t>Nie wszczyna się postępowania w sprawach o przestępstwa skarbowe lub wykroczenia skarbowe wyłącznie w oparciu o informacje przekazywane na podstawie niniejszego rozdziału</w:t>
      </w:r>
      <w:r w:rsidRPr="00C93F78">
        <w:rPr>
          <w:rFonts w:ascii="Times New Roman" w:hAnsi="Times New Roman" w:cs="Times New Roman"/>
          <w:sz w:val="24"/>
          <w:szCs w:val="24"/>
        </w:rPr>
        <w:t xml:space="preserve">. </w:t>
      </w:r>
      <w:r w:rsidR="008C6686" w:rsidRPr="00C93F78">
        <w:rPr>
          <w:rFonts w:ascii="Times New Roman" w:hAnsi="Times New Roman" w:cs="Times New Roman"/>
          <w:sz w:val="24"/>
          <w:szCs w:val="24"/>
        </w:rPr>
        <w:t>Ponadto, dodawany §3a</w:t>
      </w:r>
      <w:r w:rsidR="00CC3941" w:rsidRPr="00C93F78">
        <w:rPr>
          <w:rFonts w:ascii="Times New Roman" w:hAnsi="Times New Roman" w:cs="Times New Roman"/>
          <w:sz w:val="24"/>
          <w:szCs w:val="24"/>
        </w:rPr>
        <w:t xml:space="preserve"> do art. 36</w:t>
      </w:r>
      <w:r w:rsidR="008C6686" w:rsidRPr="00C93F78">
        <w:rPr>
          <w:rFonts w:ascii="Times New Roman" w:hAnsi="Times New Roman" w:cs="Times New Roman"/>
          <w:sz w:val="24"/>
          <w:szCs w:val="24"/>
        </w:rPr>
        <w:t xml:space="preserve"> Kodeksu karnego skarbowego</w:t>
      </w:r>
      <w:r w:rsidR="00CC3941" w:rsidRPr="00C93F78">
        <w:rPr>
          <w:rFonts w:ascii="Times New Roman" w:hAnsi="Times New Roman" w:cs="Times New Roman"/>
          <w:sz w:val="24"/>
          <w:szCs w:val="24"/>
        </w:rPr>
        <w:t xml:space="preserve"> stwierdza, że</w:t>
      </w:r>
      <w:r w:rsidR="008C6686" w:rsidRPr="00C93F78">
        <w:rPr>
          <w:rFonts w:ascii="Times New Roman" w:hAnsi="Times New Roman" w:cs="Times New Roman"/>
          <w:sz w:val="24"/>
          <w:szCs w:val="24"/>
        </w:rPr>
        <w:t xml:space="preserve"> </w:t>
      </w:r>
      <w:r w:rsidR="00CC3941" w:rsidRPr="00C93F78">
        <w:rPr>
          <w:rFonts w:ascii="Times New Roman" w:hAnsi="Times New Roman" w:cs="Times New Roman"/>
          <w:sz w:val="24"/>
          <w:szCs w:val="24"/>
        </w:rPr>
        <w:t>j</w:t>
      </w:r>
      <w:r w:rsidR="0021795A" w:rsidRPr="00C93F78">
        <w:rPr>
          <w:rFonts w:ascii="Times New Roman" w:hAnsi="Times New Roman" w:cs="Times New Roman"/>
          <w:sz w:val="24"/>
          <w:szCs w:val="24"/>
        </w:rPr>
        <w:t>eżeli w związku z przestępstwem skarbowym nastąpiło uszczuplenie należności publicznoprawnej, sąd może zastosować nadzwyczajne złagodzenie kary, w przypadku, gdy sprawca w terminie złożył informacje o schemacie podatkowym, a uszczuplona należność publicznoprawna wynika bezpośrednio z zastosowania tego schematu podatkowego</w:t>
      </w:r>
      <w:r w:rsidRPr="00C93F78">
        <w:rPr>
          <w:rFonts w:ascii="Times New Roman" w:hAnsi="Times New Roman" w:cs="Times New Roman"/>
          <w:sz w:val="24"/>
          <w:szCs w:val="24"/>
        </w:rPr>
        <w:t>.</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Projektowane regulacje przewidują również sytuacje, w których obowiązek raportowania spoczywa n</w:t>
      </w:r>
      <w:r w:rsidRPr="00C93F78">
        <w:rPr>
          <w:rFonts w:ascii="Times New Roman" w:eastAsia="Times New Roman" w:hAnsi="Times New Roman" w:cs="Times New Roman"/>
          <w:sz w:val="24"/>
          <w:szCs w:val="24"/>
          <w:lang w:eastAsia="pl-PL"/>
        </w:rPr>
        <w:t xml:space="preserve">a promotorze czy wspomagającym. </w:t>
      </w:r>
      <w:r w:rsidRPr="00C93F78">
        <w:rPr>
          <w:rFonts w:ascii="Times New Roman" w:hAnsi="Times New Roman" w:cs="Times New Roman"/>
          <w:sz w:val="24"/>
          <w:szCs w:val="24"/>
        </w:rPr>
        <w:t>Przewiduje się, że promotorem może być każda osoba fizyczna, w szczególności: doradca podatkowy, adwokat, radca prawny, pracownik banku lub innej instytucji finansowej doradzającego klientom, a także każda inna osoba fizyczna, osoba prawna lub jednostka organizacyjna nieposiadająca osobowości prawnej, również w przypadku gdy nie posiada miejsca zamieszkania, siedziby ani zarządu na terytorium Rzeczypospolitej Polskiej, jeśli wykonuje czynności objęte regulacjami projektu.</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Natomiast za wspomagającego będzie uznany m.in. biegły rewident, notariusz czy osoba świadcząca usługi prowadzenia ksiąg rachunkowych spełniająca określone w ustawie przesłanki.</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Oznacza to, że pojęcie „promotor” i „wspomagający” będzie obejmowało szeroki krąg doradców, w tym osób wykonujących zawody zaufania publicznego.</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Istotną kwestią jest obowiązek raportowania nałożony na osoby wykonujące zawody zaufania publicznego (np. doradca podatkowy, adwokat, radca prawny, notariusz czy biegły rewident). Podmioty te obowiązane są do zachowania w tajemnicy wszystkich informacji i dokumentów związanych z wykonywaniem zawodu. Obowiązek zachowania tajemnicy zawodowej nie jest ograniczony w czasie. Obowiązek zachowania tajemnicy zawodowej został uregulowany w art. 37 ustawy o doradztwie podatkowym</w:t>
      </w:r>
      <w:r w:rsidRPr="00C93F78">
        <w:rPr>
          <w:rStyle w:val="Odwoanieprzypisudolnego"/>
          <w:rFonts w:ascii="Times New Roman" w:hAnsi="Times New Roman" w:cs="Times New Roman"/>
          <w:sz w:val="24"/>
          <w:szCs w:val="24"/>
        </w:rPr>
        <w:footnoteReference w:id="24"/>
      </w:r>
      <w:r w:rsidRPr="00C93F78">
        <w:rPr>
          <w:rFonts w:ascii="Times New Roman" w:hAnsi="Times New Roman" w:cs="Times New Roman"/>
          <w:sz w:val="24"/>
          <w:szCs w:val="24"/>
        </w:rPr>
        <w:t>, w art. 6 ustawy – Prawo o adwokaturze</w:t>
      </w:r>
      <w:r w:rsidRPr="00C93F78">
        <w:rPr>
          <w:rStyle w:val="Odwoanieprzypisudolnego"/>
          <w:rFonts w:ascii="Times New Roman" w:hAnsi="Times New Roman" w:cs="Times New Roman"/>
          <w:sz w:val="24"/>
          <w:szCs w:val="24"/>
        </w:rPr>
        <w:footnoteReference w:id="25"/>
      </w:r>
      <w:r w:rsidRPr="00C93F78">
        <w:rPr>
          <w:rFonts w:ascii="Times New Roman" w:hAnsi="Times New Roman" w:cs="Times New Roman"/>
          <w:sz w:val="24"/>
          <w:szCs w:val="24"/>
        </w:rPr>
        <w:t>, w art. 3 ustawy o radcach prawnych</w:t>
      </w:r>
      <w:r w:rsidRPr="00C93F78">
        <w:rPr>
          <w:rStyle w:val="Odwoanieprzypisudolnego"/>
          <w:rFonts w:ascii="Times New Roman" w:hAnsi="Times New Roman" w:cs="Times New Roman"/>
          <w:sz w:val="24"/>
          <w:szCs w:val="24"/>
        </w:rPr>
        <w:footnoteReference w:id="26"/>
      </w:r>
      <w:r w:rsidRPr="00C93F78">
        <w:rPr>
          <w:rFonts w:ascii="Times New Roman" w:hAnsi="Times New Roman" w:cs="Times New Roman"/>
          <w:sz w:val="24"/>
          <w:szCs w:val="24"/>
        </w:rPr>
        <w:t>, w art. 18 ustawy. - Prawo o notariacie</w:t>
      </w:r>
      <w:r w:rsidRPr="00C93F78">
        <w:rPr>
          <w:rStyle w:val="Odwoanieprzypisudolnego"/>
          <w:rFonts w:ascii="Times New Roman" w:hAnsi="Times New Roman" w:cs="Times New Roman"/>
          <w:sz w:val="24"/>
          <w:szCs w:val="24"/>
        </w:rPr>
        <w:footnoteReference w:id="27"/>
      </w:r>
      <w:r w:rsidRPr="00C93F78">
        <w:rPr>
          <w:rFonts w:ascii="Times New Roman" w:hAnsi="Times New Roman" w:cs="Times New Roman"/>
          <w:sz w:val="24"/>
          <w:szCs w:val="24"/>
        </w:rPr>
        <w:t xml:space="preserve"> i w art. 78 ust. 1 ustawy o biegłych rewidentach, firmach audytorskich oraz o nadzorze publicznym</w:t>
      </w:r>
      <w:r w:rsidRPr="00C93F78">
        <w:rPr>
          <w:rStyle w:val="Odwoanieprzypisudolnego"/>
          <w:rFonts w:ascii="Times New Roman" w:hAnsi="Times New Roman" w:cs="Times New Roman"/>
          <w:sz w:val="24"/>
          <w:szCs w:val="24"/>
        </w:rPr>
        <w:footnoteReference w:id="28"/>
      </w:r>
      <w:r w:rsidRPr="00C93F78">
        <w:rPr>
          <w:rFonts w:ascii="Times New Roman" w:hAnsi="Times New Roman" w:cs="Times New Roman"/>
          <w:sz w:val="24"/>
          <w:szCs w:val="24"/>
        </w:rPr>
        <w:t>.</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Obowiązek zachowania tajemnicy zawodowej doznaje jednak pewnego ograniczenia. Nie dotyczy informacji udostępnianych na podstawie przepisów rozdziału 9 ustawy z dnia 16 listopada 2000 r. o przeciwdziałaniu praniu pieniędzy oraz finansowaniu terroryzmu (Dz.U. z 2018 r. poz. 723) - w zakresie określonym tymi przepisami.</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Projektowane regulacje MDR nie naruszają gwarantowanego prawnie obowiązku zachowania tajemnicy zawodowej przez osoby wykonujące zawody zaufania publicznego. Reasumując, proponowane rozwiązania mają na celu jak najdalej idącą ochronę tajemnicy zawodowej, co przejawia się w:</w:t>
      </w:r>
    </w:p>
    <w:p w:rsidR="00B861DF" w:rsidRPr="00C93F78" w:rsidRDefault="00B861DF" w:rsidP="00C93F78">
      <w:pPr>
        <w:numPr>
          <w:ilvl w:val="0"/>
          <w:numId w:val="38"/>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zasadzie nieujawniania danych korzystających ze schematów podatkowych w przypadku braku zwolnienia promotora lub wspomagającego z obowiązku zachowania tajemnicy zawodowej,</w:t>
      </w:r>
    </w:p>
    <w:p w:rsidR="00B861DF" w:rsidRPr="00C93F78" w:rsidRDefault="00B861DF" w:rsidP="00C93F78">
      <w:pPr>
        <w:numPr>
          <w:ilvl w:val="0"/>
          <w:numId w:val="38"/>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zasadzie raportowania schematów przez korzystającego, jeśli promotor lub wspomagający nie zostaną zwolnieni z obowiązku zachowania tajemnicy zawodowej,</w:t>
      </w:r>
    </w:p>
    <w:p w:rsidR="00B861DF" w:rsidRPr="00C93F78" w:rsidRDefault="00B861DF" w:rsidP="00C93F78">
      <w:pPr>
        <w:numPr>
          <w:ilvl w:val="0"/>
          <w:numId w:val="38"/>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zasadzie raportowania schematów standaryzowanych, w których nie będą ujawniane dane korzystających objęte tajemnicą zawodową, które pozwoliłyby na identyfikację korzystających. </w:t>
      </w:r>
    </w:p>
    <w:p w:rsidR="00B861DF" w:rsidRPr="00C93F78" w:rsidRDefault="00B861DF" w:rsidP="00C93F78">
      <w:pPr>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Przyjęte w projekcie rozwiązania pozwalają na realizację celu ustawy, przy jednoczesnym respektowaniu obowiązku zachowania tajemnicy zawodowej przez promotorów lub wspomagających.</w:t>
      </w:r>
    </w:p>
    <w:p w:rsidR="001B795C" w:rsidRPr="00C93F78" w:rsidRDefault="001B795C" w:rsidP="00C93F78">
      <w:pPr>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W konsekwencji</w:t>
      </w:r>
      <w:r w:rsidR="00EA03F4" w:rsidRPr="00C93F78">
        <w:rPr>
          <w:rFonts w:ascii="Times New Roman" w:hAnsi="Times New Roman" w:cs="Times New Roman"/>
          <w:sz w:val="24"/>
          <w:szCs w:val="24"/>
        </w:rPr>
        <w:t xml:space="preserve"> informowanie o schematach standaryzowanych </w:t>
      </w:r>
      <w:r w:rsidR="00F56758" w:rsidRPr="00C93F78">
        <w:rPr>
          <w:rFonts w:ascii="Times New Roman" w:hAnsi="Times New Roman" w:cs="Times New Roman"/>
          <w:sz w:val="24"/>
          <w:szCs w:val="24"/>
        </w:rPr>
        <w:t xml:space="preserve">nie naruszy zasady zachowania tajemnicy zawodowej. Zgodnie z założeniami przyjętych rozwiązań, przekazywana informacja o schemacie nie będzie zawierała danych identyfikujących korzystającego. </w:t>
      </w:r>
      <w:r w:rsidR="00380443" w:rsidRPr="00C93F78">
        <w:rPr>
          <w:rFonts w:ascii="Times New Roman" w:hAnsi="Times New Roman" w:cs="Times New Roman"/>
          <w:sz w:val="24"/>
          <w:szCs w:val="24"/>
        </w:rPr>
        <w:t xml:space="preserve">Co więcej, kwartalna aktualizacja m.in. o udostępnieniu schematu standaryzowanego również zawiera ustawową gwarancję braku obowiązku przekazywania </w:t>
      </w:r>
      <w:r w:rsidR="00BE5BC7" w:rsidRPr="00C93F78">
        <w:rPr>
          <w:rFonts w:ascii="Times New Roman" w:hAnsi="Times New Roman" w:cs="Times New Roman"/>
          <w:sz w:val="24"/>
          <w:szCs w:val="24"/>
        </w:rPr>
        <w:t>takich danych (art. 86</w:t>
      </w:r>
      <w:r w:rsidR="002574FA" w:rsidRPr="00C93F78">
        <w:rPr>
          <w:rFonts w:ascii="Times New Roman" w:hAnsi="Times New Roman" w:cs="Times New Roman"/>
          <w:sz w:val="24"/>
          <w:szCs w:val="24"/>
        </w:rPr>
        <w:t>f</w:t>
      </w:r>
      <w:r w:rsidR="00BE5BC7" w:rsidRPr="00C93F78">
        <w:rPr>
          <w:rFonts w:ascii="Times New Roman" w:hAnsi="Times New Roman" w:cs="Times New Roman"/>
          <w:sz w:val="24"/>
          <w:szCs w:val="24"/>
        </w:rPr>
        <w:t xml:space="preserve"> § 4). </w:t>
      </w:r>
      <w:r w:rsidRPr="00C93F78">
        <w:rPr>
          <w:rFonts w:ascii="Times New Roman" w:hAnsi="Times New Roman" w:cs="Times New Roman"/>
          <w:sz w:val="24"/>
          <w:szCs w:val="24"/>
        </w:rPr>
        <w:t xml:space="preserve">Należy wskazać, że abstrakcyjne opisy stosowanych schematów podatkowych są często otwarcie publikowane w celach marketingowych na stronach promotorów oraz w szeroko dostępnych publikacjach prawnopodatkowych. Nie są znane projektodawcy żadne sprawy, w których tego rodzaju działania byłyby traktowane jako naruszenie tajemnicy zawodowej. </w:t>
      </w:r>
      <w:r w:rsidR="007F0700" w:rsidRPr="00C93F78">
        <w:rPr>
          <w:rFonts w:ascii="Times New Roman" w:hAnsi="Times New Roman" w:cs="Times New Roman"/>
          <w:sz w:val="24"/>
          <w:szCs w:val="24"/>
        </w:rPr>
        <w:t>Wynika to z faktu, że nie ma prostego sposobu „skojarzenia”</w:t>
      </w:r>
      <w:r w:rsidRPr="00C93F78">
        <w:rPr>
          <w:rFonts w:ascii="Times New Roman" w:hAnsi="Times New Roman" w:cs="Times New Roman"/>
          <w:sz w:val="24"/>
          <w:szCs w:val="24"/>
        </w:rPr>
        <w:t xml:space="preserve"> </w:t>
      </w:r>
      <w:r w:rsidR="007F0700" w:rsidRPr="00C93F78">
        <w:rPr>
          <w:rFonts w:ascii="Times New Roman" w:hAnsi="Times New Roman" w:cs="Times New Roman"/>
          <w:sz w:val="24"/>
          <w:szCs w:val="24"/>
        </w:rPr>
        <w:t>schematu standaryzowanego z konkretnym korzystającym. Taka jest bowiem istota tego rodzaju schematów, które bez istotnych zmian można potencjalnie wdrożyć u wielu korzystających. Przykłady wymienione zostały w dalszej części uzasadnienia dotyczącej specyficznie tego rodzaju schematów.</w:t>
      </w:r>
    </w:p>
    <w:p w:rsidR="00EA03F4" w:rsidRPr="00C93F78" w:rsidRDefault="001B795C" w:rsidP="00C93F78">
      <w:pPr>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 kolei w przypadku schematów innych niż standaryzowane, gdzie istniałoby rzeczywiste ryzyko ujawnienia tożsamości korzystającego, promotor objęty obowiązkiem zachowania tajemnicy zawodowej (i niezwolniony z niej przez klienta) nie ma obowiązku przekazania tych informacji Szefowi KAS. </w:t>
      </w:r>
      <w:r w:rsidR="007F0700" w:rsidRPr="00C93F78">
        <w:rPr>
          <w:rFonts w:ascii="Times New Roman" w:hAnsi="Times New Roman" w:cs="Times New Roman"/>
          <w:sz w:val="24"/>
          <w:szCs w:val="24"/>
        </w:rPr>
        <w:t>Również więc w tym wypadku ochrona tej tajemnicy nie uznaje uszczerbku.</w:t>
      </w:r>
      <w:r w:rsidR="00214B8A" w:rsidRPr="00C93F78">
        <w:rPr>
          <w:rFonts w:ascii="Times New Roman" w:hAnsi="Times New Roman" w:cs="Times New Roman"/>
          <w:sz w:val="24"/>
          <w:szCs w:val="24"/>
        </w:rPr>
        <w:t xml:space="preserve"> </w:t>
      </w:r>
    </w:p>
    <w:p w:rsidR="00B861DF" w:rsidRPr="00C93F78" w:rsidRDefault="00B861DF" w:rsidP="00C93F78">
      <w:pPr>
        <w:pStyle w:val="Nagwek3"/>
        <w:spacing w:line="360" w:lineRule="auto"/>
        <w:ind w:left="720"/>
        <w:jc w:val="both"/>
        <w:rPr>
          <w:b w:val="0"/>
        </w:rPr>
      </w:pPr>
      <w:r w:rsidRPr="00C93F78">
        <w:rPr>
          <w:b w:val="0"/>
        </w:rPr>
        <w:t>Przewidywane skutki realizacji projektu</w:t>
      </w:r>
    </w:p>
    <w:p w:rsidR="00B861DF" w:rsidRPr="00C93F78" w:rsidRDefault="00B861DF" w:rsidP="00C93F78">
      <w:pPr>
        <w:numPr>
          <w:ilvl w:val="0"/>
          <w:numId w:val="30"/>
        </w:numPr>
        <w:spacing w:before="120" w:after="0" w:line="360" w:lineRule="auto"/>
        <w:contextualSpacing/>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zapewnienie organom administracji skarbowej szybkiego dostępu do informacji o schematach podatkowych, potencjalnie agresywnym planowaniu lub nadużyciach związanych z planowaniem podatkowym oraz możliwości identyfikowania promotorów i użytkowników schematów podatkowych; pozwoli to na szybką reakcję na zagrożenia podatkowe, jakie stwarzają systemy planowania podatkowego,</w:t>
      </w:r>
    </w:p>
    <w:p w:rsidR="00B861DF" w:rsidRPr="00C93F78" w:rsidRDefault="00B861DF" w:rsidP="00C93F78">
      <w:pPr>
        <w:numPr>
          <w:ilvl w:val="0"/>
          <w:numId w:val="30"/>
        </w:numPr>
        <w:spacing w:before="120" w:after="0" w:line="360" w:lineRule="auto"/>
        <w:contextualSpacing/>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zachęcenie podatników i ich doradców do dostarczania organom podatkowym szczegółowo i terminowo istotnych informacji o planowaniu podatkowym, jeśli mieszczą się w definicji schematu podatkowego,</w:t>
      </w:r>
    </w:p>
    <w:p w:rsidR="00B861DF" w:rsidRPr="00C93F78" w:rsidRDefault="00B861DF" w:rsidP="00C93F78">
      <w:pPr>
        <w:numPr>
          <w:ilvl w:val="0"/>
          <w:numId w:val="30"/>
        </w:numPr>
        <w:spacing w:before="120" w:after="0" w:line="360" w:lineRule="auto"/>
        <w:contextualSpacing/>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 xml:space="preserve">zidentyfikowanie obszarów, gdzie mogą występować luki w systemie podatkowym wykorzystywane w schematach podatkowych, w tym w schematach transgranicznych, </w:t>
      </w:r>
    </w:p>
    <w:p w:rsidR="00B861DF" w:rsidRPr="00C93F78" w:rsidRDefault="00B861DF" w:rsidP="00C93F78">
      <w:pPr>
        <w:numPr>
          <w:ilvl w:val="0"/>
          <w:numId w:val="30"/>
        </w:numPr>
        <w:spacing w:before="120" w:after="0" w:line="360" w:lineRule="auto"/>
        <w:contextualSpacing/>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uszczelnienie systemu podatkowego, ograniczenie nadużyć podatkowych związanych z agresywnym planowaniem podatkowym; posiadanie przez organy podatkowe informacji o schematach podatkowych, ich użytkownikach i promotorach może mieć istotne znaczenie w walce z unikaniem opodatkowania, co powinno skutkować zwiększeniem wpływów budżetowych,</w:t>
      </w:r>
    </w:p>
    <w:p w:rsidR="00B861DF" w:rsidRPr="00C93F78" w:rsidRDefault="00B861DF" w:rsidP="00C93F78">
      <w:pPr>
        <w:numPr>
          <w:ilvl w:val="0"/>
          <w:numId w:val="30"/>
        </w:numPr>
        <w:spacing w:before="120" w:line="360" w:lineRule="auto"/>
        <w:contextualSpacing/>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zniechęcenie podatników i ich doradców do podejmowania agresywnego planowania podatkowego przy użyciu schematów podatkowych.</w:t>
      </w:r>
    </w:p>
    <w:p w:rsidR="00B861DF" w:rsidRPr="00C93F78" w:rsidRDefault="00B861DF" w:rsidP="00C93F78">
      <w:pPr>
        <w:pStyle w:val="Nagwek2"/>
        <w:spacing w:line="360" w:lineRule="auto"/>
        <w:ind w:left="660"/>
        <w:jc w:val="both"/>
        <w:rPr>
          <w:b w:val="0"/>
          <w:szCs w:val="24"/>
        </w:rPr>
      </w:pPr>
      <w:r w:rsidRPr="00C93F78">
        <w:rPr>
          <w:rFonts w:cs="Times New Roman"/>
          <w:szCs w:val="24"/>
        </w:rPr>
        <w:t>Szczegółowe zmiany w ustawie - Ordynacja podatkowa</w:t>
      </w:r>
      <w:r w:rsidR="006D3A97" w:rsidRPr="00C93F78">
        <w:rPr>
          <w:rFonts w:cs="Times New Roman"/>
          <w:szCs w:val="24"/>
        </w:rPr>
        <w:t xml:space="preserve">. </w:t>
      </w:r>
      <w:r w:rsidRPr="00C93F78">
        <w:rPr>
          <w:szCs w:val="24"/>
        </w:rPr>
        <w:t xml:space="preserve">Wprowadzenie nowych zasad raportowania schematów podatkowych „MDR” </w:t>
      </w:r>
      <w:r w:rsidRPr="00C93F78">
        <w:rPr>
          <w:rFonts w:cs="Times New Roman"/>
          <w:szCs w:val="24"/>
        </w:rPr>
        <w:t>(art. 1 pkt 3)</w:t>
      </w:r>
    </w:p>
    <w:p w:rsidR="00B861DF" w:rsidRPr="00C93F78" w:rsidRDefault="00B861DF" w:rsidP="00C93F78">
      <w:pPr>
        <w:spacing w:before="120" w:after="0" w:line="360" w:lineRule="auto"/>
        <w:jc w:val="both"/>
        <w:rPr>
          <w:rFonts w:ascii="Times New Roman" w:hAnsi="Times New Roman"/>
          <w:i/>
          <w:color w:val="000000" w:themeColor="text1"/>
          <w:sz w:val="24"/>
          <w:szCs w:val="24"/>
        </w:rPr>
      </w:pPr>
      <w:r w:rsidRPr="00C93F78">
        <w:rPr>
          <w:rFonts w:ascii="Times New Roman" w:hAnsi="Times New Roman"/>
          <w:i/>
          <w:sz w:val="24"/>
          <w:szCs w:val="24"/>
        </w:rPr>
        <w:t>Określenie definicji najistotniejszych pojęć: korzystający, promotor, korzyść podatkowa, schemat podatkowy oraz przesłanki raportowania.</w:t>
      </w:r>
    </w:p>
    <w:p w:rsidR="00B861DF" w:rsidRPr="00C93F78" w:rsidRDefault="00B861DF" w:rsidP="00C93F78">
      <w:pPr>
        <w:spacing w:before="120" w:after="0" w:line="360" w:lineRule="auto"/>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 xml:space="preserve">Projektowane przepisy, z uwagi na swoją specyfikę i odrębność zostały zawarte w nowym rozdziale 11a Ordynacji podatkowej </w:t>
      </w:r>
      <w:r w:rsidRPr="00C93F78">
        <w:rPr>
          <w:rFonts w:ascii="Times New Roman" w:hAnsi="Times New Roman"/>
          <w:i/>
          <w:color w:val="000000" w:themeColor="text1"/>
          <w:sz w:val="24"/>
          <w:szCs w:val="24"/>
        </w:rPr>
        <w:t>Informacje o schematach podatkowych</w:t>
      </w:r>
      <w:r w:rsidRPr="00C93F78">
        <w:rPr>
          <w:rFonts w:ascii="Times New Roman" w:hAnsi="Times New Roman"/>
          <w:color w:val="000000" w:themeColor="text1"/>
          <w:sz w:val="24"/>
          <w:szCs w:val="24"/>
        </w:rPr>
        <w:t xml:space="preserve">. Nowa instytucja MDR, jako instrument służący do pozyskiwania informacji podatkowych o schematach podatkowych, został umieszczony – zgodnie z systematyką ww. ustawy w Dziale III Zobowiązania podatkowe, bezpośrednio po rozdziale 11 Informacje podatkowe </w:t>
      </w:r>
      <w:r w:rsidRPr="00C93F78">
        <w:rPr>
          <w:rFonts w:ascii="Times New Roman" w:hAnsi="Times New Roman" w:cs="Times New Roman"/>
          <w:sz w:val="24"/>
          <w:szCs w:val="24"/>
        </w:rPr>
        <w:t>(</w:t>
      </w:r>
      <w:r w:rsidRPr="00C93F78">
        <w:rPr>
          <w:rFonts w:ascii="Times New Roman" w:hAnsi="Times New Roman"/>
          <w:color w:val="000000" w:themeColor="text1"/>
          <w:sz w:val="24"/>
          <w:szCs w:val="24"/>
        </w:rPr>
        <w:t>art. 1 pkt 3 projektowanej ustawy).</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projektowanej ustawy jest przede wszystkim gromadzenie wiedzy dotyczącej działań podatników, którzy osiągają korzyści podatkowe. Efektem pozyskiwania informacji, będzie możliwość szybkiego reagowania oraz ewentualna nowelizacja przepisów.</w:t>
      </w:r>
    </w:p>
    <w:p w:rsidR="00B861DF" w:rsidRPr="00C93F78" w:rsidRDefault="00B861DF" w:rsidP="00C93F78">
      <w:pPr>
        <w:pStyle w:val="ZLITwPKTzmlitwpktartykuempunktem"/>
        <w:spacing w:before="120"/>
        <w:ind w:left="0" w:firstLine="0"/>
        <w:rPr>
          <w:rFonts w:ascii="Times New Roman" w:hAnsi="Times New Roman"/>
          <w:szCs w:val="24"/>
        </w:rPr>
      </w:pPr>
      <w:r w:rsidRPr="00C93F78">
        <w:rPr>
          <w:rFonts w:ascii="Times New Roman" w:hAnsi="Times New Roman"/>
          <w:szCs w:val="24"/>
        </w:rPr>
        <w:t>Dodatkowo projekt ustawy na potrzeby rozdziału definiuje również „korzyść podatkową”. Zgodnie z propozycją (art. 86a § 1 pkt 2 Ordynacji podatkowej) korzyścią podatkową, będzie również:</w:t>
      </w:r>
    </w:p>
    <w:p w:rsidR="00B861DF" w:rsidRPr="00C93F78" w:rsidRDefault="00B861DF" w:rsidP="00C93F78">
      <w:pPr>
        <w:pStyle w:val="ZLITwPKTzmlitwpktartykuempunktem"/>
        <w:numPr>
          <w:ilvl w:val="0"/>
          <w:numId w:val="51"/>
        </w:numPr>
        <w:rPr>
          <w:szCs w:val="24"/>
        </w:rPr>
      </w:pPr>
      <w:r w:rsidRPr="00C93F78">
        <w:rPr>
          <w:szCs w:val="24"/>
        </w:rPr>
        <w:t>podwyższenie kwoty nadwyżki podatku naliczonego nad należnym – w rozumieniu przepisów ustawy o podatku od towarów i usług – do przeniesienia na następny okres rozliczeniowy,</w:t>
      </w:r>
    </w:p>
    <w:p w:rsidR="00B861DF" w:rsidRPr="00C93F78" w:rsidRDefault="00B861DF" w:rsidP="00C93F78">
      <w:pPr>
        <w:pStyle w:val="ZLITwPKTzmlitwpktartykuempunktem"/>
        <w:spacing w:before="120"/>
        <w:ind w:left="0" w:firstLine="0"/>
        <w:rPr>
          <w:rFonts w:ascii="Times New Roman" w:hAnsi="Times New Roman"/>
          <w:szCs w:val="24"/>
        </w:rPr>
      </w:pPr>
      <w:r w:rsidRPr="00C93F78">
        <w:rPr>
          <w:szCs w:val="24"/>
        </w:rPr>
        <w:t>niepowstanie obowiązku lub odsunięcie w czasie powstania obowiązku sporządzania i przekazywania informacji podatkowych, w tym informacji o schematach podatkowych.</w:t>
      </w:r>
      <w:r w:rsidR="001F5C69">
        <w:rPr>
          <w:szCs w:val="24"/>
        </w:rPr>
        <w:t xml:space="preserve"> </w:t>
      </w:r>
      <w:r w:rsidRPr="00C93F78">
        <w:rPr>
          <w:rFonts w:ascii="Times New Roman" w:hAnsi="Times New Roman"/>
          <w:szCs w:val="24"/>
        </w:rPr>
        <w:t>Poszerzenie definicji korzyści podatkowej dla potrzeb przepisów o raportowaniu informacji o</w:t>
      </w:r>
      <w:r w:rsidRPr="00C93F78">
        <w:rPr>
          <w:rFonts w:ascii="Times New Roman" w:hAnsi="Times New Roman" w:cs="Times New Roman"/>
          <w:szCs w:val="24"/>
        </w:rPr>
        <w:t> </w:t>
      </w:r>
      <w:r w:rsidRPr="00C93F78">
        <w:rPr>
          <w:rFonts w:ascii="Times New Roman" w:hAnsi="Times New Roman"/>
          <w:szCs w:val="24"/>
        </w:rPr>
        <w:t>schematach podatkowych wynika ze specyfiki tych uregulowań, która obejmuje zakresem zainteresowania szerszy zakres działań podatników niż ma to miejsce w przypadku przepisów klauzuli przeciwko unikaniu opodatkowania, tj. tworzenie schematów wymierzonych w</w:t>
      </w:r>
      <w:r w:rsidRPr="00C93F78">
        <w:rPr>
          <w:rFonts w:ascii="Times New Roman" w:hAnsi="Times New Roman" w:cs="Times New Roman"/>
          <w:szCs w:val="24"/>
        </w:rPr>
        <w:t> </w:t>
      </w:r>
      <w:r w:rsidRPr="00C93F78">
        <w:rPr>
          <w:rFonts w:ascii="Times New Roman" w:hAnsi="Times New Roman"/>
          <w:szCs w:val="24"/>
        </w:rPr>
        <w:t>obchodzenie obowiązków informacyjnych.</w:t>
      </w:r>
    </w:p>
    <w:p w:rsidR="00B861DF" w:rsidRPr="00C93F78" w:rsidRDefault="00B861DF" w:rsidP="00C93F78">
      <w:pPr>
        <w:pStyle w:val="ZLITwPKTzmlitwpktartykuempunktem"/>
        <w:spacing w:before="120"/>
        <w:ind w:left="0" w:firstLine="0"/>
        <w:rPr>
          <w:rFonts w:ascii="Times New Roman" w:hAnsi="Times New Roman"/>
          <w:szCs w:val="24"/>
        </w:rPr>
      </w:pPr>
      <w:r w:rsidRPr="00C93F78">
        <w:rPr>
          <w:rFonts w:ascii="Times New Roman" w:hAnsi="Times New Roman"/>
          <w:szCs w:val="24"/>
        </w:rPr>
        <w:t>Dodatkowo, z uwagi na odrębne uregulowanie problematyki nadużyć podatkowych, które zawarte jest w ustawie o podatku od towarów i</w:t>
      </w:r>
      <w:r w:rsidRPr="00C93F78">
        <w:rPr>
          <w:rFonts w:ascii="Times New Roman" w:hAnsi="Times New Roman" w:cs="Times New Roman"/>
          <w:szCs w:val="24"/>
        </w:rPr>
        <w:t> </w:t>
      </w:r>
      <w:r w:rsidRPr="00C93F78">
        <w:rPr>
          <w:rFonts w:ascii="Times New Roman" w:hAnsi="Times New Roman"/>
          <w:szCs w:val="24"/>
        </w:rPr>
        <w:t>usług (art. 5 ust. 5 ustawy o podatku od towarów i usług) przepisy klauzuli przeciwko unikaniu opodatkowania nie znajdują zastosowania do nieprawidłowości na gruncie tego podatku. W tym celu za właściwe uznano poszerzenie definicji korzyści podatkowej dla potrzeb informacji o schematach podatkowych również o sytuacje odnoszące się wprost do problematyki podatku od towarów i usług – tj. sytuację podwyższenia kwoty nadwyżki podatku naliczonego nad należnym przepisów wskazanej ustawy.</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Najistotniejsze pojęcia m.in.: „</w:t>
      </w:r>
      <w:r w:rsidRPr="00C93F78">
        <w:rPr>
          <w:rStyle w:val="Ppogrubienie"/>
          <w:rFonts w:ascii="Times New Roman" w:hAnsi="Times New Roman"/>
          <w:sz w:val="24"/>
          <w:szCs w:val="24"/>
        </w:rPr>
        <w:t>promotor”, „</w:t>
      </w:r>
      <w:r w:rsidRPr="00C93F78">
        <w:rPr>
          <w:rFonts w:ascii="Times New Roman" w:eastAsiaTheme="minorEastAsia" w:hAnsi="Times New Roman" w:cs="Times New Roman"/>
          <w:bCs/>
          <w:sz w:val="24"/>
          <w:szCs w:val="24"/>
        </w:rPr>
        <w:t xml:space="preserve">korzystający”, „wspomagający”, </w:t>
      </w:r>
      <w:r w:rsidRPr="00C93F78">
        <w:rPr>
          <w:rFonts w:ascii="Times New Roman" w:hAnsi="Times New Roman" w:cs="Times New Roman"/>
          <w:sz w:val="24"/>
          <w:szCs w:val="24"/>
        </w:rPr>
        <w:t>„schemat podatkowy”,</w:t>
      </w:r>
      <w:r w:rsidRPr="00C93F78">
        <w:rPr>
          <w:rFonts w:ascii="Times New Roman" w:eastAsiaTheme="minorEastAsia" w:hAnsi="Times New Roman" w:cs="Times New Roman"/>
          <w:bCs/>
          <w:sz w:val="24"/>
          <w:szCs w:val="24"/>
        </w:rPr>
        <w:t xml:space="preserve"> „ogólna cecha rozpoznawcza”, „szczególna cecha rozpoznawcza”, „udostępnianie schematu” czy „wdrożenie schematu” </w:t>
      </w:r>
      <w:r w:rsidRPr="00C93F78">
        <w:rPr>
          <w:rFonts w:ascii="Times New Roman" w:hAnsi="Times New Roman" w:cs="Times New Roman"/>
          <w:sz w:val="24"/>
          <w:szCs w:val="24"/>
        </w:rPr>
        <w:t xml:space="preserve">zostały zdefiniowane dla potrzeb stosowania </w:t>
      </w:r>
      <w:r w:rsidR="001F5C69">
        <w:rPr>
          <w:rFonts w:ascii="Times New Roman" w:hAnsi="Times New Roman" w:cs="Times New Roman"/>
          <w:sz w:val="24"/>
          <w:szCs w:val="24"/>
        </w:rPr>
        <w:t>r</w:t>
      </w:r>
      <w:r w:rsidRPr="00C93F78">
        <w:rPr>
          <w:rFonts w:ascii="Times New Roman" w:hAnsi="Times New Roman" w:cs="Times New Roman"/>
          <w:sz w:val="24"/>
          <w:szCs w:val="24"/>
        </w:rPr>
        <w:t>ozdziału 11a w słowniczku w art. 86a § 1 Ordynacji podatkowej. Definicje zostały ułożone w kolejności alfabetycznej.</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Pojęcie </w:t>
      </w:r>
      <w:r w:rsidRPr="00C93F78">
        <w:rPr>
          <w:rFonts w:ascii="Times New Roman" w:hAnsi="Times New Roman"/>
          <w:b/>
          <w:sz w:val="24"/>
          <w:szCs w:val="24"/>
        </w:rPr>
        <w:t>„korzystający”</w:t>
      </w:r>
      <w:r w:rsidRPr="00C93F78">
        <w:rPr>
          <w:rFonts w:ascii="Times New Roman" w:hAnsi="Times New Roman" w:cs="Times New Roman"/>
          <w:sz w:val="24"/>
          <w:szCs w:val="24"/>
        </w:rPr>
        <w:t xml:space="preserve"> zostało zdefiniowane w pkt 1 art. 86a § 1 Ordynacji podatkowej. Zgodnie z projektowanym przepisem, korzystającym jest osoba fizyczna, osoba prawna lub jednostka organizacyjna niemająca osobowości prawnej, której udostępniane jest lub u której wdrażane jest uzgodnienie, lub która </w:t>
      </w:r>
      <w:r w:rsidR="006A5F7C" w:rsidRPr="00C93F78">
        <w:rPr>
          <w:rFonts w:ascii="Times New Roman" w:hAnsi="Times New Roman" w:cs="Times New Roman"/>
          <w:sz w:val="24"/>
          <w:szCs w:val="24"/>
        </w:rPr>
        <w:t>przygotowana jest do wdrożenia</w:t>
      </w:r>
      <w:r w:rsidRPr="00C93F78">
        <w:rPr>
          <w:rFonts w:ascii="Times New Roman" w:hAnsi="Times New Roman" w:cs="Times New Roman"/>
          <w:sz w:val="24"/>
          <w:szCs w:val="24"/>
        </w:rPr>
        <w:t xml:space="preserve"> uzgodnienie lub dokonała jakiejkolwiek czynności służącej wdrożeniu takiego uzgodnienia.</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Uwzględniając specyfikę zakresu podmiotowego ustawy o podatku dochodowym od osób prawnych, w projektowanym art. 86a § 6 Ordynacji podatkowej wskazano, że w sytuacji, w której korzystającym jest spółka wchodząca w skład podatkowej grupy kapitałowej w rozumieniu przepisów ustawy o podatku dochodowym od osób prawnych, przepisy dotyczące raportowania schematów podatkowych stosowane będą odpowiednio. Powyższe uregulowanie ma na celu wyraźne wskazanie, że również w sytuacji w której spółka kapitałowa (osoba prawna) wchodząca w skład PGK zaangażowana będzie w uzgodnienie wywierające skutki w ramach podatku dochodowego dla którego podatnikiem jest PGK, istnieć będzie obowiązek przekazania informacji o takim schemacie podatkowym. Przepis ten ma na celu doprecyzowanie oraz uszczelnienie regulacji, poprzez wyłączenie możliwości uchylania się od obowiązku raportowania schematów podatkowych, w sytuacji, gdy podatnikiem korzystającym ze schematu jest podatkowa grupa kapitałowa. W opisanej sytuacji obowiązek przesyłania informacji o schematach podatkowych spoczywać będzie na spółkach wchodzących w skład grupy. Dodatkowo, szczegółowa kwestia dotycząca sytuacji spółki wchodzącej w skład PGK uregulowana została w treści projektowanego art. 86j § 6 Ordynacji podatkowej.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Następny punkt art. 86a § 1 Ordynacji podatkowej (tj. pkt 2) prowadzi do poszerzenia ogólnej korzyści podatkowej z art. 3 pkt 16 Ordynacji podatkowej dla potrzeb stosowania przepisów o raportowaniu informacji o schematach podatkowych. Ustawa zawiera też definicję „</w:t>
      </w:r>
      <w:r w:rsidRPr="00C93F78">
        <w:rPr>
          <w:rFonts w:ascii="Times New Roman" w:hAnsi="Times New Roman"/>
          <w:b/>
          <w:sz w:val="24"/>
          <w:szCs w:val="24"/>
        </w:rPr>
        <w:t>instytucji finansowej</w:t>
      </w:r>
      <w:r w:rsidRPr="00C93F78">
        <w:rPr>
          <w:rFonts w:ascii="Times New Roman" w:hAnsi="Times New Roman" w:cs="Times New Roman"/>
          <w:sz w:val="24"/>
          <w:szCs w:val="24"/>
        </w:rPr>
        <w:t>” (art. 86a § 1 pkt 3). Definicja wskazuje, że termin ten obejmować będzie instytucje finansowe w rozumieniu z art. 24 ust. 1 pkt 8 ustawy o wymianie informacji podatkowych z innymi państwami, jak również instytucje finansowe w rozumieniu art. 1 ust. 1 lit. g umowy między Rządem Rzeczypospolitej Polskiej a Rządem Stanów Zjednoczonych Ameryki w sprawie poprawy wypełniania międzynarodowych obowiązków podatkowych oraz wdrożenia ustawodawstwa FATCA. Odwołanie do tych uregulowań związane jest z implementacją zastosowanych w Dyrektywie cech szczególnych powiązanych z automatyczną wymianą informacji (zob. cechy szczególne zawarte w lit. D załącznika do Dyrektywy).</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 ustawy przewiduje, że zgłaszanym schematom podatkowym będzie nadawany </w:t>
      </w:r>
      <w:r w:rsidRPr="00C93F78">
        <w:rPr>
          <w:rFonts w:ascii="Times New Roman" w:hAnsi="Times New Roman"/>
          <w:b/>
          <w:sz w:val="24"/>
          <w:szCs w:val="24"/>
        </w:rPr>
        <w:t>numer schematu podatkowego</w:t>
      </w:r>
      <w:r w:rsidRPr="00C93F78">
        <w:rPr>
          <w:rFonts w:ascii="Times New Roman" w:hAnsi="Times New Roman" w:cs="Times New Roman"/>
          <w:sz w:val="24"/>
          <w:szCs w:val="24"/>
        </w:rPr>
        <w:t xml:space="preserve"> (dalej: </w:t>
      </w:r>
      <w:r w:rsidRPr="00C93F78">
        <w:rPr>
          <w:rFonts w:ascii="Times New Roman" w:hAnsi="Times New Roman"/>
          <w:b/>
          <w:sz w:val="24"/>
          <w:szCs w:val="24"/>
        </w:rPr>
        <w:t>NSP</w:t>
      </w:r>
      <w:r w:rsidR="0080130A" w:rsidRPr="00C93F78">
        <w:rPr>
          <w:rFonts w:ascii="Times New Roman" w:hAnsi="Times New Roman"/>
          <w:sz w:val="24"/>
          <w:szCs w:val="24"/>
        </w:rPr>
        <w:t>)</w:t>
      </w:r>
      <w:r w:rsidR="0080130A" w:rsidRPr="00C93F78">
        <w:rPr>
          <w:rFonts w:ascii="Times New Roman" w:hAnsi="Times New Roman" w:cs="Times New Roman"/>
          <w:sz w:val="24"/>
          <w:szCs w:val="24"/>
        </w:rPr>
        <w:t xml:space="preserve"> - </w:t>
      </w:r>
      <w:r w:rsidRPr="00C93F78">
        <w:rPr>
          <w:rFonts w:ascii="Times New Roman" w:hAnsi="Times New Roman" w:cs="Times New Roman"/>
          <w:sz w:val="24"/>
          <w:szCs w:val="24"/>
        </w:rPr>
        <w:t>art. 86a § 1 pkt 4 Ordynacji podatkowej). Projektowane przepisy przewidują obowiązek pisemnego informowania o NSP innych podmiotów, które zobowiązane mogą być do przekazania do Szefa KAS informacji o schemacie podatkowym (np. obowiązek promotora do pisemnego informowania korzystającego o nadanym NSP – art. 86b § 2 Ordynacji podatkowej). Przepisy wskazują również na konsekwencje pisemnego poinformowania innych podmiotów o NSP (art. 86e § 1 Ordynacji podatkowej). W przepisach przewidziano również prawo zainteresowanego do potwierdzenia w systemie MDR poprawności i braku unieważnienia NRS (art. 86g § 6 Ordynacji podatkowej). Wprowadzenie NSP, posługiwanie się nim oraz możliwość weryfikacji NSP ma więc istotne znaczenie gwarancyjne dla wszystkich zainteresowanych podmiotów.</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Jednym z istotniejszych pojęć w projektowanej ustawie jest pojęcie „</w:t>
      </w:r>
      <w:r w:rsidRPr="00C93F78">
        <w:rPr>
          <w:rFonts w:ascii="Times New Roman" w:hAnsi="Times New Roman"/>
          <w:b/>
          <w:sz w:val="24"/>
          <w:szCs w:val="24"/>
        </w:rPr>
        <w:t>ogólnej cechy rozpoznawczej”</w:t>
      </w:r>
      <w:r w:rsidRPr="00C93F78">
        <w:rPr>
          <w:rFonts w:ascii="Times New Roman" w:hAnsi="Times New Roman" w:cs="Times New Roman"/>
          <w:sz w:val="24"/>
          <w:szCs w:val="24"/>
        </w:rPr>
        <w:t xml:space="preserve"> (art. 86a § 1 pkt 5 Ordynacji podatkowej), oznacza ono właściwość uzgodnienia polegającą na tym, że:</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promotor lub korzystający zobowiązali się do zachowania w poufności wobec osób trzecich, w szczególności wobec innych korzystających, promotorów lub organów podatkowych, sposobu, w jaki uzgodnienie pozwala na uzyskanie korzyści podatkowej,</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promotor uprawniony jest do otrzymania wynagrodzenia, którego wysokość uzależniona jest od wysokości korzyści podatkowej wynikającej z uzgodnienia,</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promotor uprawniony jest do otrzymania wynagrodzenia uzależnionego od uzyskania korzyści podatkowej wynikającej z uzgodnienia lub zobowiązał się do zwrotu wynagrodzenia lub jego części, w przypadku gdy korzyść podatkowa nie powstanie lub powstanie w wysokości niższej, niż zakładano,</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 xml:space="preserve">dokonywane w ramach uzgodnienia czynności opierają się na </w:t>
      </w:r>
      <w:r w:rsidR="0064142A" w:rsidRPr="00C93F78">
        <w:rPr>
          <w:rFonts w:ascii="Times New Roman" w:hAnsi="Times New Roman"/>
          <w:szCs w:val="24"/>
        </w:rPr>
        <w:t xml:space="preserve">znacznie ujednoliconej </w:t>
      </w:r>
      <w:r w:rsidRPr="00C93F78">
        <w:rPr>
          <w:rFonts w:ascii="Times New Roman" w:hAnsi="Times New Roman"/>
          <w:szCs w:val="24"/>
        </w:rPr>
        <w:t>dokumentacji albo przyjmują</w:t>
      </w:r>
      <w:r w:rsidR="0064142A" w:rsidRPr="00C93F78">
        <w:rPr>
          <w:rFonts w:ascii="Times New Roman" w:hAnsi="Times New Roman"/>
          <w:szCs w:val="24"/>
        </w:rPr>
        <w:t xml:space="preserve"> znacznie ujednoliconą</w:t>
      </w:r>
      <w:r w:rsidRPr="00C93F78">
        <w:rPr>
          <w:rFonts w:ascii="Times New Roman" w:hAnsi="Times New Roman"/>
          <w:szCs w:val="24"/>
        </w:rPr>
        <w:t xml:space="preserve"> formę, które nie wymagają istotnych zmian w celu wdrożenia schematu u więcej niż jednego korzystającego</w:t>
      </w:r>
      <w:r w:rsidRPr="00C93F78">
        <w:rPr>
          <w:rFonts w:ascii="Times New Roman" w:hAnsi="Times New Roman" w:cs="Times New Roman"/>
          <w:szCs w:val="24"/>
        </w:rPr>
        <w:t>,</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 xml:space="preserve">podejmowane są celowe czynności dotyczące nabycia spółki przynoszącej straty, zaprzestanie głównej działalności takiej spółki </w:t>
      </w:r>
      <w:r w:rsidR="0064142A" w:rsidRPr="00C93F78">
        <w:rPr>
          <w:rFonts w:ascii="Times New Roman" w:hAnsi="Times New Roman"/>
          <w:szCs w:val="24"/>
        </w:rPr>
        <w:t>i</w:t>
      </w:r>
      <w:r w:rsidRPr="00C93F78">
        <w:rPr>
          <w:rFonts w:ascii="Times New Roman" w:hAnsi="Times New Roman"/>
          <w:szCs w:val="24"/>
        </w:rPr>
        <w:t xml:space="preserve"> wykorzystywanie strat takiej spółki w celu zmniejszenia zobowiązań podatkowych, w tym poprzez przeniesienie tych strat do podmiotu na terytorium innego państwa lub przyspieszenie wykorzystania tych strat,</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dochodzi do zmiany kwalifikacji dochodów (przychodów) do innego źródła dochodów (przychodów), lub zmiany zasad opodatkowania, których skutkiem jest faktycznie niższe opodatkowanie, zwolnienie lub wyłączenie z opodatkowania,</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 xml:space="preserve">czynności prowadzą do </w:t>
      </w:r>
      <w:r w:rsidR="0064142A" w:rsidRPr="00C93F78">
        <w:rPr>
          <w:rFonts w:ascii="Times New Roman" w:hAnsi="Times New Roman"/>
          <w:szCs w:val="24"/>
        </w:rPr>
        <w:t>okrężnego</w:t>
      </w:r>
      <w:r w:rsidRPr="00C93F78">
        <w:rPr>
          <w:rFonts w:ascii="Times New Roman" w:hAnsi="Times New Roman"/>
          <w:szCs w:val="24"/>
        </w:rPr>
        <w:t xml:space="preserve"> obiegu środków pieniężnych</w:t>
      </w:r>
      <w:r w:rsidR="0064142A" w:rsidRPr="00C93F78">
        <w:rPr>
          <w:rFonts w:ascii="Times New Roman" w:hAnsi="Times New Roman"/>
          <w:szCs w:val="24"/>
        </w:rPr>
        <w:t xml:space="preserve"> poprzez zaangażowanie</w:t>
      </w:r>
      <w:r w:rsidRPr="00C93F78">
        <w:rPr>
          <w:rFonts w:ascii="Times New Roman" w:hAnsi="Times New Roman"/>
          <w:szCs w:val="24"/>
        </w:rPr>
        <w:t xml:space="preserve"> podmiotów pośredniczących nie pełniących istotnych funkcji gospodarczych, lub działania</w:t>
      </w:r>
      <w:r w:rsidR="0064142A" w:rsidRPr="00C93F78">
        <w:rPr>
          <w:rFonts w:ascii="Times New Roman" w:hAnsi="Times New Roman"/>
          <w:szCs w:val="24"/>
        </w:rPr>
        <w:t>, które</w:t>
      </w:r>
      <w:r w:rsidRPr="00C93F78">
        <w:rPr>
          <w:rFonts w:ascii="Times New Roman" w:hAnsi="Times New Roman"/>
          <w:szCs w:val="24"/>
        </w:rPr>
        <w:t xml:space="preserve"> wzajemnie się znoszą lub kompensują lub prowadzą do uzyskania stanu identycznego lub zbliżonego do stanu istniejącego przed dokonaniem tych czynności albo mają inne podobne cechy,</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obejmuje ono podlegające zaliczeniu do kosztów uzyskania przychodów transgraniczne płatności pomiędzy podmiotami powiązanymi i w państwie miejsca zamieszkania, siedziby lub zarządu odbiorcy:</w:t>
      </w:r>
    </w:p>
    <w:p w:rsidR="00B861DF" w:rsidRPr="00C93F78" w:rsidRDefault="0064142A" w:rsidP="00C93F78">
      <w:pPr>
        <w:pStyle w:val="ZLITwPKTzmlitwpktartykuempunktem"/>
        <w:spacing w:before="120"/>
        <w:ind w:left="709" w:hanging="283"/>
        <w:rPr>
          <w:rFonts w:ascii="Times New Roman" w:hAnsi="Times New Roman"/>
          <w:szCs w:val="24"/>
        </w:rPr>
      </w:pPr>
      <w:r w:rsidRPr="00C93F78">
        <w:rPr>
          <w:rFonts w:ascii="Times New Roman" w:hAnsi="Times New Roman"/>
          <w:szCs w:val="24"/>
        </w:rPr>
        <w:sym w:font="Symbol" w:char="F02D"/>
      </w:r>
      <w:r w:rsidRPr="00C93F78">
        <w:rPr>
          <w:rFonts w:ascii="Times New Roman" w:hAnsi="Times New Roman"/>
          <w:szCs w:val="24"/>
        </w:rPr>
        <w:tab/>
      </w:r>
      <w:r w:rsidR="00B861DF" w:rsidRPr="00C93F78">
        <w:rPr>
          <w:rFonts w:ascii="Times New Roman" w:hAnsi="Times New Roman"/>
          <w:szCs w:val="24"/>
        </w:rPr>
        <w:t xml:space="preserve">nie nakłada się podatku </w:t>
      </w:r>
      <w:r w:rsidRPr="00C93F78">
        <w:rPr>
          <w:rFonts w:ascii="Times New Roman" w:hAnsi="Times New Roman"/>
          <w:szCs w:val="24"/>
        </w:rPr>
        <w:t>od osób prawnych</w:t>
      </w:r>
      <w:r w:rsidR="00B861DF" w:rsidRPr="00C93F78">
        <w:rPr>
          <w:rFonts w:ascii="Times New Roman" w:hAnsi="Times New Roman"/>
          <w:szCs w:val="24"/>
        </w:rPr>
        <w:t xml:space="preserve"> lub </w:t>
      </w:r>
      <w:r w:rsidRPr="00C93F78">
        <w:rPr>
          <w:rFonts w:ascii="Times New Roman" w:hAnsi="Times New Roman"/>
          <w:szCs w:val="24"/>
        </w:rPr>
        <w:t xml:space="preserve">pobiera </w:t>
      </w:r>
      <w:r w:rsidR="00B861DF" w:rsidRPr="00C93F78">
        <w:rPr>
          <w:rFonts w:ascii="Times New Roman" w:hAnsi="Times New Roman"/>
          <w:szCs w:val="24"/>
        </w:rPr>
        <w:t xml:space="preserve">podatek </w:t>
      </w:r>
      <w:r w:rsidRPr="00C93F78">
        <w:rPr>
          <w:rFonts w:ascii="Times New Roman" w:hAnsi="Times New Roman"/>
          <w:szCs w:val="24"/>
        </w:rPr>
        <w:t>od osób prawnych</w:t>
      </w:r>
      <w:r w:rsidR="00B861DF" w:rsidRPr="00C93F78">
        <w:rPr>
          <w:rFonts w:ascii="Times New Roman" w:hAnsi="Times New Roman"/>
          <w:szCs w:val="24"/>
        </w:rPr>
        <w:t xml:space="preserve"> według stawki zerowej lub </w:t>
      </w:r>
      <w:r w:rsidRPr="00C93F78">
        <w:rPr>
          <w:rFonts w:ascii="Times New Roman" w:hAnsi="Times New Roman"/>
          <w:szCs w:val="24"/>
        </w:rPr>
        <w:t xml:space="preserve">stawki mniejszej niż 5% </w:t>
      </w:r>
      <w:r w:rsidR="00B861DF" w:rsidRPr="00C93F78">
        <w:rPr>
          <w:rFonts w:ascii="Times New Roman" w:hAnsi="Times New Roman"/>
          <w:szCs w:val="24"/>
        </w:rPr>
        <w:t>,</w:t>
      </w:r>
    </w:p>
    <w:p w:rsidR="00B861DF" w:rsidRPr="00C93F78" w:rsidRDefault="001F5C69" w:rsidP="00C93F78">
      <w:pPr>
        <w:pStyle w:val="ZLITwPKTzmlitwpktartykuempunktem"/>
        <w:spacing w:before="120"/>
        <w:ind w:left="709" w:hanging="283"/>
        <w:rPr>
          <w:rFonts w:ascii="Times New Roman" w:hAnsi="Times New Roman"/>
          <w:szCs w:val="24"/>
        </w:rPr>
      </w:pPr>
      <w:r>
        <w:rPr>
          <w:rFonts w:ascii="Times New Roman" w:hAnsi="Times New Roman"/>
          <w:szCs w:val="24"/>
        </w:rPr>
        <w:t>–</w:t>
      </w:r>
      <w:r w:rsidR="0064142A" w:rsidRPr="00C93F78">
        <w:rPr>
          <w:rFonts w:ascii="Times New Roman" w:hAnsi="Times New Roman"/>
          <w:szCs w:val="24"/>
        </w:rPr>
        <w:tab/>
      </w:r>
      <w:r w:rsidR="00B861DF" w:rsidRPr="00C93F78">
        <w:rPr>
          <w:rFonts w:ascii="Times New Roman" w:hAnsi="Times New Roman"/>
          <w:szCs w:val="24"/>
        </w:rPr>
        <w:t>płatności te korzystają z całkowitego zwolnienia lub objęte są preferencyjnymi zasadami opodatkowania,</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korzystający zobowiązał się, że w przypadku wdrożenia uzgodnienia będzie współpracował z promotorem, który udostępnił uzgodnienie, albo zapłaci promotorowi wynagrodzenie lub odszkodowanie,</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promotor lub korzystający faktycznie respektują co najmniej jedno ze zobowiązań wskazanych w lit. b i c,</w:t>
      </w:r>
    </w:p>
    <w:p w:rsidR="00B861DF" w:rsidRPr="00C93F78" w:rsidRDefault="00B861DF" w:rsidP="00C93F78">
      <w:pPr>
        <w:pStyle w:val="ZLITwPKTzmlitwpktartykuempunktem"/>
        <w:numPr>
          <w:ilvl w:val="0"/>
          <w:numId w:val="33"/>
        </w:numPr>
        <w:spacing w:before="120"/>
        <w:rPr>
          <w:rFonts w:ascii="Times New Roman" w:hAnsi="Times New Roman"/>
          <w:szCs w:val="24"/>
        </w:rPr>
      </w:pPr>
      <w:r w:rsidRPr="00C93F78">
        <w:rPr>
          <w:rFonts w:ascii="Times New Roman" w:hAnsi="Times New Roman"/>
          <w:szCs w:val="24"/>
        </w:rPr>
        <w:t>na podstawie istniejących okoliczności należy przyjąć, że rozsądnie działający promotor lub korzystający, do których nie stosowałyby się obowiązki przewidziane niniejszym rozdziałem, chcieliby, żeby co najmniej jedno ze zobowiązań wskazanych w lit. a-</w:t>
      </w:r>
      <w:r w:rsidR="0028573B" w:rsidRPr="00C93F78">
        <w:rPr>
          <w:rFonts w:ascii="Times New Roman" w:hAnsi="Times New Roman" w:cs="Times New Roman"/>
          <w:szCs w:val="24"/>
        </w:rPr>
        <w:t>c</w:t>
      </w:r>
      <w:r w:rsidRPr="00C93F78">
        <w:rPr>
          <w:rFonts w:ascii="Times New Roman" w:hAnsi="Times New Roman"/>
          <w:szCs w:val="24"/>
        </w:rPr>
        <w:t xml:space="preserve"> było faktycznie respektowane</w:t>
      </w:r>
      <w:r w:rsidR="0064142A" w:rsidRPr="00C93F78">
        <w:rPr>
          <w:rFonts w:ascii="Times New Roman" w:hAnsi="Times New Roman"/>
          <w:szCs w:val="24"/>
        </w:rPr>
        <w:t>;</w:t>
      </w:r>
    </w:p>
    <w:p w:rsidR="00B861DF" w:rsidRPr="00C93F78" w:rsidRDefault="00B861DF" w:rsidP="00C93F78">
      <w:pPr>
        <w:pStyle w:val="ZLITwPKTzmlitwpktartykuempunktem"/>
        <w:spacing w:before="120"/>
        <w:ind w:left="0" w:firstLine="0"/>
        <w:rPr>
          <w:rFonts w:ascii="Times New Roman" w:hAnsi="Times New Roman"/>
          <w:szCs w:val="24"/>
        </w:rPr>
      </w:pPr>
      <w:r w:rsidRPr="00C93F78">
        <w:rPr>
          <w:rFonts w:ascii="Times New Roman" w:hAnsi="Times New Roman"/>
          <w:szCs w:val="24"/>
        </w:rPr>
        <w:t>Ogólne cechy rozpoznawcze będą służyły ustaleniu, czy dane uzgodnienie stanowi schemat podatkowy podlegający raportowaniu do Szefa KAS. Obowiązek raportowania wystąpi w</w:t>
      </w:r>
      <w:r w:rsidRPr="00C93F78">
        <w:rPr>
          <w:rFonts w:ascii="Times New Roman" w:eastAsiaTheme="minorHAnsi" w:hAnsi="Times New Roman" w:cs="Times New Roman"/>
          <w:szCs w:val="24"/>
          <w:lang w:eastAsia="en-US"/>
        </w:rPr>
        <w:t> </w:t>
      </w:r>
      <w:r w:rsidRPr="00C93F78">
        <w:rPr>
          <w:rFonts w:ascii="Times New Roman" w:hAnsi="Times New Roman"/>
          <w:szCs w:val="24"/>
        </w:rPr>
        <w:t>przypadku spełnienia przez uzgodnienie choćby jednej ze wskazanych ogólnych cech rozpoznawczych oraz kryterium głównej korzyści.</w:t>
      </w:r>
    </w:p>
    <w:p w:rsidR="00C855F7" w:rsidRPr="00C93F78" w:rsidRDefault="00C855F7" w:rsidP="00C93F78">
      <w:pPr>
        <w:pStyle w:val="ZLITwPKTzmlitwpktartykuempunktem"/>
        <w:spacing w:before="120"/>
        <w:ind w:left="0" w:firstLine="0"/>
        <w:rPr>
          <w:rFonts w:ascii="Times New Roman" w:hAnsi="Times New Roman"/>
          <w:szCs w:val="24"/>
        </w:rPr>
      </w:pPr>
      <w:r w:rsidRPr="00C93F78">
        <w:rPr>
          <w:rFonts w:ascii="Times New Roman" w:hAnsi="Times New Roman"/>
          <w:szCs w:val="24"/>
        </w:rPr>
        <w:t xml:space="preserve">Warto przy tym podkreślić, że ogólna cecha rozpoznawcza w lit. j opiera się na doświadczeniach Wielkiej Brytanii w stosowaniu </w:t>
      </w:r>
      <w:r w:rsidR="00AA531F" w:rsidRPr="00C93F78">
        <w:rPr>
          <w:rFonts w:ascii="Times New Roman" w:hAnsi="Times New Roman"/>
          <w:szCs w:val="24"/>
        </w:rPr>
        <w:t>tego typu rozwiązań. Cecha ta odzwierciedla próby „nie</w:t>
      </w:r>
      <w:r w:rsidR="008C5949" w:rsidRPr="00C93F78">
        <w:rPr>
          <w:rFonts w:ascii="Times New Roman" w:hAnsi="Times New Roman"/>
          <w:szCs w:val="24"/>
        </w:rPr>
        <w:t xml:space="preserve"> wpadnięcia” w obowiązek informowania o schemacie podatkowym, poprzez nie wskazanie w umowie </w:t>
      </w:r>
      <w:r w:rsidR="005B51A9" w:rsidRPr="00C93F78">
        <w:rPr>
          <w:rFonts w:ascii="Times New Roman" w:hAnsi="Times New Roman"/>
          <w:szCs w:val="24"/>
        </w:rPr>
        <w:t>otrzymania wynagrodzenia, którego wysokość uzależniona jest od wysokości korzyści podatkowej wynikającej z uzgodnienia.</w:t>
      </w:r>
      <w:r w:rsidR="00214B8A" w:rsidRPr="00C93F78">
        <w:rPr>
          <w:rFonts w:ascii="Times New Roman" w:hAnsi="Times New Roman"/>
          <w:szCs w:val="24"/>
        </w:rPr>
        <w:t xml:space="preserve">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Pojęcie</w:t>
      </w:r>
      <w:r w:rsidRPr="00C93F78">
        <w:rPr>
          <w:rFonts w:ascii="Times New Roman" w:hAnsi="Times New Roman"/>
          <w:b/>
          <w:sz w:val="24"/>
          <w:szCs w:val="24"/>
        </w:rPr>
        <w:t xml:space="preserve"> „podmiot powiązany” </w:t>
      </w:r>
      <w:r w:rsidRPr="00C93F78">
        <w:rPr>
          <w:rFonts w:ascii="Times New Roman" w:hAnsi="Times New Roman" w:cs="Times New Roman"/>
          <w:sz w:val="24"/>
          <w:szCs w:val="24"/>
        </w:rPr>
        <w:t>zdefiniowane zostało w projektowanym art. 86a</w:t>
      </w:r>
      <w:r w:rsidRPr="00C93F78">
        <w:rPr>
          <w:rFonts w:ascii="Times New Roman" w:hAnsi="Times New Roman"/>
          <w:b/>
          <w:sz w:val="24"/>
          <w:szCs w:val="24"/>
        </w:rPr>
        <w:t xml:space="preserve"> </w:t>
      </w:r>
      <w:r w:rsidRPr="00C93F78">
        <w:rPr>
          <w:rFonts w:ascii="Times New Roman" w:hAnsi="Times New Roman" w:cs="Times New Roman"/>
          <w:sz w:val="24"/>
          <w:szCs w:val="24"/>
        </w:rPr>
        <w:t xml:space="preserve">§ 1 pkt 6 Ordynacji podatkowej, rozumie się przez to podmiot powiązany z innym podmiotem poprzez </w:t>
      </w:r>
      <w:r w:rsidR="00317DC0" w:rsidRPr="00C93F78">
        <w:rPr>
          <w:rFonts w:ascii="Times New Roman" w:hAnsi="Times New Roman" w:cs="Times New Roman"/>
          <w:sz w:val="24"/>
          <w:szCs w:val="24"/>
        </w:rPr>
        <w:t xml:space="preserve">co najmniej </w:t>
      </w:r>
      <w:r w:rsidRPr="00C93F78">
        <w:rPr>
          <w:rFonts w:ascii="Times New Roman" w:hAnsi="Times New Roman" w:cs="Times New Roman"/>
          <w:sz w:val="24"/>
          <w:szCs w:val="24"/>
        </w:rPr>
        <w:t>jeden ze sposobów określonych poniżej:</w:t>
      </w:r>
    </w:p>
    <w:p w:rsidR="00B861DF" w:rsidRPr="00C93F78" w:rsidRDefault="0000209F" w:rsidP="00C93F78">
      <w:pPr>
        <w:pStyle w:val="ZLITwPKTzmlitwpktartykuempunktem"/>
        <w:spacing w:before="120"/>
        <w:ind w:left="567" w:hanging="283"/>
        <w:rPr>
          <w:rFonts w:ascii="Times New Roman" w:hAnsi="Times New Roman" w:cs="Times New Roman"/>
          <w:szCs w:val="24"/>
        </w:rPr>
      </w:pPr>
      <w:r w:rsidRPr="00C93F78">
        <w:rPr>
          <w:rFonts w:eastAsia="Times New Roman"/>
          <w:bCs w:val="0"/>
          <w:szCs w:val="24"/>
        </w:rPr>
        <w:t>a)</w:t>
      </w:r>
      <w:r w:rsidRPr="00C93F78">
        <w:rPr>
          <w:rFonts w:eastAsia="Times New Roman"/>
          <w:bCs w:val="0"/>
          <w:szCs w:val="24"/>
        </w:rPr>
        <w:tab/>
      </w:r>
      <w:r w:rsidR="00B861DF" w:rsidRPr="00C93F78">
        <w:rPr>
          <w:rFonts w:ascii="Times New Roman" w:hAnsi="Times New Roman"/>
          <w:szCs w:val="24"/>
        </w:rPr>
        <w:t>osoba fizyczna, osoba prawna lub jednostka organizacyjna niemająca osobowości prawnej uczestniczy w zarządzaniu innym podmiotem i wywiera znaczący wpływ na podmiot zarządzany</w:t>
      </w:r>
      <w:r w:rsidRPr="00C93F78">
        <w:rPr>
          <w:rFonts w:ascii="Times New Roman" w:hAnsi="Times New Roman"/>
          <w:szCs w:val="24"/>
        </w:rPr>
        <w:t>,</w:t>
      </w:r>
    </w:p>
    <w:p w:rsidR="00B861DF" w:rsidRPr="00C93F78" w:rsidRDefault="0000209F" w:rsidP="00C93F78">
      <w:pPr>
        <w:pStyle w:val="ZLITwPKTzmlitwpktartykuempunktem"/>
        <w:spacing w:before="120"/>
        <w:ind w:left="567" w:hanging="283"/>
        <w:rPr>
          <w:rFonts w:ascii="Times New Roman" w:hAnsi="Times New Roman" w:cs="Times New Roman"/>
          <w:szCs w:val="24"/>
        </w:rPr>
      </w:pPr>
      <w:r w:rsidRPr="00C93F78">
        <w:rPr>
          <w:rFonts w:ascii="Times New Roman" w:hAnsi="Times New Roman"/>
          <w:szCs w:val="24"/>
        </w:rPr>
        <w:t>b)</w:t>
      </w:r>
      <w:r w:rsidRPr="00C93F78">
        <w:rPr>
          <w:rFonts w:ascii="Times New Roman" w:hAnsi="Times New Roman"/>
          <w:szCs w:val="24"/>
        </w:rPr>
        <w:tab/>
      </w:r>
      <w:r w:rsidR="00B861DF" w:rsidRPr="00C93F78">
        <w:rPr>
          <w:rFonts w:ascii="Times New Roman" w:hAnsi="Times New Roman"/>
          <w:szCs w:val="24"/>
        </w:rPr>
        <w:t>osoba fizyczna, osoba prawna lub jednostka organizacyjna niemająca osobowości prawnej uczestniczy w sprawowaniu kontroli nad innym podmiotem poprzez udział kapitałowy, który uprawnia do ponad 25 % praw głosu</w:t>
      </w:r>
      <w:r w:rsidRPr="00C93F78">
        <w:rPr>
          <w:rFonts w:ascii="Times New Roman" w:hAnsi="Times New Roman"/>
          <w:szCs w:val="24"/>
        </w:rPr>
        <w:t>,</w:t>
      </w:r>
    </w:p>
    <w:p w:rsidR="00B861DF" w:rsidRPr="00C93F78" w:rsidRDefault="0000209F" w:rsidP="00C93F78">
      <w:pPr>
        <w:pStyle w:val="ZLITwPKTzmlitwpktartykuempunktem"/>
        <w:spacing w:before="120"/>
        <w:ind w:left="567" w:hanging="283"/>
        <w:rPr>
          <w:rFonts w:ascii="Times New Roman" w:hAnsi="Times New Roman" w:cs="Times New Roman"/>
          <w:szCs w:val="24"/>
        </w:rPr>
      </w:pPr>
      <w:r w:rsidRPr="00C93F78">
        <w:rPr>
          <w:rFonts w:ascii="Times New Roman" w:hAnsi="Times New Roman"/>
          <w:szCs w:val="24"/>
        </w:rPr>
        <w:t>c)</w:t>
      </w:r>
      <w:r w:rsidRPr="00C93F78">
        <w:rPr>
          <w:rFonts w:ascii="Times New Roman" w:hAnsi="Times New Roman"/>
          <w:szCs w:val="24"/>
        </w:rPr>
        <w:tab/>
      </w:r>
      <w:r w:rsidR="00B861DF" w:rsidRPr="00C93F78">
        <w:rPr>
          <w:rFonts w:ascii="Times New Roman" w:hAnsi="Times New Roman"/>
          <w:szCs w:val="24"/>
        </w:rPr>
        <w:t>osoba fizyczna, osoba prawna lub jednostka organizacyjna niemająca osobowości prawnej posiada bezpośrednio lub pośrednio udział w kapitale innego podmiotu w wysokości ponad 25% kapitału. Wysokość udziału pośredniego ustala się, mnożąc wysokość udziału na kolejnych poziomach. Uznaje się, że osoba posiadająca ponad 50% praw głosu posiada 100% tych praw</w:t>
      </w:r>
      <w:r w:rsidRPr="00C93F78">
        <w:rPr>
          <w:rFonts w:ascii="Times New Roman" w:hAnsi="Times New Roman"/>
          <w:szCs w:val="24"/>
        </w:rPr>
        <w:t>,</w:t>
      </w:r>
    </w:p>
    <w:p w:rsidR="00F93B0F" w:rsidRPr="00C93F78" w:rsidRDefault="0000209F" w:rsidP="00C93F78">
      <w:pPr>
        <w:pStyle w:val="ZLITwPKTzmlitwpktartykuempunktem"/>
        <w:spacing w:before="120"/>
        <w:ind w:left="567" w:hanging="283"/>
        <w:rPr>
          <w:rFonts w:ascii="Times New Roman" w:hAnsi="Times New Roman"/>
          <w:szCs w:val="24"/>
        </w:rPr>
      </w:pPr>
      <w:r w:rsidRPr="00C93F78">
        <w:rPr>
          <w:rFonts w:ascii="Times New Roman" w:hAnsi="Times New Roman"/>
          <w:szCs w:val="24"/>
        </w:rPr>
        <w:t>d)</w:t>
      </w:r>
      <w:r w:rsidRPr="00C93F78">
        <w:rPr>
          <w:rFonts w:ascii="Times New Roman" w:hAnsi="Times New Roman"/>
          <w:szCs w:val="24"/>
        </w:rPr>
        <w:tab/>
      </w:r>
      <w:r w:rsidR="00B861DF" w:rsidRPr="00C93F78">
        <w:rPr>
          <w:rFonts w:ascii="Times New Roman" w:hAnsi="Times New Roman"/>
          <w:szCs w:val="24"/>
        </w:rPr>
        <w:t>osoba fizyczna, osoba prawna lub jednostka organizacyjna niemająca osobowości prawnej jest uprawniona do co najmniej 25% zysków innego podmiotu</w:t>
      </w:r>
      <w:r w:rsidRPr="00C93F78">
        <w:rPr>
          <w:rFonts w:ascii="Times New Roman" w:hAnsi="Times New Roman"/>
          <w:szCs w:val="24"/>
        </w:rPr>
        <w:t>,</w:t>
      </w:r>
    </w:p>
    <w:p w:rsidR="00B861DF" w:rsidRPr="00C93F78" w:rsidRDefault="00F93B0F" w:rsidP="00C93F78">
      <w:pPr>
        <w:pStyle w:val="ZLITwPKTzmlitwpktartykuempunktem"/>
        <w:spacing w:before="120"/>
        <w:ind w:left="567" w:hanging="283"/>
        <w:rPr>
          <w:rFonts w:ascii="Times New Roman" w:hAnsi="Times New Roman" w:cs="Times New Roman"/>
          <w:szCs w:val="24"/>
        </w:rPr>
      </w:pPr>
      <w:r w:rsidRPr="00C93F78">
        <w:rPr>
          <w:rFonts w:ascii="Times New Roman" w:hAnsi="Times New Roman"/>
          <w:szCs w:val="24"/>
        </w:rPr>
        <w:t>przy czym:</w:t>
      </w:r>
    </w:p>
    <w:p w:rsidR="00B861DF" w:rsidRPr="00C93F78" w:rsidRDefault="00F93B0F" w:rsidP="00C93F78">
      <w:pPr>
        <w:pStyle w:val="ZLITwPKTzmlitwpktartykuempunktem"/>
        <w:spacing w:before="120"/>
        <w:ind w:left="567" w:hanging="283"/>
        <w:rPr>
          <w:rFonts w:ascii="Times New Roman" w:hAnsi="Times New Roman" w:cs="Times New Roman"/>
          <w:szCs w:val="24"/>
        </w:rPr>
      </w:pPr>
      <w:r w:rsidRPr="00C93F78">
        <w:rPr>
          <w:rFonts w:ascii="Times New Roman" w:hAnsi="Times New Roman"/>
          <w:szCs w:val="24"/>
        </w:rPr>
        <w:t xml:space="preserve">- </w:t>
      </w:r>
      <w:r w:rsidRPr="00C93F78">
        <w:rPr>
          <w:rFonts w:ascii="Times New Roman" w:hAnsi="Times New Roman"/>
          <w:szCs w:val="24"/>
        </w:rPr>
        <w:tab/>
      </w:r>
      <w:r w:rsidR="00B861DF" w:rsidRPr="00C93F78">
        <w:rPr>
          <w:rFonts w:ascii="Times New Roman" w:hAnsi="Times New Roman"/>
          <w:szCs w:val="24"/>
        </w:rPr>
        <w:t>jeżeli w zarządzaniu, kontroli, kapitale lub zyskach tego samego podmiotu uczestniczy, zgodnie z lit. a-d, więcej niż jeden podmiot, wszystkie takie podmioty są uznawane za podmioty powiązane</w:t>
      </w:r>
      <w:r w:rsidR="0000209F" w:rsidRPr="00C93F78">
        <w:rPr>
          <w:rFonts w:ascii="Times New Roman" w:hAnsi="Times New Roman"/>
          <w:szCs w:val="24"/>
        </w:rPr>
        <w:t>,</w:t>
      </w:r>
    </w:p>
    <w:p w:rsidR="00B861DF" w:rsidRPr="00C93F78" w:rsidRDefault="00F93B0F" w:rsidP="00C93F78">
      <w:pPr>
        <w:pStyle w:val="ZLITwPKTzmlitwpktartykuempunktem"/>
        <w:spacing w:before="120"/>
        <w:ind w:left="567" w:hanging="283"/>
        <w:rPr>
          <w:rFonts w:ascii="Times New Roman" w:hAnsi="Times New Roman" w:cs="Times New Roman"/>
          <w:szCs w:val="24"/>
        </w:rPr>
      </w:pPr>
      <w:r w:rsidRPr="00C93F78">
        <w:rPr>
          <w:rFonts w:ascii="Times New Roman" w:hAnsi="Times New Roman"/>
          <w:szCs w:val="24"/>
        </w:rPr>
        <w:t xml:space="preserve">- </w:t>
      </w:r>
      <w:r w:rsidRPr="00C93F78">
        <w:rPr>
          <w:rFonts w:ascii="Times New Roman" w:hAnsi="Times New Roman"/>
          <w:szCs w:val="24"/>
        </w:rPr>
        <w:tab/>
      </w:r>
      <w:r w:rsidR="00B861DF" w:rsidRPr="00C93F78">
        <w:rPr>
          <w:rFonts w:ascii="Times New Roman" w:hAnsi="Times New Roman"/>
          <w:szCs w:val="24"/>
        </w:rPr>
        <w:t>jeżeli te same podmioty uczestniczą w zarządzaniu lub kontroli lub posiadają udział w kapitale lub zyskach, zgodnie z lit. a-d, więcej niż jednego podmiotu, wszystkie takie podmioty są uznawane za podmioty powiązane</w:t>
      </w:r>
      <w:r w:rsidR="0000209F" w:rsidRPr="00C93F78">
        <w:rPr>
          <w:rFonts w:ascii="Times New Roman" w:hAnsi="Times New Roman"/>
          <w:szCs w:val="24"/>
        </w:rPr>
        <w:t>,</w:t>
      </w:r>
    </w:p>
    <w:p w:rsidR="00B861DF" w:rsidRPr="00C93F78" w:rsidRDefault="00F93B0F" w:rsidP="00C93F78">
      <w:pPr>
        <w:pStyle w:val="ZLITwPKTzmlitwpktartykuempunktem"/>
        <w:spacing w:before="120"/>
        <w:ind w:left="567" w:hanging="283"/>
        <w:rPr>
          <w:rFonts w:ascii="Times New Roman" w:hAnsi="Times New Roman" w:cs="Times New Roman"/>
          <w:szCs w:val="24"/>
        </w:rPr>
      </w:pPr>
      <w:r w:rsidRPr="00C93F78">
        <w:rPr>
          <w:rFonts w:ascii="Times New Roman" w:hAnsi="Times New Roman"/>
          <w:szCs w:val="24"/>
        </w:rPr>
        <w:t xml:space="preserve">- </w:t>
      </w:r>
      <w:r w:rsidRPr="00C93F78">
        <w:rPr>
          <w:rFonts w:ascii="Times New Roman" w:hAnsi="Times New Roman"/>
          <w:szCs w:val="24"/>
        </w:rPr>
        <w:tab/>
      </w:r>
      <w:r w:rsidR="00B861DF" w:rsidRPr="00C93F78">
        <w:rPr>
          <w:rFonts w:ascii="Times New Roman" w:hAnsi="Times New Roman"/>
          <w:szCs w:val="24"/>
        </w:rPr>
        <w:t>powiązania określone zgodnie z lit. a-d, stosuje się również do powiązań o charakterze rodzinnym lub majątkowym pomiędzy podmiotami krajowymi lub osobami pełniącymi w tych podmiotach funkcje zarządzające lub kontrolne albo nadzorcze oraz jeżeli którakolwiek osoba łączy funkcje zarządzające lub kontrolne albo nadzorcze w tych podmiotach</w:t>
      </w:r>
      <w:r w:rsidR="003D1A2F" w:rsidRPr="00C93F78">
        <w:rPr>
          <w:rFonts w:ascii="Times New Roman" w:hAnsi="Times New Roman"/>
          <w:szCs w:val="24"/>
        </w:rPr>
        <w:t>.</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w:t>
      </w:r>
      <w:r w:rsidRPr="00C93F78">
        <w:rPr>
          <w:rFonts w:ascii="Times New Roman" w:hAnsi="Times New Roman"/>
          <w:b/>
          <w:sz w:val="24"/>
          <w:szCs w:val="24"/>
        </w:rPr>
        <w:t xml:space="preserve">Promotorem” </w:t>
      </w:r>
      <w:r w:rsidRPr="00C93F78">
        <w:rPr>
          <w:rFonts w:ascii="Times New Roman" w:hAnsi="Times New Roman" w:cs="Times New Roman"/>
          <w:sz w:val="24"/>
          <w:szCs w:val="24"/>
        </w:rPr>
        <w:t>w rozumieniu projektowanej ustawy (art. 86a§ 1 pkt 7 Ordynacji podatkowej) jest</w:t>
      </w:r>
      <w:r w:rsidRPr="00C93F78">
        <w:rPr>
          <w:rFonts w:ascii="Times New Roman" w:hAnsi="Times New Roman"/>
          <w:b/>
          <w:sz w:val="24"/>
          <w:szCs w:val="24"/>
        </w:rPr>
        <w:t xml:space="preserve"> </w:t>
      </w:r>
      <w:r w:rsidR="00F54C90" w:rsidRPr="00C93F78">
        <w:rPr>
          <w:rFonts w:ascii="Times New Roman" w:hAnsi="Times New Roman" w:cs="Times New Roman"/>
          <w:sz w:val="24"/>
          <w:szCs w:val="24"/>
        </w:rPr>
        <w:t>osobę fizyczną, osobę prawną</w:t>
      </w:r>
      <w:r w:rsidRPr="00C93F78">
        <w:rPr>
          <w:rFonts w:ascii="Times New Roman" w:hAnsi="Times New Roman" w:cs="Times New Roman"/>
          <w:sz w:val="24"/>
          <w:szCs w:val="24"/>
        </w:rPr>
        <w:t xml:space="preserve"> lub </w:t>
      </w:r>
      <w:r w:rsidR="00F54C90" w:rsidRPr="00C93F78">
        <w:rPr>
          <w:rFonts w:ascii="Times New Roman" w:hAnsi="Times New Roman" w:cs="Times New Roman"/>
          <w:sz w:val="24"/>
          <w:szCs w:val="24"/>
        </w:rPr>
        <w:t>jednostkę organizacyjną</w:t>
      </w:r>
      <w:r w:rsidRPr="00C93F78">
        <w:rPr>
          <w:rFonts w:ascii="Times New Roman" w:hAnsi="Times New Roman" w:cs="Times New Roman"/>
          <w:sz w:val="24"/>
          <w:szCs w:val="24"/>
        </w:rPr>
        <w:t xml:space="preserve"> niemającą osobowości prawnej, w szczególności </w:t>
      </w:r>
      <w:r w:rsidR="00F54C90" w:rsidRPr="00C93F78">
        <w:rPr>
          <w:rFonts w:ascii="Times New Roman" w:hAnsi="Times New Roman" w:cs="Times New Roman"/>
          <w:sz w:val="24"/>
          <w:szCs w:val="24"/>
        </w:rPr>
        <w:t>doradcę podatkowego, adwokata, radcę prawnego, pracownika</w:t>
      </w:r>
      <w:r w:rsidRPr="00C93F78">
        <w:rPr>
          <w:rFonts w:ascii="Times New Roman" w:hAnsi="Times New Roman" w:cs="Times New Roman"/>
          <w:sz w:val="24"/>
          <w:szCs w:val="24"/>
        </w:rPr>
        <w:t xml:space="preserve"> banku lub innej instytucji finansowej </w:t>
      </w:r>
      <w:r w:rsidR="00F54C90" w:rsidRPr="00C93F78">
        <w:rPr>
          <w:rFonts w:ascii="Times New Roman" w:hAnsi="Times New Roman" w:cs="Times New Roman"/>
          <w:sz w:val="24"/>
          <w:szCs w:val="24"/>
        </w:rPr>
        <w:t>doradzającego</w:t>
      </w:r>
      <w:r w:rsidRPr="00C93F78">
        <w:rPr>
          <w:rFonts w:ascii="Times New Roman" w:hAnsi="Times New Roman" w:cs="Times New Roman"/>
          <w:sz w:val="24"/>
          <w:szCs w:val="24"/>
        </w:rPr>
        <w:t xml:space="preserve"> klientom, również w przypadku gdy nie posiada miejsca zamieszkania, siedziby ani zarządu na terytorium kraju, która opracowuje, oferuje, udostępnia, wdraża lub zarządza wdrażaniem uzgodnienia.Należy podkreślić, że powyższy katalog nie jest zamknięty, przykładowo wyliczono zawody, które obejmują szeroko rozumiane usługi doradcze i konkretną pomoc w kształtowaniu oraz prowadzeniu strategii podatkowej korzystającego. Poza wymienioną w definicji grupą zawodów, w tym zawodów zaufania publicznego, promotorem może być także inna osoba wykonująca czynności pozostające w zakresie działania tych osób lub posiadająca podobne kwalifikacje. Oznacza to, że wykonywanie zawodu z grupy wskazanej w tym przepisie nie stanowi samo w sobie przesłanki uznania takiej osoby za promotora, o ile w ramach wykonywanych czynności nie zostanie spełniony warunek z pkt 7 art. 86a § 1 Ordynacji podatkowej. Szeroka definicja promotora powinna pozwolić zapobiec uchylaniu się od obowiązku raportowania Szefowi KAS schematów podatkowych, przez podmioty, które je opracowują.</w:t>
      </w:r>
    </w:p>
    <w:p w:rsidR="00AB317D" w:rsidRPr="00C93F78" w:rsidRDefault="00AB317D"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Uzasadnieniem stosowania MDR również do promotora, który nie posiada miejsca zamieszkania, siedziby ani zarządu na terytorium kraju, wynika przede wszystkim z praktyki funkcjonowania międzynarodowych korporacji. Co do zasady, ich funkcjonowanie opiera się</w:t>
      </w:r>
      <w:r w:rsidR="00214B8A"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na wewnętrznych procedurach, </w:t>
      </w:r>
      <w:r w:rsidRPr="00C93F78">
        <w:rPr>
          <w:rFonts w:ascii="Times New Roman" w:hAnsi="Times New Roman" w:cs="Times New Roman"/>
          <w:i/>
          <w:sz w:val="24"/>
          <w:szCs w:val="24"/>
        </w:rPr>
        <w:t>corporate governance</w:t>
      </w:r>
      <w:r w:rsidRPr="00C93F78">
        <w:rPr>
          <w:rFonts w:ascii="Times New Roman" w:hAnsi="Times New Roman" w:cs="Times New Roman"/>
          <w:sz w:val="24"/>
          <w:szCs w:val="24"/>
        </w:rPr>
        <w:t>, oraz kwestiach wizerunkowych, tym samym, nawet w sytuacji gdy nie ma możliwości efektywnego wyegzekwowania ewentualnych sankcji lub kar, tego rodzaju korporacje nie podejmują działań (doradztwa), które są sprzeczne z przepisami danego państwa, których ich usługi dotyczą (np. porada podatkowa udzielona przez firmę z UK, która zahacza m.in. o skutki podatkowe w Polsce, która spełniałaby przesłanki stosowania polskiego MDR).</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Przewidziane w Projekcie definicje promotora oraz wspomagającego, w tym zwłaszcza zakres czynności podejmowanych przez te podmioty, odpowiadają definicji promotora (</w:t>
      </w:r>
      <w:r w:rsidR="00474388" w:rsidRPr="00C93F78">
        <w:rPr>
          <w:rFonts w:ascii="Times New Roman" w:hAnsi="Times New Roman"/>
          <w:i/>
          <w:sz w:val="24"/>
          <w:szCs w:val="24"/>
        </w:rPr>
        <w:t>pośrednika</w:t>
      </w:r>
      <w:r w:rsidRPr="00C93F78">
        <w:rPr>
          <w:rFonts w:ascii="Times New Roman" w:hAnsi="Times New Roman" w:cs="Times New Roman"/>
          <w:sz w:val="24"/>
          <w:szCs w:val="24"/>
        </w:rPr>
        <w:t>) zawartej w Dyrektywie. Zgodnie bowiem z Dyrektywą za pośrednika uważana jest osoba, która opracowuje, wprowadza do obrotu, organizuje lub udostępnia do wdrożenia podlegające zgłoszeniu uzgodnienie transgraniczne lub zarządza wdrażaniem takiego uzgodnienia. Dyrektywa wskazuje również, że „termin ten obejmuje również osobę, która, uwzględniając odpowiednie fakty i okoliczności i w oparciu o dostępne informacje i właściwą wiedzę fachową i orientację wymagane do świadczenia takich usług, zdaje sobie sprawę lub można racjonalnie oczekiwać, że zdaje sobie sprawę, że podjęła się udzielić, bezpośrednio lub za pośrednictwem innych osób, pomocy, wsparcia lub porad dotyczących opracowywania, wprowadzania do obrotu, organizowania, udostępniania do wdrożenia lub nadzorowania wdrożenia podlegającego zgłoszeniu uzgodnienia transgranicznego”.</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W tym kontekście zauważyć należy, że w pierwotnym brzmieniu Dyrektywy (patrz: Wniosek Dyrektywa Rady zmieniająca dyrektywę 2011/16/UE w zakresie obowiązkowej automatycznej wymiany informacji w dziedzinie opodatkowania w odniesieniu do raportowanych uzgodnień transgranicznych 21 czerwca 2017 r.</w:t>
      </w:r>
      <w:r w:rsidRPr="00C93F78">
        <w:rPr>
          <w:rStyle w:val="Odwoanieprzypisudolnego"/>
          <w:rFonts w:ascii="Times New Roman" w:hAnsi="Times New Roman" w:cs="Times New Roman"/>
          <w:sz w:val="24"/>
          <w:szCs w:val="24"/>
        </w:rPr>
        <w:footnoteReference w:id="29"/>
      </w:r>
      <w:r w:rsidRPr="00C93F78">
        <w:rPr>
          <w:rFonts w:ascii="Times New Roman" w:hAnsi="Times New Roman" w:cs="Times New Roman"/>
          <w:sz w:val="24"/>
          <w:szCs w:val="24"/>
        </w:rPr>
        <w:t>) wskazywano, że „</w:t>
      </w:r>
      <w:r w:rsidRPr="00C93F78">
        <w:rPr>
          <w:rFonts w:ascii="Times New Roman" w:hAnsi="Times New Roman"/>
          <w:i/>
          <w:sz w:val="24"/>
          <w:szCs w:val="24"/>
        </w:rPr>
        <w:t>Pośrednicy</w:t>
      </w:r>
      <w:r w:rsidRPr="00C93F78">
        <w:rPr>
          <w:rFonts w:ascii="Times New Roman" w:hAnsi="Times New Roman" w:cs="Times New Roman"/>
          <w:sz w:val="24"/>
          <w:szCs w:val="24"/>
        </w:rPr>
        <w:t xml:space="preserve"> oznaczają również każdą osobę, która zobowiązuje się przekazać, bezpośrednio lub za pośrednictwem innych osób, z którymi jest powiązana, pomoc materialną, wsparcie lub porady dotyczące opracowywania, wprowadzania do obrotu, organizowania lub nadzorowania wdrożenia </w:t>
      </w:r>
      <w:r w:rsidRPr="00C93F78">
        <w:rPr>
          <w:rFonts w:ascii="Times New Roman" w:hAnsi="Times New Roman"/>
          <w:b/>
          <w:sz w:val="24"/>
          <w:szCs w:val="24"/>
          <w:u w:val="single"/>
        </w:rPr>
        <w:t>aspektów podatkowych</w:t>
      </w:r>
      <w:r w:rsidRPr="001F5C69">
        <w:rPr>
          <w:rStyle w:val="Odwoanieprzypisudolnego"/>
          <w:rFonts w:ascii="Times New Roman" w:hAnsi="Times New Roman" w:cs="Times New Roman"/>
          <w:sz w:val="24"/>
          <w:szCs w:val="24"/>
        </w:rPr>
        <w:footnoteReference w:id="30"/>
      </w:r>
      <w:r w:rsidRPr="00C93F78">
        <w:rPr>
          <w:rFonts w:ascii="Times New Roman" w:hAnsi="Times New Roman" w:cs="Times New Roman"/>
          <w:sz w:val="24"/>
          <w:szCs w:val="24"/>
        </w:rPr>
        <w:t xml:space="preserve"> raportowanego uzgodnienia transgranicznego”. Uznać należy, że usunięcie w procedurze legislacyjnej dot. Dyrektywy odniesienie do aspektów podatkowych w definicji podatnika miało na celu objęcie definicją tego pojęcia również podmioty wykonujące ww. czynności w odniesieniu do aspektów innych niż podatkowe.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Projektodawca</w:t>
      </w:r>
      <w:r w:rsidRPr="00C93F78">
        <w:rPr>
          <w:rFonts w:ascii="Times New Roman" w:hAnsi="Times New Roman"/>
          <w:b/>
          <w:sz w:val="24"/>
          <w:szCs w:val="24"/>
        </w:rPr>
        <w:t xml:space="preserve"> </w:t>
      </w:r>
      <w:r w:rsidRPr="00C93F78">
        <w:rPr>
          <w:rFonts w:ascii="Times New Roman" w:hAnsi="Times New Roman" w:cs="Times New Roman"/>
          <w:sz w:val="24"/>
          <w:szCs w:val="24"/>
        </w:rPr>
        <w:t>definiując w art. 86a § 1 pkt 8 Ordynacji podatkowej pojęcie</w:t>
      </w:r>
      <w:r w:rsidRPr="00C93F78">
        <w:rPr>
          <w:rFonts w:ascii="Times New Roman" w:hAnsi="Times New Roman"/>
          <w:b/>
          <w:sz w:val="24"/>
          <w:szCs w:val="24"/>
        </w:rPr>
        <w:t xml:space="preserve"> „rachunek finansowy”</w:t>
      </w:r>
      <w:r w:rsidRPr="00C93F78">
        <w:rPr>
          <w:rFonts w:ascii="Times New Roman" w:hAnsi="Times New Roman" w:cs="Times New Roman"/>
          <w:sz w:val="24"/>
          <w:szCs w:val="24"/>
        </w:rPr>
        <w:t xml:space="preserve"> odwołał się do art. 24 ust 1 pkt 38 ustawy o wymianie informacji podatkowych z innymi państwami oraz do art. 1 ust. 1 lit. s umowy między Rządem Rzeczypospolitej Polskiej a Rządem Stanów Zjednoczonych Ameryki w sprawie poprawy wypełniania międzynarodowych obowiązków podatkowych oraz wdrożenia ustawodawstwa FATCA.</w:t>
      </w:r>
    </w:p>
    <w:p w:rsidR="00B861DF" w:rsidRPr="00C93F78" w:rsidRDefault="00B861DF" w:rsidP="00C93F78">
      <w:p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 xml:space="preserve">W art. 86a </w:t>
      </w:r>
      <w:r w:rsidRPr="00C93F78">
        <w:rPr>
          <w:rFonts w:ascii="Times New Roman" w:hAnsi="Times New Roman" w:cs="Times New Roman"/>
          <w:sz w:val="24"/>
          <w:szCs w:val="24"/>
        </w:rPr>
        <w:t>§ 1 pkt 9 Ordynacji podatkowej</w:t>
      </w:r>
      <w:r w:rsidRPr="00C93F78">
        <w:rPr>
          <w:rFonts w:ascii="Times New Roman" w:hAnsi="Times New Roman" w:cs="Times New Roman"/>
          <w:bCs/>
          <w:sz w:val="24"/>
          <w:szCs w:val="24"/>
        </w:rPr>
        <w:t xml:space="preserve"> projektodawca wyjaśnił co należy rozumieć pod pojęciem </w:t>
      </w:r>
      <w:r w:rsidRPr="00C93F78">
        <w:rPr>
          <w:rFonts w:ascii="Times New Roman" w:hAnsi="Times New Roman"/>
          <w:b/>
          <w:sz w:val="24"/>
          <w:szCs w:val="24"/>
        </w:rPr>
        <w:t>„schemat podatkowy”</w:t>
      </w:r>
      <w:r w:rsidRPr="00C93F78">
        <w:rPr>
          <w:rFonts w:ascii="Times New Roman" w:hAnsi="Times New Roman" w:cs="Times New Roman"/>
          <w:bCs/>
          <w:sz w:val="24"/>
          <w:szCs w:val="24"/>
        </w:rPr>
        <w:t>, jest to uzgodnienie, które:</w:t>
      </w:r>
    </w:p>
    <w:p w:rsidR="00B861DF" w:rsidRPr="00C93F78" w:rsidRDefault="00B861DF" w:rsidP="00C93F78">
      <w:pPr>
        <w:pStyle w:val="Akapitzlist"/>
        <w:numPr>
          <w:ilvl w:val="0"/>
          <w:numId w:val="47"/>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spełnia kryterium głównej korzyści oraz posiada ogólną cechę rozpoznawczą,</w:t>
      </w:r>
    </w:p>
    <w:p w:rsidR="00B861DF" w:rsidRPr="00C93F78" w:rsidRDefault="00B861DF" w:rsidP="00C93F78">
      <w:pPr>
        <w:pStyle w:val="Akapitzlist"/>
        <w:numPr>
          <w:ilvl w:val="0"/>
          <w:numId w:val="47"/>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posiada szczególną cechę rozpoznawczą, lub</w:t>
      </w:r>
    </w:p>
    <w:p w:rsidR="00B861DF" w:rsidRPr="00C93F78" w:rsidRDefault="00B861DF" w:rsidP="00C93F78">
      <w:pPr>
        <w:pStyle w:val="Akapitzlist"/>
        <w:numPr>
          <w:ilvl w:val="0"/>
          <w:numId w:val="47"/>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posiada inną szczególną cechę rozpoznawczą;</w:t>
      </w:r>
    </w:p>
    <w:p w:rsidR="00B861DF" w:rsidRPr="00C93F78" w:rsidRDefault="00B861DF" w:rsidP="00C93F78">
      <w:pPr>
        <w:autoSpaceDE w:val="0"/>
        <w:autoSpaceDN w:val="0"/>
        <w:adjustRightInd w:val="0"/>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W myśl projektowanej ustawy pod pojęciem „</w:t>
      </w:r>
      <w:r w:rsidRPr="00C93F78">
        <w:rPr>
          <w:rFonts w:ascii="Times New Roman" w:hAnsi="Times New Roman"/>
          <w:b/>
          <w:sz w:val="24"/>
          <w:szCs w:val="24"/>
        </w:rPr>
        <w:t>schemat podatkowy standaryzowany</w:t>
      </w:r>
      <w:r w:rsidRPr="00C93F78">
        <w:rPr>
          <w:rFonts w:ascii="Times New Roman" w:hAnsi="Times New Roman" w:cs="Times New Roman"/>
          <w:sz w:val="24"/>
          <w:szCs w:val="24"/>
        </w:rPr>
        <w:t xml:space="preserve">” należy natomiast rozumieć schemat podatkowy, w tym schemat transgraniczny możliwy do wdrożenia lub udostępnienia u więcej niż jednego korzystającego bez konieczności zmiany jego istotnych założeń, w szczególności dotyczących rodzaju czynności podejmowanych lub planowanych w ramach schematu (pkt 10 art. 86a § 1 Ordynacji podatkowej). </w:t>
      </w:r>
    </w:p>
    <w:p w:rsidR="00B861DF" w:rsidRPr="00C93F78" w:rsidRDefault="00B861DF" w:rsidP="00C93F78">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93F78">
        <w:rPr>
          <w:rFonts w:ascii="Times New Roman" w:hAnsi="Times New Roman" w:cs="Times New Roman"/>
          <w:sz w:val="24"/>
          <w:szCs w:val="24"/>
        </w:rPr>
        <w:t xml:space="preserve">Wyróżnienie tej kategorii schematów podatkowych wynika z argumentów powoływanych już we wstępnej części uzasadnienia – tj. obserwacji, że w praktyce funkcjonują </w:t>
      </w:r>
      <w:r w:rsidRPr="00C93F78">
        <w:rPr>
          <w:rFonts w:ascii="Times New Roman" w:eastAsia="Times New Roman" w:hAnsi="Times New Roman" w:cs="Times New Roman"/>
          <w:sz w:val="24"/>
          <w:szCs w:val="24"/>
          <w:lang w:eastAsia="pl-PL"/>
        </w:rPr>
        <w:t xml:space="preserve">schematy podatkowe będące rezultatem rozważań teoretycznych, które zostały opracowane abstrakcyjnie, bez potrzeby pozyskania informacji od przyszłego klienta/korzystającego. Świadczą o tym przytaczane już dane dotyczące SKA oraz PGK. Nie oznacza to jednak, że pojęcie schematu podatkowego standaryzowanego obejmuje jedynie przypadki relatywnie masowo wykorzystywanych uzgodnień. Wystarczające będzie, aby schemat podatkowy możliwy był do wdrożenia u więcej niż jednego korzystającego bez konieczności zmiany jego istotnych założeń, w szczególności dotyczących rodzaju czynności podejmowanych lub planowanych w ramach schematu. Prowadzi to do wniosku, że jeśli dany schemat podatkowy może być stosowany u podatników działających w określonej branży (np. stosowane rozwiązania instrumentów finansowych – przykładowo </w:t>
      </w:r>
      <w:r w:rsidRPr="00C93F78">
        <w:rPr>
          <w:rFonts w:ascii="Times New Roman" w:hAnsi="Times New Roman"/>
          <w:i/>
          <w:sz w:val="24"/>
          <w:szCs w:val="24"/>
        </w:rPr>
        <w:t>credit default swap</w:t>
      </w:r>
      <w:r w:rsidRPr="00C93F78">
        <w:rPr>
          <w:rFonts w:ascii="Times New Roman" w:eastAsia="Times New Roman" w:hAnsi="Times New Roman" w:cs="Times New Roman"/>
          <w:sz w:val="24"/>
          <w:szCs w:val="24"/>
          <w:lang w:eastAsia="pl-PL"/>
        </w:rPr>
        <w:t xml:space="preserve"> w firmach udzielających pożyczek, lecz niebędących bankami) będzie on podlegać zaraportowaniu jako schemat podatkowy standaryzowany.</w:t>
      </w:r>
    </w:p>
    <w:p w:rsidR="00B861DF" w:rsidRPr="00C93F78" w:rsidRDefault="00B861DF" w:rsidP="00C93F78">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Wyróżnienie pojęcia schemat podatkowy standaryzowany stanowi próbę odpowiedzi na uwagi zgłaszane przez respondentów w ramach przeprowadzonych konsultacji podatkowych, w szczególności jest odpowiedzią na wątpliwości respondentów dotyczące naruszenia tajemnicy zawodowej. Tajemnica zawodowa jest ważnym elementem zawodów regulowanych. Należy podkreślić, że celem projektodawcy jest respektowanie tajemnicy zawodowej z uwzględnieniem jednak celów projektowanej ustawy, w tym zwłaszcza wartości i zasad konstytucyjnych. Realizacji tych wartości i zasad konstytucyjnych ma służyć wprowadzenie obowiązku raportowania schematów podatkowych. W świetle rozwiązania, zgodnie z którym promotorzy będą mieli obowiązek ograniczonego przedmiotowo raportowania standaryzowanych schematów podatkowych, tj. w istocie rozwiązań bazujących na znajomości przepisów, tajemnica zawodowa nie zostanie naruszona.</w:t>
      </w:r>
    </w:p>
    <w:p w:rsidR="00B861DF" w:rsidRPr="00C93F78" w:rsidRDefault="00B861DF" w:rsidP="00C93F78">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lang w:eastAsia="pl-PL"/>
        </w:rPr>
        <w:t>Raportowanie schematów podatkowych standaryzowanych ma między innymi za zadanie szybką identyfikację schematów działań, które mogą zmierzać do relatywnie rozpowszechnionego wykorzystywania nieścisłości i niedoskonałości funkcjonującego prawa podatkowego. Należy wskazać, że analogiczne rozwiązanie zaproponowało OECD</w:t>
      </w:r>
      <w:r w:rsidRPr="00C93F78">
        <w:rPr>
          <w:rStyle w:val="Odwoanieprzypisudolnego"/>
          <w:rFonts w:ascii="Times New Roman" w:eastAsia="Times New Roman" w:hAnsi="Times New Roman" w:cs="Times New Roman"/>
          <w:sz w:val="24"/>
          <w:szCs w:val="24"/>
          <w:lang w:eastAsia="pl-PL"/>
        </w:rPr>
        <w:footnoteReference w:id="31"/>
      </w:r>
      <w:r w:rsidRPr="00C93F78">
        <w:rPr>
          <w:rFonts w:ascii="Times New Roman" w:eastAsia="Times New Roman" w:hAnsi="Times New Roman" w:cs="Times New Roman"/>
          <w:sz w:val="24"/>
          <w:szCs w:val="24"/>
          <w:lang w:eastAsia="pl-PL"/>
        </w:rPr>
        <w:t>, prezentując koncepcję, zgodnie z którą promotorzy mieliby obowiązek ujawniania schematów podatkowych przed pozyskaniem konkretnych podmiotów (osób), które mogłyby takie schematy zastosować. Zgodnie ze stanowiskiem OECD takie informowanie pozwoliłoby na szybką identyfikację schematów.</w:t>
      </w:r>
    </w:p>
    <w:p w:rsidR="00B861DF" w:rsidRPr="00C93F78" w:rsidRDefault="00B861DF" w:rsidP="00C93F78">
      <w:pPr>
        <w:autoSpaceDE w:val="0"/>
        <w:autoSpaceDN w:val="0"/>
        <w:adjustRightInd w:val="0"/>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Pod pojęciem </w:t>
      </w:r>
      <w:r w:rsidRPr="00C93F78">
        <w:rPr>
          <w:rFonts w:ascii="Times New Roman" w:hAnsi="Times New Roman"/>
          <w:b/>
          <w:sz w:val="24"/>
          <w:szCs w:val="24"/>
        </w:rPr>
        <w:t xml:space="preserve">„schemat podatkowy transgraniczny” </w:t>
      </w:r>
      <w:r w:rsidRPr="00C93F78">
        <w:rPr>
          <w:rFonts w:ascii="Times New Roman" w:hAnsi="Times New Roman" w:cs="Times New Roman"/>
          <w:sz w:val="24"/>
          <w:szCs w:val="24"/>
        </w:rPr>
        <w:t>(pkt 11 art. 86a § 1 Ordynacji podatkowej) należy rozumieć natomiast uzgodnienie, które spełnia kryterium transgraniczne oraz:</w:t>
      </w:r>
    </w:p>
    <w:p w:rsidR="00B861DF" w:rsidRPr="00C93F78" w:rsidRDefault="00B861DF" w:rsidP="00C93F78">
      <w:pPr>
        <w:pStyle w:val="Akapitzlist"/>
        <w:numPr>
          <w:ilvl w:val="0"/>
          <w:numId w:val="39"/>
        </w:numPr>
        <w:autoSpaceDE w:val="0"/>
        <w:autoSpaceDN w:val="0"/>
        <w:adjustRightInd w:val="0"/>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spełnia kryterium głównej korzyści oraz posiada którąkolwiek z ogólnych cech rozpoznawczych, o których mowa w pkt. 5 lit. a-h, lub</w:t>
      </w:r>
    </w:p>
    <w:p w:rsidR="00B861DF" w:rsidRPr="00C93F78" w:rsidRDefault="00B861DF" w:rsidP="00C93F78">
      <w:pPr>
        <w:pStyle w:val="Akapitzlist"/>
        <w:numPr>
          <w:ilvl w:val="0"/>
          <w:numId w:val="39"/>
        </w:numPr>
        <w:autoSpaceDE w:val="0"/>
        <w:autoSpaceDN w:val="0"/>
        <w:adjustRightInd w:val="0"/>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posiada szczególną cechę rozpoznawczą.</w:t>
      </w:r>
    </w:p>
    <w:p w:rsidR="00B861DF" w:rsidRPr="00C93F78" w:rsidRDefault="00B861DF" w:rsidP="00C93F78">
      <w:pPr>
        <w:autoSpaceDE w:val="0"/>
        <w:autoSpaceDN w:val="0"/>
        <w:adjustRightInd w:val="0"/>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W rozumieniu projektowanych przepisów pojęcie „</w:t>
      </w:r>
      <w:r w:rsidRPr="00C93F78">
        <w:rPr>
          <w:rFonts w:ascii="Times New Roman" w:hAnsi="Times New Roman"/>
          <w:b/>
          <w:sz w:val="24"/>
          <w:szCs w:val="24"/>
        </w:rPr>
        <w:t>szczególna cecha rozpoznawcza”</w:t>
      </w:r>
      <w:r w:rsidRPr="00C93F78">
        <w:rPr>
          <w:rFonts w:ascii="Times New Roman" w:hAnsi="Times New Roman" w:cs="Times New Roman"/>
          <w:sz w:val="24"/>
          <w:szCs w:val="24"/>
        </w:rPr>
        <w:t>, należy traktować jako właściwość uzgodnienia polegającą na tym, że (art. 86a § 1 pkt 12 Ordynacji podatkowej):</w:t>
      </w:r>
    </w:p>
    <w:p w:rsidR="00B861DF" w:rsidRPr="00C93F78" w:rsidRDefault="00B861DF" w:rsidP="00C93F78">
      <w:pPr>
        <w:pStyle w:val="Akapitzlist"/>
        <w:numPr>
          <w:ilvl w:val="0"/>
          <w:numId w:val="4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obejmuje ono podlegające zaliczeniu do kosztów uzyskania przychodów transgraniczne płatności pomiędzy podmiotami powiązanymi oraz:</w:t>
      </w:r>
    </w:p>
    <w:p w:rsidR="00B861DF" w:rsidRPr="00C93F78" w:rsidRDefault="00B861DF" w:rsidP="00C93F78">
      <w:pPr>
        <w:pStyle w:val="Akapitzlist"/>
        <w:numPr>
          <w:ilvl w:val="0"/>
          <w:numId w:val="41"/>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odbiorca płatności nie ma miejsca zamieszkania, siedziby ani zarządu w żadnym z państw,</w:t>
      </w:r>
    </w:p>
    <w:p w:rsidR="00B861DF" w:rsidRPr="00C93F78" w:rsidRDefault="00B861DF" w:rsidP="00C93F78">
      <w:pPr>
        <w:pStyle w:val="Akapitzlist"/>
        <w:numPr>
          <w:ilvl w:val="0"/>
          <w:numId w:val="41"/>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odbiorca płatności posiada miejsce zamieszkania, siedzibę lub zarząd na terytorium lub w kraju stosującym szkodliwą konkurencję podatkową w zakresie podatku dochodowego od osób fizycznych oraz podatku dochodowym od osób prawnych,</w:t>
      </w:r>
    </w:p>
    <w:p w:rsidR="00B861DF" w:rsidRPr="00C93F78" w:rsidRDefault="00B861DF" w:rsidP="00C93F78">
      <w:pPr>
        <w:pStyle w:val="Akapitzlist"/>
        <w:numPr>
          <w:ilvl w:val="0"/>
          <w:numId w:val="4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w odniesieniu do tego samego środka trwałego lub wartości niematerialnej i prawnej dokonywane są odpisy amortyzacyjne w więcej niż jednym państwie,</w:t>
      </w:r>
    </w:p>
    <w:p w:rsidR="00B861DF" w:rsidRPr="00C93F78" w:rsidRDefault="00B861DF" w:rsidP="00C93F78">
      <w:pPr>
        <w:pStyle w:val="Akapitzlist"/>
        <w:numPr>
          <w:ilvl w:val="0"/>
          <w:numId w:val="4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ten sam dochód lub majątek korzysta z metod mających na celu unikanie podwójnego opodatkowania w więcej niż jednym państwie,</w:t>
      </w:r>
    </w:p>
    <w:p w:rsidR="00B861DF" w:rsidRPr="00C93F78" w:rsidRDefault="00B861DF" w:rsidP="00C93F78">
      <w:pPr>
        <w:pStyle w:val="Akapitzlist"/>
        <w:numPr>
          <w:ilvl w:val="0"/>
          <w:numId w:val="4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w ramach uzgodnienia dochodzi do przeniesienia aktywów i określone przez dwa państwa wynagrodzenie z tego tytułu dla celów podatkowych różni się co najmniej o 25%,</w:t>
      </w:r>
    </w:p>
    <w:p w:rsidR="00B861DF" w:rsidRPr="00C93F78" w:rsidRDefault="00B861DF" w:rsidP="00C93F78">
      <w:pPr>
        <w:pStyle w:val="Akapitzlist"/>
        <w:numPr>
          <w:ilvl w:val="0"/>
          <w:numId w:val="4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może skutkować obejściem obowiązku raportowania wynikającego z ustawy o wymianie informacji podatkowych z innymi państwami lub równoważnych ustaw, umów lub porozumień w zakresie automatycznej wymiany informacji o rachunkach finansowych, włączając umowy lub porozumienia z państwami trzecimi lub wykorzystywać brak równoważnych przepisów, umów lub porozumień lub ich niewłaściwe wdrożenie. Dotyczy to w szczególności uzgodnień, w których:</w:t>
      </w:r>
    </w:p>
    <w:p w:rsidR="00B861DF" w:rsidRPr="00C93F78" w:rsidRDefault="00B861DF" w:rsidP="00C93F78">
      <w:pPr>
        <w:pStyle w:val="Akapitzlist"/>
        <w:numPr>
          <w:ilvl w:val="0"/>
          <w:numId w:val="49"/>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 xml:space="preserve">wykorzystywany jest rachunek, produkt lub inwestycja, które nie spełniają definicji rachunku finansowego, lecz posiadają cechy rachunku finansowego, </w:t>
      </w:r>
    </w:p>
    <w:p w:rsidR="00B861DF" w:rsidRPr="00C93F78" w:rsidRDefault="00B861DF" w:rsidP="00C93F78">
      <w:pPr>
        <w:pStyle w:val="Akapitzlist"/>
        <w:numPr>
          <w:ilvl w:val="0"/>
          <w:numId w:val="49"/>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dochodzi do przeniesienia rachunku finansowego lub aktywów do państw lub dochodzi do wykorzystania regulacji prawnych tych państw, z którymi brak jest podstawy do automatycznej wymiany informacji z państwem rezydencji posiadacza rachunku,</w:t>
      </w:r>
    </w:p>
    <w:p w:rsidR="00B861DF" w:rsidRPr="00C93F78" w:rsidRDefault="00B861DF" w:rsidP="00C93F78">
      <w:pPr>
        <w:pStyle w:val="Akapitzlist"/>
        <w:numPr>
          <w:ilvl w:val="0"/>
          <w:numId w:val="49"/>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dochodzi do przekwalifikowania dochodu lub majątku na produkty lub płatności, które nie podlegają automatycznej wymianie informacji o rachunkach finansowych,</w:t>
      </w:r>
    </w:p>
    <w:p w:rsidR="00B861DF" w:rsidRPr="00C93F78" w:rsidRDefault="00B861DF" w:rsidP="00C93F78">
      <w:pPr>
        <w:pStyle w:val="Akapitzlist"/>
        <w:numPr>
          <w:ilvl w:val="0"/>
          <w:numId w:val="49"/>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dochodzi do przeniesienia lub przekwalifikowania instytucji finansowej, rachunku finansowego lub znajdujących się w nich aktywów na instytucje finansowe, rachunki lub aktywa, które nie podlegają obowiązkowi raportowania w ramach automatycznej wymiany informacji o rachunkach finansowych,</w:t>
      </w:r>
    </w:p>
    <w:p w:rsidR="00B861DF" w:rsidRPr="00C93F78" w:rsidRDefault="00B861DF" w:rsidP="00C93F78">
      <w:pPr>
        <w:pStyle w:val="Akapitzlist"/>
        <w:numPr>
          <w:ilvl w:val="0"/>
          <w:numId w:val="49"/>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wykorzystywane są podmioty, porozumienia umowne lub struktury, które prowadzą lub których celem jest doprowadzenie do braku raportowania o przynajmniej jednym posiadaczu rachunku lub przynajmniej jednej osobie kontrolującej w ramach automatycznej wymiany informacji o rachunkach finansowych,</w:t>
      </w:r>
    </w:p>
    <w:p w:rsidR="00B861DF" w:rsidRPr="00C93F78" w:rsidRDefault="00B861DF" w:rsidP="00C93F78">
      <w:pPr>
        <w:pStyle w:val="Akapitzlist"/>
        <w:numPr>
          <w:ilvl w:val="0"/>
          <w:numId w:val="42"/>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wykorzystywana jest nieskuteczność lub niedoskonałość procedur należytej staranności stosowanych przez instytucje finansowe w celu wywiązania się z obowiązków raportowania informacji o rachunkach finansowych, włączając wykorzystanie państw z nieadekwatnymi lub nieefektywnymi systemami egzekwowania przepisów dotyczących przeciwdziałania praniu brudnych pieniędzy lub posiadającymi nieefektywne przepisy dotyczące przejrzystości w odniesieniu do osób prawnych, jednostek organizacyjnych niemających osobowości prawnej lub porozumień prawnych,</w:t>
      </w:r>
    </w:p>
    <w:p w:rsidR="00B861DF" w:rsidRPr="00C93F78" w:rsidRDefault="00B861DF" w:rsidP="00C93F78">
      <w:pPr>
        <w:pStyle w:val="Akapitzlist"/>
        <w:numPr>
          <w:ilvl w:val="0"/>
          <w:numId w:val="4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występuje nieprzejrzysta struktura własności prawnej lub trudny do ustalenia jest beneficjent rzeczywisty z uwagi na wykorzystanie osób prawnych oraz jednostek organizacyjnych niemających osobowości prawnej, konstrukcji lub struktur prawnych:</w:t>
      </w:r>
    </w:p>
    <w:p w:rsidR="00B861DF" w:rsidRPr="00C93F78" w:rsidRDefault="00B861DF" w:rsidP="00C93F78">
      <w:pPr>
        <w:pStyle w:val="Akapitzlist"/>
        <w:numPr>
          <w:ilvl w:val="0"/>
          <w:numId w:val="5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które nie prowadzą znaczącej działalności gospodarczej z wykorzystaniem lokalu, personelu oraz wyposażenia wykorzystywanego w prowadzonej działalności gospodarczej,</w:t>
      </w:r>
    </w:p>
    <w:p w:rsidR="00B861DF" w:rsidRPr="00C93F78" w:rsidRDefault="00B861DF" w:rsidP="00C93F78">
      <w:pPr>
        <w:pStyle w:val="Akapitzlist"/>
        <w:numPr>
          <w:ilvl w:val="0"/>
          <w:numId w:val="5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które są zarejestrowane, zarządzane, znajdują się, są kontrolowane lub założone w jurysdykcji innej niż jurysdykcja miejsca zamieszkania, siedziby lub zarządu beneficjenta rzeczywistego aktywów będących w posiadaniu takich osób prawnych oraz jednostek organizacyjnych niemających osobowości prawnej, konstrukcji lub struktur prawnych,</w:t>
      </w:r>
    </w:p>
    <w:p w:rsidR="00B861DF" w:rsidRPr="00C93F78" w:rsidRDefault="00B861DF" w:rsidP="00C93F78">
      <w:pPr>
        <w:pStyle w:val="Akapitzlist"/>
        <w:numPr>
          <w:ilvl w:val="0"/>
          <w:numId w:val="5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jeżeli nie można wskazać beneficjenta rzeczywistego osób prawnych oraz jednostek organizacyjnych niemających osobowości prawnej, konstrukcji lub struktur prawnych, w rozumieniu przepisów ustawy z dnia 1 marca 2018 r. o przeciwdziałaniu praniu pieniędzy oraz finansowaniu terroryzmu (Dz. U. z 2018 poz. 723),</w:t>
      </w:r>
    </w:p>
    <w:p w:rsidR="00F92791" w:rsidRPr="00C93F78" w:rsidRDefault="00F92791" w:rsidP="00C93F78">
      <w:pPr>
        <w:pStyle w:val="Akapitzlist"/>
        <w:numPr>
          <w:ilvl w:val="0"/>
          <w:numId w:val="4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wykorzystuje wprowadzone jednostronnie w danym państwie uproszczenie w stosowaniu przepisów związanych z ustalaniem cen transferowych, przy czym nie uważa się za uproszczenie wprowadzone jednostronnie, które wynika bezpośrednio z Wytycznych Organizacji Współpracy Gospodarczej i Rozwoju w sprawie cen transferowych dla przedsiębiorstw wielonarodowych oraz administracji podatkowych, a także innych międzynarodowych regulacji, wytycznych lub rekomendacji w zakresie cen transferowych,</w:t>
      </w:r>
    </w:p>
    <w:p w:rsidR="00B861DF" w:rsidRPr="00C93F78" w:rsidRDefault="00B861DF" w:rsidP="00C93F78">
      <w:pPr>
        <w:pStyle w:val="Akapitzlist"/>
        <w:numPr>
          <w:ilvl w:val="0"/>
          <w:numId w:val="4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dochodzi do przeniesienia praw trudnych do wyceny wartości niematerialnych,</w:t>
      </w:r>
    </w:p>
    <w:p w:rsidR="00B861DF" w:rsidRPr="00C93F78" w:rsidRDefault="00B861DF" w:rsidP="00C93F78">
      <w:pPr>
        <w:pStyle w:val="Akapitzlist"/>
        <w:numPr>
          <w:ilvl w:val="0"/>
          <w:numId w:val="40"/>
        </w:numPr>
        <w:autoSpaceDE w:val="0"/>
        <w:autoSpaceDN w:val="0"/>
        <w:adjustRightInd w:val="0"/>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pomiędzy podmiotami powiązanymi dochodzi do przeniesienia funkcji, ryzyka lub aktywów, jeżeli przewidywany roczny wynik finansowy podmiotu przenoszącego lub podmiotów przenoszących przed odsetkami i opodatkowaniem (EBIT) w trzyletnim okresie po tym przeniesieniu wyniósłby mniej niż 50% przewidywanego rocznego EBIT, gdyby nie dokonano przeniesienia.</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Szczególne cechy rozpoznawcze stanowić będą kryteria ustalenia, czy dane uzgodnienie powinno podlegać obowiązkowi raportowania jako schemat podatkowy.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Warto przy tym podkreślić, że „szczególna cecha rozpoznawcza” zawarta w projektowanym art. 86a § 1 pkt 12 lit. e) oraz f) Ordynacji podatkowej stanowi implementację postanowień Dyrektywy, która zawiera analogiczne do wypracowanych na arenie OECD rozwiązań w zakresie obowiązku ujawniania schematów mających na celu obejście wspólnego systemu raportowania o rachunkach finansowych. Aby zapewnić spójność stosowania we wszystkich państwach przy wdrażaniu Dyrektywy oraz interpretacji przepisów krajowych państwa członkowskie powinny korzystać z komentarzy do modelowych rozwiązań wypracowanych przez OECD do wspólnego standardu wymiany informacji</w:t>
      </w:r>
      <w:r w:rsidRPr="00C93F78">
        <w:rPr>
          <w:rStyle w:val="Odwoanieprzypisudolnego"/>
          <w:rFonts w:ascii="Times New Roman" w:hAnsi="Times New Roman" w:cs="Times New Roman"/>
          <w:sz w:val="24"/>
          <w:szCs w:val="24"/>
        </w:rPr>
        <w:footnoteReference w:id="32"/>
      </w:r>
      <w:r w:rsidRPr="00C93F78">
        <w:rPr>
          <w:rFonts w:ascii="Times New Roman" w:hAnsi="Times New Roman" w:cs="Times New Roman"/>
          <w:sz w:val="24"/>
          <w:szCs w:val="24"/>
        </w:rPr>
        <w:t xml:space="preserve"> w zakresie w jakim teksty te są spójne z postanowieniami Dyrektywy, jako źródła przykładów lub interpretacji.</w:t>
      </w:r>
    </w:p>
    <w:p w:rsidR="00F92791" w:rsidRPr="00C93F78" w:rsidRDefault="00F92791"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Kryterium wyłączenia z kategorii „szczególnej cechy rozpoznawczej” określonego w art. 86a § 1 pkt 12 lit. g spełnia w szczególności „bezpieczna przystań” w odniesieniu do „usług o niskiej wartości dodanej”, jako wynikająca z wytycznych OECD.</w:t>
      </w:r>
    </w:p>
    <w:p w:rsidR="00B861DF" w:rsidRPr="00C93F78" w:rsidRDefault="00B861DF" w:rsidP="00C93F78">
      <w:pPr>
        <w:spacing w:before="120" w:after="0" w:line="360" w:lineRule="auto"/>
        <w:jc w:val="both"/>
        <w:rPr>
          <w:rFonts w:ascii="Times New Roman" w:hAnsi="Times New Roman" w:cs="Times New Roman"/>
          <w:bCs/>
          <w:sz w:val="24"/>
          <w:szCs w:val="24"/>
        </w:rPr>
      </w:pPr>
      <w:r w:rsidRPr="00C93F78">
        <w:rPr>
          <w:rFonts w:ascii="Times New Roman" w:hAnsi="Times New Roman" w:cs="Times New Roman"/>
          <w:sz w:val="24"/>
          <w:szCs w:val="24"/>
        </w:rPr>
        <w:t xml:space="preserve">W myśl projektu poprzez określenie </w:t>
      </w:r>
      <w:r w:rsidRPr="00C93F78">
        <w:rPr>
          <w:rFonts w:ascii="Times New Roman" w:hAnsi="Times New Roman"/>
          <w:b/>
          <w:sz w:val="24"/>
          <w:szCs w:val="24"/>
        </w:rPr>
        <w:t>„inna szczególna cecha rozpoznawcza”</w:t>
      </w:r>
      <w:r w:rsidRPr="00C93F78">
        <w:rPr>
          <w:rFonts w:ascii="Times New Roman" w:hAnsi="Times New Roman" w:cs="Times New Roman"/>
          <w:sz w:val="24"/>
          <w:szCs w:val="24"/>
        </w:rPr>
        <w:t xml:space="preserve"> (pkt 13 art. 86a § 1 Ordynacji podatkowej) należy rozumieć sytuację, w której:</w:t>
      </w:r>
    </w:p>
    <w:p w:rsidR="00B861DF" w:rsidRPr="00C93F78" w:rsidRDefault="00B861DF" w:rsidP="00C93F78">
      <w:pPr>
        <w:pStyle w:val="Akapitzlist"/>
        <w:numPr>
          <w:ilvl w:val="0"/>
          <w:numId w:val="43"/>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wpływ na część odroczoną podatku dochodowego lub aktywa albo rezerwy z tytułu podatku odroczonego, wynikający lub oczekiwany w związku z wykonaniem uzgodnienia u któregokolwiek z korzystających jest istotny dla danej jednostki w rozumieniu przepisów o rachunkowości oraz przekracza łącznie u korzystających, bez względu na okres, kwotę 5 000 000 złotych,</w:t>
      </w:r>
    </w:p>
    <w:p w:rsidR="00B861DF" w:rsidRPr="00C93F78" w:rsidRDefault="00B861DF" w:rsidP="00C93F78">
      <w:pPr>
        <w:pStyle w:val="Akapitzlist"/>
        <w:numPr>
          <w:ilvl w:val="0"/>
          <w:numId w:val="43"/>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płatnik lub płatnicy podatku dochodowego byliby zobowiązani do pobrania podatku przekraczającego łącznie, bez względu na okres, kwotę 5 000 000 złotych, jeżeli w odniesieniu do wypłat należności wynikających lub oczekiwanych w związku z wykonaniem uzgodnienia nie miałyby zastosowania właściwe umowy o unikaniu podwójnego opodatkowania lub zwolnienia podatkowe,</w:t>
      </w:r>
    </w:p>
    <w:p w:rsidR="00B861DF" w:rsidRPr="00C93F78" w:rsidRDefault="00B861DF" w:rsidP="00C93F78">
      <w:pPr>
        <w:pStyle w:val="Akapitzlist"/>
        <w:numPr>
          <w:ilvl w:val="0"/>
          <w:numId w:val="43"/>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dochody (przychody), podatników o których mowa w art. 3 ust. 2 ustawy o podatku dochodowym od osób prawnych lub art. 3 ust. 2a ustawy o podatku dochodowym od osób fizycznych wynikające lub oczekiwane w związku z wykonaniem uzgodnienia, przekraczają łącznie, bez względu na okres i liczbę korzystających, kwotę 25 000 000 złotych,</w:t>
      </w:r>
    </w:p>
    <w:p w:rsidR="00B861DF" w:rsidRPr="00C93F78" w:rsidRDefault="00B861DF" w:rsidP="00C93F78">
      <w:pPr>
        <w:pStyle w:val="Akapitzlist"/>
        <w:numPr>
          <w:ilvl w:val="0"/>
          <w:numId w:val="43"/>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różnica pomiędzy polskim podatkiem dochodowym, który byłby należny w związku z wykonaniem uzgodnienia od przynajmniej jednego z korzystających nieposiadających siedziby, zarządu ani miejsca zamieszkania na terytorium Rzeczypospolitej Polskiej, gdyby był on podatnikiem, o którym mowa w art. 3 ust. 1 ustawy o podatku dochodowym od osób prawnych lub art. 3 ust. 1 ustawy o podatku dochodowym od osób fizycznym, a podlegającym faktycznej zapłacie podatkiem dochodowym w państwie siedziby, zarządu lub miejsca zamieszkania korzystającego w związku z wykonaniem uzgodnienia, przekracza łącznie, bez względu na okres i liczbę korzystających, kwotę 5 000 000 złotych;</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Określenie </w:t>
      </w:r>
      <w:r w:rsidRPr="00C93F78">
        <w:rPr>
          <w:rFonts w:ascii="Times New Roman" w:hAnsi="Times New Roman"/>
          <w:b/>
          <w:sz w:val="24"/>
          <w:szCs w:val="24"/>
        </w:rPr>
        <w:t>„trudne do wyceny wartości niematerialne”</w:t>
      </w:r>
      <w:r w:rsidRPr="00C93F78">
        <w:rPr>
          <w:rFonts w:ascii="Times New Roman" w:hAnsi="Times New Roman" w:cs="Times New Roman"/>
          <w:sz w:val="24"/>
          <w:szCs w:val="24"/>
        </w:rPr>
        <w:t xml:space="preserve">, zgodnie z projektowanym pkt 14 art. 86a § 1 Ordynacji podatkowej, należy rozumieć jako wartości niematerialne, </w:t>
      </w:r>
      <w:r w:rsidR="003D1A2F" w:rsidRPr="00C93F78">
        <w:rPr>
          <w:rFonts w:ascii="Times New Roman" w:hAnsi="Times New Roman" w:cs="Times New Roman"/>
          <w:sz w:val="24"/>
          <w:szCs w:val="24"/>
        </w:rPr>
        <w:t xml:space="preserve">w tym wartości prawne a także prawa do tych wartości, </w:t>
      </w:r>
      <w:r w:rsidRPr="00C93F78">
        <w:rPr>
          <w:rFonts w:ascii="Times New Roman" w:hAnsi="Times New Roman" w:cs="Times New Roman"/>
          <w:sz w:val="24"/>
          <w:szCs w:val="24"/>
        </w:rPr>
        <w:t>które w momencie ich przenoszenia między podmiotami powiązanymi nie miały wiarygodnie określonej wartości porównywalnej oraz prognozy przyszłych przepływów pieniężnych lub spodziewanych przychodów z tych wartości, lub założenia zastosowane przy ich wycenie, obarczone są wysokim poziomem niepewności</w:t>
      </w:r>
      <w:r w:rsidR="00380A2E" w:rsidRPr="00C93F78">
        <w:rPr>
          <w:rFonts w:ascii="Times New Roman" w:hAnsi="Times New Roman" w:cs="Times New Roman"/>
          <w:sz w:val="24"/>
          <w:szCs w:val="24"/>
        </w:rPr>
        <w:t>.</w:t>
      </w:r>
    </w:p>
    <w:p w:rsidR="00B861DF" w:rsidRPr="00C93F78" w:rsidRDefault="00B861DF" w:rsidP="00C93F78">
      <w:pPr>
        <w:spacing w:before="120" w:after="0" w:line="360" w:lineRule="auto"/>
        <w:jc w:val="both"/>
        <w:rPr>
          <w:rFonts w:ascii="Times New Roman" w:hAnsi="Times New Roman" w:cs="Times New Roman"/>
          <w:iCs/>
          <w:sz w:val="24"/>
          <w:szCs w:val="24"/>
        </w:rPr>
      </w:pPr>
      <w:r w:rsidRPr="00C93F78">
        <w:rPr>
          <w:rFonts w:ascii="Times New Roman" w:hAnsi="Times New Roman" w:cs="Times New Roman"/>
          <w:sz w:val="24"/>
          <w:szCs w:val="24"/>
        </w:rPr>
        <w:t xml:space="preserve">Za stosowaniem takiej definicji, przemawia fakt, iż </w:t>
      </w:r>
      <w:r w:rsidRPr="00C93F78">
        <w:rPr>
          <w:rFonts w:ascii="Times New Roman" w:hAnsi="Times New Roman" w:cs="Times New Roman"/>
          <w:iCs/>
          <w:sz w:val="24"/>
          <w:szCs w:val="24"/>
        </w:rPr>
        <w:t xml:space="preserve">użycie pojęcia „wartości niematerialnych i prawnych” sugeruje odniesienie do regulacji prawa bilansowego – w szczególności zaś ustawy o rachunkowości. Anglojęzyczna wersja Dyrektywy używa zaś w tym zakresie określenia </w:t>
      </w:r>
      <w:r w:rsidRPr="00C93F78">
        <w:rPr>
          <w:rFonts w:ascii="Times New Roman" w:hAnsi="Times New Roman"/>
          <w:i/>
          <w:sz w:val="24"/>
          <w:szCs w:val="24"/>
        </w:rPr>
        <w:t>intangibles</w:t>
      </w:r>
      <w:r w:rsidRPr="00C93F78">
        <w:rPr>
          <w:rFonts w:ascii="Times New Roman" w:hAnsi="Times New Roman" w:cs="Times New Roman"/>
          <w:iCs/>
          <w:sz w:val="24"/>
          <w:szCs w:val="24"/>
        </w:rPr>
        <w:t>. Na gruncie cen transferowych pojęcie to ma znaczenie istotnie szersze niż „wartości niematerialne i prawne”, odnosząc się również do dóbr (wartości) niematerialnych nieodzwierciedlonych w księgach, a mających ekonomiczną wartość, rozumianą najczęściej jako potencjał do generowania zysków. Przykładami tego rodzaju wartości niematerialnych mogą być baza klientów albo relacje z klientami.</w:t>
      </w:r>
      <w:r w:rsidR="003D1A2F" w:rsidRPr="00C93F78">
        <w:rPr>
          <w:rFonts w:ascii="Times New Roman" w:hAnsi="Times New Roman" w:cs="Times New Roman"/>
          <w:iCs/>
          <w:sz w:val="24"/>
          <w:szCs w:val="24"/>
        </w:rPr>
        <w:t xml:space="preserve"> Uznać należy, że w świetle osiągnięcia celów Dyrektywy, posłużenie się stosowanym dotychczas w polskim prawie podatkowym pojęciem „wartości niematerialne i prawne” mogłoby okazać się zawężeniem definicji w stosunku do wymagań Dyrektywy. Choć więc definicja trudnych do wyceny wartości niematerialnych posługuje się zwrotami „wartości niematerialne” oraz „wartości prawne” nie należy tego utożsamiać z pojęciem „wartości niematerialne i prawne”.</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pkt 15 art. 86a § 1 Ordynacji podatkowej pod pojęciem</w:t>
      </w:r>
      <w:r w:rsidRPr="00C93F78">
        <w:rPr>
          <w:rFonts w:ascii="Times New Roman" w:hAnsi="Times New Roman"/>
          <w:b/>
          <w:sz w:val="24"/>
          <w:szCs w:val="24"/>
        </w:rPr>
        <w:t xml:space="preserve"> „udostępniania”</w:t>
      </w:r>
      <w:r w:rsidRPr="00C93F78">
        <w:rPr>
          <w:rFonts w:ascii="Times New Roman" w:hAnsi="Times New Roman" w:cs="Times New Roman"/>
          <w:sz w:val="24"/>
          <w:szCs w:val="24"/>
        </w:rPr>
        <w:t xml:space="preserve"> rozumie się następujące czynności:</w:t>
      </w:r>
    </w:p>
    <w:p w:rsidR="00B861DF" w:rsidRPr="00C93F78" w:rsidRDefault="00B861DF" w:rsidP="00C93F78">
      <w:pPr>
        <w:pStyle w:val="Akapitzlist"/>
        <w:numPr>
          <w:ilvl w:val="0"/>
          <w:numId w:val="35"/>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oferowanie uzgodnienia korzystającemu, zawarcie umowy, której przedmiotem jest przekazanie informacji o uzgodnieniu, lub przyjmowanie wynagrodzenia z tytułu przekazania informacji o uzgodnieniu, lub</w:t>
      </w:r>
    </w:p>
    <w:p w:rsidR="00B861DF" w:rsidRPr="00C93F78" w:rsidRDefault="00B861DF" w:rsidP="00C93F78">
      <w:pPr>
        <w:pStyle w:val="Akapitzlist"/>
        <w:numPr>
          <w:ilvl w:val="0"/>
          <w:numId w:val="35"/>
        </w:num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przekazywanie korzystającemu w jakiejkolwiek formie, w tym drogą elektroniczną, telefoniczną lub osobiście, informacji o uzgodnieniu, w szczególności poprzez przedstawianie jego założeń.</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proponowaną definicją, istotą udostępnienia jest zaznajomienie podmiotu korzystającego z informacją o uzgodnieniu, choćby ten nie zdecydował się na skorzystanie z oferowanego uzgodnienia. Udostępnianiem uzgodnienia jest nie tylko koncepcja czy plan działania, który np. może być zwizualizowany w formie graficznej, ale także informacja o pojedynczej czynności lub zespole takich czynności i działań. Udostępnianie uzgodnienia obejmuje sytuacje, w których promotor przekazuje informacje w dowolnej formie. Nie jest przy tym konieczne, aby przekazywane informacje były szczegółowe, a opis uzgodnienia kompletny. Wystarczającym będzie przedstawienie założeń uzgodnienia, aby uznać, że nastąpiło jego udostępnienie.</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Przekazanie informacji może nastąpić w dowolnej formie np. forma pisemna, grafika, prezentacja. Promotor może to uczynić za pomocą dowolnego środka komunikacji (np. poczta elektroniczna, bezpośrednie spotkanie, konferencja).</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 xml:space="preserve">W projektowanym przepisie art. 86a § 1 pkt 16 Ordynacji podatkowej przywołana została </w:t>
      </w:r>
      <w:r w:rsidRPr="00C93F78">
        <w:rPr>
          <w:rFonts w:ascii="Times New Roman" w:hAnsi="Times New Roman"/>
          <w:b/>
          <w:szCs w:val="24"/>
        </w:rPr>
        <w:t>ustawa o wymianie informacji</w:t>
      </w:r>
      <w:r w:rsidRPr="00C93F78">
        <w:rPr>
          <w:rFonts w:ascii="Times New Roman" w:hAnsi="Times New Roman"/>
          <w:szCs w:val="24"/>
        </w:rPr>
        <w:t>, należy przez to rozumieć ustawę z dnia 9 marca 2017 r. o</w:t>
      </w:r>
      <w:r w:rsidRPr="00C93F78">
        <w:rPr>
          <w:rFonts w:ascii="Times New Roman" w:hAnsi="Times New Roman" w:cs="Times New Roman"/>
          <w:szCs w:val="24"/>
        </w:rPr>
        <w:t> </w:t>
      </w:r>
      <w:r w:rsidRPr="00C93F78">
        <w:rPr>
          <w:rFonts w:ascii="Times New Roman" w:hAnsi="Times New Roman"/>
          <w:szCs w:val="24"/>
        </w:rPr>
        <w:t>wymianie informacji podatkowych z innymi państwami. Projektodawca w wielokrotnie odwołuje się do powyższej ustawy, stąd zasadnym było zdefiniowanie tego pojęcia w projekcie.</w:t>
      </w:r>
    </w:p>
    <w:p w:rsidR="00B861DF" w:rsidRPr="00C93F78" w:rsidRDefault="00B861DF" w:rsidP="00C93F78">
      <w:pPr>
        <w:autoSpaceDE w:val="0"/>
        <w:autoSpaceDN w:val="0"/>
        <w:adjustRightInd w:val="0"/>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w:t>
      </w:r>
      <w:r w:rsidRPr="00C93F78">
        <w:rPr>
          <w:rFonts w:ascii="Times New Roman" w:hAnsi="Times New Roman"/>
          <w:b/>
          <w:sz w:val="24"/>
          <w:szCs w:val="24"/>
        </w:rPr>
        <w:t>Uzgodnieniem</w:t>
      </w:r>
      <w:r w:rsidRPr="00C93F78">
        <w:rPr>
          <w:rFonts w:ascii="Times New Roman" w:hAnsi="Times New Roman" w:cs="Times New Roman"/>
          <w:sz w:val="24"/>
          <w:szCs w:val="24"/>
        </w:rPr>
        <w:t>” jest czynność lub zespół powiązanych ze sobą czynności, w tym czynność planowana lub zespół czynności planowanych, w których co najmniej jedna strona jest podatnikiem, lub które mają lub mogą mieć wpływ na powstanie lub niepowstanie obowiązku podatkowego (pkt 17 art. 86a § 1 Ordynacji podatkowej).</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 xml:space="preserve">Pojęcie </w:t>
      </w:r>
      <w:r w:rsidRPr="00C93F78">
        <w:rPr>
          <w:rFonts w:ascii="Times New Roman" w:hAnsi="Times New Roman"/>
          <w:b/>
          <w:szCs w:val="24"/>
        </w:rPr>
        <w:t>„wdrażanie”</w:t>
      </w:r>
      <w:r w:rsidRPr="00C93F78">
        <w:rPr>
          <w:rFonts w:ascii="Times New Roman" w:hAnsi="Times New Roman"/>
          <w:szCs w:val="24"/>
        </w:rPr>
        <w:t xml:space="preserve"> zdefiniowano w projektowanym art. 86a § 1 pkt 18 Ordynacji podatkowej. Pod pojęciem tym rozumie się, dokonywanie czynności faktycznych lub prawnych umożliwiających wykonanie lub zmierzających do wykonania uzgodnienia, w tym: </w:t>
      </w:r>
    </w:p>
    <w:p w:rsidR="00B861DF" w:rsidRPr="00C93F78" w:rsidRDefault="00B861DF" w:rsidP="00C93F78">
      <w:pPr>
        <w:pStyle w:val="ZPKTzmpktartykuempunktem"/>
        <w:numPr>
          <w:ilvl w:val="0"/>
          <w:numId w:val="44"/>
        </w:numPr>
        <w:spacing w:before="120"/>
        <w:rPr>
          <w:rFonts w:ascii="Times New Roman" w:hAnsi="Times New Roman"/>
          <w:szCs w:val="24"/>
        </w:rPr>
      </w:pPr>
      <w:r w:rsidRPr="00C93F78">
        <w:rPr>
          <w:rFonts w:ascii="Times New Roman" w:hAnsi="Times New Roman"/>
          <w:szCs w:val="24"/>
        </w:rPr>
        <w:t>zarządzanie, faktyczne uczestniczenie w podejmowaniu decyzji lub przeprowadzanie czynności związanych z uzgodnieniem, także gdy podejmowanie decyzji lub czynności dotyczy wykonania uzgodnienia przez inny podmiot,</w:t>
      </w:r>
    </w:p>
    <w:p w:rsidR="00B861DF" w:rsidRPr="00C93F78" w:rsidRDefault="00B861DF" w:rsidP="00C93F78">
      <w:pPr>
        <w:pStyle w:val="ZPKTzmpktartykuempunktem"/>
        <w:numPr>
          <w:ilvl w:val="0"/>
          <w:numId w:val="44"/>
        </w:numPr>
        <w:spacing w:before="120"/>
        <w:rPr>
          <w:rFonts w:ascii="Times New Roman" w:hAnsi="Times New Roman"/>
          <w:szCs w:val="24"/>
        </w:rPr>
      </w:pPr>
      <w:r w:rsidRPr="00C93F78">
        <w:rPr>
          <w:rFonts w:ascii="Times New Roman" w:hAnsi="Times New Roman"/>
          <w:szCs w:val="24"/>
        </w:rPr>
        <w:t>pośredniczenie lub udzielanie pomocy w czynnościach związanych z uzgodnieniem,</w:t>
      </w:r>
    </w:p>
    <w:p w:rsidR="00B861DF" w:rsidRPr="00C93F78" w:rsidRDefault="00B861DF" w:rsidP="00C93F78">
      <w:pPr>
        <w:pStyle w:val="ZPKTzmpktartykuempunktem"/>
        <w:numPr>
          <w:ilvl w:val="0"/>
          <w:numId w:val="44"/>
        </w:numPr>
        <w:spacing w:before="120"/>
        <w:rPr>
          <w:rFonts w:ascii="Times New Roman" w:hAnsi="Times New Roman"/>
          <w:szCs w:val="24"/>
        </w:rPr>
      </w:pPr>
      <w:r w:rsidRPr="00C93F78">
        <w:rPr>
          <w:rFonts w:ascii="Times New Roman" w:hAnsi="Times New Roman"/>
          <w:szCs w:val="24"/>
        </w:rPr>
        <w:t>dokonywanie innych czynności będących elementem uzgodnienia, lub</w:t>
      </w:r>
    </w:p>
    <w:p w:rsidR="00B861DF" w:rsidRPr="00C93F78" w:rsidRDefault="00B861DF" w:rsidP="00C93F78">
      <w:pPr>
        <w:pStyle w:val="ZPKTzmpktartykuempunktem"/>
        <w:numPr>
          <w:ilvl w:val="0"/>
          <w:numId w:val="44"/>
        </w:numPr>
        <w:spacing w:before="120"/>
        <w:rPr>
          <w:rFonts w:ascii="Times New Roman" w:hAnsi="Times New Roman"/>
          <w:szCs w:val="24"/>
        </w:rPr>
      </w:pPr>
      <w:r w:rsidRPr="00C93F78">
        <w:rPr>
          <w:rFonts w:ascii="Times New Roman" w:hAnsi="Times New Roman"/>
          <w:szCs w:val="24"/>
        </w:rPr>
        <w:t>oferowanie czynności wskazanych w lit. a-c, zawarcie umowy, której przedmiotem są te czynności, lub przyjmowanie wynagrodzenia z tytułu tych czynności lub umowy</w:t>
      </w:r>
      <w:r w:rsidRPr="00C93F78">
        <w:rPr>
          <w:rFonts w:ascii="Times New Roman" w:hAnsi="Times New Roman" w:cs="Times New Roman"/>
          <w:szCs w:val="24"/>
        </w:rPr>
        <w:t>;</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 xml:space="preserve">Pojęcie </w:t>
      </w:r>
      <w:r w:rsidRPr="00C93F78">
        <w:rPr>
          <w:rFonts w:ascii="Times New Roman" w:hAnsi="Times New Roman"/>
          <w:b/>
          <w:szCs w:val="24"/>
        </w:rPr>
        <w:t>„wspomagający”</w:t>
      </w:r>
      <w:r w:rsidRPr="00C93F78">
        <w:rPr>
          <w:rFonts w:ascii="Times New Roman" w:hAnsi="Times New Roman"/>
          <w:szCs w:val="24"/>
        </w:rPr>
        <w:t xml:space="preserve"> należy rozumieć jako osobę fizyczną, osobę prawną lub jednostkę organizacyjną nieposiadającą osobowości prawnej, w szczególności biegłego rewidenta, notariusza, osobę świadczącą usługi prowadzenia ksiąg rachunkowych, księgowego lub dyrektora finansowego, bank lub inną instytucję finansową a także ich pracownika, która przy zachowaniu staranności ogólnie wymaganej w dokonywanych czynnościach, przy uwzględnieniu zawodowego charakteru działalności, obszaru specjalizacji oraz przedmiotu wykonywanych czynności, podjęła się udzielić, bezpośrednio lub za pośrednictwem innych osób, pomocy, wsparcia lub porad dotyczących opracowania, wprowadzenia do obrotu, organizowania, udostępnienia do wdrożenia lub nadzorowania wdrożenia uzgodnienia (art. 86a § 1 pkt 19 Ordynacji podatkowej).</w:t>
      </w:r>
    </w:p>
    <w:p w:rsidR="00B861DF" w:rsidRPr="00C93F78" w:rsidRDefault="00B861DF" w:rsidP="00C93F78">
      <w:pPr>
        <w:pStyle w:val="ZLITwPKTzmlitwpktartykuempunktem"/>
        <w:spacing w:before="120"/>
        <w:ind w:left="0" w:firstLine="0"/>
        <w:rPr>
          <w:rFonts w:ascii="Times New Roman" w:hAnsi="Times New Roman"/>
          <w:szCs w:val="24"/>
        </w:rPr>
      </w:pPr>
      <w:r w:rsidRPr="00C93F78">
        <w:rPr>
          <w:rFonts w:ascii="Times New Roman" w:hAnsi="Times New Roman"/>
          <w:szCs w:val="24"/>
        </w:rPr>
        <w:t xml:space="preserve">Projektowana ustawa definiuje pojęcie </w:t>
      </w:r>
      <w:r w:rsidRPr="00C93F78">
        <w:rPr>
          <w:rFonts w:ascii="Times New Roman" w:hAnsi="Times New Roman"/>
          <w:b/>
          <w:szCs w:val="24"/>
        </w:rPr>
        <w:t>„kryterium głównej korzyści”</w:t>
      </w:r>
      <w:r w:rsidRPr="00C93F78">
        <w:rPr>
          <w:rFonts w:ascii="Times New Roman" w:hAnsi="Times New Roman"/>
          <w:szCs w:val="24"/>
        </w:rPr>
        <w:t xml:space="preserve"> (art. 86a § 2 Ordynacji podatkowej). Kryterium głównej korzyści uważa się za spełnione, jeżeli na podstawie istniejących okoliczności oraz faktów należy przyjąć, że podmiot działający rozsądnie i</w:t>
      </w:r>
      <w:r w:rsidRPr="00C93F78">
        <w:rPr>
          <w:rFonts w:ascii="Times New Roman" w:hAnsi="Times New Roman" w:cs="Times New Roman"/>
          <w:szCs w:val="24"/>
        </w:rPr>
        <w:t> </w:t>
      </w:r>
      <w:r w:rsidRPr="00C93F78">
        <w:rPr>
          <w:rFonts w:ascii="Times New Roman" w:hAnsi="Times New Roman"/>
          <w:szCs w:val="24"/>
        </w:rPr>
        <w:t>kierujący się zgodnymi z prawem celami innymi niż osiągnięcie korzyści podatkowej mógłby zasadnie wybrać inny sposób postępowania, z którym nie wiązałoby się uzyskanie korzyści podatkowej takiej jak rozsądnie oczekiwana lub wynikająca w związku z wykonaniem uzgodnienia, a korzyść podatkowa jest główną lub jedną z głównych korzyści, którą podmiot spodziewa się osiągnąć w związku z wykonaniem uzgodnienia. Przykładowo więc kryterium głównej korzyści zostanie spełnione w sytuacji podmiotu, który decydując się na poszerzenie skali działalności dokonał nowej inwestycji na terenie specjalnej strefy ekonomicznej. Można bowiem przyjąć, że podmiot działający rozsądnie</w:t>
      </w:r>
      <w:r w:rsidRPr="00C93F78">
        <w:rPr>
          <w:rFonts w:ascii="Times New Roman" w:hAnsi="Times New Roman" w:cs="Times New Roman"/>
          <w:szCs w:val="24"/>
        </w:rPr>
        <w:t>, który nie kierowałby się osiągnięciem korzyści podatkowej,</w:t>
      </w:r>
      <w:r w:rsidRPr="00C93F78">
        <w:rPr>
          <w:rFonts w:ascii="Times New Roman" w:hAnsi="Times New Roman"/>
          <w:szCs w:val="24"/>
        </w:rPr>
        <w:t xml:space="preserve"> mógłby zdecydować się na poszerzenie skali działalności również poza terenem strefy. Jednocześnie jednak analizowany przypadek, co do zasady, nie stanowiłby unikania opodatkowania (chyba, że w danych okolicznościach spełnione byłyby przesłanki sprzeczności korzyści z przedmiotem i celem przepisu ustawy podatkowej oraz sztucznego sposobu działania). </w:t>
      </w:r>
      <w:r w:rsidRPr="00C93F78">
        <w:rPr>
          <w:rFonts w:ascii="Times New Roman" w:hAnsi="Times New Roman" w:cs="Times New Roman"/>
          <w:szCs w:val="24"/>
        </w:rPr>
        <w:t>Warto przy tym zaznaczyć, że korzyść podatkowa, o której mowa w tym przepisie nie musi być sprzeczna z przedmiotem lub celem ustawy podatkowej lub jej przepisu. Unaocznia to również wskazany przykład korzyści wynikającej z dokonania inwestycji na terenie specjalnej strefy ekonomicznej, która – co do zasady – powinna być zgoda z celem przepisów stanowiących o preferencji dla tego rodzaju inwestycji. Kryterium głównej korzyści należy zatem traktować jako swego rodzaju dodatkowy „filtr”, przez który muszą przejść uzgodnienia posiadające ogólne cechy rozpoznawcze, aby uznać je za schematy podatkowe. Nie jes</w:t>
      </w:r>
      <w:r w:rsidR="0028573B" w:rsidRPr="00C93F78">
        <w:rPr>
          <w:rFonts w:ascii="Times New Roman" w:hAnsi="Times New Roman" w:cs="Times New Roman"/>
          <w:szCs w:val="24"/>
        </w:rPr>
        <w:t>t to natomiast konstrukcja zbliż</w:t>
      </w:r>
      <w:r w:rsidRPr="00C93F78">
        <w:rPr>
          <w:rFonts w:ascii="Times New Roman" w:hAnsi="Times New Roman" w:cs="Times New Roman"/>
          <w:szCs w:val="24"/>
        </w:rPr>
        <w:t>ona do klauzuli przeciwko unikaniu opodatkowania.</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Projektowana ustawa określa ponadto kryterium transgraniczne (art. 86a § 3 Ordynacji podatkowej). Kryterium to uważa się za spełnione jeżeli uzgodnienie dotyczy więcej niż jednego państwa członkowskiego Unii Europejskiej lub państwa członkowskiego Unii Europejskiej i państwa trzeciego oraz uzgodnienie spełnia co najmniej jeden z poniższych warunków:</w:t>
      </w:r>
    </w:p>
    <w:p w:rsidR="00B861DF" w:rsidRPr="00C93F78" w:rsidRDefault="00B861DF" w:rsidP="00C93F78">
      <w:pPr>
        <w:pStyle w:val="Akapitzlist"/>
        <w:numPr>
          <w:ilvl w:val="1"/>
          <w:numId w:val="45"/>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nie wszyscy uczestnicy uzgodnienia mają miejsce zamieszkania, siedzibę lub zarząd na terytorium tego samego państwa;</w:t>
      </w:r>
    </w:p>
    <w:p w:rsidR="00B861DF" w:rsidRPr="00C93F78" w:rsidRDefault="00B861DF" w:rsidP="00C93F78">
      <w:pPr>
        <w:pStyle w:val="Akapitzlist"/>
        <w:numPr>
          <w:ilvl w:val="1"/>
          <w:numId w:val="45"/>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co najmniej jeden uczestnik uzgodnienia ma miejsce zamieszkania, siedzibę lub zarząd na terytorium więcej niż jednego państwa;</w:t>
      </w:r>
    </w:p>
    <w:p w:rsidR="00B861DF" w:rsidRPr="00C93F78" w:rsidRDefault="00B861DF" w:rsidP="00C93F78">
      <w:pPr>
        <w:pStyle w:val="Akapitzlist"/>
        <w:numPr>
          <w:ilvl w:val="1"/>
          <w:numId w:val="45"/>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co najmniej jeden uczestnik uzgodnienia prowadzi działalność na terytorium danego państwa za pośrednictwem zagranicznego zakładu w tym państwie, a uzgodnienie stanowi część lub całość działalności gospodarczej tego zagranicznego zakładu;</w:t>
      </w:r>
    </w:p>
    <w:p w:rsidR="00B861DF" w:rsidRPr="00C93F78" w:rsidRDefault="00B861DF" w:rsidP="00C93F78">
      <w:pPr>
        <w:pStyle w:val="Akapitzlist"/>
        <w:numPr>
          <w:ilvl w:val="1"/>
          <w:numId w:val="45"/>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co najmniej jeden uczestnik uzgodnienia prowadzi działalność na terytorium innego państwa nie mając miejsca zamieszkania lub siedziby na terytorium tego państwa oraz nie posiada zagranicznego zakładu na terytorium tego państwa;</w:t>
      </w:r>
    </w:p>
    <w:p w:rsidR="00B861DF" w:rsidRPr="00C93F78" w:rsidRDefault="00B861DF" w:rsidP="00C93F78">
      <w:pPr>
        <w:pStyle w:val="Akapitzlist"/>
        <w:numPr>
          <w:ilvl w:val="1"/>
          <w:numId w:val="45"/>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takie uzgodnienie może mieć wpływ na automatyczną wymianę informacji, o której mowa w dziale III ustawy o wymianie informacji lub na wskazanie beneficjanta rzeczywistego.</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bCs/>
          <w:sz w:val="24"/>
          <w:szCs w:val="24"/>
        </w:rPr>
        <w:t xml:space="preserve">W § 4 art. 86a projektowanej ustawy, zdefiniowane zostało pojęcie </w:t>
      </w:r>
      <w:r w:rsidRPr="00C93F78">
        <w:rPr>
          <w:rFonts w:ascii="Times New Roman" w:hAnsi="Times New Roman"/>
          <w:b/>
          <w:sz w:val="24"/>
          <w:szCs w:val="24"/>
        </w:rPr>
        <w:t>kryterium kwalifikowanego korzystającego</w:t>
      </w:r>
      <w:r w:rsidRPr="00C93F78">
        <w:rPr>
          <w:rFonts w:ascii="Times New Roman" w:hAnsi="Times New Roman" w:cs="Times New Roman"/>
          <w:bCs/>
          <w:sz w:val="24"/>
          <w:szCs w:val="24"/>
        </w:rPr>
        <w:t xml:space="preserve">, </w:t>
      </w:r>
      <w:r w:rsidR="00A66C2C" w:rsidRPr="00C93F78">
        <w:rPr>
          <w:rFonts w:ascii="Times New Roman" w:hAnsi="Times New Roman" w:cs="Times New Roman"/>
          <w:bCs/>
          <w:sz w:val="24"/>
          <w:szCs w:val="24"/>
        </w:rPr>
        <w:t xml:space="preserve">uważa się za spełnione, jeżeli przychody lub koszty korzystającego albo wartość aktywów tego podmiotu w rozumieniu przepisów o rachunkowości, ustalone na podstawie prowadzonych ksiąg rachunkowych przekroczyły w roku poprzedzającym lub w bieżącym roku obrotowym równowartość 10 000 000 euro lub jeżeli udostępniane lub wdrażane uzgodnienie dotyczy rzeczy lub praw o wartości rynkowej przekraczającej równowartość 2 500 000 euro lub jeżeli jest podmiotem powiązanym w rozumieniu art. 23m ust. 1 pkt 4 ustawy z dnia 26 lipca 1991 r. o podatku dochodowym od osób fizycznych lub art. 11a ust. 1 pkt 4 ustawy z dnia 15 lutego 1992 r. o podatku dochodowym od osób prawnych z takim podmiotem. W przypadku podmiotów, które nie prowadzą ksiąg rachunkowych, przychody i koszty ustala się odpowiednio zgodnie z ustawą o podatku dochodowym od osób fizycznych lub ustawą o podatku dochodowym od osób prawnych w odpowiednich latach podatkowych, zaś wartość aktywów zgodnie z ich wartością rynkową w odpowiednich latach kalendarzowych. </w:t>
      </w:r>
      <w:r w:rsidRPr="00C93F78">
        <w:rPr>
          <w:rFonts w:ascii="Times New Roman" w:hAnsi="Times New Roman" w:cs="Times New Roman"/>
          <w:bCs/>
          <w:sz w:val="24"/>
          <w:szCs w:val="24"/>
        </w:rPr>
        <w:t>Wobec powyższego, obowiązek przekazania informacji o schemacie podatkowym nie powstaje, gdy schemat podatkowy, inny niż schemat podatkowy transgraniczny, dotyczy korzystającego, dla którego nie jest spełnione kryterium kwalifikowanego korzystającego</w:t>
      </w:r>
      <w:r w:rsidRPr="00C93F78">
        <w:rPr>
          <w:rFonts w:ascii="Times New Roman" w:hAnsi="Times New Roman" w:cs="Times New Roman"/>
          <w:sz w:val="24"/>
          <w:szCs w:val="24"/>
        </w:rPr>
        <w:t xml:space="preserve">. Regulacja ta ma charakter progu </w:t>
      </w:r>
      <w:r w:rsidRPr="00C93F78">
        <w:rPr>
          <w:rFonts w:ascii="Times New Roman" w:hAnsi="Times New Roman" w:cs="Times New Roman"/>
          <w:i/>
          <w:sz w:val="24"/>
          <w:szCs w:val="24"/>
        </w:rPr>
        <w:t>de minimis</w:t>
      </w:r>
      <w:r w:rsidRPr="00C93F78">
        <w:rPr>
          <w:rFonts w:ascii="Times New Roman" w:hAnsi="Times New Roman" w:cs="Times New Roman"/>
          <w:sz w:val="24"/>
          <w:szCs w:val="24"/>
        </w:rPr>
        <w:t>, który wyłącza zastosowanie obowiązków raportowania w odniesieniu do korzystających (podatników) o mniejszej skali działalności. Z uwagi jednak, że Dyrektywa nie przewiduje możliwości wprowadzenia takiego progu przez państwa członkowskie, projekt przewiduje, że ma on zastosowanie jedynie do schematów podatkowych innych niż schematy podatkowe transgraniczne (tj. do schematów, których obowiązek raportowania nie wynika z Dyrektywy).</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Zgodnie z projektowanym przepisem </w:t>
      </w:r>
      <w:r w:rsidRPr="00C93F78">
        <w:rPr>
          <w:rFonts w:ascii="Times New Roman" w:hAnsi="Times New Roman" w:cs="Times New Roman"/>
          <w:bCs/>
          <w:sz w:val="24"/>
          <w:szCs w:val="24"/>
        </w:rPr>
        <w:t>§ 6 art. 86a</w:t>
      </w:r>
      <w:r w:rsidRPr="00C93F78">
        <w:rPr>
          <w:rFonts w:ascii="Times New Roman" w:hAnsi="Times New Roman" w:cs="Times New Roman"/>
          <w:sz w:val="24"/>
          <w:szCs w:val="24"/>
        </w:rPr>
        <w:t xml:space="preserve"> w </w:t>
      </w:r>
      <w:r w:rsidR="00613319" w:rsidRPr="00C93F78">
        <w:rPr>
          <w:rFonts w:ascii="Times New Roman" w:hAnsi="Times New Roman" w:cs="Times New Roman"/>
          <w:sz w:val="24"/>
          <w:szCs w:val="24"/>
        </w:rPr>
        <w:t>przypadku gdy,</w:t>
      </w:r>
      <w:r w:rsidRPr="00C93F78">
        <w:rPr>
          <w:rFonts w:ascii="Times New Roman" w:hAnsi="Times New Roman" w:cs="Times New Roman"/>
          <w:sz w:val="24"/>
          <w:szCs w:val="24"/>
        </w:rPr>
        <w:t xml:space="preserve"> korzystającym jest spółka wchodząca w skład podatkowej grupy kapitałowej w rozumieniu przepisów ustawy o podatku dochodowym od osób prawnych przepisy rozdziału 11a „Informacje o schematach podatkowych”, należy stosować odpowiednio. Oznacza to, że do spółek wchodzących w skład podatkowej grupy kapitałowej analogiczne będą zasady raportowania schematów, jak w odniesieniu do pozostałych korzystających, pomimo że w przypadku podatkowej grupy kapitałowej podatnikiem jest sama grupa kapitałowa. </w:t>
      </w:r>
    </w:p>
    <w:p w:rsidR="00613319" w:rsidRPr="00C93F78" w:rsidRDefault="00613319"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 7 art. 86a, przy ustalaniu podmiotu powiązanego uznaje się, że:</w:t>
      </w:r>
    </w:p>
    <w:p w:rsidR="00613319" w:rsidRPr="00C93F78" w:rsidRDefault="00613319" w:rsidP="00C93F78">
      <w:p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1)</w:t>
      </w:r>
      <w:r w:rsidRPr="00C93F78">
        <w:rPr>
          <w:rFonts w:ascii="Times New Roman" w:hAnsi="Times New Roman" w:cs="Times New Roman"/>
          <w:bCs/>
          <w:sz w:val="24"/>
          <w:szCs w:val="24"/>
        </w:rPr>
        <w:tab/>
        <w:t xml:space="preserve">jeżeli w zarządzaniu, kontroli, kapitale lub zyskach tego samego podmiotu uczestniczy, zgodnie z definicją podmiotu powiązanego (określoną w pkt 6 </w:t>
      </w:r>
      <w:r w:rsidRPr="00C93F78">
        <w:rPr>
          <w:rFonts w:ascii="Times New Roman" w:hAnsi="Times New Roman" w:cs="Times New Roman"/>
          <w:sz w:val="24"/>
          <w:szCs w:val="24"/>
        </w:rPr>
        <w:t>§ 1 art. 86a</w:t>
      </w:r>
      <w:r w:rsidRPr="00C93F78">
        <w:rPr>
          <w:rFonts w:ascii="Times New Roman" w:hAnsi="Times New Roman" w:cs="Times New Roman"/>
          <w:bCs/>
          <w:sz w:val="24"/>
          <w:szCs w:val="24"/>
        </w:rPr>
        <w:t>), więcej niż jeden podmiot, wszystkie takie podmioty są podmiotami powiązanymi;</w:t>
      </w:r>
    </w:p>
    <w:p w:rsidR="00613319" w:rsidRPr="00C93F78" w:rsidRDefault="00613319" w:rsidP="00C93F78">
      <w:p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2)</w:t>
      </w:r>
      <w:r w:rsidRPr="00C93F78">
        <w:rPr>
          <w:rFonts w:ascii="Times New Roman" w:hAnsi="Times New Roman" w:cs="Times New Roman"/>
          <w:bCs/>
          <w:sz w:val="24"/>
          <w:szCs w:val="24"/>
        </w:rPr>
        <w:tab/>
        <w:t>jeżeli te same podmioty uczestniczą w zarządzaniu lub kontroli lub posiadają udział w kapitale lub zyskach, zgodnie z definicją podmiotu powiązanego (określoną w pkt 6 § 1 art. 86a), więcej niż jednego podmiotu, wszystkie takie podmioty są podmiotami powiązanymi;</w:t>
      </w:r>
    </w:p>
    <w:p w:rsidR="00613319" w:rsidRPr="00C93F78" w:rsidRDefault="00613319" w:rsidP="00C93F78">
      <w:p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4)</w:t>
      </w:r>
      <w:r w:rsidRPr="00C93F78">
        <w:rPr>
          <w:rFonts w:ascii="Times New Roman" w:hAnsi="Times New Roman" w:cs="Times New Roman"/>
          <w:bCs/>
          <w:sz w:val="24"/>
          <w:szCs w:val="24"/>
        </w:rPr>
        <w:tab/>
        <w:t>podmiot, który działa wspólnie z drugim podmiotem w odniesieniu do praw głosu lub udziału w kapitale trzeciego podmiotu, jest podmiotem dysponującym prawami głosu w tym trzecim podmiocie lub udziałem w kapitale tego trzeciego podmiotu, które należą do drugiego podmiotu;</w:t>
      </w:r>
    </w:p>
    <w:p w:rsidR="00613319" w:rsidRPr="00C93F78" w:rsidRDefault="00613319" w:rsidP="00C93F78">
      <w:p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5)</w:t>
      </w:r>
      <w:r w:rsidRPr="00C93F78">
        <w:rPr>
          <w:rFonts w:ascii="Times New Roman" w:hAnsi="Times New Roman" w:cs="Times New Roman"/>
          <w:bCs/>
          <w:sz w:val="24"/>
          <w:szCs w:val="24"/>
        </w:rPr>
        <w:tab/>
        <w:t>osoba fizyczna, jej małżonek oraz wstępni lub zstępni w linii prostej stanowią pojedynczą osobę.</w:t>
      </w:r>
    </w:p>
    <w:p w:rsidR="00613319" w:rsidRPr="00C93F78" w:rsidRDefault="00613319"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projektowanym § 8 art. 86a wyrażone w euro kwoty, o których mowa w § 4 (kwalifikowany korzystający) przelicza się na złote według średniego kursu ogłaszanego przez Narodowy Bank Polski w ostatnim dniu roku kalendarzowego poprzedzającego zdarzenie skutkujące obowiązkiem przekazania informacji o schemacie podatkowym innym niż schemat podatkowy transgraniczny.</w:t>
      </w:r>
    </w:p>
    <w:p w:rsidR="00B861DF" w:rsidRPr="00C93F78" w:rsidRDefault="00B861DF" w:rsidP="00C93F78">
      <w:pPr>
        <w:spacing w:before="120" w:after="0" w:line="360" w:lineRule="auto"/>
        <w:jc w:val="both"/>
        <w:rPr>
          <w:rFonts w:ascii="Times New Roman" w:hAnsi="Times New Roman"/>
          <w:i/>
          <w:sz w:val="24"/>
          <w:szCs w:val="24"/>
        </w:rPr>
      </w:pPr>
      <w:bookmarkStart w:id="1" w:name="_ftnref1"/>
      <w:bookmarkEnd w:id="1"/>
      <w:r w:rsidRPr="00C93F78">
        <w:rPr>
          <w:rFonts w:ascii="Times New Roman" w:hAnsi="Times New Roman"/>
          <w:i/>
          <w:sz w:val="24"/>
          <w:szCs w:val="24"/>
        </w:rPr>
        <w:t>Termin raportowania i organ właściwy.</w:t>
      </w:r>
    </w:p>
    <w:p w:rsidR="00FF2178"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Projekt zakłada, że – co do zasady – informacje o schemacie podatkowym będą przekazywane</w:t>
      </w:r>
      <w:r w:rsidRPr="00C93F78">
        <w:rPr>
          <w:rFonts w:ascii="Times New Roman" w:hAnsi="Times New Roman"/>
          <w:b/>
          <w:szCs w:val="24"/>
        </w:rPr>
        <w:t xml:space="preserve"> </w:t>
      </w:r>
      <w:r w:rsidRPr="00C93F78">
        <w:rPr>
          <w:rFonts w:ascii="Times New Roman" w:hAnsi="Times New Roman"/>
          <w:szCs w:val="24"/>
        </w:rPr>
        <w:t>Szefowi KAS</w:t>
      </w:r>
      <w:r w:rsidRPr="00C93F78">
        <w:rPr>
          <w:rFonts w:ascii="Times New Roman" w:hAnsi="Times New Roman"/>
          <w:b/>
          <w:szCs w:val="24"/>
        </w:rPr>
        <w:t xml:space="preserve"> przez promotora</w:t>
      </w:r>
      <w:r w:rsidRPr="00C93F78">
        <w:rPr>
          <w:rFonts w:ascii="Times New Roman" w:hAnsi="Times New Roman"/>
          <w:szCs w:val="24"/>
        </w:rPr>
        <w:t xml:space="preserve">. </w:t>
      </w:r>
      <w:r w:rsidRPr="00C93F78">
        <w:rPr>
          <w:rFonts w:ascii="Times New Roman" w:hAnsi="Times New Roman"/>
          <w:b/>
          <w:szCs w:val="24"/>
        </w:rPr>
        <w:t>Korzystający</w:t>
      </w:r>
      <w:r w:rsidRPr="00C93F78">
        <w:rPr>
          <w:rFonts w:ascii="Times New Roman" w:hAnsi="Times New Roman"/>
          <w:szCs w:val="24"/>
        </w:rPr>
        <w:t xml:space="preserve"> będzie zobowiązany do przekazywania informacji o schemacie podatkowym w określonych sytuacjach (np. brak promotora lub niezwolnienie promotora z obowiązku zachowania tajemnicy zawodowej). Wyjątkowo obowiązkiem przekazania informacji o schemacie podatkowym może zostać obciążony wspomagający (art. 86d Ordynacji podatkowej). Podkreślenia wymaga, że zakres raportowania obejmuje schematy podatkowe krajowe oraz transgraniczne.</w:t>
      </w:r>
    </w:p>
    <w:p w:rsidR="00FF2178"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Generalnie schemat podatkowy podlega raportowaniu przez promotora w terminie 30 dni od udostępnienia schematu podatkowego lub dokonania czynności związanej z wdrażaniem schematu podatkowego lub od następnego dnia po przygotowaniu do wdrożenia schematu podatkowego w zależności od tego, które z tych zdarzeń nastąpi wcześniej (art. 86b § 1 Ordynacji podatkowej).</w:t>
      </w:r>
      <w:r w:rsidR="00FF2178" w:rsidRPr="00C93F78">
        <w:rPr>
          <w:rFonts w:ascii="Times New Roman" w:hAnsi="Times New Roman"/>
          <w:szCs w:val="24"/>
        </w:rPr>
        <w:t xml:space="preserve"> Jeżeli promotor jest obowiązany do przekazania informacji o schemacie podatkowym transgranicznym w więcej niż jednym państwie członkowskim Unii Europejskiej na podstawie przepisów tego państwa implementujących wymogi wynikające z przepisu art. 8ab dyrektywy Rady 2011/16/UE z dnia 15 lutego 2011 r. w sprawie współpracy administracyjnej w dziedzinie opodatkowania, obowiązek ten podlega wykonaniu wyłącznie w tym państwie członkowskim, które widnieje wyżej na poniższej liście:</w:t>
      </w:r>
    </w:p>
    <w:p w:rsidR="00FF2178" w:rsidRPr="00C93F78" w:rsidRDefault="00FF2178" w:rsidP="001F5C69">
      <w:pPr>
        <w:pStyle w:val="ZPKTzmpktartykuempunktem"/>
        <w:numPr>
          <w:ilvl w:val="1"/>
          <w:numId w:val="119"/>
        </w:numPr>
        <w:spacing w:before="120"/>
        <w:ind w:left="426"/>
        <w:rPr>
          <w:rFonts w:ascii="Times New Roman" w:hAnsi="Times New Roman"/>
          <w:szCs w:val="24"/>
        </w:rPr>
      </w:pPr>
      <w:r w:rsidRPr="00C93F78">
        <w:rPr>
          <w:rFonts w:ascii="Times New Roman" w:hAnsi="Times New Roman"/>
          <w:szCs w:val="24"/>
        </w:rPr>
        <w:t>państwo, w którym ma miejsce zamieszkania, siedzibę lub zarząd;</w:t>
      </w:r>
    </w:p>
    <w:p w:rsidR="00FF2178" w:rsidRPr="00C93F78" w:rsidRDefault="00FF2178" w:rsidP="001F5C69">
      <w:pPr>
        <w:pStyle w:val="ZPKTzmpktartykuempunktem"/>
        <w:numPr>
          <w:ilvl w:val="1"/>
          <w:numId w:val="119"/>
        </w:numPr>
        <w:spacing w:before="120"/>
        <w:ind w:left="426"/>
        <w:rPr>
          <w:rFonts w:ascii="Times New Roman" w:hAnsi="Times New Roman"/>
          <w:szCs w:val="24"/>
        </w:rPr>
      </w:pPr>
      <w:r w:rsidRPr="00C93F78">
        <w:rPr>
          <w:rFonts w:ascii="Times New Roman" w:hAnsi="Times New Roman"/>
          <w:szCs w:val="24"/>
        </w:rPr>
        <w:t>państwo, w którym za pośrednictwem zagranicznego zakładu świadczy usługi dotyczące schematu podatkowego;</w:t>
      </w:r>
    </w:p>
    <w:p w:rsidR="00FF2178" w:rsidRPr="00C93F78" w:rsidRDefault="00FF2178" w:rsidP="001F5C69">
      <w:pPr>
        <w:pStyle w:val="ZPKTzmpktartykuempunktem"/>
        <w:numPr>
          <w:ilvl w:val="1"/>
          <w:numId w:val="119"/>
        </w:numPr>
        <w:spacing w:before="120"/>
        <w:ind w:left="426"/>
        <w:rPr>
          <w:rFonts w:ascii="Times New Roman" w:hAnsi="Times New Roman"/>
          <w:szCs w:val="24"/>
        </w:rPr>
      </w:pPr>
      <w:r w:rsidRPr="00C93F78">
        <w:rPr>
          <w:rFonts w:ascii="Times New Roman" w:hAnsi="Times New Roman"/>
          <w:szCs w:val="24"/>
        </w:rPr>
        <w:t>państwo, w którym jest zarejestrowany, lub którego przepisom prawa podlega;</w:t>
      </w:r>
    </w:p>
    <w:p w:rsidR="00B861DF" w:rsidRPr="00C93F78" w:rsidRDefault="00FF2178" w:rsidP="001F5C69">
      <w:pPr>
        <w:pStyle w:val="ZPKTzmpktartykuempunktem"/>
        <w:numPr>
          <w:ilvl w:val="1"/>
          <w:numId w:val="119"/>
        </w:numPr>
        <w:spacing w:before="120"/>
        <w:ind w:left="426"/>
        <w:rPr>
          <w:rFonts w:ascii="Times New Roman" w:hAnsi="Times New Roman"/>
          <w:szCs w:val="24"/>
        </w:rPr>
      </w:pPr>
      <w:r w:rsidRPr="00C93F78">
        <w:rPr>
          <w:rFonts w:ascii="Times New Roman" w:hAnsi="Times New Roman"/>
          <w:szCs w:val="24"/>
        </w:rPr>
        <w:t>państwo, w którym  jest członkiem samorządu zawodowego lub innej organizacji pozarządowej posiadającej siedzibę lub zarząd na terytorium tego państwa reprezentującego osoby lub podmioty świadczące usługi prawne, dora</w:t>
      </w:r>
      <w:r w:rsidR="00F64648" w:rsidRPr="00C93F78">
        <w:rPr>
          <w:rFonts w:ascii="Times New Roman" w:hAnsi="Times New Roman"/>
          <w:szCs w:val="24"/>
        </w:rPr>
        <w:t>dztwa podatkowego  lub doradcze</w:t>
      </w:r>
      <w:r w:rsidR="00B861DF" w:rsidRPr="00C93F78">
        <w:rPr>
          <w:rFonts w:ascii="Times New Roman" w:hAnsi="Times New Roman"/>
          <w:szCs w:val="24"/>
        </w:rPr>
        <w:t xml:space="preserve"> (art. 86b § 8 Ordynacji podatkowej).</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 xml:space="preserve">Wyjątek stanowi sytuacja, gdy promotor jest zobowiązany do przekazania informacji Szefowi KAS o schemacie podatkowym </w:t>
      </w:r>
      <w:r w:rsidRPr="00C93F78">
        <w:rPr>
          <w:rFonts w:ascii="Times New Roman" w:hAnsi="Times New Roman"/>
          <w:b/>
          <w:szCs w:val="24"/>
        </w:rPr>
        <w:t>innym niż schemat standaryzowany</w:t>
      </w:r>
      <w:r w:rsidRPr="00C93F78">
        <w:rPr>
          <w:rFonts w:ascii="Times New Roman" w:hAnsi="Times New Roman"/>
          <w:szCs w:val="24"/>
        </w:rPr>
        <w:t xml:space="preserve"> jeżeli dany promotor </w:t>
      </w:r>
      <w:r w:rsidRPr="00C93F78">
        <w:rPr>
          <w:rFonts w:ascii="Times New Roman" w:hAnsi="Times New Roman"/>
          <w:b/>
          <w:szCs w:val="24"/>
        </w:rPr>
        <w:t>nie został zwolniony</w:t>
      </w:r>
      <w:r w:rsidRPr="001F5C69">
        <w:rPr>
          <w:rStyle w:val="Odwoanieprzypisudolnego"/>
          <w:rFonts w:ascii="Times New Roman" w:hAnsi="Times New Roman" w:cs="Times New Roman"/>
          <w:szCs w:val="24"/>
        </w:rPr>
        <w:footnoteReference w:id="33"/>
      </w:r>
      <w:r w:rsidRPr="00C93F78">
        <w:rPr>
          <w:rFonts w:ascii="Times New Roman" w:hAnsi="Times New Roman"/>
          <w:b/>
          <w:szCs w:val="24"/>
        </w:rPr>
        <w:t xml:space="preserve"> z obowiązku zachowania tajemnicy zawodowej</w:t>
      </w:r>
      <w:r w:rsidRPr="00C93F78">
        <w:rPr>
          <w:rFonts w:ascii="Times New Roman" w:hAnsi="Times New Roman"/>
          <w:szCs w:val="24"/>
        </w:rPr>
        <w:t xml:space="preserve"> w tym zakresie. W takiej sytuacji promotor jest zobowiązany poinformować pisemnie korzystającego, że zastosowany schemat podatkowy objęty jest obowiązkiem raportowania Szefowi KAS. W sytuacji opisanej powyżej promotor jest obowiązany przekazać korzystającemu informacje o schemacie podatkowym wymagane przez przepisy art. 86f § 1 Ordynacji podatkowej, tj. dane będące w dyspozycji promotora, które umożliwiać będą korzystającemu przekazanie Szefowi KAS pełnej informacji o schemacie podatkowym. Rozwiązanie, zgodnie z którym promotor jest obowiązany do przekazania korzystającemu tych danych w celu przesłania Szefowi KAS, usprawni proces raportowania oraz zminimalizuje ewentualne błędy wynikające z samodzielnego zaangażowania korzystającego w proces przygotowywania materiałów do zaraportowania. Innymi słowy przygotowanie przez promotorów, którzy </w:t>
      </w:r>
      <w:r w:rsidRPr="00C93F78">
        <w:rPr>
          <w:rFonts w:ascii="Times New Roman" w:hAnsi="Times New Roman" w:cs="Times New Roman"/>
          <w:szCs w:val="24"/>
        </w:rPr>
        <w:t>co do zasady są podmiotami</w:t>
      </w:r>
      <w:r w:rsidRPr="00C93F78">
        <w:rPr>
          <w:rFonts w:ascii="Times New Roman" w:hAnsi="Times New Roman"/>
          <w:szCs w:val="24"/>
        </w:rPr>
        <w:t xml:space="preserve"> profesjonalnymi, danych do przekazania do Szefa KAS pozwoli na uniknięcie błędów, obniżenie kosztów administracyjnych oraz przyspieszy procedurę raportowania. Promotor obowiązany jest wykonać te czynności w terminie 30 dni. W sytuacji opisanej powyżej, zgodnie z art. 86b § 5 Ordynacji podatkowej, gdy więcej niż jeden promotor jest obowiązany do przekazania informacji o schemacie podatkowym, promotor równocześnie z poinformowaniem korzystającego, informuje pisemnie inne znane mu podmioty zobowiązane do przekazania informacji o schemacie podatkowym o tym, że nie przekaże informacji o schemacie podatkowym do Szefa KAS. </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W tym samym terminie promotor zobowiązany jest zawiadomić Szefa KAS, że wystąpiła sytuacja, w której obowiązany był do przekazania informacji o schemacie podatkowym, jednak tego nie uczynił z powodu braku zwolnienia go z obowiązku zachowania tajemnicy zawodowej. Informując o tej sytuacji Szefa KAS promotor wskazuje datę udostępnienia schematu podatkowego lub dokonania pierwszej czynności związanej z wdrażaniem schematu podatkowego oraz liczbę podmiotów, które poinformował o obowiązku przekazania informacji Szefowi KAS (możliwe są bowiem sytuacje, w których uzgodnienie dotyczyć będzie więcej niż jednego korzystającego). Notyfikacja ma na celu uszczelnienie systemu raportowania o schematach podatkowych. Szef KAS pozyskiwać będzie w ten sposób wiedzę o liczbie schematów, dla których powinny zostać przekazane informacje o schemacie podatkowym. Porównanie tych danych z liczbą faktycznie zaraportowanych schematów podatkowych pozwoli Szefowi KAS oszacować „szarą strefę” schematów, które choć powinny zostać zaraportowane, nie zostały zgłoszone.</w:t>
      </w:r>
      <w:r w:rsidRPr="00C93F78">
        <w:rPr>
          <w:rFonts w:ascii="Times New Roman" w:hAnsi="Times New Roman" w:cs="Times New Roman"/>
          <w:szCs w:val="24"/>
        </w:rPr>
        <w:t xml:space="preserve"> Promotor nie ma jednak obowiązku przekazania danych identyfikacyjnych korzystającego. Rozwiązanie to podyktowane jest ochroną tajemnicy zawodowej.</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 xml:space="preserve">W sytuacji, w której obowiązek przekazania informacji o schemacie podatkowym dotyczy </w:t>
      </w:r>
      <w:r w:rsidRPr="00C93F78">
        <w:rPr>
          <w:rFonts w:ascii="Times New Roman" w:hAnsi="Times New Roman"/>
          <w:b/>
          <w:szCs w:val="24"/>
        </w:rPr>
        <w:t>schematu podatkowego standaryzowanego</w:t>
      </w:r>
      <w:r w:rsidRPr="00C93F78">
        <w:rPr>
          <w:rFonts w:ascii="Times New Roman" w:hAnsi="Times New Roman"/>
          <w:szCs w:val="24"/>
        </w:rPr>
        <w:t>, z uwagi na specyfikę tego schematu, ewentualny brak zwolnienia promotora z obowiązku zachowania prawnie chronionej tajemnicy zawodowej, nie powoduje wyłączenia obowiązku raportowania tego schematu przez promotora. Należy bowiem wskazać, że w schemacie standaryzowanym nie są ujawniane informacje poufne, objęte tajemnicą zawodową, dotyczące konkretnych podmiotów. W takiej sytuacji, promotor będzie miał obowiązek przekazania informacji o schemacie podatkowym standaryzowanym zgodnie z zakresem przewidzianym w art. 86f § 2 Ordynacji podatkowej – bez danych identyfikujących podmioty zaangażowane w ten schemat. Informacje przekazywane na tej podstawie dostarczać zaś będą Szefowi KAS informacji o samym sposobie osiągania korzyści, które wykorzystane są w danym schemacie.</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Istotnym wsparciem celu regulacji jest projektowany § 3 art. 86f Ordynacji podatkowej. Zgodnie z tym przepisem w sytuacji, w której promotor w ogóle nie jest zobowiązany do zachowania prawnie chronionej tajemnicy zawodowej lub został zwolniony z obowiązku jej zachowania, łącznie z informacją o schemacie podatkowym standaryzowanym zobowiązany jest przekazać Szefowi KAS dane wskazane w § 2 tego artykułu związane z pierwszym podmiotem, któremu udostępnił ten schemat podatkowy, bądź u którego dokonał pierwszej czynności związanej z wdrażaniem tego schematu podatkowego, którekolwiek z tych zdarzeń nastąpiło wcześniej. Promotor ten jest również zobowiązany, w terminie do 30 dni po zakończeniu kwartału, przekazywać Szefowi KAS dane wskazane § 1, które związane z każdym podmiotem, któremu w trakcie tego kwartału udostępnił taki standaryzowany schemat podatkowy. W tej sytuacji promotor obowiązany jest informować korzystającego o numerze NSP standaryzowanego schematu podatkowego (art. 86b § 2 Ordynacji podatkowej). Szef KAS może zwrócić się do promotora o uzupełnienie informacji lub wyjaśnienie wątpliwości co do treści przekazywanych informacji (art. 86h § 1 Ordynacji podatkowej). Przekazywanie przez promotora tych danych następuje za pośrednictwem systemu MDR, który omówiony zostanie w dalszej części uzasadnienia.</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b/>
          <w:szCs w:val="24"/>
        </w:rPr>
        <w:t>Przesłanki raportowania schematów przez korzystającego</w:t>
      </w:r>
      <w:r w:rsidRPr="00C93F78">
        <w:rPr>
          <w:rFonts w:ascii="Times New Roman" w:hAnsi="Times New Roman"/>
          <w:szCs w:val="24"/>
        </w:rPr>
        <w:t xml:space="preserve"> normuje § 1 art. 86c Ordynacji podatkowej. Projektowane rozwiązanie przewiduje, że korzystający, który nie został poinformowany przez promotora o numerze NSP danego schematu lub o przekazaniu przez promotora do Szefa KAS informacji o schemacie podatkowym (tj. nie wystąpiły okoliczności uregulowane w art. 86b § 2 lub 3) przekazuje Szefowi KAS informację o schemacie podatkowym w terminie 30 dni od dnia </w:t>
      </w:r>
      <w:r w:rsidR="00DB1B47" w:rsidRPr="00C93F78">
        <w:rPr>
          <w:rFonts w:ascii="Times New Roman" w:hAnsi="Times New Roman"/>
          <w:szCs w:val="24"/>
        </w:rPr>
        <w:t xml:space="preserve">następującego po udostępnieniu mu schematu podatkowego lub przygotowaniu schematu podatkowego do wdrożenia przez tego korzystającego lub od dnia dokonania pierwszej czynności związanej z wdrażaniem schematu podatkowego przez tego korzystającego, w zależności od tego, które z tych zdarzeń nastąpi wcześniej. </w:t>
      </w:r>
    </w:p>
    <w:p w:rsidR="00B861DF" w:rsidRPr="00C93F78" w:rsidRDefault="00B861DF" w:rsidP="00C93F78">
      <w:pPr>
        <w:pStyle w:val="Default"/>
        <w:spacing w:before="120" w:line="360" w:lineRule="auto"/>
        <w:jc w:val="both"/>
      </w:pPr>
      <w:r w:rsidRPr="00C93F78">
        <w:t xml:space="preserve">W sytuacji, w której promotor nie został zwolniony z obowiązku zachowania prawnie chronionej tajemnicy zawodowej i w efekcie korzystający został poinformowany zgodnie z art. 86b § 4 Ordynacji podatkowej o obowiązku przekazania tej informacji do Szefa KAS, korzystający przekazuje Szefowi KAS informację o schemacie podatkowym w terminie 30 dni od otrzymania tej informacji od promotora. W takiej sytuacji korzystający, przekazując informację o schemacie podatkowym, weryfikuje dane otrzymane od promotora oraz dokonuje w nich uzupełnień lub modyfikacji. Dane otrzymane od promotora zgodnie z art. 86b § 4 Ordynacji podatkowej korzystający przekazuje Szefowi KAS razem z informacją o schemacie podatkowym lub w terminie określonym w zdaniu pierwszym, jeśli uzgodnienie w ocenie korzystającego nie stanowi schematu podatkowego. Przyjęte rozwiązanie ma na celu wykluczenie sytuacji braku przekazania do Szefa KAS jakichkolwiek informacji, w sytuacji, w której korzystający odmiennie zinterpretuje stan faktyczny i uzna, że konkretne uzgodnienie nie stanowi schematu podatkowego. </w:t>
      </w:r>
    </w:p>
    <w:p w:rsidR="00DB1B47" w:rsidRPr="00C93F78" w:rsidRDefault="004F55D0" w:rsidP="00C93F78">
      <w:pPr>
        <w:pStyle w:val="Default"/>
        <w:spacing w:before="120" w:line="360" w:lineRule="auto"/>
        <w:jc w:val="both"/>
      </w:pPr>
      <w:r w:rsidRPr="00C93F78">
        <w:t>Zgodnie z projektowanym §3 art. 86c j</w:t>
      </w:r>
      <w:r w:rsidR="00DB1B47" w:rsidRPr="00C93F78">
        <w:t xml:space="preserve">eżeli korzystający jest zobowiązany do przekazania informacji o schemacie podatkowym transgranicznym w więcej niż jednym państwie członkowskim Unii Europejskiej na podstawie przepisów tego państwa </w:t>
      </w:r>
      <w:r w:rsidR="00F64648" w:rsidRPr="00C93F78">
        <w:t>implementującymi</w:t>
      </w:r>
      <w:r w:rsidR="00DB1B47" w:rsidRPr="00C93F78">
        <w:t xml:space="preserve"> wymogi wynikające z przepisu art. 8ab dyrektywy Rady 2011/16/UE z dnia 15 lutego 2011 r. w sprawie współpracy administracyjnej w dziedzinie opodatkowania, obowiązek ten podlega wykonaniu wyłącznie w tym państwie członkowskim, które widnieje wyżej na poniższej liście:</w:t>
      </w:r>
    </w:p>
    <w:p w:rsidR="00DB1B47" w:rsidRPr="00C93F78" w:rsidRDefault="00DB1B47" w:rsidP="00C93F78">
      <w:pPr>
        <w:pStyle w:val="Default"/>
        <w:numPr>
          <w:ilvl w:val="1"/>
          <w:numId w:val="78"/>
        </w:numPr>
        <w:spacing w:before="120" w:line="360" w:lineRule="auto"/>
        <w:jc w:val="both"/>
        <w:rPr>
          <w:bCs/>
        </w:rPr>
      </w:pPr>
      <w:r w:rsidRPr="00C93F78">
        <w:rPr>
          <w:bCs/>
        </w:rPr>
        <w:t>państwo, w którym posiada miejsca zamieszkania, siedzibę lub zarząd,</w:t>
      </w:r>
    </w:p>
    <w:p w:rsidR="00DB1B47" w:rsidRPr="00C93F78" w:rsidRDefault="00DB1B47" w:rsidP="00C93F78">
      <w:pPr>
        <w:pStyle w:val="Default"/>
        <w:numPr>
          <w:ilvl w:val="1"/>
          <w:numId w:val="78"/>
        </w:numPr>
        <w:spacing w:before="120" w:line="360" w:lineRule="auto"/>
        <w:jc w:val="both"/>
        <w:rPr>
          <w:bCs/>
        </w:rPr>
      </w:pPr>
      <w:r w:rsidRPr="00C93F78">
        <w:rPr>
          <w:bCs/>
        </w:rPr>
        <w:t>państwo, w którym za pośrednictwem zagranicznego zakładu korzysta ze schematu podatkowego,</w:t>
      </w:r>
    </w:p>
    <w:p w:rsidR="00DB1B47" w:rsidRPr="00C93F78" w:rsidRDefault="00DB1B47" w:rsidP="00C93F78">
      <w:pPr>
        <w:pStyle w:val="Default"/>
        <w:numPr>
          <w:ilvl w:val="1"/>
          <w:numId w:val="78"/>
        </w:numPr>
        <w:spacing w:before="120" w:line="360" w:lineRule="auto"/>
        <w:jc w:val="both"/>
        <w:rPr>
          <w:bCs/>
        </w:rPr>
      </w:pPr>
      <w:r w:rsidRPr="00C93F78">
        <w:rPr>
          <w:bCs/>
        </w:rPr>
        <w:t>państwo, w którym uzyskuje dochody lub osiąga zyski, mimo, że nie posiada miejsca zamieszkania, siedziby, zarządu ani zagranicznego zakładu w żadnym państwie członkowskim,</w:t>
      </w:r>
    </w:p>
    <w:p w:rsidR="00DB1B47" w:rsidRPr="00C93F78" w:rsidRDefault="00DB1B47" w:rsidP="00C93F78">
      <w:pPr>
        <w:pStyle w:val="Default"/>
        <w:numPr>
          <w:ilvl w:val="1"/>
          <w:numId w:val="78"/>
        </w:numPr>
        <w:spacing w:before="120" w:line="360" w:lineRule="auto"/>
        <w:jc w:val="both"/>
        <w:rPr>
          <w:bCs/>
        </w:rPr>
      </w:pPr>
      <w:r w:rsidRPr="00C93F78">
        <w:rPr>
          <w:bCs/>
        </w:rPr>
        <w:t>państwo, w którym prowadzi działalność, mimo że nie posiada miejsca zamieszkania, siedziby, zarządu ani zagranicznego zakładu w żadnym państwie członkowskim.</w:t>
      </w:r>
    </w:p>
    <w:p w:rsidR="00DB1B47" w:rsidRPr="00C93F78" w:rsidRDefault="00DB1B47" w:rsidP="00C93F78">
      <w:pPr>
        <w:pStyle w:val="Default"/>
        <w:spacing w:before="120" w:line="360" w:lineRule="auto"/>
        <w:jc w:val="both"/>
      </w:pPr>
      <w:r w:rsidRPr="00C93F78">
        <w:t>Zgodnie z projektowanym §4 art. 86c jeżeli więcej niż jeden korzystający ma obowiązek przekazania informacji o tym samym schemacie podatkowym transgranicznym, obowiązek ten podlega wykonaniu przez korzystającego, który widnieje wyżej na poniższej liście:</w:t>
      </w:r>
    </w:p>
    <w:p w:rsidR="00DB1B47" w:rsidRPr="00C93F78" w:rsidRDefault="00DB1B47" w:rsidP="00C93F78">
      <w:pPr>
        <w:pStyle w:val="Default"/>
        <w:numPr>
          <w:ilvl w:val="1"/>
          <w:numId w:val="79"/>
        </w:numPr>
        <w:spacing w:before="120" w:line="360" w:lineRule="auto"/>
        <w:jc w:val="both"/>
        <w:rPr>
          <w:bCs/>
        </w:rPr>
      </w:pPr>
      <w:r w:rsidRPr="00C93F78">
        <w:rPr>
          <w:bCs/>
        </w:rPr>
        <w:t>korzystający, który uzgodnił schemat podatkowy transgraniczny z promotorem lub wspomagającym,</w:t>
      </w:r>
    </w:p>
    <w:p w:rsidR="00DB1B47" w:rsidRPr="00C93F78" w:rsidRDefault="00DB1B47" w:rsidP="00C93F78">
      <w:pPr>
        <w:pStyle w:val="Default"/>
        <w:numPr>
          <w:ilvl w:val="1"/>
          <w:numId w:val="79"/>
        </w:numPr>
        <w:spacing w:before="120" w:line="360" w:lineRule="auto"/>
        <w:jc w:val="both"/>
        <w:rPr>
          <w:bCs/>
        </w:rPr>
      </w:pPr>
      <w:r w:rsidRPr="00C93F78">
        <w:rPr>
          <w:bCs/>
        </w:rPr>
        <w:t>korzystający, który zarządza wdrożeniem schematu podatkowego transgranicznego.</w:t>
      </w:r>
    </w:p>
    <w:p w:rsidR="00DB1B47" w:rsidRPr="00C93F78" w:rsidRDefault="00DB1B47" w:rsidP="00C93F78">
      <w:pPr>
        <w:pStyle w:val="Default"/>
        <w:spacing w:before="120" w:line="360" w:lineRule="auto"/>
        <w:jc w:val="both"/>
        <w:rPr>
          <w:bCs/>
        </w:rPr>
      </w:pPr>
      <w:r w:rsidRPr="00C93F78">
        <w:rPr>
          <w:bCs/>
        </w:rPr>
        <w:t>- przy czym pozostali korzystający są zwolnieni z tego obowiązku, jeżeli udowodnią, że informacja o tym schemacie podatkowym transgranicznym została przekazana przez tego korzystającego, w szczególności poprzez przedstawienie potwierdzenia nadania NSP. Przepis art. 86b § 3 stosuje się odpowiednio.</w:t>
      </w:r>
    </w:p>
    <w:p w:rsidR="00B861DF" w:rsidRPr="00C93F78" w:rsidRDefault="00B861DF" w:rsidP="00C93F78">
      <w:pPr>
        <w:pStyle w:val="Default"/>
        <w:spacing w:before="120" w:line="360" w:lineRule="auto"/>
        <w:jc w:val="both"/>
      </w:pPr>
      <w:r w:rsidRPr="00C93F78">
        <w:t>Rozwiązania opisane powyżej zmierzają w istocie do uszczelnienia systemu raportowania schematów podatkowych oraz usprawnienia procesu ewidencjonowania schematów, które będą opracowywane przez profesjonalistów, przy jednoczesnym respektowaniu obowiązku zachowania przez nich tajemnicy zawodowej. Rozwiązanie zaproponowane w projekcie ustawy realizuje założenia Dyrektywy, zgodnie z którym „każde państwo członkowskie może przyjąć niezbędne środki w celu umożliwienia pośrednikom zwolnienia się z obowiązku przekazywania informacji dotyczących podlegających zgłoszeniu uzgodnień transgranicznych, jeżeli takie zgłoszenie wiązałby się z naruszeniem tajemnicy zawodowej na mocy prawa krajowego tego państwa członkowskiego. w takich okolicznościach każde państwo członkowskie przyjmuje niezbędne środki w celu zobowiązania pośredników do bezzwłocznego powiadomienia każdego innego pośrednika lub, w przypadku braku takiego pośrednika, właściwego podatnika o ciążących na nich obowiązkach zgłoszenia na mocy ust. 6. (…) – art.</w:t>
      </w:r>
      <w:r w:rsidRPr="00C93F78">
        <w:rPr>
          <w:iCs/>
        </w:rPr>
        <w:t> </w:t>
      </w:r>
      <w:r w:rsidRPr="00C93F78">
        <w:t>8ab ust. 5</w:t>
      </w:r>
      <w:r w:rsidRPr="00C93F78">
        <w:rPr>
          <w:i/>
        </w:rPr>
        <w:t>.</w:t>
      </w:r>
    </w:p>
    <w:p w:rsidR="00B861DF" w:rsidRPr="00C93F78" w:rsidRDefault="00B861DF" w:rsidP="00C93F78">
      <w:pPr>
        <w:pStyle w:val="Default"/>
        <w:spacing w:before="120" w:line="360" w:lineRule="auto"/>
        <w:jc w:val="both"/>
      </w:pPr>
      <w:r w:rsidRPr="00C93F78">
        <w:t>Ponadto rozwiązanie zgodnie, z którym w momencie, gdy promotor nie został zwolniony z tajemnicy zawodowej i obowiązek zaraportowania schematu spoczywa na korzystającym spotkało się z aprobatą respondentów podczas przeprowadzonych konsultacji podatkowych. Krajowa Rada Doradców Podatkowych pozytywnie odniosła się do takiej koncepcji rozkładu obowiązków raportowania, uznając że „(…) wprowadzenie MDR w oparciu o formułę ujętą w pkt c)</w:t>
      </w:r>
      <w:r w:rsidRPr="00C93F78">
        <w:rPr>
          <w:rStyle w:val="Odwoanieprzypisudolnego"/>
        </w:rPr>
        <w:footnoteReference w:id="34"/>
      </w:r>
      <w:r w:rsidRPr="00C93F78">
        <w:t xml:space="preserve"> może w największym stopniu zapewnić skuteczne wprowadzenie kolejnego instrumentu bezpieczeństwa systemu podatkowego, przy braku naruszenia jednego z już istniejących filarów, czyli konstrukcji zawodu doradcy podatkowego”. Powyższy pogląd podzielony został przez innego respondenta – Tomasza Michalika, który uznał, że: (…) wprowadzenie MDR w oparciu o formułę ujętą w pkt (c)</w:t>
      </w:r>
      <w:r w:rsidRPr="00C93F78">
        <w:rPr>
          <w:rStyle w:val="Odwoanieprzypisudolnego"/>
        </w:rPr>
        <w:footnoteReference w:id="35"/>
      </w:r>
      <w:r w:rsidRPr="00C93F78">
        <w:t xml:space="preserve"> powyżej może w największym stopniu zapewnić skuteczną realizację celów Ministerstwa przy zachowaniu funkcji doradcy podatkowego jako jednego z dotychczasowych filarów bezpieczeństwa systemu podatkowego.”</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Alternatywnym do opisanego powyżej rozwiązaniem mogłoby być nałożenie na promotora obowiązku weryfikacji, czy dany schemat podatkowy został w określonym prawem terminie zaraportowany Szefowi KAS, a następnie po upływie określonego terminu zaraportowania Szefowi KAS danego schematu podatkowego z ujawnieniem danych korzystającego. Mając jednak na uwadze wartość tajemnicy zawodowej oraz jej rolę w kształtowaniu rangi zawodów zaufania publicznego, projektowane rozwiązanie zakłada, że promotor nie będzie miał dodatkowego obowiązku weryfikacji, czy korzystający zaraportował dany schemat podatkowy oraz – w sytuacji, w której nie został zwolniony z obowiązku zachowania tajemnicy – nie będzie ujawniał danych korzystającego ze schematów.</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 xml:space="preserve">Zgodnie z projektowanymi przepisami nie stanowi naruszenia obowiązku zachowania prawnie chronionej tajemnicy zawodowej (art. 86b §7 Ordynacji podatkowej): </w:t>
      </w:r>
    </w:p>
    <w:p w:rsidR="00B861DF" w:rsidRPr="00C93F78" w:rsidRDefault="00B861DF" w:rsidP="00C93F78">
      <w:pPr>
        <w:pStyle w:val="ZTIRwPKTzmtirwpktartykuempunktem"/>
        <w:numPr>
          <w:ilvl w:val="0"/>
          <w:numId w:val="37"/>
        </w:numPr>
        <w:spacing w:before="120"/>
        <w:rPr>
          <w:rFonts w:ascii="Times New Roman" w:hAnsi="Times New Roman"/>
          <w:szCs w:val="24"/>
        </w:rPr>
      </w:pPr>
      <w:r w:rsidRPr="00C93F78">
        <w:rPr>
          <w:rFonts w:ascii="Times New Roman" w:hAnsi="Times New Roman"/>
          <w:szCs w:val="24"/>
        </w:rPr>
        <w:t xml:space="preserve">przekazanie informacji o schemacie podatkowym, w sytuacji, w której przekazujący tę informację został zwolniony z obowiązku jej zachowania, </w:t>
      </w:r>
    </w:p>
    <w:p w:rsidR="00B861DF" w:rsidRPr="00C93F78" w:rsidRDefault="00B861DF" w:rsidP="00C93F78">
      <w:pPr>
        <w:pStyle w:val="ZTIRwPKTzmtirwpktartykuempunktem"/>
        <w:numPr>
          <w:ilvl w:val="0"/>
          <w:numId w:val="37"/>
        </w:numPr>
        <w:spacing w:before="120"/>
        <w:rPr>
          <w:rFonts w:ascii="Times New Roman" w:hAnsi="Times New Roman"/>
          <w:szCs w:val="24"/>
        </w:rPr>
      </w:pPr>
      <w:r w:rsidRPr="00C93F78">
        <w:rPr>
          <w:rFonts w:ascii="Times New Roman" w:hAnsi="Times New Roman"/>
          <w:szCs w:val="24"/>
        </w:rPr>
        <w:t xml:space="preserve">przekazanie informacji o schemacie podatkowym standaryzowanym, </w:t>
      </w:r>
    </w:p>
    <w:p w:rsidR="00B861DF" w:rsidRPr="00C93F78" w:rsidRDefault="00B861DF" w:rsidP="00C93F78">
      <w:pPr>
        <w:pStyle w:val="ZTIRwPKTzmtirwpktartykuempunktem"/>
        <w:numPr>
          <w:ilvl w:val="0"/>
          <w:numId w:val="37"/>
        </w:numPr>
        <w:spacing w:before="120"/>
        <w:rPr>
          <w:rFonts w:ascii="Times New Roman" w:hAnsi="Times New Roman"/>
          <w:szCs w:val="24"/>
        </w:rPr>
      </w:pPr>
      <w:r w:rsidRPr="00C93F78">
        <w:rPr>
          <w:rFonts w:ascii="Times New Roman" w:hAnsi="Times New Roman"/>
          <w:szCs w:val="24"/>
        </w:rPr>
        <w:t>przesłanie do Szefa KAS informacji o fakcie poinformowania korzystającego o obowiązku przekazania informacji o schemacie podatkowym, w momencie, gdy do</w:t>
      </w:r>
      <w:r w:rsidRPr="00C93F78">
        <w:rPr>
          <w:rFonts w:ascii="Times New Roman" w:hAnsi="Times New Roman" w:cs="Times New Roman"/>
          <w:szCs w:val="24"/>
        </w:rPr>
        <w:t> </w:t>
      </w:r>
      <w:r w:rsidRPr="00C93F78">
        <w:rPr>
          <w:rFonts w:ascii="Times New Roman" w:hAnsi="Times New Roman"/>
          <w:szCs w:val="24"/>
        </w:rPr>
        <w:t xml:space="preserve">zaraportowania schematu obowiązany jest korzystający. </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b/>
          <w:szCs w:val="24"/>
        </w:rPr>
        <w:t>Wyjątkowo obowiązek przekazania Szefowi KAS informacji o schemacie podatkowym może zostać nałożony na wspomagającego</w:t>
      </w:r>
      <w:r w:rsidRPr="00C93F78">
        <w:rPr>
          <w:rFonts w:ascii="Times New Roman" w:hAnsi="Times New Roman"/>
          <w:szCs w:val="24"/>
        </w:rPr>
        <w:t>, sytuację tę reguluje art. 86d § 1 Ordynacji podatkowej. Na wstępie należy wskazać, że ustawa nakłada obowiązek na promotora lub korzystającego, którzy zlecają wspomagającemu wykonanie czynności pozostających w</w:t>
      </w:r>
      <w:r w:rsidRPr="00C93F78">
        <w:rPr>
          <w:rFonts w:ascii="Times New Roman" w:hAnsi="Times New Roman" w:cs="Times New Roman"/>
          <w:szCs w:val="24"/>
        </w:rPr>
        <w:t> </w:t>
      </w:r>
      <w:r w:rsidRPr="00C93F78">
        <w:rPr>
          <w:rFonts w:ascii="Times New Roman" w:hAnsi="Times New Roman"/>
          <w:szCs w:val="24"/>
        </w:rPr>
        <w:t>zakresie jego działania w odniesieniu do schematu podatkowego pisemnego poinformowania wspomagającego o NSP tego schematu podatkowego i załączenia potwierdzenia nadania NSP. Obowiązek ten powinien zostać zrealizowany przez promotora lub korzystającego najpóźniej w dniu poprzedzającym wykonanie czynności przez wspomagającego. W tym zakresie odpowiednie zastosowanie znajduje art. 86b § 3 Ordynacji podatkowej regulujący zakres przekazywanej informacji w sytuacji, w której mimo przekazania informacji o schemacie podatkowym do Szefa KAS nie nadano jeszcze NSP. Jeśli wystąpią sytuacje opisane powyżej, obowiązek raportowania schematu podatkowego przez wspomagającego nie wystąpi.</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Jeśli jednak wspomagający nie zostanie poinformowany o NSP schematu podatkowego będzie on obowiązany niezwłocznie, nie później niż w terminie 5 dni roboczych wystąpić do</w:t>
      </w:r>
      <w:r w:rsidRPr="00C93F78">
        <w:rPr>
          <w:rFonts w:ascii="Times New Roman" w:hAnsi="Times New Roman" w:cs="Times New Roman"/>
          <w:szCs w:val="24"/>
        </w:rPr>
        <w:t> </w:t>
      </w:r>
      <w:r w:rsidRPr="00C93F78">
        <w:rPr>
          <w:rFonts w:ascii="Times New Roman" w:hAnsi="Times New Roman"/>
          <w:szCs w:val="24"/>
        </w:rPr>
        <w:t>promotora lub korzystającego zlecających wykonanie czynności o przekazanie mu pisemnego oświadczenia, że uzgodnienie nie stanowi schematu podatkowego, w sytuacji gdy przy zachowaniu staranności ogólnie wymaganej w dokonywanych przez niego czynnościach, przy uwzględnieniu zawodowego charakteru jego działalności, obszaru jego specjalizacji oraz przedmiotu wykonywanych przez niego czynności – powziął lub powinien był powziąć wątpliwości, że uzgodnienie, w odniesieniu do którego jest wspomagającym, może stanowić schemat podatkowy. Jednocześnie wspomagający zobowiązany jest w tym samym terminie zawiadomić Szefa KAS, że powziął wątpliwości, że uzgodnienie stanowi schemat podatkowy, wskazując dzień, w którym podjął wątpliwości oraz liczbę podmiotów, do których wystąpił o przekazanie mu pisemnego oświadczenia, że uzgodnienie nie stanowi schematu podatkowego. Przekazywanie tych informacji umożliwiać będzie Szefowi KAS szacowanie liczby niezaraportowanych schematów podatkowych. Mechanizm ten powinien również wpłynąć na sposób postępowania promotorów i korzystających, ograniczając liczbę przypadków, w których nie doszło do przekazania informacji o schemacie podatkowym mimo istnienia tego obowiązku.</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W takiej sytuacji wspomagającemu przyznano prawo do wstrzymania się z wykonaniem czynności w odniesieniu do danego uzgodnienia do dnia otrzymania tego oświadczenia, potwierdzenia nadania NSP lub informacji, o której mowa w art. 86b § 3 Ordynacji podatkowej. Wstrzymanie się przez wspomagającego w opisanej sytuacji z wykonaniem czynności nie może prowadzić do powstania po jego stronie ryzyka odpowiedzialności cywilnej lub dyscyplinarnej względem zlecającego mu te czynności w zakresie tych czynności, które są związane ze</w:t>
      </w:r>
      <w:r w:rsidRPr="00C93F78">
        <w:rPr>
          <w:rFonts w:ascii="Times New Roman" w:hAnsi="Times New Roman" w:cs="Times New Roman"/>
          <w:szCs w:val="24"/>
        </w:rPr>
        <w:t> </w:t>
      </w:r>
      <w:r w:rsidRPr="00C93F78">
        <w:rPr>
          <w:rFonts w:ascii="Times New Roman" w:hAnsi="Times New Roman"/>
          <w:szCs w:val="24"/>
        </w:rPr>
        <w:t>wtrzymaniem się z pracami w odniesieniu do uzgodnienia (art. 86d § 5 Ordynacji podatkowej). Uregulowania te mają na celu wzmocnienie niezależności wspomagających, w szczególności tych, którzy wykonują zawody zaufania publicznego, przez co powinni działać w sposób profesjonalny oraz zgodnie z zasadami etyki zawodowej.</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Jeżeli wspomagający nie zostanie poinformowany o NSP schematu podatkowego, będzie on obowiązany przekazać Szefowi KAS informację o schemacie podatkowym w terminie 30 dni od dnia, w którym dostrzegł lub powinien był dostrzec, że uzgodnienie, w odniesieniu do którego jest wspomagającym, stanowi schemat podatkowy przy zachowaniu staranności ogólnie wymaganej w dokonywanych przez niego czynnościach, przy uwzględnieniu zawodowego charakteru jego działalności, obszaru jego specjalizacji oraz przedmiotu wykonywanych przez niego czynności (art. 86d § 3 Ordynacji podatkowej). Na ocenę tego, czy wspomagający powinien był dostrzec, że uzgodnienie, w odniesieniu do którego jest wspomagającym, stanowi schemat podatkowy, wpływać może wiele czynników, np.</w:t>
      </w:r>
      <w:r w:rsidRPr="00C93F78">
        <w:rPr>
          <w:rFonts w:ascii="Times New Roman" w:hAnsi="Times New Roman" w:cs="Times New Roman"/>
          <w:szCs w:val="24"/>
        </w:rPr>
        <w:t> </w:t>
      </w:r>
      <w:r w:rsidRPr="00C93F78">
        <w:rPr>
          <w:rFonts w:ascii="Times New Roman" w:hAnsi="Times New Roman"/>
          <w:szCs w:val="24"/>
        </w:rPr>
        <w:t>dotychczasowe czynności wykonywane przez wspomagającego w stosunku do tych samych lub powiązanych podmiotów, stosowanie rozwiązań nietypowych w danej branży. Przykładowo przyjąć należy, że w sytuacji, w której wspomagającemu (np. notariuszowi) zlecanych jest w pewnych odstępach czasu wykonanie szeregu czynności w odniesieniu do tych samych lub powiązanych podmiotów, które się wzajemnie znoszą i prowadzą do efektu zbliżonego lub tożsamego z sytuacją występującą na początku, uznać należy, że wspomagający powinien był dostrzec, że uzgodnienie stanowi schemat podatkowy. Z drugiej strony uwzględnić jednak należy fakt, że wspomagający wykonuje czynności dotyczące jedynie pewnej części uzgodnienia. Czynności te mogą być jednocześnie typowe i rozpowszechnione – np. sporządzenie aktu notarialnego przy tworzeniu spółek prawa handlowego. Nie jest oczekiwane, że wspomagający powinien był dostrzec, że wspiera implementację schematu podatkowego, w sytuacji w której posiada on wycinkową wiedzę o uzgodnieniu oraz dokonuje jednej lub kilku typowych w danej branży czynności.</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W przypadku gdyby przekazanie przez wspomagającego informacji o schemacie podatkowym naruszało obowiązek zachowania prawnie chronionej tajemnicy zawodowej i wspomagający nie został zwolniony z obowiązku zachowania tajemnicy w tym zakresie, jest on obowiązany poinformować pisemnie korzystającego lub promotora zlecających mu czynności, że w jego opinii uzgodnienie stanowi schemat podatkowy, który podlega raportowaniu Szefowi KAS. W</w:t>
      </w:r>
      <w:r w:rsidRPr="00C93F78">
        <w:rPr>
          <w:rFonts w:ascii="Times New Roman" w:hAnsi="Times New Roman" w:cs="Times New Roman"/>
          <w:szCs w:val="24"/>
        </w:rPr>
        <w:t> </w:t>
      </w:r>
      <w:r w:rsidRPr="00C93F78">
        <w:rPr>
          <w:rFonts w:ascii="Times New Roman" w:hAnsi="Times New Roman"/>
          <w:szCs w:val="24"/>
        </w:rPr>
        <w:t>tym samym terminie wspomagający ma obowiązek zawiadomić Szefa KAS o wystąpieniu sytuacji opisanej powyżej, bez ujawniania danych podmiotu. W takiej sytuacji, wspomagający podejmuje działania analogiczne do działań podejmowanych przez promotora, w przypadku, gdy ten nie został zwolniony z tajemnicy zawodowej (art. 86d § 4 Ordynacji podatkowej).</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Taki sposób sformułowania przesłanek aktualizacji obowiązku raportowania schematu podatkowego przez wspomagającego związany jest z faktem, że – co do zasady – wykonuje on ograniczone przedmiotowo czynności w stosunku do uzgodnienia i może nie być świadomy, że wspiera podmioty w realizacji schematu podatkowego, dla którego nie została przekazana do Szefa KAS informacja o schemacie podatkowym. Z drugiej jednak strony, wspomagający ma obowiązek zachowania czujności oraz reagowania w sytuacji, w której ma podejrzenie, że</w:t>
      </w:r>
      <w:r w:rsidRPr="00C93F78">
        <w:rPr>
          <w:rFonts w:ascii="Times New Roman" w:hAnsi="Times New Roman" w:cs="Times New Roman"/>
          <w:bCs w:val="0"/>
          <w:szCs w:val="24"/>
        </w:rPr>
        <w:t> </w:t>
      </w:r>
      <w:r w:rsidRPr="00C93F78">
        <w:rPr>
          <w:rFonts w:ascii="Times New Roman" w:hAnsi="Times New Roman"/>
          <w:szCs w:val="24"/>
        </w:rPr>
        <w:t xml:space="preserve">uzgodnienie, w odniesieniu do którego jest wspomagającym może stanowić schemat podatkowy. Rozwiązanie to umożliwi jak najlepszą realizację założeń projektu ustawy oraz ujawnianie schematów podatkowych, które nie zostały zaraportowane przez promotora lub korzystającego. </w:t>
      </w:r>
    </w:p>
    <w:p w:rsidR="00F64648" w:rsidRPr="00C93F78" w:rsidRDefault="00F64648"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Jeżeli wspomagający jest zobowiązany do przekazania informacji o schemacie podatkowym transgranicznym w więcej niż jednym państwie członkowskim Unii Europejskiej na podstawie przepisów tego państwa implementujących wymogi wynikające z przepisu art. 8ab dyrektywy Rady 2011/16/UE z dnia 15 lutego 2011 r. w sprawie współpracy administracyjnej w dziedzinie opodatkowania, obowiązek ten podlega wykonaniu wyłącznie w tym państwie członkowskim, które widnieje wyżej na poniższej liście:</w:t>
      </w:r>
    </w:p>
    <w:p w:rsidR="00F64648" w:rsidRPr="00C93F78" w:rsidRDefault="00F64648" w:rsidP="00C93F78">
      <w:pPr>
        <w:pStyle w:val="ZTIRwPKTzmtirwpktartykuempunktem"/>
        <w:numPr>
          <w:ilvl w:val="1"/>
          <w:numId w:val="122"/>
        </w:numPr>
        <w:spacing w:before="120"/>
        <w:ind w:left="360"/>
        <w:rPr>
          <w:rFonts w:ascii="Times New Roman" w:hAnsi="Times New Roman"/>
          <w:szCs w:val="24"/>
        </w:rPr>
      </w:pPr>
      <w:r w:rsidRPr="00C93F78">
        <w:rPr>
          <w:rFonts w:ascii="Times New Roman" w:hAnsi="Times New Roman"/>
          <w:szCs w:val="24"/>
        </w:rPr>
        <w:t>państwo, w którym posiada miejsca zamieszkania, siedzibę lub zarząd,</w:t>
      </w:r>
    </w:p>
    <w:p w:rsidR="00F64648" w:rsidRPr="00C93F78" w:rsidRDefault="00F64648" w:rsidP="00C93F78">
      <w:pPr>
        <w:pStyle w:val="ZTIRwPKTzmtirwpktartykuempunktem"/>
        <w:numPr>
          <w:ilvl w:val="1"/>
          <w:numId w:val="122"/>
        </w:numPr>
        <w:spacing w:before="120"/>
        <w:ind w:left="360"/>
        <w:rPr>
          <w:rFonts w:ascii="Times New Roman" w:hAnsi="Times New Roman"/>
          <w:szCs w:val="24"/>
        </w:rPr>
      </w:pPr>
      <w:r w:rsidRPr="00C93F78">
        <w:rPr>
          <w:rFonts w:ascii="Times New Roman" w:hAnsi="Times New Roman"/>
          <w:szCs w:val="24"/>
        </w:rPr>
        <w:t>państwo, w którym za pośrednictwem zagranicznego zakładu świadczy usługi dotyczące schematu podatkowego,</w:t>
      </w:r>
    </w:p>
    <w:p w:rsidR="00F64648" w:rsidRPr="00C93F78" w:rsidRDefault="00F64648" w:rsidP="00C93F78">
      <w:pPr>
        <w:pStyle w:val="ZTIRwPKTzmtirwpktartykuempunktem"/>
        <w:numPr>
          <w:ilvl w:val="1"/>
          <w:numId w:val="122"/>
        </w:numPr>
        <w:spacing w:before="120"/>
        <w:ind w:left="360"/>
        <w:rPr>
          <w:rFonts w:ascii="Times New Roman" w:hAnsi="Times New Roman"/>
          <w:szCs w:val="24"/>
        </w:rPr>
      </w:pPr>
      <w:r w:rsidRPr="00C93F78">
        <w:rPr>
          <w:rFonts w:ascii="Times New Roman" w:hAnsi="Times New Roman"/>
          <w:szCs w:val="24"/>
        </w:rPr>
        <w:t>państwo, w którym jest zarejestrowany, lub którego przepisom prawa podlega,</w:t>
      </w:r>
    </w:p>
    <w:p w:rsidR="00F64648" w:rsidRPr="00C93F78" w:rsidRDefault="00F64648" w:rsidP="00C93F78">
      <w:pPr>
        <w:pStyle w:val="ZTIRwPKTzmtirwpktartykuempunktem"/>
        <w:numPr>
          <w:ilvl w:val="1"/>
          <w:numId w:val="122"/>
        </w:numPr>
        <w:spacing w:before="120"/>
        <w:ind w:left="360"/>
        <w:rPr>
          <w:rFonts w:ascii="Times New Roman" w:hAnsi="Times New Roman"/>
          <w:szCs w:val="24"/>
        </w:rPr>
      </w:pPr>
      <w:r w:rsidRPr="00C93F78">
        <w:rPr>
          <w:rFonts w:ascii="Times New Roman" w:hAnsi="Times New Roman"/>
          <w:szCs w:val="24"/>
        </w:rPr>
        <w:t>państwo, w którym  jest członkiem samorządu zawodowego lub innej organizacji pozarządowej posiadającej siedzibę lub zarząd na terytorium tego państwa reprezentującego osoby lub podmioty świadczące usługi prawne, doradztwa podatkowego  lub doradcze.</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W projektowanej ustawie w art. 86e Ordynacji podatkowej zawarto uregulowanie dotyczące sytuacji, w której wiele podmiotów zobowiązanych jest do przekazania informacji o schemacie podatkowym (np. schemat podatkowy został opracowany i jest wdrażany przez kilku promotorów jednocześnie lub występuje wielu korzystających). W takiej sytuacji wykonanie tego obowiązku przez jednego z nich zwalnia pozostałych, którzy zostali wskazani w informacji o schemacie podatkowym i pisemnie poinformowani o NSP tego schematu podatkowego, z załączeniem potwierdzenia nadania NSP (art. 86b § 3 Ordynacji podatkowej). Takie rozwiązanie ma na celu zagwarantowanie, że schemat podatkowy zostanie zaraportowany. Jednocześnie informacja zwrotna, jaką przekazywać będzie pozostałym zobowiązanym do</w:t>
      </w:r>
      <w:r w:rsidRPr="00C93F78">
        <w:rPr>
          <w:rFonts w:ascii="Times New Roman" w:hAnsi="Times New Roman" w:cs="Times New Roman"/>
          <w:szCs w:val="24"/>
        </w:rPr>
        <w:t> </w:t>
      </w:r>
      <w:r w:rsidRPr="00C93F78">
        <w:rPr>
          <w:rFonts w:ascii="Times New Roman" w:hAnsi="Times New Roman"/>
          <w:szCs w:val="24"/>
        </w:rPr>
        <w:t>zaraportowania schematu podatkowego podmiot, który przekazał dane Szefowi KAS (tj. pisemne poinformowanie ich o NSP danego schematu podatkowego), dostarczać będzie tym podmiotom wiedzy o wypełnieniu obowiązku sprawozdawczego w stosunku do danego schematu podatkowego. Uregulowanie takie powinno wpłynąć na zachowanie podmiotów zobowiązanych do raportowania schematów podatkowych, które powinny między sobą uzgadniać, który z podmiotów przekaże informacje o schemacie podatkowym Szefowi KAS.</w:t>
      </w:r>
    </w:p>
    <w:p w:rsidR="00B861DF" w:rsidRPr="00C93F78" w:rsidRDefault="00B861DF" w:rsidP="00C93F78">
      <w:pPr>
        <w:pStyle w:val="ZTIRwPKTzmtirwpktartykuempunktem"/>
        <w:spacing w:before="120"/>
        <w:ind w:left="0" w:firstLine="0"/>
        <w:rPr>
          <w:rFonts w:ascii="Times New Roman" w:hAnsi="Times New Roman"/>
          <w:szCs w:val="24"/>
        </w:rPr>
      </w:pPr>
      <w:r w:rsidRPr="00C93F78">
        <w:rPr>
          <w:rFonts w:ascii="Times New Roman" w:hAnsi="Times New Roman"/>
          <w:szCs w:val="24"/>
        </w:rPr>
        <w:t xml:space="preserve">Przepis art. 86e stanowi transpozycję regulacji </w:t>
      </w:r>
      <w:r w:rsidR="00B65FB9" w:rsidRPr="00C93F78">
        <w:rPr>
          <w:rFonts w:ascii="Times New Roman" w:hAnsi="Times New Roman"/>
          <w:szCs w:val="24"/>
        </w:rPr>
        <w:t xml:space="preserve">z art. 8ab </w:t>
      </w:r>
      <w:r w:rsidRPr="00C93F78">
        <w:rPr>
          <w:rFonts w:ascii="Times New Roman" w:hAnsi="Times New Roman"/>
          <w:szCs w:val="24"/>
        </w:rPr>
        <w:t xml:space="preserve">Dyrektywy 2018/822. W przypadku gdy schemat podatkowy transgraniczny został poprawnie przekazany właściwym organom w innym państwie członkowskim Unii Europejskiej na podstawie przepisów tego państwa implementującymi przepisy Dyrektywy 2018/822 pozostałe podmioty, które zostały wskazane </w:t>
      </w:r>
      <w:r w:rsidR="004E40DC" w:rsidRPr="00C93F78">
        <w:rPr>
          <w:rFonts w:ascii="Times New Roman" w:hAnsi="Times New Roman"/>
          <w:szCs w:val="24"/>
        </w:rPr>
        <w:t>informacji, przekazanej właściwym organom w innym państwie członkowskim</w:t>
      </w:r>
      <w:r w:rsidRPr="00C93F78">
        <w:rPr>
          <w:rFonts w:ascii="Times New Roman" w:hAnsi="Times New Roman"/>
          <w:szCs w:val="24"/>
        </w:rPr>
        <w:t xml:space="preserve"> są zwolnione z obowiązku przekazania Szefowi Krajowej Administracji Skarbowej informacji o tym schemacie podatkowym.</w:t>
      </w:r>
    </w:p>
    <w:p w:rsidR="00B861DF" w:rsidRPr="00C93F78" w:rsidRDefault="00B861DF" w:rsidP="00C93F78">
      <w:pPr>
        <w:pStyle w:val="ZTIRwPKTzmtirwpktartykuempunktem"/>
        <w:spacing w:before="120" w:after="240"/>
        <w:ind w:left="0" w:firstLine="0"/>
        <w:rPr>
          <w:rFonts w:ascii="Times New Roman" w:hAnsi="Times New Roman"/>
          <w:szCs w:val="24"/>
        </w:rPr>
      </w:pPr>
      <w:r w:rsidRPr="00C93F78">
        <w:rPr>
          <w:rFonts w:ascii="Times New Roman" w:hAnsi="Times New Roman"/>
          <w:szCs w:val="24"/>
        </w:rPr>
        <w:t xml:space="preserve">Warto jednocześnie podkreślić, iż </w:t>
      </w:r>
      <w:r w:rsidR="00B70E73" w:rsidRPr="00C93F78">
        <w:rPr>
          <w:rFonts w:ascii="Times New Roman" w:hAnsi="Times New Roman"/>
          <w:szCs w:val="24"/>
        </w:rPr>
        <w:t>Z</w:t>
      </w:r>
      <w:r w:rsidRPr="00C93F78">
        <w:rPr>
          <w:rFonts w:ascii="Times New Roman" w:hAnsi="Times New Roman"/>
          <w:szCs w:val="24"/>
        </w:rPr>
        <w:t xml:space="preserve"> obowiązku </w:t>
      </w:r>
      <w:r w:rsidR="00B70E73" w:rsidRPr="00C93F78">
        <w:rPr>
          <w:rFonts w:ascii="Times New Roman" w:hAnsi="Times New Roman"/>
          <w:szCs w:val="24"/>
        </w:rPr>
        <w:t>przekazania informacji o schemacie podatkowym</w:t>
      </w:r>
      <w:r w:rsidRPr="00C93F78">
        <w:rPr>
          <w:rFonts w:ascii="Times New Roman" w:hAnsi="Times New Roman"/>
          <w:szCs w:val="24"/>
        </w:rPr>
        <w:t xml:space="preserve"> trwające postępowanie w przedmiocie wydania decyzji w sprawie porozumienia w sprawach ustalenia cen transakcyjnych lub wydanie takiej decyzji (art. 86e §</w:t>
      </w:r>
      <w:r w:rsidR="00B70E73" w:rsidRPr="00C93F78">
        <w:rPr>
          <w:rFonts w:ascii="Times New Roman" w:hAnsi="Times New Roman"/>
          <w:szCs w:val="24"/>
        </w:rPr>
        <w:t>3</w:t>
      </w:r>
      <w:r w:rsidRPr="00C93F78">
        <w:rPr>
          <w:rFonts w:ascii="Times New Roman" w:hAnsi="Times New Roman"/>
          <w:szCs w:val="24"/>
        </w:rPr>
        <w:t>).</w:t>
      </w:r>
    </w:p>
    <w:p w:rsidR="00B861DF" w:rsidRPr="00C93F78" w:rsidRDefault="00B861DF" w:rsidP="00C93F78">
      <w:pPr>
        <w:pStyle w:val="Nagwek3"/>
        <w:spacing w:line="360" w:lineRule="auto"/>
        <w:ind w:left="720"/>
        <w:jc w:val="both"/>
        <w:rPr>
          <w:b w:val="0"/>
        </w:rPr>
      </w:pPr>
      <w:r w:rsidRPr="00C93F78">
        <w:rPr>
          <w:b w:val="0"/>
        </w:rPr>
        <w:t>Treść raportowanych informacji</w:t>
      </w:r>
      <w:r w:rsidRPr="00C93F78">
        <w:rPr>
          <w:rFonts w:cs="Times New Roman"/>
          <w:b w:val="0"/>
        </w:rPr>
        <w:t>.</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b/>
          <w:szCs w:val="24"/>
        </w:rPr>
        <w:t>Zakres przekazywanych informacji o schemacie podatkowym</w:t>
      </w:r>
      <w:r w:rsidRPr="00C93F78">
        <w:rPr>
          <w:rFonts w:ascii="Times New Roman" w:hAnsi="Times New Roman"/>
          <w:szCs w:val="24"/>
        </w:rPr>
        <w:t xml:space="preserve"> określono w projektowanym art. 86f Ordynacji podatkowej. Paragraf pierwszy tego przepisu określa wszystkie dane, które powinna zawierać przekazywana informacja o schemacie podatkowym. </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W paragrafie drugim tego artykułu wyodrębniono informacje, jakie są przekazywane w przypadku standaryzowanego schematu podatkowego.</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Informacja o schemacie podatkowym innym niż schemat podatkowy standaryzowany zawiera następujące dane:</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dane identyfikujące</w:t>
      </w:r>
      <w:r w:rsidR="00636494" w:rsidRPr="00C93F78">
        <w:rPr>
          <w:rFonts w:ascii="Times New Roman" w:hAnsi="Times New Roman"/>
          <w:szCs w:val="24"/>
        </w:rPr>
        <w:t xml:space="preserve"> </w:t>
      </w:r>
      <w:r w:rsidR="00636494" w:rsidRPr="00C93F78">
        <w:rPr>
          <w:szCs w:val="24"/>
        </w:rPr>
        <w:t>przekazującego informację oraz korzystającego, któremu udostępniony został schemat podatkowy</w:t>
      </w:r>
      <w:r w:rsidRPr="00C93F78">
        <w:rPr>
          <w:rFonts w:ascii="Times New Roman" w:hAnsi="Times New Roman"/>
          <w:szCs w:val="24"/>
        </w:rPr>
        <w:t>, w tym informacje dotyczące firmy lub imię i nazwisko, datę i miejsca urodzenia, identyfikator podatkowy NIP, miejsce zamieszkania, siedziby lub zarządu, a w przypadku osoby niemającej na terytorium Rzeczypospolitej Polskiej miejsca zamieszkania lub podmiotu niemającego na terytorium Rzeczypospolitej Polskiej siedziby lub zarządu – numer i serię paszportu lub innego dokumentu potwierdzającego tożsamość, lub inny numer identyfikacyjny, o ile nie posiada identyfikatora podatkowego oraz, w przypadkach</w:t>
      </w:r>
      <w:r w:rsidR="00A355EB" w:rsidRPr="00C93F78">
        <w:rPr>
          <w:rFonts w:ascii="Times New Roman" w:hAnsi="Times New Roman"/>
          <w:szCs w:val="24"/>
        </w:rPr>
        <w:t xml:space="preserve"> gdy uzgodnienie dotyczy</w:t>
      </w:r>
      <w:r w:rsidRPr="00C93F78">
        <w:rPr>
          <w:rFonts w:ascii="Times New Roman" w:hAnsi="Times New Roman"/>
          <w:szCs w:val="24"/>
        </w:rPr>
        <w:t xml:space="preserve"> osób będących podmiotami powiązanymi z promotorem lub korzystającym</w:t>
      </w:r>
      <w:r w:rsidR="00636494" w:rsidRPr="00C93F78">
        <w:rPr>
          <w:rFonts w:ascii="Times New Roman" w:hAnsi="Times New Roman"/>
          <w:szCs w:val="24"/>
        </w:rPr>
        <w:t>.</w:t>
      </w:r>
      <w:r w:rsidRPr="00C93F78">
        <w:rPr>
          <w:rFonts w:ascii="Times New Roman" w:hAnsi="Times New Roman"/>
          <w:szCs w:val="24"/>
        </w:rPr>
        <w:t>:</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podstawę prawną przekazywania informacji o schematach podatkowych wraz ze wskazaniem przesłanek skutkujących uznaniem danego uzgodnienia za schemat podatkowy, w tym wskazaniem cechy rozpoznawczej oraz roli przekazującego tę informację;</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wskazanie czy przekazywana informacja o schemacie podatkowym dotyczy schematu podatkowego standaryzowanego lub schematu podatkowego transgranicznego;</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streszczenie opisu uzgodnienia stanowiącego schemat podatkowy, nazwę uzgodnienia jeśli posiada, opis działalności gospodarczej do której ma zastosowanie schemat podatkowy bez ujawnienia danych objętych tajemnicą handlową, przemysłową, zawodową lub procesu produkcyjnego;</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wyczerpujący, według wiedzy przekazującego informację, opis uzgodnienia stanowiącego schemat podatkowy, wraz ze wskazaniem wartości przedmiotów tych czynności, założeń uzgodnienia, czynności dokonywanych w ramach uzgodnienia i ich chronologii oraz występujących powiązań pomiędzy podmiotami powiązanymi;</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wskazanie znanych przekazującemu informację celów, których realizacji schemat podatkowy ma służyć;</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przepisy prawa podatkowego znajdujące, według wiedzy przekazującego informację, zastosowanie w schemacie podatkowym;</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szacunkową wartość korzyści podatkowej lub przybliżoną wartość aktywa w podatku odroczonym, jeśli występują i są znane lub możliwe do oszacowania przekazującemu informację;</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wskazanie dokonanych czynności, które skutkowały przekazaniem informacji o schemacie podatkowym, wraz z datami ich dokonania;</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wskazanie etapu, na jakim zgodnie z wiedzą przekazującego informację znajduje się schemat podatkowy, w szczególności informacji o terminach jego udostępniania lub wdrażania lub o dacie czynności w ramach uzgodnienia;</w:t>
      </w:r>
    </w:p>
    <w:p w:rsidR="00B861DF"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wskazanie znanych przekazującemu informację danych identyfikujących, o których mowa w pkt 1 dla podmiotów uczestniczących, mających uczestniczyć w schemacie podatkowym lub których może dotyczyć schemat podatkowy oraz państw i terytoriów, w których podmioty te posiadają miejsce zamieszkania, siedzibę lub zarząd;</w:t>
      </w:r>
    </w:p>
    <w:p w:rsidR="00636494" w:rsidRPr="00C93F78" w:rsidRDefault="00B861DF"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wskazanie innych znanych podmiotów obowiązanych do przekazania informacji o schemacie podatkowym, jeśli występują</w:t>
      </w:r>
      <w:r w:rsidR="00636494" w:rsidRPr="00C93F78">
        <w:rPr>
          <w:rFonts w:ascii="Times New Roman" w:hAnsi="Times New Roman"/>
          <w:szCs w:val="24"/>
        </w:rPr>
        <w:t>;</w:t>
      </w:r>
    </w:p>
    <w:p w:rsidR="00B861DF" w:rsidRPr="00C93F78" w:rsidRDefault="00636494" w:rsidP="00C93F78">
      <w:pPr>
        <w:pStyle w:val="ZPKTzmpktartykuempunktem"/>
        <w:numPr>
          <w:ilvl w:val="0"/>
          <w:numId w:val="46"/>
        </w:numPr>
        <w:spacing w:before="120"/>
        <w:rPr>
          <w:rFonts w:ascii="Times New Roman" w:hAnsi="Times New Roman"/>
          <w:szCs w:val="24"/>
        </w:rPr>
      </w:pPr>
      <w:r w:rsidRPr="00C93F78">
        <w:rPr>
          <w:rFonts w:ascii="Times New Roman" w:hAnsi="Times New Roman"/>
          <w:szCs w:val="24"/>
        </w:rPr>
        <w:t>adres elektroniczny, na który ma zostać doręczone potwierdzenie nadania NSP, o którym mowa w art. 86g § 2; wskazanie adresu traktuje się na równi z wyrażeniem zgody na doręczanie potwierdzenia nadania NSP wyłącznie za pomocą środków komunikacji elektronicznej.</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W przypadku schematu podatkowego standaryzowanego informacja o schemacie podatkowym nie zawiera danych identyfikujących korzystającego</w:t>
      </w:r>
      <w:r w:rsidR="00636494" w:rsidRPr="00C93F78">
        <w:rPr>
          <w:rFonts w:ascii="Times New Roman" w:hAnsi="Times New Roman"/>
          <w:szCs w:val="24"/>
        </w:rPr>
        <w:t>, któremu udostępniony został schemat podatkowy</w:t>
      </w:r>
      <w:r w:rsidRPr="00C93F78">
        <w:rPr>
          <w:rFonts w:ascii="Times New Roman" w:hAnsi="Times New Roman"/>
          <w:szCs w:val="24"/>
        </w:rPr>
        <w:t xml:space="preserve"> oraz informacji znanych przekazującemu dotyczących danych identyfikujących podmioty uczestniczące, mające uczestniczyć w schemacie podatkowym lub których może dotyczyć schemat podatkowy oraz państw i terytoriów, w których podmioty te posiadają miejsce zamieszkania, siedzibę lub zarząd oraz danych dotyczących innych znanych podmiotów obowiązanych do przekazania informacji o schemacie podatkowym, jeśli występują. </w:t>
      </w:r>
    </w:p>
    <w:p w:rsidR="00B861DF" w:rsidRPr="00C93F78" w:rsidRDefault="00B861DF" w:rsidP="00C93F78">
      <w:pPr>
        <w:pStyle w:val="ZPKTzmpktartykuempunktem"/>
        <w:spacing w:before="120"/>
        <w:ind w:left="0" w:firstLine="0"/>
        <w:rPr>
          <w:rFonts w:ascii="Times New Roman" w:hAnsi="Times New Roman"/>
          <w:szCs w:val="24"/>
        </w:rPr>
      </w:pPr>
      <w:r w:rsidRPr="00C93F78">
        <w:rPr>
          <w:rFonts w:ascii="Times New Roman" w:hAnsi="Times New Roman"/>
          <w:szCs w:val="24"/>
        </w:rPr>
        <w:t>Jak już wskazywano, analiza praktyki wskazuje na funkcjonowanie w obrocie pewnych utartych, wielokrotnie implementowanych rozwiązań, mających na celu osiągnięcie korzyści podatkowych. Przemawia to z jednej strony za ograniczeniem możliwości nieprzekazywania informacji o tych schematach przez podmioty, które je wymyśliły (promotorów), z drugiej za ograniczeniem przypadków wielokrotnego przekazywania informacji o tym samym schemacie podatkowym. Cel ten realizowany jest poprzez ustawowe wyodrębnienie standaryzowanego schematu podatkowego. Zakres informacji przekazywanych do Szefa KAS zmierza do</w:t>
      </w:r>
      <w:r w:rsidRPr="00C93F78">
        <w:rPr>
          <w:rFonts w:ascii="Times New Roman" w:hAnsi="Times New Roman" w:cs="Times New Roman"/>
          <w:szCs w:val="24"/>
        </w:rPr>
        <w:t> </w:t>
      </w:r>
      <w:r w:rsidRPr="00C93F78">
        <w:rPr>
          <w:rFonts w:ascii="Times New Roman" w:hAnsi="Times New Roman"/>
          <w:szCs w:val="24"/>
        </w:rPr>
        <w:t>dostarczenia administracji skarbowej wiedzy o samym mechanizmie funkcjonowania tego schematu bez obowiązku przekazywania danych pozwalających na identyfikację korzystających. Schemat standaryzowany opracowywany jest w oderwaniu od relacji z</w:t>
      </w:r>
      <w:r w:rsidRPr="00C93F78">
        <w:rPr>
          <w:rFonts w:ascii="Times New Roman" w:hAnsi="Times New Roman" w:cs="Times New Roman"/>
          <w:szCs w:val="24"/>
        </w:rPr>
        <w:t> </w:t>
      </w:r>
      <w:r w:rsidRPr="00C93F78">
        <w:rPr>
          <w:rFonts w:ascii="Times New Roman" w:hAnsi="Times New Roman"/>
          <w:szCs w:val="24"/>
        </w:rPr>
        <w:t xml:space="preserve">konkretnym klientem oraz przed udostępnieniem przez niego jakichkolwiek informacji objętych tajemnicą zawodową, schemat ten jest opracowaniem teoretycznym oraz abstrakcyjnym, który może zostać implementowany u klienta w określonych stanach faktycznych.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Jeśli promotor lub wspomagający nie jest zobowiązany do zachowania prawnie chronionej tajemnicy zawodowej lub został zwolniony z obowiązku jej zachowania, </w:t>
      </w:r>
      <w:r w:rsidRPr="00C93F78">
        <w:rPr>
          <w:rFonts w:ascii="Times New Roman" w:hAnsi="Times New Roman" w:cs="Times New Roman"/>
          <w:bCs/>
          <w:sz w:val="24"/>
          <w:szCs w:val="24"/>
        </w:rPr>
        <w:t>łącznie</w:t>
      </w:r>
      <w:r w:rsidRPr="00C93F78">
        <w:rPr>
          <w:rFonts w:ascii="Times New Roman" w:hAnsi="Times New Roman" w:cs="Times New Roman"/>
          <w:sz w:val="24"/>
          <w:szCs w:val="24"/>
        </w:rPr>
        <w:t xml:space="preserve"> z informacją o schemacie podatkowym standaryzowanym, przekazuje dane identyfikujące korzystającego, który jest lub był pierwszym podmiotem, któremu udostępnił ten schemat podatkowy, oraz informacje, o których mowa w ww. pkt 11 i 12.</w:t>
      </w:r>
    </w:p>
    <w:p w:rsidR="00B861DF" w:rsidRPr="00C93F78" w:rsidRDefault="00B861DF" w:rsidP="00C93F78">
      <w:pPr>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 ustawy nakłada również obowiązek przekazywania w terminie </w:t>
      </w:r>
      <w:r w:rsidR="004F5B00" w:rsidRPr="00C93F78">
        <w:rPr>
          <w:rFonts w:ascii="Times New Roman" w:hAnsi="Times New Roman" w:cs="Times New Roman"/>
          <w:sz w:val="24"/>
          <w:szCs w:val="24"/>
        </w:rPr>
        <w:t xml:space="preserve">do </w:t>
      </w:r>
      <w:r w:rsidRPr="00C93F78">
        <w:rPr>
          <w:rFonts w:ascii="Times New Roman" w:hAnsi="Times New Roman" w:cs="Times New Roman"/>
          <w:sz w:val="24"/>
          <w:szCs w:val="24"/>
        </w:rPr>
        <w:t xml:space="preserve">30 dni po zakończeniu kwartału </w:t>
      </w:r>
      <w:r w:rsidR="004F5B00" w:rsidRPr="00C93F78">
        <w:rPr>
          <w:rFonts w:ascii="Times New Roman" w:hAnsi="Times New Roman" w:cs="Times New Roman"/>
          <w:sz w:val="24"/>
          <w:szCs w:val="24"/>
        </w:rPr>
        <w:t xml:space="preserve">promotor lub wspomagający przekazuje </w:t>
      </w:r>
      <w:r w:rsidRPr="00C93F78">
        <w:rPr>
          <w:rFonts w:ascii="Times New Roman" w:hAnsi="Times New Roman" w:cs="Times New Roman"/>
          <w:sz w:val="24"/>
          <w:szCs w:val="24"/>
        </w:rPr>
        <w:t xml:space="preserve">Szefowi Krajowej Administracji Skarbowej </w:t>
      </w:r>
      <w:r w:rsidR="004F5B00" w:rsidRPr="00C93F78">
        <w:rPr>
          <w:rFonts w:ascii="Times New Roman" w:hAnsi="Times New Roman" w:cs="Times New Roman"/>
          <w:sz w:val="24"/>
          <w:szCs w:val="24"/>
        </w:rPr>
        <w:t>informację, zawierającą dane identyfikujące</w:t>
      </w:r>
      <w:r w:rsidRPr="00C93F78">
        <w:rPr>
          <w:rFonts w:ascii="Times New Roman" w:hAnsi="Times New Roman" w:cs="Times New Roman"/>
          <w:sz w:val="24"/>
          <w:szCs w:val="24"/>
        </w:rPr>
        <w:t xml:space="preserve"> korzystającego, któremu w trakcie tego kwartału udostępni</w:t>
      </w:r>
      <w:r w:rsidR="004F5B00" w:rsidRPr="00C93F78">
        <w:rPr>
          <w:rFonts w:ascii="Times New Roman" w:hAnsi="Times New Roman" w:cs="Times New Roman"/>
          <w:sz w:val="24"/>
          <w:szCs w:val="24"/>
        </w:rPr>
        <w:t>ł</w:t>
      </w:r>
      <w:r w:rsidRPr="00C93F78">
        <w:rPr>
          <w:rFonts w:ascii="Times New Roman" w:hAnsi="Times New Roman" w:cs="Times New Roman"/>
          <w:sz w:val="24"/>
          <w:szCs w:val="24"/>
        </w:rPr>
        <w:t xml:space="preserve"> schemat podatkowy standaryzowany</w:t>
      </w:r>
      <w:r w:rsidR="000279FD" w:rsidRPr="00C93F78">
        <w:rPr>
          <w:rFonts w:ascii="Times New Roman" w:hAnsi="Times New Roman" w:cs="Times New Roman"/>
          <w:sz w:val="24"/>
          <w:szCs w:val="24"/>
        </w:rPr>
        <w:t>, wskazując numer tego schematu</w:t>
      </w:r>
      <w:r w:rsidRPr="00C93F78">
        <w:rPr>
          <w:rFonts w:ascii="Times New Roman" w:hAnsi="Times New Roman" w:cs="Times New Roman"/>
          <w:sz w:val="24"/>
          <w:szCs w:val="24"/>
        </w:rPr>
        <w:t xml:space="preserve">. </w:t>
      </w:r>
      <w:r w:rsidR="004F5B00" w:rsidRPr="00C93F78">
        <w:rPr>
          <w:rFonts w:ascii="Times New Roman" w:hAnsi="Times New Roman" w:cs="Times New Roman"/>
          <w:sz w:val="24"/>
          <w:szCs w:val="24"/>
        </w:rPr>
        <w:t>W sytuacji, w której przekazanie danych, o których mowa w zdaniu pierwszym, naruszałoby obowiązek zachowania prawnie chronionej tajemnicy zawodowej, obowiązek ich przekazania nie obejmuje danych korzystającego, który nie zwolnił promotora lub wspomagającego z</w:t>
      </w:r>
      <w:r w:rsidRPr="00C93F78">
        <w:rPr>
          <w:rFonts w:ascii="Times New Roman" w:hAnsi="Times New Roman" w:cs="Times New Roman"/>
          <w:sz w:val="24"/>
          <w:szCs w:val="24"/>
        </w:rPr>
        <w:t xml:space="preserve"> obowiązku </w:t>
      </w:r>
      <w:r w:rsidR="004F5B00" w:rsidRPr="00C93F78">
        <w:rPr>
          <w:rFonts w:ascii="Times New Roman" w:hAnsi="Times New Roman" w:cs="Times New Roman"/>
          <w:sz w:val="24"/>
          <w:szCs w:val="24"/>
        </w:rPr>
        <w:t>zachowania tajemnicy w tym zakresie.</w:t>
      </w:r>
      <w:r w:rsidRPr="00C93F78">
        <w:rPr>
          <w:rFonts w:ascii="Times New Roman" w:hAnsi="Times New Roman" w:cs="Times New Roman"/>
          <w:sz w:val="24"/>
          <w:szCs w:val="24"/>
        </w:rPr>
        <w:t xml:space="preserve"> </w:t>
      </w:r>
    </w:p>
    <w:p w:rsidR="00B861DF" w:rsidRPr="00C93F78" w:rsidRDefault="00B861DF" w:rsidP="00C93F78">
      <w:pPr>
        <w:pStyle w:val="Nagwek3"/>
        <w:spacing w:line="360" w:lineRule="auto"/>
        <w:ind w:left="720"/>
        <w:jc w:val="both"/>
        <w:rPr>
          <w:b w:val="0"/>
        </w:rPr>
      </w:pPr>
      <w:r w:rsidRPr="00C93F78">
        <w:rPr>
          <w:b w:val="0"/>
        </w:rPr>
        <w:t>Sposób raportowania. Nadawanie NSP. Decyzje o odmowie nadania NSP</w:t>
      </w:r>
    </w:p>
    <w:p w:rsidR="00B861DF" w:rsidRPr="00C93F78" w:rsidRDefault="00741499" w:rsidP="00C93F78">
      <w:pPr>
        <w:pStyle w:val="ZPKTzmpktartykuempunktem"/>
        <w:spacing w:before="120"/>
        <w:ind w:left="0" w:firstLine="0"/>
        <w:rPr>
          <w:rFonts w:ascii="Times New Roman" w:hAnsi="Times New Roman"/>
          <w:szCs w:val="24"/>
        </w:rPr>
      </w:pPr>
      <w:r w:rsidRPr="00C93F78">
        <w:rPr>
          <w:szCs w:val="24"/>
        </w:rPr>
        <w:t xml:space="preserve"> Informacja o schemacie podatkowym przekazywana jest drogą elektroniczną do Szefa Krajowej Administracji Skarbowej</w:t>
      </w:r>
      <w:r w:rsidR="00B861DF" w:rsidRPr="00C93F78">
        <w:rPr>
          <w:rFonts w:ascii="Times New Roman" w:hAnsi="Times New Roman"/>
          <w:szCs w:val="24"/>
        </w:rPr>
        <w:t xml:space="preserve"> (art.86g § 1 Ordynacji podatkowej). </w:t>
      </w:r>
    </w:p>
    <w:p w:rsidR="00741499" w:rsidRPr="00C93F78" w:rsidRDefault="00741499" w:rsidP="00C93F78">
      <w:pPr>
        <w:pStyle w:val="ZARTzmartartykuempunktem"/>
        <w:spacing w:before="120"/>
        <w:ind w:left="0" w:firstLine="0"/>
        <w:rPr>
          <w:rFonts w:ascii="Times New Roman" w:hAnsi="Times New Roman"/>
          <w:szCs w:val="24"/>
        </w:rPr>
      </w:pPr>
      <w:r w:rsidRPr="00C93F78">
        <w:rPr>
          <w:rFonts w:ascii="Times New Roman" w:hAnsi="Times New Roman"/>
          <w:szCs w:val="24"/>
        </w:rPr>
        <w:t>Szef Krajowej Administracji Skarbowej nadaje NSP i potwierdza jego nadanie, które zawiera NSP oraz dane zawarte w informacji o schemacie podatkowym przekazanej do Szefa Krajowej Administracji Skarbowej. Potwierdzenie nadania NSP jest wydawane niezwłocznie, nie później niż w terminie 7 dni od dnia wpływu poprawnej informacji o schemacie podatkowym do Szefa Krajowej Administracji Skarbowej</w:t>
      </w:r>
      <w:r w:rsidR="00B65FB9" w:rsidRPr="00C93F78">
        <w:rPr>
          <w:rFonts w:ascii="Times New Roman" w:hAnsi="Times New Roman"/>
          <w:szCs w:val="24"/>
        </w:rPr>
        <w:t xml:space="preserve"> (art. 86g </w:t>
      </w:r>
      <w:r w:rsidR="00B65FB9" w:rsidRPr="00C93F78">
        <w:rPr>
          <w:rFonts w:ascii="Times New Roman" w:hAnsi="Times New Roman" w:cs="Times New Roman"/>
          <w:szCs w:val="24"/>
        </w:rPr>
        <w:t>§</w:t>
      </w:r>
      <w:r w:rsidR="00B65FB9" w:rsidRPr="00C93F78">
        <w:rPr>
          <w:rFonts w:ascii="Times New Roman" w:hAnsi="Times New Roman"/>
          <w:szCs w:val="24"/>
        </w:rPr>
        <w:t xml:space="preserve"> 2 i 3). </w:t>
      </w:r>
    </w:p>
    <w:p w:rsidR="00B65FB9"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 xml:space="preserve">Szef KAS </w:t>
      </w:r>
      <w:r w:rsidR="00B65FB9" w:rsidRPr="00C93F78">
        <w:rPr>
          <w:rFonts w:ascii="Times New Roman" w:hAnsi="Times New Roman"/>
          <w:szCs w:val="24"/>
        </w:rPr>
        <w:t xml:space="preserve">doręcza potwierdzenie nadania NSP drogą elektroniczną na adres wskazany przez przekazującego w informacji o schemacie podatkowym (art. 86g </w:t>
      </w:r>
      <w:r w:rsidR="00B65FB9" w:rsidRPr="00C93F78">
        <w:rPr>
          <w:rFonts w:ascii="Times New Roman" w:hAnsi="Times New Roman" w:cs="Times New Roman"/>
          <w:szCs w:val="24"/>
        </w:rPr>
        <w:t>§</w:t>
      </w:r>
      <w:r w:rsidR="00B65FB9" w:rsidRPr="00C93F78">
        <w:rPr>
          <w:rFonts w:ascii="Times New Roman" w:hAnsi="Times New Roman"/>
          <w:szCs w:val="24"/>
        </w:rPr>
        <w:t xml:space="preserve">4). </w:t>
      </w:r>
    </w:p>
    <w:p w:rsidR="00B861DF"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Szef KAS będzie mógł zwrócić się do przekazującego informację</w:t>
      </w:r>
      <w:r w:rsidR="00456813" w:rsidRPr="00C93F78">
        <w:rPr>
          <w:rFonts w:ascii="Times New Roman" w:hAnsi="Times New Roman"/>
          <w:szCs w:val="24"/>
        </w:rPr>
        <w:t>,</w:t>
      </w:r>
      <w:r w:rsidRPr="00C93F78">
        <w:rPr>
          <w:rFonts w:ascii="Times New Roman" w:hAnsi="Times New Roman"/>
          <w:szCs w:val="24"/>
        </w:rPr>
        <w:t xml:space="preserve"> o </w:t>
      </w:r>
      <w:r w:rsidR="00456813" w:rsidRPr="00C93F78">
        <w:rPr>
          <w:rFonts w:ascii="Times New Roman" w:hAnsi="Times New Roman"/>
          <w:szCs w:val="24"/>
        </w:rPr>
        <w:t>których mowa w dodawanym rozdziale</w:t>
      </w:r>
      <w:r w:rsidRPr="00C93F78">
        <w:rPr>
          <w:rFonts w:ascii="Times New Roman" w:hAnsi="Times New Roman"/>
          <w:szCs w:val="24"/>
        </w:rPr>
        <w:t xml:space="preserve"> o uzupełnienie informacji lub wyjaśnienie wątpliwości co do ich treści (art. 86h § 1 Ordynacji podatkowej).</w:t>
      </w:r>
    </w:p>
    <w:p w:rsidR="00B861DF"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Zakłada się, że Szef Krajowej Administracji Skarbowej wydaje postanowienie o odmowie nadania NSP w przypadku stwierdzenia, że przekazana informacja o schemacie podatkowym nie spełnia wymogów określonych dla tej informacji (art. 86i § 1 Ordynacji podatkowej).</w:t>
      </w:r>
    </w:p>
    <w:p w:rsidR="00B861DF" w:rsidRPr="00C93F78" w:rsidRDefault="00B861DF" w:rsidP="00C93F78">
      <w:pPr>
        <w:pStyle w:val="ZARTzmartartykuempunktem"/>
        <w:spacing w:before="120"/>
        <w:ind w:left="57" w:firstLine="0"/>
        <w:rPr>
          <w:rFonts w:ascii="Times New Roman" w:hAnsi="Times New Roman"/>
          <w:szCs w:val="24"/>
        </w:rPr>
      </w:pPr>
      <w:r w:rsidRPr="00C93F78">
        <w:rPr>
          <w:rFonts w:ascii="Times New Roman" w:hAnsi="Times New Roman"/>
          <w:szCs w:val="24"/>
        </w:rPr>
        <w:t>W przypadku gdy temu samemu schematowi podatkowemu wielokrotnie nadano numer NSP lub numer ten został nadany na podstawie fałszywych lub fikcyjnych danych, projekt w art. 86i § 2 Ordynacji podatkowej nakłada na Szefa KAS obowiązek unieważnienia z urzędu numeru NSP nadanego schematowi podatkowemu. Unieważnienie następuje w drodze postanowienia, w oparciu o przepisy Ordynacji podatkowej. W sytuacji unieważnienia przez Szefa KAS NSP z powodu nadania wielokrotnie tego numeru takiemu samemu schematowi, w postanowieniu Szef KAS wskazywać będzie właściwy NSP dla danego schematu podatkowego.</w:t>
      </w:r>
    </w:p>
    <w:p w:rsidR="00B861DF" w:rsidRPr="00C93F78" w:rsidRDefault="00B861DF" w:rsidP="00C93F78">
      <w:pPr>
        <w:pStyle w:val="ZARTzmartartykuempunktem"/>
        <w:spacing w:before="120"/>
        <w:ind w:left="57" w:firstLine="0"/>
        <w:rPr>
          <w:rFonts w:ascii="Times New Roman" w:hAnsi="Times New Roman"/>
          <w:szCs w:val="24"/>
        </w:rPr>
      </w:pPr>
      <w:r w:rsidRPr="00C93F78">
        <w:rPr>
          <w:rFonts w:ascii="Times New Roman" w:hAnsi="Times New Roman"/>
          <w:szCs w:val="24"/>
        </w:rPr>
        <w:t>Nie będzie można posługiwać się unieważnionym numerem NSP, a także unieważniony NSP nie będzie mógł zostać ponownie nadany (art. 86i § 4 Ordynacji podatkowej). Proponowane rozwiązanie zapobiegnie przypadkom dublowania się numerów NSP lub nadawania różnych numerów temu samemu schematowi podatkowemu.</w:t>
      </w:r>
    </w:p>
    <w:p w:rsidR="00B861DF" w:rsidRPr="00C93F78" w:rsidRDefault="00B861DF" w:rsidP="00C93F78">
      <w:pPr>
        <w:pStyle w:val="ZARTzmartartykuempunktem"/>
        <w:spacing w:before="120"/>
        <w:ind w:left="57" w:firstLine="0"/>
        <w:rPr>
          <w:rFonts w:ascii="Times New Roman" w:hAnsi="Times New Roman"/>
          <w:szCs w:val="24"/>
        </w:rPr>
      </w:pPr>
      <w:r w:rsidRPr="00C93F78">
        <w:rPr>
          <w:rFonts w:ascii="Times New Roman" w:hAnsi="Times New Roman"/>
          <w:szCs w:val="24"/>
        </w:rPr>
        <w:t xml:space="preserve">Na postanowienie o odmowie nadania NSP oraz postanowienie o unieważnieniu NSP służy zażalenie. </w:t>
      </w:r>
    </w:p>
    <w:p w:rsidR="00B861DF"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Co ważne, w zakresie nieuregulowanym w odniesieniu do nadawania NSP,</w:t>
      </w:r>
      <w:r w:rsidR="008456E4" w:rsidRPr="00C93F78">
        <w:rPr>
          <w:rFonts w:ascii="Times New Roman" w:hAnsi="Times New Roman"/>
          <w:szCs w:val="24"/>
        </w:rPr>
        <w:t xml:space="preserve"> ale też zwracania się przez Szefa KAS o dodatkowe wyjaśnienia, czy też wydawania postanowień o odmowie nadania</w:t>
      </w:r>
      <w:r w:rsidR="00613730" w:rsidRPr="00C93F78">
        <w:rPr>
          <w:rFonts w:ascii="Times New Roman" w:hAnsi="Times New Roman"/>
          <w:szCs w:val="24"/>
        </w:rPr>
        <w:t xml:space="preserve"> NSP</w:t>
      </w:r>
      <w:r w:rsidRPr="00C93F78">
        <w:rPr>
          <w:rFonts w:ascii="Times New Roman" w:hAnsi="Times New Roman"/>
          <w:szCs w:val="24"/>
        </w:rPr>
        <w:t xml:space="preserve"> zastosowanie znajdzie odpowiednio przepis art. 120, art. 125, art. 126, art. 129, art. 130, art. 135, art. 140, art. 141,</w:t>
      </w:r>
      <w:r w:rsidR="00840A3E" w:rsidRPr="00C93F78">
        <w:rPr>
          <w:rFonts w:ascii="Times New Roman" w:hAnsi="Times New Roman"/>
          <w:szCs w:val="24"/>
        </w:rPr>
        <w:t xml:space="preserve"> </w:t>
      </w:r>
      <w:r w:rsidRPr="00C93F78">
        <w:rPr>
          <w:rFonts w:ascii="Times New Roman" w:hAnsi="Times New Roman"/>
          <w:szCs w:val="24"/>
        </w:rPr>
        <w:t>art. 165 § 3 i 3b, art. 165a, art. 168,</w:t>
      </w:r>
      <w:r w:rsidR="00840A3E" w:rsidRPr="00C93F78">
        <w:rPr>
          <w:rFonts w:ascii="Times New Roman" w:hAnsi="Times New Roman"/>
          <w:szCs w:val="24"/>
        </w:rPr>
        <w:t xml:space="preserve"> </w:t>
      </w:r>
      <w:r w:rsidRPr="00C93F78">
        <w:rPr>
          <w:rFonts w:ascii="Times New Roman" w:hAnsi="Times New Roman"/>
          <w:szCs w:val="24"/>
        </w:rPr>
        <w:t xml:space="preserve">art. 170, art. 171, art. 189 § 3 oraz przepisy działu IV rozdziałów 3a, 5, 6, 7, 14, 16 i 23 </w:t>
      </w:r>
      <w:r w:rsidR="00B65FB9" w:rsidRPr="00C93F78">
        <w:rPr>
          <w:szCs w:val="24"/>
        </w:rPr>
        <w:t>oraz działu VIIIA</w:t>
      </w:r>
      <w:r w:rsidR="00B65FB9" w:rsidRPr="00C93F78">
        <w:rPr>
          <w:rFonts w:ascii="Times New Roman" w:hAnsi="Times New Roman"/>
          <w:szCs w:val="24"/>
        </w:rPr>
        <w:t xml:space="preserve"> </w:t>
      </w:r>
      <w:r w:rsidR="00613730" w:rsidRPr="00C93F78">
        <w:rPr>
          <w:rFonts w:ascii="Times New Roman" w:hAnsi="Times New Roman"/>
          <w:szCs w:val="24"/>
        </w:rPr>
        <w:t>(art. 86o Ordynacji podatkowej)</w:t>
      </w:r>
      <w:r w:rsidRPr="00C93F78">
        <w:rPr>
          <w:rFonts w:ascii="Times New Roman" w:hAnsi="Times New Roman"/>
          <w:szCs w:val="24"/>
        </w:rPr>
        <w:t xml:space="preserve">. </w:t>
      </w:r>
      <w:r w:rsidR="00613730" w:rsidRPr="00C93F78">
        <w:rPr>
          <w:rFonts w:ascii="Times New Roman" w:hAnsi="Times New Roman"/>
          <w:szCs w:val="24"/>
        </w:rPr>
        <w:t xml:space="preserve">Ograniczenie w postaci stosowania tylko niektórych </w:t>
      </w:r>
      <w:r w:rsidR="00D833B5" w:rsidRPr="00C93F78">
        <w:rPr>
          <w:rFonts w:ascii="Times New Roman" w:hAnsi="Times New Roman"/>
          <w:szCs w:val="24"/>
        </w:rPr>
        <w:t>przepisów ustawy Ordynacji podatkowej</w:t>
      </w:r>
      <w:r w:rsidR="00613730" w:rsidRPr="00C93F78">
        <w:rPr>
          <w:rFonts w:ascii="Times New Roman" w:hAnsi="Times New Roman"/>
          <w:szCs w:val="24"/>
        </w:rPr>
        <w:t xml:space="preserve">, wynika z faktu, iż regulacje dotyczące systemu MDR są </w:t>
      </w:r>
      <w:r w:rsidR="00D833B5" w:rsidRPr="00C93F78">
        <w:rPr>
          <w:rFonts w:ascii="Times New Roman" w:hAnsi="Times New Roman"/>
          <w:szCs w:val="24"/>
        </w:rPr>
        <w:t>szczególnymi</w:t>
      </w:r>
      <w:r w:rsidR="00613730" w:rsidRPr="00C93F78">
        <w:rPr>
          <w:rFonts w:ascii="Times New Roman" w:hAnsi="Times New Roman"/>
          <w:szCs w:val="24"/>
        </w:rPr>
        <w:t xml:space="preserve"> rozwiązaniami</w:t>
      </w:r>
      <w:r w:rsidR="0035423B" w:rsidRPr="00C93F78">
        <w:rPr>
          <w:rFonts w:ascii="Times New Roman" w:hAnsi="Times New Roman"/>
          <w:szCs w:val="24"/>
        </w:rPr>
        <w:t xml:space="preserve"> ()</w:t>
      </w:r>
      <w:r w:rsidR="00613730" w:rsidRPr="00C93F78">
        <w:rPr>
          <w:rFonts w:ascii="Times New Roman" w:hAnsi="Times New Roman"/>
          <w:szCs w:val="24"/>
        </w:rPr>
        <w:t>, w odniesieniu do których, regulacje, które mają</w:t>
      </w:r>
      <w:r w:rsidR="00D833B5" w:rsidRPr="00C93F78">
        <w:rPr>
          <w:rFonts w:ascii="Times New Roman" w:hAnsi="Times New Roman"/>
          <w:szCs w:val="24"/>
        </w:rPr>
        <w:t xml:space="preserve"> zastosowania do „normalnego” postępowania podatkowego, siłą rzeczy nigdy nie znajdą zastosowania do systemu MDR.</w:t>
      </w:r>
      <w:r w:rsidR="00214B8A" w:rsidRPr="00C93F78">
        <w:rPr>
          <w:rFonts w:ascii="Times New Roman" w:hAnsi="Times New Roman"/>
          <w:szCs w:val="24"/>
        </w:rPr>
        <w:t xml:space="preserve"> </w:t>
      </w:r>
    </w:p>
    <w:p w:rsidR="00B861DF" w:rsidRPr="00C93F78" w:rsidRDefault="00B861DF" w:rsidP="00C93F78">
      <w:pPr>
        <w:pStyle w:val="ZARTzmartartykuempunktem"/>
        <w:spacing w:before="120"/>
        <w:ind w:left="0" w:firstLine="0"/>
        <w:rPr>
          <w:rFonts w:ascii="Times New Roman" w:hAnsi="Times New Roman"/>
          <w:i/>
          <w:szCs w:val="24"/>
        </w:rPr>
      </w:pPr>
      <w:r w:rsidRPr="00C93F78">
        <w:rPr>
          <w:rFonts w:ascii="Times New Roman" w:hAnsi="Times New Roman"/>
          <w:i/>
          <w:szCs w:val="24"/>
        </w:rPr>
        <w:t>Obowiązki informacyjne promotora i korzystającego.</w:t>
      </w:r>
    </w:p>
    <w:p w:rsidR="00B861DF" w:rsidRPr="00C93F78" w:rsidRDefault="00B861DF" w:rsidP="00C93F78">
      <w:pPr>
        <w:pStyle w:val="ZUSTzmustartykuempunktem"/>
        <w:spacing w:before="120"/>
        <w:ind w:left="0" w:firstLine="0"/>
        <w:rPr>
          <w:rFonts w:ascii="Times New Roman" w:hAnsi="Times New Roman"/>
          <w:szCs w:val="24"/>
        </w:rPr>
      </w:pPr>
      <w:r w:rsidRPr="00C93F78">
        <w:rPr>
          <w:rFonts w:ascii="Times New Roman" w:hAnsi="Times New Roman"/>
          <w:szCs w:val="24"/>
        </w:rPr>
        <w:t xml:space="preserve">Przepis art. 86j § 1 Ordynacji podatkowej </w:t>
      </w:r>
      <w:r w:rsidRPr="00C93F78">
        <w:rPr>
          <w:rFonts w:ascii="Times New Roman" w:hAnsi="Times New Roman"/>
          <w:b/>
          <w:szCs w:val="24"/>
        </w:rPr>
        <w:t>nakłada na korzystającego obowiązek</w:t>
      </w:r>
      <w:r w:rsidRPr="00C93F78">
        <w:rPr>
          <w:rFonts w:ascii="Times New Roman" w:hAnsi="Times New Roman"/>
          <w:szCs w:val="24"/>
        </w:rPr>
        <w:t>, w terminie złożenia deklaracji podatkowej dotyczącej tego okresu rozliczeniowego przekazania informacji za pomocą środków komunikacji elektronicznej zgodnie z przepisami Ordynacji podatkowej do Szefa Krajowej Administracji Skarbowej o zastosowaniu schematu podatkowego. Informacja będzie składana według ustalonego wzoru i będzie zawierało następujące dane:</w:t>
      </w:r>
    </w:p>
    <w:p w:rsidR="00B861DF" w:rsidRPr="00C93F78" w:rsidRDefault="00B861DF" w:rsidP="00C93F78">
      <w:pPr>
        <w:pStyle w:val="ZUSTzmustartykuempunktem"/>
        <w:numPr>
          <w:ilvl w:val="1"/>
          <w:numId w:val="34"/>
        </w:numPr>
        <w:spacing w:before="120"/>
        <w:rPr>
          <w:rFonts w:ascii="Times New Roman" w:hAnsi="Times New Roman"/>
          <w:szCs w:val="24"/>
        </w:rPr>
      </w:pPr>
      <w:r w:rsidRPr="00C93F78">
        <w:rPr>
          <w:rFonts w:ascii="Times New Roman" w:hAnsi="Times New Roman"/>
          <w:szCs w:val="24"/>
        </w:rPr>
        <w:t>NSP zastosowanego schematu podatkowego,</w:t>
      </w:r>
    </w:p>
    <w:p w:rsidR="00B861DF" w:rsidRPr="00C93F78" w:rsidRDefault="00B861DF" w:rsidP="00C93F78">
      <w:pPr>
        <w:pStyle w:val="ZUSTzmustartykuempunktem"/>
        <w:numPr>
          <w:ilvl w:val="1"/>
          <w:numId w:val="34"/>
        </w:numPr>
        <w:spacing w:before="120"/>
        <w:rPr>
          <w:rFonts w:ascii="Times New Roman" w:hAnsi="Times New Roman"/>
          <w:szCs w:val="24"/>
        </w:rPr>
      </w:pPr>
      <w:r w:rsidRPr="00C93F78">
        <w:rPr>
          <w:rFonts w:ascii="Times New Roman" w:hAnsi="Times New Roman"/>
          <w:szCs w:val="24"/>
        </w:rPr>
        <w:t>wysokość korzyści podatkowej wynikającej ze schematu podatkowego – jeżeli korzystający uzyskiwał w danym okresie rozliczeniowym taką korzyść.</w:t>
      </w:r>
    </w:p>
    <w:p w:rsidR="00B861DF" w:rsidRPr="00C93F78" w:rsidRDefault="00B861DF" w:rsidP="00C93F78">
      <w:pPr>
        <w:pStyle w:val="ZUSTzmustartykuempunktem"/>
        <w:spacing w:before="120"/>
        <w:ind w:left="0" w:firstLine="0"/>
        <w:rPr>
          <w:rFonts w:ascii="Times New Roman" w:hAnsi="Times New Roman"/>
          <w:szCs w:val="24"/>
        </w:rPr>
      </w:pPr>
      <w:r w:rsidRPr="00C93F78">
        <w:rPr>
          <w:rFonts w:ascii="Times New Roman" w:hAnsi="Times New Roman"/>
          <w:szCs w:val="24"/>
        </w:rPr>
        <w:t>Dodatkowo, jeśli zastosowany schemat podatkowy nie posiada NSP, informacja ta zawiera dane wskazane w art. 86f Ordynacji podatkowej, które są wymagane przy składaniu informacji o schemacie podatkowym.</w:t>
      </w:r>
    </w:p>
    <w:p w:rsidR="00B861DF"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 xml:space="preserve">Zakłada się, że w przypadku gdy korzystający posiada informacje dotyczące schematu podatkowego, które odbiegają od informacji zawartych w otrzymanym przez niego potwierdzeniu nadania NSP lub je uzupełniają, informacje składane łącznie ze złożeniem deklaracji podatkowych, zawierać będzie te informacje (art. 86j § 3). </w:t>
      </w:r>
    </w:p>
    <w:p w:rsidR="00B861DF" w:rsidRPr="00C93F78" w:rsidRDefault="00200DF1" w:rsidP="00C93F78">
      <w:pPr>
        <w:pStyle w:val="ZARTzmartartykuempunktem"/>
        <w:spacing w:before="120"/>
        <w:ind w:left="0" w:firstLine="0"/>
        <w:rPr>
          <w:rFonts w:ascii="Times New Roman" w:hAnsi="Times New Roman"/>
          <w:szCs w:val="24"/>
        </w:rPr>
      </w:pPr>
      <w:r w:rsidRPr="00C93F78">
        <w:rPr>
          <w:rFonts w:ascii="Times New Roman" w:hAnsi="Times New Roman"/>
          <w:szCs w:val="24"/>
        </w:rPr>
        <w:t>Przekazywana informacja, o której mowa w § 1, w tym zawierająca dane wskazane w § 2 lub 3, podpisywana jest</w:t>
      </w:r>
      <w:r w:rsidR="00B861DF" w:rsidRPr="00C93F78">
        <w:rPr>
          <w:rFonts w:ascii="Times New Roman" w:hAnsi="Times New Roman"/>
          <w:szCs w:val="24"/>
        </w:rPr>
        <w:t xml:space="preserve"> przez podatnika będącego osobą fizyczną. W przypadku podatników będących osobami prawnymi, informacja</w:t>
      </w:r>
      <w:r w:rsidRPr="00C93F78">
        <w:rPr>
          <w:rFonts w:ascii="Times New Roman" w:hAnsi="Times New Roman"/>
          <w:szCs w:val="24"/>
        </w:rPr>
        <w:t>, o której mowa w § 1, podpisywana jest</w:t>
      </w:r>
      <w:r w:rsidR="00B861DF" w:rsidRPr="00C93F78">
        <w:rPr>
          <w:rFonts w:ascii="Times New Roman" w:hAnsi="Times New Roman"/>
          <w:szCs w:val="24"/>
        </w:rPr>
        <w:t xml:space="preserve"> przez wszystkich członków organu zarządzającego podatnika. Dowód złożenia podpisów przez te osoby przekazywany jest za pomocą środków komunikacji elektronicznej zgodnie z przepisami Ordynacji podatkowej do Szefa Krajowej Administracji Skarbowej przez jedną z osób, które podpisały te dokumenty</w:t>
      </w:r>
      <w:r w:rsidR="00840A3E" w:rsidRPr="00C93F78">
        <w:rPr>
          <w:rFonts w:ascii="Times New Roman" w:hAnsi="Times New Roman"/>
          <w:szCs w:val="24"/>
        </w:rPr>
        <w:t xml:space="preserve"> </w:t>
      </w:r>
      <w:r w:rsidR="00B861DF" w:rsidRPr="00C93F78">
        <w:rPr>
          <w:rFonts w:ascii="Times New Roman" w:hAnsi="Times New Roman"/>
          <w:szCs w:val="24"/>
        </w:rPr>
        <w:t>(art.86j § 4 Ordynacji podatkowej). W przypadku podatników będących jednostkami organizacyjnymi niemającymi osobowości prawnej, w terminie złożenia deklaracji podatkowej dotyczącej okresów rozliczeniowych, których dotyczy ten schemat, podatnicy składają</w:t>
      </w:r>
      <w:r w:rsidR="00840A3E" w:rsidRPr="00C93F78">
        <w:rPr>
          <w:rFonts w:ascii="Times New Roman" w:hAnsi="Times New Roman"/>
          <w:szCs w:val="24"/>
        </w:rPr>
        <w:t xml:space="preserve"> </w:t>
      </w:r>
      <w:r w:rsidR="00B861DF" w:rsidRPr="00C93F78">
        <w:rPr>
          <w:rFonts w:ascii="Times New Roman" w:hAnsi="Times New Roman"/>
          <w:szCs w:val="24"/>
        </w:rPr>
        <w:t>oświadczenie według ustalonego wzoru, w którym wszyscy uprawnieni do reprezentacji, a w przypadku spółek niebędących osobami prawnymi także wspólnicy posiadający co najmniej 10% udziału w zyskach spółki niebędącej osobą prawną, poświadczą prawdziwość danych zawartych w informacji. . Rozwiązanie to – zaangażowanie w proces raportowania schematu podatkowego możliwie szerokiego kręgu osób odpowiadających za sprawy spółki – ma na celu wykluczenie sytuacji, w której odpowiedzialność ta cedowana byłaby w praktyce na wybrane osoby. Rozwiązanie takie prowadzić może do większej wstrzemięźliwości osób odpowiedzialnych za sprawy podatkowe spółki we wdrażaniu schematów podatkowych, z uwagi na konieczność uzyskania stosownych podpisów od szerszego grona osób odpowiedzialnych za sprawy spółki.</w:t>
      </w:r>
    </w:p>
    <w:p w:rsidR="00B861DF"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W projektowanym art. 86j § 6 Ordynacji podatkowej zawarto szczególne rozwiązanie dla PGK. Mianowicie, w przypadku korzystającego wchodzącego w skład PGK terminem na złożenie informacji uregulowanej w § 1 tego przepisu jest termin złożenia przez spółkę dominującą deklaracji podatkowej dotyczącej danego okresu rozliczeniowego PGK. Wynika, to z faktu, iż spółki tworzące PGK nie mają obowiązku składania deklaracji podatkowych dotyczącej podatku dochodowego od osób prawnych. Deklarację te składa bowiem spółka dominująca za całą PGK.</w:t>
      </w:r>
    </w:p>
    <w:p w:rsidR="00B861DF"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 xml:space="preserve">Dodatkowo zaznaczyć należy, że </w:t>
      </w:r>
      <w:r w:rsidR="00200DF1" w:rsidRPr="00C93F78">
        <w:rPr>
          <w:rFonts w:ascii="Times New Roman" w:hAnsi="Times New Roman"/>
          <w:szCs w:val="24"/>
        </w:rPr>
        <w:t>informacja zawierać będzie oświadczenie</w:t>
      </w:r>
      <w:r w:rsidRPr="00C93F78">
        <w:rPr>
          <w:rFonts w:ascii="Times New Roman" w:hAnsi="Times New Roman"/>
          <w:szCs w:val="24"/>
        </w:rPr>
        <w:t xml:space="preserve"> składane pod rygorem odpowiedzialności karnej za złożenie fałszywego oświadczenia i zawierają odpowiednią klauzulę, zastępującą pouczenie o odpowiedzialności karnej za składanie fałszywych oświadczeń (§ 7 art. 86j).</w:t>
      </w:r>
    </w:p>
    <w:p w:rsidR="00140A91" w:rsidRPr="00C93F78" w:rsidRDefault="00140A91" w:rsidP="00C93F78">
      <w:pPr>
        <w:pStyle w:val="ZUSTzmustartykuempunktem"/>
        <w:spacing w:before="120"/>
        <w:ind w:left="57" w:firstLine="0"/>
        <w:rPr>
          <w:rFonts w:ascii="Times New Roman" w:hAnsi="Times New Roman"/>
          <w:b/>
          <w:szCs w:val="24"/>
        </w:rPr>
      </w:pPr>
      <w:r w:rsidRPr="00C93F78">
        <w:rPr>
          <w:rFonts w:ascii="Times New Roman" w:hAnsi="Times New Roman"/>
          <w:b/>
          <w:szCs w:val="24"/>
        </w:rPr>
        <w:t>Wydawanie ogólnych wyjaśnień</w:t>
      </w:r>
    </w:p>
    <w:p w:rsidR="00B861DF" w:rsidRPr="00C93F78" w:rsidRDefault="00B861DF" w:rsidP="00C93F78">
      <w:pPr>
        <w:pStyle w:val="ZUSTzmustartykuempunktem"/>
        <w:spacing w:before="120"/>
        <w:ind w:left="57" w:firstLine="0"/>
        <w:rPr>
          <w:rFonts w:ascii="Times New Roman" w:hAnsi="Times New Roman"/>
          <w:szCs w:val="24"/>
        </w:rPr>
      </w:pPr>
      <w:r w:rsidRPr="00C93F78">
        <w:rPr>
          <w:rFonts w:ascii="Times New Roman" w:hAnsi="Times New Roman"/>
          <w:szCs w:val="24"/>
        </w:rPr>
        <w:t>Projekt ustawy przewiduje, że minister właściwy do spraw finansów publicznych może wydać i opublikować na właściwej stronie podmiotowej BIP ogólne wyjaśnienia dotyczące możliwości zastosowania klauzuli przeciwko unikaniu opodatkowania lub innych przepisów mających na celu przeciwdziałanie unikaniu opodatkowania do schematu podatkowego lub kategorii schematów podatkowych (art. 86k § 1 Ordynacji podatkowej). W celu wydania tych wyjaśnień, minister może zwrócić się o opinię do Rady do Spraw Przeciwdziałania Unikaniu Opodatkowania, a także do Szefa KAS</w:t>
      </w:r>
      <w:r w:rsidR="00472AAC" w:rsidRPr="00C93F78">
        <w:rPr>
          <w:szCs w:val="24"/>
        </w:rPr>
        <w:t xml:space="preserve"> przedstawiając im założenia takich wyjaśnień lub ich projekt</w:t>
      </w:r>
      <w:r w:rsidRPr="00C93F78">
        <w:rPr>
          <w:rFonts w:ascii="Times New Roman" w:hAnsi="Times New Roman"/>
          <w:szCs w:val="24"/>
        </w:rPr>
        <w:t xml:space="preserve">. Odpowiednio w tym zakresie należało zmienić przepis art. 119m, wskazując możliwość wydania opinii przez Radę. Minister publikując wyjaśnienia, może też wskazać NSP schematów podatkowych, których te wyjaśnienia dotyczą (art. 86k § 3 Ordynacji podatkowej). </w:t>
      </w:r>
    </w:p>
    <w:p w:rsidR="00B861DF" w:rsidRPr="00C93F78" w:rsidRDefault="00B861DF" w:rsidP="00C93F78">
      <w:pPr>
        <w:pStyle w:val="ZUSTzmustartykuempunktem"/>
        <w:spacing w:before="120"/>
        <w:ind w:left="0" w:firstLine="0"/>
        <w:rPr>
          <w:rFonts w:ascii="Times New Roman" w:hAnsi="Times New Roman"/>
          <w:szCs w:val="24"/>
        </w:rPr>
      </w:pPr>
      <w:r w:rsidRPr="00C93F78">
        <w:rPr>
          <w:rFonts w:ascii="Times New Roman" w:hAnsi="Times New Roman"/>
          <w:szCs w:val="24"/>
        </w:rPr>
        <w:t>W przypadku, gdy pojawią się wątpliwości co do informacji objętych raportowaniem lub zgłoszeniem, Szef KAS może zwrócić się do podmiotu raportującego lub zgłaszającego – promotora lub korzystającego, o ich wyjaśnienie (projektowany § 1 art. 86h Ordynacji podatkowej).</w:t>
      </w:r>
    </w:p>
    <w:p w:rsidR="00B861DF" w:rsidRPr="00C93F78" w:rsidRDefault="00B861DF" w:rsidP="00C93F78">
      <w:pPr>
        <w:pStyle w:val="ZUSTzmustartykuempunktem"/>
        <w:spacing w:before="120"/>
        <w:ind w:left="0" w:firstLine="0"/>
        <w:rPr>
          <w:rFonts w:ascii="Times New Roman" w:hAnsi="Times New Roman"/>
          <w:szCs w:val="24"/>
        </w:rPr>
      </w:pPr>
      <w:r w:rsidRPr="00C93F78">
        <w:rPr>
          <w:rFonts w:ascii="Times New Roman" w:hAnsi="Times New Roman"/>
          <w:szCs w:val="24"/>
        </w:rPr>
        <w:t xml:space="preserve">Gwarancją ochrony konstytucyjnych praw i wolności jednostek jest zasada którą przewiduje art. 86h § 2 ustawy – Ordynacja podatkowa, zgodnie z </w:t>
      </w:r>
      <w:r w:rsidR="00F93E2A" w:rsidRPr="00C93F78">
        <w:rPr>
          <w:rFonts w:ascii="Times New Roman" w:hAnsi="Times New Roman"/>
          <w:szCs w:val="24"/>
        </w:rPr>
        <w:t>nie wszczyna się postępowania w sprawach o przestępstwa skarbowe lub wykroczenia skarbowe wyłącznie w oparciu o informacje przekazywane na podstawie niniejszego rozdziału</w:t>
      </w:r>
      <w:r w:rsidRPr="00C93F78">
        <w:rPr>
          <w:rStyle w:val="Odwoanieprzypisudolnego"/>
          <w:rFonts w:ascii="Times New Roman" w:hAnsi="Times New Roman" w:cs="Times New Roman"/>
          <w:szCs w:val="24"/>
        </w:rPr>
        <w:footnoteReference w:id="36"/>
      </w:r>
      <w:r w:rsidRPr="00C93F78">
        <w:rPr>
          <w:rFonts w:ascii="Times New Roman" w:hAnsi="Times New Roman" w:cs="Times New Roman"/>
          <w:szCs w:val="24"/>
        </w:rPr>
        <w:t>.</w:t>
      </w:r>
      <w:r w:rsidRPr="00C93F78">
        <w:rPr>
          <w:rFonts w:ascii="Times New Roman" w:hAnsi="Times New Roman"/>
          <w:szCs w:val="24"/>
        </w:rPr>
        <w:t xml:space="preserve"> </w:t>
      </w:r>
    </w:p>
    <w:p w:rsidR="00B861DF" w:rsidRPr="00C93F78" w:rsidRDefault="00B861DF" w:rsidP="00C93F78">
      <w:pPr>
        <w:pStyle w:val="ZUSTzmustartykuempunktem"/>
        <w:spacing w:before="120"/>
        <w:ind w:left="0" w:firstLine="0"/>
        <w:rPr>
          <w:rFonts w:ascii="Times New Roman" w:hAnsi="Times New Roman"/>
          <w:szCs w:val="24"/>
        </w:rPr>
      </w:pPr>
      <w:r w:rsidRPr="00C93F78">
        <w:rPr>
          <w:rFonts w:ascii="Times New Roman" w:hAnsi="Times New Roman"/>
          <w:szCs w:val="24"/>
        </w:rPr>
        <w:t xml:space="preserve">Wprowadzona zasada stanowić będzie gwarancję dla podatników, że organy podatkowe nie będą wykorzystywać raportowanych informacji jako swoistego „donosu” na siebie samego, zaś w przypadku ewentualnego podejrzenia o możliwości popełnienia przestępstwa czy wykroczenia skarbowego, pociągnięcie do odpowiedzialności karnej może nastąpić dopiero po przeprowadzeniu postępowania podatkowego. System raportowania został zaprojektowany tak, by pełnić funkcję pomocniczą dla organów państwa oraz aby samo w sobie raportowanie schematów podatkowych nie narażało podatnika na represję ze strony państwa przejawiającą się we wszczynaniu postępowań na podstawie przepisów ustawy Kodeks karny skarbowy wobec podatnika wyłącznie w oparciu o dane zawarte w informacji o schemacie podatkowym. </w:t>
      </w:r>
    </w:p>
    <w:p w:rsidR="00B861DF" w:rsidRPr="00C93F78" w:rsidRDefault="00B861DF" w:rsidP="00C93F78">
      <w:pPr>
        <w:pStyle w:val="ZUSTzmustartykuempunktem"/>
        <w:spacing w:before="120" w:after="240"/>
        <w:ind w:left="0" w:firstLine="0"/>
        <w:rPr>
          <w:rFonts w:ascii="Times New Roman" w:hAnsi="Times New Roman"/>
          <w:szCs w:val="24"/>
        </w:rPr>
      </w:pPr>
      <w:r w:rsidRPr="00C93F78">
        <w:rPr>
          <w:rFonts w:ascii="Times New Roman" w:hAnsi="Times New Roman"/>
          <w:szCs w:val="24"/>
        </w:rPr>
        <w:t>W przypadku terminowego raportowania schematu podatkowego, którego zastosowanie może powodować powstanie odpowiedzialności karnej za przestępstwo skarbowe lub odpowiedzialności za wykroczenie skarbowe, zastosowanie znajdzie instytucja nadzwyczajnego złagodzenia kary</w:t>
      </w:r>
      <w:r w:rsidR="00F93E2A" w:rsidRPr="00C93F78">
        <w:rPr>
          <w:rFonts w:ascii="Times New Roman" w:hAnsi="Times New Roman"/>
          <w:szCs w:val="24"/>
        </w:rPr>
        <w:t xml:space="preserve"> (art. 36 </w:t>
      </w:r>
      <w:r w:rsidR="00F93E2A" w:rsidRPr="00C93F78">
        <w:rPr>
          <w:rFonts w:ascii="Times New Roman" w:hAnsi="Times New Roman" w:cs="Times New Roman"/>
          <w:szCs w:val="24"/>
        </w:rPr>
        <w:t>§</w:t>
      </w:r>
      <w:r w:rsidR="00F93E2A" w:rsidRPr="00C93F78">
        <w:rPr>
          <w:rFonts w:ascii="Times New Roman" w:hAnsi="Times New Roman"/>
          <w:szCs w:val="24"/>
        </w:rPr>
        <w:t>3a Kodeksu karnego skarbowego)</w:t>
      </w:r>
      <w:r w:rsidRPr="00C93F78">
        <w:rPr>
          <w:rFonts w:ascii="Times New Roman" w:hAnsi="Times New Roman"/>
          <w:szCs w:val="24"/>
        </w:rPr>
        <w:t xml:space="preserve">. </w:t>
      </w:r>
    </w:p>
    <w:p w:rsidR="00B861DF" w:rsidRPr="00C93F78" w:rsidRDefault="00B861DF" w:rsidP="00C93F78">
      <w:pPr>
        <w:pStyle w:val="Nagwek3"/>
        <w:spacing w:line="360" w:lineRule="auto"/>
        <w:ind w:left="720"/>
        <w:jc w:val="both"/>
        <w:rPr>
          <w:b w:val="0"/>
        </w:rPr>
      </w:pPr>
      <w:r w:rsidRPr="00C93F78">
        <w:rPr>
          <w:b w:val="0"/>
        </w:rPr>
        <w:t>Obowiązek wprowadzenia procedury wewnętrznej</w:t>
      </w:r>
      <w:r w:rsidRPr="00C93F78">
        <w:rPr>
          <w:rFonts w:cs="Times New Roman"/>
          <w:b w:val="0"/>
        </w:rPr>
        <w:t>.</w:t>
      </w:r>
    </w:p>
    <w:p w:rsidR="00B861DF" w:rsidRPr="00C93F78" w:rsidRDefault="00B861DF" w:rsidP="00C93F78">
      <w:pPr>
        <w:pStyle w:val="ZUSTzmustartykuempunktem"/>
        <w:spacing w:before="120"/>
        <w:ind w:left="0" w:firstLine="0"/>
        <w:rPr>
          <w:rFonts w:ascii="Times New Roman" w:hAnsi="Times New Roman"/>
          <w:szCs w:val="24"/>
        </w:rPr>
      </w:pPr>
      <w:r w:rsidRPr="00C93F78">
        <w:rPr>
          <w:rFonts w:ascii="Times New Roman" w:hAnsi="Times New Roman"/>
          <w:szCs w:val="24"/>
        </w:rPr>
        <w:t>Przepis art. 86l § 1 Ordynacji podatkowej nakłada na promotorów będących osobami prawnymi i jednostkami organizacyjnymi nieposiadającymi osobowości prawnej oraz podmioty te zatrudniające promotorów lub faktycznie wypłacające promotorom wynagrodzenie, obowiązek wprowadzenia i stosowania wewnętrznej procedury w zakresie przeciwdziałania niewywiązywaniu się z obowiązku przekazywania informacji o schematach podatkowych tzw.: „</w:t>
      </w:r>
      <w:r w:rsidRPr="00C93F78">
        <w:rPr>
          <w:rFonts w:ascii="Times New Roman" w:hAnsi="Times New Roman"/>
          <w:b/>
          <w:szCs w:val="24"/>
        </w:rPr>
        <w:t>wewnętrznej procedury</w:t>
      </w:r>
      <w:r w:rsidRPr="00C93F78">
        <w:rPr>
          <w:rFonts w:ascii="Times New Roman" w:hAnsi="Times New Roman"/>
          <w:szCs w:val="24"/>
        </w:rPr>
        <w:t xml:space="preserve">”. Jednocześnie, w celu zawężenia kręgu podmiotów obowiązanych do wprowadzenia procedury, projektowany przepis określa kryterium wysokości przychodów lub kosztów, w rozumieniu przepisów o rachunkowości, ustalonych na podstawie prowadzonych ksiąg rachunkowych. Oznacza to, że obowiązane do wprowadzenia wewnętrznej procedury będą podmioty, u których przychody lub koszty przekroczyły w roku poprzedzającym rok obrotowy równowartość kwoty 8 mln złotych. Ustalenie limitu przychodów na poziomie kwoty 8 mln złotych jest wynikiem analizy przychodów największych w Polsce firm doradztwa podatkowego. Z przeprowadzonej analizy wynika, że 20 firm doradztwa podatkowego przekroczyło 8 mln zł przychodów za 2016 r. W ocenie projektodawcy limit 8 mln złotych wydaje się właściwy oraz spowoduje, że do wprowadzenia wewnętrznej procedury obowiązane będą jedynie największe podmioty doradcze. </w:t>
      </w:r>
    </w:p>
    <w:p w:rsidR="00B861DF" w:rsidRPr="00C93F78" w:rsidRDefault="00B861DF" w:rsidP="00C93F78">
      <w:pPr>
        <w:pStyle w:val="ZUSTzmustartykuempunktem"/>
        <w:spacing w:before="120"/>
        <w:ind w:left="0" w:firstLine="0"/>
        <w:rPr>
          <w:rFonts w:ascii="Times New Roman" w:hAnsi="Times New Roman"/>
          <w:szCs w:val="24"/>
        </w:rPr>
      </w:pPr>
      <w:r w:rsidRPr="00C93F78">
        <w:rPr>
          <w:rFonts w:ascii="Times New Roman" w:hAnsi="Times New Roman"/>
          <w:szCs w:val="24"/>
        </w:rPr>
        <w:t>Celem projektowanego rozwiązania jest stworzenie odpowiedniego narzędzia pozwalającego na prawidłowe i terminowe wykonanie obowiązków informacyjnych spoczywających na promotorach przez podmioty o rozbudowanej strukturze organizacyjnej. Wewnętrzna procedura pozwoli określić zakres odpowiedzialności osób zaangażowanych w wykonywanie poszczególnych czynności dotyczących schematów (opracowanie, prezentowanie, wdrażanie, audyt itp.) za realizację obowiązku raportowania czy zgłaszania schematu. Powinna też gwarantować prawidłowe wykonanie obowiązków informacyjnych promotora względem korzystającego.</w:t>
      </w:r>
    </w:p>
    <w:p w:rsidR="00B861DF" w:rsidRPr="00C93F78" w:rsidRDefault="00B861DF" w:rsidP="00C93F78">
      <w:pPr>
        <w:pStyle w:val="ZUSTzmustartykuempunktem"/>
        <w:spacing w:before="120"/>
        <w:ind w:left="0" w:firstLine="0"/>
        <w:rPr>
          <w:rFonts w:ascii="Times New Roman" w:hAnsi="Times New Roman"/>
          <w:szCs w:val="24"/>
        </w:rPr>
      </w:pPr>
      <w:r w:rsidRPr="00C93F78">
        <w:rPr>
          <w:rFonts w:ascii="Times New Roman" w:hAnsi="Times New Roman"/>
          <w:szCs w:val="24"/>
        </w:rPr>
        <w:t xml:space="preserve">W wewnętrznej procedurze, zgodnie z przepisem, należy określić stosowane w organizacji zasady postępowania (art. 86l § 2 Ordynacji podatkowej), w szczególności: </w:t>
      </w:r>
    </w:p>
    <w:p w:rsidR="00B861DF" w:rsidRPr="00C93F78" w:rsidRDefault="00B861DF" w:rsidP="00C93F78">
      <w:pPr>
        <w:pStyle w:val="ZUSTzmustartykuempunktem"/>
        <w:numPr>
          <w:ilvl w:val="0"/>
          <w:numId w:val="32"/>
        </w:numPr>
        <w:spacing w:before="120"/>
        <w:rPr>
          <w:rFonts w:ascii="Times New Roman" w:hAnsi="Times New Roman"/>
          <w:szCs w:val="24"/>
        </w:rPr>
      </w:pPr>
      <w:r w:rsidRPr="00C93F78">
        <w:rPr>
          <w:rFonts w:ascii="Times New Roman" w:hAnsi="Times New Roman"/>
          <w:szCs w:val="24"/>
        </w:rPr>
        <w:t>czynności lub działania podejmowane w celu przeciwdziałania niewywiązywaniu się z obowiązku przekazywania informacji o schematach podatkowych,</w:t>
      </w:r>
    </w:p>
    <w:p w:rsidR="00B861DF" w:rsidRPr="00C93F78" w:rsidRDefault="00B861DF" w:rsidP="00C93F78">
      <w:pPr>
        <w:pStyle w:val="ZUSTzmustartykuempunktem"/>
        <w:numPr>
          <w:ilvl w:val="0"/>
          <w:numId w:val="32"/>
        </w:numPr>
        <w:spacing w:before="120"/>
        <w:rPr>
          <w:rFonts w:ascii="Times New Roman" w:hAnsi="Times New Roman"/>
          <w:szCs w:val="24"/>
        </w:rPr>
      </w:pPr>
      <w:r w:rsidRPr="00C93F78">
        <w:rPr>
          <w:rFonts w:ascii="Times New Roman" w:hAnsi="Times New Roman"/>
          <w:szCs w:val="24"/>
        </w:rPr>
        <w:t>środki stosowane w celu właściwego wypełnienia obowiązku raportowania schematu podatkowego,</w:t>
      </w:r>
    </w:p>
    <w:p w:rsidR="00B861DF" w:rsidRPr="00C93F78" w:rsidRDefault="00B861DF" w:rsidP="00C93F78">
      <w:pPr>
        <w:pStyle w:val="ZUSTzmustartykuempunktem"/>
        <w:numPr>
          <w:ilvl w:val="0"/>
          <w:numId w:val="32"/>
        </w:numPr>
        <w:spacing w:before="120"/>
        <w:rPr>
          <w:rFonts w:ascii="Times New Roman" w:hAnsi="Times New Roman"/>
          <w:szCs w:val="24"/>
        </w:rPr>
      </w:pPr>
      <w:r w:rsidRPr="00C93F78">
        <w:rPr>
          <w:rFonts w:ascii="Times New Roman" w:hAnsi="Times New Roman"/>
          <w:szCs w:val="24"/>
        </w:rPr>
        <w:t>zasady przechowywania dokumentów oraz informacji,</w:t>
      </w:r>
    </w:p>
    <w:p w:rsidR="00B861DF" w:rsidRPr="00C93F78" w:rsidRDefault="00B861DF" w:rsidP="00C93F78">
      <w:pPr>
        <w:pStyle w:val="ZUSTzmustartykuempunktem"/>
        <w:numPr>
          <w:ilvl w:val="0"/>
          <w:numId w:val="32"/>
        </w:numPr>
        <w:spacing w:before="120"/>
        <w:rPr>
          <w:rFonts w:ascii="Times New Roman" w:hAnsi="Times New Roman"/>
          <w:szCs w:val="24"/>
        </w:rPr>
      </w:pPr>
      <w:r w:rsidRPr="00C93F78">
        <w:rPr>
          <w:rFonts w:ascii="Times New Roman" w:hAnsi="Times New Roman"/>
          <w:szCs w:val="24"/>
        </w:rPr>
        <w:t>zasady wykonywania obowiązków obejmujących przekazywanie Szefowi KAS informacji o schematach podatkowych,,</w:t>
      </w:r>
    </w:p>
    <w:p w:rsidR="00B861DF" w:rsidRPr="00C93F78" w:rsidRDefault="00B861DF" w:rsidP="00C93F78">
      <w:pPr>
        <w:pStyle w:val="ZUSTzmustartykuempunktem"/>
        <w:numPr>
          <w:ilvl w:val="0"/>
          <w:numId w:val="32"/>
        </w:numPr>
        <w:spacing w:before="120"/>
        <w:rPr>
          <w:rFonts w:ascii="Times New Roman" w:hAnsi="Times New Roman"/>
          <w:szCs w:val="24"/>
        </w:rPr>
      </w:pPr>
      <w:r w:rsidRPr="00C93F78">
        <w:rPr>
          <w:rFonts w:ascii="Times New Roman" w:hAnsi="Times New Roman"/>
          <w:szCs w:val="24"/>
        </w:rPr>
        <w:t>zasady upowszechniania wśród pracowników tego podmiotu wiedzy z zakresu przepisów niniejszego rozdziału,</w:t>
      </w:r>
    </w:p>
    <w:p w:rsidR="00B861DF" w:rsidRPr="00C93F78" w:rsidRDefault="00B861DF" w:rsidP="00C93F78">
      <w:pPr>
        <w:pStyle w:val="ZUSTzmustartykuempunktem"/>
        <w:numPr>
          <w:ilvl w:val="0"/>
          <w:numId w:val="32"/>
        </w:numPr>
        <w:spacing w:before="120"/>
        <w:rPr>
          <w:rFonts w:ascii="Times New Roman" w:hAnsi="Times New Roman"/>
          <w:szCs w:val="24"/>
        </w:rPr>
      </w:pPr>
      <w:r w:rsidRPr="00C93F78">
        <w:rPr>
          <w:rFonts w:ascii="Times New Roman" w:hAnsi="Times New Roman"/>
          <w:szCs w:val="24"/>
        </w:rPr>
        <w:t>zasady zgłaszania przez pracowników rzeczywistych lub potencjalnych naruszeń przepisów niniejszego rozdziału,</w:t>
      </w:r>
    </w:p>
    <w:p w:rsidR="00B861DF" w:rsidRPr="00C93F78" w:rsidRDefault="00B861DF" w:rsidP="00C93F78">
      <w:pPr>
        <w:pStyle w:val="ZUSTzmustartykuempunktem"/>
        <w:numPr>
          <w:ilvl w:val="0"/>
          <w:numId w:val="32"/>
        </w:numPr>
        <w:spacing w:before="120"/>
        <w:rPr>
          <w:rFonts w:ascii="Times New Roman" w:hAnsi="Times New Roman"/>
          <w:szCs w:val="24"/>
        </w:rPr>
      </w:pPr>
      <w:r w:rsidRPr="00C93F78">
        <w:rPr>
          <w:rFonts w:ascii="Times New Roman" w:hAnsi="Times New Roman"/>
          <w:szCs w:val="24"/>
        </w:rPr>
        <w:t>zasady kontroli wewnętrznej lub audytu przestrzegania przepisów niniejszego rozdziału oraz zasad postępowania określonych w wewnętrznej procedurze.</w:t>
      </w:r>
    </w:p>
    <w:p w:rsidR="00B861DF" w:rsidRPr="00C93F78" w:rsidRDefault="00B861DF" w:rsidP="00C93F78">
      <w:pPr>
        <w:pStyle w:val="ZUSTzmustartykuempunktem"/>
        <w:spacing w:before="120"/>
        <w:ind w:left="0"/>
        <w:rPr>
          <w:rFonts w:ascii="Times New Roman" w:hAnsi="Times New Roman"/>
          <w:szCs w:val="24"/>
        </w:rPr>
      </w:pPr>
      <w:r w:rsidRPr="00C93F78">
        <w:rPr>
          <w:rFonts w:ascii="Times New Roman" w:hAnsi="Times New Roman"/>
          <w:szCs w:val="24"/>
        </w:rPr>
        <w:t>Projektowany przepis zawiera otwarty katalog elementów, jakie powinny zostać objęte wewnętrzną procedurą wskazując najistotniejsze z nich. Szczegółowe rozwiązania powinny być dostosowane do charakteru, rodzaju i rozmiaru prowadzonej działalności. Co istotne, wewnętrzna procedura instytucji obowiązanej przed jej wprowadzeniem do stosowania, musi uzyskać akceptację kadry kierowniczej wyższego szczebla</w:t>
      </w:r>
      <w:r w:rsidR="00610290" w:rsidRPr="00C93F78">
        <w:rPr>
          <w:rFonts w:ascii="Times New Roman" w:hAnsi="Times New Roman"/>
          <w:szCs w:val="24"/>
        </w:rPr>
        <w:t>, w tym członków zarządu lub dyrektorów posiadających wiedzę z zakresu prawa podatkowego oraz podejmujących decyzje mające wpływ na ryzyko jego nieprzestrzegania przez kontrahentów będących korzystającymi</w:t>
      </w:r>
      <w:r w:rsidRPr="00C93F78">
        <w:rPr>
          <w:rFonts w:ascii="Times New Roman" w:hAnsi="Times New Roman"/>
          <w:szCs w:val="24"/>
        </w:rPr>
        <w:t xml:space="preserve"> (art. 86l § 3 Ordynacji podatkowej). Projektowane rozwiązanie powinno podnosić świadomość promotorów o konsekwencjach decyzji i działań podejmowanych w zakresie schematów podatkowych oraz odpowiedzialności zarówno wobec organizacji, w której promotor prowadzi działalność zawodową, ale też odpowiedzialność karną za niedopełnienie obowiązków dotyczących raportowania schematów podatkowych. Przepis ten jest wzorowany na rozwiązaniu, które zostało wprowadzone w ustawie z dnia 1 marca 2018 r. o przeciwdziałaniu praniu pieniędzy oraz finansowaniu terroryzmu</w:t>
      </w:r>
      <w:r w:rsidRPr="00C93F78">
        <w:rPr>
          <w:rStyle w:val="Odwoanieprzypisudolnego"/>
          <w:rFonts w:ascii="Times New Roman" w:hAnsi="Times New Roman" w:cs="Times New Roman"/>
          <w:szCs w:val="24"/>
        </w:rPr>
        <w:footnoteReference w:id="37"/>
      </w:r>
      <w:r w:rsidRPr="00C93F78">
        <w:rPr>
          <w:rFonts w:ascii="Times New Roman" w:hAnsi="Times New Roman"/>
          <w:szCs w:val="24"/>
        </w:rPr>
        <w:t xml:space="preserve">. </w:t>
      </w:r>
    </w:p>
    <w:p w:rsidR="00B861DF" w:rsidRPr="00C93F78" w:rsidRDefault="00B861DF" w:rsidP="00C93F78">
      <w:pPr>
        <w:pStyle w:val="ZUSTzmustartykuempunktem"/>
        <w:spacing w:before="120"/>
        <w:ind w:left="0" w:firstLine="0"/>
        <w:rPr>
          <w:rFonts w:ascii="Times New Roman" w:hAnsi="Times New Roman"/>
          <w:szCs w:val="24"/>
        </w:rPr>
      </w:pPr>
      <w:r w:rsidRPr="00C93F78">
        <w:rPr>
          <w:rFonts w:ascii="Times New Roman" w:hAnsi="Times New Roman"/>
          <w:szCs w:val="24"/>
        </w:rPr>
        <w:t>Obowiązek stosowania wewnętrznej procedury będzie również istniał w kolejnych trzech latach podatkowych po roku obrotowym, w którym obowiązek ten przestał obowiązywać z uwagi na nieprzekroczenie kwoty 8 mln zł.</w:t>
      </w:r>
    </w:p>
    <w:p w:rsidR="00B861DF" w:rsidRPr="00C93F78" w:rsidRDefault="00B861DF" w:rsidP="00C93F78">
      <w:pPr>
        <w:pStyle w:val="ZARTzmartartykuempunktem"/>
        <w:spacing w:before="120"/>
        <w:ind w:left="0" w:firstLine="0"/>
        <w:rPr>
          <w:rFonts w:ascii="Times New Roman" w:hAnsi="Times New Roman"/>
          <w:i/>
          <w:szCs w:val="24"/>
        </w:rPr>
      </w:pPr>
      <w:r w:rsidRPr="00C93F78">
        <w:rPr>
          <w:rFonts w:ascii="Times New Roman" w:hAnsi="Times New Roman"/>
          <w:i/>
          <w:szCs w:val="24"/>
        </w:rPr>
        <w:t>Kara administracyjna (kara pieniężna</w:t>
      </w:r>
      <w:r w:rsidRPr="00C93F78">
        <w:rPr>
          <w:rFonts w:ascii="Times New Roman" w:hAnsi="Times New Roman" w:cs="Times New Roman"/>
          <w:i/>
          <w:szCs w:val="24"/>
        </w:rPr>
        <w:t>).</w:t>
      </w:r>
    </w:p>
    <w:p w:rsidR="00B861DF"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Zakłada się, że promotorzy będący osobami prawnymi i jednostkami organizacyjnymi nieposiadającymi osobowości prawnej, zatrudniającymi promotorów lub faktycznie wypłacający im wynagrodzenie (o których mowa w art. 86l § 1), obowiązani do wprowadzenia i stosowania wewnętrznej procedury w zakresie przeciwdziałania niewywiązywania się z obowiązku przekazywania informacji o schematach podatkowych w przypadku niedopełnienia tych obowiązków, podlegają karze pieniężnej. Karę pieniężną nakłada Szef KAS, w drodze decyzji, w wysokości nie większej niż 2 mln zł (art. 86m § 1 Ordynacji podatkowej).</w:t>
      </w:r>
    </w:p>
    <w:p w:rsidR="00B861DF"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 xml:space="preserve">Jednocześnie przepisy ustawy przewidują podwyższenie maksymalnego limitu kary pieniężnej do 10 mln zł w stosunku do promotorów wskazanych w art. 86l § 1 w sytuacji, w której podmioty te nie zrealizują obowiązków, o których mowa w art. 86l (tj. posiadania i stosowania wewnętrznej procedury) oraz gdy promotor będący osobą fizyczną zatrudnioną lub faktycznie otrzymującą wynagrodzenie od tego podmiotu popełni </w:t>
      </w:r>
      <w:r w:rsidR="002E5E89" w:rsidRPr="00C93F78">
        <w:rPr>
          <w:rFonts w:ascii="Times New Roman" w:hAnsi="Times New Roman"/>
          <w:szCs w:val="24"/>
        </w:rPr>
        <w:t>stwierdzony prawomocnym wyrokiem sądu,</w:t>
      </w:r>
      <w:r w:rsidRPr="00C93F78">
        <w:rPr>
          <w:rFonts w:ascii="Times New Roman" w:hAnsi="Times New Roman"/>
          <w:szCs w:val="24"/>
        </w:rPr>
        <w:t xml:space="preserve"> czyn wymieniony w art. </w:t>
      </w:r>
      <w:r w:rsidR="00B65FB9" w:rsidRPr="00C93F78">
        <w:rPr>
          <w:rFonts w:ascii="Times New Roman" w:hAnsi="Times New Roman"/>
          <w:szCs w:val="24"/>
        </w:rPr>
        <w:t xml:space="preserve">80f </w:t>
      </w:r>
      <w:r w:rsidRPr="00C93F78">
        <w:rPr>
          <w:rFonts w:ascii="Times New Roman" w:hAnsi="Times New Roman"/>
          <w:szCs w:val="24"/>
        </w:rPr>
        <w:t>Kodeksu karnego skarbowego.</w:t>
      </w:r>
    </w:p>
    <w:p w:rsidR="00B861DF" w:rsidRPr="00C93F78" w:rsidRDefault="00B861DF" w:rsidP="00C93F78">
      <w:pPr>
        <w:pStyle w:val="ZARTzmartartykuempunktem"/>
        <w:spacing w:before="120"/>
        <w:ind w:left="0" w:firstLine="0"/>
        <w:rPr>
          <w:rFonts w:ascii="Times New Roman" w:hAnsi="Times New Roman"/>
          <w:szCs w:val="24"/>
        </w:rPr>
      </w:pPr>
      <w:r w:rsidRPr="00C93F78">
        <w:rPr>
          <w:rFonts w:ascii="Times New Roman" w:hAnsi="Times New Roman"/>
          <w:szCs w:val="24"/>
        </w:rPr>
        <w:t>Podstawowym celem kary administracyjnej jest zapewnienie poszanowania prawa oraz wywołanie negatywnych konsekwencji w związku z naruszeniem nakazu lub zakazu. Kara administracyjna to także jedna z form stosowanego przez administrację publiczną tzw. przymusu państwowego. Proponowana wysokość kary administracyjnej wymierzanej za niedopełnienie obowiązków informacyjnych związanych ze schematami podatkowymi powinna być wystarczająco dolegliwa, aby zapobiegać przypadkom niedopełnienia tych obowiązków. Pozwoli to spełnić cele kary w zakresie społecznego oraz indywidualnego oddziaływania.</w:t>
      </w:r>
    </w:p>
    <w:p w:rsidR="00B861DF" w:rsidRPr="00C93F78" w:rsidRDefault="00B861DF" w:rsidP="00C93F78">
      <w:pPr>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 zakłada, że organem nakładającym karę pieniężną będzie Szef KAS. Kara będzie nakładana w drodze decyzji. Natomiast postępowanie w sprawie jej nałożenia będzie się toczyło na podstawie przepisów Kodeksu postępowania administracyjnego</w:t>
      </w:r>
      <w:r w:rsidRPr="00C93F78">
        <w:rPr>
          <w:rStyle w:val="Odwoanieprzypisudolnego"/>
          <w:rFonts w:ascii="Times New Roman" w:hAnsi="Times New Roman" w:cs="Times New Roman"/>
          <w:sz w:val="24"/>
          <w:szCs w:val="24"/>
        </w:rPr>
        <w:footnoteReference w:id="38"/>
      </w:r>
      <w:r w:rsidRPr="00C93F78">
        <w:rPr>
          <w:rFonts w:ascii="Times New Roman" w:hAnsi="Times New Roman" w:cs="Times New Roman"/>
          <w:sz w:val="24"/>
          <w:szCs w:val="24"/>
        </w:rPr>
        <w:t>.</w:t>
      </w:r>
      <w:r w:rsidR="005D5456" w:rsidRPr="00C93F78">
        <w:rPr>
          <w:rFonts w:ascii="Times New Roman" w:hAnsi="Times New Roman" w:cs="Times New Roman"/>
          <w:sz w:val="24"/>
          <w:szCs w:val="24"/>
        </w:rPr>
        <w:t xml:space="preserve"> W</w:t>
      </w:r>
      <w:r w:rsidR="00AF0554" w:rsidRPr="00C93F78">
        <w:rPr>
          <w:rFonts w:ascii="Times New Roman" w:hAnsi="Times New Roman" w:cs="Times New Roman"/>
          <w:sz w:val="24"/>
          <w:szCs w:val="24"/>
        </w:rPr>
        <w:t xml:space="preserve">arto wskazać, </w:t>
      </w:r>
      <w:r w:rsidR="005D5456" w:rsidRPr="00C93F78">
        <w:rPr>
          <w:rFonts w:ascii="Times New Roman" w:hAnsi="Times New Roman" w:cs="Times New Roman"/>
          <w:sz w:val="24"/>
          <w:szCs w:val="24"/>
        </w:rPr>
        <w:t>ż</w:t>
      </w:r>
      <w:r w:rsidR="00AF0554" w:rsidRPr="00C93F78">
        <w:rPr>
          <w:rFonts w:ascii="Times New Roman" w:hAnsi="Times New Roman" w:cs="Times New Roman"/>
          <w:sz w:val="24"/>
          <w:szCs w:val="24"/>
        </w:rPr>
        <w:t>e</w:t>
      </w:r>
      <w:r w:rsidR="005D5456" w:rsidRPr="00C93F78">
        <w:rPr>
          <w:rFonts w:ascii="Times New Roman" w:hAnsi="Times New Roman" w:cs="Times New Roman"/>
          <w:sz w:val="24"/>
          <w:szCs w:val="24"/>
        </w:rPr>
        <w:t xml:space="preserve"> przepisy Kpa przewidują chociażby przesłanki odstąpienia od nałożenia administracyjnej kary pieniężnej, co więcej wymierzając administracyjną karę pieniężną, bierze się pod uwagę wagę i okoliczności naruszenia prawa, w szczególności potrzebę ochrony życia lub zdrowia, ochrony mienia w znacznych rozmiarach lub ochrony ważnego interesu publicznego lub wyjątkowo ważnego interesu strony oraz czas trwania tego naruszenia. Bez wątpienia, odpowiednie stosowanie przepisów Kpa gwarantuje prawidłową ochronę </w:t>
      </w:r>
      <w:r w:rsidR="001C5D7F" w:rsidRPr="00C93F78">
        <w:rPr>
          <w:rFonts w:ascii="Times New Roman" w:hAnsi="Times New Roman" w:cs="Times New Roman"/>
          <w:sz w:val="24"/>
          <w:szCs w:val="24"/>
        </w:rPr>
        <w:t>adresatów nowych rozwiązań systemu MDR.</w:t>
      </w:r>
    </w:p>
    <w:p w:rsidR="00C3578B" w:rsidRPr="00C93F78" w:rsidRDefault="00C3578B" w:rsidP="00C93F78">
      <w:pPr>
        <w:pStyle w:val="Nagwek3"/>
        <w:spacing w:line="360" w:lineRule="auto"/>
        <w:jc w:val="both"/>
        <w:rPr>
          <w:b w:val="0"/>
        </w:rPr>
      </w:pPr>
      <w:r w:rsidRPr="00C93F78">
        <w:rPr>
          <w:b w:val="0"/>
        </w:rPr>
        <w:t>Informatyzacja przesyłania informacji o schematach podatkowych.</w:t>
      </w:r>
    </w:p>
    <w:p w:rsidR="00825D4F" w:rsidRPr="00C93F78" w:rsidRDefault="00C3578B" w:rsidP="00C93F78">
      <w:pPr>
        <w:spacing w:before="240" w:line="360" w:lineRule="auto"/>
        <w:jc w:val="both"/>
        <w:rPr>
          <w:rFonts w:ascii="Times New Roman" w:hAnsi="Times New Roman" w:cs="Times New Roman"/>
          <w:sz w:val="24"/>
          <w:szCs w:val="24"/>
        </w:rPr>
      </w:pPr>
      <w:r w:rsidRPr="00C93F78">
        <w:rPr>
          <w:rFonts w:ascii="Times New Roman" w:hAnsi="Times New Roman" w:cs="Times New Roman"/>
          <w:sz w:val="24"/>
          <w:szCs w:val="24"/>
        </w:rPr>
        <w:t>Zakłada się całkowitą informatyzację przesyłania wszystkich informacji</w:t>
      </w:r>
      <w:r w:rsidR="007045A5" w:rsidRPr="00C93F78">
        <w:rPr>
          <w:rFonts w:ascii="Times New Roman" w:hAnsi="Times New Roman" w:cs="Times New Roman"/>
          <w:sz w:val="24"/>
          <w:szCs w:val="24"/>
        </w:rPr>
        <w:t>, o których mowa w rozdziale 11a</w:t>
      </w:r>
      <w:r w:rsidR="003100F2" w:rsidRPr="00C93F78">
        <w:rPr>
          <w:rFonts w:ascii="Times New Roman" w:hAnsi="Times New Roman" w:cs="Times New Roman"/>
          <w:sz w:val="24"/>
          <w:szCs w:val="24"/>
        </w:rPr>
        <w:t xml:space="preserve"> Ordynacji podatkowej</w:t>
      </w:r>
      <w:r w:rsidRPr="00C93F78">
        <w:rPr>
          <w:rFonts w:ascii="Times New Roman" w:hAnsi="Times New Roman" w:cs="Times New Roman"/>
          <w:sz w:val="24"/>
          <w:szCs w:val="24"/>
        </w:rPr>
        <w:t xml:space="preserve"> </w:t>
      </w:r>
      <w:r w:rsidR="007045A5" w:rsidRPr="00C93F78">
        <w:rPr>
          <w:rFonts w:ascii="Times New Roman" w:hAnsi="Times New Roman" w:cs="Times New Roman"/>
          <w:sz w:val="24"/>
          <w:szCs w:val="24"/>
        </w:rPr>
        <w:t xml:space="preserve">przekazywanych do Szefa KAS. </w:t>
      </w:r>
      <w:r w:rsidR="00825D4F" w:rsidRPr="00C93F78">
        <w:rPr>
          <w:rFonts w:ascii="Times New Roman" w:hAnsi="Times New Roman" w:cs="Times New Roman"/>
          <w:sz w:val="24"/>
          <w:szCs w:val="24"/>
        </w:rPr>
        <w:t>Przepis art. 86n, określa, iż informacje, o których mowa w art. 86b § 1 i 6, art. 86c § 1 i 2, art. 86d § 2, 3 i 4</w:t>
      </w:r>
      <w:r w:rsidR="003D26B3" w:rsidRPr="00C93F78">
        <w:rPr>
          <w:rFonts w:ascii="Times New Roman" w:hAnsi="Times New Roman" w:cs="Times New Roman"/>
          <w:sz w:val="24"/>
          <w:szCs w:val="24"/>
        </w:rPr>
        <w:t>, art. 86f § 4</w:t>
      </w:r>
      <w:r w:rsidR="00214B8A" w:rsidRPr="00C93F78">
        <w:rPr>
          <w:rFonts w:ascii="Times New Roman" w:hAnsi="Times New Roman" w:cs="Times New Roman"/>
          <w:sz w:val="24"/>
          <w:szCs w:val="24"/>
        </w:rPr>
        <w:t xml:space="preserve"> </w:t>
      </w:r>
      <w:r w:rsidR="00825D4F" w:rsidRPr="00C93F78">
        <w:rPr>
          <w:rFonts w:ascii="Times New Roman" w:hAnsi="Times New Roman" w:cs="Times New Roman"/>
          <w:sz w:val="24"/>
          <w:szCs w:val="24"/>
        </w:rPr>
        <w:t>oraz art. 86j § 1</w:t>
      </w:r>
      <w:r w:rsidR="00214B8A" w:rsidRPr="00C93F78">
        <w:rPr>
          <w:rFonts w:ascii="Times New Roman" w:hAnsi="Times New Roman" w:cs="Times New Roman"/>
          <w:sz w:val="24"/>
          <w:szCs w:val="24"/>
        </w:rPr>
        <w:t xml:space="preserve"> </w:t>
      </w:r>
      <w:r w:rsidR="003100F2" w:rsidRPr="00C93F78">
        <w:rPr>
          <w:rFonts w:ascii="Times New Roman" w:hAnsi="Times New Roman" w:cs="Times New Roman"/>
          <w:sz w:val="24"/>
          <w:szCs w:val="24"/>
        </w:rPr>
        <w:t>będą</w:t>
      </w:r>
      <w:r w:rsidR="00825D4F" w:rsidRPr="00C93F78">
        <w:rPr>
          <w:rFonts w:ascii="Times New Roman" w:hAnsi="Times New Roman" w:cs="Times New Roman"/>
          <w:sz w:val="24"/>
          <w:szCs w:val="24"/>
        </w:rPr>
        <w:t xml:space="preserve"> przesyłane za pomocą środków komunikacji elektronicznej w postaci elektronicznej odpowiadającej strukturze logicznej. Struktura logiczna postaci elektronicznej tych informacji będzie dostępna w Biuletynie Informacji Publicznej na stronie podmiotowej urzędu obsługującego ministra właściwego do spraw finansów publicznych. Minister właściwy do spraw finansów publicznych określi, w drodze rozporządzenia sposób przesyłania informacji za pomocą środków komunikacji elektronicznej, mając na uwadze usprawnienie wypełniania, przekazywania i przetwarzania tych informacji, oraz uwzględniając potrzebę zapewnienia bezpieczeństwa, wiarygodności i niezaprzeczalności danych w nich zawartych, ich ochrony przed nieuprawnionym dostępem.</w:t>
      </w:r>
    </w:p>
    <w:p w:rsidR="00B861DF" w:rsidRPr="00C93F78" w:rsidRDefault="007045A5" w:rsidP="00C93F78">
      <w:pPr>
        <w:pStyle w:val="Nagwek3"/>
        <w:spacing w:line="360" w:lineRule="auto"/>
        <w:jc w:val="both"/>
        <w:rPr>
          <w:b w:val="0"/>
        </w:rPr>
      </w:pPr>
      <w:r w:rsidRPr="00C93F78">
        <w:rPr>
          <w:b w:val="0"/>
        </w:rPr>
        <w:t xml:space="preserve"> </w:t>
      </w:r>
      <w:r w:rsidR="00B861DF" w:rsidRPr="00C93F78">
        <w:rPr>
          <w:b w:val="0"/>
        </w:rPr>
        <w:t>Zmiana w przepisach o Radzie do Spraw Przeciwdziałania Unikaniu Opodatkowania</w:t>
      </w:r>
    </w:p>
    <w:p w:rsidR="00B861DF" w:rsidRPr="00C93F78" w:rsidRDefault="00B861DF" w:rsidP="00C93F78">
      <w:pPr>
        <w:pStyle w:val="PKTpunkt"/>
        <w:spacing w:before="120"/>
        <w:ind w:left="0" w:firstLine="0"/>
        <w:rPr>
          <w:rFonts w:ascii="Times New Roman" w:hAnsi="Times New Roman"/>
          <w:szCs w:val="24"/>
        </w:rPr>
      </w:pPr>
      <w:r w:rsidRPr="00C93F78">
        <w:rPr>
          <w:rFonts w:ascii="Times New Roman" w:hAnsi="Times New Roman"/>
          <w:szCs w:val="24"/>
        </w:rPr>
        <w:t xml:space="preserve">Wprowadzenie obowiązkowego raportowania schematów (MDR) wymagało dokonania zmian nie tylko w przepisach dotyczących wydawania interpretacji indywidualnych, ale także odpowiednich, dostosowawczych zmian w przepisach Rozdziału 3 </w:t>
      </w:r>
      <w:r w:rsidRPr="00C93F78">
        <w:rPr>
          <w:rFonts w:ascii="Times New Roman" w:hAnsi="Times New Roman"/>
          <w:i/>
          <w:szCs w:val="24"/>
        </w:rPr>
        <w:t xml:space="preserve">Rada do Spraw Przeciwdziałania Unikaniu Opodatkowania </w:t>
      </w:r>
      <w:r w:rsidRPr="00C93F78">
        <w:rPr>
          <w:rFonts w:ascii="Times New Roman" w:hAnsi="Times New Roman"/>
          <w:szCs w:val="24"/>
        </w:rPr>
        <w:t xml:space="preserve">Dział IIIa </w:t>
      </w:r>
      <w:r w:rsidRPr="00C93F78">
        <w:rPr>
          <w:rFonts w:ascii="Times New Roman" w:hAnsi="Times New Roman"/>
          <w:i/>
          <w:szCs w:val="24"/>
        </w:rPr>
        <w:t>Przeciwdziałanie unikaniu opodatkowania</w:t>
      </w:r>
      <w:r w:rsidRPr="00C93F78">
        <w:rPr>
          <w:rFonts w:ascii="Times New Roman" w:hAnsi="Times New Roman"/>
          <w:szCs w:val="24"/>
        </w:rPr>
        <w:t xml:space="preserve">. </w:t>
      </w:r>
      <w:r w:rsidRPr="00C93F78">
        <w:rPr>
          <w:rFonts w:ascii="Times New Roman" w:hAnsi="Times New Roman" w:cs="Times New Roman"/>
          <w:szCs w:val="24"/>
        </w:rPr>
        <w:t xml:space="preserve">W </w:t>
      </w:r>
      <w:r w:rsidR="00A35697" w:rsidRPr="00C93F78">
        <w:rPr>
          <w:rFonts w:ascii="Times New Roman" w:hAnsi="Times New Roman" w:cs="Times New Roman"/>
          <w:szCs w:val="24"/>
        </w:rPr>
        <w:t>projekcie</w:t>
      </w:r>
      <w:r w:rsidR="00A35697" w:rsidRPr="00C93F78">
        <w:rPr>
          <w:rFonts w:ascii="Times New Roman" w:hAnsi="Times New Roman"/>
          <w:szCs w:val="24"/>
        </w:rPr>
        <w:t xml:space="preserve"> ustawy </w:t>
      </w:r>
      <w:r w:rsidRPr="00C93F78">
        <w:rPr>
          <w:rFonts w:ascii="Times New Roman" w:hAnsi="Times New Roman"/>
          <w:szCs w:val="24"/>
        </w:rPr>
        <w:t xml:space="preserve">przedstawiono propozycje zmian w zakresie uprawnień Rady do Spraw Przeciwdziałania Unikaniu Opodatkowania do wyrażania opinii także w zakresie spraw dotyczących schematów podatkowych. </w:t>
      </w:r>
    </w:p>
    <w:p w:rsidR="00B861DF" w:rsidRPr="00C93F78" w:rsidRDefault="00B861DF" w:rsidP="00C93F78">
      <w:pPr>
        <w:pStyle w:val="PKTpunkt"/>
        <w:spacing w:before="120" w:after="240"/>
        <w:ind w:left="0" w:firstLine="0"/>
        <w:rPr>
          <w:rFonts w:ascii="Times New Roman" w:hAnsi="Times New Roman"/>
          <w:szCs w:val="24"/>
        </w:rPr>
      </w:pPr>
      <w:r w:rsidRPr="00C93F78">
        <w:rPr>
          <w:rFonts w:ascii="Times New Roman" w:hAnsi="Times New Roman"/>
          <w:szCs w:val="24"/>
        </w:rPr>
        <w:t xml:space="preserve">Z uwagi na przewidziane w art. </w:t>
      </w:r>
      <w:r w:rsidR="00472AAC" w:rsidRPr="00C93F78">
        <w:rPr>
          <w:rFonts w:ascii="Times New Roman" w:hAnsi="Times New Roman"/>
          <w:szCs w:val="24"/>
        </w:rPr>
        <w:t>86k</w:t>
      </w:r>
      <w:r w:rsidRPr="00C93F78">
        <w:rPr>
          <w:rFonts w:ascii="Times New Roman" w:hAnsi="Times New Roman"/>
          <w:szCs w:val="24"/>
        </w:rPr>
        <w:t xml:space="preserve"> uprawnienie ministra właściwego do spraw finansów publicznych do wydawania wyjaśnień, dotyczących możliwości zastosowania klauzuli przeciwko unikaniu opodatkowania lub innych przepisów mających na celu przeciwdziałanie unikaniu opodatkowania do schematu podatkowego lub kategorii schematów podatkowych oraz prawo zasięgnięcia opinii do Rady do Spraw Przeciwdziałania Unikaniu Opodatkowania, niezbędne było rozszerzenie kompetencji Rady do wydawania opinii w takich sprawach. Tę kompetencję normuje nowy § 3 art. 119m Ordynacji podatkowej. Proponowana zmiana ma więc charakter dostosowawczy, tak aby zachować wewnętrzną spójność pomiędzy przepisami o raportowaniu schematów podatkowych, a obowiązującymi już przepisami o unikaniu opodatkowania.</w:t>
      </w:r>
    </w:p>
    <w:p w:rsidR="00B861DF" w:rsidRPr="00C93F78" w:rsidRDefault="00B861DF" w:rsidP="00C93F78">
      <w:pPr>
        <w:pStyle w:val="Nagwek3"/>
        <w:spacing w:line="360" w:lineRule="auto"/>
        <w:ind w:left="720"/>
        <w:jc w:val="both"/>
        <w:rPr>
          <w:b w:val="0"/>
        </w:rPr>
      </w:pPr>
      <w:r w:rsidRPr="00C93F78">
        <w:rPr>
          <w:b w:val="0"/>
        </w:rPr>
        <w:t xml:space="preserve">Nowe zadanie Szefa Krajowej Administracji Skarbowej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Dla prawidłowego funkcjonowania systemu MDR, niezbędne jest prawidłowe określenie zadań KAS oraz Szefa Krajowej Administracji Skarbowej. Dlatego należy wprowadzić odpowiednie zmiany do przepisów ustawy z dnia 16 listopada 2016 r. o Krajowej Administracji Skarbowej.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Nowe zadania KAS zostały określone w projektowanym pkt 16c i 16d art. 2 ustawy o Krajowej Administracji Skarbowej. Do tych zadań będzie należało rozpoznawanie, wykrywanie i zwalczanie przestępstw określonych w art. 80</w:t>
      </w:r>
      <w:r w:rsidR="00B65FB9" w:rsidRPr="00C93F78">
        <w:rPr>
          <w:rFonts w:ascii="Times New Roman" w:hAnsi="Times New Roman" w:cs="Times New Roman"/>
          <w:sz w:val="24"/>
          <w:szCs w:val="24"/>
        </w:rPr>
        <w:t>f</w:t>
      </w:r>
      <w:r w:rsidRPr="00C93F78">
        <w:rPr>
          <w:rFonts w:ascii="Times New Roman" w:hAnsi="Times New Roman" w:cs="Times New Roman"/>
          <w:sz w:val="24"/>
          <w:szCs w:val="24"/>
        </w:rPr>
        <w:t xml:space="preserve"> Kodeksu karnego skarbowego (pkt 16c) oraz wykonywanie zadań określonych w rozdziale 11a Ordynacji podatkowej dotyczących informacji o schematach podatkowych (16d). Natomiast odpowiedzialnym za realizację nowych zadań KAS będzie Szef KAS (zmieniony art. 14 ust. 1 pkt 6).</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Powyższa zmiana wymusza jednocześnie doprecyzowanie szczegółowych rozwiązań określonych w ustawie o KAS. Niniejsze zmiany zawarte są w następujących przepisach</w:t>
      </w:r>
      <w:r w:rsidRPr="00C93F78">
        <w:rPr>
          <w:rFonts w:ascii="Times New Roman" w:hAnsi="Times New Roman" w:cs="Times New Roman"/>
          <w:bCs/>
          <w:sz w:val="24"/>
          <w:szCs w:val="24"/>
        </w:rPr>
        <w:t xml:space="preserve"> określających szczególne uprawnienia organów Krajowej Administracji Skarbowej oraz funkcjonariuszy Służby Celno-Skarbowej</w:t>
      </w:r>
      <w:r w:rsidRPr="00C93F78">
        <w:rPr>
          <w:rFonts w:ascii="Times New Roman" w:hAnsi="Times New Roman" w:cs="Times New Roman"/>
          <w:sz w:val="24"/>
          <w:szCs w:val="24"/>
        </w:rPr>
        <w:t xml:space="preserve">: </w:t>
      </w:r>
    </w:p>
    <w:p w:rsidR="00B861DF" w:rsidRPr="00C93F78" w:rsidRDefault="00B861DF" w:rsidP="00C93F78">
      <w:pPr>
        <w:pStyle w:val="Akapitzlist"/>
        <w:numPr>
          <w:ilvl w:val="0"/>
          <w:numId w:val="52"/>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doprecyzowano wprowadzenie do wyliczenia w art. 113 ust. 1, art. 114 w ust. 1, art. 115 w ust. 1, art. 133 w ust. 1, oraz</w:t>
      </w:r>
    </w:p>
    <w:p w:rsidR="00B861DF" w:rsidRPr="00C93F78" w:rsidRDefault="00B861DF" w:rsidP="00C93F78">
      <w:pPr>
        <w:pStyle w:val="Akapitzlist"/>
        <w:numPr>
          <w:ilvl w:val="0"/>
          <w:numId w:val="52"/>
        </w:num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treść przepisu ust. 1 w art. 117, art. 127a oraz art. 137.</w:t>
      </w:r>
    </w:p>
    <w:p w:rsidR="00B861DF" w:rsidRPr="00C93F78" w:rsidRDefault="00B861DF" w:rsidP="00C93F78">
      <w:pPr>
        <w:spacing w:before="120" w:after="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 xml:space="preserve">Zgodnie z tymi zmianami uprawnienia do uzyskiwania, gromadzenia, przetwarzania, wykorzystywania informacji do stwierdzenia prawidłowego wykonywania obowiązków określonych w systemie MDR będą mieli funkcjonariusze wykonujący czynności operacyjno-rozpoznawcze (art. 113). Kolejne przepisy ustawy o KAS mówią o uprawnieniach funkcjonariuszy w związku z tymi informacjami. </w:t>
      </w:r>
    </w:p>
    <w:p w:rsidR="00B861DF" w:rsidRPr="00C93F78" w:rsidRDefault="00B861DF" w:rsidP="00C93F78">
      <w:pPr>
        <w:spacing w:before="120" w:after="0" w:line="360" w:lineRule="auto"/>
        <w:jc w:val="both"/>
        <w:rPr>
          <w:rFonts w:ascii="Times New Roman" w:hAnsi="Times New Roman" w:cs="Times New Roman"/>
          <w:sz w:val="24"/>
          <w:szCs w:val="24"/>
        </w:rPr>
      </w:pPr>
      <w:r w:rsidRPr="00C93F78">
        <w:rPr>
          <w:rFonts w:ascii="Times New Roman" w:hAnsi="Times New Roman" w:cs="Times New Roman"/>
          <w:sz w:val="24"/>
          <w:szCs w:val="24"/>
        </w:rPr>
        <w:t>Analizowane nowe zadanie Szefa KAS wymusza również wprowadzenie zmian w treści art. 133 § 1 pkt 3 Kodeksu karnego skarbowego. Dotychczasowy art. 133 § 1 pkt 3 Kodeksu karnego skarbowe</w:t>
      </w:r>
      <w:r w:rsidR="001F5C69">
        <w:rPr>
          <w:rFonts w:ascii="Times New Roman" w:hAnsi="Times New Roman" w:cs="Times New Roman"/>
          <w:sz w:val="24"/>
          <w:szCs w:val="24"/>
        </w:rPr>
        <w:t>go powinien otrzymać brzmienie „</w:t>
      </w:r>
      <w:r w:rsidRPr="00C93F78">
        <w:rPr>
          <w:rFonts w:ascii="Times New Roman" w:hAnsi="Times New Roman" w:cs="Times New Roman"/>
          <w:sz w:val="24"/>
          <w:szCs w:val="24"/>
        </w:rPr>
        <w:t xml:space="preserve">3) Szef Krajowej Administracji Skarbowej </w:t>
      </w:r>
      <w:r w:rsidR="001F5C69">
        <w:rPr>
          <w:rFonts w:ascii="Times New Roman" w:hAnsi="Times New Roman" w:cs="Times New Roman"/>
          <w:sz w:val="24"/>
          <w:szCs w:val="24"/>
        </w:rPr>
        <w:t>–</w:t>
      </w:r>
      <w:r w:rsidRPr="00C93F78">
        <w:rPr>
          <w:rFonts w:ascii="Times New Roman" w:hAnsi="Times New Roman" w:cs="Times New Roman"/>
          <w:sz w:val="24"/>
          <w:szCs w:val="24"/>
        </w:rPr>
        <w:t xml:space="preserve"> w sprawach o przestępstwa skarbowe i wykroczenia skarbowe ujawnione w zakresie swojego działania, jeżeli nie przekaże ich organom wskazanym w pkt 1 lub 2</w:t>
      </w:r>
      <w:r w:rsidR="001F5C69">
        <w:rPr>
          <w:rFonts w:ascii="Times New Roman" w:hAnsi="Times New Roman" w:cs="Times New Roman"/>
          <w:sz w:val="24"/>
          <w:szCs w:val="24"/>
        </w:rPr>
        <w:t>”</w:t>
      </w:r>
      <w:r w:rsidRPr="00C93F78">
        <w:rPr>
          <w:rFonts w:ascii="Times New Roman" w:hAnsi="Times New Roman" w:cs="Times New Roman"/>
          <w:sz w:val="24"/>
          <w:szCs w:val="24"/>
        </w:rPr>
        <w:t>.</w:t>
      </w:r>
    </w:p>
    <w:p w:rsidR="00B861DF" w:rsidRPr="00C93F78" w:rsidRDefault="00B861DF" w:rsidP="00C93F78">
      <w:pPr>
        <w:spacing w:before="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Prowadzenie postępowań przygotowawczych przez Szefa KAS powinno mieć bowiem charakter fakultatywny, a nie obligatoryjny. Za powyższym przemawia fakt, iż prowadzenie postępowań przygotowawczych na szczeblu centralnym może rodzić trudności. Prowadzenie takich postępowań zmuszałoby do korzystania z pomocy prawnych na dużą skalę. Nie byłoby bowiem możliwe "stacjonarne" przeprowadzenie postępowania przygotowawczego w razie ujawnienia przestępstwa skarbowego bądź wykroczenia skarbowego w przypadku np. przekazania Szefowi KAS informacji drogą elektroniczną, tak jak ma to miejsce przy projektowanym obowiązku przekazywania schematów podatkowych. Przedmiotowe schematy będą przesyłane elektronicznie z terenu całej Polski. Tym samym, celem przeprowadzenia postępowania przygotowawczego Szef KAS będzie musiał każdorazowo korzystać z pomocy prawnej właściwych miejscowo organów. Taki sposób prowadzenia postępowania nie sprzyja przestrzeganiu zasady szybkości prowadzenia postępowania i jego ekonomiki. Zasadnym zatem jest umożliwienie Szefowi KAS scedowania prowadzenia postępowań przygotowawczych w sprawach o przestępstwa skarbowe i wykroczenia skarbowe ujawnione w zakresie jego działania na organy podległe.</w:t>
      </w:r>
    </w:p>
    <w:p w:rsidR="00B861DF" w:rsidRPr="00C93F78" w:rsidRDefault="00B861DF" w:rsidP="00C93F78">
      <w:pPr>
        <w:pStyle w:val="Nagwek2"/>
        <w:spacing w:line="360" w:lineRule="auto"/>
        <w:ind w:left="660"/>
        <w:jc w:val="both"/>
        <w:rPr>
          <w:b w:val="0"/>
          <w:szCs w:val="24"/>
        </w:rPr>
      </w:pPr>
      <w:r w:rsidRPr="00C93F78">
        <w:rPr>
          <w:szCs w:val="24"/>
        </w:rPr>
        <w:t>Ocena przewidywanego wpływu obowiązku raportowania o schematach podatkowych na działalność mikroprzedsiębiorców oraz małych i średnich przedsiębiorców</w:t>
      </w:r>
    </w:p>
    <w:p w:rsidR="00B861DF" w:rsidRPr="00C93F78" w:rsidRDefault="00B861DF" w:rsidP="00C93F78">
      <w:pPr>
        <w:spacing w:before="120" w:after="0" w:line="360" w:lineRule="auto"/>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Mikroprzedsiębiorca oraz mały i średni przedsiębiorca może podlegać zasadom obowiązkowego raportowania schematów podatkowych w przypadku spełnienia przesłanek podmiotowych, o jakich mowa w projekcie ustawy. Nowy obowiązek przekazywania informacji o schematach podatkowych do organów podatkowych będzie dotyczył jedynie podmiotów korzystających ze schematów lub będących promotorami bądź wspomagającymi.</w:t>
      </w:r>
    </w:p>
    <w:p w:rsidR="00B861DF" w:rsidRPr="00C93F78" w:rsidRDefault="00B861DF" w:rsidP="00C93F78">
      <w:pPr>
        <w:spacing w:before="120" w:after="0" w:line="360" w:lineRule="auto"/>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W odniesieniu do przedsiębiorcy należącego do kręgu podmiotów obowiązanych do</w:t>
      </w:r>
      <w:r w:rsidRPr="00C93F78">
        <w:rPr>
          <w:rFonts w:ascii="Times New Roman" w:hAnsi="Times New Roman" w:cs="Times New Roman"/>
          <w:color w:val="000000" w:themeColor="text1"/>
          <w:sz w:val="24"/>
          <w:szCs w:val="24"/>
        </w:rPr>
        <w:t> </w:t>
      </w:r>
      <w:r w:rsidRPr="00C93F78">
        <w:rPr>
          <w:rFonts w:ascii="Times New Roman" w:hAnsi="Times New Roman"/>
          <w:color w:val="000000" w:themeColor="text1"/>
          <w:sz w:val="24"/>
          <w:szCs w:val="24"/>
        </w:rPr>
        <w:t>raportowania o schematach obowiązek ten będzie się wiązał z koniecznością złożenia za pomocą środków komunikacji elektronicznej odpowiedniego formularza. Podatnicy będą też obowiązani podawać indywidualny numer nadany schematowi (NSP) w deklaracjach podatkowych dotyczących okresów rozliczeniowych, w których stosowali schemat podatkowy.</w:t>
      </w:r>
    </w:p>
    <w:p w:rsidR="00B861DF" w:rsidRPr="00C93F78" w:rsidRDefault="00B861DF" w:rsidP="00C93F78">
      <w:pPr>
        <w:spacing w:before="120" w:after="0" w:line="360" w:lineRule="auto"/>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Natomiast w przypadku zaniechania lub nienależytego wykonania obowiązku raportowania zarówno w przypadku promotora jak też podmiotu korzystającego ze schematu zastosowanie znajdą sankcje karne</w:t>
      </w:r>
      <w:r w:rsidR="00840A3E" w:rsidRPr="00C93F78">
        <w:rPr>
          <w:rFonts w:ascii="Times New Roman" w:hAnsi="Times New Roman"/>
          <w:color w:val="000000" w:themeColor="text1"/>
          <w:sz w:val="24"/>
          <w:szCs w:val="24"/>
        </w:rPr>
        <w:t xml:space="preserve"> </w:t>
      </w:r>
      <w:r w:rsidRPr="00C93F78">
        <w:rPr>
          <w:rFonts w:ascii="Times New Roman" w:hAnsi="Times New Roman"/>
          <w:color w:val="000000" w:themeColor="text1"/>
          <w:sz w:val="24"/>
          <w:szCs w:val="24"/>
        </w:rPr>
        <w:t>lub kara pieniężna (wyłącznie w przypadku promotorów spełniających przesłanki z art. 86l).</w:t>
      </w:r>
    </w:p>
    <w:p w:rsidR="00B861DF" w:rsidRPr="00C93F78" w:rsidRDefault="00B861DF" w:rsidP="00C93F78">
      <w:pPr>
        <w:spacing w:before="120" w:after="0" w:line="360" w:lineRule="auto"/>
        <w:jc w:val="both"/>
        <w:rPr>
          <w:rFonts w:ascii="Times New Roman" w:hAnsi="Times New Roman"/>
          <w:color w:val="000000" w:themeColor="text1"/>
          <w:sz w:val="24"/>
          <w:szCs w:val="24"/>
        </w:rPr>
      </w:pPr>
      <w:r w:rsidRPr="00C93F78">
        <w:rPr>
          <w:rFonts w:ascii="Times New Roman" w:hAnsi="Times New Roman"/>
          <w:color w:val="000000" w:themeColor="text1"/>
          <w:sz w:val="24"/>
          <w:szCs w:val="24"/>
        </w:rPr>
        <w:t xml:space="preserve">Zaznaczyć przy tym należy, że z uwagi na zaproponowany próg de minimis w definicji kwalifikowanego korzystającego, jedynie wyjątkowo przepisy ustawy </w:t>
      </w:r>
      <w:r w:rsidRPr="00C93F78">
        <w:rPr>
          <w:rFonts w:ascii="Times New Roman" w:hAnsi="Times New Roman" w:cs="Times New Roman"/>
          <w:color w:val="000000" w:themeColor="text1"/>
          <w:sz w:val="24"/>
          <w:szCs w:val="24"/>
        </w:rPr>
        <w:t xml:space="preserve">w zakresie wykraczającym poza wymogi Dyrektywy </w:t>
      </w:r>
      <w:r w:rsidRPr="00C93F78">
        <w:rPr>
          <w:rFonts w:ascii="Times New Roman" w:hAnsi="Times New Roman"/>
          <w:color w:val="000000" w:themeColor="text1"/>
          <w:sz w:val="24"/>
          <w:szCs w:val="24"/>
        </w:rPr>
        <w:t>mogą znaleźć zastosowanie w stosunku do</w:t>
      </w:r>
      <w:r w:rsidRPr="00C93F78">
        <w:rPr>
          <w:rFonts w:ascii="Times New Roman" w:hAnsi="Times New Roman" w:cs="Times New Roman"/>
          <w:color w:val="000000" w:themeColor="text1"/>
          <w:sz w:val="24"/>
          <w:szCs w:val="24"/>
        </w:rPr>
        <w:t> </w:t>
      </w:r>
      <w:r w:rsidRPr="00C93F78">
        <w:rPr>
          <w:rFonts w:ascii="Times New Roman" w:hAnsi="Times New Roman"/>
          <w:color w:val="000000" w:themeColor="text1"/>
          <w:sz w:val="24"/>
          <w:szCs w:val="24"/>
        </w:rPr>
        <w:t>mikroprzedsiębiorców będących korzystającymi. Mikroprzedsiębiorca spełniający definicję promotora lub korzystającego objęty będzie przepisami ustawy i obowiązany może być do</w:t>
      </w:r>
      <w:r w:rsidRPr="00C93F78">
        <w:rPr>
          <w:rFonts w:ascii="Times New Roman" w:hAnsi="Times New Roman" w:cs="Times New Roman"/>
          <w:color w:val="000000" w:themeColor="text1"/>
          <w:sz w:val="24"/>
          <w:szCs w:val="24"/>
        </w:rPr>
        <w:t> </w:t>
      </w:r>
      <w:r w:rsidRPr="00C93F78">
        <w:rPr>
          <w:rFonts w:ascii="Times New Roman" w:hAnsi="Times New Roman"/>
          <w:color w:val="000000" w:themeColor="text1"/>
          <w:sz w:val="24"/>
          <w:szCs w:val="24"/>
        </w:rPr>
        <w:t xml:space="preserve">przekazania Szefowi KAS informacji o schemacie podatkowym. Mikroprzedsiębiorca wykonujący działalność w ramach której nie korzysta ze schematów podatkowych nie powinien odczuć skutków wprowadzenia nowych zasad MDR. </w:t>
      </w:r>
    </w:p>
    <w:p w:rsidR="00B861DF" w:rsidRPr="00C93F78" w:rsidRDefault="00B861DF" w:rsidP="00C93F78">
      <w:pPr>
        <w:spacing w:before="120" w:line="360" w:lineRule="auto"/>
        <w:jc w:val="both"/>
        <w:rPr>
          <w:rFonts w:ascii="Times New Roman" w:hAnsi="Times New Roman" w:cs="Times New Roman"/>
          <w:sz w:val="24"/>
          <w:szCs w:val="24"/>
        </w:rPr>
      </w:pPr>
      <w:r w:rsidRPr="00C93F78">
        <w:rPr>
          <w:rFonts w:ascii="Times New Roman" w:hAnsi="Times New Roman"/>
          <w:color w:val="000000" w:themeColor="text1"/>
          <w:sz w:val="24"/>
          <w:szCs w:val="24"/>
        </w:rPr>
        <w:t>Mając na uwadze, że celem obowiązkowego raportowania MDR jest także zniechęcenie podatników do korzystania ze schematów podatkowych należy się spodziewać, że wielu podatników zrezygnuje z udziału w systemach agresywnego planowania, a tym samym nie będzie stosowało nieuczciwych sposobów uzyskania przewagi ekonomicznej nad podmiotami uczciwie wypełniającymi obowiązki podatkowe. Będzie więc możliwe prowadzenie działalności gospodarczej z poszanowaniem zasad równości i konkurencji. Wprowadzenie MDR przyczyni się do poprawy konkurencyjności przedsiębiorstw, które nie korzystają ze schematów podatkowych oraz metod agresywnego planowania podatkowego.</w:t>
      </w:r>
    </w:p>
    <w:p w:rsidR="00B861DF" w:rsidRPr="00C93F78" w:rsidRDefault="00B861DF" w:rsidP="00C93F78">
      <w:pPr>
        <w:pStyle w:val="Nagwek2"/>
        <w:spacing w:line="360" w:lineRule="auto"/>
        <w:ind w:left="660"/>
        <w:jc w:val="both"/>
        <w:rPr>
          <w:b w:val="0"/>
          <w:szCs w:val="24"/>
        </w:rPr>
      </w:pPr>
      <w:r w:rsidRPr="00C93F78">
        <w:rPr>
          <w:szCs w:val="24"/>
        </w:rPr>
        <w:t>Przepis końcowy – termin wejścia w życie</w:t>
      </w:r>
    </w:p>
    <w:p w:rsidR="00B861DF" w:rsidRPr="00C93F78" w:rsidRDefault="00B861DF" w:rsidP="00C93F78">
      <w:pPr>
        <w:pStyle w:val="ARTartustawynprozporzdzenia"/>
        <w:ind w:firstLine="0"/>
        <w:rPr>
          <w:rStyle w:val="Ppogrubienie"/>
          <w:rFonts w:ascii="Times New Roman" w:hAnsi="Times New Roman"/>
          <w:b w:val="0"/>
          <w:szCs w:val="24"/>
        </w:rPr>
      </w:pPr>
      <w:r w:rsidRPr="00C93F78">
        <w:rPr>
          <w:rStyle w:val="Ppogrubienie"/>
          <w:rFonts w:ascii="Times New Roman" w:hAnsi="Times New Roman"/>
          <w:b w:val="0"/>
          <w:szCs w:val="24"/>
        </w:rPr>
        <w:t>Ustawa wchodzi w życie z dniem 1 stycznia 2019 r. Taki termin wejścia w życie ustawy związany jest z celem jej wprowadzenia. W szczególności wynika z pilnej potrzeby wdrożenia mechanizmów przeciwdziałających wykorzystywaniu schematów podatkowych i agresywnego planowania podatkowego przez podatników w celu uniknięcia lub obniżenia podstawy opodatkowania.</w:t>
      </w:r>
    </w:p>
    <w:p w:rsidR="00B861DF" w:rsidRPr="00C93F78" w:rsidRDefault="00B861DF" w:rsidP="00C93F78">
      <w:pPr>
        <w:pStyle w:val="ARTartustawynprozporzdzenia"/>
        <w:ind w:firstLine="0"/>
        <w:rPr>
          <w:rFonts w:ascii="Times New Roman" w:hAnsi="Times New Roman"/>
          <w:szCs w:val="24"/>
        </w:rPr>
      </w:pPr>
      <w:r w:rsidRPr="00C93F78">
        <w:rPr>
          <w:rFonts w:ascii="Times New Roman" w:hAnsi="Times New Roman"/>
          <w:szCs w:val="24"/>
        </w:rPr>
        <w:t xml:space="preserve">Zgodnie z art. 5 ustawy z dnia 7 lipca 2005 r. o działalności lobbingowej w procesie stanowienia prawa (Dz. U. z 2017 r. poz. 248) projekt ustawy dotyczący MDR został zamieszczony w Biuletynie Informacji Publicznej Rządowego Centrum Legislacji. </w:t>
      </w:r>
    </w:p>
    <w:p w:rsidR="00B861DF" w:rsidRPr="00C93F78" w:rsidRDefault="00B861DF" w:rsidP="00C93F78">
      <w:pPr>
        <w:pStyle w:val="ARTartustawynprozporzdzenia"/>
        <w:ind w:firstLine="0"/>
        <w:rPr>
          <w:rFonts w:ascii="Times New Roman" w:hAnsi="Times New Roman"/>
          <w:szCs w:val="24"/>
        </w:rPr>
      </w:pPr>
      <w:r w:rsidRPr="00C93F78">
        <w:rPr>
          <w:rFonts w:ascii="Times New Roman" w:hAnsi="Times New Roman"/>
          <w:szCs w:val="24"/>
        </w:rPr>
        <w:t>Projektowana ustawa w zakresie MDR jest zgodna z prawem Unii Europejskiej.</w:t>
      </w:r>
    </w:p>
    <w:p w:rsidR="00B861DF" w:rsidRPr="00C93F78" w:rsidRDefault="00B861DF" w:rsidP="00C93F78">
      <w:pPr>
        <w:pStyle w:val="ARTartustawynprozporzdzenia"/>
        <w:ind w:firstLine="0"/>
        <w:rPr>
          <w:rFonts w:ascii="Times New Roman" w:hAnsi="Times New Roman"/>
          <w:szCs w:val="24"/>
        </w:rPr>
      </w:pPr>
      <w:r w:rsidRPr="00C93F78">
        <w:rPr>
          <w:rFonts w:ascii="Times New Roman" w:hAnsi="Times New Roman"/>
          <w:szCs w:val="24"/>
        </w:rPr>
        <w:t xml:space="preserve">Projektowana ustawa dotycząca MDR nie wymaga przedłożenia właściwym instytucjom i organom Unii Europejskiej, w tym Europejskiemu Bankowi Centralnemu w celu uzyskania opinii, dokonania konsultacji lub uzgodnienia, o których mowa w § 39 uchwały nr 190 Rady Ministrów z dnia 29 października 2013 r. – Regulamin pracy Rady Ministrów (M.P. z 2016 r. poz. 1006 i 1204 oraz z 2018 r. poz. 114 i 278). </w:t>
      </w:r>
    </w:p>
    <w:p w:rsidR="00B861DF" w:rsidRPr="00C93F78" w:rsidRDefault="00B861DF" w:rsidP="00C93F78">
      <w:pPr>
        <w:pStyle w:val="ARTartustawynprozporzdzenia"/>
        <w:ind w:firstLine="0"/>
        <w:rPr>
          <w:rFonts w:ascii="Times New Roman" w:hAnsi="Times New Roman"/>
          <w:szCs w:val="24"/>
        </w:rPr>
      </w:pPr>
      <w:r w:rsidRPr="00C93F78">
        <w:rPr>
          <w:rFonts w:ascii="Times New Roman" w:hAnsi="Times New Roman"/>
          <w:szCs w:val="24"/>
        </w:rPr>
        <w:t>Projekt odnośnie MDR nie zawiera przepisów technicznych, a zatem nie podlega notyfikacji zgodnie z trybem przewidzianym w rozporządzeniu Rady M</w:t>
      </w:r>
      <w:r w:rsidR="001F5C69">
        <w:rPr>
          <w:rFonts w:ascii="Times New Roman" w:hAnsi="Times New Roman"/>
          <w:szCs w:val="24"/>
        </w:rPr>
        <w:t>inistrów z dnia 23 grudnia 2002 </w:t>
      </w:r>
      <w:r w:rsidRPr="00C93F78">
        <w:rPr>
          <w:rFonts w:ascii="Times New Roman" w:hAnsi="Times New Roman"/>
          <w:szCs w:val="24"/>
        </w:rPr>
        <w:t>r. w sprawie sposobu funkcjonowania krajowego systemu notyfikacji norm i aktów prawnych (Dz. U. poz. 2039, z późn. zm.).</w:t>
      </w:r>
    </w:p>
    <w:p w:rsidR="006B0AAF" w:rsidRPr="00C93F78" w:rsidRDefault="006B0AAF" w:rsidP="00C93F78">
      <w:pPr>
        <w:pStyle w:val="Nagwek1"/>
        <w:spacing w:line="360" w:lineRule="auto"/>
        <w:jc w:val="both"/>
        <w:rPr>
          <w:szCs w:val="24"/>
        </w:rPr>
      </w:pPr>
      <w:r w:rsidRPr="00C93F78">
        <w:rPr>
          <w:szCs w:val="24"/>
        </w:rPr>
        <w:t xml:space="preserve">IV. Zmiany w </w:t>
      </w:r>
      <w:r w:rsidR="004B0C13">
        <w:rPr>
          <w:szCs w:val="24"/>
        </w:rPr>
        <w:t>zakresie podatku u źródła (WHT)</w:t>
      </w:r>
    </w:p>
    <w:p w:rsidR="006B0AAF" w:rsidRPr="00C93F78" w:rsidRDefault="006B0AAF" w:rsidP="00C93F78">
      <w:pPr>
        <w:pStyle w:val="Nagwek2"/>
        <w:spacing w:line="360" w:lineRule="auto"/>
        <w:jc w:val="both"/>
        <w:rPr>
          <w:szCs w:val="24"/>
        </w:rPr>
      </w:pPr>
      <w:r w:rsidRPr="00C93F78">
        <w:rPr>
          <w:szCs w:val="24"/>
        </w:rPr>
        <w:t>Potrzeba i cel zmian</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Polsce, podobnie jak w większości państw, zakres obowiązku podatkowego w podatkach dochodowych oparty jest na dwóch, następujących zasadach:</w:t>
      </w:r>
    </w:p>
    <w:p w:rsidR="006B0AAF" w:rsidRPr="00C93F78" w:rsidRDefault="006B0AAF" w:rsidP="00C93F78">
      <w:pPr>
        <w:numPr>
          <w:ilvl w:val="0"/>
          <w:numId w:val="11"/>
        </w:numPr>
        <w:spacing w:after="120" w:line="360" w:lineRule="auto"/>
        <w:jc w:val="both"/>
        <w:rPr>
          <w:rFonts w:ascii="Times New Roman" w:hAnsi="Times New Roman" w:cs="Times New Roman"/>
          <w:sz w:val="24"/>
          <w:szCs w:val="24"/>
        </w:rPr>
      </w:pPr>
      <w:r w:rsidRPr="00C93F78">
        <w:rPr>
          <w:rFonts w:ascii="Times New Roman" w:hAnsi="Times New Roman" w:cs="Times New Roman"/>
          <w:b/>
          <w:sz w:val="24"/>
          <w:szCs w:val="24"/>
        </w:rPr>
        <w:t>zasadzie rezydencji</w:t>
      </w:r>
      <w:r w:rsidRPr="00C93F78">
        <w:rPr>
          <w:rFonts w:ascii="Times New Roman" w:hAnsi="Times New Roman" w:cs="Times New Roman"/>
          <w:sz w:val="24"/>
          <w:szCs w:val="24"/>
        </w:rPr>
        <w:t>, zgodnie z którą na rezydentach podatkowych, tj. osobach mających na terytorium Rzeczpospolitej Polskiej miejsce zamieszkania (osoby fizyczne), siedzibę lub zarząd (podatnicy podatku dochodowego od osób prawnych) ciąży nieograniczony obowiązek podatkowy. Oznacza to, że rezydenci podlegają w Polsce obowiązkowi podatkowemu od całości swoich dochodów (przychodów) bez względu na miejsce położenia ich źródeł oraz,</w:t>
      </w:r>
    </w:p>
    <w:p w:rsidR="006B0AAF" w:rsidRPr="00C93F78" w:rsidRDefault="006B0AAF" w:rsidP="00C93F78">
      <w:pPr>
        <w:numPr>
          <w:ilvl w:val="0"/>
          <w:numId w:val="11"/>
        </w:numPr>
        <w:spacing w:after="120" w:line="360" w:lineRule="auto"/>
        <w:jc w:val="both"/>
        <w:rPr>
          <w:rFonts w:ascii="Times New Roman" w:hAnsi="Times New Roman" w:cs="Times New Roman"/>
          <w:sz w:val="24"/>
          <w:szCs w:val="24"/>
        </w:rPr>
      </w:pPr>
      <w:r w:rsidRPr="00C93F78">
        <w:rPr>
          <w:rFonts w:ascii="Times New Roman" w:hAnsi="Times New Roman" w:cs="Times New Roman"/>
          <w:b/>
          <w:sz w:val="24"/>
          <w:szCs w:val="24"/>
        </w:rPr>
        <w:t>zasadzie źródła</w:t>
      </w:r>
      <w:r w:rsidRPr="00C93F78">
        <w:rPr>
          <w:rFonts w:ascii="Times New Roman" w:hAnsi="Times New Roman" w:cs="Times New Roman"/>
          <w:sz w:val="24"/>
          <w:szCs w:val="24"/>
        </w:rPr>
        <w:t>, zgodnie z którą na tzw. nierezydentach, tj. podatnikach niemających na terenie Rzeczypospolitej Polskiej miejsca zamieszkania (osoby fizyczne), siedziby lub zarządu, ciąży ograniczony obowiązek podatkowy. Nierezydenci podlegają w Polsce obowiązkowi podatkowemu tylko od dochodów (przychodów) osiąganych na terytorium naszego państwa.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niektórych rodzajów dochodów, w zależności od statusu podatkowego podatnika (rezydent/nierezydent), polskie przepisy prawa podatkowego przewidują odmienne zasady poboru podatku. W przypadku nierezydentów – z uwagi na występujący, co do zasady, brak bezpośredniego i stałego powiązania z terytorium Polski – zasadą jest pobór podatku u źródła. W efekcie płatnik (najczęściej jest to podmiot wypłacający należności na rzecz nierezydenta) obowiązany jest na podstawie przepisów prawa podatkowego do obliczenia i pobrania od podatnika podatku i wpłacenia go we właściwym terminie organowi podatkowemu. Instytucja płatnika występuje także w przypadku niektórych płatności realizowanych na rzecz rezydentów (np. pobór podatku u źródła od wypłacanych dywidend i innych przychodów z tytułu udziału w zyskach osób prawnych).</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Prawidłowy oraz sprawny pobór podatku u źródła pełni bardzo istotne funkcje dla sprawnego działania państwa. W praktyce szczególne znaczenie ma ustalenie prawidłowej stawki podatku u źródła. Przewidziane w przepisach obu ustaw o podatkach dochodowych stawki podatkowe mogą być obniżane lub należność korzystać może ze zwolnienia z podatku u źródła z uwagi na preferencje wynikające z przepisów implementujących dyrektywy Unii Europejskiej lub na podstawie postanowień umów o unikaniu podwójnego opodatkowania.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Obecnie skorzystanie z preferencyjnego opodatkowania wypłacanych należności następuje często już w momencie wypłaty należności przez płatnika. Rozwiązanie takie określane jest w języku angielskim jako mechanizm </w:t>
      </w:r>
      <w:r w:rsidRPr="00C93F78">
        <w:rPr>
          <w:rFonts w:ascii="Times New Roman" w:hAnsi="Times New Roman" w:cs="Times New Roman"/>
          <w:i/>
          <w:sz w:val="24"/>
          <w:szCs w:val="24"/>
        </w:rPr>
        <w:t>relief at source</w:t>
      </w:r>
      <w:r w:rsidRPr="00C93F78">
        <w:rPr>
          <w:rFonts w:ascii="Times New Roman" w:hAnsi="Times New Roman" w:cs="Times New Roman"/>
          <w:sz w:val="24"/>
          <w:szCs w:val="24"/>
        </w:rPr>
        <w:t xml:space="preserve">. Jedną z konsekwencji tego mechanizmu jest fakt, że ewentualna kontrola prawidłowości dokonanych przez płatnika rozliczeń następuje </w:t>
      </w:r>
      <w:r w:rsidRPr="00C93F78">
        <w:rPr>
          <w:rFonts w:ascii="Times New Roman" w:hAnsi="Times New Roman" w:cs="Times New Roman"/>
          <w:i/>
          <w:sz w:val="24"/>
          <w:szCs w:val="24"/>
        </w:rPr>
        <w:t>post factum</w:t>
      </w:r>
      <w:r w:rsidRPr="00C93F78">
        <w:rPr>
          <w:rFonts w:ascii="Times New Roman" w:hAnsi="Times New Roman" w:cs="Times New Roman"/>
          <w:sz w:val="24"/>
          <w:szCs w:val="24"/>
        </w:rPr>
        <w:t xml:space="preserve"> i z uwagi na – przewidziane w przepisach prawa podatkowego – zasady odpowiedzialności płatnika, prowadzić może do poniesienia przez niego finansowego ciężaru rozliczenia podatku.</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Analiza dotychczasowej praktyki, w tym wyniki przeprowadzonych kontroli, wskazują na potrzebę dokonania korekty podejścia w tym obszarze. Polegać ona będzie na wprowadzeniu w pewnym zakresie, w miejsce ulgi stosowanej już w momencie wypłaty przez płatnika, obowiązku poboru podatku przez płatnika, połączonego z procedurą dokonania zwrotu podatku (ang. </w:t>
      </w:r>
      <w:r w:rsidRPr="00C93F78">
        <w:rPr>
          <w:rFonts w:ascii="Times New Roman" w:hAnsi="Times New Roman" w:cs="Times New Roman"/>
          <w:i/>
          <w:sz w:val="24"/>
          <w:szCs w:val="24"/>
        </w:rPr>
        <w:t>tax refund</w:t>
      </w:r>
      <w:r w:rsidRPr="00C93F78">
        <w:rPr>
          <w:rFonts w:ascii="Times New Roman" w:hAnsi="Times New Roman" w:cs="Times New Roman"/>
          <w:sz w:val="24"/>
          <w:szCs w:val="24"/>
        </w:rPr>
        <w:t>). Zwrot następować będzie po przeprowadzeniu odpowiedniej weryfikacji prawa do preferencyjnego opodatkowania podatkiem u źródła należności.</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Jedną z przyczyn tych zmian jest rosnąca globalizacja oraz mobilność tzw. dochodów pasywnych (dywidendy, odsetki oraz należności licencyjne) powiązana z mogącymi wystąpić w praktyce trudnościami w ustaleniu prawidłowej stawki podatkowej, np. z uwagi na kryterium rzeczywistego właściciela (ang. </w:t>
      </w:r>
      <w:r w:rsidRPr="00C93F78">
        <w:rPr>
          <w:rFonts w:ascii="Times New Roman" w:hAnsi="Times New Roman" w:cs="Times New Roman"/>
          <w:i/>
          <w:sz w:val="24"/>
          <w:szCs w:val="24"/>
        </w:rPr>
        <w:t>beneficial owner</w:t>
      </w:r>
      <w:r w:rsidRPr="00C93F78">
        <w:rPr>
          <w:rFonts w:ascii="Times New Roman" w:hAnsi="Times New Roman" w:cs="Times New Roman"/>
          <w:sz w:val="24"/>
          <w:szCs w:val="24"/>
        </w:rPr>
        <w: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Potrzeba wprowadzenia zmian w przepisach podatkowych związanych z przepływami finansowymi w zakresie dochodów podlegających opodatkowaniu podatkiem u źródła wynika także z dotychczasowej praktyki Krajowej Administracji Skarbowej. Przykładowo wskazać należy, że w 2017 roku zostały wszczęte kontrole celno-skarbowe, których przedmiotem była weryfikacja prawidłowości stosowania zwolnienia od podatku u źródła dochodów pasywnych – odsetek wypłacanych poza granice Rzeczypospolitej Polskiej. Głównym obszarem tych kontroli była weryfikacja, czy podmiot zagraniczny podlegający w Polsce ograniczonemu obowiązkowi podatkowemu jest rzeczywistym właścicielem otrzymanych odsetek (</w:t>
      </w:r>
      <w:r w:rsidRPr="00C93F78">
        <w:rPr>
          <w:rFonts w:ascii="Times New Roman" w:hAnsi="Times New Roman" w:cs="Times New Roman"/>
          <w:i/>
          <w:sz w:val="24"/>
          <w:szCs w:val="24"/>
        </w:rPr>
        <w:t>beneficial owner</w:t>
      </w:r>
      <w:r w:rsidRPr="00C93F78">
        <w:rPr>
          <w:rFonts w:ascii="Times New Roman" w:hAnsi="Times New Roman" w:cs="Times New Roman"/>
          <w:sz w:val="24"/>
          <w:szCs w:val="24"/>
        </w:rPr>
        <w: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Dotychczas zakończyło się sześć kontroli celno-skarbowych przedmiotowego zagadnienia, które zakończyły się stwierdzeniem, że podmiot zagraniczny nie był rzeczywistym właścicielem otrzymywanych przez siebie odsetek od podmiotu z siedzibą na terytorium Polski. W sprawach tych stwierdzono, że płatnicy wypłacający te należności powinni pobrać p</w:t>
      </w:r>
      <w:r w:rsidR="004B0C13">
        <w:rPr>
          <w:rFonts w:ascii="Times New Roman" w:hAnsi="Times New Roman" w:cs="Times New Roman"/>
          <w:sz w:val="24"/>
          <w:szCs w:val="24"/>
        </w:rPr>
        <w:t>odatek „</w:t>
      </w:r>
      <w:r w:rsidRPr="00C93F78">
        <w:rPr>
          <w:rFonts w:ascii="Times New Roman" w:hAnsi="Times New Roman" w:cs="Times New Roman"/>
          <w:sz w:val="24"/>
          <w:szCs w:val="24"/>
        </w:rPr>
        <w:t>u źródła</w:t>
      </w:r>
      <w:r w:rsidR="004B0C13">
        <w:rPr>
          <w:rFonts w:ascii="Times New Roman" w:hAnsi="Times New Roman" w:cs="Times New Roman"/>
          <w:sz w:val="24"/>
          <w:szCs w:val="24"/>
        </w:rPr>
        <w:t>”</w:t>
      </w:r>
      <w:r w:rsidRPr="00C93F78">
        <w:rPr>
          <w:rFonts w:ascii="Times New Roman" w:hAnsi="Times New Roman" w:cs="Times New Roman"/>
          <w:sz w:val="24"/>
          <w:szCs w:val="24"/>
        </w:rPr>
        <w:t xml:space="preserve"> w kwocie 104,2 mln zł. Ustalenia te nie mają charakteru ostatecznego. W trzech przypadkach toczy się postępowanie podatkowe w pierwszej instancji, a w jednym przypadku postępowanie odwoławcze. Skala nieprawidłowości w tych kilku sprawach stanowi argument na rzecz projektowanych rozwiązań.</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Jako istotne ograniczenia związane z egzekwowaniem należności podatkowych wskazuje się w szczególności istnienie struktur międzynarodowych, w których znacznie utrudnione jest ustalenie ostatecznego właściciela należności, w stosunku do której zastosowano (przy wypłacie) preferencyjne zasady opodatkowania podatkiem u źródła pobieranym w Polsce. Innym obszarem potencjalnych nieprawidłowości są nadużycia związane z obowiązywaniem w Polsce dyrektyw unijnych przewidujących zwolnienie z podatku dochodowego od osób prawnych dochodów pasywnych.</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Bardzo istotnym celem projektowanych zmian jest również usprawnienie procesu poboru oraz zwrotu przez organy podatkowego tego podatku, poprzez informatyzację procesu. Zgodnie bowiem z projektowanymi przepisami, dla wniosku o zwrot podatku przewidziana została forma elektroniczna (w formie elektronicznej przesyłana będzie również dołączana do wniosku niezbędna dokumentacja wskazująca na zasadność zwrotu podatku). W dobie informatyzacji w zakresie przekazywania informacji, tego rodzaju wymóg należy ocenić jako naturalny. Równolegle jednak dostrzec należy korzyść płynącą z szybszej wymiany danych pomiędzy organem podatkowym a wnioskodawcą. Jednocześnie po stronie administracji skarbowej funkcjonować będą rozwiązania informatyczne, pozwalające na analizę danych wykorzystywanych na potrzeby zwrotu podatku oraz wydawania opinii o stosowaniu zwolnienia.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Projektowane przepisy wprowadzają następujące zmiany:</w:t>
      </w:r>
    </w:p>
    <w:p w:rsidR="006B0AAF" w:rsidRPr="00C93F78" w:rsidRDefault="006B0AAF" w:rsidP="00C93F78">
      <w:pPr>
        <w:numPr>
          <w:ilvl w:val="0"/>
          <w:numId w:val="9"/>
        </w:numPr>
        <w:spacing w:after="120" w:line="360" w:lineRule="auto"/>
        <w:ind w:hanging="720"/>
        <w:jc w:val="both"/>
        <w:rPr>
          <w:rFonts w:ascii="Times New Roman" w:hAnsi="Times New Roman" w:cs="Times New Roman"/>
          <w:sz w:val="24"/>
          <w:szCs w:val="24"/>
        </w:rPr>
      </w:pPr>
      <w:r w:rsidRPr="00C93F78">
        <w:rPr>
          <w:rFonts w:ascii="Times New Roman" w:hAnsi="Times New Roman" w:cs="Times New Roman"/>
          <w:sz w:val="24"/>
          <w:szCs w:val="24"/>
        </w:rPr>
        <w:t>najważniejsza część projektu dotyczy zmian w zakresie sposobu poboru podatku u źródła z tytułu wypłacanych należności na rzecz nierezydenta oraz – w przypadku dywidend i innych przychodów z tytułu udziału w zyskach osób prawnych – na rzecz rezydenta. Elementem tych zmian jest wprowadzenie szczególnej względem przepisów Ordynacji podatkowej procedury zwrotu pobranych kwot. Zwrot następować będzie po dokonaniu stosownej weryfikacji wniosku.</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Podkreślić jednak należy, że zmiany te dotyczyć będą sytuacji, w której podatnik od tego samego płatnika w jednym roku podatkowym osiągnie przysporzenie w kwocie przewyższającej dwa miliony złotych, a zatem projektowane zmiany dotkną jedynie największych płatników. Jednocześnie rozwiązanie zakłada możliwość stosowania dotychczasowych zasad rozliczania podatku u źródła (tj. możliwość stosowania przez płatnika preferencyjnego opodatkowania podatkiem u źródła) w sytuacji przedłożenia przez płatnika organowi podatkowemu odpowiednich oświadczeń dotyczących spełnienia wymogów formalnych (np. uzyskanie wymaganych dokumentów od podatnika) oraz dochowania staranności w weryfikacji merytorycznych przesłanek dla danej preferencji podatkowej (obniżona stawka lub zwolnienie).</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 Płatnicy, którzy nie zdecydują się złożyć wymaganych oświadczeń, będą podlegali zmienionym zasadom rozliczania podatku z tytułu przychodów uzyskanych na terytorium Rzeczypospolitej Polskiej zarówno w odniesieniu do podatników niemających w Polsce miejsca zamieszkania (siedziby), tzw. nierezydentów, jak również – w przypadku niektórych dochodów i wypłat (np. dywidendy) – w stosunku do</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podmiotów krajowych. Zmiany obejmują również przepisy regulujące obowiązki płatnika. Do wysokości kwoty 2 mln zł obowiązywać będą dotychczasowe zasady płatności (poboru) podatku u źródła. Z chwilą przekroczenia tej kwoty, płatnik, który nie złożył powyższych oświadczeń, zobowiązany będzie do poboru, obliczenia i wpłacenia podatku stosując stawki określone w ustawie o podatku dochodowym od osób prawnych lub ustawie o podatku dochodowym od osób fizycznych. W tym przypadku płatnik nie stosuje zwolnień wskazanych w tych ustawach oraz przepisów umów o unikaniu podwójnego opodatkowania, z którymi Polska ma podpisaną umowę. W przypadku pobrania podatku przez płatnika, podatnik, jego pełnomocnik, oraz płatnik może wystąpić z wnioskiem o zwrot podatku do organu podatkowego.</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Wprowadzenie zmian poboru podatku u źródła w stosunku do wspomnianych istotnych kwotowo wypłat powiązane jest ponadto z propozycją obowiązywania tzw. opinii o stosowaniu zwolnienia, pozwalającej – w stosunku do pewnej kategorii wypłat – na dokonywanie rozliczeń na dotychczasowych zasadach, tj. stosowanie przez płatnika preferencji podatkowych już w momencie dokonywania wypłat należności. Zagadnienia te zostaną szczegółowo przedstawione w dalszej części uzasadnienia.</w:t>
      </w:r>
    </w:p>
    <w:p w:rsidR="006B0AAF" w:rsidRPr="00C93F78" w:rsidRDefault="006B0AAF" w:rsidP="00C93F78">
      <w:pPr>
        <w:numPr>
          <w:ilvl w:val="0"/>
          <w:numId w:val="9"/>
        </w:numPr>
        <w:spacing w:after="120" w:line="360" w:lineRule="auto"/>
        <w:ind w:hanging="720"/>
        <w:jc w:val="both"/>
        <w:rPr>
          <w:rFonts w:ascii="Times New Roman" w:hAnsi="Times New Roman" w:cs="Times New Roman"/>
          <w:sz w:val="24"/>
          <w:szCs w:val="24"/>
        </w:rPr>
      </w:pPr>
      <w:r w:rsidRPr="00C93F78">
        <w:rPr>
          <w:rFonts w:ascii="Times New Roman" w:hAnsi="Times New Roman" w:cs="Times New Roman"/>
          <w:sz w:val="24"/>
          <w:szCs w:val="24"/>
        </w:rPr>
        <w:t>doprecyzowanie definicji rzeczywistego właściciela,</w:t>
      </w:r>
    </w:p>
    <w:p w:rsidR="006B0AAF" w:rsidRPr="00C93F78" w:rsidRDefault="006B0AAF" w:rsidP="00C93F78">
      <w:pPr>
        <w:numPr>
          <w:ilvl w:val="0"/>
          <w:numId w:val="9"/>
        </w:numPr>
        <w:spacing w:after="120" w:line="360" w:lineRule="auto"/>
        <w:ind w:hanging="720"/>
        <w:jc w:val="both"/>
        <w:rPr>
          <w:rFonts w:ascii="Times New Roman" w:hAnsi="Times New Roman" w:cs="Times New Roman"/>
          <w:sz w:val="24"/>
          <w:szCs w:val="24"/>
        </w:rPr>
      </w:pPr>
      <w:r w:rsidRPr="00C93F78">
        <w:rPr>
          <w:rFonts w:ascii="Times New Roman" w:hAnsi="Times New Roman" w:cs="Times New Roman"/>
          <w:sz w:val="24"/>
          <w:szCs w:val="24"/>
        </w:rPr>
        <w:t>dodatkowo, w przypadku ustawy o podatku dochodowym od osób prawnych, ustawa przewiduje zmianę klauzuli szczególnej przeciwko nadużywaniu zwolnień podatkowych wynikających z przepisów implementujących dyrektywy unijne – tj. zmianę w treści art. 22c.</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Jak wskazywano, podstawowym celem projektowanych zmian jest wprowadzenie rozwiązań mających na celu weryfikację warunków skorzystania z preferencyjnych zasad opodatkowania istotnych kwotowo wypłacanych należności, które zgodnie z przepisami obu ustaw o podatkach dochodowych podlegają opodatkowaniu podatkiem u źródła.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Proponowane modyfikacje oznaczają zmianę zasad poboru podatku u źródła w stosunku do wypłat na rzecz tego samego podatnika przez tego samego płatnika w jednym roku podatkowym w kwocie przewyższającej dwa miliony złotych. Generalnie w tego typu sytuacjach nastąpi odejście od mechanizmu </w:t>
      </w:r>
      <w:r w:rsidRPr="00C93F78">
        <w:rPr>
          <w:rFonts w:ascii="Times New Roman" w:hAnsi="Times New Roman" w:cs="Times New Roman"/>
          <w:i/>
          <w:sz w:val="24"/>
          <w:szCs w:val="24"/>
        </w:rPr>
        <w:t xml:space="preserve">relief at source </w:t>
      </w:r>
      <w:r w:rsidRPr="00C93F78">
        <w:rPr>
          <w:rFonts w:ascii="Times New Roman" w:hAnsi="Times New Roman" w:cs="Times New Roman"/>
          <w:sz w:val="24"/>
          <w:szCs w:val="24"/>
        </w:rPr>
        <w:t>i wprowadzony zostanie obowiązek poboru podatku u źródła przez płatnika. Nowy mechanizm (pobór podatku i jego zwrot, po weryfikacji uprawnień do preferencyjnego opodatkowanie) nie wystąpi w tych przypadkach, w których płatnik skorzysta z jednego z dostępnych uproszczeń. Jednocześnie podkreślić należy, że uwzględniając uregulowaną w przepisach obu ustaw o podatkach dochodowych zasadę ograniczonego obowiązku podatkowego, punktem wyjścia przy opodatkowywaniu przychodów uzyskanych na terytorium Rzeczypospolitej Polskiej przez nierezydentów jest ustalenie osoby podatnika, a więc ustalenie wobec kogo powstał obowiązek podatkowy. W sytuacji, gdy bezpośredni odbiorca wypłacanej przez płatnika należności pełni funkcję pośrednika, właściwe zastosowanie przepisów regulujących opodatkowanie u źródła wymaga ustalenia podatnika (por. wyrok Naczelnego Sądu Administracyjnego z 20 października 2017 r., sygn. akt II FSK 2594/15).</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Cel zmian ma znaczenie zwłaszcza w odniesieniu do wypłacanych na rzecz nierezydentów odsetek, dywidend, należności licencyjnych lub innych należności podlegających w Polsce opodatkowaniu podatkiem u źródła. Mechanizm poboru podatku i jego zwrotu umożliwiać będzie – w stosunku do istotnych kwotowo wypłat – ściślejszą weryfikację warunków dla skorzystania z preferencyjnych zasad opodatkowania na podstawie umów o unikaniu podwójnego opodatkowania lub zwolnień wynikających z przepisów implementujących rozwiązania dyrektyw unijnych. W tym zakresie, zmiana mechanizmu poboru podatku umożliwiać będzie zapobieganie nieprawidłowościom w rozliczaniu podatku u źródła, np. w sytuacji wypłaty odsetek dla podatnika, który nie spełnia kryterium rzeczywistego właściciela (</w:t>
      </w:r>
      <w:r w:rsidRPr="00C93F78">
        <w:rPr>
          <w:rFonts w:ascii="Times New Roman" w:hAnsi="Times New Roman" w:cs="Times New Roman"/>
          <w:i/>
          <w:sz w:val="24"/>
          <w:szCs w:val="24"/>
        </w:rPr>
        <w:t>beneficial owner</w:t>
      </w:r>
      <w:r w:rsidRPr="00C93F78">
        <w:rPr>
          <w:rFonts w:ascii="Times New Roman" w:hAnsi="Times New Roman" w:cs="Times New Roman"/>
          <w:sz w:val="24"/>
          <w:szCs w:val="24"/>
        </w:rPr>
        <w: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w zakresie zmiany pojęcia rzeczywistego właściciela oraz klauzuli o unikaniu opodatkowania w ustawie o CIT jest dookreślenie tego pojęcia. Instytucja rzeczywistego właściciela (</w:t>
      </w:r>
      <w:r w:rsidRPr="00C93F78">
        <w:rPr>
          <w:rFonts w:ascii="Times New Roman" w:hAnsi="Times New Roman" w:cs="Times New Roman"/>
          <w:i/>
          <w:sz w:val="24"/>
          <w:szCs w:val="24"/>
        </w:rPr>
        <w:t>beneficial owner</w:t>
      </w:r>
      <w:r w:rsidRPr="00C93F78">
        <w:rPr>
          <w:rFonts w:ascii="Times New Roman" w:hAnsi="Times New Roman" w:cs="Times New Roman"/>
          <w:sz w:val="24"/>
          <w:szCs w:val="24"/>
        </w:rPr>
        <w:t>) ma na celu zwalczanie zjawiska określanego jako kupczenie umowami (</w:t>
      </w:r>
      <w:r w:rsidRPr="00C93F78">
        <w:rPr>
          <w:rFonts w:ascii="Times New Roman" w:hAnsi="Times New Roman" w:cs="Times New Roman"/>
          <w:i/>
          <w:sz w:val="24"/>
          <w:szCs w:val="24"/>
        </w:rPr>
        <w:t>treaty shopping</w:t>
      </w:r>
      <w:r w:rsidRPr="00C93F78">
        <w:rPr>
          <w:rFonts w:ascii="Times New Roman" w:hAnsi="Times New Roman" w:cs="Times New Roman"/>
          <w:sz w:val="24"/>
          <w:szCs w:val="24"/>
        </w:rPr>
        <w:t xml:space="preserve">), które polega na tworzeniu nieuzasadnionych ekonomicznie struktur w celu skorzystania przez podmiot niebędący rezydentem podatkowym państw-stron konwencji podatkowej z przywilejów tej umowy. Preferencje wynikające z danej umowy nie byłyby dostępne bezpośrednio dla tego podmiotu. Podmiot ten uzyskuje on do nich dostęp przez podstawienie podmiotu pośredniczącego, spełniającego formalne warunki do uznania go za rezydenta podatkowego kraju, z którego konwencji podatkowych chce skorzystać. Działania </w:t>
      </w:r>
      <w:r w:rsidRPr="00C93F78">
        <w:rPr>
          <w:rFonts w:ascii="Times New Roman" w:hAnsi="Times New Roman" w:cs="Times New Roman"/>
          <w:i/>
          <w:sz w:val="24"/>
          <w:szCs w:val="24"/>
        </w:rPr>
        <w:t xml:space="preserve">treaty shopping </w:t>
      </w:r>
      <w:r w:rsidRPr="00C93F78">
        <w:rPr>
          <w:rFonts w:ascii="Times New Roman" w:hAnsi="Times New Roman" w:cs="Times New Roman"/>
          <w:sz w:val="24"/>
          <w:szCs w:val="24"/>
        </w:rPr>
        <w:t>możliwe są z uwagi na fakt, że status rezydenta podatkowego może być uzyskany przez osoby prawne po spełnieniu pewnych formalnych wymagań. Najczęściej jest to posiadanie formalnej siedziby na terytorium danego państwa.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celu przeciwdziałania sytuacji, w których formalni odbiorcy należności mających swoje źródło na terytorium Polski, korzystać będą z preferencyjnego opodatkowania, projekt przewiduje uszczegółowienie przesłanek uznania za rzeczywistego właściciela. Przesłanki te odwołują się do okoliczności faktycznych dotyczących cech odbiorcy należności i możliwości dysponowania przez ten podmiot z uzyskanych przychodów.</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Proponowane zmiany w dużej mierze wynikają również ze specyfiki polskiej gospodarki, tzn. dużego zaangażowania zagranicznego kapitału w polską gospodarkę, co bezpośrednio przekłada się na znaczną liczbę płatności (dywidendy, odsetki, należności licencyjne) z terytorium Polski do podmiotów zagranicznych. Tytułem przykładu można wskazać, iż „Dochody inwestorów bezpośrednich z tytułu dokonanych w Polsce inwestycji bezpośrednich w 2016 r. osiągnęły wartość 79,0 mld PLN. Dywidendy wyniosły 36,1 mld PLN, reinwestowane zyski były na poziomie 34,2 mld PLN, a dochody z tytułu odsetek osiągnęły wartość 8,7 mld PLN”</w:t>
      </w:r>
      <w:r w:rsidRPr="00C93F78">
        <w:rPr>
          <w:rFonts w:ascii="Times New Roman" w:hAnsi="Times New Roman" w:cs="Times New Roman"/>
          <w:sz w:val="24"/>
          <w:szCs w:val="24"/>
          <w:vertAlign w:val="superscript"/>
        </w:rPr>
        <w:footnoteReference w:id="39"/>
      </w:r>
      <w:r w:rsidRPr="00C93F78">
        <w:rPr>
          <w:rFonts w:ascii="Times New Roman" w:hAnsi="Times New Roman" w:cs="Times New Roman"/>
          <w:sz w:val="24"/>
          <w:szCs w:val="24"/>
        </w:rPr>
        <w: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Sam fakt wypłaty przedmiotowych należności na rzecz zagranicznych inwestorów, którzy oczekują zwrotu z zainwestowanego w Polsce kapitału, nie budzi wątpliwości. Istotne jest jednak prawidłowe opodatkowanie tych należności. W ocenie projektodawcy obecne regulacje, polegające na uprawnieniu płatnika do zastosowania zwolnień i preferencji bez względu na wypłacane kwoty, znacząco utrudniają kontrolę prawidłowości realizacji obowiązków podatkowych związanych z wypłatą największych płatności. Dodatkowo, według danych przekazywanych przez płatników za lata 2005-2015 w składanych przez te podmioty informacjach o wysokości przychodu (dochodu) uzyskanego przez podatników podatku dochodowego od osób prawnych niemających siedziby lub zarządu na terytorium Polski (IFT-2R), kwota dochodów z dywidend, odsetek, należności licencyjnych oraz usług doradczych, a więc dochodów wchodzących w zakres podatku i źródła, uzyskanych przez samych tylko podatników zagranicznym posiadających siedzibę lub zarząd na terytorium Unii Europejskiej, wyniosła w przybliżeniu ponad pół biliona złotych. Kwota dochodów uzyskanych w Polsce przez podatników podatku dochodowego od osób prawnych będących podmiotami zagranicznymi z tytułów, dla których ustawa o CIT przewiduje rozliczenie podatku na zasadzie pobrania go u źródła, wyniosła w latach 2014-2016 średnio lekko ponad dziewięćdziesiąt miliardów złotych rocznie (dane na podstawie informacji IFT-2R). Skala tych wypłat uzasadnia zwrócenie szczególnej uwagi na prawidłowość rozliczania należnego w Polsce podatku u źródła.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Informatyzacja procesów dotyczących podatku u źródła realizuje natomiast wytyczne </w:t>
      </w:r>
      <w:r w:rsidRPr="00C93F78">
        <w:rPr>
          <w:rFonts w:ascii="Times New Roman" w:hAnsi="Times New Roman"/>
          <w:sz w:val="24"/>
          <w:szCs w:val="24"/>
        </w:rPr>
        <w:t xml:space="preserve">Grupy ds. Kodeksu Postępowania (opodatkowanie działalności gospodarczej, </w:t>
      </w:r>
      <w:r w:rsidRPr="00C93F78">
        <w:rPr>
          <w:rFonts w:ascii="Times New Roman" w:hAnsi="Times New Roman"/>
          <w:i/>
          <w:sz w:val="24"/>
          <w:szCs w:val="24"/>
        </w:rPr>
        <w:t>Code of Conduct Group</w:t>
      </w:r>
      <w:r w:rsidRPr="00C93F78">
        <w:rPr>
          <w:rFonts w:ascii="Times New Roman" w:hAnsi="Times New Roman"/>
          <w:sz w:val="24"/>
          <w:szCs w:val="24"/>
        </w:rPr>
        <w:t>; tekst wytycznych dalej przywoływany jako</w:t>
      </w:r>
      <w:r w:rsidRPr="00C93F78">
        <w:rPr>
          <w:rFonts w:ascii="Times New Roman" w:hAnsi="Times New Roman"/>
          <w:i/>
          <w:sz w:val="24"/>
          <w:szCs w:val="24"/>
        </w:rPr>
        <w:t xml:space="preserve"> Code of Conduct</w:t>
      </w:r>
      <w:r w:rsidRPr="00C93F78">
        <w:rPr>
          <w:rFonts w:ascii="Times New Roman" w:hAnsi="Times New Roman"/>
          <w:sz w:val="24"/>
          <w:szCs w:val="24"/>
        </w:rPr>
        <w:t>)</w:t>
      </w:r>
      <w:r w:rsidRPr="00C93F78">
        <w:rPr>
          <w:rFonts w:ascii="Times New Roman" w:hAnsi="Times New Roman" w:cs="Times New Roman"/>
          <w:sz w:val="24"/>
          <w:szCs w:val="24"/>
        </w:rPr>
        <w:t xml:space="preserve">. W wytycznych tych zaleca się możliwie największą informatyzację zwrotu tego podatku oraz stworzenie możliwie najbardziej efektywnego, a jednocześnie możliwie najmniej inwazyjnego i skomplikowanego, systemu rozliczania podatku u źródła. W tym zakresie należy wskazać na poniższe, urzeczywistniające wytyczne zawarte w </w:t>
      </w:r>
      <w:r w:rsidRPr="00C93F78">
        <w:rPr>
          <w:rFonts w:ascii="Times New Roman" w:hAnsi="Times New Roman" w:cs="Times New Roman"/>
          <w:i/>
          <w:sz w:val="24"/>
          <w:szCs w:val="24"/>
        </w:rPr>
        <w:t>Code of Conduct</w:t>
      </w:r>
      <w:r w:rsidRPr="00C93F78">
        <w:rPr>
          <w:rFonts w:ascii="Times New Roman" w:hAnsi="Times New Roman" w:cs="Times New Roman"/>
          <w:sz w:val="24"/>
          <w:szCs w:val="24"/>
        </w:rPr>
        <w:t>, rozwiązania projektowanej nowelizacji:</w:t>
      </w:r>
    </w:p>
    <w:p w:rsidR="006B0AAF" w:rsidRPr="00C93F78" w:rsidRDefault="006B0AAF" w:rsidP="00C93F78">
      <w:pPr>
        <w:numPr>
          <w:ilvl w:val="0"/>
          <w:numId w:val="12"/>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forma komunikacji – tak jak to zostało już odnotowane, planowana zmiana zakłada składanie przez wnioskodawcę dokumentów dotyczących podatku u źródła (np. wniosku o zwrot oraz niezbędnej dokumentacji) za pomocą środków komunikacji elektronicznej;</w:t>
      </w:r>
    </w:p>
    <w:p w:rsidR="006B0AAF" w:rsidRPr="00C93F78" w:rsidRDefault="006B0AAF" w:rsidP="00C93F78">
      <w:pPr>
        <w:numPr>
          <w:ilvl w:val="0"/>
          <w:numId w:val="12"/>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wydanie przez ministra właściwego do spraw finansów publicznych wzoru wniosku o zwrot wraz z objaśnieniami co do sposobu jego wypełnienia i złożenia (publikowanie online wzorów wniosków niezbędnych dla zwrotu podatku wskazane zostało w </w:t>
      </w:r>
      <w:r w:rsidRPr="00C93F78">
        <w:rPr>
          <w:rFonts w:ascii="Times New Roman" w:hAnsi="Times New Roman" w:cs="Times New Roman"/>
          <w:i/>
          <w:sz w:val="24"/>
          <w:szCs w:val="24"/>
        </w:rPr>
        <w:t>Code of Conduct</w:t>
      </w:r>
      <w:r w:rsidRPr="00C93F78">
        <w:rPr>
          <w:rFonts w:ascii="Times New Roman" w:hAnsi="Times New Roman" w:cs="Times New Roman"/>
          <w:sz w:val="24"/>
          <w:szCs w:val="24"/>
        </w:rPr>
        <w:t xml:space="preserve"> – pkt 4.3, jako pozytywny element systemu umożliwiającego podatnikom uzyskanie zwrotu podatku u źródła);</w:t>
      </w:r>
    </w:p>
    <w:p w:rsidR="006B0AAF" w:rsidRPr="00C93F78" w:rsidRDefault="006B0AAF" w:rsidP="00C93F78">
      <w:pPr>
        <w:numPr>
          <w:ilvl w:val="0"/>
          <w:numId w:val="12"/>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upoważnienie dla ministra właściwego do spraw finansów publicznych do wydania rozporządzenia, na podstawie którego właściwość miejscowa organów podatkowych w sprawach zwrotu podatku oraz w sprawach wydania opinii o stosowaniu zwolnienia może zostać ustalona w sposób odmienny, niż wynika to z ogólnych zasad. Skorzystanie z tego uprawnienia i związana z tym kumulacja wiedzy i doświadczenia w jednej jednostce organizacyjnej, może okazać się pomocne przy identyfikowaniu niezasadnych wniosków o zwrot podatku. Dodatkowo pozwoliłoby to spełnić postulat funkcjonowania jednego punktu kontaktowego, w którym wszyscy podatnicy zagraniczni mogliby prowadzić sprawy związane ze zwrotem podatku u źródła lub wydawaniem opinii o stosowaniu zwolnienia – postulat w tym zakresie został zawarty w pkt 9 </w:t>
      </w:r>
      <w:r w:rsidRPr="00C93F78">
        <w:rPr>
          <w:rFonts w:ascii="Times New Roman" w:hAnsi="Times New Roman" w:cs="Times New Roman"/>
          <w:i/>
          <w:sz w:val="24"/>
          <w:szCs w:val="24"/>
        </w:rPr>
        <w:t>Code of Conduct</w:t>
      </w:r>
      <w:r w:rsidRPr="00C93F78">
        <w:rPr>
          <w:rFonts w:ascii="Times New Roman" w:hAnsi="Times New Roman" w:cs="Times New Roman"/>
          <w:sz w:val="24"/>
          <w:szCs w:val="24"/>
        </w:rPr>
        <w:t>);</w:t>
      </w:r>
    </w:p>
    <w:p w:rsidR="006B0AAF" w:rsidRPr="00C93F78" w:rsidRDefault="006B0AAF" w:rsidP="00C93F78">
      <w:pPr>
        <w:numPr>
          <w:ilvl w:val="0"/>
          <w:numId w:val="12"/>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dokonanie zwrotu podatku (</w:t>
      </w:r>
      <w:r w:rsidRPr="00C93F78">
        <w:rPr>
          <w:rFonts w:ascii="Times New Roman" w:hAnsi="Times New Roman" w:cs="Times New Roman"/>
          <w:i/>
          <w:sz w:val="24"/>
          <w:szCs w:val="24"/>
        </w:rPr>
        <w:t>tax refund</w:t>
      </w:r>
      <w:r w:rsidRPr="00C93F78">
        <w:rPr>
          <w:rFonts w:ascii="Times New Roman" w:hAnsi="Times New Roman" w:cs="Times New Roman"/>
          <w:sz w:val="24"/>
          <w:szCs w:val="24"/>
        </w:rPr>
        <w:t>) w miejsce ulgi (zwolnienia z podatku bądź obniżonej stawki podatku) stosowanej już w momencie wypłaty (</w:t>
      </w:r>
      <w:r w:rsidRPr="00C93F78">
        <w:rPr>
          <w:rFonts w:ascii="Times New Roman" w:hAnsi="Times New Roman" w:cs="Times New Roman"/>
          <w:i/>
          <w:sz w:val="24"/>
          <w:szCs w:val="24"/>
        </w:rPr>
        <w:t>relief at source</w:t>
      </w:r>
      <w:r w:rsidRPr="00C93F78">
        <w:rPr>
          <w:rFonts w:ascii="Times New Roman" w:hAnsi="Times New Roman" w:cs="Times New Roman"/>
          <w:sz w:val="24"/>
          <w:szCs w:val="24"/>
        </w:rPr>
        <w:t>). Wprowadzenie mechanizmu zwrotu podatku (po przekroczeniu wskazanego w nowelizacji limitu kwotowego) stanowi rozwiązanie dające administracji skarbowej możliwość kontroli zasad rozliczenia podatku od dochodów opodatkowywanych u źródła jeszcze przed zastosowaniem określonej preferencji podatkowej (zwolnienia z podatku bądź obniżonej stawki podatku). Obecnie prowadzona weryfikacja następcza (dokonywana dopiero po analizie danych wynikających ze złożonych przez płatników deklaracji związanych z podatkiem u źródła, a więc już po zastosowaniu przez danego płatnika zwolnienia z podatku bądź obniżonej stawki podatku) będzie zastępowana weryfikacją uprzednią, która dopiero skutkować może przyznaniem bądź nieprzyznaniem preferencji podatkowej (zwolnienia bądź obniżonej stawki podatku), a więc z zabezpieczeniem interesów Skarbu Państwa.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Taka praktyka stoi zaś w zgodzie z </w:t>
      </w:r>
      <w:r w:rsidRPr="00C93F78">
        <w:rPr>
          <w:rFonts w:ascii="Times New Roman" w:hAnsi="Times New Roman" w:cs="Times New Roman"/>
          <w:i/>
          <w:sz w:val="24"/>
          <w:szCs w:val="24"/>
        </w:rPr>
        <w:t>Code of Conduct</w:t>
      </w:r>
      <w:r w:rsidRPr="00C93F78">
        <w:rPr>
          <w:rFonts w:ascii="Times New Roman" w:hAnsi="Times New Roman" w:cs="Times New Roman"/>
          <w:sz w:val="24"/>
          <w:szCs w:val="24"/>
        </w:rPr>
        <w:t xml:space="preserve">, w którym wskazano, iż metoda </w:t>
      </w:r>
      <w:r w:rsidRPr="00C93F78">
        <w:rPr>
          <w:rFonts w:ascii="Times New Roman" w:hAnsi="Times New Roman" w:cs="Times New Roman"/>
          <w:i/>
          <w:sz w:val="24"/>
          <w:szCs w:val="24"/>
        </w:rPr>
        <w:t>relief at source</w:t>
      </w:r>
      <w:r w:rsidRPr="00C93F78">
        <w:rPr>
          <w:rFonts w:ascii="Times New Roman" w:hAnsi="Times New Roman" w:cs="Times New Roman"/>
          <w:sz w:val="24"/>
          <w:szCs w:val="24"/>
        </w:rPr>
        <w:t xml:space="preserve"> nie musi w każdym przypadku oznaczać najlepszej praktyki stosowanej dla rozliczenia podatku u źródła, natomiast bardziej odpowiednie w niektórych przypadkach może być obowiązywanie sprawnej procedury zwrotu tego podatku</w:t>
      </w:r>
      <w:r w:rsidRPr="00C93F78">
        <w:rPr>
          <w:rFonts w:ascii="Times New Roman" w:hAnsi="Times New Roman" w:cs="Times New Roman"/>
          <w:sz w:val="24"/>
          <w:szCs w:val="24"/>
          <w:vertAlign w:val="superscript"/>
        </w:rPr>
        <w:footnoteReference w:id="40"/>
      </w:r>
      <w:r w:rsidRPr="00C93F78">
        <w:rPr>
          <w:rFonts w:ascii="Times New Roman" w:hAnsi="Times New Roman" w:cs="Times New Roman"/>
          <w:sz w:val="24"/>
          <w:szCs w:val="24"/>
        </w:rPr>
        <w:t>. Jako uzasadnienie dla funkcjonowania systemu zwrotu podatku w miejsce metody przyznania preferencji podatkowej w momencie wypłaty (</w:t>
      </w:r>
      <w:r w:rsidRPr="00C93F78">
        <w:rPr>
          <w:rFonts w:ascii="Times New Roman" w:hAnsi="Times New Roman" w:cs="Times New Roman"/>
          <w:i/>
          <w:sz w:val="24"/>
          <w:szCs w:val="24"/>
        </w:rPr>
        <w:t>relief at source</w:t>
      </w:r>
      <w:r w:rsidRPr="00C93F78">
        <w:rPr>
          <w:rFonts w:ascii="Times New Roman" w:hAnsi="Times New Roman" w:cs="Times New Roman"/>
          <w:sz w:val="24"/>
          <w:szCs w:val="24"/>
        </w:rPr>
        <w:t xml:space="preserve">) należy wskazać w szczególności ryzyko związane z nadużyciami podatkowymi oraz nieuprawnionym wykorzystywaniem istniejących mechanizmów przewidzianych dla likwidowania barier w prowadzeniu działalności gospodarczej oraz dla unikania podwójnego opodatkowania. Jednocześnie, </w:t>
      </w:r>
      <w:r w:rsidRPr="00C93F78">
        <w:rPr>
          <w:rFonts w:ascii="Times New Roman" w:hAnsi="Times New Roman" w:cs="Times New Roman"/>
          <w:i/>
          <w:sz w:val="24"/>
          <w:szCs w:val="24"/>
        </w:rPr>
        <w:t>Code of Conduct</w:t>
      </w:r>
      <w:r w:rsidRPr="00C93F78">
        <w:rPr>
          <w:rFonts w:ascii="Times New Roman" w:hAnsi="Times New Roman" w:cs="Times New Roman"/>
          <w:sz w:val="24"/>
          <w:szCs w:val="24"/>
        </w:rPr>
        <w:t xml:space="preserve"> wskazuje (pkt 6.1), iż termin zwrotu podatku nie powinien przekraczać w typowych okolicznościach 6 miesięcy, co odpowiada projektowanym przepisom ustawy o PIT oraz ustawy o CIT.</w:t>
      </w:r>
    </w:p>
    <w:p w:rsidR="006B0AAF" w:rsidRPr="00C93F78" w:rsidRDefault="006B0AAF" w:rsidP="00C93F78">
      <w:pPr>
        <w:pStyle w:val="Nagwek2"/>
        <w:spacing w:line="360" w:lineRule="auto"/>
        <w:jc w:val="both"/>
        <w:rPr>
          <w:szCs w:val="24"/>
        </w:rPr>
      </w:pPr>
      <w:r w:rsidRPr="00C93F78">
        <w:rPr>
          <w:szCs w:val="24"/>
        </w:rPr>
        <w:t>Rozwiązania stosowane w innych krajach</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Wśród krajów, które mają podpisane umowy o unikaniu podwójnego opodatkowania, modelowo można wyróżnić trzy podstawowe metody poboru podatku u źródła od dochodów/przychodów uzyskiwanych przez nierezydentów: </w:t>
      </w:r>
    </w:p>
    <w:p w:rsidR="006B0AAF" w:rsidRPr="00C93F78" w:rsidRDefault="006B0AAF" w:rsidP="00C93F78">
      <w:pPr>
        <w:numPr>
          <w:ilvl w:val="0"/>
          <w:numId w:val="8"/>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metoda zwolnienia u źródła (</w:t>
      </w:r>
      <w:r w:rsidRPr="00C93F78">
        <w:rPr>
          <w:rFonts w:ascii="Times New Roman" w:hAnsi="Times New Roman" w:cs="Times New Roman"/>
          <w:i/>
          <w:sz w:val="24"/>
          <w:szCs w:val="24"/>
        </w:rPr>
        <w:t>relief</w:t>
      </w:r>
      <w:r w:rsidRPr="00C93F78">
        <w:rPr>
          <w:rFonts w:ascii="Times New Roman" w:hAnsi="Times New Roman" w:cs="Times New Roman"/>
          <w:sz w:val="24"/>
          <w:szCs w:val="24"/>
        </w:rPr>
        <w:t xml:space="preserve"> </w:t>
      </w:r>
      <w:r w:rsidRPr="00C93F78">
        <w:rPr>
          <w:rFonts w:ascii="Times New Roman" w:hAnsi="Times New Roman" w:cs="Times New Roman"/>
          <w:i/>
          <w:sz w:val="24"/>
          <w:szCs w:val="24"/>
        </w:rPr>
        <w:t>at source</w:t>
      </w:r>
      <w:r w:rsidRPr="00C93F78">
        <w:rPr>
          <w:rFonts w:ascii="Times New Roman" w:hAnsi="Times New Roman" w:cs="Times New Roman"/>
          <w:sz w:val="24"/>
          <w:szCs w:val="24"/>
        </w:rPr>
        <w:t>) polega na zastosowaniu zwolnienia albo obniżonej stawki podatkowej w chwili dokonywania wypłaty przez płatnika. Warunkiem jej zastosowania jest przedłożenie przez podatnika płatnikowi określonych dokumentów (np. certyfikatu rezydencji). Rozwiązanie to stosują m.in. Austria, Finlandia, USA.</w:t>
      </w:r>
    </w:p>
    <w:p w:rsidR="006B0AAF" w:rsidRPr="00C93F78" w:rsidRDefault="006B0AAF" w:rsidP="00C93F78">
      <w:pPr>
        <w:numPr>
          <w:ilvl w:val="0"/>
          <w:numId w:val="8"/>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metoda przyspieszonego zwrotu (ang. </w:t>
      </w:r>
      <w:r w:rsidRPr="00C93F78">
        <w:rPr>
          <w:rFonts w:ascii="Times New Roman" w:hAnsi="Times New Roman" w:cs="Times New Roman"/>
          <w:i/>
          <w:sz w:val="24"/>
          <w:szCs w:val="24"/>
        </w:rPr>
        <w:t>quick refund</w:t>
      </w:r>
      <w:r w:rsidRPr="00C93F78">
        <w:rPr>
          <w:rFonts w:ascii="Times New Roman" w:hAnsi="Times New Roman" w:cs="Times New Roman"/>
          <w:sz w:val="24"/>
          <w:szCs w:val="24"/>
        </w:rPr>
        <w:t>) jako usprawnienie zwrotu podatku przez płatnika; polega na pobraniu podatku przez płatnika wg standardowej stawki i dokonaniu zwrotu podatku przez płatnika przed przekazaniem pobranego podatku organom podatkowym.</w:t>
      </w:r>
    </w:p>
    <w:p w:rsidR="006B0AAF" w:rsidRPr="00C93F78" w:rsidRDefault="006B0AAF" w:rsidP="00C93F78">
      <w:pPr>
        <w:numPr>
          <w:ilvl w:val="0"/>
          <w:numId w:val="8"/>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metoda na podstawie wniosku o zwrot (tzw. </w:t>
      </w:r>
      <w:r w:rsidRPr="00C93F78">
        <w:rPr>
          <w:rFonts w:ascii="Times New Roman" w:hAnsi="Times New Roman" w:cs="Times New Roman"/>
          <w:i/>
          <w:sz w:val="24"/>
          <w:szCs w:val="24"/>
        </w:rPr>
        <w:t>standard refund</w:t>
      </w:r>
      <w:r w:rsidRPr="00C93F78">
        <w:rPr>
          <w:rFonts w:ascii="Times New Roman" w:hAnsi="Times New Roman" w:cs="Times New Roman"/>
          <w:sz w:val="24"/>
          <w:szCs w:val="24"/>
        </w:rPr>
        <w:t xml:space="preserve">) polega co do zasady na zwrocie podatku na podstawie wniosku podatnika składanego organom podatkowych i zwrocie podatku przez organy podatkowe.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praktyce stosowane są rozwiązania o charakterze mieszanym, w zależności od kategorii dochodu (dywidendy, zysk z działalności gospodarczej).</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Na tle stosowanych przez państwa rozwiązań, szczególnie wyróżniają się regulacje Niemiec, które stosują system mieszany, w zależności od ewentualnego podlegania należności pod uregulowania objęte zastosowaniem dyrektyw unijnych. Niemieckie przepisy prawa podatkowego przewidują dwie procedury rozliczania podatku u źródła, tj. procedurę zwrotu na wniosek oraz procedurę zwolnienia. Procedura zwolnienia dotyczy sytuacji, gdy zastosowanie znajdują przepisy Dyrektywy Rady Unii Europejskiej z dnia 30 listopada 2011 r. (2011/96/UE) w sprawie wspólnego systemu opodatkowania mającego zastosowanie w przypadku spółek dominujących i spółek zależnych różnych państw członkowskich. W przypadku obu procedur, niemieckie organy podatkowe mają możliwość sprawdzenia podstaw prawnych i faktycznych żądania zwrotu, przede wszystkim sprawdzenia, czy wypłata należności dotyczy rzeczywistego właściciela.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Austrii, organy podatkowe na ogół zezwalają na stosowanie stawki obniżonej u źródła, jeżeli spółka niebędąca rezydentem przedstawi odpowiednie dokumenty potwierdzające rezydencję podatkową. Aby skorzystać z preferencyjnych rozwiązań wynikających z umowy o unikaniu podwójnego opodatkowania, dostępne są dwie różne procedury: procedura zwolnienia podatkowego i procedura zwrotu. W Austrii to do płatnika zasadniczo należy decyzja o skorzystaniu z danej procedury na podstawie oceny możliwości udowodnienia prawidłowości ewentualnie zastosowanych preferencji z umów.</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odniesieniu do irlandzkich rozwiązań dotyczących dywidendy (</w:t>
      </w:r>
      <w:r w:rsidRPr="00C93F78">
        <w:rPr>
          <w:rFonts w:ascii="Times New Roman" w:hAnsi="Times New Roman" w:cs="Times New Roman"/>
          <w:i/>
          <w:sz w:val="24"/>
          <w:szCs w:val="24"/>
        </w:rPr>
        <w:t>Dividend Withholding Tax (DWT)</w:t>
      </w:r>
      <w:r w:rsidRPr="00C93F78">
        <w:rPr>
          <w:rFonts w:ascii="Times New Roman" w:hAnsi="Times New Roman" w:cs="Times New Roman"/>
          <w:sz w:val="24"/>
          <w:szCs w:val="24"/>
        </w:rPr>
        <w:t>), generalnie istnieje zasada poboru podatku u źródła przez podmiot wypłacający należność. Istnieje jednak uproszczenie, w formie zwolnienia z poboru takiego podatku, ale w stosunku do „kwalifikowanego” nierezydenta wyłącznie na jego wniosek.</w:t>
      </w:r>
    </w:p>
    <w:p w:rsidR="006B0AAF" w:rsidRPr="00C93F78" w:rsidRDefault="006B0AAF" w:rsidP="00C93F78">
      <w:pPr>
        <w:pStyle w:val="Nagwek2"/>
        <w:spacing w:line="360" w:lineRule="auto"/>
        <w:jc w:val="both"/>
        <w:rPr>
          <w:szCs w:val="24"/>
        </w:rPr>
      </w:pPr>
      <w:r w:rsidRPr="00C93F78">
        <w:rPr>
          <w:szCs w:val="24"/>
        </w:rPr>
        <w:t xml:space="preserve">Stan obecny oraz proponowane zmiany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Uzyskiwane w Polsce dochody nierezydentów podlegają szczególnym regulacjom, które kształtowane są zarówno przez prawo krajowe (tj. przepisy ustawy o CIT oraz ustawy o PIT), zasady wynikające z postanowień umów o unikaniu podwójnego opodatkowania, których stroną jest Polska</w:t>
      </w:r>
      <w:r w:rsidR="004B0C13">
        <w:rPr>
          <w:rFonts w:ascii="Times New Roman" w:hAnsi="Times New Roman" w:cs="Times New Roman"/>
          <w:sz w:val="24"/>
          <w:szCs w:val="24"/>
        </w:rPr>
        <w:t>,</w:t>
      </w:r>
      <w:r w:rsidRPr="00C93F78">
        <w:rPr>
          <w:rFonts w:ascii="Times New Roman" w:hAnsi="Times New Roman" w:cs="Times New Roman"/>
          <w:sz w:val="24"/>
          <w:szCs w:val="24"/>
        </w:rPr>
        <w:t xml:space="preserve"> oraz przepisy implementujące postanowienia następujących dyrektyw unijnych:</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1) </w:t>
      </w:r>
      <w:r w:rsidR="004B0C13">
        <w:rPr>
          <w:rFonts w:ascii="Times New Roman" w:hAnsi="Times New Roman" w:cs="Times New Roman"/>
          <w:sz w:val="24"/>
          <w:szCs w:val="24"/>
        </w:rPr>
        <w:t>d</w:t>
      </w:r>
      <w:r w:rsidRPr="00C93F78">
        <w:rPr>
          <w:rFonts w:ascii="Times New Roman" w:hAnsi="Times New Roman" w:cs="Times New Roman"/>
          <w:sz w:val="24"/>
          <w:szCs w:val="24"/>
        </w:rPr>
        <w:t>yrektywy Rady 2003/49/WE z dnia 3 czerwca 2003 r. w sprawie wspólnego systemu opodatkowania stosowanego do odsetek oraz należności licencyjnych wypłacanych między powiązanymi spółkami różnych Państw Członkowskich,</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2) </w:t>
      </w:r>
      <w:r w:rsidR="004B0C13">
        <w:rPr>
          <w:rFonts w:ascii="Times New Roman" w:hAnsi="Times New Roman" w:cs="Times New Roman"/>
          <w:sz w:val="24"/>
          <w:szCs w:val="24"/>
        </w:rPr>
        <w:t>d</w:t>
      </w:r>
      <w:r w:rsidRPr="00C93F78">
        <w:rPr>
          <w:rFonts w:ascii="Times New Roman" w:hAnsi="Times New Roman" w:cs="Times New Roman"/>
          <w:sz w:val="24"/>
          <w:szCs w:val="24"/>
        </w:rPr>
        <w:t>yrektyw</w:t>
      </w:r>
      <w:r w:rsidR="004B0C13">
        <w:rPr>
          <w:rFonts w:ascii="Times New Roman" w:hAnsi="Times New Roman" w:cs="Times New Roman"/>
          <w:sz w:val="24"/>
          <w:szCs w:val="24"/>
        </w:rPr>
        <w:t>y</w:t>
      </w:r>
      <w:r w:rsidRPr="00C93F78">
        <w:rPr>
          <w:rFonts w:ascii="Times New Roman" w:hAnsi="Times New Roman" w:cs="Times New Roman"/>
          <w:sz w:val="24"/>
          <w:szCs w:val="24"/>
        </w:rPr>
        <w:t xml:space="preserve"> Rady 2011/96/UE z dnia 30 listopada 2011 r. w sprawie wspólnego systemu opodatkowania mającego zastosowanie w przypadku spółek dominujących i spółek zależnych różnych państw członkowskich.</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Przepisy obu wskazanych dyrektyw znajdują zastosowanie w przypadku kwalifikowanych podatników podatku dochodowego od osób prawnych. Polska implementowała bowiem przedmiotowe dyrektywy poprzez wprowadzenie zwolnień z opodatkowania podatkiem dochodowym od osób prawnych niektórych dochodów z odsetek, należności licencyjnych oraz dochodów z dywidend i innych przychodów z tytułu udziału w zyskach osób prawnych (art. 21 ust. 3</w:t>
      </w:r>
      <w:r w:rsidR="004B0C13">
        <w:rPr>
          <w:rFonts w:ascii="Times New Roman" w:hAnsi="Times New Roman" w:cs="Times New Roman"/>
          <w:sz w:val="24"/>
          <w:szCs w:val="24"/>
        </w:rPr>
        <w:t>–</w:t>
      </w:r>
      <w:r w:rsidRPr="00C93F78">
        <w:rPr>
          <w:rFonts w:ascii="Times New Roman" w:hAnsi="Times New Roman" w:cs="Times New Roman"/>
          <w:sz w:val="24"/>
          <w:szCs w:val="24"/>
        </w:rPr>
        <w:t>9, art. 22 ust. 4-6 oraz art. 22c ustawy o podatku dochodowym od osób prawnych).</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Opodatkowanie podatkiem u źródła przychodów z tytułu usług niematerialnych (np. świadczeń doradczych, księgowych, badania rynku) nie jest uregulowane w ramach Unii Europejskiej. Wysokość obciążeń podatkowych w podatku u źródła w Polsce dla tych należności współkształtowany jest przez umowy o unikaniu podwójnego opodatkowania, których stroną jest Polska. W przypadku takich umów, w tym również z państwami członkowskimi UE, dochody uzyskiwane na terytorium RP z tytułu świadczenia takich usług przez podatników nie posiadających w Polsce zagranicznego zakładu, podlegają – co do zasady – zwolnieniu z podatku pobieranego u źródła w Polsce (tj. w państwie źródła).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Artykuł 26 ust. 1 ustawy o CIT (art. 41 ust. 4 ustawy o PIT) określa krąg podmiotów, które zobowiązane są do obliczenia, potrącania i przekazywania na rachunek właściwego urzędu skarbowego podatku dochodowego od osób prawnych (podatku dochodowego od osób fizycznych), z tytułu dokonywania wypłat określonych przepisami tych ustaw. Podmioty te są płatnikami podatku dochodowego od osób prawnych (podatku dochodowego od osób fizycznych), w rozumieniu przepisów Ordynacji podatkowej. Zgodnie z art. 8 Ordynacji podatkowej, płatnikiem jest osoba fizyczna, osoba prawna lub jednostka organizacyjna nieposiadająca osobowości prawnej, obowiązana na podstawie przepisów prawa podatkowego do obliczenia i pobrania podatku oraz wpłacenia go we właściwym terminie organowi podatkowemu. Płatnik odpowiada całym majątkiem za niepobranie podatku lub pobranie go w wysokości niższej od należnej, a także za niewpłacenie w terminie pobranych podatków. Płatnikom przysługuje zryczałtowane wynagrodzenie z tytułu terminowego wpłacania podatków na rzecz budżetu państwa. Płatnik może z tego wynagrodzenia zrezygnować.</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ogólną regułą, płatnicy zobowiązani są pobrać zryczałtowany podatek dochodowy od tych wypłat</w:t>
      </w:r>
      <w:r w:rsidRPr="00C93F78">
        <w:rPr>
          <w:rFonts w:ascii="Times New Roman" w:hAnsi="Times New Roman" w:cs="Times New Roman"/>
          <w:sz w:val="24"/>
          <w:szCs w:val="24"/>
          <w:vertAlign w:val="superscript"/>
        </w:rPr>
        <w:t xml:space="preserve"> </w:t>
      </w:r>
      <w:r w:rsidRPr="00C93F78">
        <w:rPr>
          <w:rFonts w:ascii="Times New Roman" w:hAnsi="Times New Roman" w:cs="Times New Roman"/>
          <w:sz w:val="24"/>
          <w:szCs w:val="24"/>
        </w:rPr>
        <w:t>w dniu ich dokonania, a następnie przekazać pobrany podatek na rachunek urzędu skarbowego, przy pomocy którego naczelnik urzędu skarbowego właściwy według siedziby podatnika wykonuje swoje zadania, w terminie do 7. dnia miesiąca następującego po miesiącu, w którym podatek pobrano. Powstanie obowiązków po stronie płatnika podatku dochodowego od osób prawnych powstaje w dniu dokonania faktycznej wypłaty należności podlegających opodatkowaniu w Polsce podatkiem u źródła (na gruncie ustawy o podatku dochodowym od osób prawnych tytułu te i stawki podatkowe zostały wskazane w art. 21 ust. 1 oraz 22 ust. 1 ustawy o CIT).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Krajowe stawki podatku u źródła stosuje się z uwzględnieniem postanowień umów w sprawie zapobieżenia podwójnemu opodatkowaniu, których stroną jest Rzeczpospolita Polska (przy założeniu, że płatnik dysponuje certyfikatem rezydencji podatkowej podatnika). Zatem prawidłowe zastosowanie tych przepisów wymaga powiązania ich z określonymi postanowieniami umowy w sprawie unikania podwójnego opodatkowania zawartej przez Polskę z krajem siedziby odbiorcy należności, o których mowa w tym przepisie. Postanowienia umów w sprawie unikania podwójnego opodatkowania niekiedy zawierają własne definicje poszczególnych kategorii regulowanych przychodów oraz prowadzić mogą do zwolnienia z opodatkowania podatkiem u źródła części z przychodów, które podlegają opodatkowaniu na podstawie przepisów prawa krajowego.</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przepisach ustaw o podatkach dochodowych zawarte są uregulowania szczególne, zwalniające – przy spełnieniu odpowiednich przesłanek – płatnika z obowiązku poboru podatku u źródła. Przykładami takich uregulowań są następujące przepisy ustawy o podatku dochodowym od osób prawnych:</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1) podatnik uzyskujący dochód z tytułu wypłat dokonywanych przez płatnika jest zwolniony z opodatkowania na podstawie art. 17 ust. 1 ustawy o CIT i złoży płatnikowi odpowiednie oświadczenie dotyczące przeznaczenia tych wypłat,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2) podatnik uzyskujący dochód z tytułu wypłat dokonywanych przez płatnika jest zwolniony z opodatkowania na podstawie art. 21 ust. 3 lub art. 22 ust. 4 ustawy o CIT (przepisy te stanowią implementację do prawa krajowego preferencji wyrażonych w dyrektywach unijnych),</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3) podatnik uzyskujący dochód z tytułu wypłat dokonywanych przez płatnika prowadzi na terytorium Polski zagraniczny zakład i wypłaty te są związane z działalnością tego zakładu.</w:t>
      </w:r>
    </w:p>
    <w:p w:rsidR="006B0AAF" w:rsidRPr="00C93F78" w:rsidRDefault="006B0AAF" w:rsidP="00C93F78">
      <w:pPr>
        <w:pStyle w:val="Nagwek2"/>
        <w:spacing w:line="360" w:lineRule="auto"/>
        <w:jc w:val="both"/>
        <w:rPr>
          <w:szCs w:val="24"/>
        </w:rPr>
      </w:pPr>
      <w:r w:rsidRPr="00C93F78">
        <w:rPr>
          <w:szCs w:val="24"/>
        </w:rPr>
        <w:t>Proponowane ogólne założenia zmian</w:t>
      </w:r>
    </w:p>
    <w:p w:rsidR="006B0AAF" w:rsidRPr="00C93F78" w:rsidRDefault="006B0AAF" w:rsidP="00C93F78">
      <w:pPr>
        <w:numPr>
          <w:ilvl w:val="0"/>
          <w:numId w:val="10"/>
        </w:numPr>
        <w:spacing w:after="120" w:line="360" w:lineRule="auto"/>
        <w:ind w:left="851" w:hanging="851"/>
        <w:jc w:val="both"/>
        <w:rPr>
          <w:rFonts w:ascii="Times New Roman" w:hAnsi="Times New Roman" w:cs="Times New Roman"/>
          <w:b/>
          <w:sz w:val="24"/>
          <w:szCs w:val="24"/>
        </w:rPr>
      </w:pPr>
      <w:r w:rsidRPr="00C93F78">
        <w:rPr>
          <w:rFonts w:ascii="Times New Roman" w:hAnsi="Times New Roman" w:cs="Times New Roman"/>
          <w:b/>
          <w:sz w:val="24"/>
          <w:szCs w:val="24"/>
        </w:rPr>
        <w:t>Zmiany w zakresie sposobu poboru podatku u źródła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Ogólne założenia projektu ustawy zakładają zmiany zasad rozliczania podatku z tytułu przychodów uzyskanych na terytorium Rzeczypospolitej Polskiej zarówno w odniesieniu do podatników niemających w Polsce miejsca zamieszkania (siedziby), tzw. nierezydentów, jak również – w przypadku niektórych dochodów i wypłat (np. dywidendy) – w stosunku do rezydentów podatkowych w Polsce.</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Zmiany obejmują również przepisy regulujące obowiązki płatnika. Należy podkreślić, że przewidziane w projekcie ustaw zmiany przepisów dotyczą tych sytuacji, w których łączna wysokość należności wypłacanych dla tego samego podatnika w danym roku podatkowym przekracza kwotę dwóch milionów złotych. Z danych wynikających ze składanych przez płatników informacji o dochodach uzyskanych przez podatników podatku dochodowego od osób prawnych niemających w Polsce siedziby lub zarządu na terytorium Polski (informacje IFT- 2R) za lata 2014</w:t>
      </w:r>
      <w:r w:rsidR="004B0C13">
        <w:rPr>
          <w:rFonts w:ascii="Times New Roman" w:hAnsi="Times New Roman" w:cs="Times New Roman"/>
          <w:sz w:val="24"/>
          <w:szCs w:val="24"/>
        </w:rPr>
        <w:t>–</w:t>
      </w:r>
      <w:r w:rsidRPr="00C93F78">
        <w:rPr>
          <w:rFonts w:ascii="Times New Roman" w:hAnsi="Times New Roman" w:cs="Times New Roman"/>
          <w:sz w:val="24"/>
          <w:szCs w:val="24"/>
        </w:rPr>
        <w:t>2016 wynika, iż przyjęcie progu kwotowego na wskazanym poziomie pozwoliłoby na objęcie nowym systemem co najmniej 75% kwoty wypłacanych dochodów (przychodów) osiągniętych przez tych podatników. Należności, które nie będą przekraczać wskazanego progu dwóch milionów złotych, nie będą objęte wprowadzanym mechanizmem poboru podatku przez płatnika i zwrotu na wniosek.</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Przekroczenie progu dwóch milionów złotych powodować będzie obowiązek obliczenia, poboru i wpłacenia podatku przez płatnika z zastosowaniem stawek określonych w prawie krajowym (w zależności od statusu podatnika będą to uregulowania zawarte w ustawie o CIT lub w ustawie o PIT). W tym przypadku – poza sytuacjami skorzystania z projektowanych uproszczeń – płatnik nie zastosuje zwolnień wskazanych w tych ustawach oraz przepisów umów o unikaniu podwójnego opodatkowania.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pobrania podatku przez płatnika, podatnik będzie mógł wystąpić z wnioskiem o zwrot podatku do organu podatkowego. W projektowanych przepisach wskazano wyraźnie, że z wnioskiem o zwrot podatku z tytułu wypłaconych należności zwrócić się będzie mógł również płatnik, jeżeli wpłacił on podatek w własnych środków i poniósł ciężar ekonomiczny tego podatku. Co do zasady, zwrot podatku powinien nastąpić w terminie 6 miesięcy. Jednakże w określonych sytuacjach, organ podatkowy może przeprowadzić postępowanie wyjaśniające, którego celem jest weryfikacja zasadności zwrotu podatku. Gdy okoliczności sprawy nie budzą wątpliwości, organ podatkowy zwróci podatek bez wydawania decyzji.</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Jednocześnie projektowane przepisy wprowadzają sygnalizowane uproszczenia, dzięki którym nawet w sytuacji przekroczenia zaproponowanego progu (tj. dwa miliony złotych) płatnik uprawniony będzie do zastosowania preferencyjnego opodatkowanie podatkiem u źródła w momencie wypłaty należności (</w:t>
      </w:r>
      <w:r w:rsidRPr="00C93F78">
        <w:rPr>
          <w:rFonts w:ascii="Times New Roman" w:hAnsi="Times New Roman" w:cs="Times New Roman"/>
          <w:i/>
          <w:sz w:val="24"/>
          <w:szCs w:val="24"/>
        </w:rPr>
        <w:t>relief at source</w:t>
      </w:r>
      <w:r w:rsidRPr="00C93F78">
        <w:rPr>
          <w:rFonts w:ascii="Times New Roman" w:hAnsi="Times New Roman" w:cs="Times New Roman"/>
          <w:sz w:val="24"/>
          <w:szCs w:val="24"/>
        </w:rPr>
        <w: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Pierwsze z uproszczeń, które znajdować będzie zastosowanie w przypadku obu ustaw o podatkach dochodowych polegać będzie na złożeniu przez płatnika organowi podatkowemu oświadczenia pod rygorem odpowiedzialności karnej, że posiada on (tj. płatnik) dokumenty wymagane przez przepisy prawa podatkowego uprawniające go do zastosowania preferencyjnych zasad opodatkowania (np. obniżonych stawek określonych w umowie o unikaniu podwójnego opodatkowania). Oświadczenie to obejmować będzie również potwierdzenie braku wiedzy o istnieniu okoliczności wykluczających możliwość niepobrania podatku na podstawie przepisów prawa podatkowego. Proponowane rozwiązanie – tj. możliwość złożenia oświadczenia przez płatnika w celu zastosowania dotychczasowego mechanizmu </w:t>
      </w:r>
      <w:r w:rsidRPr="00C93F78">
        <w:rPr>
          <w:rFonts w:ascii="Times New Roman" w:hAnsi="Times New Roman" w:cs="Times New Roman"/>
          <w:i/>
          <w:sz w:val="24"/>
          <w:szCs w:val="24"/>
        </w:rPr>
        <w:t>relief at source</w:t>
      </w:r>
      <w:r w:rsidRPr="00C93F78">
        <w:rPr>
          <w:rFonts w:ascii="Times New Roman" w:hAnsi="Times New Roman" w:cs="Times New Roman"/>
          <w:sz w:val="24"/>
          <w:szCs w:val="24"/>
        </w:rPr>
        <w:t xml:space="preserve"> – ma na celu uproszczenie dokonywania rozliczeń podatku u źródła w przypadku, gdy obie strony relacji gospodarczych (tj. płatnik i podatnik) mają do siebie zaufanie i posiadają wiedzę o spełnieniu przesłanek do zastosowania preferencyjnych zasad opodatkowania (np. z uwagi na długotrwałe i przejrzyste relacje gospodarcze).</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Przed złożeniem takiego oświadczenia, płatnik zobowiązany jest do zweryfikowania, czy nie występują okoliczności wykluczające możliwość niepobrania podatku na podstawie właściwej umowy o unikaniu podwójnego opodatkowania, zastosowania zwolnienia lub stawek wynikających z przepisów szczególnych oraz umów o unikaniu podwójnego opodatkowania.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Co do zasady, oświadczenie takie składać będzie kierownik jednostki w rozumieniu ustawy o rachunkowości, najpóźniej w dniu wypłaty należności (np. dywidend lub odsetek). Oświadczenie składane będzie </w:t>
      </w:r>
      <w:r w:rsidR="00693D7B" w:rsidRPr="00C93F78">
        <w:rPr>
          <w:rFonts w:ascii="Times New Roman" w:hAnsi="Times New Roman" w:cs="Times New Roman"/>
          <w:sz w:val="24"/>
          <w:szCs w:val="24"/>
        </w:rPr>
        <w:t>w określonej postaci elektronicznej</w:t>
      </w:r>
      <w:r w:rsidRPr="00C93F78">
        <w:rPr>
          <w:rFonts w:ascii="Times New Roman" w:hAnsi="Times New Roman" w:cs="Times New Roman"/>
          <w:sz w:val="24"/>
          <w:szCs w:val="24"/>
        </w:rPr>
        <w: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celu ograniczenia ewentualnych nieprawidłowości i uproszczenie to zostało obwarowane sankcją odpowiedzialności karnej dla osoby składającej oświadczenie w imieniu płatnika. Projektowana ustawa określa konsekwencje w postaci dodatkowego zobowiązania w wysokości 10% wypłacanych należności za przedstawienie oświadczenia niezgodnego z prawdą lub niezweryfikowania okoliczności wykluczających możliwość niepobrania podatku na podstawie właściwej umowy o unikaniu podwójnego opodatkowania. Dodatkowe zobowiązanie określone będzie w decyzji o odpowiedzialności płatnika.</w:t>
      </w:r>
    </w:p>
    <w:p w:rsidR="00693D7B" w:rsidRPr="00C93F78" w:rsidRDefault="00693D7B"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Oświadczenie, o którym mowa powyżej, może także osiągnąć skutek na przyszłość, jeżeli płatnik dokonuje dalszych rozliczeń z danym podatnikiem. Ustawa określa wymogi przewidziane dla tego trybu oraz precyzuje w jakim okresie możliwe jest stosowanie metody </w:t>
      </w:r>
      <w:r w:rsidRPr="00C93F78">
        <w:rPr>
          <w:rFonts w:ascii="Times New Roman" w:hAnsi="Times New Roman" w:cs="Times New Roman"/>
          <w:i/>
          <w:sz w:val="24"/>
          <w:szCs w:val="24"/>
        </w:rPr>
        <w:t>relief at source</w:t>
      </w:r>
      <w:r w:rsidRPr="00C93F78">
        <w:rPr>
          <w:rFonts w:ascii="Times New Roman" w:hAnsi="Times New Roman" w:cs="Times New Roman"/>
          <w:sz w:val="24"/>
          <w:szCs w:val="24"/>
        </w:rPr>
        <w:t xml:space="preserve">.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Drugie uproszczenie występuje jedynie na gruncie przepisów ustawy o CIT i znajdzie zastosowanie w przypadku zwolnień przewidzianych w art. 21 ust. 3 i art. 22 ust. 4 tej ustawy, tj. zwolnień stanowiących implementację przepisów dyrektyw unijnych. Uproszczenie to polegać ma na stosowaniu preferencji na podstawie wydanej przez organ podatkowy opinii o stosowaniu zwolnienia.</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przekroczenia progu dwóch milionów złotych oraz nieskorzystania z żadnego z dwóch uproszczeń, tj. niezłożenia przez płatnika oświadczenia oraz braku posiadania opinii o stosowaniu zwolnienia, zastosowanie znajdą nowe regulacje. Potencjalnie po wejściu w życie projektowanych przepisów możliwe będzie skorzystanie z preferencji na podstawie rozporządzenia Ministra Finansów. Zgodnie bowiem z nowymi regulacjami minister właściwy do spraw finansów publicznych może określić, w drodze rozporządzenia, katalog podatników, płatników lub czynności, w przypadku których możliwe jest niepobranie podatku na podstawie właściwej umowy o unikaniu podwójnego opodatkowania, zastosowanie zwolnienia lub obniżonych stawek wynikających z przepisów szczególnych oraz umów o unikaniu podwójnego opodatkowania, bez względu na kwotę wypłacanych należności.</w:t>
      </w:r>
    </w:p>
    <w:p w:rsidR="006B0AAF" w:rsidRPr="00C93F78" w:rsidRDefault="006B0AAF" w:rsidP="00C93F78">
      <w:pPr>
        <w:numPr>
          <w:ilvl w:val="0"/>
          <w:numId w:val="10"/>
        </w:numPr>
        <w:spacing w:after="120" w:line="360" w:lineRule="auto"/>
        <w:ind w:left="993" w:hanging="993"/>
        <w:jc w:val="both"/>
        <w:rPr>
          <w:rFonts w:ascii="Times New Roman" w:hAnsi="Times New Roman" w:cs="Times New Roman"/>
          <w:b/>
          <w:sz w:val="24"/>
          <w:szCs w:val="24"/>
        </w:rPr>
      </w:pPr>
      <w:r w:rsidRPr="00C93F78">
        <w:rPr>
          <w:rFonts w:ascii="Times New Roman" w:hAnsi="Times New Roman" w:cs="Times New Roman"/>
          <w:b/>
          <w:sz w:val="24"/>
          <w:szCs w:val="24"/>
        </w:rPr>
        <w:t xml:space="preserve">Zmiana definicji legalnej rzeczywistego właściciela.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Mając na uwadze potrzebę zapewnienia przewidzianych ustawą preferencji podatkowych (zwolnienie podatkowe lub obniżona stawka podatku) wyłącznie podmiotom będącym faktycznymi właścicielami otrzymywanych należności, dążąc tym samym do eliminowania struktur podatkowych, w których korzyść podatkowa przyznana zostałaby podmiotowi, który pełni jedynie rolę pośrednika w płatności, zarówno do ustawy o PIT, jak i do ustawy o CIT, zostaje wprowadzona zmieniona definicja rzeczywistego właściciela (nowa regulacja w ustawie o PIT oraz zmieniona definicja rzeczywistego właściciela w ustawie o CIT).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ocenie projektodawcy zmieniona (a w zakresie ustawy o PIT – nowowprowadzona) definicja nakazuje uwzględnienie szerszego kontekstu towarzyszącego wypłatom kwot na rzecz podmiotów zagranicznych przy dokonywaniu oceny ich statusu jako odbiorców należności. Kontekst taki mogą tworzyć zarówno okoliczności mające swoje źródło w istniejących dokumentach prawnych, jak też okoliczności o innej naturze (tj. okoliczności faktyczne). Na potrzebę uwzględniania okoliczności stricte prawnych oraz faktycznych przy analizie statusu odbiorcy należności wskazuje także OECD w Komentarzu do Modelu Konwencji.</w:t>
      </w:r>
      <w:r w:rsidRPr="00C93F78">
        <w:rPr>
          <w:rFonts w:ascii="Times New Roman" w:hAnsi="Times New Roman" w:cs="Times New Roman"/>
          <w:sz w:val="24"/>
          <w:szCs w:val="24"/>
          <w:vertAlign w:val="superscript"/>
        </w:rPr>
        <w:footnoteReference w:id="41"/>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konsekwencji, uściślone w definicji rzeczywistego właściciela przesłanki, tj.: i) prowadzenie rzeczywistej działalności gospodarczej w kraju siedziby</w:t>
      </w:r>
      <w:r w:rsidRPr="00C93F78">
        <w:rPr>
          <w:rStyle w:val="Odwoanieprzypisudolnego"/>
          <w:rFonts w:ascii="Times New Roman" w:hAnsi="Times New Roman" w:cs="Times New Roman"/>
          <w:sz w:val="24"/>
          <w:szCs w:val="24"/>
        </w:rPr>
        <w:footnoteReference w:id="42"/>
      </w:r>
      <w:r w:rsidRPr="00C93F78">
        <w:rPr>
          <w:rFonts w:ascii="Times New Roman" w:hAnsi="Times New Roman" w:cs="Times New Roman"/>
          <w:sz w:val="24"/>
          <w:szCs w:val="24"/>
        </w:rPr>
        <w:t xml:space="preserve">, ii) ponoszenie ryzyka ekonomicznego związanego ze stratą lub utratą wartości danej należności oraz iii) możliwość samodzielnego decydowania o przeznaczeniu otrzymanej należności; pełnić będą rolę gwarancyjną dla płatnika dokonującego wypłat należności. Wskazują one bowiem płatnikowi według jakich kryteriów dokonywać ma weryfikację statusu podatnika. Przesłanki te wskazują zaś wyraźnie na konieczność uwzględniania czynników o charakterze faktycznym, a nie tylko prawnych/formalnych. Oparcie się na tych przesłankach stanowić będzie również element zwalczania struktur, w których wykorzystywane są podmioty podstawione / pośredniczące (ang. </w:t>
      </w:r>
      <w:r w:rsidRPr="00C93F78">
        <w:rPr>
          <w:rFonts w:ascii="Times New Roman" w:hAnsi="Times New Roman" w:cs="Times New Roman"/>
          <w:i/>
          <w:sz w:val="24"/>
          <w:szCs w:val="24"/>
        </w:rPr>
        <w:t>conduit company</w:t>
      </w:r>
      <w:r w:rsidRPr="00C93F78">
        <w:rPr>
          <w:rFonts w:ascii="Times New Roman" w:hAnsi="Times New Roman" w:cs="Times New Roman"/>
          <w:sz w:val="24"/>
          <w:szCs w:val="24"/>
        </w:rPr>
        <w:t>), które zdaniem projektodawcy nie powinny korzystać z preferencji podatkowych w postaci prawa do zwolnienia z podatku, bądź zastosowania obniżonej stawki podatku.</w:t>
      </w:r>
    </w:p>
    <w:p w:rsidR="006B0AAF" w:rsidRPr="00C93F78" w:rsidRDefault="006B0AAF" w:rsidP="00C93F78">
      <w:pPr>
        <w:numPr>
          <w:ilvl w:val="0"/>
          <w:numId w:val="10"/>
        </w:numPr>
        <w:spacing w:after="120" w:line="360" w:lineRule="auto"/>
        <w:ind w:left="993" w:hanging="993"/>
        <w:jc w:val="both"/>
        <w:rPr>
          <w:rFonts w:ascii="Times New Roman" w:hAnsi="Times New Roman" w:cs="Times New Roman"/>
          <w:b/>
          <w:sz w:val="24"/>
          <w:szCs w:val="24"/>
        </w:rPr>
      </w:pPr>
      <w:r w:rsidRPr="00C93F78">
        <w:rPr>
          <w:rFonts w:ascii="Times New Roman" w:hAnsi="Times New Roman" w:cs="Times New Roman"/>
          <w:b/>
          <w:sz w:val="24"/>
          <w:szCs w:val="24"/>
        </w:rPr>
        <w:t xml:space="preserve">Zmiana szczególnej klauzuli przeciwko nadużywaniu zwolnień podatkowych wynikających z przepisów implementujących dyrektywy unijne w ustawie o CIT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Utrzymując tendencję związaną z uszczelnianiem systemów podatkowych, w ustawie o CIT proponuje się doprecyzować zakres klauzuli przeciwko unikaniu opodatkowania zawartej w art. 22c. Celem zmiany jest z jednej strony rozszerzenie zakresu przedmiotowego tej szczególnej klauzuli na sytuacje nadużyć w stosowaniu zwolnienia z podatku u źródła, które uregulowano obecnie w art. 21 ust. 3 ustawy o CIT (tj. zwolnienia z opodatkowania dla odsetek oraz należności licencyjnych z uwagi na przepisy Dyrektywy Rady nr 2003/49/WE z dnia 3 czerwca 2003 r. w sprawie wspólnego systemu opodatkowania stosowanego do odsetek oraz należności licencyjnych między powiązanymi spółkami różnych Państw Członkowskich). Zaproponowane rozwiązanie wpisuje się w uprawnienia państw członkowskich wynikające z art. 5 ust. 2 tej dyrektywy.</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Dodatkowo, mając na uwadze, iż treść znowelizowanego art. 22c:</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t>
      </w:r>
      <w:r w:rsidRPr="00C93F78">
        <w:rPr>
          <w:rFonts w:ascii="Times New Roman" w:hAnsi="Times New Roman" w:cs="Times New Roman"/>
          <w:sz w:val="24"/>
          <w:szCs w:val="24"/>
        </w:rPr>
        <w:tab/>
        <w:t>w miejsce dotychczasowej przesłanki (zawarcie umowy lub dokonanie innej czynności prawnej lub wielu powiązanych czynności prawnych) wprowadza szerszy katalog zdarzeń pozwalających ocenić kontekst istniejącej struktury oraz zależności faktycznych lub prawnych, w których funkcjonuje podatnik zamierzający skorzystać ze zwolnienia z podatku, tj. dokonanie transakcji lub innej czynności albo wielu transakcji lub innych czynności;</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t>
      </w:r>
      <w:r w:rsidRPr="00C93F78">
        <w:rPr>
          <w:rFonts w:ascii="Times New Roman" w:hAnsi="Times New Roman" w:cs="Times New Roman"/>
          <w:sz w:val="24"/>
          <w:szCs w:val="24"/>
        </w:rPr>
        <w:tab/>
        <w:t>nawiązuje do brzmienia ogólnej klauzuli unikania opodatkowania, zawartej w Ordynacji podatkowej (weryfikacja prawa do zwolnienia w kontekście przedmiotu i celu ustawy oraz pojęcie sztuczności), pozwalając tym samym na wypracowywanie wspólnej praktyki stosowania prawa w punktach zbieżnych dla obu klauzul;</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t>
      </w:r>
      <w:r w:rsidRPr="00C93F78">
        <w:rPr>
          <w:rFonts w:ascii="Times New Roman" w:hAnsi="Times New Roman" w:cs="Times New Roman"/>
          <w:sz w:val="24"/>
          <w:szCs w:val="24"/>
        </w:rPr>
        <w:tab/>
        <w:t>implementuje przesłankę sztuczności (nierzeczywistości) w sposób budzący mniej wątpliwości interpretacyjnych, tj. za rzeczywiste uznawane są takie sposoby działania, które zostałyby racjonalne wybrane w dominującej mierze z uzasadnionych przyczyn ekonomicznych – poprzednio brzmienie, choć prowadziło do analogicznej wykładni, literalnie odwoływało się do „zakresowej” sztuczności (nierzeczywistości), nie precyzując skutków podatkowych uznania danej czynności za sztuczną jedynie w pewnym zakresie,</w:t>
      </w:r>
      <w:r w:rsidRPr="00C93F78" w:rsidDel="00AC1828">
        <w:rPr>
          <w:rFonts w:ascii="Times New Roman" w:hAnsi="Times New Roman" w:cs="Times New Roman"/>
          <w:sz w:val="24"/>
          <w:szCs w:val="24"/>
        </w:rPr>
        <w:t xml:space="preserve"> </w:t>
      </w:r>
      <w:r w:rsidRPr="00C93F78">
        <w:rPr>
          <w:rFonts w:ascii="Times New Roman" w:hAnsi="Times New Roman" w:cs="Times New Roman"/>
          <w:sz w:val="24"/>
          <w:szCs w:val="24"/>
        </w:rPr>
        <w:t>zmieniona klauzula szczególna unikania opodatkowania jest bardziej jednoznaczna interpretacyjnie i w pełniejszym stopniu zabezpiecza interesy Skarbu Państwa przed nadużyciami związanymi z nieuprawnionym korzystaniem ze zwolnień przewidzianych w art. 20 ust. 3, art. 21 ust. 3 oraz art. 22 ust. 4 ustawy o CIT w zgodzie z duchem dyrektyw przewidujących te preferencje podatkowe.</w:t>
      </w:r>
    </w:p>
    <w:p w:rsidR="00F25923" w:rsidRPr="00C93F78" w:rsidRDefault="00F25923" w:rsidP="00C93F78">
      <w:pPr>
        <w:pStyle w:val="Nagwek1"/>
        <w:spacing w:line="360" w:lineRule="auto"/>
        <w:jc w:val="both"/>
        <w:rPr>
          <w:szCs w:val="24"/>
        </w:rPr>
      </w:pPr>
      <w:r w:rsidRPr="00C93F78">
        <w:rPr>
          <w:szCs w:val="24"/>
        </w:rPr>
        <w:t xml:space="preserve">V. </w:t>
      </w:r>
      <w:r w:rsidR="00E67EA9" w:rsidRPr="00C93F78">
        <w:rPr>
          <w:szCs w:val="24"/>
        </w:rPr>
        <w:t>Szczegółowe z</w:t>
      </w:r>
      <w:r w:rsidRPr="00C93F78">
        <w:rPr>
          <w:szCs w:val="24"/>
        </w:rPr>
        <w:t xml:space="preserve">miany w zakresie przepisów dotyczących cen transferowych </w:t>
      </w:r>
    </w:p>
    <w:p w:rsidR="00F25923" w:rsidRPr="00C93F78" w:rsidRDefault="0001421E" w:rsidP="00C93F78">
      <w:pPr>
        <w:pStyle w:val="Nagwek2"/>
        <w:spacing w:line="360" w:lineRule="auto"/>
        <w:jc w:val="both"/>
        <w:rPr>
          <w:szCs w:val="24"/>
        </w:rPr>
      </w:pPr>
      <w:r w:rsidRPr="00C93F78">
        <w:rPr>
          <w:szCs w:val="24"/>
        </w:rPr>
        <w:t xml:space="preserve">1. </w:t>
      </w:r>
      <w:r w:rsidR="009E3725" w:rsidRPr="00C93F78">
        <w:rPr>
          <w:szCs w:val="24"/>
        </w:rPr>
        <w:t>Zmiany do ustawy o CIT oraz ustawy o PIT</w:t>
      </w:r>
    </w:p>
    <w:p w:rsidR="00F25923" w:rsidRPr="00C93F78" w:rsidRDefault="00F25923" w:rsidP="00C93F78">
      <w:pPr>
        <w:pStyle w:val="Nagwek3"/>
        <w:spacing w:line="360" w:lineRule="auto"/>
        <w:jc w:val="both"/>
        <w:rPr>
          <w:b w:val="0"/>
          <w:bCs/>
        </w:rPr>
      </w:pPr>
      <w:r w:rsidRPr="00C93F78">
        <w:t xml:space="preserve">Art. 2 pkt 1 </w:t>
      </w:r>
      <w:r w:rsidRPr="00C93F78">
        <w:rPr>
          <w:bCs/>
        </w:rPr>
        <w:t xml:space="preserve">(zmiana dotycząca </w:t>
      </w:r>
      <w:r w:rsidRPr="00C93F78">
        <w:t>art. 1a ustawy o CIT</w:t>
      </w:r>
      <w:r w:rsidRPr="00C93F78">
        <w:rPr>
          <w:bCs/>
        </w:rPr>
        <w: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polega na dostosowaniu do numeracji nowo wprowadzonych regulacji przepisu dotyczącego wymogu zawierania przez podmioty wchodzące w skład podatkowej grupy kapitałowej transakcji z podmiotami powiązanymi spoza tej grupy na warunkach rynkowych.</w:t>
      </w:r>
    </w:p>
    <w:p w:rsidR="00F25923" w:rsidRPr="00C93F78" w:rsidRDefault="00F25923" w:rsidP="00C93F78">
      <w:pPr>
        <w:pStyle w:val="Nagwek3"/>
        <w:spacing w:line="360" w:lineRule="auto"/>
        <w:jc w:val="both"/>
        <w:rPr>
          <w:b w:val="0"/>
        </w:rPr>
      </w:pPr>
      <w:r w:rsidRPr="00C93F78">
        <w:t xml:space="preserve">Art. 2 pkt </w:t>
      </w:r>
      <w:r w:rsidR="00AF42C4" w:rsidRPr="00C93F78">
        <w:t>4</w:t>
      </w:r>
      <w:r w:rsidRPr="00C93F78">
        <w:t xml:space="preserve"> (zmiana dotycząca art. 7 ustawy o CIT) oraz odpowiednio art. 1 pkt </w:t>
      </w:r>
      <w:r w:rsidR="000B599A" w:rsidRPr="00C93F78">
        <w:t>3</w:t>
      </w:r>
      <w:r w:rsidRPr="00C93F78">
        <w:t xml:space="preserve"> (zmiana dotycząca art. 9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polega na dostosowaniu przepisu do numeracji nowo wprowadzonych regulacji.</w:t>
      </w:r>
    </w:p>
    <w:p w:rsidR="00F25923" w:rsidRPr="00C93F78" w:rsidRDefault="00F25923" w:rsidP="00C93F78">
      <w:pPr>
        <w:pStyle w:val="Nagwek3"/>
        <w:spacing w:line="360" w:lineRule="auto"/>
        <w:jc w:val="both"/>
      </w:pPr>
      <w:r w:rsidRPr="00C93F78">
        <w:t xml:space="preserve">Art. 2 pkt </w:t>
      </w:r>
      <w:r w:rsidR="00AF42C4" w:rsidRPr="00C93F78">
        <w:t>7</w:t>
      </w:r>
      <w:r w:rsidRPr="00C93F78">
        <w:t xml:space="preserve"> i </w:t>
      </w:r>
      <w:r w:rsidR="00AF42C4" w:rsidRPr="00C93F78">
        <w:t>8</w:t>
      </w:r>
      <w:r w:rsidRPr="00C93F78">
        <w:t xml:space="preserve"> (uchylenie art. 9a i art. 11 ustawy o CIT) oraz odpowiednio art. 1 pkt </w:t>
      </w:r>
      <w:r w:rsidR="006C4AE7" w:rsidRPr="00C93F78">
        <w:t>19</w:t>
      </w:r>
      <w:r w:rsidRPr="00C93F78">
        <w:t xml:space="preserve"> (uchylenie art. 25 i art. 25a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polega na uchyleniu dotychczasowych regulacji w zakresie dokumentacji podatkowej transakcji pomiędzy podmiotami powiązanymi oraz transakcji z rajami podatkowymi (art. 9a ustawy o CIT i art. 25a ustawy o PIT) oraz dotychczasowych regulacji w zakresie powiązań oraz szacowania dochodu (art. 11 ustawy o CIT i art. 25 ustawy o PIT). Regulacje te zostaną zastąpione wprowadzanymi przepisami.</w:t>
      </w:r>
    </w:p>
    <w:p w:rsidR="00F25923" w:rsidRPr="00C93F78" w:rsidRDefault="00F25923" w:rsidP="00C93F78">
      <w:pPr>
        <w:pStyle w:val="Nagwek3"/>
        <w:spacing w:line="360" w:lineRule="auto"/>
        <w:jc w:val="both"/>
      </w:pPr>
      <w:r w:rsidRPr="00C93F78">
        <w:t xml:space="preserve">Art. 2 pkt </w:t>
      </w:r>
      <w:r w:rsidR="00AF42C4" w:rsidRPr="00C93F78">
        <w:t xml:space="preserve">9 </w:t>
      </w:r>
      <w:r w:rsidRPr="00C93F78">
        <w:t xml:space="preserve">(wprowadzenie do ustawy o CIT Rozdziału 1a, zawierającego artykuły od 11a do 11t) oraz odpowiednio art. 1 pkt </w:t>
      </w:r>
      <w:r w:rsidR="006C4AE7" w:rsidRPr="00C93F78">
        <w:t>16</w:t>
      </w:r>
      <w:r w:rsidRPr="00C93F78">
        <w:t>(wprowadzenie do ustawy o PIT Rozdziału 4b, zawierającego artykuły od 23m do 23zf)</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Zmiana obejmuje wprowadzenie nowych regulacji w zakresie cen transferowych w miejsce dotychczasowych regulacji – art. 9a i art. 11 ustawy o CIT oraz art. 25 i 25a ustawy o PIT. Ujęcie nowych regulacji w odrębnych rozdziałach obu ustaw uzasadnione jest specyfiką regulowanej tematyki, powodującej zasadność jej wyodrębnienia. Jednocześnie, ujęcie regulacji w odrębnych rozdziałach – podzielonych na oddziały dla lepszej czytelności regulacji – istotnie zwiększy przejrzystość wprowadzanych przepisów. Obecnie obowiązujące przepisy art. 9a i art. 11 ustawy o CIT oraz art. 25 i art. 25a ustawy o PIT, poprzez kilkukrotne ich nowelizacje stały się zbyt rozbudowane i przez to mało czytelne.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Podkreślić należy, że dotychczasowe regulacje nie precyzowały w dostateczny sposób adresata przepisów – nie było w szczególności jasne, czy regulacje w zakresie cen transferowych mogą być stosowane bezpośrednio przez podatników. Konstrukcja wprowadzanych regulacji Rozdziału 1a ustawy o CIT i Rozdziału 4b ustawy o PIT w sposób bezpośredni wskazuje, że adresatami tych przepisów są zarówno organy podatkowe, jak i podatnicy. Doprecyzowanie kręgu adresatów spowoduje, że podatnicy będą mogli stosować wprowadzane regulacje w sposób bezpośredni. Intencją wprowadzenia zasady, że regulacje w zakresie cen transferowych adresowane są przede wszystkim do podatników (a nie tylko do organów podatkowych, jak ma to miejsce dzisiaj) jest przede wszystkim bezpośrednie zobowiązanie podatników do przestrzegania zasady ceny rynkowej już w momencie realizacji transakcji.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Poniżej przedstawiono uzasadnienie wprowadzenia poszczególnych artykułów w Rozdziale 1a ustawy o CIT i odpowiednio w Rozdziale 4b ustawy o PIT.</w:t>
      </w:r>
    </w:p>
    <w:p w:rsidR="00F25923" w:rsidRPr="00C93F78" w:rsidRDefault="00F25923" w:rsidP="00C93F78">
      <w:pPr>
        <w:spacing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Art. 11a ustawy o CIT oraz odpowiednio art. 23m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Wprowadzony artykuł definiuje pojęcia, które używane są w kolejnych artykułach Rozdziału 1a ustawy o CIT oraz odpowiednio Rozdziału 4b ustawy o PIT. Wprowadzenie regulacji ma na celu doprecyzowanie i zapewnienie jednoznacznego rozumienia pojęć, którymi posługuje się ustawa o CIT w Rozdziale 1a (odpowiednio ustawa o PIT w Rozdziale 4b).</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 1</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dotychczas obowiązujących regulacjach część używanych pojęć nie była zdefiniowana, co powodowało rozbieżności w zakresie ich interpretacji, zarówno po stronie podatników, jak i organów podatkowych. Realizując postulat przyjaznego, prostego i przejrzystego systemu podatkowego, pojęcia występujące w Rozdziale 1a ustawy o CIT (odpowiednio w Rozdziale 4b ustawy o PIT) zostały doprecyzowane lub zdefiniowane na nowo, zrezygnowano również z części pojęć dotychczas używanych w celu wyeliminowania wątpliwości interpretacyjnych, np. pojęcie transakcji kontrolowanej (dotychczas nieuregulowane) zastąpi występujące obecnie pojęcie transakcji lub innych zdarzeń.</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Oprócz wprowadzenia nowych definicji, w słowniczku uproszczono definicję podmiotów powiązanych, definiując wprost podmioty, które mogą być uznane za powiązane w rozumieniu przepisów rozdziału, jak również wprowadzając definicję powiązań jako relacji pomiędzy podmiotami powiązanymi – w rozumieniu definicji podmiotów powiązanych. Definicja ta wskazuje wywieranie znaczącego wpływu jako istotny czynnik kreujący powiązania pomiędzy podmiotami.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Użyte w definicji „podmiotu” oraz „podmiotów powiązanych” w ust. 1 pojęcie zagranicznego zakładu odnosi się do pojęcia już zdefiniowanego odpowiednio w art. 4a pkt 11 ustawy o CIT oraz art. 5a pkt 22 ustawy o PIT. Należy przy tym dodać, że pojęcie to stanowi swego rodzaju fikcję prawną – bowiem zagraniczny zakład funkcjonuje wyłącznie jako instytucja prawa podatkowego, nie zaś element rzeczywistości gospodarczej. Niemniej jednak pojęcie zakładu można utożsamiać zarówno z przedsiębiorcą, który działa poza granicami państwa będącego miejscem jego zamieszkania albo siedziby (ujęcie podmiotowe), jak i z przedsiębiorstwem, czyli zespołem składników osobowych, materialnych, niematerialnych, wykorzystywanych przez tego przedsiębiorcę w działalności zagranicznej, np. placem budowy (ujęcie przedmiotowe). W niniejszej ustawie używając w kontekście zagranicznego zakładu pojęcia podmiot rozumie się oba ujęcia tego zagadnienia (zarówno podmiotowe jak i przedmiotowe) – co odzwierciedlone jest w szczególności w definicji pojęcia „podmiot”.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Wprowadzona definicja transakcji kontrolowanej ma za zadanie zastąpić obecnie używane w regulacjach dotyczących cen transferowych pojęcia „transakcje oraz inne zdarzenia jednego rodzaju”. Pojęcie transakcji kontrolowanej obejmuje wszelkie działania gospodarcze (w tym działania o charakterze handlowym, kapitałowym, finansowym i usługowym), których rzeczywista treść identyfikowana jest na podstawie faktycznych zachowań stron. Warunek ten jest w szczególności istotny w sytuacji, w której rzeczywisty przebieg transakcji kontrolowanej nie jest zgodny z postanowieniami obowiązujących umów pisemnych albo kiedy umowy pisemne dotyczące transakcji kontrolowanej nie istnieją.</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Wprowadzenie stosunkowo szerokiej definicji transakcji kontrolowanej ma na celu objęcie nią również zagadnień, które mogą nie być uznawane za transakcje w potocznym rozumieniu tego słowa, takich jak między innymi restrukturyzacje, umowy o podziale kosztów (CCA), umowy spółki osobowej, umowy o współpracy czy też umowy o zarządzanie płynnością.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Należy jednocześnie podkreślić, że nie istniała do tej pory legalna definicja pojęcia „transakcja” na gruncie cen transferowych. Brak takiej definicji – i próby interpretowania na podstawie definicji słownikowej – powodowały wątpliwości zarówno po stronie podatników, jak i organów podatkowych, w tym dotyczące istnienia obowiązku sporządzenia dokumentacji cen transferowych. Wprowadzenie definicji ma na celu usunięcie tych wątpliwości.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 2</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wprowadza szczegółową definicję pojęcia „znaczący wpływ”. Wprowadzenie tej definicji ma na celu określenie sytuacji, w której dwa podmioty mogą stać się podmiotami powiązanymi. Pojęcie znaczącego wpływu jest bowiem kluczowym elementem definicji podmiotów powiązanych, stanowiącym jeden z warunków zaistnienia powiązań pomiędzy dwoma lub większą ilością podmiotów.</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Definicja znaczącego wpływu obejmuje trzy obszary, poprzez które jeden podmiot może wywierać znaczący wpływ na inne podmioty przy czym może wystąpić sytuacja, w której dwa lub więcej warunków spełnionych jest łącznie. Obszary te zostały szczegółowo omówione poniżej.</w:t>
      </w:r>
    </w:p>
    <w:p w:rsidR="00F25923" w:rsidRPr="00C93F78" w:rsidRDefault="00F25923" w:rsidP="00C93F78">
      <w:pPr>
        <w:spacing w:line="360" w:lineRule="auto"/>
        <w:jc w:val="both"/>
        <w:rPr>
          <w:rFonts w:ascii="Times New Roman" w:hAnsi="Times New Roman" w:cs="Times New Roman"/>
          <w:i/>
          <w:sz w:val="24"/>
          <w:szCs w:val="24"/>
        </w:rPr>
      </w:pPr>
      <w:r w:rsidRPr="00C93F78">
        <w:rPr>
          <w:rFonts w:ascii="Times New Roman" w:hAnsi="Times New Roman" w:cs="Times New Roman"/>
          <w:i/>
          <w:sz w:val="24"/>
          <w:szCs w:val="24"/>
        </w:rPr>
        <w:t>Znaczący wpływ wynikający z relacji właścicielskich, zarządczych lub kontrolnych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aspekcie powiązań właścicielskich zachowany został próg 25%, jednak zgodnie z wprowadzoną definicją odnosić się on będzie do szerokiego spektrum instrumentów, mogących kreować powiązania, takich jak udział w kapitale, prawach głosu w organach kontrolnych, stanowiących lub zarządzających, jednostkach uczestnictwa, certyfikatach lub innych prawach związanych z uczestnictwem w zyskach lub w majątku lub ich ekspektatyw. Rozszerzenie katalogu instrumentów kreujących powiązania o charakterze kapitałowym ma na celu odzwierciedlenie rzeczywistości gospodarczej i obecności różnego rodzaju struktur w grupach kapitałowych. Na gruncie obowiązujących regulacji powiązania kapitałowe mogły wynikać wyłącznie z udziału w kapitale innego podmiotu, co w praktyce powodowało, że obecność w strukturze grupy kapitałowej np. funduszu inwestycyjnego lub fundacji powodowało przerwanie łańcucha powiązań. Szeroka definicja ma na celu wyeliminowanie takich sytuacji. Znaczący wpływ w aspekcie właścicielskim uwzględnia również obecnie istniejące powiązania o charakterze zarządczym i kontrolnym – poprzez udział podmiotu w prawach głosu w organach zarządczych lub kontrolnych innego podmiotu / innych podmiotów. Należy też zauważyć, że próg 25% odnosi się do powiązań bezpośrednich i pośrednich (te ostatnie zdefiniowano w ust. 3). Użyty spójnik „lub” w odniesieniu do powiązań bezpośrednich i pośrednich dopuszcza scenariusz, gdy oba rodzaje powiązań występują jednocześnie. W takim przypadku limit 25% odnosi się łącznie do powiązań bezpośrednich i pośrednich.</w:t>
      </w:r>
    </w:p>
    <w:p w:rsidR="00F25923" w:rsidRPr="00C93F78" w:rsidRDefault="00F25923" w:rsidP="00CF0810">
      <w:pPr>
        <w:keepNext/>
        <w:keepLines/>
        <w:spacing w:line="360" w:lineRule="auto"/>
        <w:jc w:val="both"/>
        <w:rPr>
          <w:rFonts w:ascii="Times New Roman" w:hAnsi="Times New Roman" w:cs="Times New Roman"/>
          <w:i/>
          <w:sz w:val="24"/>
          <w:szCs w:val="24"/>
        </w:rPr>
      </w:pPr>
      <w:r w:rsidRPr="00C93F78">
        <w:rPr>
          <w:rFonts w:ascii="Times New Roman" w:hAnsi="Times New Roman" w:cs="Times New Roman"/>
          <w:i/>
          <w:sz w:val="24"/>
          <w:szCs w:val="24"/>
        </w:rPr>
        <w:t>Znaczący wywierany przez osobę fizyczną</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Uwzględnienie tego aspektu ma na celu rozszerzenie katalogu powiązań o sytuację, w której istnieje osoba fizyczna, mogąca w istotny sposób wpływać na kluczowe decyzje gospodarcze podejmowane przez podmiot, pomimo braku formalnego umocowania w organach stanowiących lub kontrolnych. Decyzje te mogą obejmować np. wskazywanie przez osobę fizyczną członków organów zarządzających lub nadzorujących u podatnika, podejmowanie decyzji o rezygnacji z części działalności, wprowadzeniu na rynek nowego produktu lub przejęciu pewnego zakresu działalności od podmiotu powiązanego. Decyzje te mogą być powodowane innymi czynnikami niż czysto ekonomiczne i mogą nie odzwierciedlać zachowania podmiotów niepowiązanych w porównywalnych okolicznościach. Obowiązujące regulacje nie dawały organom podatkowym możliwości oceny takich decyzji pod kątem ich rynkowości z uwagi na brak formalnej podstawy do stwierdzenia zaistnienia powiązań pomiędzy podatnikiem a taką osobą fizyczną, w szczególności w sytuacji, w której w strukturze grupy funkcjonowały podmioty, które powodowały przerwanie łańcucha powiązań kapitałowych (np. fundacje, trusty czy fundusze inwestycyjne).</w:t>
      </w:r>
    </w:p>
    <w:p w:rsidR="00F25923" w:rsidRPr="00C93F78" w:rsidRDefault="00F25923" w:rsidP="00C93F78">
      <w:pPr>
        <w:spacing w:line="360" w:lineRule="auto"/>
        <w:jc w:val="both"/>
        <w:rPr>
          <w:rFonts w:ascii="Times New Roman" w:hAnsi="Times New Roman" w:cs="Times New Roman"/>
          <w:i/>
          <w:sz w:val="24"/>
          <w:szCs w:val="24"/>
        </w:rPr>
      </w:pPr>
      <w:r w:rsidRPr="00C93F78">
        <w:rPr>
          <w:rFonts w:ascii="Times New Roman" w:hAnsi="Times New Roman" w:cs="Times New Roman"/>
          <w:i/>
          <w:sz w:val="24"/>
          <w:szCs w:val="24"/>
        </w:rPr>
        <w:t>Powiązania o charakterze rodzinnym</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Punkt 3 ust. 2 definiuje wywieranie znaczącego wpływu również jako pozostawanie w związku małżeńskim albo występowanie pokrewieństwa lub powinowactwa do drugiego stopnia. W rezultacie, sam fakt zaistnienia powiązań o charakterze rodzinnym pomiędzy dwoma podmiotami jest wystarczający do uznania je za podmioty powiązane w rozumieniu wprowadzanych regulacji.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Ustęp 3 precyzuje rozumienie pojęcia udziału pośredniego, definiując udział pośredni jako sytuację, w której jeden podmiot posiada w drugim podmiocie udział lub prawo za pośrednictwem innego podmiotu lub większej liczby podmiotów. Regulacja ta dodatkowo precyzuje, w jaki sposób należy liczyć wielkość udziału pośredniego, wskazując, że liczony jest on niezależnie od ilości podmiotów występujących pomiędzy podatnikiem a podmiotem powiązanym. Podstawową zasadą jest wskazanie, że wielkość udziału pośredniego określona jest jako wielkość udziału albo prawa łączącego dowolne dwa podmioty spośród wszystkich podmiotów uwzględnianych przy ustalaniu pośredniego posiadania udziału lub prawa – w przypadku, gdy wszystkie wielkości udziałów lub praw łączących te podmioty są równe, a gdy wartości te są różne, należy brać pod uwagę najniższą z wielkości. Ponadto, w sytuacji gdy podmioty łączy więcej niż jeden pośrednio posiadany udział lub prawo, udział pośredni określa się jako sumę wielkości wszystkich pośrednio posiadanych udziałów lub praw w tym podmiocie.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Ustęp 4 wprowadza klauzulę antyabuzywną dotyczącą kwestii ustalania, które z podmiotów są uznawane za podmioty powiązane. Regulacja ta ma na celu uwzględnienie specyficznych struktur właścicielskich występujących w różnych jurysdykcjach podatkowych, które ulegają szybkim zmianom w czasie. Zakres podmiotów powiązanych regulowanych w ustawie o PIT i CIT dotyczy bowiem nie tylko powiązań krajowych, ale również zagranicznych.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Klauzula ta mówi o tym, że w sytuacji występowania „sztucznych” struktur właścicielskich lub podmiotów, jeżeli zostały one umieszczone w strukturze tylko w celu przerwania łańcucha powiązań, wszystkie podmioty występujące w takiej strukturze uznawane są za podmioty powiązane. Zatem, w celu ustalenia podmiotów powiązanych w świetle art. 11a ust. 1-3 ustawy o CIT oraz odpowiednio art. 23m ust. 1-3 ustawy o PIT w łańcuchu powiązań uwzględnia się wszystkie podmioty, w tym również takie, które miały przerwać łańcuch powiązań. Jako przykłady takich podmiotów / struktur, które mogłyby przerwać łańcuch powiązań wskazano wszelkie manipulacje strukturą właścicielską (w tym firmanctwo) oraz powiązania o charakterze cyrkularnym. Te ostatnie dotyczą sytuacji, gdy na skutek powiązań pośrednich podmiot jest powiązany sam ze sobą np. podmiot A posiada udziały B, podmiot B w podmiocie C, a podmiot C w podmiocie A.</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Jako przykład podmiotów, które mogłyby przerwać łańcuch powiązań wskazać można zagraniczne trusty oraz fundacje prawa prywatnego. W strukturach z tymi podmiotami beneficjent trustu / fundacji prawa prywatnego jest podmiotem niepowiązanym ze spółką operacyjną działającą pod trustem / fundacją prawa prywatnego, co w efekcie czyni beneficjenta podmiotem niepowiązanym ze spółką operacyjną. Przepis ust. 4 eliminuje obchodzenie powiązań w sposób zaprezentowany w tym przykładzie i skutkuje uznaniem beneficjenta za podmiot powiązany ze spółką operacyjną, jak również powoduje, że wszelkie ewentualne transakcje zawierane z takim zagranicznym trustem / fundacją prawa prywatnego (a przede wszystkim z podmiotami od nich zależnymi) traktowane będą jako transakcje kontrolowane (z uwagi na uznanie takiego podmiotu za podmiot powiązany w świetle wprowadzanych regulacji).</w:t>
      </w:r>
    </w:p>
    <w:p w:rsidR="00F25923" w:rsidRPr="00C93F78" w:rsidRDefault="00F25923" w:rsidP="00CF0810">
      <w:pPr>
        <w:keepNext/>
        <w:keepLines/>
        <w:spacing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Art. 11b ustawy o CIT oraz odpowiednio art. 23n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określa transakcje, w których przepisy rozdziału 1a ustawy o CIT oraz 4b ustawy o PIT nie będą miały zastosowania. Transakcje zwolnione z obowiązku stosowania regulacji obejmują:</w:t>
      </w:r>
    </w:p>
    <w:p w:rsidR="00F25923" w:rsidRPr="00C93F78" w:rsidRDefault="00F25923" w:rsidP="00C93F78">
      <w:pPr>
        <w:numPr>
          <w:ilvl w:val="0"/>
          <w:numId w:val="69"/>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transakcje kontrolowane, w których cena lub sposób określenia ceny przedmiotu takiej transakcji kontrolowanej wynika z przepisów ustaw lub wydanych na ich podstawie aktów normatywnych;</w:t>
      </w:r>
    </w:p>
    <w:p w:rsidR="00F25923" w:rsidRPr="00C93F78" w:rsidRDefault="00F25923" w:rsidP="00C93F78">
      <w:pPr>
        <w:numPr>
          <w:ilvl w:val="0"/>
          <w:numId w:val="69"/>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transakcje między Bankowym Funduszem Gwarancyjnym a instytucją pomostową lub do transakcji pomiędzy podmiotem zarządzającym aktywami a instytucją pomostową w rozumieniu ustawy z dnia 10 czerwca 2016 r. o Bankowym Funduszu Gwarancyjnym, systemie gwarantowania depozytów oraz przymusowej restrukturyzacji – wyłączenie w ustawie o CIT.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Wyłączenie, o którym mowa w punkcie 1 artykułu 11b ustawy o CIT oraz w art. 23n ustawy o PIT stanowiło wcześniej element rozporządzenia Ministra Finansów w sprawie sposobu i trybu określania dochodów osób prawnych w drodze oszacowania oraz sposobu i trybu eliminowania podwójnego opodatkowania osób prawnych w przypadku korekty zysków podmiotów powiązanych z 10 września 2009 r. (Dz.</w:t>
      </w:r>
      <w:r w:rsidR="00CF0810">
        <w:rPr>
          <w:rFonts w:ascii="Times New Roman" w:hAnsi="Times New Roman" w:cs="Times New Roman"/>
          <w:sz w:val="24"/>
          <w:szCs w:val="24"/>
        </w:rPr>
        <w:t xml:space="preserve"> </w:t>
      </w:r>
      <w:r w:rsidRPr="00C93F78">
        <w:rPr>
          <w:rFonts w:ascii="Times New Roman" w:hAnsi="Times New Roman" w:cs="Times New Roman"/>
          <w:sz w:val="24"/>
          <w:szCs w:val="24"/>
        </w:rPr>
        <w:t>U. poz. 1268) oraz odpowiedniego rozporządzenia dotyczącego osób fizycznych. Takie umiejscowienie tej regulacji sprawiało, że chociaż zasada ceny rynkowej miała zastosowanie do transakcji, w których cena lub sposób określenia ceny przedmiotu takiej transakcji kontrolowanej wynika z przepisów ustaw lub wydanych na ich podstawie aktów normatywnych, organy podatkowe nie miały praktycznych instrumentów do weryfikacji warunków takiej transakcji i szacowania dochodu. Z uwagi na fakt, że ceny ustalone w takich transakcjach są ustalone na podstawie aktów normatywnych, możliwość ewentualnego zakwestionowania ich poziomu byłaby bardzo ograniczona. W rezultacie, zwolnienie dla takich transakcji przeniesione zostało do ustawy.</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Wyłączenie stosowania przepisów ustawy do niektórych transakcji wynikających z ustawy o Bankowym Funduszu Gwarancyjnym utrzymuje obowiązującą regulację art. 11 ust. 8 pkt 4 ustawy o CIT.</w:t>
      </w:r>
    </w:p>
    <w:p w:rsidR="00F25923" w:rsidRPr="00C93F78" w:rsidRDefault="00F25923" w:rsidP="00CF0810">
      <w:pPr>
        <w:keepNext/>
        <w:keepLines/>
        <w:spacing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Art. 11c ustawy o CIT oraz odpowiednio art. 23o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Przepis definiuje warunki, na jakich powinny być zawierane transakcje pomiędzy podmiotami powiązanymi wskazując, że warunki te nie powinny odbiegać od warunków, jakie zostałyby ustalone pomiędzy podmiotami niepowiązanymi. Jednocześnie fakt, że przepis ten adresowany jest również do podatników (podmiotów powiązanych) wprost implikuje obowiązek stosowania przez nich cen rynkowych – zgodnie z posiadaną w tym momencie najlepszą wiedzą – już w chwili zawierania transakcji kontrolowanej.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przypadku stwierdzenia, że w wyniku istniejących powiązań warunki pomiędzy podmiotami powiązanymi różnią się od warunków, które ustaliłyby między sobą podmioty niepowiązane, i w wyniku tego podatnik nie wykazuje dochodów (czyli również ponosi stratę) albo wykazuje dochody niższe od tych, jakich należałoby oczekiwać, gdyby wymienione powiązania nie istniały – organ podatkowy ma prawo określić dochody albo wysokość straty podatnika bez uwzględnienia warunków wynikających z tych powiązań.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Ustęp 2 wskazuje, że organy podatkowe dokonują analizy warunków w transakcji kontrolowanej na podstawie faktycznych okoliczności zawarcia i realizacji transakcji, jak również na podstawie faktycznego zachowania stron transakcji (zasada prymatu rzeczywistej treści transakcji nad jej formą – ang. </w:t>
      </w:r>
      <w:r w:rsidRPr="00C93F78">
        <w:rPr>
          <w:rFonts w:ascii="Times New Roman" w:hAnsi="Times New Roman" w:cs="Times New Roman"/>
          <w:i/>
          <w:sz w:val="24"/>
          <w:szCs w:val="24"/>
        </w:rPr>
        <w:t>substance over form</w:t>
      </w:r>
      <w:r w:rsidRPr="00C93F78">
        <w:rPr>
          <w:rFonts w:ascii="Times New Roman" w:hAnsi="Times New Roman" w:cs="Times New Roman"/>
          <w:sz w:val="24"/>
          <w:szCs w:val="24"/>
        </w:rPr>
        <w:t xml:space="preserve">). Zastosowanie tej regulacji umożliwia organom podatkowym rozpoznanie (ang. </w:t>
      </w:r>
      <w:r w:rsidRPr="00C93F78">
        <w:rPr>
          <w:rFonts w:ascii="Times New Roman" w:hAnsi="Times New Roman" w:cs="Times New Roman"/>
          <w:i/>
          <w:sz w:val="24"/>
          <w:szCs w:val="24"/>
        </w:rPr>
        <w:t>delineation</w:t>
      </w:r>
      <w:r w:rsidRPr="00C93F78">
        <w:rPr>
          <w:rFonts w:ascii="Times New Roman" w:hAnsi="Times New Roman" w:cs="Times New Roman"/>
          <w:sz w:val="24"/>
          <w:szCs w:val="24"/>
        </w:rPr>
        <w:t>) i badanie efektów podatkowych rzeczywiście zawartej transakcji (transakcji właściwej) – mogąc stanowić również podstawę do wniosku, że dana transakcja nie zostałaby zawarta w takim kształcie przez podmioty niezależne.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Ustęp 3 wskazuje, że w przypadku stwierdzenia, że w porównywalnych okolicznościach podmioty niepowiązane kierujące się racjonalnością ekonomiczną nie zawarłyby danej transakcji kontrolowanej lub zawarłyby inną transakcję lub inną czynność, organ podatkowy określi dochód lub stratę podatnika bez uwzględnienia transakcji kontrolowanej, a gdzie właściwe, określa dochód (stratę) podatnika z transakcji właściwej (rozpoznanej na podstawie badania rzeczywistych okoliczności transakcji oraz zachowania jej stron). Regulacja ta umożliwia właściwe rozpoznanie przez organ podatkowy rzeczywistej transakcji kontrolowanej (nawet, jeśli odbiega ona od transakcji wskazywanej przez podatnika) oraz ewentualne zastąpienie przez organ podatkowy na potrzeby szacowania dochodu lub straty transakcji kontrolowanej inną transakcją (transakcją właściwą) lub całkowite pominięcie efektów podatkowych transakcji kontrolowanej.</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rezultacie, przepis precyzuje możliwość uznania przez organ, że w danych okolicznościach podmioty niepowiązane nie zawarłyby danej transakcji lub zawarłyby inną transakcję, umożliwiając recharakteryzację transakcji kontrolowanej na inną transakcję – i oceny skutków podatkowych tylko tej właściwej transakcji, jak również pozwalając na nieuwzględnienie skutków podatkowych transakcji kontrolowanej, jeśli podmioty niepowiązane nie zawarłyby takiej transakcji w ogóle.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Jednocześnie, ustęp 5 ogranicza możliwość zastosowania przez organy podatkowe instrumentów recharakteryzacji i odmowy rozpoznania transakcji, wskazując dwa kryteria, które nie mogą być wyłączną podstawą zastosowania tych instrumentów, tj. trudność w weryfikacji ceny transferowej przez organ podatkowy albo brak porównywalnych transakcji występujących pomiędzy podmiotami niepowiązanymi w porównywalnych okolicznościach. Rozwiązanie to ma zapobiegać sytuacjom, w których organ podatkowy, napotykając trudności w prawidłowym określeniu ceny transferowej posłuży się „drogą na skróty”, podczas gdy stosowanie instrumentów recharakteryzacji i odmowy rozpoznania transakcji nie powinno mieć charakteru powszechnego.</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Dotychczas obowiązujące regulacje umożliwiały takie podejście w oparciu o ogólnie sformułowaną w art. 11 ust. 1 ustawy o CIT i art. 25 ust. 1 ustawy o PIT zasadę ceny rynkowej. Niemniej, brak precyzyjnej regulacji w tym zakresie powodował liczne wątpliwości po stronie podatników. Projektowana regulacja ma na celu potwierdzenie istnienia możliwości dokonania przez organy podatkowe recharakteryzacji lub odmowy rozpoznania transakcji kontrolowanej i usunięcie wątpliwości w zakresie stosowania tych instrumentów.</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Doprecyzowanie i potwierdzenie możliwości stosowania opisanych wyżej instrumentów ma istotne znaczenie z punktu widzenia uszczelnienia systemu podatkowego z uwagi na fakt, że pomiędzy podmiotami powiązanymi może dochodzić do zawierania takich transakcji, których podmioty niepowiązane nie zawarłyby na takich warunkach, na jakich zawarły ją podmioty powiązane, lub nie zawarłyby takiej transakcji w ogóle. Kompleksowość relacji w ramach grup kapitałowych, w szczególności międzynarodowych, przy jednoczesnym braku regulacji bezpośrednio odnoszących się do recharakteryzacji lub odmowy rozpoznania transakcji utrudniała możliwość zakwestionowania przez organy podatkowe warunków rozliczeń – mogły bowiem wystąpić transakcje, w których cena wprawdzie została ustalona na warunkach rynkowych, natomiast transakcja jako taka nigdy nie zostałaby zawarta pomiędzy podmiotami niepowiązanymi. Doprecyzowanie istniejących regulacji poprzez wskazanie w projektowanych regulacjach wprost instrumentów takich jak recharakteryzacja transakcji kontrolowanej (tj. jej ocena w oparciu o warunki, jakie ustaliłyby podmioty niezależne, a nie warunki, jakie zostały ustalone przez podmioty powiązane) lub odmowa jej rozpoznania (tj. pominięcie przez organy podatkowe skutków podatkowych transakcji kontrolowanej, jeśli nie zostałaby ona w ogóle zawarta przez podmioty niepowiązane), które stosowane były dotychczas na gruncie brzmienia ogólnej zasady ceny rynkowej, pozwala na większą przejrzystość przepisów prawa podatkowego w obszarze cen transferowych.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 uwagi na fakt, że w polskim prawie podatkowym istnieją klauzule antyabuzywne w postaci art. 119a oraz art. 199a Ordynacji podatkowej, należy stwierdzić, że są to regulacje o charakterze ogólnym, które odnoszą się do wszystkich tytułów podatkowych i wszystkich okoliczności, które powodują powstanie obowiązku podatkowego. Instrumenty recharakteryzacji oraz pominięcia (nierozpoznania) transakcji kontrolowanej doprecyzowane w projektowanej regulacji dotyczą po pierwsze wyłącznie podmiotów powiązanych, a po drugie, decydującym kryterium dla ich zastosowania nie jest korzyść podatkowa w rozumieniu Ordynacji podatkowej, lecz to, czy podmioty niepowiązane zachowałyby się w podobny sposób, jak zachowały się podmioty powiązane. Oba instrumenty są przewidziane w Wytycznych OECD. Instrument pominięcia transakcji został opisany w podrozdziale D.2. Rozdziału I Wytycznych dotyczącym zasady ceny rynkowej. Zgodnie z Wytycznymi, kluczowym pytaniem w zakresie stosowania instrumentów pominięcia lub recharakteryzacji transakcji jest ustalenie, czy rzeczywista transakcja pomiędzy podmiotami powiązanymi zostałaby zrealizowana/uzgodniona w taki sam sposób pomiędzy podmiotami niepowiązanymi w porównywalnych okolicznościach ekonomicznych. Recharakteryzacja i pominięcie transakcji to instrumenty służące do prawidłowego określania ceny transakcyjnej w celu prawidłowego ustalenia przychodu lub kosztu podatkowego. Tym samym są to instrumenty służące realizacji zasady ceny rynkowej i są specyficzne dla instytucji cen transferowych.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Trzeba też podkreślić, że w odniesieniu do transakcji pomiędzy podmiotami powiązanymi istnieją stany faktyczne, w których brak jest możliwości zakwestionowania warunków transakcji na bazie regulacji bazujących na kryteriach „pozorności” lub „korzyści podatkowej” – do których to przesłanek odwołują się instytucje określone odpowiednio w art. 119a i 199a ustawy Ordynacja podatkowa. Przykładem może być np. transakcja, w której podmiot powiązany ubezpiecza swoją spółkę zależną od określonego ryzyka, podczas gdy na rynku taka transakcja w ogóle nie wystąpiłaby ze względu na bardzo wysoki poziom ubezpieczanego ryzyka. Innym przykładem może być przeprowadzenie całego procesu inwestycyjnego w zakresie wartości niematerialnych i prawnych (np. w branży farmaceutycznej) a następnie odstąpienie wszelkich praw związanych z komercjalizacją leku podmiotowi powiązanemu w zamian za nieadekwatną ryczałtową opłatę. Zarzucenie w tych przypadkach pozorności działania, lub działania którym głównym motywem jest korzyść podatkowa nie jest możliwe. Te transakcje z pewnością mają faktycznie miejsce, a ich celem jest nieuprawnione przeniesienie korzyści gospodarczej na rzecz drugiego podmiotu. Skutek podatkowy tych transakcji choć bardzo ważny, jest jednak jedynie pochodną działań związanych z przeniesieniem korzyści gospodarczej. Tym samym niemożliwe jest wykazanie, że podmioty dokonują transakcji sztucznej, bądź głównym motywem działania jest korzyść podatkowa. Stąd też wniosek, że funkcjonujące do tej pory instrumenty określone w art. 119a i 199a ustawy Ordynacja podatkowa są w tym zakresie niewystarczające. Doprecyzowanie przez niniejszą ustawę stosowania instrumentów „recharakteryzacji” oraz „pominięcia” transakcji umożliwią efektywne zwalczanie tego typu nadużyć. </w:t>
      </w:r>
    </w:p>
    <w:p w:rsidR="00F25923" w:rsidRPr="00C93F78" w:rsidRDefault="00F25923" w:rsidP="00C93F78">
      <w:pPr>
        <w:spacing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Art. 11d ustawy o CIT oraz odpowiednio art. 23p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określa katalog metod, którymi posługiwać się mogą organy podatkowe i podatnicy na potrzeby weryfikacji ceny transferowej, aby zapewnić jej</w:t>
      </w:r>
      <w:r w:rsidR="00214B8A" w:rsidRPr="00C93F78">
        <w:rPr>
          <w:rFonts w:ascii="Times New Roman" w:hAnsi="Times New Roman" w:cs="Times New Roman"/>
          <w:sz w:val="24"/>
          <w:szCs w:val="24"/>
        </w:rPr>
        <w:t xml:space="preserve"> </w:t>
      </w:r>
      <w:r w:rsidRPr="00C93F78">
        <w:rPr>
          <w:rFonts w:ascii="Times New Roman" w:hAnsi="Times New Roman" w:cs="Times New Roman"/>
          <w:sz w:val="24"/>
          <w:szCs w:val="24"/>
        </w:rPr>
        <w:t>wysokość na takim poziomie, jaki ustaliłyby podmioty niepowiązane. Jednocześnie regulacja wskazuje, że do weryfikacji ceny transferowej pod kątem zgodności z zasadą ceny rynkowej należy wykorzystać tę metodę, która jest najbardziej odpowiednią metodą w danych okolicznościach, przy uwzględnieniu między innymi warunków ustalonych lub narzuconych pomiędzy podmiotami powiązanymi, dostępności informacji niezbędnych do prawidłowego zastosowania metody oraz specyficznych kryteriów jej zastosowania.</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Oprócz pięciu metod podstawowych, wskazanych w obowiązujących regulacjach (art. 11 ustawy o CIT i odpowiednio art. 25 ustawy o PIT) – tj. metody porównywalnej ceny niekontrolowanej, metody ceny odprzedaży, metody koszt plus, metody marży transakcyjnej netto oraz metody podziału zysku, umożliwia się użycie innych metod, w tym technik wyceny.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Jednocześnie, w przypadku wyboru innej metody (tj. metody określonej w art. 11d ust. 2 ustawy o CIT oraz art. 23p ust. 2 ustawy o PIT) podatnik zobowiązany będzie do uzasadnienia, że żadna z metod wskazanych w ust. 1 nie może zostać uznana jako najbardziej odpowiednią metodę. Regulacja ta ma na celu ograniczenie dowolności stosowania metod innych niż 5 podstawowych. Zatem, pierwszeństwo stosowania nadal ma pięć metod wskazanych przez OECD.</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Przykładowo, w branży przetwórstwa ropy naftowej i gazu typowe jest stosowanie metod kalkulacji cen produktów ropopochodnych w oparciu o notowania giełdowe produktów podstawowych (np. ropy naftowej określonego typu), korygując następnie te notowania o koszty transportu oraz inne zmienne (np. uwzględniające różnice pomiędzy produktem podstawowym a produktem wycenianym, który nie jest bezpośrednio notowany). Metoda ta nie spełnia kryteriów uznania jej za jedną z pięciu metod podstawowych.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Drugim przykładem może być zastosowanie technik wyceny jako metody kalkulacji ceny transferowej. Sytuacja taka jest często spotykana np. w branży nieruchomości, gdzie ze względu na brak dostatecznie porównywalnych przedmiotów transakcji nie istnieje praktyczna możliwość określenia – i późniejszej weryfikacji – ceny transferowej (np. w transakcji zbycia nieruchomości) w sposób inny, niż poprzez wycenę. Wycena taka, sporządzana przez rzeczoznawcę, również nie spełniała kryteriów uznania jej za jedną z 5 metod podstawowych.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ta ma na celu praktyczne umożliwienie organom podatkowym szacowania dochodu podatników również na podstawie innych metod, w tym technik wyceny – np. metodą zdyskontowanych przepływów pieniężnych. Dotychczasowe regulacje umożliwiały bowiem organom podatkowym szacowanie dochodu tylko na podstawie jednej z pięciu metod wskazanych w uchylanym art. 11 ustawy o CIT i art. 25 ustawy o PIT (katalog zamknięty), co stawiało organy podatkowe w gorszej sytuacji w stosunku do podatnika, który miał możliwość zastosowania dowolnej metody ustalania ceny transferowej. Należy podkreślić, że możliwość stosowania metod innych niż podstawowe została również potwierdzona w Wytycznych OECD.</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Szczegółowe warunki (w tym sposób i tryb) stosowania metod innych niż pięć podstawowych zostaną szczegółowo określone w przepisach wykonawczych do ustawy, w celu uniknięcia dowolności stosowania takich metod zarówno przez podatników, jak i organy podatkowe.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Ustęp 4 wprowadzanego artykułu 11d (odpowiednio ust. 4 wprowadzanego art. 23p) reguluje zobowiązanie organów podatkowych do stosowania w pierwszej kolejności metody, która została zastosowana przez podatnika. Jednocześnie, jeśli metoda ta nie będzie metodą najbardziej odpowiednią w danych okolicznościach, organ podatkowy ma prawo do oceny warunków rynkowych w transakcji za pomocą metody, która zostanie uznana za najbardziej odpowiednią w danych okolicznościach. Dotychczas zobowiązanie to wskazane zostało w przepisach wykonawczych do ustawy – niemniej, istotność tej gwarancji dla podatników i pierwszeństwo zastosowania metody stosowanej przez podatników jest na tyle duża, że uzasadnia przeniesienie tej regulacji na poziom ustawy.</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odniesieniu do przypadków wskazanych w art. 11c ust. 4 </w:t>
      </w:r>
      <w:r w:rsidR="00CF0810">
        <w:rPr>
          <w:rFonts w:ascii="Times New Roman" w:hAnsi="Times New Roman" w:cs="Times New Roman"/>
          <w:sz w:val="24"/>
          <w:szCs w:val="24"/>
        </w:rPr>
        <w:t>ustawy o CIT i odpowiednio art. </w:t>
      </w:r>
      <w:r w:rsidRPr="00C93F78">
        <w:rPr>
          <w:rFonts w:ascii="Times New Roman" w:hAnsi="Times New Roman" w:cs="Times New Roman"/>
          <w:sz w:val="24"/>
          <w:szCs w:val="24"/>
        </w:rPr>
        <w:t>23o ust. 4 ustawy o PIT, ust. 5 art. 11d (odpowiednio ust. 5 art. 23p) wskazuje, że jeżeli podmioty niepowiązane nie zawarłyby danej transakcji, to organ podatkowy odstępuje od zastosowania jakiejkolwiek metody, a jeśli podmioty niepowiązane zawarłyby inną transakcję – organ podatkowy szacuje dochód w oparciu o najbardziej odpowiednią metodę dla transakcji właściwej.</w:t>
      </w:r>
    </w:p>
    <w:p w:rsidR="00F25923" w:rsidRPr="00C93F78" w:rsidRDefault="00F25923" w:rsidP="00C93F78">
      <w:pPr>
        <w:spacing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Art. 11e ustawy o CIT oraz odpowiednio art. 23q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definiuje szczegółowe warunki dopuszczalności stosowania korekt cen transferowych.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praktyce gospodarczej często występują sytuacje, w których poziom ceny transferowej w trakcie roku nie ulega znaczącym modyfikacjom, w efekcie powodując odchylenia pomiędzy zrealizowanym poziomem rentowności podmiotu powiązanego a rynkowym poziomem rentowności, wynikającym przykładowo z analizy porównawczej. Taka sytuacja może mieć miejsce chociażby w relacji producenta o ograniczonym zakresie funkcji, ryzyk i aktywów z podmiotem centralnym zarządzającym łańcuchem dostaw (tzw. </w:t>
      </w:r>
      <w:r w:rsidRPr="00C93F78">
        <w:rPr>
          <w:rFonts w:ascii="Times New Roman" w:hAnsi="Times New Roman" w:cs="Times New Roman"/>
          <w:i/>
          <w:sz w:val="24"/>
          <w:szCs w:val="24"/>
        </w:rPr>
        <w:t>entrepreneur</w:t>
      </w:r>
      <w:r w:rsidRPr="00C93F78">
        <w:rPr>
          <w:rFonts w:ascii="Times New Roman" w:hAnsi="Times New Roman" w:cs="Times New Roman"/>
          <w:sz w:val="24"/>
          <w:szCs w:val="24"/>
        </w:rPr>
        <w:t>) – który to podmiot nie zawsze będzie stroną bezpośrednich transakcji z producentem. Po zakończeniu roku może okazać się, że wskutek wystąpienia zmian okoliczności istotnych z punktu widzenia cen transferowych suma wynagrodzenia otrzymanego przez producenta w trakcie roku może nie być wystarczająca do osiągnięcia rynkowego poziomu rentowności i, w rezultacie, konieczne jest dokonanie korekty rentowności w celu uzyskania wyniku finansowego zgodnego z poziomem rynkowym. Istotne z punktu widzenia cen transferowych okoliczności, których nie można było przewidzieć w momencie planowania poziomu cen transferowych na dany rok mogą obejmować przykładowo istotne zmiany rynkowych cen podstawowych surowców lub materiałów, wahania kursów walutowych, zmiany stóp procentowych czy też znaczące wahania popytu lub podaży danego produktu, spowodowane czynnikami niezależnymi od podatnika i podmiotu powiązanego.</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Różnice pomiędzy zakładanym poziomem rentowności a rentownością rzeczywistą mogą wynikać również z modelu, w którym do ustalania cen transferowych w trakcie roku wykorzystywane były informacje o kosztach historycznych, a podatnik w trakcie roku nie miał możliwości dokonania dostosowania do kosztów rzeczywistych – podczas gdy zmieniają się istotne okoliczności mogące mieć wpływ na poziom ceny transferowej. Wówczas, na koniec roku może powstać różnica, wynikająca z porównania kosztów historycznych i rzeczywistych.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 uwagi na potencjalnie istotny wpływ możliwości dokonywania takich korekt na dochody podatkowe Skarbu Państwa, wprowadzono warunki, które ograniczą możliwość nadużywania korekt cen transferowych przez podatników i odpowiednio zabezpieczą interes Skarbu Państwa. Warunki te zgodne są z międzynarodową oraz lokalną praktyką różnych państw w tym zakresie i obejmują:</w:t>
      </w:r>
    </w:p>
    <w:p w:rsidR="00F25923" w:rsidRPr="00C93F78" w:rsidRDefault="00F25923" w:rsidP="00C93F78">
      <w:pPr>
        <w:numPr>
          <w:ilvl w:val="0"/>
          <w:numId w:val="68"/>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Wymóg stosowania cen rynkowych przez podatnika już w trakcie roku podatkowego, zgodnie z posiadaną najlepszą wiedzą i doświadczeniem;</w:t>
      </w:r>
    </w:p>
    <w:p w:rsidR="00F25923" w:rsidRPr="00C93F78" w:rsidRDefault="00F25923" w:rsidP="00C93F78">
      <w:pPr>
        <w:numPr>
          <w:ilvl w:val="0"/>
          <w:numId w:val="68"/>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Konieczność wystąpienia (lub istotna) zmiana okoliczności, mających wpływ na ceny transferowe i powodujących konieczność dokonania korekty cen transferowych lub znane są faktycznie poniesione koszty lub uzyskane przychody będące podstawą obliczenia ceny transferowej – w celu uzyskania poziomu ceny transferowej, zgodnego z zasadą ceny rynkowej;</w:t>
      </w:r>
    </w:p>
    <w:p w:rsidR="00F25923" w:rsidRPr="00C93F78" w:rsidRDefault="00F25923" w:rsidP="00C93F78">
      <w:pPr>
        <w:numPr>
          <w:ilvl w:val="0"/>
          <w:numId w:val="68"/>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Konieczność dokonania odpowiedniej korekty przez podmiot powiązany i potwierdzenie tego faktu podatnikowi;</w:t>
      </w:r>
    </w:p>
    <w:p w:rsidR="00F25923" w:rsidRPr="00C93F78" w:rsidRDefault="00F25923" w:rsidP="00C93F78">
      <w:pPr>
        <w:numPr>
          <w:ilvl w:val="0"/>
          <w:numId w:val="68"/>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Możliwość dokonywania korekt jedynie z podmiotami powiązanymi mającymi miejsce zamieszkania, siedzibę lub zarząd w Rzeczypospolitej Polskiej albo w państwie lub terytorium, z którym Rzeczpospolita Polska posiada zawartą umowę o unikaniu podwójnego opodatkowania oraz istnieje podstawa prawna do wymiany informacji podatkowych z tym państwem (w celu umożliwienia efektywnego rozstrzygania ewentualnych sporów);</w:t>
      </w:r>
    </w:p>
    <w:p w:rsidR="00F25923" w:rsidRPr="00C93F78" w:rsidRDefault="00F25923" w:rsidP="00C93F78">
      <w:pPr>
        <w:numPr>
          <w:ilvl w:val="0"/>
          <w:numId w:val="68"/>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Konieczność potwierdzenia faktu dokonania korekty w zeznaniu podatkowym za rok, którego dotyczy korekta.</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Należy jednocześnie podkreślić, że przyjęte rozwiązania w zakresie warunków dopuszczalności dokonywania korekt zmniejszających przychody lub zwiększających koszty uzyskania przychodu przez podatnika nie ograniczają w żaden sposób możliwości weryfikacji zasadności dokonania takiej korekty przez organy podatkowe po zakończeniu roku, na podstawie przepisów o cenach transferowych. Dodatkowo, na podstawie regulacji art. 11c ust. 1 ustawy o CIT oraz art. 23o ust. 1 ustawy o PIT, podatnik zobowiązany jest do stosowania cen rynkowych również w trakcie roku, zgodnie z najlepszą wiedzą i doświadczeniem. W tym kontekście, organy podatkowe nadal będą miały na podstawie art. 11c ust. 1 i 2 ustawy o CIT i art. 23o ust. 1 i 2 ustawy o PIT prawo do zakwestionowania dokonanej korekty w sytuacji, jeśli zaistnieją przesłanki do stwierdzenia, że podatnik np. celowo stosował w trakcie roku ceny w znaczący sposób odbiegające od poziomu rynkowego i – np. w przypadku istotnej zmiany warunków rynkowych – nie dostosowywał poziomu tych cen w trakcie roku.</w:t>
      </w:r>
    </w:p>
    <w:p w:rsidR="00F25923" w:rsidRPr="00C93F78" w:rsidRDefault="00F25923" w:rsidP="00C93F78">
      <w:pPr>
        <w:spacing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Art. 11f ustawy o CIT oraz odpowiednio art. 23r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Przepis ma na celu uproszczenie wymogów w obszarze cen transferowych dla podatników, zawierających z podmiotami powiązanymi transakcje obejmujące usługi mające charakter usług o niskiej wartości dodanej.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Dotychczasowe regulacje ustawowe nie zawierały precyzyjnego wyjaśnienia pojęcia takich usług. Z uwagi na fakt wprowadzenia w projektowanych regulacjach rozwiązania typu </w:t>
      </w:r>
      <w:r w:rsidRPr="00C93F78">
        <w:rPr>
          <w:rFonts w:ascii="Times New Roman" w:hAnsi="Times New Roman" w:cs="Times New Roman"/>
          <w:i/>
          <w:sz w:val="24"/>
          <w:szCs w:val="24"/>
        </w:rPr>
        <w:t>safe harbour</w:t>
      </w:r>
      <w:r w:rsidRPr="00C93F78">
        <w:rPr>
          <w:rFonts w:ascii="Times New Roman" w:hAnsi="Times New Roman" w:cs="Times New Roman"/>
          <w:sz w:val="24"/>
          <w:szCs w:val="24"/>
        </w:rPr>
        <w:t xml:space="preserve"> dla tego rodzaju usług, konieczne było precyzyjne określenie zakresu świadczeń, które mogą zostać objęte regulacją. Określając zakres i cechy tych świadczeń projektodawca oparł się przede wszystkim na dorobku OECD w zakresie usług o niskiej wartości dodanej. Jednocześnie, z uwagi na stosunkowo ogólny charakter wytycznych OECD i brak możliwości bezpośredniego przeniesienia ich treści do regulacji ustawowych, z warunków, charakteryzujących w wytycznych OECD usługi o niskiej wartości dodanej pominięto te, które mogłyby budzić istotne wątpliwości interpretacyjne (np. „nieprowadzące do wytworzenia istnych dóbr niematerialnych”, „nie wiążące się z istotnym ryzykiem gospodarczym”). W zamian, w załącznikach do ustawy o CIT i ustawy o PIT określono przykładowy katalog świadczeń, mogących stanowić usługi mające charakter usług o niskiej wartości dodanej, stworzony na podstawie dorobku OECD oraz Wspólnego Forum UE ds. Cen Transferowych, uzupełniony o przejrzyste warunki uznania danego świadczenia za usługi o takim charakterze. Dodatkowymi warunkami, których spełnienie jest wymagane dla skorzystania z uproszczenia stanowiącymi uzupełnienie warunków sprecyzowanych w Wytycznych OECD oraz Wspólnego Forum UE ds. Cen Transferowych są:</w:t>
      </w:r>
    </w:p>
    <w:p w:rsidR="00F25923" w:rsidRPr="00C93F78" w:rsidRDefault="00F25923" w:rsidP="00C93F78">
      <w:pPr>
        <w:numPr>
          <w:ilvl w:val="0"/>
          <w:numId w:val="74"/>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dwuprocentowe kryterium wartościowe takich usług świadczonych dla podmiotów niepowiązanych (wartość tych usług świadczonych dla podmiotów niepowiązanych nie może przekraczać dwóch procent wartości tych usług świadczonych dla podmiotów niepowiązanych i powiązanych) oraz</w:t>
      </w:r>
    </w:p>
    <w:p w:rsidR="00F25923" w:rsidRPr="00C93F78" w:rsidRDefault="00F25923" w:rsidP="00C93F78">
      <w:pPr>
        <w:numPr>
          <w:ilvl w:val="0"/>
          <w:numId w:val="74"/>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kryterium braku odprzedaży takich usług przez usługobiorcę, z wyłączeniem przypadków refakturowania kosztów takich usług przez usługobiorcę na inny podmiot z grupy.</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Wprowadzenie regulacji typu </w:t>
      </w:r>
      <w:r w:rsidRPr="00C93F78">
        <w:rPr>
          <w:rFonts w:ascii="Times New Roman" w:hAnsi="Times New Roman" w:cs="Times New Roman"/>
          <w:i/>
          <w:sz w:val="24"/>
          <w:szCs w:val="24"/>
        </w:rPr>
        <w:t>safe harbour</w:t>
      </w:r>
      <w:r w:rsidRPr="00C93F78">
        <w:rPr>
          <w:rFonts w:ascii="Times New Roman" w:hAnsi="Times New Roman" w:cs="Times New Roman"/>
          <w:sz w:val="24"/>
          <w:szCs w:val="24"/>
        </w:rPr>
        <w:t xml:space="preserve"> dla usług spełniających określone warunki określone w ustawie ma na celu zapewnienie, że organ podatkowy odstąpi od określenia wysokości dochodu albo straty podatkowej w transakcjach, spełniających warunki wskazane w przepisie. Jednocześnie, na mocy wprowadzanego art. 11q ust. 3 ustawy o CIT i odpowiednio art. 23zc ust. 3 ustawy o PIT, podatnicy stosujący do takich usług zasady, o których mowa w art. 11f ustawy o CIT lub odpowiednio w art. 23r ustawy o PIT), zostają zwolnieni z obowiązku uwzględnienia w dokumentacji cen transferowych analizy, mającej za zadanie uzasadnić, że wysokość narzutu na koszty w takich transakcjach nie odbiega od wysokości, jaką ustaliłyby pomiędzy sobą podmioty niepowiązane. Z uwagi na fakt, że podatnicy zgłaszali wątpliwości odnośnie sposobu przygotowania analiz cen transferowych dla tego rodzaju transakcji, wprowadzenie przepisu skutkować powinno zmniejszeniem obowiązków administracyjnych po stronie podatników. Jednocześnie, wprowadzenie tego uproszczenia pozwoli organom podatkowym na odstąpienie od badania rynkowego charakteru narzutu. Podatnicy zostają ponadto zobowiązani do posiadania kalkulacji, wskazującej rodzaj (poprzez precyzyjne wskazanie np. miejsca powstawania kosztów oraz ich charakteru) i wysokość kosztów uwzględnionych w bazie kosztowej oraz sposób zastosowania i uzasadnienie wyboru kluczy alokacji dla wszystkich podmiotów powiązanych korzystających z usług. Z uwagi na cel tej regulacji, z jednej strony dającego bezpośrednie narzędzie organom podatkowym do weryfikacji bazy kosztowej oraz sposobu kalkulacji wynagrodzenia za usługi, z drugiej strony umożliwienia podatnikom żądania od podmiotów powiązanych szczegółów związanych z wysokością oraz „zawartością” wynagrodzenia za usługi, o których mowa w art. 11f ustawy o CIT lub odpowiednio w art. 23r ustawy o PIT, kalkulacje te powinny być sporządzone w sposób szczegółowy, umożliwiający realizację ww. celów. Stąd też, niewystarczające będzie wskazanie np. jedynie ogólnych kategorii kosztów (np. koszty operacyjne, koszty wynagrodzeń) bez dodatkowej specyfikacji i informacji o związku tych kosztów z przedmiotowymi usługami.</w:t>
      </w:r>
    </w:p>
    <w:p w:rsidR="00F25923" w:rsidRPr="00C93F78" w:rsidRDefault="00F25923" w:rsidP="00C93F78">
      <w:pPr>
        <w:spacing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rPr>
        <w:t>Należy podkreślić, że wprowadzony mechanizm (w tym zawartość bazy kosztowej) oraz poziom narzutu w wysokości 5% bazy kosztowej stanowi wdrożenie rekomendacji zawartych w Wytycznych OECD</w:t>
      </w:r>
      <w:r w:rsidRPr="00C93F78">
        <w:rPr>
          <w:rFonts w:ascii="Times New Roman" w:hAnsi="Times New Roman" w:cs="Times New Roman"/>
          <w:sz w:val="24"/>
          <w:szCs w:val="24"/>
          <w:vertAlign w:val="superscript"/>
        </w:rPr>
        <w:footnoteReference w:id="43"/>
      </w:r>
      <w:r w:rsidRPr="00C93F78">
        <w:rPr>
          <w:rFonts w:ascii="Times New Roman" w:hAnsi="Times New Roman" w:cs="Times New Roman"/>
          <w:sz w:val="24"/>
          <w:szCs w:val="24"/>
        </w:rPr>
        <w:t xml:space="preserve"> oraz rezultatach prac Wspólnego Forum UE ds. Cen Transferowych w zakresie usług o niskiej wartości dodanej</w:t>
      </w:r>
      <w:r w:rsidRPr="00C93F78">
        <w:rPr>
          <w:rFonts w:ascii="Times New Roman" w:hAnsi="Times New Roman" w:cs="Times New Roman"/>
          <w:sz w:val="24"/>
          <w:szCs w:val="24"/>
          <w:vertAlign w:val="superscript"/>
        </w:rPr>
        <w:footnoteReference w:id="44"/>
      </w:r>
      <w:r w:rsidRPr="00C93F78">
        <w:rPr>
          <w:rFonts w:ascii="Times New Roman" w:hAnsi="Times New Roman" w:cs="Times New Roman"/>
          <w:sz w:val="24"/>
          <w:szCs w:val="24"/>
        </w:rPr>
        <w:t>.</w:t>
      </w:r>
    </w:p>
    <w:p w:rsidR="00F25923" w:rsidRPr="00C93F78" w:rsidRDefault="00F25923" w:rsidP="00C93F78">
      <w:pPr>
        <w:spacing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Art. 11g ustawy o CIT oraz odpowiednio art. 23s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Regulacja wprowadza możliwość odstąpienia przez organy podatkowe od weryfikacji rynkowego charakteru oprocentowania i określania na tej podstawie dochodu albo straty podatkowej dla pożyczek spełniających łącznie warunki określone w przepisie, tj. </w:t>
      </w:r>
    </w:p>
    <w:p w:rsidR="00F25923" w:rsidRPr="00C93F78" w:rsidRDefault="00F25923" w:rsidP="00C93F78">
      <w:pPr>
        <w:numPr>
          <w:ilvl w:val="0"/>
          <w:numId w:val="70"/>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łączna wartość kapitału wszystkich pożyczek od podmiotów powiązanych (rozumianych również jako kredyty lub emisje obligacji), kalkulowana rozłącznie w odniesieniu do pożyczek udzielonych i otrzymanych, utrzymywana w trakcie roku obrotowego wynosi nie więcej niż 20 000 000 zł lub równowartość tej kwoty, przy czym na potrzeby kalkulacji limitu należy zsumować wartości kapitału (bez odsetek) pozyskanego albo udzielonego finansowania, niezależnie od jego formy (tj. łącznie pożyczki, kredyty i emisje obligacji);</w:t>
      </w:r>
    </w:p>
    <w:p w:rsidR="00F25923" w:rsidRPr="00C93F78" w:rsidRDefault="00F25923" w:rsidP="00C93F78">
      <w:pPr>
        <w:numPr>
          <w:ilvl w:val="0"/>
          <w:numId w:val="70"/>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pozyskaniu albo udzieleniu finansowania nie towarzyszą dodatkowe opłaty, inne niż odsetki. W praktyce gospodarczej, w dotyczących finansowania transakcjach pomiędzy podmiotami powiązanymi bardzo rzadko pojawiając się inne opłaty niż odsetki, stąd też wyłączenie z możliwości zastosowania </w:t>
      </w:r>
      <w:r w:rsidRPr="00C93F78">
        <w:rPr>
          <w:rFonts w:ascii="Times New Roman" w:hAnsi="Times New Roman" w:cs="Times New Roman"/>
          <w:i/>
          <w:sz w:val="24"/>
          <w:szCs w:val="24"/>
        </w:rPr>
        <w:t>safe harbour</w:t>
      </w:r>
      <w:r w:rsidRPr="00C93F78">
        <w:rPr>
          <w:rFonts w:ascii="Times New Roman" w:hAnsi="Times New Roman" w:cs="Times New Roman"/>
          <w:sz w:val="24"/>
          <w:szCs w:val="24"/>
        </w:rPr>
        <w:t xml:space="preserve"> na podstawie tego warunku nie obejmie istotnej ilościowo grupy podmiotów powiązanych; </w:t>
      </w:r>
    </w:p>
    <w:p w:rsidR="00F25923" w:rsidRPr="00C93F78" w:rsidRDefault="00F25923" w:rsidP="00C93F78">
      <w:pPr>
        <w:numPr>
          <w:ilvl w:val="0"/>
          <w:numId w:val="70"/>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pożyczka została udzielona na okres nie dłuższy niż 5 lat;</w:t>
      </w:r>
    </w:p>
    <w:p w:rsidR="00F25923" w:rsidRPr="00C93F78" w:rsidRDefault="00F25923" w:rsidP="00C93F78">
      <w:pPr>
        <w:numPr>
          <w:ilvl w:val="0"/>
          <w:numId w:val="70"/>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pożyczkodawca nie jest podmiotem mającym miejsce zamieszkania, siedzibę lub zarząd na terytorium lub w kraju stosującym szkodliwą konkurencję podatkową.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Dla transakcji spełniających takie warunki podatnik nie musi również przygotowywać analizy porównawczej, o ile oprocentowanie takiej pożyczki na dzień zawarcia umowy kalkulowane jest w oparciu o bazową stopę procentową i marżę określoną w obwieszczeniu ministra właściwego do spraw finansów publicznych aktualnym na dzień zawarcia umowy pożyczki.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Jeśli pożyczki (rozumiane również jako kredyty i emisje obligacji) zostały udzielone w walucie innej niż złote, to na potrzeby określenia, czy pożyczki przekraczają limit 20 000 000 złotych, kwoty pożyczki wyrażone w walucie obcej przelicza się na złote według kursu średniego ogłaszanego przez Narodowy Bank Polski obowiązującego w ostatnim dniu roboczym poprzedzającym dzień wypłaty kwoty pożyczki</w:t>
      </w:r>
      <w:r w:rsidRPr="00C93F78" w:rsidDel="00300A71">
        <w:rPr>
          <w:rFonts w:ascii="Times New Roman" w:hAnsi="Times New Roman" w:cs="Times New Roman"/>
          <w:sz w:val="24"/>
          <w:szCs w:val="24"/>
        </w:rPr>
        <w:t xml:space="preserve"> </w:t>
      </w:r>
      <w:r w:rsidRPr="00C93F78">
        <w:rPr>
          <w:rFonts w:ascii="Times New Roman" w:hAnsi="Times New Roman" w:cs="Times New Roman"/>
          <w:sz w:val="24"/>
          <w:szCs w:val="24"/>
        </w:rPr>
        <w: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Obwieszczenie będzie wydawane przez ministra właściwego do spraw finansów publicznych nie rzadziej niż raz w roku w szczególności, jeśli nastąpi istotna zmiana warunków ekonomicznych powodująca, że poziom marży wskazany w obwieszczeniu odbiega istotnie od warunków rynkowych. Obwieszczenie odnosić się będzie do rodzajów bazowych stóp procentowych stosowanych na międzybankowym rynku finansowym, funkcjonujących w odniesieniu do danej waluty i długości okresu odsetkowego – takich jak międzybankowa stopa WIBOR dla pożyczek w złotych.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Należy podkreślić, że wprowadzana regulacja zwiększa przejrzystość prawa podatkowego i jego stosowania, w szczególności przez małych i średnich podatników. Odbywa się to poprzez wskazanie podatnikom, jaki poziom oprocentowania dla stosunkowo niedużych kwot udzielonego lub otrzymanego finansowania (pożyczek, obligacji, kredytów) nie zostanie zakwestionowany przez organy podatkowe jako odbiegający od warunków rynkowych. Zwiększa to pewność działania podatników w odniesieniu do spełnienia wymogów w zakresie cen transferowych.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ta stanowi uproszczenie dla podatników (</w:t>
      </w:r>
      <w:r w:rsidRPr="00C93F78">
        <w:rPr>
          <w:rFonts w:ascii="Times New Roman" w:hAnsi="Times New Roman" w:cs="Times New Roman"/>
          <w:i/>
          <w:sz w:val="24"/>
          <w:szCs w:val="24"/>
        </w:rPr>
        <w:t>safe harbour</w:t>
      </w:r>
      <w:r w:rsidRPr="00C93F78">
        <w:rPr>
          <w:rFonts w:ascii="Times New Roman" w:hAnsi="Times New Roman" w:cs="Times New Roman"/>
          <w:sz w:val="24"/>
          <w:szCs w:val="24"/>
        </w:rPr>
        <w:t>), zwalniając ich dodatkowo od obowiązku załączania do dokumentacji cen transferowych analizy porównawczej mającej wykazać, że oprocentowanie ustalone zostało na warunkach, jakie zostałyby ustalone pomiędzy podmiotami niezależnymi. Wprowadzenie przepisu spowoduje zwiększenie pewności po stronie podatników oraz zmniejszenie obciążeń administracyjnych, związanych z realizacją wymogów w zakresie dokumentacji cen transferowych. Jednocześnie, regulacja pozostawi po stronie organów podatkowych możliwość oceny warunków takich transakcji związanych z finansowaniem, które nie spełniają warunków wskazanych w przepisie.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Powyższe uproszczenie stosuje się odpowiednio do umowy kredytu oraz emisji obligacji.</w:t>
      </w:r>
    </w:p>
    <w:p w:rsidR="00F25923" w:rsidRPr="00C93F78" w:rsidRDefault="00F25923" w:rsidP="00C93F78">
      <w:pPr>
        <w:spacing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Art. 11h ustawy o CIT oraz odpowiednio art. 23t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utrzymuje możliwość ubiegania się przez podatnika o korektę dochodów w sytuacji, kiedy wskutek zastosowania warunków innych, niż ustaliłyby podmioty niepowiązane, organy podatkowe innego państwa uznają część dochodów podatnika za dochód powiązanego z nim podmiotu, mającego siedzibę lub zarząd w tym innym państwie. Przepis ten ma na celu zapewnienie, że dochody podmiotów powiązanych zostaną ustalone w wysokości, jaka wynikałaby z zastosowania warunków, jakie ustaliłyby podmioty niepowiązane, przy jednoczesnym zapewnieniu braku podwójnego opodatkowania tych dochodów (korekta odpowiednia). Regulacja ta ma zastosowanie również do zagranicznych zakładów. Przepis określa również takie uprawnienie w związku z ustaleniem warunków, odbiegających od tych, jakie ustaliłyby pomiędzy sobą podmioty niepowiązane, pomiędzy podmiotami, mającymi siedzibę lub zarząd na terytorium Rzeczypospolitej Polskiej.</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Podkreślić należy, że przepis ten jest zbieżny z obowiązującymi w tym zakresie regulacjami art. 11, a jedyne zmiany związane są z dostosowaniem ich brzmienia do pojęć i definicji, wprowadzanych nowymi regulacjami.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11i ustawy o CIT oraz odpowiednio art. 23u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dotyczy transakcji pomiędzy osobą prawną (odpowiednio osobą fizyczną) lub jednostką organizacyjną niemającą osobowości prawnej, mającą siedzibę lub zarząd na terytorium Rzeczypospolitej Polskiej z podmiotem mającym miejsce zamieszkania, siedzibę lub zarząd na terytorium lub w kraju stosującym szkodliwą konkurencję podatkową, odbiegają od warunków, jakie ustaliłyby między sobą podmioty niepowiązane, z których żaden nie ma miejsca zamieszkania, siedziby lub zarządu na terytorium lub w kraju stosującym szkodliwą konkurencję podatkową. Celem przepisu jest umożliwienie organom podatkowym szacowania dochodu w transakcjach z podmiotami niepowiązanymi (zarówno o charakterze zakupowym, jak i sprzedażowym), mającymi miejsce zamieszkania, siedzibę lub zarząd w kraju lub terytorium, stosującym szkodliwą konkurencję podatkową.</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11j ustawy o CIT oraz odpowiednio art. 23v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zawiera delegacje ustawowe do wydania rozporządzeń, mających na celu prawidłowe stosowanie przepisów zmienionej ustawy w zakresie:</w:t>
      </w:r>
    </w:p>
    <w:p w:rsidR="00F25923" w:rsidRPr="00C93F78" w:rsidRDefault="00F25923" w:rsidP="00C93F78">
      <w:pPr>
        <w:numPr>
          <w:ilvl w:val="0"/>
          <w:numId w:val="71"/>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sposobu i trybu oceny zgodności warunków ustalonych przez podmioty powiązane z warunkami jakie ustaliłyby między sobą podmioty niepowiązane, w tym kryteria porównywalności tych warunków,</w:t>
      </w:r>
    </w:p>
    <w:p w:rsidR="00F25923" w:rsidRPr="00C93F78" w:rsidRDefault="00F25923" w:rsidP="00C93F78">
      <w:pPr>
        <w:numPr>
          <w:ilvl w:val="0"/>
          <w:numId w:val="71"/>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sposobu i trybu określania wysokości dochodu (straty) podatnika w drodze oszacowania z zastosowaniem metod, o których mowa w art. 11d ust. 1-3, w tym określania wynagrodzenia z tytułu przeniesienia pomiędzy podmiotami powiązanymi istotnych ekonomicznie funkcji, aktywów lub kategorii ryzyka,</w:t>
      </w:r>
    </w:p>
    <w:p w:rsidR="00F25923" w:rsidRPr="00C93F78" w:rsidRDefault="00F25923" w:rsidP="00C93F78">
      <w:pPr>
        <w:numPr>
          <w:ilvl w:val="0"/>
          <w:numId w:val="71"/>
        </w:numPr>
        <w:spacing w:line="360" w:lineRule="auto"/>
        <w:jc w:val="both"/>
        <w:rPr>
          <w:rFonts w:ascii="Times New Roman" w:hAnsi="Times New Roman" w:cs="Times New Roman"/>
          <w:bCs/>
          <w:sz w:val="24"/>
          <w:szCs w:val="24"/>
        </w:rPr>
      </w:pPr>
      <w:r w:rsidRPr="00C93F78">
        <w:rPr>
          <w:rFonts w:ascii="Times New Roman" w:hAnsi="Times New Roman" w:cs="Times New Roman"/>
          <w:sz w:val="24"/>
          <w:szCs w:val="24"/>
        </w:rPr>
        <w:t>sposób i tryb eliminowania podwójnego opodatkowania w przypadku korekty zysków podmiotów powiązanych,</w:t>
      </w:r>
    </w:p>
    <w:p w:rsidR="00F25923" w:rsidRPr="00C93F78" w:rsidRDefault="00F25923" w:rsidP="00C93F78">
      <w:pPr>
        <w:numPr>
          <w:ilvl w:val="0"/>
          <w:numId w:val="71"/>
        </w:numPr>
        <w:spacing w:line="360" w:lineRule="auto"/>
        <w:jc w:val="both"/>
        <w:rPr>
          <w:rFonts w:ascii="Times New Roman" w:hAnsi="Times New Roman" w:cs="Times New Roman"/>
          <w:bCs/>
          <w:sz w:val="24"/>
          <w:szCs w:val="24"/>
        </w:rPr>
      </w:pPr>
      <w:r w:rsidRPr="00C93F78">
        <w:rPr>
          <w:rFonts w:ascii="Times New Roman" w:hAnsi="Times New Roman" w:cs="Times New Roman"/>
          <w:sz w:val="24"/>
          <w:szCs w:val="24"/>
        </w:rPr>
        <w:t>wykazu krajów i terytoriów, stosujących szkodliwą konkurencję podatkową.</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11k ustawy o CIT oraz odpowiednio art. 23w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Wprowadzona regulacja dotyczy obowiązku sporządzenia lokalnej dokumentacji cen transferowych, w tym określenia progów wartości transakcji kontrolowanych, po przekroczeniu których powstanie ten obowiązek.</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zmian jest między innymi dostosowanie regulacji do standardów międzynarodowych.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Obecne przepisy w zakresie dokumentacji cen transferowych wykraczają znacząco poza wytyczne OECD. Po pierwsze, do sporządzenia takiej dokumentacji są obowiązane podmioty realizujące transakcje o niskiej wartości (rozpoczynających się zaledwie od 50 tys. EUR), co jest niezgodne z zasadą materialności przewidzianą w wytycznych OECD. Dodatkowo, elementy dokumentacji cen transferowych wykraczają poza uzgodnione standardy międzynarodowe utrudniając w ten sposób funkcjonowanie przedsiębiorców.</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 1</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ust. 1 wskazano cel sporządzania przez podatników dokumentacji cen transferowych. Mianowicie, dokumentacja cen transferowych sporządzana jest w celu wykazania, że ceny transferowe zostały ustalone na warunkach, które ustaliłyby między sobą podmioty niepowiązane. Całokształt obowiązku dokumentacyjnego należy więc interpretować w kontekście tego celu – tj., sporządzona przez podatnika dokumentacja cen transferowych powinna umożliwić realizację celu, czyli wykazania, że dokumentowana transakcja kontrolowana została przeprowadzona na warunkach rynkowych. Ponadto, zgodnie z ust. 1 dokumentacja cen transferowych jest sporządzana za rok podatkowy.</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 2</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ustępie 2 wskazane są progi warunkujące obowiązek przygotowania lokalnej dokumentacji cen transferowych dla transakcji jednorodnych. Progi ustalone są odrębnie dla każdego zbioru pojedynczych transakcji kontrolowanych o charakterze jednorodnym – co oznacza, że wartości pojedynczych transakcji kontrolowanych o jednorodnym charakterze na potrzeby określenia obowiązku sporządzania dokumentacji cen transferowych sumuje się i następnie określa się, do której z kategorii transakcji wskazanych w ust. 2 można zakwalifikować transakcje jednorodne. Po wybraniu kategorii transakcji zsumowaną wartość pojedynczych transakcji kontrolowanych o jednorodnym charakterze odnosi się do progu przewidzianego dla danej kategorii transakcji.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Przykładowo, podatnik zawarł z podmiotami powiązanymi następujące transakcje (przy założeniu, że każda z wymienionych transakcji kontrolowanych ma jednorodny charakter):</w:t>
      </w:r>
    </w:p>
    <w:p w:rsidR="00F25923" w:rsidRPr="00C93F78" w:rsidRDefault="00F25923" w:rsidP="00C93F78">
      <w:pPr>
        <w:numPr>
          <w:ilvl w:val="0"/>
          <w:numId w:val="72"/>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zakupu surowców do produkcji od ich dystrybutora o wartości 4 000 000 złotych rocznie, </w:t>
      </w:r>
    </w:p>
    <w:p w:rsidR="00F25923" w:rsidRPr="00C93F78" w:rsidRDefault="00F25923" w:rsidP="00C93F78">
      <w:pPr>
        <w:numPr>
          <w:ilvl w:val="0"/>
          <w:numId w:val="72"/>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zakupu towarów handlowych od centralnego dystrybutora w celu dalszej odprzedaży o wartości 11 000 000 złotych rocznie oraz </w:t>
      </w:r>
    </w:p>
    <w:p w:rsidR="00F25923" w:rsidRPr="00C93F78" w:rsidRDefault="00F25923" w:rsidP="00C93F78">
      <w:pPr>
        <w:numPr>
          <w:ilvl w:val="0"/>
          <w:numId w:val="72"/>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zakupu półproduktów od ich producenta o wartości 7 000 000 złotych rocznie.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Wszystkie te transakcje mieszczą się w kategorii transakcji ”transakcje towarowe”, dla której próg, od którego powstanie obowiązek dokumentacyjny, wyniesie 10 000 000 złotych. W celu stwierdzenia istnienia obowiązku dokumentacyjnego, wartość poszczególnych transakcji należy odnieść odrębnie do progu wskazanego w ustawie. W rezultacie, spośród trzech wskazanych powyżej transakcji, obowiązkowi sporządzenia lokalnej dokumentacji cen transferowych podlegać będzie jedynie zakup towarów handlowych od centralnego dystrybutora w celu dalszej odprzedaży, ponieważ jedynie wartość tej transakcji przekracza próg wskazany w ustawie.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Dodatkowe kryteria, ułatwiające identyfikację, czy dla danej transakcji kontrolowanej istnieje obowiązek sporządzenia lokalnej dokumentacji cen transferowych, wskazane są w ustępie 3.</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wprowadza odmienny od dotychczas obowiązującego sposób weryfikacji, czy dana transakcja kontrolowana podlega obowiązkowi dokumentacyjnemu. Zgodnie z obowiązującymi regulacjami, podatnik w pierwszej kolejności określał poziom swoich całkowitych przychodów w rozumieniu przepisów o rachunkowości, która to wartość determinowała tzw. próg istotności – tj. wartość, powyżej której transakcja danego podatnika podlega obowiązkowi sporządzenia dokumentacji podatkowej. Następnie, poziom progu istotności odnoszony był do wartości konkretnych transakcji lub innych zdarzeń jednego rodzaju.</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Wprowadzana regulacja określa obowiązek sporządzenia lokalnej dokumentacji cen transferowych jedynie na podstawie wartości danej transakcji kontrolowanej o charakterze jednorodnym, odchodząc od określania progu istotności transakcji na podstawie wartości przychodów podatnika. Spowoduje to znaczące uproszczenie w określeniu przez podatnika obowiązku sporządzenia lokalnej dokumentacji cen transferowych dla danej transakcji. Jednocześnie, wprowadzenie regulacji pozwoli na uniknięcie sytuacji, w której podatnicy zawierający istotne wartościowo transakcje z podmiotami powiązanymi, a jednocześnie nieprzekraczający wartości 2 000 000 EUR (lub ich równowartości w złotych) przychodów lub kosztów zwolnieni byli z obowiązku przygotowania dokumentacji cen transferowych, podczas gdy podatnicy tę wartość nieznacznie przekraczający (np. osiągając 2 100 000 EUR całkowitych przychodów lub kosztów) zobowiązani byli do przygotowania dokumentacji dla transakcji z podmiotami powiązanymi, których łączna wartość przekraczała jedynie 50 000 EUR (lub równowartość tej kwoty w złotych). Obecnie, tego rodzaju nierówności zostaną zlikwidowane.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Jednocześnie, biorąc pod uwagę, że to właśnie wartość transakcji z podmiotami powiązanymi (a nie poziom przychodów) bezpośrednio związana jest z poziomem ryzyka zaniżenia dochodu do opodatkowania – oraz z wartością takiego zaniżenia – uzależnienie obowiązku sporządzenia lokalnej dokumentacji cen transferowych jedynie od wartości transakcji jest korzystne również z punktu widzenia interesów Skarbu Państwa.</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Na potrzeby określenia obowiązku sporządzenia lokalnej dokumentacji cen transferowych określono dwie wartości progów transakcyjnych – 10 000 000 złotych oraz 2 000 000 złotych. Progi dokumentacyjne są ustalane odrębnie dla każdej transakcji kontrolowanej o charakterze jednorodnym (niezależnie od przyporządkowania transakcji kontrolowanej do transakcji towarowych, finansowych, usługowych albo innych transakcji) oraz tego, czy jednorodna transakcja kontrolowana ma charakter transakcji kosztowej czy też przychodowej.</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Oznacza to efektywne podniesienie progów, od których powstanie obowiązek sporządzenia dokumentacji cen transferowych dla danej transakcji, dotychczas wynoszą one bowiem od 50 000 EUR (równowartość ok. 214 000 zł) do 500 000 EUR (równowartość ok. 2 140 000 zł). Podniesienie progów dokumentacyjnych skutkować będzie brakiem powstania obowiązku sporządzenia lokalnej dokumentacji cen transferowych dla transakcji, których wartość z perspektywy podatnika nie jest istotna dla jego działalności. W rezultacie, wprowadzenie regulacji ograniczy również poziom obciążeń administracyjnych po stronie podatników, związanych z realizacją obowiązków dokumentacyjnych, jednocześnie nie powodując negatywnych skutków po stronie organów podatkowych, badających transakcje kontrolowane zawierane przez podatników.</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Jednocześnie doprecyzowano, że wartości progów nie uwzględniają podatku od towarów i usług. Brak uregulowania tej kwestii (tj. jakie wartości należy wziąć pod uwagę w celu weryfikacji, czy dana transakcja podlega obowiązkowi sporządzenia lokalnej dokumentacji cen transferowych) powodował wątpliwości zarówno po stronie podatników, jak również organów podatkowych. Wprowadzenie regulacji pozwoli na wyeliminowanie rozbieżności w tym zakresie.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ustępu 4 wskazuje, że na potrzeby określenia obowiązku sporządzenia dokumentacji powinna zostać wzięta pod uwagę wartość transakcji o charakterze jednorodnym, bez względu na liczbę podmiotów powiązanych, z którymi zawierana jest transakcja kontrolowana, dokumentów księgowych oraz ilość dokonan</w:t>
      </w:r>
      <w:r w:rsidR="00CF0810">
        <w:rPr>
          <w:rFonts w:ascii="Times New Roman" w:hAnsi="Times New Roman" w:cs="Times New Roman"/>
          <w:sz w:val="24"/>
          <w:szCs w:val="24"/>
        </w:rPr>
        <w:t>ych lub otrzymanych płatności.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wprowadzenia regulacji było doprecyzowanie, w jaki sposób należy podejść do określenia sposobu liczenia wartości transakcji kontrolowanej na potrzeby identyfikacji obowiązku sporządzenia dokumentacji.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Jednorodny charakter transakcji powinien być rozumiany jako podobieństwo przedmiotu transakcji oraz innych głównych parametrów transakcji, istotnych z punktu widzenia cen transferowych (takich jak np. istotne funkcje, aktywa, ryzyka, a także sposób kalkulacji ceny, istotne warunki płatności, itd.). Jeśli są one do siebie zbliżone w ramach kilku przepływów, to poszczególne przepływy powinny być agregowane jako jedna transakcja o charakterze jednorodnym. W rezultacie można przyjąć, że jednorodny charakter transakcji jest pojęciowo zbliżony do rozumienia pojęć „transakcje jednego rodzaju” oraz „inne zdarzenia jednego rodzaju”, wymienionych w obowiązującej ustawie.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Kolejne przesłanki wskazane w przepisie mają na celu ujednoznacznienie, że jedna transakcja z punktu widzenia określenia obowiązku sporządzenia lokalnej dokumentacji cen transferowych to transakcja, która realizowana może być z większą liczbą podmiotów powiązanych i w ramach której wystawiana lub otrzymywana jest dowolna liczba dokumentów księgowych. Celem wprowadzenia dodatkowych przesłanek jest doprecyzowanie, że to główne parametry transakcji determinują jej jednorodny charakter, a nie liczba dokumentów księgowych lub liczba kontrahentów</w:t>
      </w:r>
      <w:r w:rsidR="00CF0810">
        <w:rPr>
          <w:rFonts w:ascii="Times New Roman" w:hAnsi="Times New Roman" w:cs="Times New Roman"/>
          <w:sz w:val="24"/>
          <w:szCs w:val="24"/>
        </w:rPr>
        <w: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Podobnie, w przypadku kiedy sprzedaż dokumentowana jest więcej niż jedną fakturą lub innym dokumentem księgowym, a istotne parametry transakcji kontrolowanej umożliwiają stwierdzenie, że transakcja kontrolowana ma charakter jednorodny, sam fakt wystawienia wielu faktur w ramach jednej transakcji kontrolowanej nie wpływa na istnienie lub brak obowiązku dokumentacyjnego.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Niedopuszczalne byłoby bowiem sztuczne dzielenie jednej i jednorodnej transakcji na kilka mniejszych quasi-transakcji (np. traktowanie jako odrębnych transakcji podobnej sprzedaży dokonywanej do wielu kontrahentów lub dokumentowanej wieloma dokumentami księgowymi). Takie działania nie byłyby zgodne z intencją regulacji i stanowiłyby działanie mające na celu uniknięcie obowiązku sporządzenia dokumentacji podatkowej. Projektowana regulacja ma na celu wyeliminowanie takich sytuacji.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Jednocześnie, ustęp 5 wskazuje czynniki, jakie należy wziąć pod uwagę przy ocenie, czy dana transakcja kontrolowana ma charakter jednorodny. Czynniki te to:</w:t>
      </w:r>
    </w:p>
    <w:p w:rsidR="00F25923" w:rsidRPr="00C93F78" w:rsidRDefault="00F25923" w:rsidP="00C93F78">
      <w:pPr>
        <w:numPr>
          <w:ilvl w:val="0"/>
          <w:numId w:val="75"/>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jednolitość transakcji kontrolowanej w ujęciu ekonomicznym oraz</w:t>
      </w:r>
    </w:p>
    <w:p w:rsidR="00F25923" w:rsidRPr="00C93F78" w:rsidRDefault="00F25923" w:rsidP="00C93F78">
      <w:pPr>
        <w:numPr>
          <w:ilvl w:val="0"/>
          <w:numId w:val="75"/>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kryteria porównywalności określone w przepisach wydanych na podstawie art. 11j ust. 1 pkt 1, oraz</w:t>
      </w:r>
    </w:p>
    <w:p w:rsidR="00F25923" w:rsidRPr="00C93F78" w:rsidRDefault="00F25923" w:rsidP="00C93F78">
      <w:pPr>
        <w:numPr>
          <w:ilvl w:val="0"/>
          <w:numId w:val="75"/>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metody weryfikacji cen transferowych, o których mowa w art. 11d ust. 1-3, oraz </w:t>
      </w:r>
    </w:p>
    <w:p w:rsidR="00F25923" w:rsidRPr="00C93F78" w:rsidRDefault="00F25923" w:rsidP="00C93F78">
      <w:pPr>
        <w:numPr>
          <w:ilvl w:val="0"/>
          <w:numId w:val="75"/>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inne istotne fakty i okoliczności transakcji kontrolowanej.</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ta ma na celu ułatwienie podatnikom oceny, które transakcje kontrolowane podlegać będą obowiązkowi sporządzenia lokalnej dokumentacji cen transferowych.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11l ustawy o CIT oraz odpowiednio art. 23x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 1</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celu uniknięcia wątpliwości przepis wskazuje sposób określania wartości transakcji w zależności od ich rodzaju / typu w odniesieniu do transakcji finansowych, przypisywania dochodu do zakładu zagranicznego oraz pozostałych transakcji.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przypadku transakcji dot. finansowania działalności dla ustalenia wartości transakcji jednorodnych należy przyjąć średni dzienny poziom rzeczywistego zobowiązania / należności z tytułu finansowania. Dla celów kalkulacji odsetek w przypadku transakcji finansowych należy uwzględnić średnią dzienną za cały rok, również dla transakcji zarządzania płynnością (</w:t>
      </w:r>
      <w:r w:rsidRPr="00C93F78">
        <w:rPr>
          <w:rFonts w:ascii="Times New Roman" w:hAnsi="Times New Roman" w:cs="Times New Roman"/>
          <w:i/>
          <w:sz w:val="24"/>
          <w:szCs w:val="24"/>
        </w:rPr>
        <w:t>cash pooling</w:t>
      </w:r>
      <w:r w:rsidRPr="00C93F78">
        <w:rPr>
          <w:rFonts w:ascii="Times New Roman" w:hAnsi="Times New Roman" w:cs="Times New Roman"/>
          <w:sz w:val="24"/>
          <w:szCs w:val="24"/>
        </w:rPr>
        <w:t>), ale w tym ostatnim przypadku należy odrębnie ująć salda dodatnie i ujemne.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 2</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celu uniknięcia wątpliwości przepis wskazuje podstawę dla określenia wartości transakcji kontrolowanej na potrzeby identyfikacji obowiązku sporządzenia lokalnej dokumentacji cen transferowych. Przepis daje w tym zakresie pierwszeństwo wartościom wynikającym z faktur, a jeśli faktury nie są wystawiane, to w dalszej kolejności należy wziąć pod uwagę wartości wynikające z umów lub innych dokumentów (np. porozumień czy not), a jeśli takie dokumenty nie istnieją lub nie jest możliwe stwierdzenie na ich podstawie wartości transakcji kontrolowanej, to wartość tą powinno określić się na podstawie dokonanych płatności.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 3</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reguluje wyłączenie przy obliczeniu wartości transakcji kontrolowanych o charakterze jednorodnym, wartości transakcji kontrolowanych, w stosunku do których nie ma zastosowania obowiązek sporządzania dokumentacji lokalnej dokumentacji cen transferowych (art. 11n ustawy o CIT oraz odpowiednio art. 23z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 4</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regulacji jest wskazanie sposobu przeliczenia kwot wynikających z realizacji transakcji kontrolowanej na złote w sytuacji, jeśli transakcja realizowana jest w innej walucie – przykładowo w sytuacji, w której faktury są wystawiane lub otrzymywane w walucie innej niż złote. Regulacja w tym zakresie jest co do zasady zbieżna z przepisami ogólnymi ustawy o CIT oraz ustawy o PIT, wskazując ostatni dzień roboczy poprzedzający dokonanie operacji gospodarczej stanowiącej element transakcji kontrolowanej jako dzień, z którego należy przyjąć kurs na potrzeby przeliczenia wartości operacji na złote. Z uwagi na fakt, że wartość transakcji nie w każdym przypadku będzie kosztem czy przychodem (np. w przypadku pożyczek, gdzie część wartości transakcji jest zobowiązaniem), nie było zasadne odesłanie wprost do regulacji ogólnej z ustaw o CIT i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11m ustawy o CIT oraz odpowiednio art. 23y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Celem regulacji jest zobowiązanie podatników do składania do urzędu skarbowego w terminie do końca dziewiątego miesiąca od zakończenia roku obrotowego oświadczenia, potwierdzającego sporządzenie lokalnej dokumentacji cen transferowych. Złożenie oświadczenia ma na celu zobowiązanie podatników do sporządzenia dokumentacji w tym terminie. Regulacja na stałe wydłuża termin na złożenie oświadczenia z 3 miesięcy do 9 miesięcy </w:t>
      </w:r>
      <w:r w:rsidR="00CF0810">
        <w:rPr>
          <w:rFonts w:ascii="Times New Roman" w:hAnsi="Times New Roman" w:cs="Times New Roman"/>
          <w:sz w:val="24"/>
          <w:szCs w:val="24"/>
        </w:rPr>
        <w:t>–</w:t>
      </w:r>
      <w:r w:rsidRPr="00C93F78">
        <w:rPr>
          <w:rFonts w:ascii="Times New Roman" w:hAnsi="Times New Roman" w:cs="Times New Roman"/>
          <w:sz w:val="24"/>
          <w:szCs w:val="24"/>
        </w:rPr>
        <w:t xml:space="preserve"> termin ten zapewni dostateczną ilość czasu dla podatników na przygotowanie kompletnej dokumentacji.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Należy jednocześnie podkreślić, że podatnicy wielokrotnie wyrażali opinię, że pierwotny termin 3 miesięcy na przygotowanie dokumentacji cen transferowych, zawierającej kompletne, rzetelne i wyczerpujące informacje, jest zbyt krótki. Koliduje on bowiem z innymi obowiązkami sprawozdawczymi i podatkowymi (roczne rozliczenia pracownicze, roczne rozliczenie podatkowe spółki, badanie sprawozdania finansowego), jak również okresem ferii zimowych (okres urlopowy). Sytuacja taka z pewnością nie sprzyjała postrzeganiu systemu podatkowego w tym obszarze jako przejrzystego i przyjaznego.</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Odpowiedzią na wątpliwości ze strony podatników było wydanie przez Ministra Finansów rozporządzenia z 14 marca 2018 r. w sprawie przedłużenia terminów wykonania niektórych obowiązków z zakresu dokumentacji podatkowej (Dz. U. z 2018 r., poz. 555), wydłużającego termin na sporządzenie dokumentacji cen transferowych do 9 miesięcy dla terminów upływających w 2018 r. lub 2019 r. – regulacja miała więc charakter czasowy i zaistniała potrzeba uregulowania kwestii terminu w sposób systemowy.</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obowiązującymi przepisami kompletna dokumentacja cen transferowych jest gotowa u podatnika dopiero 10 dni po zatwierdzeniu sprawozdania finansowego, czyli maksymalnie do 10 lipca roku następującego po roku podatkowym, za który sporządzana jest dokumentacja cen transferowych. Wynika to z faktu, że szereg danych prezentowanych w dokumentacji cen transferowych odnosi się do danych ze sprawozdania finansowego i dane te powinny być ze sobą spójne. Z kolei sprawozdanie może być nadal przedmiotem badania i może podlegać zmianom w okresie pomiędzy złożeniem zeznania podatkowego (do końca marca) a zatwierdzeniem sprawozdania (do końca czerwca). W rezultacie, nie służy uproszczeniu systemu podatkowego sytuacja, w której podatnik do końca marca zobowiązany jest złożyć oświadczenie o kompletności posiadanej dokumentacji wiedząc jednocześnie, że niektóre dane w tej dokumentacji mogą ulec zmianie po zatwierdzeniu sprawozdania finansowego.</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Dodatkowo, wydłużenie terminu na przygotowanie dokumentacji cen transferowych oznacza danie podatnikom dodatkowych 6 miesięcy czasu na sporządzenie rzetelnej i kompletnej dokumentacji (a nie tylko częściowej, bez finalnych danych ze sprawozdania finansowego, jak jest zgodnie z obecnymi przepisami). Może się to konsekwencji jedynie przyczynić się do wyższego poziomu dyskusji pomiędzy kontrolerami a podatnikami w sytuacji, kiedy dokumentacja cen transferowych będzie przedmiotem kontroli.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Należy jednocześnie podkreślić, że zgodnie z pkt 5.27 wytycznych OECD podatnicy powinni dążyć do tego, aby ceny transferowe były określane zgodnie z zasadą </w:t>
      </w:r>
      <w:r w:rsidRPr="00C93F78">
        <w:rPr>
          <w:rFonts w:ascii="Times New Roman" w:hAnsi="Times New Roman" w:cs="Times New Roman"/>
          <w:i/>
          <w:sz w:val="24"/>
          <w:szCs w:val="24"/>
        </w:rPr>
        <w:t>arm’s length</w:t>
      </w:r>
      <w:r w:rsidRPr="00C93F78">
        <w:rPr>
          <w:rFonts w:ascii="Times New Roman" w:hAnsi="Times New Roman" w:cs="Times New Roman"/>
          <w:sz w:val="24"/>
          <w:szCs w:val="24"/>
        </w:rPr>
        <w:t xml:space="preserve"> na podstawie informacji dostępnych na moment dokonywania transakcji, a zgodność ich wyników finansowych z zasadą </w:t>
      </w:r>
      <w:r w:rsidRPr="00C93F78">
        <w:rPr>
          <w:rFonts w:ascii="Times New Roman" w:hAnsi="Times New Roman" w:cs="Times New Roman"/>
          <w:i/>
          <w:sz w:val="24"/>
          <w:szCs w:val="24"/>
        </w:rPr>
        <w:t>arm’s length</w:t>
      </w:r>
      <w:r w:rsidRPr="00C93F78">
        <w:rPr>
          <w:rFonts w:ascii="Times New Roman" w:hAnsi="Times New Roman" w:cs="Times New Roman"/>
          <w:sz w:val="24"/>
          <w:szCs w:val="24"/>
        </w:rPr>
        <w:t xml:space="preserve"> była potwierdzona na moment złożenia zeznania podatkowego. Niemniej, termin ten (odnoszący się do złożenia zeznania podatkowego) należy odczytywać z uwzględnieniem regulacji krajowych w poszczególnych państwach - w Polsce jest on stosunkowo krótki na tle regulacji obowiązujących w innych krajach. Przykładowo, w Wielkiej Brytanii wynosi on 1 rok od zakończenia roku podatkowego, we Włoszech, Irlandii, Szwajcarii – 9 miesięcy od zakończenia roku podatkowego, w Hiszpanii, Belgii, Finlandii, Litwie – co do zasady 7 miesięcy od zakończenia roku podatkowego.</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Termin 9 miesięcy na przygotowanie kompletnej, rzetelnej i wyczerpującej dokumentacji podatkowej jest więc optymalny z punktu widzenia innych obowiązków raportowych i podatkowych, zapewniając jednocześnie zgodność danych w dokumentacji z danymi z zatwierdzonego sprawozdania finansowego.</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Niezależnie od obowiązku dokumentacyjnego nałożonego na podatników należy podkreślić, że wprowadzane regulacje potwierdzają obowiązek podatników do stosowania cen rynkowych w trakcie roku, w momencie realizacji transakcji kontrolowanych, zgodnie z posiadaną najlepszą wiedzą i doświadczeniem. Jednocześnie należy podkreślić, że fakt wydłużenia terminu na sporządzenie dokumentacji cen transferowych nie będzie miał żadnego wpływu na faktyczną możliwość kontroli przez organy podatkowe prawidłowości rozliczeń pomiędzy podmiotami powiązanymi. Dokumentacja cen transferowych stanowi bowiem jedynie opis transakcji z uzasadnieniem podatnika o jej rynkowym charakterze. Z punku widzenia organu podatkowego jest to tylko punkt wyjścia do dyskusji, a ewentualny brak dokumentacji cen transferowych nie powinien stanowić dla organu podatkowego przeszkody do dokonania oceny prawidłowości rozliczeń.</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wskazuje również, że oświadczenie podpisuje kierownik jednostki podmiotu obowiązanego do sporządzenia lokalnej dokumentacji cen transferowych – w rozumieniu ustawy o rachunkowości. Dotychczasowe regulacje nie precyzowały jasno kwestii osoby podpisującej, co powodowało liczne wątpliwości ze strony podatników (np. czy oświadczenie te może zostać złożone przez pełnomocnika). Wskazanie osoby wymienionej w oficjalnych dokumentach rejestrowych jako upoważnionej do podpisania oświadczenia, podobnie jak wyraźne wskazanie, że oświadczenie nie może być podpisane przez pełnomocnika, wątpliwości te usuwa.</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przepisie ust. 4 wskazano też sposób złożenia ww. oświadczenia. W dotychczasowych regulacjach nie zostało to określone i w związku z tym podatnicy mieli szereg wątpliwości jaką drogą (elektroniczną czy papierową) należy to oświadczenie złożyć. Mając na celu zapewnienie przyjaznego dla podatnika formatu złożenia ww. oświadczenia, przepis ust. 4 umożliwia jego elektroniczne złożenie.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11n ustawy o CIT oraz odpowiednio art. 23z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regulacji jest wprowadzenie listy transakcji, które zostaną zwolnione z obowiązku przygotowania lokalnej dokumentacji cen transferowych. W stosunku do dotychczas obowiązujących regulacji, uwzględniając postulaty zgłaszane przez podatników, z obowiązku przygotowania lokalnej dokumentacji cen transferowych zwalnia się m.in.:</w:t>
      </w:r>
    </w:p>
    <w:p w:rsidR="00F25923" w:rsidRPr="00C93F78" w:rsidRDefault="00F25923" w:rsidP="00C93F78">
      <w:pPr>
        <w:numPr>
          <w:ilvl w:val="0"/>
          <w:numId w:val="73"/>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transakcje kontrolowane zawierane wyłącznie przez podmioty powiązane mające miejsce zamieszkania, siedzibę lub zarząd na terytorium Rzeczypospolitej Polskiej, o ile w roku podatkowym, za który przygotowywana ma być dokumentacja cen transferowych, każdy z tych podmiotów powiązanych spełnia łącznie następujące warunki: (a) nie korzysta ze zwolnienia, o którym mowa w art. 6, (b) nie korzysta ze zwolnienia, o którym mowa w art. 17 ust. 1 pkt 34 i 34a, (c) nie wykazał straty podatkowej,</w:t>
      </w:r>
    </w:p>
    <w:p w:rsidR="00F25923" w:rsidRPr="00C93F78" w:rsidRDefault="00F25923" w:rsidP="00C93F78">
      <w:pPr>
        <w:numPr>
          <w:ilvl w:val="0"/>
          <w:numId w:val="73"/>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transakcje kontrolowane zawierane między podmiotami tworzącymi podatkową grupę kapitałową,</w:t>
      </w:r>
    </w:p>
    <w:p w:rsidR="00F25923" w:rsidRPr="00C93F78" w:rsidRDefault="00F25923" w:rsidP="00C93F78">
      <w:pPr>
        <w:numPr>
          <w:ilvl w:val="0"/>
          <w:numId w:val="73"/>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transakcje, zawierane pomiędzy podmiotami, których powiązanie wynika wyłącznie z powiązań ze Skarbem Państwa lub jednostkami samorządu terytorialnego (tj. pomiędzy podmiotami, które nie byłyby uznane za powiązane, jeśli ich udziałowcem – bezpośrednio lub pośrednio – nie byłby Skarb Państwa lub jednostki samorządu terytorialnego), </w:t>
      </w:r>
    </w:p>
    <w:p w:rsidR="00F25923" w:rsidRPr="00C93F78" w:rsidRDefault="00F25923" w:rsidP="00C93F78">
      <w:pPr>
        <w:numPr>
          <w:ilvl w:val="0"/>
          <w:numId w:val="73"/>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transakcje kontrolowane, których wartość w całości i trwale nie stanowi przychodu albo kosztu uzyskania przychodu z wyłączeniem transakcji finansowych, transakcji kapitałowych oraz transakcji dotyczących inwestycji, środków trwałych lub wartości niematerialnych i prawnych (zwolnienie to nie dotyczy sytuacji, w której koszty uzyskania przychodu rozpoznawane są w innym momencie, niż zawarcie transakcji) oraz</w:t>
      </w:r>
    </w:p>
    <w:p w:rsidR="00F25923" w:rsidRPr="00C93F78" w:rsidRDefault="00F25923" w:rsidP="00C93F78">
      <w:pPr>
        <w:numPr>
          <w:ilvl w:val="0"/>
          <w:numId w:val="73"/>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transakcje kontrolowane, w których cena została ustalona w trybie przetargu nieograniczonego na podstawie ustawy z dnia 29 stycznia 2004 r. Prawo zamówień publicznych.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11o ustawy o CIT oraz odpowiednio art. 23za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ma na celu objęcie obowiązkiem sporządzania lokalnej dokumentacji cen transferowych transakcji, w wyniku których następuje zapłata należności o łącznej wartości przekraczającej 100 000 złotych (lub równowartość tej kwoty w innej walucie) do podmiotów, mających miejsce zamieszkania, siedzibę lub zarząd na terytorium lub w kraju stosującym szkodliwą konkurencję podatkową. Obowiązek ten obejmuje również umowy spółki niebędącej osobą prawną oraz umowy wspólnego przedsięwzięcia lub inne umowy o podobnym charakterze – jeżeli wartość przekracza 100 000 złotych lub równowartość tej kwoty w innej walucie.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ta stanowi uzupełnienie przepisów wprowadzanego artykułu 11i ustawy o CIT oraz odpowiednio art. 23u ustawy o PIT, umożliwiającego szacowanie przez organy podatkowe dochodu w takich transakcjach.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Ustęp 2 zawiera regulację wskazującą sposób przeliczenia kwot w innych walutach na złote na potrzeby określenia obowiązku sporządzenia dokumentacji cen transferowych dla transakcji z podmiotem mającym miejsce zamieszkania, siedzibę lub zarząd na terytorium lub w kraju stosującym szkodliwą konkurencję podatkową.</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11p ustawy o CIT oraz odpowiednio art. 23zb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Przepis modyfikuje obecne regulacje w zakresie sporządzania grupowej dokumentacji cen transferowych – tzw. </w:t>
      </w:r>
      <w:r w:rsidRPr="00C93F78">
        <w:rPr>
          <w:rFonts w:ascii="Times New Roman" w:hAnsi="Times New Roman" w:cs="Times New Roman"/>
          <w:i/>
          <w:sz w:val="24"/>
          <w:szCs w:val="24"/>
        </w:rPr>
        <w:t>master file</w:t>
      </w:r>
      <w:r w:rsidRPr="00C93F78">
        <w:rPr>
          <w:rFonts w:ascii="Times New Roman" w:hAnsi="Times New Roman" w:cs="Times New Roman"/>
          <w:sz w:val="24"/>
          <w:szCs w:val="24"/>
        </w:rPr>
        <w:t>, wprowadzając ten obowiązek dla podmiotów powiązanych, należących do grupy kapitałowej, dla której sporządzane jest skonsolidowane sprawozdanie finansowe i której skonsolidowane przychody przekroczyły 200 000 000 złotych lub równowartość tej kwoty w innej walucie. Przez konsolidację rozumie się konsolidację metodą pełną lub proporcjonalną. Podmioty konsolidowane metodą praw własności się pomija. Celem regulacji jest objęcie obowiązkiem przygotowania grupowej dokumentacji cen transferowych członków dużych grup kapitałowych, niezależnie od wartości indywidualnych przychodów lub kosztów danego podmiotu powiązanego. Regulacja ponadto wskazuje sposób przeliczania wartości określonych w walucie innej niż złote na walutę polską, poprzez użycie średniego kursu NBP obowiązującego w ostatnim dniu roboczym sprawozdawczego roku obrotowego poprzedzającego rok obrotowy, którego dotyczy grupowa dokumentacja cen transferowych.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Podatnicy dołączają grupową dokumentację cen transferowych, sporządzoną za zakończony rok obrotowy, do lokalnej dokumentacji cen transferowych w terminie do końca dwunastego miesiąca po zakończeniu roku obrotowego. Dłuższy termin w odniesieniu do grupowej dokumentacji cen transferowych ma za zadanie zapewnić, że dokumentacja taka będzie dla podatnika dostępna, nawet jeśli jest przygotowywana przez inny podmiot, działający w ramach grup kapitałowej.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Wprowadzana regulacja umożliwia wykorzystanie przez podatników grupowej dokumentacji cen transferowych, przygotowanej przez inny podmiot należący do grupy podmiotów powiązanych, również w języku angielskim. Wprowadzenie regulacji jest odpowiedzią na zgłaszane przez podatników postulaty możliwości bezpośredniej realizacji obowiązku posiadania grupowej dokumentacji cen transferowych poprzez użycie w tym celu dokumentacji sporządzonej na poziomie grupy kapitałowej, najczęściej w języku angielskim. Stanowi to uproszczenie obowiązku w zakresie dokumentacji cen transferowych dla podatników, należących do międzynarodowych grup kapitałowych oraz odpowiedź na zgłaszane przez nich wątpliwości, czy w przypadku kontroli posiadanie </w:t>
      </w:r>
      <w:r w:rsidRPr="00C93F78">
        <w:rPr>
          <w:rFonts w:ascii="Times New Roman" w:hAnsi="Times New Roman" w:cs="Times New Roman"/>
          <w:i/>
          <w:sz w:val="24"/>
          <w:szCs w:val="24"/>
        </w:rPr>
        <w:t>master file</w:t>
      </w:r>
      <w:r w:rsidRPr="00C93F78">
        <w:rPr>
          <w:rFonts w:ascii="Times New Roman" w:hAnsi="Times New Roman" w:cs="Times New Roman"/>
          <w:sz w:val="24"/>
          <w:szCs w:val="24"/>
        </w:rPr>
        <w:t xml:space="preserve"> w języku angielskim nie zostanie ocenione przez organy podatkowe jako brak kompletnej dokumentacji cen transferowych. Należy podkreślić, że posiadanie dokumentacji grupowej opracowanej przez inny podmiot powiązany nie zwalnia podatnika z odpowiedzialności za to, żeby grupowa dokumentacja cen transferowych była kompletna i zawierała wszystkie elementy wskazane w przepisach ustawy.</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Jednocześnie, na żądanie organu podatnik ma obowiązek przedłożenia grupowej dokumentacji cen transferowych w języku polskim (tłumaczenia dokumentacji grupowej sporządzonej w języku angielskim) w terminie 30 dni od dnia doręczenia tego żądania. Termin ten zapewnia podatnikom dostateczną ilość czasu na dokonanie tłumaczenia dokumentacji grupowych, będących często bardzo obszernymi opracowaniami.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11q ustawy o CIT oraz odpowiednio art. 23zc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wskazuje elementy, jakie powinny zawierać lokalna dokumentacja cen transferowych oraz grupowa dokumentacja cen transferowych. Szczegółowy zakres poszczególnych elementów dokumentacji cen transferowych, zarówno lokalnej jak i grupowej, zostanie uregulowany w drodze rozporządzenia, wydanego przez ministra właściwego do spraw finansów publicznych.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wprowadzanej regulacji jest uporządkowanie i zwiększenie przejrzystości wymagań w stosunku do podatnika w odniesieniu do lokalnej i grupowej dokumentacji cen transferowych. Należy podkreślić, że regulacje nie wprowadzają nowych obowiązków dla podatników, a jedynie odpowiednio strukturyzują obowiązki już istniejące oraz ujednolicają je z rekomendacjami wynikającymi z Wytycznych OECD.</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obowiązujących regulacjach część wymagań, dotyczących zawartości dokumentacji cen transferowych znajduje się w przepisach ustawowych (art. 9a), a część w przepisach wykonawczych (np. w rozporządzeniu Ministra Rozwoju i Finansów z dnia 12 września 2017 r. w sprawie informacji zawartych w dokumentacji podatkowej w zakresie podatku dochodowego od osób prawnych – Dz. U. z 2017 r., poz. 1753). Podział taki skutkował wątpliwościami po stronie podatników odnośnie zakresu obowiązków związanych z zawartością dokumentacji i wynikających z konieczności równoczesnego porównywania zapisów dwóch aktów prawnych. Wprowadzana regulacja w znacznej mierze te wątpliwości zlikwiduje, pozostawiając główne elementy dokumentacji jako przepis ustawowy, a następnie precyzując ich szczegóły w przepisach wykonawczych.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Ponadto, w zakresie dokumentacji grupowej, wprowadzane regulacje odnoszą się bezpośrednio do Wytycznych OECD. Powinno to stanowić znaczące uproszczenie dla podatników, w szczególności realizujących transakcje transgraniczne.</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rezultacie wprowadzanej regulacji, jeśli transakcja kontrolowana spełniać będzie przesłanki określone w art. 11k ustawy o CIT oraz odpowiednio art. 23w ustawy o PIT, lokalna dokumentacja cen transferowych dla takiej transakcji zawierać będzie wszystkie elementy wskazane w ust. 1 (przy uwzględnieniu wyjątku, wskazanego w ust. 3). Każda lokalna dokumentacja cen transferowych zawierać będzie więc również analizę cen transferowych i stanowiącą jej element analizę porównawczą. Analiza ta stanowi kluczowy element lokalnej dokumentacji cen transferowych, mający za zadanie wykazać rynkowy charakter stosowanej w transakcji ceny transferowej. Ustęp 1 pkt 3 lit. b wskazuje, że w przypadkach, w których sporządzenie analizy porównawczej nie będzie właściwe w świetle danej metody weryfikacji cen transferowych (np. w niektórych przypadkach związanych z zastosowaniem wyceny) lub nie będzie możliwe przy zachowaniu należytej staranności, lokalna dokumentacja cen transferowych powinna zawierać inną analizę, wykazującą zgodność warunków transakcji kontrolowanej z warunkami rynkowymi. Szczegółowe informacje na temat zawartości analizy porównawczej zawierać będzie przepis wykonawczy.</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Wprowadzane przepisy eliminują obecną w obowiązujących regulacjach konieczność przygotowania dokumentacji cen transferowych nie zawierającej analizy porównawczej dla podatników, których przychody lub koszty mieściły się w przedziale od 2 000 000 euro do 10 000 000 euro. Stanowiło to uciążliwy obowiązek administracyjny dla podatników, jednocześnie nie dając organom podatkowym wartościowego narzędzia do weryfikacji cen transferowych.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ustępu 3 artykułu 11q ustawy o CIT oraz odpowiednio ustępu 3 art. 23zc ustawy o PIT zwalnia z obowiązku uwzględnienia analizy porównawczej albo analizy zgodności (jako elementu analizy cen transferowych) w lokalnej dokumentacji cen transferowych dla transakcji, spełniających warunki do skorzystania z wskazanego w art. 11f i art. 11g ustawy o CIT oraz odpowiednio w art. 23r i art. 23s ustawy o PIT trybu wykazania, że warunki transakcji nie odbiegają od warunków, jakie ustaliłyby podmioty niepowiązane (</w:t>
      </w:r>
      <w:r w:rsidRPr="00C93F78">
        <w:rPr>
          <w:rFonts w:ascii="Times New Roman" w:hAnsi="Times New Roman" w:cs="Times New Roman"/>
          <w:i/>
          <w:sz w:val="24"/>
          <w:szCs w:val="24"/>
        </w:rPr>
        <w:t>safe harbours</w:t>
      </w:r>
      <w:r w:rsidRPr="00C93F78">
        <w:rPr>
          <w:rFonts w:ascii="Times New Roman" w:hAnsi="Times New Roman" w:cs="Times New Roman"/>
          <w:sz w:val="24"/>
          <w:szCs w:val="24"/>
        </w:rPr>
        <w:t xml:space="preserve">). Wprowadzenie tej regulacji uzasadnione jest uproszczeniem dla podatników, zawierających transakcje o charakterze rutynowymi, nie powodujących istotnego ryzyka zaniżenia dochodu i nie wymagających w związku z tym dodatkowego wykazania zgodności warunków takich transakcji z warunkami rynkowymi.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11r ustawy o CIT oraz odpowiednio art. 23zd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utrzymuje dotychczasowy obowiązek dokonywania aktualizacji analizy porównawczej, stanowiącej element lokalnej dokumentacji cen transferowych, nie rzadziej niż raz na 3 lata chyba, że zmiana warunków ekonomicznych uzasadnia aktualizację z większą częstotliwością.</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Jednocześnie, nie uregulowano odrębnie kwestii aktualizacji lokalnej dokumentacji cen transferowych. Brak konieczności dodatkowej regulacji w tym zakresie wynika wprost z konstrukcji art. 11k ust. 1 ustawy o CIT oraz odpowiednio art. 23w ust. 1 ustawy o PIT, zgodnie z którym lokalna dokumentacja sporządzana jest za rok obrotowy dla transakcji kontrolowanej, której wartość przekracza określone dla danej kategorii progi. Dodatkowo, podatnik rokrocznie składa oświadczenie o sporządzeniu dokumentacji dla transakcji, objętych obowiązkiem dokumentacyjnym. Po zakończeniu każdego roku obrotowego podmiot powiązany powinien więc odrębnie ocenić, dla jakich transakcji kontrolowanych powstał obowiązek sporządzenia lokalnej dokumentacji cen transferowych i przygotować odpowiednią dokumentację cen transferowych – uwzględniając wszystkie ewentualne zmiany zaistniałe w porównaniu do roku poprzedniego.</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11s ustawy o CIT oraz odpowiednio art. 23ze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Regulacja umożliwia organom podatkowym zażądanie od podmiotów zobowiązanych do przygotowania lokalnej lub grupowej dokumentacji cen transferowych przedłożenia w terminie 7 dni lokalnej dokumentacji cen transferowych lub grupowej dokumentacji cen transferowych – w zależności od rodzaju dokumentacji cen transferowych, do której przygotowania podmiot był zobowiązany i który organ podatkowy określi w żądaniu. Utrzymany został termin 7 dni na przedłożenie dokumentacji przez podatnika – termin ten w założeniu ma służyć podatnikowi jedynie do wykonania czynności technicznych, związanych ze sporządzoną wcześniej dokumentacją cen transferowych (takich jak np. wydruk, ostateczna weryfikacja i drobne uzupełnienia, zapisanie na nośnikach elektronicznych). Zakłada się bowiem, że podatnik składając oświadczenie, o którym mowa w art. 11m ust. 1 ustawy o CIT oraz odpowiednio w art. 23y ust. 1 ustawy o PIT posiada kompletną lokalną dokumentację cen transferowych.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ustępu 2 umożliwia organom podatkowym zażądanie lokalnej dokumentacji cen transferowych również dla transakcji kontrolowanych, których wartość nie przekroczyła wysokości progów, określonych w art. 11k ust. 2 ustawy o CIT oraz odpowiednio w art. 23w ust. 2 ustawy o PIT, pod warunkiem wskazania przez organy podatkowe okoliczności, wskazujących na prawdopodobieństwo zaniżenia wartości transakcji kontrolowanej. Podatnik będzie miał 30 dni na spełnienie tego żądania. Regulacja ma na celu zapewnienie, że w sytuacji wystąpienia istotnego prawdopodobieństwa zaniżenia przez podatnika wartości transakcji, podatnik będzie zobowiązany do przekazania organom podatkowym informacji na temat transakcji kontrolowanej w formie lokalnej dokumentacji cen transferowych. Należy podkreślić, że warunkiem skorzystania przez organy podatkowe z tego przepisu jest wykazanie w żądaniu prawdopodobieństwa zaniżenia wartości transakcji kontrolowanej oraz wskazanie, których transakcji kontrolowanych żądanie dotyczy.</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Powyższa regulacja, co do zasady, utrzymuje obowiązującą regulację w tym zakresie, nie wprowadzając nowych obowiązków dla podatników.</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Jednocześnie, z możliwości zażądania przez organy podatkowe lokalnej dokumentacji cen transferowych w trybie wskazanym w projektowanej regulacji zwolnione są podmioty, spełniające warunki uznania ich za mikroprzedsiębiorców w rozumieniu art. 7 ust. 1 pkt 1 ustawy z dnia 6 marca 2018 r. Prawo przedsiębiorców (Dz. U. poz. 646). Wyłączenie to ma na celu nienakładanie na mikroprzedsiębiorców nadmiernych obciążeń administracyjnych. Dodatkowo należy zauważyć, że w obecnie obowiązujących przepisach, próg przychodów/kosztów, od którego pojawia się obowiązek sporządzenia dokumentacji podatkowej zaczyna się od 2 mln EUR. W związku z tym, na podstawie obecnie obowiązujących przepisów, część podatników o stosunkowo niedużych przychodach/kosztach (w większości zaliczanych do kategorii mikroprzedsiębiorców) została wyłączona z obowiązku dokumentacyjnego. Stąd też, projektowana regulacja w tym zakresie stanowi kontynuację wyłączenia już obowiązującego, a także zapewnia spójność systemową. Trudno racjonalnie przewidywać, że podmiot dokonujący obrotu 2 mln euro rocznie (jeden z warunków zaliczenia przedsiębiorcy do kategorii mikroprzedsiębiorców), będzie dokonywał szczególnie ryzykownych z punktu widzenia systemu podatkowego transakcji w sytuacji, gdy regulator sam definiuje najniższy próg podobnej transakcji na kwotę 2 mln złotych. Należy też wyjaśnić, że stosowne wyłączenie nie stanowi dyskryminacji podmiotów większych, gdyż te z racji skali swej działalności bezsprzecznie częściej tworzą złożone struktury gospodarcze, co zwiększa ryzyko podatkowe. Ponadto ich wielkość pozwala w łatwiejszy sposób, niż miałoby to miejsce w przypadku podmiotów najmniejszych, sprostać obowiązkom dokumentacyjnym.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 drugiej strony należy podkreślić, że państwo nie pozostaje bezbronne w przypadku, gdyby zaistniały przypadki wykorzystywania najmniejszych struktur do przerzucania dochodów. Mikroprzedsiębiorcy są zwolnieni z obowiązku przygotowania dokumentacji cen transferowych, natomiast nie są zwolnieni ze stosowania zasady ceny rynkowej wyrażonej w art. 11c ust. 2 ustawy o CIT oraz art. 23o ust. 2 ustawy o PIT. W rezultacie organy podatkowe mogą badać warunki transakcji zawieranych przez mikroprzedsiębiorców z podmiotami z nimi powiązanymi i w tym celu wykorzystywać wszystkie standardowe narzędzie kontrolne (czynności sprawdzające, kontrolę podatkową, kontrolę celno-skarbową, postępowanie podatkowe). Różnicą w stosunku do weryfikacji podmiotów większych będzie okoliczność, że już na samym wstępie tego typu działań organ podatkowy nie będzie dysponował syntetyczną informacją w zakresie cen transferowych, wynikającą z lokalnej dokumentacji cen transferowych. Natomiast organ podatkowy będzie mógł żądać innych dokumentów, które pozwolą mu na zweryfikowanie, czy charakter transakcji zawieranych przez mikroprzedsiębiorcę ma charakter rynkowy, np. umów, faktur, kalkulacji, wycen i wszelkich innych dowodów, które organ podatkowy uzna za stosowane w celu prawidłowego rozstrzygnięcia sprawy. Kontrolowany mikroprzedsiębiorca powinien też współpracować z organem kontrolnym na ogólnych warunkach.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Uwzględniając fakt, że regulacja wprowadza dodatkowe uprawnienie dla organów podatkowych, w celu zapewnienia podatnikom realnej możliwości przygotowania lokalnej dokumentacji cen transferowych, do przepisu wprowadzono zapis dotyczący terminu na jej przedłożenie. Termin ten jest dłuższy niż ten wskazany w ustępie 1 z uwagi na fakt, że jest on terminem na sporządzenie lokalnej dokumentacji cen transferowych i jej przedłożenie. Zakłada się bowiem, że podatnik w momencie otrzymania żądania, o którym mowa w ustępie 2, takiej dokumentacji posiadał nie będzie. Ponadto, zakres takiej lokalnej dokumentacji cen transferowych będzie ograniczony w stosunku do podstawowego zakresu, o którym mowa w art. 11q ust. 1 ustawy o CIT i odpowiednio w art. 23zc ust. 1 ustawy o PIT, nie obejmie on bowiem analizy porównawczej lub analizy zgodności, przygotowanie których wymaga zazwyczaj większego nakładu pracy po stronie podatnika.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Ustęp 3 precyzuje, że w odniesieniu do żądania, o którym mowa w ustępie 1, termin na przedstawienie podatnikowi żądania przedłożenia dokumentacji uzależniony jest od rodzaju dokumentacji cen transferowych, której dotyczy żądanie. Jeśli żądanie dotyczy dokumentacji lokalnej, to nie może zostać przedstawione wcześniej, niż po upływie dziewiątego miesiąca od zakończenia roku obrotowego, a jeśli dotyczy dokumentacji grupowej – nie wcześniej niż po upływie dwunastego miesiąca po zakończeniu roku obrotowego.</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rezultacie, organy podatkowe nie mogą żądać od podatnika dokumentacji cen transferowych przed upływem terminów przewidzianych dla podatników na przygotowanie danego rodzaju dokumentacji cen transferowych.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11t ustawy o CIT oraz odpowiednio art. 23zf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wprowadza obowiązek składania w terminie do końca dziewiątego miesiąca po zakończeniu roku obrotowego przez podmioty powiązane, zobowiązane do przygotowania dokumentacji cen transferowych oraz krajowe podmioty powiązane zawierające transakcje kontrolowane z innym krajowym podmiotem powiązanym, informacji o cenach transferowych. Informacja będzie miała formę elektroniczną, co ma za zadanie ułatwić podatnikom jej składanie oraz umożliwić efektywną analizę złożonych informacji przez właściwy organ.</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Wprowadzona regulacja zastępuje obowiązek składania uproszczonego sprawozdania w sprawie transakcji z podmiotami powiązanymi lub innych zdarzeń zachodzących pomiędzy podmiotami powiązanymi (na formularzu CIT-TP) w oparciu o przepis art. 27 ust. 5 ustawy o CIT lub odpowiednio na formularzu PIT-TP w oparciu o przepis art. 45 ust. 9 ustawy o PIT. Ponadto, z zakresu danych objętych informacją o cenach transferowych wynika, że jej przygotowanie nie będzie wymagało od podatników gromadzenia i przetworzenia informacji innych niż te, które są albo stale dostępne dla podatnika (takich jak dane identyfikacyjne oraz ogólne informacje finansowe) albo znajdują się w posiadanej przez podatnika lokalnej dokumentacji cen transferowych. W efekcie, wprowadzenie regulacji nie zwiększa więc obciążeń podatników, związanych z realizacją obowiązków w zakresie cen transferowych, a poprzez zastosowanie formy elektronicznej i łatwo dostępnych dla podatnika danych, w znaczący sposób upraszcza realizację tych obowiązków.</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odniesieniu do spółek niemających osobowości prawnej, podmiotem zobowiązanym do przekazania informacji o cenach transferowych będzie wyznaczony wspólnik takiej spółki – tj., informacja składana będzie przez wspólnika za spółkę niemającą osobowości prawnej. Jednocześnie, wyznaczenie wspólnika nie zwalnia pozostałych wspólników z odpowiedzialności za nieprzekazanie informacji o cenach transferowych. Regulacja ta ma na celu zapewnienie, że informacja o cenach transferowych składana będzie również w odniesieniu do spółek niemających osobowości prawnej.</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 uwagi na fakt, że raportowane informacje w dużej mierze wynikać będą z przygotowanej lokalnej dokumentacji cen transferowych, termin na złożenie informacji o cenach transferowych jest tożsamy z terminem na przygotowanie tej dokumentacji.</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wprowadzanej regulacji będzie pozyskanie przez Szefa Krajowej Administracji Skarbowej szczegółowych informacji o warunkach transakcji kontrolowanych, zawieranych przez podatników zobowiązanych do sporządzania lokalnej dokumentacji cen transferowych. Informacje te dotyczyć będą transakcji kontrolowanych, co do których powstał obowiązek sporządzenia lokalnej dokumentacji cen transferowych, o której mowa w art. 11k ust. 1 ustawy o CIT lub odpowiednio w art. 23w ust. 1 ustawy o PIT– tj. transakcji kontrolowanych, których wartość przekroczyła progi wskazane w tym przepisie. Gromadzone informacje służyć będą dwóm zasadniczym celom, tj. (i) analizom statystycznym i ekonomicznym, w tym w szczególności pod kątem projektowania regulacji w zakresie cen transferowych (w tym celu, bieżący dostęp za pomocą systemu teleinformatycznego do informacji o cenach transferowych zapewniony będzie miał Minister Finansów) oraz (ii) analizie ryzyka zaniżenia dochodu przez podatników poprzez zachowania nierynkowe – co stanowi kompetencję Szefa Krajowej Administracji Skarbowej.</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Należy podkreślić, że wprowadzenie obowiązku składania informacji o cenach transferowych oraz analiza składanych informacji przez Szefa Krajowej Administracji Skarbowej w celu oceny ryzyka zaniżenia dochodu stanowi również realizację w praktyce przepisów ustawy z dnia 6 marca 2018 r. Prawo przedsiębiorców (Dz.U. z 2018 r. poz. 646). Art. 47 ust. 1 tej ustawy wskazuje, że kontrola u przedsiębiorcy powinna być poprzedzona dokonaniem analizy prawdopodobieństwa naruszenia prawa w ramach wykonywania działalności gospodarczej. Analiza taka powinna w szczególności wskazywać obszary podmiotowe i przedmiotowe, w których ryzyko naruszenia przepisów jest największe. Informacja o cenach transferowych stanowi narzędzie do przeprowadzenia takich analiz w obszarze cen transferowych, umożliwiając skuteczniejsze kontrole w tym zakresie, jednocześnie zmniejszając prawdopodobieństwo kontroli u tych podatników, gdzie analiza wykazała niewielkie ryzyko zaniżenia dochodu wskutek stosowania warunków, odbiegających od warunków rynkowych. Stanowi to dla tych podatników znaczące ułatwienie, istotnie zmniejszając obciążenia związane z obsługą kontroli w obszarze cen transferowych, umożliwiając jednocześnie organom podatkowym skoncentrowanie się na obszarach, w których istnieje istotne ryzyko zaniżenia dochodu.</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Drugim celem pozyskiwania informacji o cenach transferowych jest ocena skutków istniejących regulacji w zakresie cen transferowych i w rezultacie oceny, dokonywanie zmian w regulacjach bądź wprowadzanie nowych, efektywniej spełniających swoje cele. W tym zakresie mieści się ocena możliwości wprowadzenia kolejnych ułatwień dla podatników, przy jednoczesnym zapewnieniu odpowiedniego poziomu wpływów z podatków dochodowych. Jest to przykładowo ocena możliwości wprowadzenia kolejnych uproszczeń o charakterze </w:t>
      </w:r>
      <w:r w:rsidRPr="00C93F78">
        <w:rPr>
          <w:rFonts w:ascii="Times New Roman" w:hAnsi="Times New Roman" w:cs="Times New Roman"/>
          <w:i/>
          <w:sz w:val="24"/>
          <w:szCs w:val="24"/>
        </w:rPr>
        <w:t>safe harbours</w:t>
      </w:r>
      <w:r w:rsidRPr="00C93F78">
        <w:rPr>
          <w:rFonts w:ascii="Times New Roman" w:hAnsi="Times New Roman" w:cs="Times New Roman"/>
          <w:sz w:val="24"/>
          <w:szCs w:val="24"/>
        </w:rPr>
        <w:t xml:space="preserve"> na wzór tych wprowadzonych obecnym projektem dot. usług mających charakter usług o niskiej wartości dodanej i pożyczek, czy też ocena efektywności wysokości projektowanych progów transakcyjnych na potrzeby przygotowania dokumentacji cen transferowych. Warto zauważyć, że obecnie nie istnieją pełne dane pozwalające określić ilu podatników jest zobowiązanych do sporządzenia dokumentacji podatkowej cen transferowych, jakiego rodzaju transakcje są dokumentowane oraz ile jest tych transakcji. Informacje te są niezbędne w celu tworzenia prawa, które w odpowiedni i proporcjonalny sposób będzie równoważyło interesy podatników oraz interesy budżetu państwa.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Wprowadzana regulacja nie stanowi nałożenia na podatników zupełnie nowych obowiązków, związanych z przekazywaniem informacji o cenach transferowych i transakcjach z podmiotami powiązanymi. Należy podkreślić, że zastępuje ona istniejący obowiązek składania informacji na formularzach CIT-TP i PIT-TP przy czym, informacja o cenach transferowych będzie rozwiązaniem znacznie mniej skomplikowanym do wypełnienia poprzez ścisłe powiązanie ze sposobem prezentacji informacji w dokumentacji cen transferowych.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Należy ponadto podkreślić, że informacja o cenach transferowych wymaga jedynie koniecznych informacji do ustalenia prawidłowej ceny transferowej, a więc są to środki niezbędne i proporcjonalne służące do osiągnięcia wskazanego celu. Zgodnie z art. 14 ust. 1 pkt 9 i 20 ustawy z dnia 16 listopada 2016 roku o Krajowej Administracji Skarbowej, do zadań Szefa KAS należy m.in. prowadzenie działalności analitycznej, prognostycznej i badawczej dotyczącej zjawisk występujących we właściwości KAS oraz analizy ryzyka, a także koordynowanie kontroli celno-skarbowych wykonywanych przez naczelników urzędów celno-skarbowych. Prowadzenie poprawnych analiz z jednej strony pozwala na właściwe typowanie podmiotów do czynności kontrolnych (co wpływa zarówno na wzrost skuteczności działania organów oraz zmniejszenie niedogodności związanych z obsługą organu kontrolnego dla podmiotów, wobec których działania kontrolne są nieuzasadnione), z drugiej zwiększa efektywność działania służb skarbowych (do czego zobowiązuje ustawa o finansach publicznych). Z kolei zgodnie z art. 8 ust. 2 pkt 1 ustawy z dnia 4 września 1997 r. o działach administracji rządowej, minister właściwy do spraw finansów publicznych odpowiada m.in. za realizację dochodów z podatków bezpośrednich, pośrednich oraz opłat. W związku z powyższym główne cele, dla których wprowadza się raportowanie informacji o cenach transferowych (TP-R), tj. analiza ryzyka oraz realizacja dochodów z podatków bezpośrednich, są spójne z kompetencjami i zadaniami Szefa KAS i MF.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Minister właściwy do spraw finansów publicznych wyda szczegółowe objaśnienia dotyczące szczegółowego zakresu danych przekazywanych w informacji o cenach transferowych wraz z objaśnieniami co do sposobu jej wypełnienia, uwzględniając konieczność zapewnienia dokonywania prawidłowej analizy ryzyka zaniżenia dochodu do opodatkowania w obszarze cen transferowych oraz innych analiz ekonomicznych lub statystycznych.</w:t>
      </w:r>
    </w:p>
    <w:p w:rsidR="00F25923" w:rsidRPr="00C93F78" w:rsidRDefault="00F25923" w:rsidP="00C93F78">
      <w:pPr>
        <w:pStyle w:val="Nagwek3"/>
        <w:spacing w:line="360" w:lineRule="auto"/>
        <w:jc w:val="both"/>
      </w:pPr>
      <w:r w:rsidRPr="00C93F78">
        <w:t xml:space="preserve">Art. 2 pkt </w:t>
      </w:r>
      <w:r w:rsidR="00AF42C4" w:rsidRPr="00C93F78">
        <w:t>10</w:t>
      </w:r>
      <w:r w:rsidRPr="00C93F78">
        <w:t xml:space="preserve"> (zmiana art. 12 ustawy o CIT) oraz odpowiednio art. 1 pkt </w:t>
      </w:r>
      <w:r w:rsidR="006C4AE7" w:rsidRPr="00C93F78">
        <w:t>5</w:t>
      </w:r>
      <w:r w:rsidRPr="00C93F78">
        <w:t xml:space="preserve"> (zmiana art. 11 i art. 14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regulacji jest doprecyzowanie stosowania przepisów dotyczących nieodpłatnych i częściowo odpłatnych świadczeń w odniesieniu do podmiotów powiązanych. Regulacja precyzuje, że w przypadku podmiotów powiązanych ocena czy dane świadczenie może być uznane za świadczenie nieodpłatne lub częściowo odpłatne, powinna uwzględniać całokształt relacji pomiędzy podmiotami powiązanymi, z zastrzeżeniem że są one obowiązane ustalać ceny transferowe na warunkach, które ustaliłyby między sobą podmioty niepowiązane (tj. z uwzględnieniem szczególnych przepisów dotyczących zasady ceny rynkowej wprowadzanych niniejszą nowelizacją w art. 11c ustawy o CIT oraz w art. 23o ustawy o PIT). Dotychczas, konieczność uwzględniania przepisów o cenach transferowych w odniesieniu do podmiotów powiązanych wynikała z charakteru tych przepisów – tj. ich szczególnego charakteru w stosunku do przepisów ogólnych. Teraz kwestia ta została ostatecznie potwierdzona w zmienianych regulacjach.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Przepis dodaje też ogólną regulację dot. przychodów, przy których ustalaniu uwzględnia się korekty cen transferowych dokonane zgodnie z zasadą ceny rynkowej.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zmiany ustępu 3l art. 12 ustawy CIT oraz art. 14 ust. 1o ustawy o PIT wprowadzenia regulacji jest doprecyzowanie momentu ujęcia korekty przychodów z tytułu korekty cen transferowych i ujednolicenie podejścia w tym zakresie. Przepis wprowadza podejście, że korekta taka powinna zostać ujęta w okresie rozliczeniowym, którego dotyczy, a nie w okresie, kiedy została wystawiona faktura korygująca lub inny dokument potwierdzający dokonanie korekty.</w:t>
      </w:r>
    </w:p>
    <w:p w:rsidR="00F25923" w:rsidRPr="00C93F78" w:rsidRDefault="00F25923" w:rsidP="00C93F78">
      <w:pPr>
        <w:pStyle w:val="Nagwek3"/>
        <w:spacing w:line="360" w:lineRule="auto"/>
        <w:jc w:val="both"/>
        <w:rPr>
          <w:b w:val="0"/>
        </w:rPr>
      </w:pPr>
      <w:r w:rsidRPr="00C93F78">
        <w:t xml:space="preserve">Art. 2 pkt </w:t>
      </w:r>
      <w:r w:rsidR="00AF42C4" w:rsidRPr="00C93F78">
        <w:t>11</w:t>
      </w:r>
      <w:r w:rsidRPr="00C93F78">
        <w:t xml:space="preserve"> lit. </w:t>
      </w:r>
      <w:r w:rsidR="00AF42C4" w:rsidRPr="00C93F78">
        <w:t>a</w:t>
      </w:r>
      <w:r w:rsidRPr="00C93F78">
        <w:t xml:space="preserve"> (zmiana art. 14 ust. 6 ustawy o CIT)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uchyla art. 14 ust. 6 ustawy o CIT. Przepis ten nie będzie miał zastosowania wobec zmiany w art. 14 ust. 7 ustawy o CIT.</w:t>
      </w:r>
    </w:p>
    <w:p w:rsidR="00F25923" w:rsidRPr="00C93F78" w:rsidRDefault="00F25923" w:rsidP="00C93F78">
      <w:pPr>
        <w:pStyle w:val="Nagwek3"/>
        <w:spacing w:line="360" w:lineRule="auto"/>
        <w:jc w:val="both"/>
      </w:pPr>
      <w:r w:rsidRPr="00C93F78">
        <w:t xml:space="preserve">Art. 2 pkt 7 lit. b (dodanie ust. 7 do art. 14 ustawy o CIT) oraz odpowiednio art. 1 pkt </w:t>
      </w:r>
      <w:r w:rsidR="006C4AE7" w:rsidRPr="00C93F78">
        <w:t>8</w:t>
      </w:r>
      <w:r w:rsidRPr="00C93F78">
        <w:t xml:space="preserve"> (dodanie ust. 5 do art. 19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ma na celu zapewnienie, że do transakcji kontrolowanych będą miały zastosowanie tylko przepisy wskazane w dodanym Rozdziale 1a, a nie ogólne regulacje art. 14 ustawy o CIT (lub odpowiednio w dodanym Rozdziale 4b, a nie ogólne regulacje art. 19 ustawy o PIT). Celem wprowadzenia przepisu jest wyeliminowanie sporów interpretacyjnych w odniesieniu do szczególnego charakteru regulacji w zakresie cen transferowych w odniesieniu do regulacji art. 14 ustawy o CIT lub art. 19 ustawy o PIT.</w:t>
      </w:r>
    </w:p>
    <w:p w:rsidR="00F25923" w:rsidRPr="00C93F78" w:rsidRDefault="00F25923" w:rsidP="00C93F78">
      <w:pPr>
        <w:pStyle w:val="Nagwek3"/>
        <w:spacing w:line="360" w:lineRule="auto"/>
        <w:jc w:val="both"/>
      </w:pPr>
      <w:r w:rsidRPr="00C93F78">
        <w:t xml:space="preserve">Art. 2 pkt </w:t>
      </w:r>
      <w:r w:rsidR="00AF42C4" w:rsidRPr="00C93F78">
        <w:t>12 lit. e</w:t>
      </w:r>
      <w:r w:rsidRPr="00C93F78">
        <w:t xml:space="preserve"> (zmiana brzmienia art. 15 ustawy o CIT) oraz odpowiednio art. 1 pkt </w:t>
      </w:r>
      <w:r w:rsidR="006C4AE7" w:rsidRPr="00C93F78">
        <w:t xml:space="preserve">10 </w:t>
      </w:r>
      <w:r w:rsidRPr="00C93F78">
        <w:t xml:space="preserve">(zmiana brzmienia art. 22 ustawy o PIT)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dodaje też w ust. 1ab ogólną regulację dot. kosztów uzyskania przychodów, przy których ustalaniu uwzględnia się korekty cen transferowych dokonane zgodnie z zasadę ceny rynkowej.</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wprowadzenia regulacji w ust. 4k (ust. 7e w przypadku ustawy o PIT) jest doprecyzowanie momentu ujęcia korekty kosztu uzyskania przychodu z tytułu korekty cen transferowych i ujednolicenie podejścia w tym zakresie. Przepis wprowadza podejście, że korekta taka powinna zostać ujęta w okresie rozliczeniowym, którego dotyczy, a nie w okresie, kiedy została wystawiona faktura korygująca lub inny dokument potwierdzający dokonanie korekty. Regulacja wprowadza symetrię w rozpoznawaniu momentu ujęcia przychodów oraz kosztów uzyskania przychodów z tytułu korekty cen transferowych.</w:t>
      </w:r>
    </w:p>
    <w:p w:rsidR="00F25923" w:rsidRPr="00C93F78" w:rsidRDefault="00F25923" w:rsidP="00C93F78">
      <w:pPr>
        <w:pStyle w:val="Nagwek3"/>
        <w:spacing w:line="360" w:lineRule="auto"/>
        <w:jc w:val="both"/>
      </w:pPr>
      <w:r w:rsidRPr="00C93F78">
        <w:t xml:space="preserve">Art. 1 pkt </w:t>
      </w:r>
      <w:r w:rsidR="00943802" w:rsidRPr="00C93F78">
        <w:t>24</w:t>
      </w:r>
      <w:r w:rsidRPr="00C93F78">
        <w:t xml:space="preserve"> (zmiana art. 30c ust. 2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ma charakter porządkujący i ma na celu dostosowanie brzmienia art. 30c ust. 2 do numeracji i treści artykułów dodanego Rozdziału 4b ustawy o PIT.</w:t>
      </w:r>
    </w:p>
    <w:p w:rsidR="00F25923" w:rsidRPr="00C93F78" w:rsidRDefault="00F25923" w:rsidP="00C93F78">
      <w:pPr>
        <w:pStyle w:val="Nagwek3"/>
        <w:spacing w:line="360" w:lineRule="auto"/>
        <w:jc w:val="both"/>
        <w:rPr>
          <w:b w:val="0"/>
        </w:rPr>
      </w:pPr>
      <w:r w:rsidRPr="00C93F78">
        <w:t xml:space="preserve">Art. 2 pkt </w:t>
      </w:r>
      <w:r w:rsidR="00AF42C4" w:rsidRPr="00C93F78">
        <w:rPr>
          <w:b w:val="0"/>
        </w:rPr>
        <w:t>14</w:t>
      </w:r>
      <w:r w:rsidRPr="00C93F78">
        <w:t xml:space="preserve"> (skreślenie art. 15ca ustawy o CIT)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Uchylenie artykułu 15ca jest wyrazem dążenia do dalszego upraszczania przepisów prawa podatkowego. Wskutek wprowadzenia przepisów Rozdziału 1a ustawy o CIT, na podstawie których organy podatkowe mogą zarówno badać zdolność kredytową, jak również dokonywać recharakteryzacji i nierozpoznania transakcji kontrolowanych (w tym transakcji finansowych), dalsze utrzymywanie tożsamych co do celu regulacji art. 15ca ustawy o CIT jest zbędne. </w:t>
      </w:r>
    </w:p>
    <w:p w:rsidR="00F25923" w:rsidRPr="00C93F78" w:rsidRDefault="00F25923" w:rsidP="00C93F78">
      <w:pPr>
        <w:pStyle w:val="Nagwek3"/>
        <w:spacing w:line="360" w:lineRule="auto"/>
        <w:jc w:val="both"/>
        <w:rPr>
          <w:b w:val="0"/>
        </w:rPr>
      </w:pPr>
      <w:r w:rsidRPr="00C93F78">
        <w:t>Art. 2 pkt 1</w:t>
      </w:r>
      <w:r w:rsidR="00AF42C4" w:rsidRPr="00C93F78">
        <w:t>5</w:t>
      </w:r>
      <w:r w:rsidRPr="00C93F78">
        <w:t xml:space="preserve"> (zmiany art. 15e ust. 1 i ust. 10 ustawy o CIT)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Zmiany mają charakter porządkujący i mają na celu dostosowanie brzmienia art. 15e do numeracji i treści artykułów dodanego Rozdziału 1a ustawy o CIT. Pozostawiony zostaje 5% limit, od którego liczona jest nadwyżka kosztów usług wskazanych w art. 15e ust. 1 pkt 1-3 ustawy o CIT, które podatnik zobowiązany jest wyłączyć z kosztów uzyskania przychodów. </w:t>
      </w:r>
    </w:p>
    <w:p w:rsidR="00F25923" w:rsidRPr="00C93F78" w:rsidRDefault="00F25923" w:rsidP="00C93F78">
      <w:pPr>
        <w:pStyle w:val="Nagwek3"/>
        <w:spacing w:line="360" w:lineRule="auto"/>
        <w:jc w:val="both"/>
      </w:pPr>
      <w:r w:rsidRPr="00C93F78">
        <w:t xml:space="preserve">Art. 2 pkt </w:t>
      </w:r>
      <w:r w:rsidR="00AF42C4" w:rsidRPr="00C93F78">
        <w:t>22</w:t>
      </w:r>
      <w:r w:rsidRPr="00C93F78">
        <w:t xml:space="preserve"> (zmiany art. 18d ustawy o CIT) oraz odpowiednio art. 1 pkt </w:t>
      </w:r>
      <w:r w:rsidR="00943802" w:rsidRPr="00C93F78">
        <w:t>21</w:t>
      </w:r>
      <w:r w:rsidRPr="00C93F78">
        <w:t xml:space="preserve"> (zmiany art. 26e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Zmiany mają charakter porządkujący i mają na celu dostosowanie brzmienia art. 18d do numeracji i treści artykułów dodanego Rozdziału 1a w ustawie o CIT oraz odpowiednio art. 26e do numeracji i treści artykułów dodanego Rozdziału 4b w ustawie o PIT.</w:t>
      </w:r>
    </w:p>
    <w:p w:rsidR="00F25923" w:rsidRPr="00C93F78" w:rsidRDefault="00F25923" w:rsidP="00C93F78">
      <w:pPr>
        <w:pStyle w:val="Nagwek3"/>
        <w:spacing w:line="360" w:lineRule="auto"/>
        <w:jc w:val="both"/>
      </w:pPr>
      <w:r w:rsidRPr="00C93F78">
        <w:t xml:space="preserve">Art. 2 pkt </w:t>
      </w:r>
      <w:r w:rsidR="00AF42C4" w:rsidRPr="00C93F78">
        <w:t>23</w:t>
      </w:r>
      <w:r w:rsidRPr="00C93F78">
        <w:t xml:space="preserve"> (zmiana art. 19 ust. 4 ustawy o CI</w:t>
      </w:r>
      <w:r w:rsidR="000360FE" w:rsidRPr="00C93F78">
        <w:t>T) oraz odpowiednio art. 1 pkt 26</w:t>
      </w:r>
      <w:r w:rsidRPr="00C93F78">
        <w:t xml:space="preserve"> (zmiana art. 30d ust. 1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ma charakter porządkujący i ma na celu dostosowanie brzmienia art. 19 ust. 4 ustawy o CIT oraz art. 30d ust. 1 do numeracji i treści artykułów dodanego Rozdziału 1a ustawy o CIT oraz odpowiednio Rozdziału 4b ustawy o PIT.</w:t>
      </w:r>
    </w:p>
    <w:p w:rsidR="00F25923" w:rsidRPr="00C93F78" w:rsidRDefault="00F25923" w:rsidP="00C93F78">
      <w:pPr>
        <w:pStyle w:val="Nagwek3"/>
        <w:spacing w:line="360" w:lineRule="auto"/>
        <w:jc w:val="both"/>
        <w:rPr>
          <w:b w:val="0"/>
        </w:rPr>
      </w:pPr>
      <w:r w:rsidRPr="00C93F78">
        <w:t xml:space="preserve">Art. 2 pkt </w:t>
      </w:r>
      <w:r w:rsidR="00AF42C4" w:rsidRPr="00C93F78">
        <w:t>24</w:t>
      </w:r>
      <w:r w:rsidRPr="00C93F78">
        <w:t xml:space="preserve"> (zmiana art. 21 ustawy o CIT)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ma charakter porządkujący i ma na celu dostosowanie brzmienia art. 21 ust. 7 do numeracji i treści artykułów dodanego Rozdziału 1a ustawy o CIT.</w:t>
      </w:r>
    </w:p>
    <w:p w:rsidR="00F25923" w:rsidRPr="00C93F78" w:rsidRDefault="00F25923" w:rsidP="00C93F78">
      <w:pPr>
        <w:pStyle w:val="Nagwek3"/>
        <w:spacing w:line="360" w:lineRule="auto"/>
        <w:jc w:val="both"/>
      </w:pPr>
      <w:r w:rsidRPr="00C93F78">
        <w:t xml:space="preserve">Art. 2 pkt </w:t>
      </w:r>
      <w:r w:rsidR="00AF42C4" w:rsidRPr="00C93F78">
        <w:t xml:space="preserve">27 </w:t>
      </w:r>
      <w:r w:rsidRPr="00C93F78">
        <w:t xml:space="preserve">(zmiana art. 24a ustawy o CIT) oraz odpowiednio art. 1 pkt </w:t>
      </w:r>
      <w:r w:rsidR="00726AB5" w:rsidRPr="00C93F78">
        <w:t>28</w:t>
      </w:r>
      <w:r w:rsidRPr="00C93F78">
        <w:t xml:space="preserve"> (zmiany art. 30f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Zmiany mają charakter porządkujący i mają na celu dostosowanie brzmienia art. 24a do numeracji i treści artykułów dodanego Rozdziału 1a w ustawie o CIT oraz odpowiednio art. 30f do numeracji i treści artykułów dodanego Rozdziału 4b w ustawie o PIT, w zakresie listy krajów lub terytoriów uznanych za stosujące szkodliwą konkurencję podatkową oraz sposobu określenia udziału pośredniego.</w:t>
      </w:r>
    </w:p>
    <w:p w:rsidR="00F25923" w:rsidRPr="00C93F78" w:rsidRDefault="00F25923" w:rsidP="00C93F78">
      <w:pPr>
        <w:pStyle w:val="Nagwek3"/>
        <w:spacing w:line="360" w:lineRule="auto"/>
        <w:jc w:val="both"/>
      </w:pPr>
      <w:r w:rsidRPr="00C93F78">
        <w:t xml:space="preserve">Art. 2 pkt </w:t>
      </w:r>
      <w:r w:rsidR="00AF42C4" w:rsidRPr="00C93F78">
        <w:t xml:space="preserve">28 </w:t>
      </w:r>
      <w:r w:rsidRPr="00C93F78">
        <w:t xml:space="preserve">(zmiana art. 24b ustawy o CIT) oraz </w:t>
      </w:r>
      <w:r w:rsidR="00726AB5" w:rsidRPr="00C93F78">
        <w:t>zmiany art. 30g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Zmiany mają charakter porządkujący i mają na celu dostosowanie brzmienia art. 24b do numeracji i treści artykułów dodanego Rozdziału 1a w ustawie o CIT oraz odpowiednio art. 30g do numeracji i treści artykułów dodanego Rozdziału 4b w ustawie o PIT, w zakresie definicji podmiotów powiązanych.</w:t>
      </w:r>
    </w:p>
    <w:p w:rsidR="00F25923" w:rsidRPr="00C93F78" w:rsidRDefault="00F25923" w:rsidP="00C93F78">
      <w:pPr>
        <w:pStyle w:val="Nagwek3"/>
        <w:spacing w:line="360" w:lineRule="auto"/>
        <w:jc w:val="both"/>
      </w:pPr>
      <w:r w:rsidRPr="00C93F78">
        <w:t xml:space="preserve">Art. 2 pkt </w:t>
      </w:r>
      <w:r w:rsidR="00C07542" w:rsidRPr="00C93F78">
        <w:t>32</w:t>
      </w:r>
      <w:r w:rsidRPr="00C93F78">
        <w:t xml:space="preserve"> (zmiana art. 26 ustawy o CIT) oraz odpowied</w:t>
      </w:r>
      <w:r w:rsidR="00AF42C4" w:rsidRPr="00C93F78">
        <w:t>nio art. 1 pkt 22</w:t>
      </w:r>
      <w:r w:rsidRPr="00C93F78">
        <w:t xml:space="preserve"> (zmiana art. 27g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Zmiany mają charakter porządkujący i mają na celu dostosowanie brzmienia art. 26 do numeracji i treści artykułów dodanego Rozdziału 1a ustawy o CIT oraz odpowiednio art. 27g numeracji i treści artykułów dodanego Rozdziału 4b ustawy o PIT, w zakresie listy krajów lub terytoriów uznanych za stosujące szkodliwą konkurencję podatkową.</w:t>
      </w:r>
    </w:p>
    <w:p w:rsidR="00F25923" w:rsidRPr="00C93F78" w:rsidRDefault="00F25923" w:rsidP="00C93F78">
      <w:pPr>
        <w:pStyle w:val="Nagwek3"/>
        <w:spacing w:line="360" w:lineRule="auto"/>
        <w:jc w:val="both"/>
      </w:pPr>
      <w:r w:rsidRPr="00C93F78">
        <w:t xml:space="preserve">Art. 2 pkt </w:t>
      </w:r>
      <w:r w:rsidR="00C07542" w:rsidRPr="00C93F78">
        <w:t>34</w:t>
      </w:r>
      <w:r w:rsidRPr="00C93F78">
        <w:t xml:space="preserve"> (zmiany w art. 27 ustawy o CIT) oraz odpowiednio art. 1 pkt </w:t>
      </w:r>
      <w:r w:rsidR="00AF42C4" w:rsidRPr="00C93F78">
        <w:t>34</w:t>
      </w:r>
      <w:r w:rsidRPr="00C93F78">
        <w:t xml:space="preserve"> (zmiany w art. 45 ustawy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Zmiany dotyczą zniesienia obowiązku składania przez niektórych podatników uproszczonego sprawozdania w sprawie transakcji z podmiotami powiązanymi lub innych zdarzeń zachodzących pomiędzy podmiotami powiązanymi (CIT-TP lub PIT-TP). Obowiązek ten zostanie zastąpiony obowiązkiem składania informacji o cenach transferowych na podstawie wprowadzanego art. 11t w ustawie o CIT lub odpowiednio art. 23zf w ustawie o PIT.</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Ponadto, zmiana ma na celu dostosowanie brzmienia regulacji art. 27 ustawy o CIT i art. 45 ustawy o PIT do wprowadzonego w Ordynacji podatkowej pojęcia „cena transferowa”.</w:t>
      </w:r>
    </w:p>
    <w:p w:rsidR="00F25923" w:rsidRPr="00C93F78" w:rsidRDefault="00F25923" w:rsidP="00C93F78">
      <w:pPr>
        <w:pStyle w:val="Nagwek3"/>
        <w:spacing w:line="360" w:lineRule="auto"/>
        <w:jc w:val="both"/>
      </w:pPr>
      <w:r w:rsidRPr="00C93F78">
        <w:t xml:space="preserve">Art. 2 pkt </w:t>
      </w:r>
      <w:r w:rsidR="00C07542" w:rsidRPr="00C93F78">
        <w:t>36</w:t>
      </w:r>
      <w:r w:rsidRPr="00C93F78">
        <w:t xml:space="preserve"> (dodanie Załącznika nr 6 w ustawie o CIT) oraz odpowiednio art. 1 pkt </w:t>
      </w:r>
      <w:r w:rsidR="00AF42C4" w:rsidRPr="00C93F78">
        <w:t>35</w:t>
      </w:r>
      <w:r w:rsidRPr="00C93F78">
        <w:t xml:space="preserve"> (dodanie Załącznika nr 4 w ustawie o PIT)</w:t>
      </w:r>
    </w:p>
    <w:p w:rsidR="00F25923" w:rsidRPr="00C93F78" w:rsidRDefault="00F25923" w:rsidP="00C93F78">
      <w:pPr>
        <w:spacing w:line="360" w:lineRule="auto"/>
        <w:jc w:val="both"/>
        <w:rPr>
          <w:rFonts w:ascii="Times New Roman" w:hAnsi="Times New Roman" w:cs="Times New Roman"/>
          <w:b/>
          <w:sz w:val="24"/>
          <w:szCs w:val="24"/>
        </w:rPr>
      </w:pPr>
      <w:r w:rsidRPr="00C93F78">
        <w:rPr>
          <w:rFonts w:ascii="Times New Roman" w:hAnsi="Times New Roman" w:cs="Times New Roman"/>
          <w:sz w:val="24"/>
          <w:szCs w:val="24"/>
        </w:rPr>
        <w:t>Zmiana wprowadza do ustawy o CIT Załącznik nr 6 i odpowiednio do ustawy o PIT Załącznik nr 4, zawierający katalog usług, o których mowa w art. 11f ust. 2 pkt 1 ustawy o CIT i odpowiednio art. 23r ust. 2 pkt 1. Załącznik został wprowadzony w celu określenia usług, do których może mieć zastosowanie wprowadzany ust. 1 art. 11f ustawy o CIT i odpowiednio ust. 1 art. 23r ustawy o PIT. Lista usług ma na celu ułatwienie podatnikom określenia, czy świadczone lub nabywane przez podatnika usługi mogą zostać uznane za usługi, do których może mieć zastosowanie wprowadzany ust. 1 art. 11f ustawy o CIT i odpowiednio ust. 1 art. 23r ustawy o PIT</w:t>
      </w:r>
      <w:r w:rsidRPr="00C93F78" w:rsidDel="00693865">
        <w:rPr>
          <w:rFonts w:ascii="Times New Roman" w:hAnsi="Times New Roman" w:cs="Times New Roman"/>
          <w:sz w:val="24"/>
          <w:szCs w:val="24"/>
        </w:rPr>
        <w:t xml:space="preserve"> </w:t>
      </w:r>
      <w:r w:rsidRPr="00C93F78">
        <w:rPr>
          <w:rFonts w:ascii="Times New Roman" w:hAnsi="Times New Roman" w:cs="Times New Roman"/>
          <w:sz w:val="24"/>
          <w:szCs w:val="24"/>
        </w:rPr>
        <w:t>(po spełnieniu pozostałych warunków określonych w przepisie). Katalog usług opracowany został w oparciu o rezultaty prac OECD oraz Wspólnego Forum UE ds. Cen Transferowych w obszarze usług o niskiej wartości dodanej.</w:t>
      </w:r>
    </w:p>
    <w:p w:rsidR="000B599A" w:rsidRPr="00C93F78" w:rsidRDefault="0001421E" w:rsidP="00C93F78">
      <w:pPr>
        <w:pStyle w:val="Nagwek2"/>
        <w:spacing w:line="360" w:lineRule="auto"/>
        <w:jc w:val="both"/>
        <w:rPr>
          <w:szCs w:val="24"/>
        </w:rPr>
      </w:pPr>
      <w:r w:rsidRPr="00C93F78">
        <w:rPr>
          <w:szCs w:val="24"/>
        </w:rPr>
        <w:t>2</w:t>
      </w:r>
      <w:r w:rsidR="000B599A" w:rsidRPr="00C93F78">
        <w:rPr>
          <w:szCs w:val="24"/>
        </w:rPr>
        <w:t>. Zmiany do ustawy Ordynacja podatkowa</w:t>
      </w:r>
    </w:p>
    <w:p w:rsidR="000B599A" w:rsidRPr="00C93F78" w:rsidRDefault="000B599A" w:rsidP="00C93F78">
      <w:pPr>
        <w:pStyle w:val="Nagwek3"/>
        <w:spacing w:line="360" w:lineRule="auto"/>
        <w:jc w:val="both"/>
        <w:rPr>
          <w:b w:val="0"/>
        </w:rPr>
      </w:pPr>
      <w:r w:rsidRPr="00C93F78">
        <w:rPr>
          <w:b w:val="0"/>
        </w:rPr>
        <w:t>Art. 3 pkt 1</w:t>
      </w:r>
    </w:p>
    <w:p w:rsidR="000B599A" w:rsidRPr="00C93F78" w:rsidRDefault="000B599A"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przepisu jest wprowadzenie do ustawy Ordynacja podatkowa definicji pojęcia „cena transferowa”, tożsamego z definicją w ustawie o CIT i ustawie o PIT – poprzez odesłanie do definicji w tych ustawach.</w:t>
      </w:r>
    </w:p>
    <w:p w:rsidR="000B599A" w:rsidRPr="00C93F78" w:rsidRDefault="000B599A"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Ponadto, celem przepisu jest dostosowanie odwołania w Ordynacji podatkowej do zmian oznaczeń jednostek legislacyjnych w zakresie cen transferowych w ustawie o CIT i ustawie o PIT, dokonanych niniejszą ustawą – odpowiednio art. 11a ust. 1 pkt 4 zamiast art</w:t>
      </w:r>
      <w:r w:rsidR="00CF0810">
        <w:rPr>
          <w:rFonts w:ascii="Times New Roman" w:hAnsi="Times New Roman" w:cs="Times New Roman"/>
          <w:sz w:val="24"/>
          <w:szCs w:val="24"/>
        </w:rPr>
        <w:t>. 11 oraz art. </w:t>
      </w:r>
      <w:r w:rsidRPr="00C93F78">
        <w:rPr>
          <w:rFonts w:ascii="Times New Roman" w:hAnsi="Times New Roman" w:cs="Times New Roman"/>
          <w:sz w:val="24"/>
          <w:szCs w:val="24"/>
        </w:rPr>
        <w:t>23m ust. 1 pkt 4 zamiast art. 25 – w definicjach „podmiotu krajowego” i „podmiotu zagranicznego”.</w:t>
      </w:r>
    </w:p>
    <w:p w:rsidR="000B599A" w:rsidRPr="00C93F78" w:rsidRDefault="000B599A" w:rsidP="00C93F78">
      <w:pPr>
        <w:pStyle w:val="Nagwek3"/>
        <w:spacing w:line="360" w:lineRule="auto"/>
        <w:jc w:val="both"/>
        <w:rPr>
          <w:b w:val="0"/>
        </w:rPr>
      </w:pPr>
      <w:r w:rsidRPr="00C93F78">
        <w:rPr>
          <w:b w:val="0"/>
        </w:rPr>
        <w:t>Art. 3 pkt 2</w:t>
      </w:r>
    </w:p>
    <w:p w:rsidR="000B599A" w:rsidRPr="00C93F78" w:rsidRDefault="000B599A"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ma na celu dostosowanie brzmienia ustawy Ordynacja podatkowa do wprowadzonego pojęcia „cena transferowa”.</w:t>
      </w:r>
    </w:p>
    <w:p w:rsidR="000B599A" w:rsidRPr="00C93F78" w:rsidRDefault="000B599A" w:rsidP="00C93F78">
      <w:pPr>
        <w:pStyle w:val="Nagwek3"/>
        <w:spacing w:line="360" w:lineRule="auto"/>
        <w:jc w:val="both"/>
        <w:rPr>
          <w:b w:val="0"/>
        </w:rPr>
      </w:pPr>
      <w:r w:rsidRPr="00C93F78">
        <w:rPr>
          <w:b w:val="0"/>
        </w:rPr>
        <w:t>Art. 3 pkt 20</w:t>
      </w:r>
    </w:p>
    <w:p w:rsidR="000B599A" w:rsidRPr="00C93F78" w:rsidRDefault="000B599A"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ma na celu uchylenie regulacji art. 82 § 1a, która w sposób zawiły określała obowiązki w zakresie informowania przez podmioty, sporządzające uproszczone sprawozdanie w zakresie cen transferowych, o umowach zawartych z nierezydentami w rozumieniu przepisów prawa dewizowego. Dotychczasowa regulacja wskazywała na wyjątek od wyjątku w tej sprawie. W wyniku zmiany oba obowiązki informacyjne (w zakresie nierezydentów oraz cen transferowych) będą regulowane odrębnie.</w:t>
      </w:r>
    </w:p>
    <w:p w:rsidR="000B599A" w:rsidRPr="00C93F78" w:rsidRDefault="000B599A" w:rsidP="00C93F78">
      <w:pPr>
        <w:pStyle w:val="Nagwek3"/>
        <w:spacing w:line="360" w:lineRule="auto"/>
        <w:jc w:val="both"/>
        <w:rPr>
          <w:b w:val="0"/>
        </w:rPr>
      </w:pPr>
      <w:r w:rsidRPr="00C93F78">
        <w:rPr>
          <w:b w:val="0"/>
        </w:rPr>
        <w:t>Art. 3 pkt 21</w:t>
      </w:r>
    </w:p>
    <w:p w:rsidR="000B599A" w:rsidRPr="00C93F78" w:rsidRDefault="000B599A"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ma na celu podwyższenie z 5% do 25% limitu związanego w określeniem podmiotu na który nałożono obowiązek informacyjny w zakresie wypłacanych przez podmiot będący nierezydentem osobom fizycznym będącym nierezydentami w rozumieniu przepisów prawa dewizowego. Warunkiem powstania tego obowiązku będzie przypadek, gdy podmiot będący nierezydentem bezpośrednio lub pośrednio bierze udział w zarządzaniu lub kontroli podmiotu, którego dotyczy obowiązek informacyjny, albo posiada udział w kapitale tego podmiotu uprawniający do co najmniej 25% wszystkich praw głosu. Zmiana ma na celu ujednolicenie progu determinującego powstanie powiązań z odpowiednimi regulacjami ustawy o PIT i ustawy o CIT.</w:t>
      </w:r>
    </w:p>
    <w:p w:rsidR="000B599A" w:rsidRPr="00C93F78" w:rsidRDefault="000B599A" w:rsidP="00C93F78">
      <w:pPr>
        <w:pStyle w:val="Nagwek3"/>
        <w:spacing w:line="360" w:lineRule="auto"/>
        <w:jc w:val="both"/>
        <w:rPr>
          <w:b w:val="0"/>
        </w:rPr>
      </w:pPr>
      <w:r w:rsidRPr="00C93F78">
        <w:rPr>
          <w:b w:val="0"/>
        </w:rPr>
        <w:t>Art. 3 pkt 40</w:t>
      </w:r>
    </w:p>
    <w:p w:rsidR="000B599A" w:rsidRPr="00C93F78" w:rsidRDefault="000B599A"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przepisu jest dostosowanie odwołania w Ordynacji podatkowa do zmian oznaczeń jednostek legislacyjnych w ustawie o CIT i ustawie o PIT, dokonanych niniejszą ustawą, w zakresie cen transferowych – odpowiednio art. 11a ust. 1 pkt 5 zamiast art. 11 oraz art. 23m ust. 1 pkt 5 zamiast art. 25.</w:t>
      </w:r>
    </w:p>
    <w:p w:rsidR="00F25923" w:rsidRPr="00C93F78" w:rsidRDefault="00F25923" w:rsidP="00C93F78">
      <w:pPr>
        <w:spacing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Zmiany do ustawy Kodeks karny skarbowy</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Przepis ma na celu wprowadzenie zmian w Kodeksie karnym skarbowym. Przewiduje on wprowadzenie kary grzywny do </w:t>
      </w:r>
      <w:r w:rsidR="000B6BE7" w:rsidRPr="00C93F78">
        <w:rPr>
          <w:rFonts w:ascii="Times New Roman" w:hAnsi="Times New Roman" w:cs="Times New Roman"/>
          <w:sz w:val="24"/>
          <w:szCs w:val="24"/>
        </w:rPr>
        <w:t>720</w:t>
      </w:r>
      <w:r w:rsidRPr="00C93F78">
        <w:rPr>
          <w:rFonts w:ascii="Times New Roman" w:hAnsi="Times New Roman" w:cs="Times New Roman"/>
          <w:sz w:val="24"/>
          <w:szCs w:val="24"/>
        </w:rPr>
        <w:t xml:space="preserve"> stawek dziennych zarówno za:</w:t>
      </w:r>
    </w:p>
    <w:p w:rsidR="00F25923" w:rsidRPr="00C93F78" w:rsidRDefault="00F25923" w:rsidP="00C93F78">
      <w:pPr>
        <w:pStyle w:val="Akapitzlist"/>
        <w:numPr>
          <w:ilvl w:val="0"/>
          <w:numId w:val="117"/>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niezłożenie oświadczenia o sporządzeniu dokumentacji podatkowej;</w:t>
      </w:r>
    </w:p>
    <w:p w:rsidR="00F25923" w:rsidRPr="00C93F78" w:rsidRDefault="00F25923" w:rsidP="00C93F78">
      <w:pPr>
        <w:pStyle w:val="Akapitzlist"/>
        <w:numPr>
          <w:ilvl w:val="0"/>
          <w:numId w:val="117"/>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niezłożeniu, złożeniu po terminie lub złożeniu nieprawdziwej informacji o cenach transferowych.</w:t>
      </w:r>
    </w:p>
    <w:p w:rsidR="00F25923" w:rsidRPr="00C93F78" w:rsidRDefault="0001421E" w:rsidP="00C93F78">
      <w:pPr>
        <w:pStyle w:val="Nagwek2"/>
        <w:spacing w:line="360" w:lineRule="auto"/>
        <w:jc w:val="both"/>
        <w:rPr>
          <w:b w:val="0"/>
          <w:szCs w:val="24"/>
        </w:rPr>
      </w:pPr>
      <w:r w:rsidRPr="00C93F78">
        <w:rPr>
          <w:szCs w:val="24"/>
        </w:rPr>
        <w:t xml:space="preserve">3. </w:t>
      </w:r>
      <w:r w:rsidR="00F25923" w:rsidRPr="00C93F78">
        <w:rPr>
          <w:szCs w:val="24"/>
        </w:rPr>
        <w:t>Wpływ regulacji na mikroprzedsiębiorców, małych i średnich przedsiębiorców</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Projektowana ustawa będzie mieć pozytywny wpływ na warunki funkcjonowania i rozwoju mikroprzedsiębiorców, małych i średnich przedsiębiorców.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Wprowadzane regulacje będą skutkować mniejszym niż do tej pory obciążeniem dla mikroprzedsiębiorców oraz małych i średnich przedsiębiorców, wynikającym z konieczności zapewnienia zgodności z wprowadzanymi przepisami. Korzystny wpływ na ich działalność będzie miała likwidacja lub znaczące ograniczenie obowiązku przygotowania dokumentacji cen transferowych, wynikające wprost z podniesienia wysokości progów dokumentacyjnych.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Ponadto, korzystny wpływ na działalność mikroprzedsiębiorców oraz małych i średnich przedsiębiorców będzie miało ograniczenie agresywnego planowania podatkowego z wykorzystaniem cen transferowych, stosowanego głównie przez dużych podatników. Skutkiem tego rodzaju działań jest uzyskiwanie przez podmioty je stosujące nieuzasadnionej przewagi konkurencyjnej, co zaburza równą konkurencję na danym rynku. </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 ustawy jest zgodny z prawem Unii Europejskiej.</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 nie podlega notyfikacji w rozumieniu przepisów technicznych dotyczących krajowego systemu notyfikacji norm i aktów prawnych.</w:t>
      </w:r>
    </w:p>
    <w:p w:rsidR="00F25923" w:rsidRPr="00C93F78" w:rsidRDefault="00F25923"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wymogiem art. 5 ustawy z dnia 7 lipca 2005 r. o działalności lobbingowej w procesie stanowienia prawa, projekt ustawy został zamieszczony na stronie podmiotowej Biuletynu Informacji Publicznej Rządowego Centrum Legislacji w zakładce „Rządowy proces legislacyjny”.</w:t>
      </w:r>
    </w:p>
    <w:p w:rsidR="0001421E" w:rsidRPr="00C93F78" w:rsidRDefault="0001421E" w:rsidP="00C93F78">
      <w:pPr>
        <w:pStyle w:val="Nagwek1"/>
        <w:spacing w:line="360" w:lineRule="auto"/>
        <w:jc w:val="both"/>
        <w:rPr>
          <w:szCs w:val="24"/>
        </w:rPr>
      </w:pPr>
      <w:r w:rsidRPr="00C93F78">
        <w:rPr>
          <w:szCs w:val="24"/>
        </w:rPr>
        <w:t>VI. Szczegółowe omówienie pozostałych przepisów</w:t>
      </w:r>
    </w:p>
    <w:p w:rsidR="006B0AAF" w:rsidRPr="00C93F78" w:rsidRDefault="006B0AAF" w:rsidP="00C93F78">
      <w:pPr>
        <w:pStyle w:val="Nagwek2"/>
        <w:spacing w:line="360" w:lineRule="auto"/>
        <w:jc w:val="both"/>
        <w:rPr>
          <w:rFonts w:eastAsia="Calibri" w:cs="Times New Roman"/>
          <w:b w:val="0"/>
          <w:bCs/>
          <w:szCs w:val="24"/>
          <w:u w:val="single"/>
        </w:rPr>
      </w:pPr>
      <w:r w:rsidRPr="00C93F78">
        <w:rPr>
          <w:rFonts w:eastAsia="Calibri" w:cs="Times New Roman"/>
          <w:bCs/>
          <w:szCs w:val="24"/>
          <w:u w:val="single"/>
        </w:rPr>
        <w:t>Art. 1</w:t>
      </w:r>
      <w:r w:rsidR="0001421E" w:rsidRPr="00C93F78">
        <w:rPr>
          <w:rFonts w:eastAsia="Calibri" w:cs="Times New Roman"/>
          <w:bCs/>
          <w:szCs w:val="24"/>
          <w:u w:val="single"/>
        </w:rPr>
        <w:t>.</w:t>
      </w:r>
      <w:r w:rsidRPr="00C93F78">
        <w:rPr>
          <w:rFonts w:eastAsia="Calibri" w:cs="Times New Roman"/>
          <w:bCs/>
          <w:szCs w:val="24"/>
          <w:u w:val="single"/>
        </w:rPr>
        <w:t xml:space="preserve"> – zmiany w ustawie o podatku dochodowym od osób fizycznych (ustawa o PIT)</w:t>
      </w:r>
    </w:p>
    <w:p w:rsidR="006B0AAF" w:rsidRPr="00C93F78" w:rsidRDefault="006B0AAF" w:rsidP="00C93F78">
      <w:pPr>
        <w:pStyle w:val="Akapitzlist"/>
        <w:numPr>
          <w:ilvl w:val="0"/>
          <w:numId w:val="1"/>
        </w:numPr>
        <w:spacing w:after="120" w:line="360" w:lineRule="auto"/>
        <w:jc w:val="both"/>
        <w:rPr>
          <w:rFonts w:ascii="Times New Roman" w:hAnsi="Times New Roman" w:cs="Times New Roman"/>
          <w:sz w:val="24"/>
          <w:szCs w:val="24"/>
        </w:rPr>
      </w:pPr>
      <w:r w:rsidRPr="00C93F78">
        <w:rPr>
          <w:rFonts w:ascii="Times New Roman" w:eastAsia="Calibri" w:hAnsi="Times New Roman" w:cs="Times New Roman"/>
          <w:bCs/>
          <w:sz w:val="24"/>
          <w:szCs w:val="24"/>
        </w:rPr>
        <w:t>pkt 1 -</w:t>
      </w:r>
      <w:r w:rsidRPr="00C93F78">
        <w:rPr>
          <w:rFonts w:ascii="Times New Roman" w:hAnsi="Times New Roman" w:cs="Times New Roman"/>
          <w:sz w:val="24"/>
          <w:szCs w:val="24"/>
        </w:rPr>
        <w:t xml:space="preserve"> zmiana dotycząca art. 3 ust. 2b ustawy o PIT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Zmiana polega na wskazaniu </w:t>
      </w:r>
      <w:r w:rsidRPr="00C93F78">
        <w:rPr>
          <w:rFonts w:ascii="Times New Roman" w:hAnsi="Times New Roman" w:cs="Times New Roman"/>
          <w:i/>
          <w:sz w:val="24"/>
          <w:szCs w:val="24"/>
        </w:rPr>
        <w:t>expressis verbis</w:t>
      </w:r>
      <w:r w:rsidRPr="00C93F78">
        <w:rPr>
          <w:rFonts w:ascii="Times New Roman" w:hAnsi="Times New Roman" w:cs="Times New Roman"/>
          <w:sz w:val="24"/>
          <w:szCs w:val="24"/>
        </w:rPr>
        <w:t xml:space="preserve">, iż nowa kategoria dochodów (przychodów) jakim są dochody z niezrealizowanych zysków, określona w dodawanym Rozdziale 6a stanowi dochód (przychód) osiągnięty na terytorium Rzeczpospolitej Polskiej w rozumieniu art. 3 ust. 2a ustawy o PIT. Zmiana ma charakter dostosowujący do regulacji wprowadzającej do ustawy PIT Rozdział 6a dotyczący podatku od dochodów z niezrealizowanych zysków (tzw. podatku z tytułu wyjścia, </w:t>
      </w:r>
      <w:r w:rsidRPr="00C93F78">
        <w:rPr>
          <w:rFonts w:ascii="Times New Roman" w:hAnsi="Times New Roman" w:cs="Times New Roman"/>
          <w:i/>
          <w:sz w:val="24"/>
          <w:szCs w:val="24"/>
        </w:rPr>
        <w:t>exit tax</w:t>
      </w:r>
      <w:r w:rsidRPr="00C93F78">
        <w:rPr>
          <w:rFonts w:ascii="Times New Roman" w:hAnsi="Times New Roman" w:cs="Times New Roman"/>
          <w:sz w:val="24"/>
          <w:szCs w:val="24"/>
        </w:rPr>
        <w:t>).</w:t>
      </w:r>
    </w:p>
    <w:p w:rsidR="006B0AAF" w:rsidRPr="00C93F78" w:rsidRDefault="006B0AAF"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pkt 2 - zmiana dotycząca art. 5a ustawy o PIT</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Z</w:t>
      </w:r>
      <w:r w:rsidRPr="00C93F78">
        <w:rPr>
          <w:rFonts w:ascii="Times New Roman" w:eastAsia="Calibri" w:hAnsi="Times New Roman" w:cs="Times New Roman"/>
          <w:sz w:val="24"/>
          <w:szCs w:val="24"/>
        </w:rPr>
        <w:t>miany polegają na dodaniu w słowniczku definicji:</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waluty wirtualnej, zdefiniowano ją poprzez odesłanie do definicji z ustawy z dnia 1 marca 2018 r. o przeciwdziałaniu praniu pieniędzy oraz finansowaniu terroryzmu (Dz. U. poz. 723).</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ustawy o podatku dochodowym od osób prawnych,</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pożyczki papierów wartościowych,</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rzeczywistego właściciela (mając na uwadze wskazane już w niniejszym dokumencie (część ogólna uzasadnienia) przesłanki obowiązywania szerokiego pojęcia rzeczywistego właściciela (</w:t>
      </w:r>
      <w:r w:rsidRPr="00C93F78">
        <w:rPr>
          <w:rFonts w:ascii="Times New Roman" w:eastAsia="Calibri" w:hAnsi="Times New Roman" w:cs="Times New Roman"/>
          <w:i/>
          <w:sz w:val="24"/>
          <w:szCs w:val="24"/>
        </w:rPr>
        <w:t>beneficial owner</w:t>
      </w:r>
      <w:r w:rsidRPr="00C93F78">
        <w:rPr>
          <w:rFonts w:ascii="Times New Roman" w:eastAsia="Calibri" w:hAnsi="Times New Roman" w:cs="Times New Roman"/>
          <w:sz w:val="24"/>
          <w:szCs w:val="24"/>
        </w:rPr>
        <w:t xml:space="preserve">), do ustawy o PIT wprowadzona zostaje definicja legalna). </w:t>
      </w:r>
    </w:p>
    <w:p w:rsidR="006B0AAF" w:rsidRPr="00C93F78" w:rsidRDefault="006B0AAF"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E772D0" w:rsidRPr="00C93F78">
        <w:rPr>
          <w:rFonts w:ascii="Times New Roman" w:eastAsia="Calibri" w:hAnsi="Times New Roman" w:cs="Times New Roman"/>
          <w:sz w:val="24"/>
          <w:szCs w:val="24"/>
        </w:rPr>
        <w:t xml:space="preserve">3 </w:t>
      </w:r>
      <w:r w:rsidRPr="00C93F78">
        <w:rPr>
          <w:rFonts w:ascii="Times New Roman" w:eastAsia="Calibri" w:hAnsi="Times New Roman" w:cs="Times New Roman"/>
          <w:sz w:val="24"/>
          <w:szCs w:val="24"/>
        </w:rPr>
        <w:t>– zmiany dotyczące art. 9 ustawy o PIT</w:t>
      </w:r>
    </w:p>
    <w:p w:rsidR="006D3A97" w:rsidRPr="00C93F78" w:rsidRDefault="006D3A97" w:rsidP="00C93F78">
      <w:pPr>
        <w:spacing w:before="120" w:after="120" w:line="360" w:lineRule="auto"/>
        <w:jc w:val="both"/>
        <w:rPr>
          <w:rFonts w:ascii="Times New Roman" w:eastAsia="Calibri" w:hAnsi="Times New Roman" w:cs="Times New Roman"/>
          <w:sz w:val="24"/>
          <w:szCs w:val="24"/>
          <w:u w:val="single"/>
        </w:rPr>
      </w:pPr>
      <w:r w:rsidRPr="00C93F78">
        <w:rPr>
          <w:rFonts w:ascii="Times New Roman" w:eastAsia="Calibri" w:hAnsi="Times New Roman" w:cs="Times New Roman"/>
          <w:sz w:val="24"/>
          <w:szCs w:val="24"/>
        </w:rPr>
        <w:t>lit. a i b</w:t>
      </w:r>
      <w:r w:rsidRPr="00C93F78">
        <w:rPr>
          <w:rFonts w:ascii="Times New Roman" w:eastAsia="Calibri" w:hAnsi="Times New Roman" w:cs="Times New Roman"/>
          <w:sz w:val="24"/>
          <w:szCs w:val="24"/>
          <w:u w:val="single"/>
        </w:rPr>
        <w:t xml:space="preserve"> - </w:t>
      </w:r>
      <w:r w:rsidRPr="00C93F78">
        <w:rPr>
          <w:rFonts w:ascii="Times New Roman" w:eastAsia="Calibri" w:hAnsi="Times New Roman" w:cs="Times New Roman"/>
          <w:sz w:val="24"/>
          <w:szCs w:val="24"/>
        </w:rPr>
        <w:t>zmiany dotyczące art. 9 ust. 1a i 2 ustawy o PIT mają charakter dostosowawczy i są związane z dodaniem art. 23ca regulującego preferencyjne opodatkowanie dochodów generowanych przez prawa własności intelektualnej (IP BOX, Innovation Box) oraz 30da regulującego opodatkowanie dochodów z niezrealizowanych zysków.</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lit. c</w:t>
      </w:r>
      <w:r w:rsidRPr="00C93F78">
        <w:rPr>
          <w:rFonts w:ascii="Times New Roman" w:eastAsia="Calibri" w:hAnsi="Times New Roman" w:cs="Times New Roman"/>
          <w:sz w:val="24"/>
          <w:szCs w:val="24"/>
        </w:rPr>
        <w:t xml:space="preserve"> - zmiana dotycząca art. 9 ust. 3a ustawy o PIT polega na wyłączeniu możliwość pomniejszania dochodu o straty z odpłatnego zbycia walut wirtualnych. Nadwyżka kosztów poniesionych w danym roku podatkowym nad przychodami osiągniętymi w tym samym roku, zwiększać będzie koszty uzyskania przychodów </w:t>
      </w:r>
      <w:r w:rsidR="00DF7E04" w:rsidRPr="00C93F78">
        <w:rPr>
          <w:rFonts w:ascii="Times New Roman" w:eastAsia="Calibri" w:hAnsi="Times New Roman" w:cs="Times New Roman"/>
          <w:sz w:val="24"/>
          <w:szCs w:val="24"/>
        </w:rPr>
        <w:t xml:space="preserve">z odpłatnego zbycia waluty wirtualnej </w:t>
      </w:r>
      <w:r w:rsidRPr="00C93F78">
        <w:rPr>
          <w:rFonts w:ascii="Times New Roman" w:eastAsia="Calibri" w:hAnsi="Times New Roman" w:cs="Times New Roman"/>
          <w:sz w:val="24"/>
          <w:szCs w:val="24"/>
        </w:rPr>
        <w:t>w następnym roku podatkowym. Regulacja ta wynika zatem z przyjętej konstrukcji rozliczania w podatku PIT dochodów uzyskiwanych ze zbycia walut wirtualnych. Ponadto przepis wprowadza wyłączenie możliwości rozliczania strat z tytułu niezrealizowanych zysków.</w:t>
      </w:r>
      <w:r w:rsidR="00840A3E" w:rsidRPr="00C93F78">
        <w:rPr>
          <w:rFonts w:ascii="Times New Roman" w:eastAsia="Calibri" w:hAnsi="Times New Roman" w:cs="Times New Roman"/>
          <w:sz w:val="24"/>
          <w:szCs w:val="24"/>
        </w:rPr>
        <w:t xml:space="preserve"> </w:t>
      </w:r>
    </w:p>
    <w:p w:rsidR="006B0AAF" w:rsidRPr="00C93F78" w:rsidRDefault="006B0AA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E772D0" w:rsidRPr="00C93F78">
        <w:rPr>
          <w:rFonts w:ascii="Times New Roman" w:eastAsia="Calibri" w:hAnsi="Times New Roman" w:cs="Times New Roman"/>
          <w:sz w:val="24"/>
          <w:szCs w:val="24"/>
        </w:rPr>
        <w:t>4</w:t>
      </w:r>
      <w:r w:rsidRPr="00C93F78">
        <w:rPr>
          <w:rFonts w:ascii="Times New Roman" w:eastAsia="Calibri" w:hAnsi="Times New Roman" w:cs="Times New Roman"/>
          <w:sz w:val="24"/>
          <w:szCs w:val="24"/>
        </w:rPr>
        <w:t>- zmiana dotycząca art. 10 ustawy o PIT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w:t>
      </w:r>
      <w:r w:rsidRPr="00C93F78">
        <w:rPr>
          <w:rFonts w:ascii="Times New Roman" w:hAnsi="Times New Roman" w:cs="Times New Roman"/>
          <w:sz w:val="24"/>
          <w:szCs w:val="24"/>
        </w:rPr>
        <w:t xml:space="preserve"> - Zmiana polega na dodaniu do katalogu źródeł przychodów określonych w art. 10 ust. 1 ustawy PIT w pkt 8a odrębnego źródła pn. „niezrealizowane zyski”. </w:t>
      </w:r>
    </w:p>
    <w:p w:rsidR="006D3A97" w:rsidRPr="00C93F78" w:rsidRDefault="006D3A97"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pkt 5 - zmiana dotycząca art. 11 ustawy o PIT</w:t>
      </w:r>
    </w:p>
    <w:p w:rsidR="006D3A97" w:rsidRPr="00C93F78" w:rsidRDefault="006D3A97"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lit. a -</w:t>
      </w:r>
      <w:r w:rsidRPr="00C93F78">
        <w:rPr>
          <w:rFonts w:ascii="Times New Roman" w:eastAsia="Calibri" w:hAnsi="Times New Roman" w:cs="Times New Roman"/>
          <w:sz w:val="24"/>
          <w:szCs w:val="24"/>
        </w:rPr>
        <w:t xml:space="preserve"> Zmiana o charakterze porządkowym związana z dodaniem art. 30ca regulującego preferencyjne opodatkowanie dochodów generowanych przez prawa własności intelektualnej (IP BOX, </w:t>
      </w:r>
      <w:r w:rsidRPr="00C93F78">
        <w:rPr>
          <w:rFonts w:ascii="Times New Roman" w:eastAsia="Calibri" w:hAnsi="Times New Roman" w:cs="Times New Roman"/>
          <w:i/>
          <w:iCs/>
          <w:sz w:val="24"/>
          <w:szCs w:val="24"/>
        </w:rPr>
        <w:t>Innovation Box</w:t>
      </w:r>
      <w:r w:rsidRPr="00C93F78">
        <w:rPr>
          <w:rFonts w:ascii="Times New Roman" w:eastAsia="Calibri" w:hAnsi="Times New Roman" w:cs="Times New Roman"/>
          <w:sz w:val="24"/>
          <w:szCs w:val="24"/>
        </w:rPr>
        <w:t>) i 30j regulującego opodatkowanie dochodów z niezrealizowanych zysków.</w:t>
      </w:r>
    </w:p>
    <w:p w:rsidR="006D3A97" w:rsidRPr="00C93F78" w:rsidRDefault="006D3A97"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b </w:t>
      </w:r>
      <w:r w:rsidR="00ED4930" w:rsidRPr="00C93F78">
        <w:rPr>
          <w:rFonts w:ascii="Times New Roman" w:eastAsia="Calibri" w:hAnsi="Times New Roman" w:cs="Times New Roman"/>
          <w:sz w:val="24"/>
          <w:szCs w:val="24"/>
          <w:u w:val="single"/>
        </w:rPr>
        <w:t>–</w:t>
      </w:r>
      <w:r w:rsidRPr="00C93F78">
        <w:rPr>
          <w:rFonts w:ascii="Times New Roman" w:eastAsia="Calibri" w:hAnsi="Times New Roman" w:cs="Times New Roman"/>
          <w:sz w:val="24"/>
          <w:szCs w:val="24"/>
          <w:u w:val="single"/>
        </w:rPr>
        <w:t xml:space="preserve"> </w:t>
      </w:r>
      <w:r w:rsidR="00ED4930" w:rsidRPr="00C93F78">
        <w:rPr>
          <w:rFonts w:ascii="Times New Roman" w:eastAsia="Calibri" w:hAnsi="Times New Roman" w:cs="Times New Roman"/>
          <w:sz w:val="24"/>
          <w:szCs w:val="24"/>
        </w:rPr>
        <w:t>zmiana dotyczy przepisów w zakresie cen transferowych</w:t>
      </w:r>
    </w:p>
    <w:p w:rsidR="006D3A97" w:rsidRPr="00C93F78" w:rsidRDefault="006D3A97"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6 - zmiana dotycząca art. </w:t>
      </w:r>
      <w:r w:rsidR="00D63BB9" w:rsidRPr="00C93F78">
        <w:rPr>
          <w:rFonts w:ascii="Times New Roman" w:eastAsia="Calibri" w:hAnsi="Times New Roman" w:cs="Times New Roman"/>
          <w:sz w:val="24"/>
          <w:szCs w:val="24"/>
        </w:rPr>
        <w:t>14</w:t>
      </w:r>
      <w:r w:rsidRPr="00C93F78">
        <w:rPr>
          <w:rFonts w:ascii="Times New Roman" w:eastAsia="Calibri" w:hAnsi="Times New Roman" w:cs="Times New Roman"/>
          <w:sz w:val="24"/>
          <w:szCs w:val="24"/>
        </w:rPr>
        <w:t xml:space="preserve"> ustawy o PIT</w:t>
      </w:r>
    </w:p>
    <w:p w:rsidR="00E67EA9" w:rsidRPr="00C93F78" w:rsidRDefault="00E67EA9"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Zmiana ta została szerzej opisana w części uzasadnienia dotyczącej zmian w zakresie cen transferowych. </w:t>
      </w:r>
    </w:p>
    <w:p w:rsidR="006B0AAF" w:rsidRPr="00C93F78" w:rsidRDefault="006B0AA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D63BB9" w:rsidRPr="00C93F78">
        <w:rPr>
          <w:rFonts w:ascii="Times New Roman" w:eastAsia="Calibri" w:hAnsi="Times New Roman" w:cs="Times New Roman"/>
          <w:sz w:val="24"/>
          <w:szCs w:val="24"/>
        </w:rPr>
        <w:t xml:space="preserve">7 </w:t>
      </w:r>
      <w:r w:rsidRPr="00C93F78">
        <w:rPr>
          <w:rFonts w:ascii="Times New Roman" w:eastAsia="Calibri" w:hAnsi="Times New Roman" w:cs="Times New Roman"/>
          <w:sz w:val="24"/>
          <w:szCs w:val="24"/>
        </w:rPr>
        <w:t>- zmiana dotycząca art. 17 ustawy o PIT</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lit. a</w:t>
      </w:r>
      <w:r w:rsidRPr="00C93F78">
        <w:rPr>
          <w:rFonts w:ascii="Times New Roman" w:eastAsia="Calibri" w:hAnsi="Times New Roman" w:cs="Times New Roman"/>
          <w:sz w:val="24"/>
          <w:szCs w:val="24"/>
        </w:rPr>
        <w:t xml:space="preserve"> – regulacja art. 17 ust. 1 pkt 11 i 12 ustawy o PIT kwalifikuje do przychodów z kapitałów pieniężnych przychody z odpłatnego zbycia waluty wirtualnej (pkt 11) oraz przychody z pożyczek papierów wartościowych (pkt 12). </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lit. b</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Dodawany przepis art. 1f</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określają sposób rozumienia pojęcia „odpłatne zbycie waluty wirtualnej”. Przychód z odpłatnego zbycia waluty wirtualnej będzie powstawał w sytuacji, gdy za walutę wirtualną otrzymywane są „tradycyjne” środki płatnicze i wartości pieniężne lub następuje „zapłata” wirtualną walutą za określony towar, usługę lub prawo majątkowe (inne niż waluta wirtualna) albo uregulowanie nią innego zobowiązania Odpłatnym zbyciem waluty wirtualnej nie będzie zatem wymiana waluty wirtualnej na inną walutę wirtualną. Taka wymiana między walutami wirtualnymi nie będzie rodziła skutków w podatku dochodowym. </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Przepis 1g</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włącza do źródła przychodów z kapitałów pieniężnych przychody uzyskane z obrotu walutami wirtualnymi w ramach prowadzonej działalności gospodarczej, z wyjątkiem działalności, o której mowa w art. 2 ust. 1 pkt 12 ustawy o przeciwdziałaniu praniu pieniędzy oraz finansowaniu terroryzmu. Chodzi o podmioty prowadzących działalność gospodarczą polegającą na świadczeniu usług w zakresie:</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a) wymiany walut wirtualnych i środków płatniczych,</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b) wymiany walut wirtualnych na inne waluty wirtualne,</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c) pośrednictwa w wymianie, o której mowa w lit. a) lub b),</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 prowadzenia rachunków, czyli prowadzonych w formie elektronicznej zbiorów danych identyfikacyjnych zapewniających osobom uprawnionym możliwość korzystania z jednostek walut wirtualnych, w tym przeprowadzania transakcji ich wymiany.</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Przykładem są tu m.in. podmioty prowadzące giełdy walut wirtualnych, kantory walut wirtualnych. </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Dodawany przepis art. 17 ust. 1h reguluje natomiast sposób określania przychodu z pożyczki papierów wartościowych.</w:t>
      </w:r>
    </w:p>
    <w:p w:rsidR="00E67EA9" w:rsidRPr="00C93F78" w:rsidRDefault="006B0AA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79514F" w:rsidRPr="00C93F78">
        <w:rPr>
          <w:rFonts w:ascii="Times New Roman" w:eastAsia="Calibri" w:hAnsi="Times New Roman" w:cs="Times New Roman"/>
          <w:sz w:val="24"/>
          <w:szCs w:val="24"/>
        </w:rPr>
        <w:t>8</w:t>
      </w:r>
      <w:r w:rsidR="00D63BB9"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 zmiany dotyczące art. </w:t>
      </w:r>
      <w:r w:rsidR="00E67EA9" w:rsidRPr="00C93F78">
        <w:rPr>
          <w:rFonts w:ascii="Times New Roman" w:eastAsia="Calibri" w:hAnsi="Times New Roman" w:cs="Times New Roman"/>
          <w:sz w:val="24"/>
          <w:szCs w:val="24"/>
        </w:rPr>
        <w:t xml:space="preserve">19 </w:t>
      </w:r>
      <w:r w:rsidRPr="00C93F78">
        <w:rPr>
          <w:rFonts w:ascii="Times New Roman" w:eastAsia="Calibri" w:hAnsi="Times New Roman" w:cs="Times New Roman"/>
          <w:sz w:val="24"/>
          <w:szCs w:val="24"/>
        </w:rPr>
        <w:t xml:space="preserve">ustawy o PIT </w:t>
      </w:r>
    </w:p>
    <w:p w:rsidR="00E67EA9" w:rsidRPr="00C93F78" w:rsidRDefault="00E67EA9"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Zmiana ta została szerzej opisana w części uzasadnienia dotyczącej zmian w zakresie cen transferowych. </w:t>
      </w:r>
    </w:p>
    <w:p w:rsidR="00E67EA9" w:rsidRPr="00C93F78" w:rsidRDefault="00E67EA9"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9 - zmiany dotyczące art. 21 ustawy o PIT </w:t>
      </w:r>
    </w:p>
    <w:p w:rsidR="006B0AAF" w:rsidRPr="00C93F78" w:rsidRDefault="006B0AAF" w:rsidP="00C93F78">
      <w:pPr>
        <w:spacing w:before="120"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lit. a tiret drugie – zmiana dotycząca art. 21 ust. 1 pkt 130c</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ustawy o PIT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Przepis wprowadza zwolnienie podatkowe dla dochodów osób fizycznych będących nierezydentami</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z tytułu odsetek lub dyskonta od obligacji </w:t>
      </w:r>
      <w:r w:rsidR="00B42C34" w:rsidRPr="00C93F78">
        <w:rPr>
          <w:rFonts w:ascii="Times New Roman" w:eastAsia="Calibri" w:hAnsi="Times New Roman" w:cs="Times New Roman"/>
          <w:sz w:val="24"/>
          <w:szCs w:val="24"/>
        </w:rPr>
        <w:t>spełniających wskazane w ustawie kryteria</w:t>
      </w:r>
      <w:r w:rsidR="00FA1E2A" w:rsidRPr="00C93F78">
        <w:rPr>
          <w:rFonts w:ascii="Times New Roman" w:eastAsia="Calibri" w:hAnsi="Times New Roman" w:cs="Times New Roman"/>
          <w:sz w:val="24"/>
          <w:szCs w:val="24"/>
        </w:rPr>
        <w:t xml:space="preserve">, a dodatkowo po spełnieniu warunku szczególnego </w:t>
      </w:r>
      <w:r w:rsidR="00F14F81" w:rsidRPr="00C93F78">
        <w:rPr>
          <w:rFonts w:ascii="Times New Roman" w:eastAsia="Calibri" w:hAnsi="Times New Roman" w:cs="Times New Roman"/>
          <w:sz w:val="24"/>
          <w:szCs w:val="24"/>
        </w:rPr>
        <w:t>w przypadku</w:t>
      </w:r>
      <w:r w:rsidR="00FA1E2A" w:rsidRPr="00C93F78">
        <w:rPr>
          <w:rFonts w:ascii="Times New Roman" w:eastAsia="Calibri" w:hAnsi="Times New Roman" w:cs="Times New Roman"/>
          <w:sz w:val="24"/>
          <w:szCs w:val="24"/>
        </w:rPr>
        <w:t xml:space="preserve"> podmiotów powiązanych</w:t>
      </w:r>
      <w:r w:rsidRPr="00C93F78">
        <w:rPr>
          <w:rFonts w:ascii="Times New Roman" w:eastAsia="Calibri" w:hAnsi="Times New Roman" w:cs="Times New Roman"/>
          <w:sz w:val="24"/>
          <w:szCs w:val="24"/>
        </w:rPr>
        <w:t xml:space="preserve">. </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Przez pośrednie posiadanie obligacji, o którym mowa art. 21 ust. 1 pkt 130c ustawy o PIT, rozumieć należy sytuację, w której choć bezpośrednim posiadaczem obligacji jest podmiot niepowiązany, to przekazuje on kwoty z ich tytułu podmiotowi powiązanemu z emitentem (możliwe jest także występowanie więcej niż jednego pośredniego). Powyższy rezultat może wynikać z porozumień o charakterze tzw. back-to-back, gdzie niepowiązany podmiot otrzymuje od podmiotu powiązanego depozyt pieniężny gwarantujący potencjalną niewypłacalność emitenta i nabywa obligacje, a następnie przekazuje otrzymywane z ich tytułu odsetki do podmiotu, który złożył depozyt, zachowując dla siebie niewielką marżę (tzw. spread). Możliwe jest także zawarcie umowy instrumentu pochodnego (np. swap całkowitego dochodu – ang. total return swap), który odzwierciedla przepływy finansowe wynikające z danego papieru wartościowego (w tym wypadku z obligacji nabytej przez wystawcę swapa). W takich wypadkach za ekonomicznego właściciela obligacji uważać należy podmiot powiązany, choć formalnie nie jest on ich bezpośrednim posiadaczem.</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Dodatkowo należy podkreślić, iż w przypadku wystąpienia sytuacji transgranicznej określonej w 21 ust. 1 pkt 130c</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ustawy o PIT, ustawa wymaga, aby pomiędzy Rzecząpospolitą Polską, a właściwym państwem, obowiązywała umowa o unikaniu podwójnego opodatkowania, której </w:t>
      </w:r>
      <w:r w:rsidR="00231A34" w:rsidRPr="00C93F78">
        <w:rPr>
          <w:rFonts w:ascii="Times New Roman" w:eastAsia="Calibri" w:hAnsi="Times New Roman" w:cs="Times New Roman"/>
          <w:sz w:val="24"/>
          <w:szCs w:val="24"/>
        </w:rPr>
        <w:t xml:space="preserve">przepisy określają zasady </w:t>
      </w:r>
      <w:r w:rsidRPr="00C93F78">
        <w:rPr>
          <w:rFonts w:ascii="Times New Roman" w:eastAsia="Calibri" w:hAnsi="Times New Roman" w:cs="Times New Roman"/>
          <w:sz w:val="24"/>
          <w:szCs w:val="24"/>
        </w:rPr>
        <w:t>opodatkowania dochodów z dywidend, odsetek oraz należności licencyjnyc</w:t>
      </w:r>
      <w:r w:rsidR="009E08DE" w:rsidRPr="00C93F78">
        <w:rPr>
          <w:rFonts w:ascii="Times New Roman" w:eastAsia="Calibri" w:hAnsi="Times New Roman" w:cs="Times New Roman"/>
          <w:sz w:val="24"/>
          <w:szCs w:val="24"/>
        </w:rPr>
        <w:t>h, jeżeli do momentu wykupu obligacji objętych daną emisją podmioty powiązane</w:t>
      </w:r>
      <w:r w:rsidR="007E35DF" w:rsidRPr="00C93F78">
        <w:rPr>
          <w:rFonts w:ascii="Times New Roman" w:eastAsia="Calibri" w:hAnsi="Times New Roman" w:cs="Times New Roman"/>
          <w:sz w:val="24"/>
          <w:szCs w:val="24"/>
        </w:rPr>
        <w:t xml:space="preserve"> z emitentem</w:t>
      </w:r>
      <w:r w:rsidR="009E08DE" w:rsidRPr="00C93F78">
        <w:rPr>
          <w:rFonts w:ascii="Times New Roman" w:eastAsia="Calibri" w:hAnsi="Times New Roman" w:cs="Times New Roman"/>
          <w:sz w:val="24"/>
          <w:szCs w:val="24"/>
        </w:rPr>
        <w:t xml:space="preserve"> nie będą posiadały bezpośrednio lub pośrednio łącznie więcej niż 10% wartości tych obligacji </w:t>
      </w:r>
      <w:r w:rsidRPr="00C93F78">
        <w:rPr>
          <w:rFonts w:ascii="Times New Roman" w:eastAsia="Calibri" w:hAnsi="Times New Roman" w:cs="Times New Roman"/>
          <w:sz w:val="24"/>
          <w:szCs w:val="24"/>
        </w:rPr>
        <w:t>– określono więc minimalne standardy, które musi spełniać umowa o unikaniu podwójnego opodatkowania, aby dawała możliwość skorzystania z omawianego zwolnienia.</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lit. a tiret czwarte</w:t>
      </w:r>
      <w:r w:rsidRPr="00C93F78">
        <w:rPr>
          <w:rFonts w:ascii="Times New Roman" w:eastAsia="Calibri" w:hAnsi="Times New Roman" w:cs="Times New Roman"/>
          <w:sz w:val="24"/>
          <w:szCs w:val="24"/>
        </w:rPr>
        <w:t xml:space="preserve"> – dodawany pkt </w:t>
      </w:r>
      <w:r w:rsidR="00DF7E04" w:rsidRPr="00C93F78">
        <w:rPr>
          <w:rFonts w:ascii="Times New Roman" w:eastAsia="Calibri" w:hAnsi="Times New Roman" w:cs="Times New Roman"/>
          <w:sz w:val="24"/>
          <w:szCs w:val="24"/>
        </w:rPr>
        <w:t xml:space="preserve">146 </w:t>
      </w:r>
      <w:r w:rsidRPr="00C93F78">
        <w:rPr>
          <w:rFonts w:ascii="Times New Roman" w:eastAsia="Calibri" w:hAnsi="Times New Roman" w:cs="Times New Roman"/>
          <w:sz w:val="24"/>
          <w:szCs w:val="24"/>
        </w:rPr>
        <w:t>w art. 21 ust. 1 ustawy o PIT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Dodawany przepis wprowadza zwolnienie związane z realizacją umów offsetowych. W tym zakresie dotychczas zostało wydanych kilkanaście rozporządzeń Ministra Finansów o zaniechaniu poboru podatku dochodowego. Mając na uwadze ten fakt oraz charakter dochodów objętych zaniechaniem wydaje się uzasadnione wdrożenie go na stałe do systemu podatków dochodowych.</w:t>
      </w:r>
      <w:r w:rsidR="00840A3E" w:rsidRPr="00C93F78">
        <w:rPr>
          <w:rFonts w:ascii="Times New Roman" w:eastAsia="Calibri" w:hAnsi="Times New Roman" w:cs="Times New Roman"/>
          <w:sz w:val="24"/>
          <w:szCs w:val="24"/>
        </w:rPr>
        <w:t xml:space="preserve"> </w:t>
      </w:r>
      <w:r w:rsidR="00B449BA" w:rsidRPr="00C93F78">
        <w:rPr>
          <w:rFonts w:ascii="Times New Roman" w:eastAsia="Calibri" w:hAnsi="Times New Roman" w:cs="Times New Roman"/>
          <w:sz w:val="24"/>
          <w:szCs w:val="24"/>
        </w:rPr>
        <w:t>Zwolnieniem z opodatkowania objęte zostaną umowy, których wejście w życie oraz stwierdzenie wykonania wymaga zatwierdzenia przez Radę Ministrów (art. 29 ustawy z dnia 26 czerwca 2014 r. o niektórych umowach zawieranych w związku z realizacją zamówień o podstawowym znaczeniu dla bezpieczeństwa państwa).</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w:t>
      </w:r>
      <w:r w:rsidR="00DF7E04" w:rsidRPr="00C93F78">
        <w:rPr>
          <w:rFonts w:ascii="Times New Roman" w:eastAsia="Calibri" w:hAnsi="Times New Roman" w:cs="Times New Roman"/>
          <w:sz w:val="24"/>
          <w:szCs w:val="24"/>
          <w:u w:val="single"/>
        </w:rPr>
        <w:t>b</w:t>
      </w:r>
      <w:r w:rsidR="00DF7E04"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zmiana dotycząca ust. 37 i 38 w art. 21 ustawy o PIT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Dodawane przepisy mają związek ze zwolnieniem wskazanych w pkt 146 ust. 1 dotyczącym określonych dochodów wynikających z realizacji umów offsetowych. Wprowadzają dodatkowe warunki stosowania tego zwolnienia (wyłącznie na cele wojskowe) oraz poszerzają jego zakres.</w:t>
      </w:r>
      <w:r w:rsidR="00840A3E" w:rsidRPr="00C93F78">
        <w:rPr>
          <w:rFonts w:ascii="Times New Roman" w:eastAsia="Calibri" w:hAnsi="Times New Roman" w:cs="Times New Roman"/>
          <w:sz w:val="24"/>
          <w:szCs w:val="24"/>
        </w:rPr>
        <w:t xml:space="preserve"> </w:t>
      </w:r>
    </w:p>
    <w:p w:rsidR="006B0AAF" w:rsidRPr="00C93F78" w:rsidRDefault="006B0AA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79514F" w:rsidRPr="00C93F78">
        <w:rPr>
          <w:rFonts w:ascii="Times New Roman" w:eastAsia="Calibri" w:hAnsi="Times New Roman" w:cs="Times New Roman"/>
          <w:sz w:val="24"/>
          <w:szCs w:val="24"/>
        </w:rPr>
        <w:t>10</w:t>
      </w:r>
      <w:r w:rsidR="001C361D"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zmiany dotyczące art. 22 ustawy o PIT</w:t>
      </w:r>
    </w:p>
    <w:p w:rsidR="0079514F" w:rsidRPr="00C93F78" w:rsidRDefault="0079514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lit. a - z</w:t>
      </w:r>
      <w:r w:rsidRPr="00C93F78">
        <w:rPr>
          <w:rFonts w:ascii="Times New Roman" w:eastAsia="Calibri" w:hAnsi="Times New Roman" w:cs="Times New Roman"/>
          <w:sz w:val="24"/>
          <w:szCs w:val="24"/>
        </w:rPr>
        <w:t xml:space="preserve">miana ta została szerzej opisana w części uzasadnienia dotyczącej zmian w zakresie cen transferowych. </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w:t>
      </w:r>
      <w:r w:rsidR="0079514F" w:rsidRPr="00C93F78">
        <w:rPr>
          <w:rFonts w:ascii="Times New Roman" w:eastAsia="Calibri" w:hAnsi="Times New Roman" w:cs="Times New Roman"/>
          <w:sz w:val="24"/>
          <w:szCs w:val="24"/>
          <w:u w:val="single"/>
        </w:rPr>
        <w:t xml:space="preserve">b </w:t>
      </w:r>
      <w:r w:rsidRPr="00C93F78">
        <w:rPr>
          <w:rFonts w:ascii="Times New Roman" w:eastAsia="Calibri" w:hAnsi="Times New Roman" w:cs="Times New Roman"/>
          <w:sz w:val="24"/>
          <w:szCs w:val="24"/>
        </w:rPr>
        <w:t>- zmiana dotycząca art. 22 ust. 1n</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ust. 1n dotyczy zasad ustalenia wartości składników majątku wchodzących w skład położonego w Polsce zagranicznego zakładu podatnika będącego nierezydentem, w związku z ich przeniesieniem na terytorium RP. Zgodnie z projektem Polska w takim przypadku przyjmuje wartość danego składnika majątku ustaloną dla celów opodatkowania podatkiem równoważnym do podatku od niezrealizowanych zysków, o którym mowa w Rozdziale 6a, przez inne niż państwo członkowskie UE tj. państwo</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poprzedniej rezydencji podatnika lub poprzedniego miejsca położenia zakładu (pkt 1). </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hAnsi="Times New Roman" w:cs="Times New Roman"/>
          <w:sz w:val="24"/>
          <w:szCs w:val="24"/>
        </w:rPr>
        <w:t>W przypadku natomiast, gdy państwo członkowskie UE nie określi wartości przenoszonych składników majątku albo wartość ta będzie zwolniona z podatku w tym państwie, jak również w przypadku przeniesienia składników majątkowych z państwa trzeciego – wartość przeniesionych składników majątku ustalać się będzie w wysokości przyjętej dla celów podatkowych i wynikającej z ksiąg podatkowych podatnika, niezaliczonej do kosztów i nie wyższej od wartości rynkowej tych składników majątku (pkt 2)</w:t>
      </w:r>
      <w:r w:rsidRPr="00C93F78">
        <w:rPr>
          <w:rFonts w:ascii="Times New Roman" w:eastAsia="Calibri" w:hAnsi="Times New Roman" w:cs="Times New Roman"/>
          <w:sz w:val="24"/>
          <w:szCs w:val="24"/>
        </w:rPr>
        <w: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w:t>
      </w:r>
      <w:r w:rsidR="0079514F" w:rsidRPr="00C93F78">
        <w:rPr>
          <w:rFonts w:ascii="Times New Roman" w:eastAsia="Calibri" w:hAnsi="Times New Roman" w:cs="Times New Roman"/>
          <w:sz w:val="24"/>
          <w:szCs w:val="24"/>
          <w:u w:val="single"/>
        </w:rPr>
        <w:t>c</w:t>
      </w:r>
      <w:r w:rsidR="0079514F"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 zmiana polegająca na dodaniu ust. 1na do art. 22 ustawy o PIT </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hAnsi="Times New Roman" w:cs="Times New Roman"/>
          <w:sz w:val="24"/>
          <w:szCs w:val="24"/>
        </w:rPr>
        <w:t>Dodany ust. 1na przewiduje odpowiednie stosowanie zasad wynikających z ust. 1n art. 22 do polskiego rezydenta, który przeniósł na terytorium RP (pkt 1) składnik majątku swojego zagranicznego zakładu (również w wyniku likwidacji tego zakładu) lub (pkt 2) działalności gospodarczej prowadzonej za granicą w związku ze zmianą rezydencji podatkowej.</w:t>
      </w:r>
    </w:p>
    <w:p w:rsidR="0079514F" w:rsidRPr="00C93F78" w:rsidRDefault="0079514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lit. d - zmiana polegająca na zmianie brzmienia ust. 7e ustawy o PIT – zmiana ta została szerzej opisana w części uzasadnienia dotyczącej zmian w zakresie przepisów dotyczących cen transferowych.</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w:t>
      </w:r>
      <w:r w:rsidR="0079514F" w:rsidRPr="00C93F78">
        <w:rPr>
          <w:rFonts w:ascii="Times New Roman" w:eastAsia="Calibri" w:hAnsi="Times New Roman" w:cs="Times New Roman"/>
          <w:sz w:val="24"/>
          <w:szCs w:val="24"/>
          <w:u w:val="single"/>
        </w:rPr>
        <w:t>e</w:t>
      </w:r>
      <w:r w:rsidR="0079514F"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zmiana polegająca na dodaniu ust. 7g</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do art. 22 ustawy o PIT.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Projektowany</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ust. 7h przewiduje odpowiednie stosowanie przepisów dotyczących korekty kosztu uzyskania przychodu w sytuacji orzeczenia korekty wartości rynkowej składnika majątku przez organ podatkowy.</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Zmiana ma charakter dostosowujący do regulacji wprowadzającej do ustawy PIT nowy Rozdział 6a dotyczący podatku od dochodów z niezrealizowanych zysków.</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79514F" w:rsidRPr="00C93F78">
        <w:rPr>
          <w:rFonts w:ascii="Times New Roman" w:hAnsi="Times New Roman" w:cs="Times New Roman"/>
          <w:sz w:val="24"/>
          <w:szCs w:val="24"/>
          <w:u w:val="single"/>
        </w:rPr>
        <w:t>f</w:t>
      </w:r>
      <w:r w:rsidR="0079514F" w:rsidRPr="00C93F78">
        <w:rPr>
          <w:rFonts w:ascii="Times New Roman" w:hAnsi="Times New Roman" w:cs="Times New Roman"/>
          <w:sz w:val="24"/>
          <w:szCs w:val="24"/>
        </w:rPr>
        <w:t xml:space="preserve"> </w:t>
      </w:r>
      <w:r w:rsidRPr="00C93F78">
        <w:rPr>
          <w:rFonts w:ascii="Times New Roman" w:hAnsi="Times New Roman" w:cs="Times New Roman"/>
          <w:sz w:val="24"/>
          <w:szCs w:val="24"/>
        </w:rPr>
        <w:t>- zmiana polegająca na dodaniu ust. 14–16 w art. 22 ustawy o PIT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dodawanych ustępach określono, co stanowi koszt uzyskania przychodów</w:t>
      </w:r>
      <w:r w:rsidRPr="00C93F78">
        <w:rPr>
          <w:rFonts w:ascii="Times New Roman" w:hAnsi="Times New Roman" w:cs="Times New Roman"/>
          <w:b/>
          <w:sz w:val="24"/>
          <w:szCs w:val="24"/>
        </w:rPr>
        <w:t xml:space="preserve"> </w:t>
      </w:r>
      <w:r w:rsidRPr="00C93F78">
        <w:rPr>
          <w:rFonts w:ascii="Times New Roman" w:hAnsi="Times New Roman" w:cs="Times New Roman"/>
          <w:sz w:val="24"/>
          <w:szCs w:val="24"/>
        </w:rPr>
        <w:t>z odpłatnego zbycia waluty wirtualnej oraz zasady potrącania tychże kosztów.</w:t>
      </w:r>
    </w:p>
    <w:p w:rsidR="006B0AAF" w:rsidRPr="00C93F78" w:rsidRDefault="006B0AA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79514F" w:rsidRPr="00C93F78">
        <w:rPr>
          <w:rFonts w:ascii="Times New Roman" w:eastAsia="Calibri" w:hAnsi="Times New Roman" w:cs="Times New Roman"/>
          <w:sz w:val="24"/>
          <w:szCs w:val="24"/>
        </w:rPr>
        <w:t xml:space="preserve">11 </w:t>
      </w:r>
      <w:r w:rsidRPr="00C93F78">
        <w:rPr>
          <w:rFonts w:ascii="Times New Roman" w:eastAsia="Calibri" w:hAnsi="Times New Roman" w:cs="Times New Roman"/>
          <w:sz w:val="24"/>
          <w:szCs w:val="24"/>
        </w:rPr>
        <w:t xml:space="preserve">– dodawany pkt 1a w ust. 2 art. 22b ustawy o PIT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dotyczy amortyzacji wartości firmy ujawnionej w związku z przeniesieniem do Polski przedsiębiorstwa lub jego zorganizowanej części z innego państwa UE, jeśli podlegała ona opodatkowaniu podatkiem równoważnym do podatku od niezrealizowanych zysków.</w:t>
      </w:r>
    </w:p>
    <w:p w:rsidR="006B0AAF" w:rsidRPr="00C93F78" w:rsidRDefault="006B0AA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79514F" w:rsidRPr="00C93F78">
        <w:rPr>
          <w:rFonts w:ascii="Times New Roman" w:eastAsia="Calibri" w:hAnsi="Times New Roman" w:cs="Times New Roman"/>
          <w:sz w:val="24"/>
          <w:szCs w:val="24"/>
        </w:rPr>
        <w:t xml:space="preserve">12 </w:t>
      </w:r>
      <w:r w:rsidRPr="00C93F78">
        <w:rPr>
          <w:rFonts w:ascii="Times New Roman" w:eastAsia="Calibri" w:hAnsi="Times New Roman" w:cs="Times New Roman"/>
          <w:sz w:val="24"/>
          <w:szCs w:val="24"/>
        </w:rPr>
        <w:t xml:space="preserve">– zmiana dotycząca pkt 4 w art. 22c ustawy o PIT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Zmiana ma charakter dostosowawczy i polega na dodaniu odesłania do nowego pkt 1a w art. 22b ust. 2 ustawy o PIT. </w:t>
      </w:r>
    </w:p>
    <w:p w:rsidR="006B0AAF" w:rsidRPr="00C93F78" w:rsidRDefault="006B0AA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79514F" w:rsidRPr="00C93F78">
        <w:rPr>
          <w:rFonts w:ascii="Times New Roman" w:eastAsia="Calibri" w:hAnsi="Times New Roman" w:cs="Times New Roman"/>
          <w:sz w:val="24"/>
          <w:szCs w:val="24"/>
        </w:rPr>
        <w:t xml:space="preserve">13 </w:t>
      </w:r>
      <w:r w:rsidRPr="00C93F78">
        <w:rPr>
          <w:rFonts w:ascii="Times New Roman" w:eastAsia="Calibri" w:hAnsi="Times New Roman" w:cs="Times New Roman"/>
          <w:sz w:val="24"/>
          <w:szCs w:val="24"/>
        </w:rPr>
        <w:t xml:space="preserve">– zmiany dotycząca art. 22g ust. 1 ustawy o PIT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w:t>
      </w:r>
      <w:r w:rsidRPr="00C93F78">
        <w:rPr>
          <w:rFonts w:ascii="Times New Roman" w:hAnsi="Times New Roman" w:cs="Times New Roman"/>
          <w:sz w:val="24"/>
          <w:szCs w:val="24"/>
        </w:rPr>
        <w:t xml:space="preserve"> - zmiana w zakresie zasad ustalania wartości początkowej środków trwałych oraz wartości niematerialnych i prawnych dla potrzeb dokonywania odpisów amortyzacyjnych, ma charakter dostosowujący do regulacji wprowadzającej do ustawy PIT nowy rozdział 6a dotyczący podatku od dochodów z niezrealizowanych zysków.</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b</w:t>
      </w:r>
      <w:r w:rsidRPr="00C93F78">
        <w:rPr>
          <w:rFonts w:ascii="Times New Roman" w:hAnsi="Times New Roman" w:cs="Times New Roman"/>
          <w:sz w:val="24"/>
          <w:szCs w:val="24"/>
        </w:rPr>
        <w:t xml:space="preserve"> - dodawany pkt 8 w art. 22g ust. 1 dotyczy ustalania wartości początkowej środków trwałych oraz wartości niematerialnych i prawnych dla potrzeb dokonywania odpisów amortyzacyjnych, w przypadku podatnika, który przeniósł do Polski składnik majątku swojego zagranicznego zakładu (również w wyniku likwidacji tego zakładu) lub działalności gospodarczej prowadzonej za granicą w związku ze zmianą rezydencji podatkowej.</w:t>
      </w:r>
    </w:p>
    <w:p w:rsidR="006B0AAF" w:rsidRPr="00C93F78" w:rsidRDefault="006B0AA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1C361D" w:rsidRPr="00C93F78">
        <w:rPr>
          <w:rFonts w:ascii="Times New Roman" w:eastAsia="Calibri" w:hAnsi="Times New Roman" w:cs="Times New Roman"/>
          <w:sz w:val="24"/>
          <w:szCs w:val="24"/>
        </w:rPr>
        <w:t>1</w:t>
      </w:r>
      <w:r w:rsidR="0079514F" w:rsidRPr="00C93F78">
        <w:rPr>
          <w:rFonts w:ascii="Times New Roman" w:eastAsia="Calibri" w:hAnsi="Times New Roman" w:cs="Times New Roman"/>
          <w:sz w:val="24"/>
          <w:szCs w:val="24"/>
        </w:rPr>
        <w:t>4</w:t>
      </w:r>
      <w:r w:rsidRPr="00C93F78">
        <w:rPr>
          <w:rFonts w:ascii="Times New Roman" w:eastAsia="Calibri" w:hAnsi="Times New Roman" w:cs="Times New Roman"/>
          <w:sz w:val="24"/>
          <w:szCs w:val="24"/>
        </w:rPr>
        <w:t xml:space="preserve"> - zmiany dotyczące art. 23 ustawy o PIT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a tiret </w:t>
      </w:r>
      <w:r w:rsidR="007E7F49" w:rsidRPr="00C93F78">
        <w:rPr>
          <w:rFonts w:ascii="Times New Roman" w:eastAsia="Calibri" w:hAnsi="Times New Roman" w:cs="Times New Roman"/>
          <w:sz w:val="24"/>
          <w:szCs w:val="24"/>
          <w:u w:val="single"/>
        </w:rPr>
        <w:t>pierwsze</w:t>
      </w:r>
      <w:r w:rsidR="007E7F49"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zmiana polegająca na dodaniu pkt 6a</w:t>
      </w:r>
      <w:r w:rsidRPr="00C93F78">
        <w:rPr>
          <w:rFonts w:ascii="Times New Roman" w:hAnsi="Times New Roman"/>
          <w:sz w:val="24"/>
          <w:szCs w:val="24"/>
        </w:rPr>
        <w:t xml:space="preserve"> </w:t>
      </w:r>
      <w:r w:rsidRPr="00C93F78">
        <w:rPr>
          <w:rFonts w:ascii="Times New Roman" w:eastAsia="Calibri" w:hAnsi="Times New Roman" w:cs="Times New Roman"/>
          <w:sz w:val="24"/>
          <w:szCs w:val="24"/>
        </w:rPr>
        <w:t>w ust. 1 art. 23 ustawy o PIT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Dodany do art. 23 ust. 1</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określającego wydatki nieuznawane za koszty uzyskania przychodu, nowy pkt 6a dotyczy strat w środkach trwałych oraz wartościach niematerialnych i prawnych, które zostały przeniesione poza terytorium RP w sytuacjach wskazanych w art. </w:t>
      </w:r>
      <w:r w:rsidR="000F7E1F" w:rsidRPr="00C93F78">
        <w:rPr>
          <w:rFonts w:ascii="Times New Roman" w:hAnsi="Times New Roman" w:cs="Times New Roman"/>
          <w:sz w:val="24"/>
          <w:szCs w:val="24"/>
        </w:rPr>
        <w:t xml:space="preserve">30h </w:t>
      </w:r>
      <w:r w:rsidRPr="00C93F78">
        <w:rPr>
          <w:rFonts w:ascii="Times New Roman" w:hAnsi="Times New Roman" w:cs="Times New Roman"/>
          <w:sz w:val="24"/>
          <w:szCs w:val="24"/>
        </w:rPr>
        <w:t>ustawy PIT. Nierozliczona w kosztach z działalności gospodarczej cena nabycia lub wytworzenia będzie podlegać rozliczeniu przy określaniu dochodu z niezrealizowanych zysków. Zmiana ma charakter dostosowujący do regulacji wprowadzającej do ustawy PIT nowy rozdział 6a dotyczący podatku od dochodów z niezrealizowanych zysków.</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a tiret </w:t>
      </w:r>
      <w:r w:rsidR="007E7F49" w:rsidRPr="00C93F78">
        <w:rPr>
          <w:rFonts w:ascii="Times New Roman" w:eastAsia="Calibri" w:hAnsi="Times New Roman" w:cs="Times New Roman"/>
          <w:sz w:val="24"/>
          <w:szCs w:val="24"/>
          <w:u w:val="single"/>
        </w:rPr>
        <w:t>drugie</w:t>
      </w:r>
      <w:r w:rsidR="007E7F49"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dodawane pkt 34a i 34b w ust. 1 w art. 23 ustawy o PIT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Przepis pkt 34a wskazuje, że wykazana strata przy zbyciu wierzytelności, w tym w ramach zbycia pakietu wierzytelności, w części niepokrytej spłatą nabytych wierzytelności nie jest kosztem uzyskania przychodów. </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Dodawany pkt 34b wyklucza z kosztów uzyskania przychodów wydatki na nabycie kolejnych wierzytelności, jeśli wierzytelność ta uprzednio została zbyta przez podatnika lub spółkę niebędąca osobą prawną, której podatnik jest wspólnikiem – w części przekraczającej uzyskany przychód przez podatnika z tego uprzedniego zbycia.</w:t>
      </w:r>
      <w:r w:rsidR="00840A3E" w:rsidRPr="00C93F78">
        <w:rPr>
          <w:rFonts w:ascii="Times New Roman" w:eastAsia="Calibri" w:hAnsi="Times New Roman" w:cs="Times New Roman"/>
          <w:sz w:val="24"/>
          <w:szCs w:val="24"/>
        </w:rPr>
        <w:t xml:space="preserve"> </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lit.a tiret </w:t>
      </w:r>
      <w:r w:rsidR="007E7F49" w:rsidRPr="00C93F78">
        <w:rPr>
          <w:rFonts w:ascii="Times New Roman" w:eastAsia="Calibri" w:hAnsi="Times New Roman" w:cs="Times New Roman"/>
          <w:sz w:val="24"/>
          <w:szCs w:val="24"/>
          <w:u w:val="single"/>
        </w:rPr>
        <w:t>trzecie</w:t>
      </w:r>
      <w:r w:rsidR="007E7F49"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dodawany pkt 38d w ust. 1 w art. 23 ustawy o PIT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hAnsi="Times New Roman" w:cs="Times New Roman"/>
          <w:sz w:val="24"/>
          <w:szCs w:val="24"/>
        </w:rPr>
        <w:t>Przepis wyłącza z kosztów uzyskania przychodów wydatki na nabycie papierów wartościowych przekazanych w drodze udzielonej pożyczki papierów wartościowych. Wydatki z takie będą kosztem uzyskania przychodu z odpłatnego zbycia zwróconych w tej pożyczce papierów wartościowych.</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a tiret </w:t>
      </w:r>
      <w:r w:rsidR="007E7F49" w:rsidRPr="00C93F78">
        <w:rPr>
          <w:rFonts w:ascii="Times New Roman" w:eastAsia="Calibri" w:hAnsi="Times New Roman" w:cs="Times New Roman"/>
          <w:sz w:val="24"/>
          <w:szCs w:val="24"/>
          <w:u w:val="single"/>
        </w:rPr>
        <w:t>czwarte</w:t>
      </w:r>
      <w:r w:rsidR="007E7F49"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zmiana dotycząca ust. 1 pkt</w:t>
      </w:r>
      <w:r w:rsidR="00214B8A" w:rsidRPr="00C93F78">
        <w:rPr>
          <w:rFonts w:ascii="Times New Roman" w:eastAsia="Calibri" w:hAnsi="Times New Roman" w:cs="Times New Roman"/>
          <w:sz w:val="24"/>
          <w:szCs w:val="24"/>
        </w:rPr>
        <w:t xml:space="preserve"> </w:t>
      </w:r>
      <w:r w:rsidR="00DF7E04" w:rsidRPr="00C93F78">
        <w:rPr>
          <w:rFonts w:ascii="Times New Roman" w:eastAsia="Calibri" w:hAnsi="Times New Roman" w:cs="Times New Roman"/>
          <w:sz w:val="24"/>
          <w:szCs w:val="24"/>
        </w:rPr>
        <w:t xml:space="preserve">66 </w:t>
      </w:r>
      <w:r w:rsidRPr="00C93F78">
        <w:rPr>
          <w:rFonts w:ascii="Times New Roman" w:eastAsia="Calibri" w:hAnsi="Times New Roman" w:cs="Times New Roman"/>
          <w:sz w:val="24"/>
          <w:szCs w:val="24"/>
        </w:rPr>
        <w:t>ustawy o PIT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Dodany w pkt </w:t>
      </w:r>
      <w:r w:rsidR="00DF7E04" w:rsidRPr="00C93F78">
        <w:rPr>
          <w:rFonts w:ascii="Times New Roman" w:eastAsia="Calibri" w:hAnsi="Times New Roman" w:cs="Times New Roman"/>
          <w:sz w:val="24"/>
          <w:szCs w:val="24"/>
        </w:rPr>
        <w:t xml:space="preserve">66 </w:t>
      </w:r>
      <w:r w:rsidRPr="00C93F78">
        <w:rPr>
          <w:rFonts w:ascii="Times New Roman" w:eastAsia="Calibri" w:hAnsi="Times New Roman" w:cs="Times New Roman"/>
          <w:sz w:val="24"/>
          <w:szCs w:val="24"/>
        </w:rPr>
        <w:t>przepis wyłącza z kosztów uzyskania przychodów ewentualnie poniesione wydatki związane z wymianą waluty wirtualnej na inną walutę wirtualną (np. opłaty, prowizje).</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w:t>
      </w:r>
      <w:r w:rsidR="007E7F49" w:rsidRPr="00C93F78">
        <w:rPr>
          <w:rFonts w:ascii="Times New Roman" w:eastAsia="Calibri" w:hAnsi="Times New Roman" w:cs="Times New Roman"/>
          <w:sz w:val="24"/>
          <w:szCs w:val="24"/>
          <w:u w:val="single"/>
        </w:rPr>
        <w:t>b</w:t>
      </w:r>
      <w:r w:rsidR="007E7F49"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zmiana dotycząca art. 23 ust. 3ea i ust. 3f ustawy o PIT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Celem uniknięcia wątpliwości interpretacyjnych dotyczących sposobu ustalania wysokości „wydatków na nabycie lub objęcie” udziałów w spółce kapitałowej powstałej z przekształcenia spółki osobowej do której podatnik wniósł wkłady niepieniężne, w dodanym w art. 23 nowym ust. 3ea wskazane zostało, iż wydatki takie określać się będzie na podstawie poniesionych przez podatnika wydatków na nabycie lub wytworzenie składników majątku stanowiących przedmiot takiego wkładu, niezaliczonych do kosztów w jakiejkolwiek formie.</w:t>
      </w:r>
    </w:p>
    <w:p w:rsidR="006B0AAF" w:rsidRPr="00C93F78" w:rsidRDefault="006B0AA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79514F" w:rsidRPr="00C93F78">
        <w:rPr>
          <w:rFonts w:ascii="Times New Roman" w:eastAsia="Calibri" w:hAnsi="Times New Roman" w:cs="Times New Roman"/>
          <w:sz w:val="24"/>
          <w:szCs w:val="24"/>
        </w:rPr>
        <w:t xml:space="preserve">15 </w:t>
      </w:r>
      <w:r w:rsidRPr="00C93F78">
        <w:rPr>
          <w:rFonts w:ascii="Times New Roman" w:eastAsia="Calibri" w:hAnsi="Times New Roman" w:cs="Times New Roman"/>
          <w:sz w:val="24"/>
          <w:szCs w:val="24"/>
        </w:rPr>
        <w:t xml:space="preserve">- zmiana dotycząca art. 23b ust. 2 pkt 1 ustawy o PIT </w:t>
      </w:r>
    </w:p>
    <w:p w:rsidR="006B0AAF" w:rsidRPr="00C93F78" w:rsidRDefault="006B0AAF" w:rsidP="00C93F78">
      <w:pPr>
        <w:spacing w:beforeLines="120" w:before="288" w:after="120" w:line="360" w:lineRule="auto"/>
        <w:jc w:val="both"/>
        <w:rPr>
          <w:rFonts w:ascii="Times New Roman" w:hAnsi="Times New Roman" w:cs="Times New Roman"/>
          <w:sz w:val="24"/>
          <w:szCs w:val="24"/>
        </w:rPr>
      </w:pPr>
      <w:r w:rsidRPr="00C93F78">
        <w:rPr>
          <w:rFonts w:ascii="Times New Roman" w:eastAsia="Calibri" w:hAnsi="Times New Roman" w:cs="Times New Roman"/>
          <w:sz w:val="24"/>
          <w:szCs w:val="24"/>
        </w:rPr>
        <w:t xml:space="preserve">Zmiana o charakterze porządkowym związana ze zdefiniowaniem w słowniczku ustawy o podatku dochodowym od osób </w:t>
      </w:r>
      <w:r w:rsidRPr="00C93F78">
        <w:rPr>
          <w:rFonts w:ascii="Times New Roman" w:hAnsi="Times New Roman" w:cs="Times New Roman"/>
          <w:sz w:val="24"/>
          <w:szCs w:val="24"/>
        </w:rPr>
        <w:t>prawnych.</w:t>
      </w:r>
    </w:p>
    <w:p w:rsidR="0079514F" w:rsidRPr="00C93F78" w:rsidRDefault="0079514F" w:rsidP="00C93F78">
      <w:pPr>
        <w:pStyle w:val="Akapitzlist"/>
        <w:numPr>
          <w:ilvl w:val="0"/>
          <w:numId w:val="77"/>
        </w:numPr>
        <w:spacing w:before="120" w:after="120" w:line="360" w:lineRule="auto"/>
        <w:ind w:left="714" w:hanging="357"/>
        <w:jc w:val="both"/>
        <w:rPr>
          <w:rFonts w:ascii="Times New Roman" w:hAnsi="Times New Roman" w:cs="Times New Roman"/>
          <w:sz w:val="24"/>
          <w:szCs w:val="24"/>
        </w:rPr>
      </w:pPr>
      <w:r w:rsidRPr="00C93F78">
        <w:rPr>
          <w:rFonts w:ascii="Times New Roman" w:hAnsi="Times New Roman" w:cs="Times New Roman"/>
          <w:sz w:val="24"/>
          <w:szCs w:val="24"/>
        </w:rPr>
        <w:t xml:space="preserve">pkt 16 – po rozdziale 4a dodaje się rozdział 4b – dodawany rozdział dotyczy problematyki cen transferowych </w:t>
      </w:r>
    </w:p>
    <w:p w:rsidR="006B0AAF" w:rsidRPr="00C93F78" w:rsidRDefault="006B0AAF" w:rsidP="00C93F78">
      <w:pPr>
        <w:pStyle w:val="Akapitzlist"/>
        <w:numPr>
          <w:ilvl w:val="0"/>
          <w:numId w:val="77"/>
        </w:numPr>
        <w:spacing w:before="120" w:after="120" w:line="360" w:lineRule="auto"/>
        <w:ind w:left="714" w:hanging="357"/>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79514F" w:rsidRPr="00C93F78">
        <w:rPr>
          <w:rFonts w:ascii="Times New Roman" w:hAnsi="Times New Roman" w:cs="Times New Roman"/>
          <w:sz w:val="24"/>
          <w:szCs w:val="24"/>
        </w:rPr>
        <w:t xml:space="preserve">17 </w:t>
      </w:r>
      <w:r w:rsidRPr="00C93F78">
        <w:rPr>
          <w:rFonts w:ascii="Times New Roman" w:hAnsi="Times New Roman" w:cs="Times New Roman"/>
          <w:sz w:val="24"/>
          <w:szCs w:val="24"/>
        </w:rPr>
        <w:t>- dodawany art. 24ba w ustawie o PIT</w:t>
      </w:r>
    </w:p>
    <w:p w:rsidR="006B0AAF" w:rsidRPr="00C93F78" w:rsidRDefault="006B0AAF" w:rsidP="00C93F78">
      <w:pPr>
        <w:spacing w:beforeLines="120" w:before="288"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Dodawany art. 24ba wprowadza obowiązek wyodrębnienia w prowadzonej księdze rachunkowej, ewidencji środków trwałych oraz wartości niematerialnych i prawnych albo wykazie środków trwałych oraz wartości niematerialnych i prawnych, przez osoby obowiązane do ich prowadzenia, składników majątku przeniesionych poza terytorium RP i podlegających opodatkowaniu na podstawie podatkiem od dochodów niezrealizowanych zysków. Zmiana ma charakter dostosowujący do regulacji wprowadzającej do ustawy PIT nowy rozdział 6a dotyczący podatku od dochodów z niezrealizowanych zysków.</w:t>
      </w:r>
    </w:p>
    <w:p w:rsidR="006B0AAF" w:rsidRPr="00C93F78" w:rsidRDefault="006B0AAF" w:rsidP="00C93F78">
      <w:pPr>
        <w:pStyle w:val="Akapitzlist"/>
        <w:numPr>
          <w:ilvl w:val="0"/>
          <w:numId w:val="1"/>
        </w:numPr>
        <w:spacing w:before="120" w:after="120" w:line="360" w:lineRule="auto"/>
        <w:ind w:left="777" w:hanging="357"/>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79514F" w:rsidRPr="00C93F78">
        <w:rPr>
          <w:rFonts w:ascii="Times New Roman" w:eastAsia="Calibri" w:hAnsi="Times New Roman" w:cs="Times New Roman"/>
          <w:sz w:val="24"/>
          <w:szCs w:val="24"/>
        </w:rPr>
        <w:t xml:space="preserve">18 </w:t>
      </w:r>
      <w:r w:rsidRPr="00C93F78">
        <w:rPr>
          <w:rFonts w:ascii="Times New Roman" w:eastAsia="Calibri" w:hAnsi="Times New Roman" w:cs="Times New Roman"/>
          <w:sz w:val="24"/>
          <w:szCs w:val="24"/>
        </w:rPr>
        <w:t>- dodawany art. 24e w ustawie o PIT</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Proponuje się dodanie artykułu 24e, którego celem jest ułatwienie rozliczeń podatkowych przedsiębiorstw obracających wierzytelnościami (skupujących wierzytelności w celu ich windykacji lub dalszej odsprzedaży). Art. 24e odnosi się do co najmniej 100 wierzytelności definiując takie nabycie jako nabycie „pakietu wierzytelności”. Uproszczenie polega na braku konieczności „proporcjonalnego” rozliczania uśrednionych dla każdej wierzytelności wchodzącej w skład „pakietu” kosztów jej nabycia. Dany pakiet wierzytelności traktowany byłby jednorodnie, tak jak pojedynczy składnik majątku objęty jednym kosztem nabycia. Koszty te będą rozliczane „wprost” z osiąganymi przychodami z windykowanych wierzytelności. Koszty te będą potrącane w roku podatkowym, w którym osiągnięte zostały odpowiadające im przychodu ze spłaty wierzytelności w pakiecie, bez względu na to z której wierzytelności następowałaby spłata. Nadwyżka spłat wierzytelności w pakiecie nad ceną ich nabycia stanowiłaby dochód podlegający opodatkowaniu. Należy zaznaczyć, iż wykazana strata z pakietu wierzytelności nie stanowiłaby kosztu podatkowego. Tą ostatnią kwestię reguluje projektowany do art. 23 ust. 1 pkt 34b ustawy o PIT. </w:t>
      </w:r>
    </w:p>
    <w:p w:rsidR="006B0AAF" w:rsidRPr="00C93F78" w:rsidRDefault="006B0AAF"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Odejście o „proporcjonalnego” rozliczania kosztów nabycia wierzytelności będzie stosowane również do nabycia pojedynczej wierzytelności lub grupy pojedynczych wierzytelności (tj. takich w których można ustalić cenę nabycia określonej wierzytelności). </w:t>
      </w:r>
    </w:p>
    <w:p w:rsidR="0079514F" w:rsidRPr="00C93F78" w:rsidRDefault="0079514F" w:rsidP="00C93F78">
      <w:pPr>
        <w:pStyle w:val="Akapitzlist"/>
        <w:numPr>
          <w:ilvl w:val="0"/>
          <w:numId w:val="1"/>
        </w:num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pkt 19 - dodawany art. 25 i art. 25a w ustawie o PIT</w:t>
      </w:r>
      <w:r w:rsidR="00A12C0A" w:rsidRPr="00C93F78">
        <w:rPr>
          <w:rFonts w:ascii="Times New Roman" w:eastAsia="Calibri" w:hAnsi="Times New Roman" w:cs="Times New Roman"/>
          <w:sz w:val="24"/>
          <w:szCs w:val="24"/>
        </w:rPr>
        <w:t xml:space="preserve"> – zmiana została opisana szerzej w części uzasadnienia dotyczącej cen transferowych.</w:t>
      </w:r>
    </w:p>
    <w:p w:rsidR="006B0AAF" w:rsidRPr="00C93F78" w:rsidRDefault="006B0AAF"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79514F" w:rsidRPr="00C93F78">
        <w:rPr>
          <w:rFonts w:ascii="Times New Roman" w:eastAsia="Calibri" w:hAnsi="Times New Roman" w:cs="Times New Roman"/>
          <w:sz w:val="24"/>
          <w:szCs w:val="24"/>
        </w:rPr>
        <w:t xml:space="preserve">20 </w:t>
      </w:r>
      <w:r w:rsidRPr="00C93F78">
        <w:rPr>
          <w:rFonts w:ascii="Times New Roman" w:eastAsia="Calibri" w:hAnsi="Times New Roman" w:cs="Times New Roman"/>
          <w:sz w:val="24"/>
          <w:szCs w:val="24"/>
        </w:rPr>
        <w:t>- zmiana dotycząca art. 26 ust. 1 ustawy o PIT</w:t>
      </w:r>
      <w:r w:rsidR="009113E8" w:rsidRPr="00C93F78">
        <w:rPr>
          <w:rFonts w:ascii="Times New Roman" w:eastAsia="Calibri" w:hAnsi="Times New Roman" w:cs="Times New Roman"/>
          <w:sz w:val="24"/>
          <w:szCs w:val="24"/>
        </w:rPr>
        <w: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Zmiana o charakterze porządkowym związana z dodaniem art. </w:t>
      </w:r>
      <w:r w:rsidR="00E84BB3" w:rsidRPr="00C93F78">
        <w:rPr>
          <w:rFonts w:ascii="Times New Roman" w:eastAsia="Calibri" w:hAnsi="Times New Roman" w:cs="Times New Roman"/>
          <w:sz w:val="24"/>
          <w:szCs w:val="24"/>
        </w:rPr>
        <w:t xml:space="preserve">30j </w:t>
      </w:r>
      <w:r w:rsidRPr="00C93F78">
        <w:rPr>
          <w:rFonts w:ascii="Times New Roman" w:eastAsia="Calibri" w:hAnsi="Times New Roman" w:cs="Times New Roman"/>
          <w:sz w:val="24"/>
          <w:szCs w:val="24"/>
        </w:rPr>
        <w:t>regulującego opodatkowanie dochodów z niezrealizowanych zysków.</w:t>
      </w:r>
    </w:p>
    <w:p w:rsidR="008700F9" w:rsidRPr="00C93F78" w:rsidRDefault="008700F9" w:rsidP="00C93F78">
      <w:pPr>
        <w:pStyle w:val="Akapitzlist"/>
        <w:numPr>
          <w:ilvl w:val="0"/>
          <w:numId w:val="76"/>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pkt 21 oraz 22 – zmiana dotycząca art. 26e ust 2 oraz 27g ust 3 ustawy o PIT - zmiana została opisana szerzej w części uzasadnienia dotyczącej cen transferowych.</w:t>
      </w:r>
    </w:p>
    <w:p w:rsidR="005067DB" w:rsidRPr="00C93F78" w:rsidRDefault="005067DB"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8700F9" w:rsidRPr="00C93F78">
        <w:rPr>
          <w:rFonts w:ascii="Times New Roman" w:eastAsia="Calibri" w:hAnsi="Times New Roman" w:cs="Times New Roman"/>
          <w:sz w:val="24"/>
          <w:szCs w:val="24"/>
        </w:rPr>
        <w:t xml:space="preserve">23 </w:t>
      </w:r>
      <w:r w:rsidRPr="00C93F78">
        <w:rPr>
          <w:rFonts w:ascii="Times New Roman" w:eastAsia="Calibri" w:hAnsi="Times New Roman" w:cs="Times New Roman"/>
          <w:sz w:val="24"/>
          <w:szCs w:val="24"/>
        </w:rPr>
        <w:t xml:space="preserve">– </w:t>
      </w:r>
      <w:r w:rsidR="008700F9" w:rsidRPr="00C93F78">
        <w:rPr>
          <w:rFonts w:ascii="Times New Roman" w:eastAsia="Calibri" w:hAnsi="Times New Roman" w:cs="Times New Roman"/>
          <w:sz w:val="24"/>
          <w:szCs w:val="24"/>
        </w:rPr>
        <w:t>zmiana dotycząca art. 30b ustawy o PIT</w:t>
      </w:r>
      <w:r w:rsidR="0001421E" w:rsidRPr="00C93F78">
        <w:rPr>
          <w:rFonts w:ascii="Times New Roman" w:eastAsia="Calibri" w:hAnsi="Times New Roman" w:cs="Times New Roman"/>
          <w:sz w:val="24"/>
          <w:szCs w:val="24"/>
        </w:rPr>
        <w:t>.</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Modyfikowane przepisy art. 30b ustawy o PIT dotyczą problematyki opodatkowania walut wirtualnych.</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lit. a</w:t>
      </w:r>
      <w:r w:rsidRPr="00C93F78">
        <w:rPr>
          <w:rFonts w:ascii="Times New Roman" w:eastAsia="Calibri" w:hAnsi="Times New Roman" w:cs="Times New Roman"/>
          <w:sz w:val="24"/>
          <w:szCs w:val="24"/>
        </w:rPr>
        <w:t xml:space="preserve"> – W dodawanych ust. 1a i 1b określono stawkę podatku od dochodu uzyskanego z odpłatnego zbycia waluty wirtualnej oraz określono co będzie traktowane jako dochód z tego tytułu. </w:t>
      </w:r>
    </w:p>
    <w:p w:rsidR="006B0AAF" w:rsidRPr="00C93F78" w:rsidRDefault="006B0AAF" w:rsidP="00C93F78">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93F78">
        <w:rPr>
          <w:rFonts w:ascii="Times New Roman" w:eastAsia="Calibri" w:hAnsi="Times New Roman" w:cs="Times New Roman"/>
          <w:sz w:val="24"/>
          <w:szCs w:val="24"/>
          <w:u w:val="single"/>
        </w:rPr>
        <w:t>lit. b i c</w:t>
      </w:r>
      <w:r w:rsidRPr="00C93F78">
        <w:rPr>
          <w:rFonts w:ascii="Times New Roman" w:eastAsia="Calibri" w:hAnsi="Times New Roman" w:cs="Times New Roman"/>
          <w:sz w:val="24"/>
          <w:szCs w:val="24"/>
        </w:rPr>
        <w:t xml:space="preserve"> – Przepis ust. 5d </w:t>
      </w:r>
      <w:r w:rsidRPr="00C93F78">
        <w:rPr>
          <w:rFonts w:ascii="Times New Roman" w:eastAsia="Times New Roman" w:hAnsi="Times New Roman" w:cs="Times New Roman"/>
          <w:sz w:val="24"/>
          <w:szCs w:val="24"/>
          <w:lang w:eastAsia="pl-PL"/>
        </w:rPr>
        <w:t xml:space="preserve">wprowadza regułę stanowiącą, że dochód z odpłatnego zbycia waluty wirtualnej nie będzie łączony z innymi dochodami opodatkowanymi na zasadach określonych w art. 27 oraz 30c ustawy o PIT. Pozostałe zmiany (ust. 3 oraz ust. 5e i 5f) </w:t>
      </w:r>
      <w:r w:rsidRPr="00C93F78">
        <w:rPr>
          <w:rFonts w:ascii="Times New Roman" w:eastAsia="Calibri" w:hAnsi="Times New Roman" w:cs="Times New Roman"/>
          <w:sz w:val="24"/>
          <w:szCs w:val="24"/>
        </w:rPr>
        <w:t xml:space="preserve">wskazują na stosowanie umów o unikaniu podwójnego opodatkowania oraz metod unikania podwójnego opodatkowania. </w:t>
      </w:r>
    </w:p>
    <w:p w:rsidR="006B0AAF" w:rsidRPr="00C93F78" w:rsidRDefault="006B0AAF" w:rsidP="00C93F78">
      <w:pPr>
        <w:suppressAutoHyphens/>
        <w:autoSpaceDE w:val="0"/>
        <w:autoSpaceDN w:val="0"/>
        <w:adjustRightInd w:val="0"/>
        <w:spacing w:before="120" w:after="120" w:line="360" w:lineRule="auto"/>
        <w:jc w:val="both"/>
        <w:rPr>
          <w:rFonts w:ascii="Times New Roman" w:eastAsia="Times New Roman" w:hAnsi="Times New Roman" w:cs="Times New Roman"/>
          <w:sz w:val="24"/>
          <w:szCs w:val="24"/>
          <w:lang w:eastAsia="pl-PL"/>
        </w:rPr>
      </w:pPr>
      <w:r w:rsidRPr="00C93F78">
        <w:rPr>
          <w:rFonts w:ascii="Times New Roman" w:eastAsia="Times New Roman" w:hAnsi="Times New Roman" w:cs="Times New Roman"/>
          <w:sz w:val="24"/>
          <w:szCs w:val="24"/>
          <w:u w:val="single"/>
          <w:lang w:eastAsia="pl-PL"/>
        </w:rPr>
        <w:t>lit. d i e</w:t>
      </w:r>
      <w:r w:rsidRPr="00C93F78">
        <w:rPr>
          <w:rFonts w:ascii="Times New Roman" w:eastAsia="Times New Roman" w:hAnsi="Times New Roman" w:cs="Times New Roman"/>
          <w:sz w:val="24"/>
          <w:szCs w:val="24"/>
          <w:lang w:eastAsia="pl-PL"/>
        </w:rPr>
        <w:t xml:space="preserve"> - W ust. 6 i 6a zawarto zasady przedstawiania dochodów i kosztów uzyskania przychodów z odpłatnego zbycia walut wirtualnych w zeznaniu podatkowym, o którym mowa w art. 45 ust. 1a pkt 1 ustawy o PIT. </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lit. f</w:t>
      </w:r>
      <w:r w:rsidRPr="00C93F78">
        <w:rPr>
          <w:rFonts w:ascii="Times New Roman" w:eastAsia="Calibri" w:hAnsi="Times New Roman" w:cs="Times New Roman"/>
          <w:sz w:val="24"/>
          <w:szCs w:val="24"/>
        </w:rPr>
        <w:t xml:space="preserve"> – W ust. 7 wprowadzono zmianę o charakterze porządkowym, związaną z dodaniem ust. 1b.</w:t>
      </w:r>
    </w:p>
    <w:p w:rsidR="001C361D" w:rsidRPr="00C93F78" w:rsidRDefault="001C361D"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8700F9" w:rsidRPr="00C93F78">
        <w:rPr>
          <w:rFonts w:ascii="Times New Roman" w:eastAsia="Calibri" w:hAnsi="Times New Roman" w:cs="Times New Roman"/>
          <w:sz w:val="24"/>
          <w:szCs w:val="24"/>
        </w:rPr>
        <w:t>24</w:t>
      </w:r>
      <w:r w:rsidRPr="00C93F78">
        <w:rPr>
          <w:rFonts w:ascii="Times New Roman" w:eastAsia="Calibri" w:hAnsi="Times New Roman" w:cs="Times New Roman"/>
          <w:sz w:val="24"/>
          <w:szCs w:val="24"/>
        </w:rPr>
        <w:t>- zmiana dotycząca art. 30c ust. 6 ustawy o PIT</w:t>
      </w:r>
      <w:r w:rsidR="009113E8" w:rsidRPr="00C93F78">
        <w:rPr>
          <w:rFonts w:ascii="Times New Roman" w:eastAsia="Calibri" w:hAnsi="Times New Roman" w:cs="Times New Roman"/>
          <w:sz w:val="24"/>
          <w:szCs w:val="24"/>
        </w:rPr>
        <w:t>.</w:t>
      </w:r>
    </w:p>
    <w:p w:rsidR="001C361D" w:rsidRPr="00C93F78" w:rsidRDefault="001C361D"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Zmiana o charakterze porządkowym związana z dodaniem art. 30h regulującego opodatkowanie dochodów z niezrealizowanych zysków.</w:t>
      </w:r>
    </w:p>
    <w:p w:rsidR="008700F9" w:rsidRPr="00C93F78" w:rsidRDefault="00ED055C"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8700F9" w:rsidRPr="00C93F78">
        <w:rPr>
          <w:rFonts w:ascii="Times New Roman" w:eastAsia="Calibri" w:hAnsi="Times New Roman" w:cs="Times New Roman"/>
          <w:sz w:val="24"/>
          <w:szCs w:val="24"/>
        </w:rPr>
        <w:t xml:space="preserve">25 </w:t>
      </w:r>
      <w:r w:rsidR="001C361D" w:rsidRPr="00C93F78">
        <w:rPr>
          <w:rFonts w:ascii="Times New Roman" w:eastAsia="Calibri" w:hAnsi="Times New Roman" w:cs="Times New Roman"/>
          <w:sz w:val="24"/>
          <w:szCs w:val="24"/>
        </w:rPr>
        <w:t>–</w:t>
      </w:r>
      <w:r w:rsidR="009113E8" w:rsidRPr="00C93F78">
        <w:rPr>
          <w:rFonts w:ascii="Times New Roman" w:eastAsia="Calibri" w:hAnsi="Times New Roman" w:cs="Times New Roman"/>
          <w:sz w:val="24"/>
          <w:szCs w:val="24"/>
        </w:rPr>
        <w:t xml:space="preserve"> </w:t>
      </w:r>
      <w:r w:rsidR="008700F9" w:rsidRPr="00C93F78">
        <w:rPr>
          <w:rFonts w:ascii="Times New Roman" w:eastAsia="Calibri" w:hAnsi="Times New Roman" w:cs="Times New Roman"/>
          <w:sz w:val="24"/>
          <w:szCs w:val="24"/>
        </w:rPr>
        <w:t>- zmiana dotycząca art. 30ca i 30cb ustawy o PIT</w:t>
      </w:r>
      <w:r w:rsidR="009113E8" w:rsidRPr="00C93F78">
        <w:rPr>
          <w:rFonts w:ascii="Times New Roman" w:eastAsia="Calibri" w:hAnsi="Times New Roman" w:cs="Times New Roman"/>
          <w:sz w:val="24"/>
          <w:szCs w:val="24"/>
        </w:rPr>
        <w:t>.</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Projektowane przepisy regulują instytucję tzw. IP BOX, Innovation Box. </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W art. 30ca</w:t>
      </w:r>
      <w:r w:rsidRPr="00C93F78">
        <w:rPr>
          <w:rFonts w:ascii="Times New Roman" w:eastAsia="Calibri" w:hAnsi="Times New Roman" w:cs="Times New Roman"/>
          <w:sz w:val="24"/>
          <w:szCs w:val="24"/>
        </w:rPr>
        <w:t xml:space="preserve"> w ust. 1 określa stawkę podatku jaka znajdzie zastosowanie do kwalifikowanego dochodu z określonych z ustawie o PIT praw własności intelektualnej. Stawka ta wynosić będzie 5% podstawy opodatkowania. </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Katalog tych praw, zwanych „</w:t>
      </w:r>
      <w:r w:rsidRPr="00C93F78">
        <w:rPr>
          <w:rFonts w:ascii="Times New Roman" w:eastAsia="Calibri" w:hAnsi="Times New Roman" w:cs="Times New Roman"/>
          <w:i/>
          <w:sz w:val="24"/>
          <w:szCs w:val="24"/>
        </w:rPr>
        <w:t>kwalifikowanymi prawami własności intelektualnej</w:t>
      </w:r>
      <w:r w:rsidRPr="00C93F78">
        <w:rPr>
          <w:rFonts w:ascii="Times New Roman" w:eastAsia="Calibri" w:hAnsi="Times New Roman" w:cs="Times New Roman"/>
          <w:sz w:val="24"/>
          <w:szCs w:val="24"/>
        </w:rPr>
        <w:t>” zawiera ust. 2. Zgodnie z tym przepisem wprowadzana instytucja dotyczyć ma następujących praw:</w:t>
      </w:r>
    </w:p>
    <w:p w:rsidR="008700F9" w:rsidRPr="00C93F78" w:rsidRDefault="008700F9" w:rsidP="00C93F78">
      <w:pPr>
        <w:numPr>
          <w:ilvl w:val="0"/>
          <w:numId w:val="2"/>
        </w:numPr>
        <w:spacing w:after="120" w:line="360" w:lineRule="auto"/>
        <w:ind w:left="425" w:hanging="425"/>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patentów</w:t>
      </w:r>
    </w:p>
    <w:p w:rsidR="008700F9" w:rsidRPr="00C93F78" w:rsidRDefault="008700F9" w:rsidP="00C93F78">
      <w:pPr>
        <w:numPr>
          <w:ilvl w:val="0"/>
          <w:numId w:val="2"/>
        </w:numPr>
        <w:spacing w:after="120" w:line="360" w:lineRule="auto"/>
        <w:ind w:left="425" w:hanging="425"/>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dodatkowego prawa ochronnego na wynalazek,</w:t>
      </w:r>
    </w:p>
    <w:p w:rsidR="008700F9" w:rsidRPr="00C93F78" w:rsidRDefault="008700F9" w:rsidP="00C93F78">
      <w:pPr>
        <w:numPr>
          <w:ilvl w:val="0"/>
          <w:numId w:val="2"/>
        </w:numPr>
        <w:spacing w:after="120" w:line="360" w:lineRule="auto"/>
        <w:ind w:left="425" w:hanging="425"/>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prawa ochronnego na wzór użytkowy,</w:t>
      </w:r>
    </w:p>
    <w:p w:rsidR="008700F9" w:rsidRPr="00C93F78" w:rsidRDefault="008700F9" w:rsidP="00C93F78">
      <w:pPr>
        <w:numPr>
          <w:ilvl w:val="0"/>
          <w:numId w:val="2"/>
        </w:numPr>
        <w:spacing w:after="120" w:line="360" w:lineRule="auto"/>
        <w:ind w:left="425" w:hanging="425"/>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prawa z rejestracji wzoru przemysłowego,</w:t>
      </w:r>
    </w:p>
    <w:p w:rsidR="008700F9" w:rsidRPr="00C93F78" w:rsidRDefault="008700F9" w:rsidP="00C93F78">
      <w:pPr>
        <w:numPr>
          <w:ilvl w:val="0"/>
          <w:numId w:val="2"/>
        </w:numPr>
        <w:spacing w:after="120" w:line="360" w:lineRule="auto"/>
        <w:ind w:left="425" w:hanging="425"/>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prawa z rejestracji topografii układu scalonego,</w:t>
      </w:r>
    </w:p>
    <w:p w:rsidR="008700F9" w:rsidRPr="00C93F78" w:rsidRDefault="008700F9" w:rsidP="00C93F78">
      <w:pPr>
        <w:numPr>
          <w:ilvl w:val="0"/>
          <w:numId w:val="2"/>
        </w:numPr>
        <w:spacing w:after="120" w:line="360" w:lineRule="auto"/>
        <w:ind w:left="425" w:hanging="425"/>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dodatkowego prawa ochronnego dla patentu na produkt leczniczy lub środek ochrony roślin,</w:t>
      </w:r>
    </w:p>
    <w:p w:rsidR="008700F9" w:rsidRPr="00C93F78" w:rsidRDefault="008700F9" w:rsidP="00C93F78">
      <w:pPr>
        <w:numPr>
          <w:ilvl w:val="0"/>
          <w:numId w:val="2"/>
        </w:numPr>
        <w:spacing w:after="120" w:line="360" w:lineRule="auto"/>
        <w:ind w:left="425" w:hanging="425"/>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prawa z rejestracji produktu leczniczego i weterynaryjnego dopuszczonego do obrotu,</w:t>
      </w:r>
    </w:p>
    <w:p w:rsidR="008700F9" w:rsidRPr="00C93F78" w:rsidRDefault="008700F9" w:rsidP="00C93F78">
      <w:pPr>
        <w:numPr>
          <w:ilvl w:val="0"/>
          <w:numId w:val="2"/>
        </w:numPr>
        <w:spacing w:after="120" w:line="360" w:lineRule="auto"/>
        <w:ind w:left="425" w:hanging="425"/>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prawa z rejestracji nowych odmian roślin i ras zwierząt oraz</w:t>
      </w:r>
    </w:p>
    <w:p w:rsidR="008700F9" w:rsidRPr="00C93F78" w:rsidRDefault="008700F9" w:rsidP="00C93F78">
      <w:pPr>
        <w:numPr>
          <w:ilvl w:val="0"/>
          <w:numId w:val="2"/>
        </w:numPr>
        <w:spacing w:after="120" w:line="360" w:lineRule="auto"/>
        <w:ind w:left="425" w:hanging="425"/>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prawa do programu komputerowego (oprogramowania).</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Określony w ust. 1 sposób opodatkowania będzie miał zastosowanie tylko do praw własności intelektualnej, które zostały wytworzone, rozwinięte lub ulepszone przez podatnika w ramach prowadzonej przez niego działalności badawczo-rozwojowej w okresie obowiązywania ochrony prawnej tych praw. </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Przepisy ust. 3 - 6 określają podstawę opodatkowania z określonego prawa własności intelektualnej, którą będzie kwalifikowany dochód. Jednocześnie wskazane jest w jaki sposób ustalany będzie ten kwalifikowany dochód (z zastosowaniem odpowiedniego wskaźnika). </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Zgodnie z definicją projektodawcy podstawę opodatkowania stanowi wartość obliczona jako iloczyn dochodu osiągniętego bezpośrednio lub pośrednio z kwalifikowanych praw własności intelektualnej oraz wskaźnika obliczonego według wzoru: </w:t>
      </w:r>
    </w:p>
    <w:p w:rsidR="008700F9" w:rsidRPr="00C93F78" w:rsidRDefault="00FE376D" w:rsidP="00C93F78">
      <w:pPr>
        <w:spacing w:after="120" w:line="360" w:lineRule="auto"/>
        <w:jc w:val="both"/>
        <w:rPr>
          <w:rFonts w:ascii="Times New Roman" w:eastAsia="Calibri" w:hAnsi="Times New Roman" w:cs="Times New Roman"/>
          <w:sz w:val="24"/>
          <w:szCs w:val="24"/>
        </w:rPr>
      </w:pPr>
      <m:oMathPara>
        <m:oMath>
          <m:f>
            <m:fPr>
              <m:ctrlPr>
                <w:rPr>
                  <w:rFonts w:ascii="Cambria Math" w:eastAsia="Calibri" w:hAnsi="Cambria Math" w:cs="Times New Roman"/>
                  <w:bCs/>
                  <w:i/>
                  <w:sz w:val="24"/>
                  <w:szCs w:val="24"/>
                </w:rPr>
              </m:ctrlPr>
            </m:fPr>
            <m:num>
              <m:d>
                <m:dPr>
                  <m:ctrlPr>
                    <w:rPr>
                      <w:rFonts w:ascii="Cambria Math" w:eastAsia="Calibri" w:hAnsi="Cambria Math" w:cs="Times New Roman"/>
                      <w:bCs/>
                      <w:i/>
                      <w:sz w:val="24"/>
                      <w:szCs w:val="24"/>
                    </w:rPr>
                  </m:ctrlPr>
                </m:dPr>
                <m:e>
                  <m:r>
                    <w:rPr>
                      <w:rFonts w:ascii="Cambria Math" w:eastAsia="Calibri" w:hAnsi="Cambria Math" w:cs="Times New Roman"/>
                      <w:sz w:val="24"/>
                      <w:szCs w:val="24"/>
                    </w:rPr>
                    <m:t>a+b</m:t>
                  </m:r>
                </m:e>
              </m:d>
              <m:r>
                <w:rPr>
                  <w:rFonts w:ascii="Cambria Math" w:eastAsia="Calibri" w:hAnsi="Cambria Math" w:cs="Times New Roman"/>
                  <w:sz w:val="24"/>
                  <w:szCs w:val="24"/>
                </w:rPr>
                <m:t>*1,3</m:t>
              </m:r>
            </m:num>
            <m:den>
              <m:r>
                <w:rPr>
                  <w:rFonts w:ascii="Cambria Math" w:eastAsia="Calibri" w:hAnsi="Cambria Math" w:cs="Times New Roman"/>
                  <w:sz w:val="24"/>
                  <w:szCs w:val="24"/>
                </w:rPr>
                <m:t>a+b+c+d</m:t>
              </m:r>
            </m:den>
          </m:f>
        </m:oMath>
      </m:oMathPara>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Wskaźnik służący do obliczenia podstawy opodatkowania jest to tzw. </w:t>
      </w:r>
      <w:r w:rsidRPr="00C93F78">
        <w:rPr>
          <w:rFonts w:ascii="Times New Roman" w:eastAsia="Calibri" w:hAnsi="Times New Roman" w:cs="Times New Roman"/>
          <w:i/>
          <w:sz w:val="24"/>
          <w:szCs w:val="24"/>
        </w:rPr>
        <w:t>wskaźnik nexus</w:t>
      </w:r>
      <w:r w:rsidRPr="00C93F78">
        <w:rPr>
          <w:rFonts w:ascii="Times New Roman" w:eastAsia="Calibri" w:hAnsi="Times New Roman" w:cs="Times New Roman"/>
          <w:sz w:val="24"/>
          <w:szCs w:val="24"/>
        </w:rPr>
        <w:t>, o którym mowa w ww. raporcie OECD dot. Działania nr 5. Służy on do wykazania związku między poniesionymi kosztami, prawami własności intelektualnej oraz generowanym dochodem z tych praw. W konsekwencji korzyści wynikające z ulgi podatkowej uzależnione są od zakresu działalności badawczo-rozwojowej podejmowanej przez podatnika, a koszty związane z działalnością badawczo-rozwojową mają bezpośredni wpływ na wysokość dochodu kwalifikowanego będącego podstawą opodatkowania obniżoną stawką podatkową, ponieważ są uwzględniane we wskaźniku służącym do jej obliczenia.</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We wskaźniku zastosowanym w projekcie poszczególne litery oznaczają:</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
          <w:bCs/>
          <w:sz w:val="24"/>
          <w:szCs w:val="24"/>
        </w:rPr>
        <w:t xml:space="preserve">a </w:t>
      </w:r>
      <w:r w:rsidRPr="00C93F78">
        <w:rPr>
          <w:rFonts w:ascii="Times New Roman" w:eastAsia="Calibri" w:hAnsi="Times New Roman" w:cs="Times New Roman"/>
          <w:bCs/>
          <w:sz w:val="24"/>
          <w:szCs w:val="24"/>
        </w:rPr>
        <w:t xml:space="preserve">– wydatki na działalność badawczo-rozwojową poniesione przez podatnika, </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
          <w:bCs/>
          <w:sz w:val="24"/>
          <w:szCs w:val="24"/>
        </w:rPr>
        <w:t xml:space="preserve">b </w:t>
      </w:r>
      <w:r w:rsidRPr="00C93F78">
        <w:rPr>
          <w:rFonts w:ascii="Times New Roman" w:eastAsia="Calibri" w:hAnsi="Times New Roman" w:cs="Times New Roman"/>
          <w:bCs/>
          <w:sz w:val="24"/>
          <w:szCs w:val="24"/>
        </w:rPr>
        <w:t xml:space="preserve">– wydatki na nabycie wyników prac badawczo-rozwojowych od podmiotu niepowiązanego z podatnikiem, </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
          <w:bCs/>
          <w:sz w:val="24"/>
          <w:szCs w:val="24"/>
        </w:rPr>
        <w:t xml:space="preserve">c </w:t>
      </w:r>
      <w:r w:rsidRPr="00C93F78">
        <w:rPr>
          <w:rFonts w:ascii="Times New Roman" w:eastAsia="Calibri" w:hAnsi="Times New Roman" w:cs="Times New Roman"/>
          <w:bCs/>
          <w:sz w:val="24"/>
          <w:szCs w:val="24"/>
        </w:rPr>
        <w:t>– wydatki na nabycie wyników prac badawczo-rozwojowych od podmiotu powiązanego z podatnikiem,</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
          <w:bCs/>
          <w:sz w:val="24"/>
          <w:szCs w:val="24"/>
        </w:rPr>
        <w:t xml:space="preserve">d </w:t>
      </w:r>
      <w:r w:rsidRPr="00C93F78">
        <w:rPr>
          <w:rFonts w:ascii="Times New Roman" w:eastAsia="Calibri" w:hAnsi="Times New Roman" w:cs="Times New Roman"/>
          <w:bCs/>
          <w:sz w:val="24"/>
          <w:szCs w:val="24"/>
        </w:rPr>
        <w:t>– wydatki na nabycie przez podatnika prawa własności intelektualnej określonych w ust. 1.</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Do kosztów wskazanych we wzorze określonym w ust. 4 nie zaliczać się będzie kosztów, które nie są bezpośrednio związane z kwalifikowanym prawem własności intelektualnej, w szczególności odsetek, opłat finansowych oraz kosztów związanych z gruntami i budynkami </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Jeżeli podatnik uzyskiwać będzie dochód z więcej niż jednego kwalifikowanego prawa własności intelektualnej, wówczas podstawę opodatkowania stanowić będzie suma kwalifikowanych dochodów.</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Projektowany ust. 7 definiuje pojęcie dochodu osiągniętego bezpośrednio lub pośrednio z kwalifikowanych praw własności intelektualnej. Przez dochód ten</w:t>
      </w:r>
      <w:r w:rsidRPr="00C93F78">
        <w:rPr>
          <w:rFonts w:ascii="Times New Roman" w:eastAsia="Calibri" w:hAnsi="Times New Roman" w:cs="Times New Roman"/>
          <w:sz w:val="24"/>
          <w:szCs w:val="24"/>
          <w:u w:val="single"/>
        </w:rPr>
        <w:t xml:space="preserve"> </w:t>
      </w:r>
      <w:r w:rsidRPr="00C93F78">
        <w:rPr>
          <w:rFonts w:ascii="Times New Roman" w:eastAsia="Calibri" w:hAnsi="Times New Roman" w:cs="Times New Roman"/>
          <w:sz w:val="24"/>
          <w:szCs w:val="24"/>
        </w:rPr>
        <w:t>rozumie się osiągnięty przez podatnika w danym roku podatkowym dochód z tytułu wszelkich opłat lub należności licencyjnych dotyczących kwalifikowanych praw własności intelektualnej (pkt 1), dochód ze sprzedaży kwalifikowanego prawa własności intelektualnej (pkt 2), dochód z kwalifikowanego prawa własności intelektualnej uwzględniony w cenie sprzedaży produktu lub usługi (pkt 3) oraz dochód z odszkodowania dotyczącego naruszenia praw wynikających z kwalifikowanych praw własności intelektualnej, uzyskany w postępowaniu spornym, w tym sądowym albo arbitrażu (pkt 4)</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Dochód z kwalifikowanego prawa własności intelektualnej „zawarty” w cenie danego towaru lub usługi ustalany ma być w oparciu o zasadę ceny rynkowej wynikającą z przepisów art. 25 ustawy o PIT. </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sz w:val="24"/>
          <w:szCs w:val="24"/>
        </w:rPr>
        <w:t xml:space="preserve">W ust. 9 dopuszcza się możliwość ustalania kwalifikowanego dochodu nie na poziomie pojedynczego kwalifikowanego prawa własności intelektualnej, ale dla produktu (usługi) lub grupy produktów (usług). Możliwość taka istnieć będzie, jeżeli wykorzystuje więcej niż jedno kwalifikowane prawo </w:t>
      </w:r>
      <w:r w:rsidRPr="00C93F78">
        <w:rPr>
          <w:rFonts w:ascii="Times New Roman" w:eastAsia="Calibri" w:hAnsi="Times New Roman" w:cs="Times New Roman"/>
          <w:bCs/>
          <w:sz w:val="24"/>
          <w:szCs w:val="24"/>
        </w:rPr>
        <w:t>i nie będzie mógł ustalić dochodu z tego kwalifikowanego prawa własności intelektualnej.</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Jeżeli podatnik wygeneruje w roku podatkowym stratę z kwalifikowanych praw własności intelektualnej, będzie mógł obniżyć dochód związany z tym samym kwalifikowanym prawem własności intelektualnej lub tego samego rodzaju produktu lub usługi o wysokość tej straty poniesionej w roku podatkowym w kolejnych latach podatkowych (ust. 10).</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rPr>
        <w:t>W ust. 11 wskazane jest, iż podatnik będzie obowiązany do wykazania kwalifikowanego dochodu w zeznaniu rocznym.</w:t>
      </w:r>
    </w:p>
    <w:p w:rsidR="008700F9" w:rsidRPr="00C93F78" w:rsidRDefault="008700F9"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W ust. 12 projekt przewiduje również możliwość skorzystania z ulgi w sytuacji ekspektatywy nabycia kwalifikowanego prawa własności intelektualnej w okresie od daty złożenia przez podatnika wniosku o nabycie stosownego prawa ochronnego do właściwego organu. W przypadku wycofania wniosku, odmowy udzielenia prawa ochronnego lub odrzucenia zgłoszenia lub wniosku o rejestrację, podatnik będzie zobowiązany w zeznaniu składanym za rok podatkowy, w którym wystąpiły te okoliczności do zwiększenia podstawy opodatkowania, o kwotę wykorzystanej w poprzednich latach podatkowych ulgi, a w razie poniesienia straty – do jej zmniejszenia o tę kwotę. Stanowi o tym ust. 13. </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u w:val="single"/>
        </w:rPr>
        <w:t>W art. 30cb</w:t>
      </w:r>
      <w:r w:rsidRPr="00C93F78">
        <w:rPr>
          <w:rFonts w:ascii="Times New Roman" w:eastAsia="Calibri" w:hAnsi="Times New Roman" w:cs="Times New Roman"/>
          <w:bCs/>
          <w:sz w:val="24"/>
          <w:szCs w:val="24"/>
        </w:rPr>
        <w:t xml:space="preserve"> w ust. 1, nakłada się na podatników obowiązek wyodrębnienia w prowadzonych księgach rachunkowych każdego kwalifikowanego prawa własności intelektualnej, jeżeli zamierzają skorzystać z opodatkowania na podstawie art. 30h.</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rPr>
        <w:t xml:space="preserve">Zgodnie z ust. 2 i 3, podatnicy będą obowiązani do prowadzenia ksiąg rachunkowych w sposób zapewniający ustalenie przychodów, kosztów uzyskania przychodów, dochodu (straty), przypadających na każde kwalifikowane prawo własności intelektualnej. Ponadto w prowadzonych księgach rachunkowych podatnicy są obowiązani do wyodrębnienia kosztów przypadających na każde kwalifikowane prawo własności intelektualnej, w sposób zapewniający określenie dochodu kwalifikowanego. </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rPr>
        <w:t>W ust. 4 przewiduje się, iż jeżeli podatnik wykorzystywać będzie więcej niż jedno kwalifikowane prawo własności intelektualnej, a w prowadzonych księgach rachunkowych nie będzie mógł spełnić warunków określonych w ust. 2 i 3 będzie może dokonywać zapisów w prowadzonych księgach rachunkowych w sposób zapewniający ustalenie łącznego dochodu z tych kwalifikowanych praw własności intelektualnej. Rozwiązanie to będzie mogło być stosowane także wówczas gdy podatnik wykorzystywać będzie jedno lub więcej kwalifikowanych praw własności intelektualnej w produkcie lub usłudze albo w produktach lub usługach. W takim przypadku podatnik będzie mógł dokonywać zapisów w prowadzonych księgach rachunkowych w sposób zapewniający ustalenie dochodu z kwalifikowanych praw własności intelektualnej w odniesieniu do tego produktu lub tej usługi albo do tych produktów lub tych usług (ust. 5).</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rPr>
        <w:t>Stosownie do ust. 6, jeżeli na podstawie prowadzonych przez podatnika ksiąg rachunkowych ustalenie dochodu (straty) z kwalifikowanych praw własności intelektualnej nie będzie możliwe, podatnik będzie obowiązany do zapłaty podatku na zasadach ogólnych.</w:t>
      </w:r>
    </w:p>
    <w:p w:rsidR="008700F9" w:rsidRPr="00C93F78" w:rsidRDefault="008700F9" w:rsidP="00C93F78">
      <w:pPr>
        <w:spacing w:after="120" w:line="360" w:lineRule="auto"/>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rPr>
        <w:t>W ust. 7 reguluje się sytuację podatników prowadzących podatkową księgę przychodów i rozchodów. W przypadku takich podatników wymagane informacje (o których mowa w ust. 1–5) będą wykazywane w odrębnej ewidencji. W przypadku nieprowadzenia przez podatnika ewidencji lub gdy na jej podstawie ustalenie dochodu (straty) z kwalifikowanych praw własności intelektualnej nie będzie możliwe, podatnik będzie obowiązany do zapłaty podatku na zasadach ogólnych.</w:t>
      </w:r>
    </w:p>
    <w:p w:rsidR="008700F9" w:rsidRPr="00C93F78" w:rsidRDefault="00834070"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26 – zmiana dotyczy uchylenia art. 30d </w:t>
      </w:r>
    </w:p>
    <w:p w:rsidR="00834070" w:rsidRPr="00C93F78" w:rsidRDefault="00834070"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27 </w:t>
      </w:r>
      <w:r w:rsidR="00BB2EC5" w:rsidRPr="00C93F78">
        <w:rPr>
          <w:rFonts w:ascii="Times New Roman" w:eastAsia="Calibri" w:hAnsi="Times New Roman" w:cs="Times New Roman"/>
          <w:sz w:val="24"/>
          <w:szCs w:val="24"/>
        </w:rPr>
        <w:t>–</w:t>
      </w:r>
      <w:r w:rsidRPr="00C93F78">
        <w:rPr>
          <w:rFonts w:ascii="Times New Roman" w:eastAsia="Calibri" w:hAnsi="Times New Roman" w:cs="Times New Roman"/>
          <w:sz w:val="24"/>
          <w:szCs w:val="24"/>
        </w:rPr>
        <w:t xml:space="preserve"> </w:t>
      </w:r>
      <w:r w:rsidR="00BB2EC5" w:rsidRPr="00C93F78">
        <w:rPr>
          <w:rFonts w:ascii="Times New Roman" w:eastAsia="Calibri" w:hAnsi="Times New Roman" w:cs="Times New Roman"/>
          <w:sz w:val="24"/>
          <w:szCs w:val="24"/>
        </w:rPr>
        <w:t xml:space="preserve">dodawane przepisy dotyczą podatku od dochodów z niezrealizowanych zysków </w:t>
      </w:r>
    </w:p>
    <w:p w:rsidR="00BB2EC5" w:rsidRPr="00C93F78" w:rsidRDefault="00BB2EC5"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Analogicznie jak w ustawie CIT, również w ustawie PIT dodane zostały nowe przepisy dotyczące podatku od dochodów z niezrealizowanych zysków, w przepisach tych w sposób kompleksowy została uregulowana kwestia opodatkowania niezrealizowanych zysków kapitałowych powstających w przypadku przeniesienia poza terytorium Rzeczypospolitej Polskiej składników majątkowych lub rezydencji podatkowej. Biorąc pod uwagę zakres ww. regulacji, wyodrębnienie nowego rozdziału wydaje się zabiegiem uzasadnionym i korzystnym z punktu widzenia czytelności aktu prawnego.</w:t>
      </w:r>
    </w:p>
    <w:p w:rsidR="00BB2EC5" w:rsidRPr="00C93F78" w:rsidRDefault="00BB2EC5" w:rsidP="00C93F78">
      <w:pPr>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Rozdział 6a obejmuje siedem nowych jednostek redakcyjnych: art. 30j – 30p ustawy PIT, które określają: podatek od dochodów z niezrealizowanych zysków w przypadku przeniesienia składników majątku lub miejsca siedziby (zarządu) poza terytorium RP i obowiązki podatników (art. 30j) sytuacje nie objęte powyższym opodatkowaniem (art. 30k-30m), zasady odroczenia i rozłożenia płatności podatku na raty (art. 30n), zasady ustalania wartości składników majątku przenoszonych na terytorium RP (art. 30o), oraz upoważnienie dla ministra właściwego do spraw finansów publicznych do wydania aktów wykonawczych określających wzory deklaracji i informacji przewidzianych ww. przepisami (art. 30p).</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u w:val="single"/>
        </w:rPr>
        <w:t>Art. 30j</w:t>
      </w:r>
      <w:r w:rsidRPr="00C93F78">
        <w:rPr>
          <w:rFonts w:ascii="Times New Roman" w:hAnsi="Times New Roman" w:cs="Times New Roman"/>
          <w:sz w:val="24"/>
          <w:szCs w:val="24"/>
        </w:rPr>
        <w:t xml:space="preserve"> określa zasady opodatkowania dochodów z niezrealizowanych zysków w przypadku przeniesienia składników majątku związanego z działalnością gospodarczą lub miejsca zamieszkania poza terytorium RP. Przepisy te są dostosowane odpowiednio do zmian w ustawie CIT, wdrażających art. 5 dyrektywy ATAD, mający na celu zapewnienie, aby w przypadku przeniesienia przez podatnika aktywów lub rezydencji podatkowej poza jurysdykcję podatkową danego państwa, państwo to mogło opodatkować wartość ekonomiczną ewentualnych zysków osiągniętych na jego terytorium, jakie powstałyby przy zbyciu, chociaż zyski te nie zostały jeszcze zrealizowane w chwili dokonania zmiany jurysdykcji podatkowej.</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xml:space="preserve">- ust. 1 określa wysokość stawki podatku od dochodów z niezrealizowanych zysków. Przyjęto, że stawka ta wynosić będzie 19% podstawy opodatkowania, gdy ustalana jest wartość podatkowa składnika majątku. W przypadkach gdy nie ustala się tej wartości stawka podatku wynosi 3% podstawy opodatkowania. </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2 wskazuje rodzaje zdarzeń, na skutek których powstanie dochód z nierealizowanych zysków. .</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-pkt 1. dotyczy przypadków kiedy podatnik, przenosi składnik majątku poza terytorium RP, w wyniku, którego Polska traci w całości lub części prawo do opodatkowania dochodów ze zbycia składnika majątku, który jest przenoszony, przy czym składnik ten pozostaje własnością tego samego podatnika.</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pkt 2 dotyczy przenoszenia rezydencji podatkowej do innego państwa .</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3 wymienia składniki majątku np. udziały w spółce, papiery wartościowe itp., które nie są związane z działalnością gospodarczą, a których przeniesienie skutkuje opodatkowaniem podatkiem od niezrealizowanych zysków. Składniki te zaliczane są do „majątku osobistego”. Przepis określa również warunek, który musi być spełniony aby można opodatkować przeniesienie tych składników majątku podatkiem od niezrealizowanych zysków tj. podatnik musi być polskim rezydentem podatkowym (mieć miejsce zamieszkania w Polsce przez okres co najmniej pięciu lat przed zmianą rezydencji podatkowej).</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4 stanowi, iż do składników majątku, które mogą być przenoszone zalicza się również przedsiębiorstwo lub jego zorganizowaną część.</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5</w:t>
      </w:r>
      <w:r w:rsidRPr="00C93F78">
        <w:rPr>
          <w:rFonts w:ascii="Times New Roman" w:hAnsi="Times New Roman" w:cs="Times New Roman"/>
          <w:b/>
          <w:sz w:val="24"/>
          <w:szCs w:val="24"/>
        </w:rPr>
        <w:t xml:space="preserve"> </w:t>
      </w:r>
      <w:r w:rsidRPr="00C93F78">
        <w:rPr>
          <w:rFonts w:ascii="Times New Roman" w:hAnsi="Times New Roman" w:cs="Times New Roman"/>
          <w:sz w:val="24"/>
          <w:szCs w:val="24"/>
        </w:rPr>
        <w:t>wskazuje do jakich sytuacji stosuje się w szczególności opodatkowania podatkiem od niezrealizowanych zysków, kiedy przenoszony jest składnik majątku poza terytorium RP. Odnosi się zarówno do rezydentów polskich, jak i nierezydentów.</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6 określa przypadek, kiedy nie stosuje się opodatkowania podatkiem od dochodów z niezrealizowanych zysków w wyniku zmiany rezydencji podatkowej. Z opodatkowania wyłączone są składniki majątku, w stosunku do których Polska nie traci prawa do opodatkowania dochodów z ich zbycia. W szczególności gdy składniki te pozostają związane z zakładem położonym na terytorium RP.</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7 definiuje dzień przeniesienia składników majątku poza terytorium RP.</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8 wskazuje sposób ustalenia dochodu z niezrealizowanych zysków. Jest to nadwyżka wartości rynkowej przenoszonego składnika majątku ponad jego wartość podatkową. Odnosi się to również do przypadków wynikających ze zmiany rezydencji podatkowej.</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9 określa sposób ustalenia wartości rynkowej przenoszonego składnika majątku odwołując się do przepisów art. 19 ust. 3 – w przypadku składników majątku osobistego oraz papierów wartościowych i składników majątku, z których przeniesieniem nie wiąże się zmiana istotnych funkcji ekonomicznych lub przepisów art. 25 ust. 2 i 3 w pozostałych przypadkach.</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10 stanowi, iż w przypadku składników majątku podatnika objętych wspólnością małżeńską wartość rynkową określa się u każdego z małżonków w wysokości połowy wartości rynkowej tych składników.</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11 określa wartość podatkową przenoszonego składnika majątku, nie ustala się wartości podatkowej jeżeli zgodnie z odrębnymi przepisami dla celów podatkowych nie uwzględnia się kosztów uzyskania przychodów w przypadku zbycia takiego składnika majątku.</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12 wskazuje kiedy organ podatkowy może określić wartość rynkową przenoszonego składnika majątku. Dotyczy to przypadków wartość ta jest zaniżona przez podatnika.</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13 określa podstawę opodatkowania podatkiem od dochodów z niezrealizowanych zysków.</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14</w:t>
      </w:r>
      <w:r w:rsidRPr="00C93F78">
        <w:rPr>
          <w:rFonts w:ascii="Times New Roman" w:hAnsi="Times New Roman" w:cs="Times New Roman"/>
          <w:b/>
          <w:sz w:val="24"/>
          <w:szCs w:val="24"/>
        </w:rPr>
        <w:t xml:space="preserve"> </w:t>
      </w:r>
      <w:r w:rsidRPr="00C93F78">
        <w:rPr>
          <w:rFonts w:ascii="Times New Roman" w:hAnsi="Times New Roman" w:cs="Times New Roman"/>
          <w:sz w:val="24"/>
          <w:szCs w:val="24"/>
        </w:rPr>
        <w:t xml:space="preserve">wskazuje na możliwość opodatkowania również składników majątku zakładu zagranicznego położonego w innym niż Rzeczpospolita Polska państwie, jeżeli umowa o unikaniu podwójnego opodatkowania przewiduje tzw. metodę zaliczenia przy ustalania dochodów z działalności gospodarczej. Przepis przewiduje również odliczenie eliminujące podwójne opodatkowanie, jakie może powstać przy łączeniu dochodów osiągniętych w Polsce i w innym kraju przy jednoczesnym opodatkowaniu majątku zakładu zagranicznego podatkiem typu </w:t>
      </w:r>
      <w:r w:rsidRPr="00C93F78">
        <w:rPr>
          <w:rFonts w:ascii="Times New Roman" w:hAnsi="Times New Roman" w:cs="Times New Roman"/>
          <w:i/>
          <w:sz w:val="24"/>
          <w:szCs w:val="24"/>
        </w:rPr>
        <w:t>exit tax</w:t>
      </w:r>
      <w:r w:rsidRPr="00C93F78">
        <w:rPr>
          <w:rFonts w:ascii="Times New Roman" w:hAnsi="Times New Roman" w:cs="Times New Roman"/>
          <w:sz w:val="24"/>
          <w:szCs w:val="24"/>
        </w:rPr>
        <w:t>.</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ust. 15 stanowi, iż przepisy dotyczące opodatkowania dochodów z niezrealizowanych zysków stosuje się również do przypadków nieodpłatnego przekazania składnika majątku innemu podmiotowi, w tym wniesienia do innego podmiotu niż spółka lub spółdzielnia, jeżeli Polska traci w całości lub części prawo do opodatkowania dochodów ze zbycia tego składnika majątku.</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16 reguluje obowiązek złożenia deklaracji podatkowej i zapłaty podatku przez podatników dokonujących przeniesienia składników majątkowych poza terytorium Rzeczypospolitej Polskiej lub zmiany rezydencji podatkowej przez podatnika. Deklarację o wysokości osiągniętego dochodu należy złożyć do 7 dnia poprzedzającego dzień przeniesienia składników majątkowych poza terytorium R.P., lub dzień zmiany rezydencji podatkowej i w tym terminie wpłacić podatek należny.</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17 doprecyzowuje zasady odnoszące się do nierezydentów, ustalających dochody zakładu zagranicznego przy zastosowaniu wskaźników z art. 24b ust. 2.</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18 doprecyzowuje zasady odnoszące się do spółek niebędących osobami prawnymi.</w:t>
      </w:r>
    </w:p>
    <w:p w:rsidR="00BB2EC5" w:rsidRPr="00C93F78" w:rsidRDefault="00BB2EC5"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 Art. 30i</w:t>
      </w:r>
      <w:r w:rsidRPr="00C93F78">
        <w:rPr>
          <w:rFonts w:ascii="Times New Roman" w:hAnsi="Times New Roman" w:cs="Times New Roman"/>
          <w:sz w:val="24"/>
          <w:szCs w:val="24"/>
        </w:rPr>
        <w:t xml:space="preserve"> – ust. 1 - określa, że obowiązek podatkowy w podatku od niezrealizowanych zysków z tytułu przeniesienia składników majątku osobistego podatnika lub zmiany rezydencji podatkowej, powstaje dopiero, gdy łączna wartość rynkowa przenoszonych składników majątku przekracza kwotę 4 mln zł. </w:t>
      </w:r>
    </w:p>
    <w:p w:rsidR="00BB2EC5" w:rsidRPr="00C93F78" w:rsidRDefault="00BB2EC5" w:rsidP="00C93F78">
      <w:pPr>
        <w:pStyle w:val="Standard"/>
        <w:spacing w:line="360" w:lineRule="auto"/>
        <w:jc w:val="both"/>
        <w:rPr>
          <w:rFonts w:ascii="Times New Roman" w:hAnsi="Times New Roman"/>
          <w:sz w:val="24"/>
          <w:szCs w:val="24"/>
        </w:rPr>
      </w:pPr>
      <w:r w:rsidRPr="00C93F78">
        <w:rPr>
          <w:rFonts w:ascii="Times New Roman" w:hAnsi="Times New Roman" w:cs="Times New Roman"/>
          <w:sz w:val="24"/>
          <w:szCs w:val="24"/>
        </w:rPr>
        <w:t>- u</w:t>
      </w:r>
      <w:r w:rsidRPr="00C93F78">
        <w:rPr>
          <w:rFonts w:ascii="Times New Roman" w:hAnsi="Times New Roman"/>
          <w:sz w:val="24"/>
          <w:szCs w:val="24"/>
        </w:rPr>
        <w:t>st. 2</w:t>
      </w:r>
      <w:r w:rsidR="00214B8A" w:rsidRPr="00C93F78">
        <w:rPr>
          <w:rFonts w:ascii="Times New Roman" w:hAnsi="Times New Roman"/>
          <w:sz w:val="24"/>
          <w:szCs w:val="24"/>
        </w:rPr>
        <w:t xml:space="preserve"> </w:t>
      </w:r>
      <w:r w:rsidRPr="00C93F78">
        <w:rPr>
          <w:rFonts w:ascii="Times New Roman" w:hAnsi="Times New Roman" w:cs="Times New Roman"/>
          <w:sz w:val="24"/>
          <w:szCs w:val="24"/>
        </w:rPr>
        <w:t>wskazuje, że limit dotyczy łącznie obojga małżonków.</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u w:val="single"/>
        </w:rPr>
        <w:t>Art. 30j</w:t>
      </w:r>
      <w:r w:rsidRPr="00C93F78">
        <w:rPr>
          <w:rFonts w:ascii="Times New Roman" w:hAnsi="Times New Roman" w:cs="Times New Roman"/>
          <w:sz w:val="24"/>
          <w:szCs w:val="24"/>
        </w:rPr>
        <w:t xml:space="preserve"> określa przypadki, w których podatek od niezrealizowanych zysków nie jest pobierany, mimo że nastąpiła zmiana rezydencji podatkowej podatnika lub miało miejsce przeniesienie składników majątkowych.</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1 w pkt 1 – 2 wskazuje na poszczególne sytuacje, w których nie powstaje obowiązek podatkowy z tytułu podatku od niezrealizowanych zysków.</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pkt 1 dotyczy sytuacji, gdy pomimo zmiany rezydencji podatkowej przez podatnika, składniki majątkowe są nadal wykorzystywane w jego działalności gospodarczej, prowadzonej na terytorium RP poprzez zagraniczny zakład.</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rPr>
        <w:t xml:space="preserve">pkt 2 dotyczy przeniesienia papierów wartościowych lub innych składników majątku , jeżeli to przeniesienia następuje na podstawie umowy przewłaszczenia w celu zabezpieczenia wierzytelności. </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2 reguluje obowiązek podatnika do wykazania w zeznaniu rocznym wartości przenoszonych składników majątku oraz przewidywanego terminu ich sprowadzenia ponownie na terytorium RP.</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3 i 4 regulują sytuację, gdy przed upływem terminu sprowadzenia składników majątkowych z powrotem na terytorium RP ustanie byt prawny podatnika, (np. w drodze likwidacji lub przejęcia przez inny podmiot). Wówczas wartość składnika majątku, zadeklarowanego uprzednio, jako składnik podlegający ponownemu sprowadzeniu na terytorium RP, podlega opodatkowaniu, zgodnie z przepisami art. 30h ust. 1, a podatnik jest obowiązany złożyć deklaracje i wpłacić podatek należny do 7 dnia poprzedzającego dzień ustania jego bytu prawnego. Jeśli działalność podatnika będzie kontynuowana np. poprzez zakład podmiotu przejmującego, przepis art. 30l ust. 1 i 2 stosować się będzie odpowiednio.</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u w:val="single"/>
        </w:rPr>
        <w:t>Art. 30k</w:t>
      </w:r>
      <w:r w:rsidRPr="00C93F78">
        <w:rPr>
          <w:rFonts w:ascii="Times New Roman" w:hAnsi="Times New Roman" w:cs="Times New Roman"/>
          <w:sz w:val="24"/>
          <w:szCs w:val="24"/>
        </w:rPr>
        <w:t xml:space="preserve"> określa przypadki, w których dochody z niezrealizowanych zysków podlegają zwolnieniu z opodatkowania. Przepis stanowi również, że do opodatkowania podatkiem od niezrealizowanych zysków nie będą mieć zastosowania zwolnienia i przesunięcia terminu opodatkowania.</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u w:val="single"/>
        </w:rPr>
        <w:t xml:space="preserve">Art. 30l </w:t>
      </w:r>
      <w:r w:rsidRPr="00C93F78">
        <w:rPr>
          <w:rFonts w:ascii="Times New Roman" w:hAnsi="Times New Roman" w:cs="Times New Roman"/>
          <w:sz w:val="24"/>
          <w:szCs w:val="24"/>
        </w:rPr>
        <w:t>określa zasady rozłożenia płatności podatku na raty. Przepis zastrzega, że okres rozłożenia na raty nie może przekroczyć 5 lat. Zgodnie z regulacją podatnik sam będzie decydował czy ureguluje podatek w całości w terminach powstania zobowiązania podatkowego, czy tez zawnioskuje do organu podatkowego o rozłożenie na raty całości podatku czy tylko jego części.</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1 przewiduje dla podatnika możliwość wystąpienia o rozłożenie na raty zapłaty podatku należnego od dochodów z niezrealizowanych zysków, pod warunkiem łącznego spełnienia przesłanek określonych w punktach 1 i 2.</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pkt 1 stanowi, iż przeniesienie składników majątku lub rezydencji podatkowej następuje na terytorium państwa członkowskiego UE lub innego państwa należącego do EOG, które jest stroną umowy zawartej z Rzeczpospolitą Polską lub stroną umowy z Unią Europejską w sprawie wzajemnej pomocy przy odzyskiwaniu wierzytelności podatkowych, równoważnej wzajemnej pomocy przewidzianej w dyrektywie Rady 2010/24/UE z dnia 16 marca 2010 r. w sprawie wzajemnej pomocy przy odzyskiwaniu wierzytelności dotyczących podatków, ceł i innych obciążeń.</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pkt 2 stanowi, iż podatnik powinien przedstawić zabezpieczenie wykonania zobowiązania podatkowego wraz z opłatą prolongacyjną w formie przewidzianej przepisami Ordynacji podatkowej dla zabezpieczeń wykonania zobowiązań podatkowych, chyba że podatnik wykaże, że nie istnieje realne ryzyko uchylania się od zapłacenia podatku należnego.</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2 wymienia przykładowe okoliczności i warunki, jakie organ podatkowy może uwzględnić przy ocenie, czy nie istnieje realne ryzyko uchylania się od zapłacenia podatku należnego przez podatnika, w przypadku jego rozłożenia na raty. Przepis nie zamyka katalogu okoliczności i warunków, jakie organ podatkowy może brać pod uwagę, przy ocenie tego ryzyka.</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3 stanowi, iż warunek przedstawienia zabezpieczenia uważa się za spełniony również w przypadku przedłożenia gwarancji lub poręczenia wykonania zobowiązania podatkowego przez dowolny podmiot będący polskim rezydentem. Warunkiem jest jedynie dobra kondycja majątkowa podmiotu gwarantującego lub dającego poręczenie.</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4 w pkt 1 – 4 wskazuje konieczne elementy decyzji o rozłożeniu zapłaty podatku od niezrealizowanych zysków na raty, którymi są:</w:t>
      </w:r>
    </w:p>
    <w:p w:rsidR="00BB2EC5" w:rsidRPr="00C93F78" w:rsidRDefault="00BB2EC5" w:rsidP="00C93F78">
      <w:pPr>
        <w:pStyle w:val="Standard"/>
        <w:numPr>
          <w:ilvl w:val="0"/>
          <w:numId w:val="7"/>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ustalenie opłaty prolongacyjnej od kwoty podatku, na okres wnioskowany przez podatnika, nie dłuższy niż 5 lat (pkt 1);</w:t>
      </w:r>
    </w:p>
    <w:p w:rsidR="00BB2EC5" w:rsidRPr="00C93F78" w:rsidRDefault="00BB2EC5" w:rsidP="00C93F78">
      <w:pPr>
        <w:pStyle w:val="Standard"/>
        <w:numPr>
          <w:ilvl w:val="0"/>
          <w:numId w:val="7"/>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zastrzeżenie, iż niedopełnienie przez podatnika określonych tym przepisem warunków skutkuje wygaśnięciem decyzji i postawieniem zobowiązania podatkowego w stan wymagalności (pkt 2);</w:t>
      </w:r>
    </w:p>
    <w:p w:rsidR="00BB2EC5" w:rsidRPr="00C93F78" w:rsidRDefault="00BB2EC5" w:rsidP="00C93F78">
      <w:pPr>
        <w:pStyle w:val="Standard"/>
        <w:numPr>
          <w:ilvl w:val="0"/>
          <w:numId w:val="7"/>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wskazanie skutków prawnych w postaci wygaśnięcia decyzji o rozłożeniu na raty, w przypadku gdy podatnik, który udzielił gwarancji lub poręczenia wykonania zobowiązania podatkowego ogłosi upadłość, likwidację lub zostanie przejęty w wyniku łączenia lub podziału przez inny podmiot lub przekształcony w spółkę niemającą osobowości prawnej (pkt 3);</w:t>
      </w:r>
    </w:p>
    <w:p w:rsidR="00BB2EC5" w:rsidRPr="00C93F78" w:rsidRDefault="00BB2EC5" w:rsidP="00C93F78">
      <w:pPr>
        <w:pStyle w:val="Standard"/>
        <w:numPr>
          <w:ilvl w:val="0"/>
          <w:numId w:val="7"/>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wskazanie skutków prawnych niewypełnienia przez podatnika obowiązków związanych z płatnością rat i opłaty prolongacyjnej (pkt 4).</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 - ust. 5 przewiduje, że w przypadku rozłożenia zapłaty podatku na raty, podatnik zobowiązany jest do składania informacji o spełnieniu warunków wskazanych w ust. 1 pkt 4. Informację składa się na ostatni dzień każdego roku kalendarzowego, w którym zapłata podatku została rozłożona na raty, do naczelnika urzędu skarbowego, który wydał decyzję o rozłożeniu zapłaty podatku na raty. Informację należy złożyć w terminie do 7 dnia pierwszego miesiąca następnego roku kalendarzowego, którego dotyczy informacja.</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6 stanowi o właściwości naczelnika urzędu skarbowego dla podatnika zmieniającego rezydencje podatkową</w:t>
      </w:r>
    </w:p>
    <w:p w:rsidR="00BB2EC5" w:rsidRPr="00C93F78" w:rsidRDefault="00BB2EC5"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7 odsyła do odpowiedniego stosowania przepisów Ordynacji podatkowej w sprawach nieuregulowanych projektowanymi przepisami art. 30n ust.1-4 ustawy o PIT.</w:t>
      </w:r>
    </w:p>
    <w:p w:rsidR="00BB2EC5" w:rsidRPr="00C93F78" w:rsidRDefault="00BB2EC5" w:rsidP="00C93F78">
      <w:pPr>
        <w:pStyle w:val="Standard"/>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Art. 30m określa kiedy podatnik może wystąpić o zwrot zapłaconego podatku od niezrealizowanych zysków.</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u w:val="single"/>
        </w:rPr>
        <w:t>Art. 30n</w:t>
      </w:r>
    </w:p>
    <w:p w:rsidR="00BB2EC5" w:rsidRPr="00C93F78" w:rsidRDefault="00BB2EC5" w:rsidP="00C93F78">
      <w:pPr>
        <w:pStyle w:val="Standard"/>
        <w:spacing w:before="120" w:after="120" w:line="360" w:lineRule="auto"/>
        <w:jc w:val="both"/>
        <w:rPr>
          <w:rFonts w:ascii="Times New Roman" w:hAnsi="Times New Roman"/>
          <w:sz w:val="24"/>
          <w:szCs w:val="24"/>
        </w:rPr>
      </w:pPr>
      <w:r w:rsidRPr="00C93F78">
        <w:rPr>
          <w:rFonts w:ascii="Times New Roman" w:hAnsi="Times New Roman" w:cs="Times New Roman"/>
          <w:sz w:val="24"/>
          <w:szCs w:val="24"/>
          <w:u w:val="single"/>
        </w:rPr>
        <w:t>- ust. 1</w:t>
      </w:r>
      <w:r w:rsidRPr="00C93F78">
        <w:rPr>
          <w:rFonts w:ascii="Times New Roman" w:hAnsi="Times New Roman" w:cs="Times New Roman"/>
          <w:sz w:val="24"/>
          <w:szCs w:val="24"/>
        </w:rPr>
        <w:t xml:space="preserve"> przepis wskazuje na obowiązek informacyjny podatnika, który uwzględni w kosztach uzyskania przychodów wartość rynkową składnika majątku, w tym przedsiębiorstwa lub jego zorganizowanej części, określoną w państwie członkowskim Unii Europejskiej dla celów opodatkowania podatkiem równoważnym do opodatkowania dochodów z niezrealizowanych zysków, o którym mowa w art. 30h. Podatnik obowiązany będzie dołączyć do zeznania, składanego za rok podatkowy informację o wysokości wartości rynkowej tego składnika. Do informacji tej podatnik jest obowiązany dołączyć dokument wydany lub potwierdzony przez właściwy organ państwa o wysokości wartości rynkowej tego składnika.</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 2 wskazuje, że informację należy złożyć do właściwego naczelnika urzędu skarbowego wraz z dokumentem wydanym przez właściwy organ państwa poprzedniej rezydencji (miejsca położenia zakładu zagranicznego) potwierdzający wartość rynkową tego składnika.</w:t>
      </w:r>
    </w:p>
    <w:p w:rsidR="00BB2EC5" w:rsidRPr="00C93F78" w:rsidRDefault="00BB2EC5" w:rsidP="00C93F78">
      <w:pPr>
        <w:pStyle w:val="Standard"/>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3 stanowi, że naczelnik urzędu skarbowego, na podstawie otrzymanej informacji, oraz ewentualnie innych zebranych dowodów w sprawie może wydać decyzję, w której określi inną wartość składnika majątku, w tym przedsiębiorstwa lub jego zorganizowanej części , jeżeli wartość zadeklarowana przez podatnika jest zawyżona w stosunku do faktycznej wartości rynkowej.</w:t>
      </w:r>
    </w:p>
    <w:p w:rsidR="00BB2EC5" w:rsidRPr="00C93F78" w:rsidRDefault="00BB2EC5" w:rsidP="00C93F78">
      <w:pPr>
        <w:pStyle w:val="Standard"/>
        <w:spacing w:before="120" w:after="240" w:line="360" w:lineRule="auto"/>
        <w:jc w:val="both"/>
        <w:rPr>
          <w:rFonts w:ascii="Times New Roman" w:hAnsi="Times New Roman"/>
          <w:sz w:val="24"/>
          <w:szCs w:val="24"/>
        </w:rPr>
      </w:pPr>
      <w:r w:rsidRPr="00C93F78">
        <w:rPr>
          <w:rFonts w:ascii="Times New Roman" w:hAnsi="Times New Roman" w:cs="Times New Roman"/>
          <w:sz w:val="24"/>
          <w:szCs w:val="24"/>
          <w:u w:val="single"/>
        </w:rPr>
        <w:t>Art. 30o</w:t>
      </w:r>
      <w:r w:rsidRPr="00C93F78">
        <w:rPr>
          <w:rFonts w:ascii="Times New Roman" w:hAnsi="Times New Roman" w:cs="Times New Roman"/>
          <w:sz w:val="24"/>
          <w:szCs w:val="24"/>
        </w:rPr>
        <w:t xml:space="preserve"> zawiera przepis upoważniający ministra właściwego do spraw finansów publicznych do wydania rozporządzenia określającego wzory deklaracji i informacji, o których mowa w art. 30h ust. 12 i w art. 30o ust. 1, wraz z objaśnieniami co do sposobu ich wypełniania, terminu i miejsca składania oraz niezbędnymi pouczeniami, mając na uwadze umożliwienie identyfikacji urzędu skarbowego, do którego jest kierowany formularz, identyfikacji podatnika, zastosowanej metody wyceny wartości rynkowej oraz poprawne obliczenie podatku przez podatnika.</w:t>
      </w:r>
    </w:p>
    <w:p w:rsidR="001C361D" w:rsidRPr="00C93F78" w:rsidRDefault="001C361D"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834070" w:rsidRPr="00C93F78">
        <w:rPr>
          <w:rFonts w:ascii="Times New Roman" w:eastAsia="Calibri" w:hAnsi="Times New Roman" w:cs="Times New Roman"/>
          <w:sz w:val="24"/>
          <w:szCs w:val="24"/>
        </w:rPr>
        <w:t xml:space="preserve">28 </w:t>
      </w:r>
      <w:r w:rsidRPr="00C93F78">
        <w:rPr>
          <w:rFonts w:ascii="Times New Roman" w:eastAsia="Calibri" w:hAnsi="Times New Roman" w:cs="Times New Roman"/>
          <w:sz w:val="24"/>
          <w:szCs w:val="24"/>
        </w:rPr>
        <w:t>- zmiany dotyczące art. 30</w:t>
      </w:r>
      <w:r w:rsidR="009113E8" w:rsidRPr="00C93F78">
        <w:rPr>
          <w:rFonts w:ascii="Times New Roman" w:eastAsia="Calibri" w:hAnsi="Times New Roman" w:cs="Times New Roman"/>
          <w:sz w:val="24"/>
          <w:szCs w:val="24"/>
        </w:rPr>
        <w:t>f ustawy o PIT.</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Zmiany w zakresie przepisów o opodatkowaniu dochodu kontrolowanej spółki zagranicznej (CFC) mają głównie charakter doprecyzowujący i podnoszący efektywność przepisów </w:t>
      </w:r>
      <w:r w:rsidRPr="00C93F78">
        <w:rPr>
          <w:rFonts w:ascii="Times New Roman" w:eastAsia="Calibri" w:hAnsi="Times New Roman" w:cs="Times New Roman"/>
          <w:sz w:val="24"/>
          <w:szCs w:val="24"/>
        </w:rPr>
        <w:br/>
        <w:t xml:space="preserve">o zagranicznej spółce kontrolowanej, w szczególności wobec definicji zagranicznej spółki </w:t>
      </w:r>
      <w:r w:rsidRPr="00C93F78">
        <w:rPr>
          <w:rFonts w:ascii="Times New Roman" w:eastAsia="Calibri" w:hAnsi="Times New Roman" w:cs="Times New Roman"/>
          <w:sz w:val="24"/>
          <w:szCs w:val="24"/>
        </w:rPr>
        <w:br/>
        <w:t xml:space="preserve">(po zmianach już „zagranicznej jednostki”) oraz definicji kontroli. Ponadto, zmiany objęte projektem w pewnym zakresie dotyczą częściowej implementacji dyrektywy Rady 2016/1164 z dnia 12 lipca 2016 r ustanawiającej przepisy mające na celu przeciwdziałanie praktykom unikania opodatkowania, które mają bezpośredni wpływ na funkcjonowanie rynku wewnętrznego (ATAD). Motywem przewodnim zmian jest zwiększenie efektywności i precyzji przepisów o CFC wobec zagranicznych podmiotów nieznanych polskiemu systemowi prawnemu lub funkcjonujących w oparciu o zupełnie inne rozwiązanie prawne. Dotyczy to w szczególności zagranicznych fundacji i trustów i podobnych podmiotów / tytułów prawnych. Objęcie tych ostatnich przepisami o CFC jest bardzo istotne dla zapewnienia efektywności przepisów o CFC, ponieważ dochody uzyskiwane i akumulowane przez zagraniczne fundacje i trusty są często nieopodatkowane. Objęcie trustów i fundacji podmiotowym zakresem zastosowania przepisów o CFC jest również rekomendowane przez OECD w Planie Działania BEPS nr 3 w ramach Projektu </w:t>
      </w:r>
      <w:r w:rsidRPr="00C93F78">
        <w:rPr>
          <w:rFonts w:ascii="Times New Roman" w:eastAsia="Calibri" w:hAnsi="Times New Roman" w:cs="Times New Roman"/>
          <w:i/>
          <w:sz w:val="24"/>
          <w:szCs w:val="24"/>
        </w:rPr>
        <w:t>Base Erosion and Profit Shifting</w:t>
      </w:r>
      <w:r w:rsidRPr="00C93F78">
        <w:rPr>
          <w:rFonts w:ascii="Times New Roman" w:eastAsia="Calibri" w:hAnsi="Times New Roman" w:cs="Times New Roman"/>
          <w:sz w:val="24"/>
          <w:szCs w:val="24"/>
        </w:rPr>
        <w:t xml:space="preserve"> (BEPS), aby uniemożliwić podatnikom obejście zastosowania tych przepisów przez zmianę formy organizacyjnoprawnej zagranicznych podmiotów, za pomocą których unikają opodatkowania</w:t>
      </w:r>
      <w:r w:rsidRPr="00C93F78">
        <w:rPr>
          <w:rFonts w:ascii="Times New Roman" w:eastAsia="Calibri" w:hAnsi="Times New Roman" w:cs="Times New Roman"/>
          <w:sz w:val="24"/>
          <w:szCs w:val="24"/>
          <w:vertAlign w:val="superscript"/>
        </w:rPr>
        <w:footnoteReference w:id="45"/>
      </w:r>
      <w:r w:rsidRPr="00C93F78">
        <w:rPr>
          <w:rFonts w:ascii="Times New Roman" w:eastAsia="Calibri" w:hAnsi="Times New Roman" w:cs="Times New Roman"/>
          <w:sz w:val="24"/>
          <w:szCs w:val="24"/>
        </w:rPr>
        <w:t>. Ze wskazanych powodów, zagraniczne fundacje i trusty oraz podobnie funkcjonujące zagraniczne jednostki / tytuły powinny zawierać się w definicji zagranicznej jednostki, a następnie CFC.</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Lit a)</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 związku z objęciem zakresem oddziaływania polskich regulacji CFC innych zagranicznych form prawnych (np. zagranicznych trustów oraz fundacji prawa prywatnego) postuluje się zmianę nazwy na „zagraniczna jednostka” oraz „zagraniczna jednostka kontrolowana” (w miejsce odpowiednio „zagranicznej spółki” oraz „zagranicznej spółki kontrolowanej”).</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Zgodnie z art. 7 ust. 1 dyrektywy ATAD,</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t>
      </w:r>
      <w:r w:rsidRPr="00C93F78">
        <w:rPr>
          <w:rFonts w:ascii="Times New Roman" w:eastAsia="Calibri" w:hAnsi="Times New Roman" w:cs="Times New Roman"/>
          <w:i/>
          <w:sz w:val="24"/>
          <w:szCs w:val="24"/>
        </w:rPr>
        <w:t>Państwo członkowskie podatnika traktuje podmiot lub stały zakład, którego zyski nie podlegają opodatkowaniu lub są zwolnione z podatku w tym państwie członkowskim, jako kontrolowaną spółkę zagraniczną, gdy spełnione są następujące warunki: a) w przypadku podmiotu – podatnik, samodzielnie lub razem ze swoimi przedsiębiorstwami powiązanymi, posiada bezpośredni lub pośredni udział wynoszący ponad 50 % praw głosu lub jest właścicielem – bezpośrednio lub pośrednio – ponad 50 % kapitału lub ma prawo do ponad 50 % zysków tego podmiotu; oraz b) podatek od osób prawnych z tytułu zysków takiej spółki faktycznie zapłacony przez podmiot lub stały zakład jest niższy niż różnica między podatkiem od osób prawnych, który zostałby pobrany od podmiotu lub stałego zakładu w ramach systemu podatku od osób prawnych mającego zastosowanie w państwie członkowskim podatnika a podatkiem od osób prawnych z tytułu zysków takiej spółki faktycznie zapłaconym przez podmiot lub stały zakład. Na użytek akapitu pierwszego lit. b) nie uwzględnia się stałego zakładu kontrolowanej spółki zagranicznej, który nie podlega opodatkowaniu, lub jest zwolniony z podatku w jurysdykcji kontrolowanej spółki zagranicznej. Ponadto podatek od osób prawnych, który zostałby pobrany w państwie członkowskim podatnika, oznacza podatek naliczony według przepisów państwa członkowskiego podatnika</w:t>
      </w:r>
      <w:r w:rsidRPr="00C93F78">
        <w:rPr>
          <w:rFonts w:ascii="Times New Roman" w:eastAsia="Calibri" w:hAnsi="Times New Roman" w:cs="Times New Roman"/>
          <w:sz w:val="24"/>
          <w:szCs w:val="24"/>
        </w:rPr>
        <w:t>.”</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Ponadto, w punkcie 12 preambuły do dyrektywy ATAD stwierdzono, że</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t>
      </w:r>
      <w:r w:rsidRPr="00C93F78">
        <w:rPr>
          <w:rFonts w:ascii="Times New Roman" w:eastAsia="Calibri" w:hAnsi="Times New Roman" w:cs="Times New Roman"/>
          <w:i/>
          <w:sz w:val="24"/>
          <w:szCs w:val="24"/>
        </w:rPr>
        <w:t>W wyniku stosowania zasad dotyczących kontrolowanych spółek zagranicznych dochody kontrolowanej jednostki zależnej, która jest nisko opodatkowana, są przypisywane z powrotem jej jednostce dominującej. Jednostka dominująca podlega wówczas opodatkowaniu z tytułu takiego przypisanego dochodu w państwie, w którym jest rezydentem do celów podatkowych. W zależności od priorytetów politycznych zainteresowanego państwa zasady dotyczące kontrolowanych spółek zagranicznych mogą być ukierunkowane na całą nisko opodatkowaną jednostkę zależną, konkretne kategorie dochodów lub też mogą się ograniczać tylko do dochodu, który został w sposób sztuczny skierowany do tej jednostki zależnej. W szczególności, w celu zapewnienia, że zasady dotyczące kontrolowanych spółek zagranicznych stanowią proporcjonalną odpowiedź na problem erozji podstawy opodatkowania i przenoszenia zysków, niezwykle ważne jest, by państwa członkowskie ograniczające swoje regulacje w tym zakresie do dochodu, który został sztucznie przekierowany do jednostki zależnej, precyzyjnie ukierunkowały przepisy tak, by miały zastosowanie do sytuacji, w których większość funkcji decyzyjnych, które wygenerowały przekierowany dochód na poziomie kontrolowanej jednostki zależnej, jest wykonywana w państwie członkowskim podatnika.</w:t>
      </w:r>
      <w:r w:rsidRPr="00C93F78">
        <w:rPr>
          <w:rFonts w:ascii="Times New Roman" w:eastAsia="Calibri" w:hAnsi="Times New Roman" w:cs="Times New Roman"/>
          <w:sz w:val="24"/>
          <w:szCs w:val="24"/>
        </w:rPr>
        <w:t>”</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Zatem zarówno treść art. 7 ust. 1 ATAD, jak i punkt 12 preambuły do ATAD posługują się wyrażeniem „jednostka” w odniesieniu do zagranicznego podmiotu, który może być uznany za zagraniczną spółkę kontrolowaną. Natomiast obecna treść przepisów dotyczących zagranicznych spółek kontrolowanych posługuje się wyrażeniem „zagraniczna spółka” oraz „zagraniczna spółka kontrolowana”, co nie oddaje precyzyjnie języka użytego przez ustawodawcę unijnego. To w efekcie może prowadzić do objęcia przedmiotowym zakresem zastosowania przepisów o CFC zbyt wąskiej grupy przypadków kontroli sprawowanej przez polskich podatników,</w:t>
      </w:r>
      <w:r w:rsidR="00214B8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tj. wyłącznie względem zagranicznych spółek, zamiast szerszej grupy podmiotów, jak na przykład zagranicznych podatkowych grup kapitałowych (dalej: PGK), fundacji i trustów, czy też innych podmiotów, mimo, iż język </w:t>
      </w:r>
      <w:r w:rsidRPr="00C93F78">
        <w:rPr>
          <w:rFonts w:ascii="Times New Roman" w:eastAsia="Calibri" w:hAnsi="Times New Roman" w:cs="Times New Roman"/>
          <w:sz w:val="24"/>
          <w:szCs w:val="24"/>
        </w:rPr>
        <w:br/>
        <w:t xml:space="preserve">art. 7 i 8 ATAD oraz punkt 12 preambuły do ATAD implikuje, że ww. podmioty (tj. inne niż spółki) powinny być objęte zastosowaniem przepisów o CFC. Potwierdza to także OECD w Planie Działania BEPS nr 3 w ramach Projektu </w:t>
      </w:r>
      <w:r w:rsidRPr="00C93F78">
        <w:rPr>
          <w:rFonts w:ascii="Times New Roman" w:eastAsia="Calibri" w:hAnsi="Times New Roman" w:cs="Times New Roman"/>
          <w:i/>
          <w:sz w:val="24"/>
          <w:szCs w:val="24"/>
        </w:rPr>
        <w:t>Base Erosion and Profit Shifting</w:t>
      </w:r>
      <w:r w:rsidRPr="00C93F78">
        <w:rPr>
          <w:rFonts w:ascii="Times New Roman" w:eastAsia="Calibri" w:hAnsi="Times New Roman" w:cs="Times New Roman"/>
          <w:sz w:val="24"/>
          <w:szCs w:val="24"/>
        </w:rPr>
        <w:t xml:space="preserve"> (BEPS), gdyż zgodnie z rekomendacjami OECD, przepisy o CFC powinny dotyczyć również trustów i fundacji, aby uniemożliwić podatnikom obejście zastosowania tych przepisów przez zmianę formy organizacyjnoprawnej zagranicznych podmiotów, za pomocą których unikają opodatkowania . Należy tutaj pamiętać, że jednym z głównych celów ATAD jest realizacja części zaleceń OECD, sformułowanych w raportach końcowych BEPS, wpisując je w kontekst prawny funkcjonujący w państwach członkowskich</w:t>
      </w:r>
      <w:r w:rsidRPr="00C93F78">
        <w:rPr>
          <w:rFonts w:ascii="Times New Roman" w:eastAsia="Calibri" w:hAnsi="Times New Roman" w:cs="Times New Roman"/>
          <w:sz w:val="24"/>
          <w:szCs w:val="24"/>
          <w:vertAlign w:val="superscript"/>
        </w:rPr>
        <w:footnoteReference w:id="46"/>
      </w:r>
      <w:r w:rsidRPr="00C93F78">
        <w:rPr>
          <w:rFonts w:ascii="Times New Roman" w:eastAsia="Calibri" w:hAnsi="Times New Roman" w:cs="Times New Roman"/>
          <w:sz w:val="24"/>
          <w:szCs w:val="24"/>
        </w:rPr>
        <w:t>. Dotyczy to między innymi implementacji Planu Działania nr 3, a więc rekomendacji w zakresie skutecznych przepisów o CFC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Ze wskazanych powodów w celu zapewnienia zgodności przepisów o CFC z ATAD w sposób precyzyjny i efektywny, wprowadzono przedmiotowe zmiany – patrz bezpośrednio poniżej </w:t>
      </w:r>
      <w:r w:rsidRPr="00C93F78">
        <w:rPr>
          <w:rFonts w:ascii="Times New Roman" w:eastAsia="Calibri" w:hAnsi="Times New Roman" w:cs="Times New Roman"/>
          <w:sz w:val="24"/>
          <w:szCs w:val="24"/>
        </w:rPr>
        <w:br/>
        <w:t>Lit b) – w przepisach o CFC. Należy również zauważyć, że w konsekwencji zmian w przepisach o CFC zgodnie z art. 7 ust. 1 ATAD a także pośrednio z Planem Działania BEPS nr 3 (precyzyjna i efektywna implementacja), oprócz ww. zmian językowych zaistniała potrzeba rozbudowania katalogu zagranicznych jednostek oraz rozbudowania i doprecyzowania przesłanek ukonstytuowania się zagranicznych jednostek. Szczegółowe uzasadnienie do tych zmian znajduje się poniżej. Każdy element wynika z konieczności efektywnej implementacji art. 7 ust. 1 ATAD oraz jest zgodny z art. 3 ATAD, ustanawiającym minimalny poziom ochrony krajowych systemów podatku od osób prawnych, w celu przeciwdziałania praktykom unikania opodatkowania w UE. W szczególności, art. 3 ATAD umożliwia państwom członkowskim wprowadzenie w życie uregulowań CFC bardziej restrykcyjnych niż te zaproponowane w art. 7 i 8 ATAD.</w:t>
      </w:r>
    </w:p>
    <w:p w:rsidR="008F17E4" w:rsidRPr="00C93F78" w:rsidRDefault="008F17E4" w:rsidP="00C93F78">
      <w:pPr>
        <w:spacing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 xml:space="preserve">Lit b)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 xml:space="preserve">Pkt 1)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 lit. d) dodaje się lit. e) do g), które rozszerzają podmiotowy zakres zagranicznych jednostek o trzy grupy podmiotów: (i) zagraniczne fundacje, trusty lub inne podmioty / tytuły o</w:t>
      </w:r>
      <w:r w:rsidR="00214B8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charakterze powierniczym; (ii) zagraniczne </w:t>
      </w:r>
      <w:r w:rsidR="00EE2A50" w:rsidRPr="00C93F78">
        <w:rPr>
          <w:rFonts w:ascii="Times New Roman" w:eastAsia="Calibri" w:hAnsi="Times New Roman" w:cs="Times New Roman"/>
          <w:sz w:val="24"/>
          <w:szCs w:val="24"/>
        </w:rPr>
        <w:t xml:space="preserve">podatkowe </w:t>
      </w:r>
      <w:r w:rsidRPr="00C93F78">
        <w:rPr>
          <w:rFonts w:ascii="Times New Roman" w:eastAsia="Calibri" w:hAnsi="Times New Roman" w:cs="Times New Roman"/>
          <w:sz w:val="24"/>
          <w:szCs w:val="24"/>
        </w:rPr>
        <w:t xml:space="preserve">grupy kapitałowe lub spółki z grupy, które samodzielnie spełniają przesłanki z art. 24a ust. 3 pkt 3 lit. c ustawy; (iii) oraz wydzielone organizacyjnie lub prawnie części zagranicznych spółek lub innych podmiotów mających lub niemających osobowości prawnej. Objęcie fundacji i trustów związane jest z głównym celem przedmiotowych zmian polegającym na zwiększeniu efektywności stosowania przepisów o CFC w ogólności. Natomiast wskazanie zagranicznej podatkowej grupy kapitałowej lub jednej z jej spółek, jako zagranicznej jednostki, nie tylko wypełnia istniejącą lukę (brak uznania lub duże wątpliwości z uznaniem zagranicznej podatkowej grupy kapitałowej za zagraniczną spółkę), ale i zapewnia symetrię w stosowaniu przepisów o CFC: tak jak polskie grupy kapitałowe mogą być podatnikami na potrzeby </w:t>
      </w:r>
      <w:r w:rsidR="006B2F1A" w:rsidRPr="00C93F78">
        <w:rPr>
          <w:rFonts w:ascii="Times New Roman" w:eastAsia="Calibri" w:hAnsi="Times New Roman" w:cs="Times New Roman"/>
          <w:sz w:val="24"/>
          <w:szCs w:val="24"/>
        </w:rPr>
        <w:t>przepisów o</w:t>
      </w:r>
      <w:r w:rsidRPr="00C93F78">
        <w:rPr>
          <w:rFonts w:ascii="Times New Roman" w:eastAsia="Calibri" w:hAnsi="Times New Roman" w:cs="Times New Roman"/>
          <w:sz w:val="24"/>
          <w:szCs w:val="24"/>
        </w:rPr>
        <w:t xml:space="preserve"> CFC, tak i zagraniczne podatkowe grupy kapitałowe mogą być zagranicznymi spółkami kontrolowanymi (CFC). Wreszcie objęcie wydzielonych organizacyjnie lub prawnie części zagranicznych spółek lub innych jednostek mających lub niemających osobowości prawnej zakresem definicyjnym zagranicznej jednostki pozwoli na doszczelnienie przepisów o CFC wobec struktur, w których grupuje się niepowiązane osoby kontrolujące zagraniczne podmioty, tworzące przykładowo tzw. uwięzione spółki ubezpieczeniowe (ang. </w:t>
      </w:r>
      <w:r w:rsidRPr="00C93F78">
        <w:rPr>
          <w:rFonts w:ascii="Times New Roman" w:eastAsia="Calibri" w:hAnsi="Times New Roman" w:cs="Times New Roman"/>
          <w:i/>
          <w:sz w:val="24"/>
          <w:szCs w:val="24"/>
        </w:rPr>
        <w:t>captive insurance companies</w:t>
      </w:r>
      <w:r w:rsidRPr="00C93F78">
        <w:rPr>
          <w:rFonts w:ascii="Times New Roman" w:eastAsia="Calibri" w:hAnsi="Times New Roman" w:cs="Times New Roman"/>
          <w:sz w:val="24"/>
          <w:szCs w:val="24"/>
        </w:rPr>
        <w:t xml:space="preserve">) w rajach podatkowych lub innych bardzo preferencyjnych jurysdykcjach podatkowych, tak by nie został przekroczony indywidualny próg kontroli powodujący klasyfikację zagranicznego podmiotu jako CFC. </w:t>
      </w:r>
      <w:r w:rsidRPr="00C93F78">
        <w:rPr>
          <w:rFonts w:ascii="Times New Roman" w:eastAsia="Calibri" w:hAnsi="Times New Roman" w:cs="Times New Roman"/>
          <w:sz w:val="24"/>
          <w:szCs w:val="24"/>
        </w:rPr>
        <w:br/>
        <w:t>W rzeczywistości takie podmioty o rozproszonej kontroli działają przy założeniu, że każda osoba kontrolująca kontroluje wyodrębnioną działalność danej komórki, przypisane do niej wyodrębnione aktywa i zobowiązania oraz odpowiadający dochód.</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Zmienia się ponadto ostatni akapit po myślniku:</w:t>
      </w:r>
    </w:p>
    <w:p w:rsidR="008F17E4" w:rsidRPr="00C93F78" w:rsidRDefault="008F17E4" w:rsidP="00C93F78">
      <w:pPr>
        <w:numPr>
          <w:ilvl w:val="0"/>
          <w:numId w:val="6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poprzez dodanie do przesłanki prawa głosu w organach kontrolnych lub stanowiących również przesłanki prawa głosu w organach zarządzających – to jest zmiana uszczelniająca, gdyż obecna treść przepisów o CFC umożliwia interpretację, zgodnie </w:t>
      </w:r>
      <w:r w:rsidRPr="00C93F78">
        <w:rPr>
          <w:rFonts w:ascii="Times New Roman" w:eastAsia="Calibri" w:hAnsi="Times New Roman" w:cs="Times New Roman"/>
          <w:sz w:val="24"/>
          <w:szCs w:val="24"/>
        </w:rPr>
        <w:br/>
        <w:t>z którą prawo głosu w organie zarządzającym nie jest tożsame z prawem głosu w organie kontrolnym lub stanowiącym;</w:t>
      </w:r>
    </w:p>
    <w:p w:rsidR="008F17E4" w:rsidRPr="00C93F78" w:rsidRDefault="008F17E4" w:rsidP="00C93F78">
      <w:pPr>
        <w:numPr>
          <w:ilvl w:val="0"/>
          <w:numId w:val="6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poprzez rozbudowanie przesłanki prawa do uczestnictwa w zysku o uczestnictwo na bieżąco lub w przyszłości, także jako założyciel</w:t>
      </w:r>
      <w:r w:rsidR="006B2F1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fundator</w:t>
      </w:r>
      <w:r w:rsidR="006B2F1A" w:rsidRPr="00C93F78">
        <w:rPr>
          <w:rFonts w:ascii="Times New Roman" w:eastAsia="Calibri" w:hAnsi="Times New Roman" w:cs="Times New Roman"/>
          <w:sz w:val="24"/>
          <w:szCs w:val="24"/>
        </w:rPr>
        <w:t>)</w:t>
      </w:r>
      <w:r w:rsidRPr="00C93F78">
        <w:rPr>
          <w:rFonts w:ascii="Times New Roman" w:eastAsia="Calibri" w:hAnsi="Times New Roman" w:cs="Times New Roman"/>
          <w:sz w:val="24"/>
          <w:szCs w:val="24"/>
        </w:rPr>
        <w:t xml:space="preserve"> lub beneficjent fundacji lub trustu lub innego podmiotu / tytułu o charakterze powierniczym – to jest zmiana doprecyzowująco-doszczelniająca, gdzie w szczególności obecna treść przepisów o CFC nie przesądza wprost, że uczestnictwo w zysku może odnosić się do fundacji lub trustów i do zysku jeszcze nieuzyskanego przez zagraniczną jednostkę;</w:t>
      </w:r>
    </w:p>
    <w:p w:rsidR="008F17E4" w:rsidRPr="00C93F78" w:rsidRDefault="008F17E4" w:rsidP="00C93F78">
      <w:pPr>
        <w:numPr>
          <w:ilvl w:val="0"/>
          <w:numId w:val="63"/>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poprzez dodanie przesłanki kontroli faktycznej – to jest zmiana mająca na celu zapewnienie stosowania przepisów o CFC do podatników definitywnie kontrolujących zagraniczne jednostki oraz pełni funkcję anty-abuzywną wobec prób obchodzenia progu kontroli nad zagraniczną jednostką (tego typu rozwiązanie rekomenduje OECD w Planie Działania BEPS nr 3</w:t>
      </w:r>
      <w:r w:rsidRPr="00C93F78">
        <w:rPr>
          <w:rFonts w:ascii="Times New Roman" w:eastAsia="Calibri" w:hAnsi="Times New Roman" w:cs="Times New Roman"/>
          <w:sz w:val="24"/>
          <w:szCs w:val="24"/>
          <w:vertAlign w:val="superscript"/>
        </w:rPr>
        <w:footnoteReference w:id="47"/>
      </w:r>
      <w:r w:rsidRPr="00C93F78">
        <w:rPr>
          <w:rFonts w:ascii="Times New Roman" w:eastAsia="Calibri" w:hAnsi="Times New Roman" w:cs="Times New Roman"/>
          <w:sz w:val="24"/>
          <w:szCs w:val="24"/>
        </w:rPr>
        <w:t>).</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Pkt 1a) oraz pkt 1b)</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Dodanie pkt 1a) i 1b) ma na celu doprecyzowanie definicji kontroli ekonomicznej (prawo do uczestnictwa w zysku) i dodanie kontroli faktycznej. Przesłanka prawa do uczestnictwa w zysku funkcjonowała wcześniej, ale proponuje się jej rozszerzenie w szczególności celem objęcia przypadków kontroli sprawowanej względem zagranicznych fundacji, trustów oraz innych podobnych podmiotów lub tytułów prawnych o charakterze powierniczym. Natomiast przesłanka kontroli faktycznej jest treściowo całkowicie nowym kryterium, obejmującym między innymi różnego rodzaju powiązania faktyczne i konsensualne niezależnie od formy ich komunikacji i realizacji (istotnym jest wyraźny lub dorozumiany konsensus, co do tego, kto posiada kontrolę nad zagraniczną jednostką).</w:t>
      </w:r>
      <w:r w:rsidR="00214B8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Wprowadzenie kryterium kontroli faktycznej do przepisów o CFC sprawia, że przepisy te mogą mieć zastosowanie do podatników definitywnie kontrolujących zagraniczne jednostki mimo, że nie kontrolują tych jednostek poprzez powiązania kapitałowe lub właścicielskie lub kapitałowo-właścicielskie. Kontrola faktyczna, zgodnie z rekomendacjami OECD w Planie Działania BEPS nr 3 (vide pkt 35), pełni swoistego rodzaju funkcję anty-abuzywną sanując przypadki unikania innych przesłanek kontroli . Dlatego też, jak każda klauzula anty-abuzywna, kontrola faktyczna musi być ze swej natury normatywnej w pewnym stopniu niedookreślona definicyjnie.</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 xml:space="preserve">Pkt 3) i pkt 4)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Doszczelnienie i doprecyzowanie definicji</w:t>
      </w:r>
      <w:r w:rsidR="00214B8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„jednostki zależnej” oraz „podmiotu powiązanego” polega na:</w:t>
      </w:r>
    </w:p>
    <w:p w:rsidR="008F17E4" w:rsidRPr="00C93F78" w:rsidRDefault="008F17E4" w:rsidP="00C93F78">
      <w:pPr>
        <w:numPr>
          <w:ilvl w:val="0"/>
          <w:numId w:val="64"/>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dodaniu do przesłanki prawa głosu w organach kontrolnych lub stanowiących również przesłanki prawa głosu w organach zarządzających – to jest zmiana uszczelniająca, gdyż obecna treść przepisów o CFC umożliwia interpretację, zgodnie z którą prawo głosu w organie zarządzającym nie jest tożsame z prawem głosu w organie kontrolnym lub stanowiącym, oraz</w:t>
      </w:r>
    </w:p>
    <w:p w:rsidR="008F17E4" w:rsidRPr="00C93F78" w:rsidRDefault="008F17E4" w:rsidP="00C93F78">
      <w:pPr>
        <w:numPr>
          <w:ilvl w:val="0"/>
          <w:numId w:val="64"/>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zastąpieniu wyrażenia „udziałów związanych z prawem do uczestnictwa w zyskach zagranicznej spółki”, wyrażeniem „prawo do uczestnictwa w zysku”, ponieważ udziały związane z prawem do uczestnictwa w zyskach zagranicznej spółki mogą funkcjonować jako udziały uprzywilejowane i w związku z ich uprzywilejowaniem mogą przyznawać prawo do procentowego udziału w zysku zagranicznej spółki znacznie przewyższające ich nominalną wartość procentową. To może obniżać efektywność przepisów o CFC w zapobieganiu unikania opodatkowania z wykorzystaniem CFC. Natomiast sformułowanie „prawo do uczestnictwa w zysku” jest bardziej precyzyjne oraz zostało użyte przez ustawodawcę w ramach definicji zagranicznej spółki oraz w art. 5 ust. 1 updop i art. 8 ust. 1 updof w odniesieniu do opodatkowania dochodu wspólników z tytułu udziału w zysku w transparentnych spółkach osobowych. Zatem użycie wyrażenia „praw do uczestnictwa w zysku zagranicznej spółki” jest uzasadnione w świetle systematyki art. 5 ust. 1 updop i art. 8 ust. 1 updof. Zmiana ta wystąpi również w kolejnych jednostkach art. 30f ustawy, w których obecnie użyte jest wyrażenie „udziałów związanych z prawem do uczestnictwa w zyskach zagranicznej spółki”.</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Lit c)</w:t>
      </w:r>
      <w:r w:rsidRPr="00C93F78">
        <w:rPr>
          <w:rFonts w:ascii="Times New Roman" w:eastAsia="Calibri" w:hAnsi="Times New Roman" w:cs="Times New Roman"/>
          <w:sz w:val="24"/>
          <w:szCs w:val="24"/>
        </w:rPr>
        <w:t xml:space="preserve">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Dodanie pkt 2a i 2b uszczelnia objęcie odpowiednio zagranicznych fundacji i trustów lub podobnych jednostek lub tytułów prawnych o charakterze powierniczym oraz zagranicznych stałych zakładów zagranicznej jednostki zakresem definicji zagranicznej jednostki. W przypadku pierwszej kategorii jednostek celem nowej normy prawnej jest zapobieżenie unikania przepisów o CFC poprzez wyzbycie kontroli nad zagraniczną jednostką, przykładowo poprzez utworzenie trustu o charakterze nieodwołalnym i dyskrecjonalnym. W takim przypadku zastosowanie znajdzie domniemanie prawne powodujące, że podatnikiem może być założyciel (fundator) albo beneficjent będący polskimi rezydentami podatkowymi. Druga kategoria jednostek odnosi się do przypadków zagranicznych zakładów zagranicznych jednostek w sytuacji, gdy oceniana indywidualnie część macierzysta zagranicznego przedsiębiorstwa może nie spełniać definicji zagranicznej jednostki kontrolowanej. Wówczas, pod tym kątem zbadaniu powinien podlegać jej zagraniczny zakład położony w państwie trzecim. </w:t>
      </w:r>
    </w:p>
    <w:p w:rsidR="008F17E4" w:rsidRPr="00C93F78" w:rsidRDefault="008F17E4" w:rsidP="00C93F78">
      <w:pPr>
        <w:spacing w:after="120" w:line="360" w:lineRule="auto"/>
        <w:jc w:val="both"/>
        <w:rPr>
          <w:rFonts w:ascii="Times New Roman" w:eastAsia="Calibri" w:hAnsi="Times New Roman" w:cs="Times New Roman"/>
          <w:b/>
          <w:sz w:val="24"/>
          <w:szCs w:val="24"/>
          <w:lang w:val="nb-NO"/>
        </w:rPr>
      </w:pPr>
      <w:r w:rsidRPr="00C93F78">
        <w:rPr>
          <w:rFonts w:ascii="Times New Roman" w:eastAsia="Calibri" w:hAnsi="Times New Roman" w:cs="Times New Roman"/>
          <w:b/>
          <w:sz w:val="24"/>
          <w:szCs w:val="24"/>
          <w:lang w:val="nb-NO"/>
        </w:rPr>
        <w:t xml:space="preserve">Lit d) </w:t>
      </w:r>
    </w:p>
    <w:p w:rsidR="008F17E4" w:rsidRPr="00C93F78" w:rsidRDefault="00EE2A50" w:rsidP="00C93F78">
      <w:pPr>
        <w:spacing w:after="120" w:line="360" w:lineRule="auto"/>
        <w:jc w:val="both"/>
        <w:rPr>
          <w:rFonts w:ascii="Times New Roman" w:eastAsia="Calibri" w:hAnsi="Times New Roman" w:cs="Times New Roman"/>
          <w:sz w:val="24"/>
          <w:szCs w:val="24"/>
          <w:lang w:val="nb-NO"/>
        </w:rPr>
      </w:pPr>
      <w:r w:rsidRPr="00C93F78">
        <w:rPr>
          <w:rFonts w:ascii="Times New Roman" w:eastAsia="Calibri" w:hAnsi="Times New Roman" w:cs="Times New Roman"/>
          <w:b/>
          <w:sz w:val="24"/>
          <w:szCs w:val="24"/>
          <w:lang w:val="nb-NO"/>
        </w:rPr>
        <w:t xml:space="preserve">W ust 3 pkt 1 </w:t>
      </w:r>
      <w:r w:rsidR="008F17E4" w:rsidRPr="00C93F78">
        <w:rPr>
          <w:rFonts w:ascii="Times New Roman" w:eastAsia="Calibri" w:hAnsi="Times New Roman" w:cs="Times New Roman"/>
          <w:b/>
          <w:sz w:val="24"/>
          <w:szCs w:val="24"/>
          <w:lang w:val="nb-NO"/>
        </w:rPr>
        <w:t xml:space="preserve">i pkt 2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Doprecyzowanie definicji zagranicznej jednostki kontrolowanej z raju podatkowego oraz zagranicznej jednostki kontrolowanej z „państwa bezumownego” polega na tym, że kryteria siedziby i zarządu rozszerza się o kryteria rejestracji lub położenia, ponieważ zagraniczne fundacje, trusty, grupy kapitałowe, bądź wydzielone organizacyjnie lub prawnie części zagranicznych spółek lub innych podmiotów mających lub niemających osobowości prawnej mogą nie mieć siedziby lub zarządu, lecz będą zarejestrowane lub będą posiadać dane położenie (lokalizacje).</w:t>
      </w:r>
    </w:p>
    <w:p w:rsidR="00EE2A50" w:rsidRPr="00C93F78" w:rsidRDefault="00EE2A50"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Doszczelnienie i doprecyzowanie definicji zagranicznej jednostki kontrolowanej z „państwa bezumownego” polega na zastąpieniu sformułowania „nie zawarła umowy międzynarodowej” sformułowaniem „nie ratyfikowała umowy międzynarodowej” wynika z potrzeby doprecyzowania i zapewnienia efektywności przepisów o CFC. Otóż, umowy międzynarodowe „zawarte” przez Polskę lub UE, ale jeszcze nie „ratyfikowane”, nie mogą być podstawą do uzyskania informacji podatkowych, ponieważ nie obowiązują i dlatego nie mają zastosowania. Zmiana sformułowania „nie zawarła umowy międzynarodowej” sformułowaniem „nie ratyfikowała umowy międzynarodowej” rozwiewa ww. wątpliwość i wprost ukazuje, że znacznie dla ustawodawcy ma faktyczna możliwość uzyskania informacji podatkowych w oparciu o aktualnie obowiązują podstawę prawną.</w:t>
      </w:r>
    </w:p>
    <w:p w:rsidR="008F17E4" w:rsidRPr="00C93F78" w:rsidRDefault="00EE2A50"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W ust 3 pkt 3 lit a)</w:t>
      </w:r>
      <w:r w:rsidR="009113E8" w:rsidRPr="00C93F78">
        <w:rPr>
          <w:rFonts w:ascii="Times New Roman" w:eastAsia="Calibri" w:hAnsi="Times New Roman" w:cs="Times New Roman"/>
          <w:b/>
          <w:sz w:val="24"/>
          <w:szCs w:val="24"/>
        </w:rPr>
        <w:t xml:space="preserve">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Doszczelnienie i doprecyzowanie definicji zagranicznej jednostki kontrolowanej z „państwa umownego” polega na dodaniu do przesłanki prawa głosu w organach kontrolnych lub stanowiących również przesłanki prawa głosu w organach zarządzających oraz na dodaniu przesłanki kontroli faktycznej.</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Lit e)</w:t>
      </w:r>
      <w:r w:rsidRPr="00C93F78">
        <w:rPr>
          <w:rFonts w:ascii="Times New Roman" w:eastAsia="Calibri" w:hAnsi="Times New Roman" w:cs="Times New Roman"/>
          <w:sz w:val="24"/>
          <w:szCs w:val="24"/>
        </w:rPr>
        <w:t xml:space="preserve"> Dodanie ust. 3b jest konsekwencją rozszerzenia listy podmiotów, który mogą być uznane za zagraniczne jednostki, o zagraniczne podatkowe grupy kapitałowe. Przepis ten ma na celu doprecyzowanie ustalania kontroli wobec takich grup poprzez odniesienie się do spółki dominującej lub wobec wszystkich spółek z grupy. W praktyce bowiem mogą wystąpić relacje między polskim podatnikiem a zagraniczną podatkową grupą kapitałową poprzez:</w:t>
      </w:r>
    </w:p>
    <w:p w:rsidR="00C91A6C" w:rsidRPr="00C93F78" w:rsidRDefault="00C91A6C"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1. </w:t>
      </w:r>
      <w:r w:rsidR="008F17E4" w:rsidRPr="00C93F78">
        <w:rPr>
          <w:rFonts w:ascii="Times New Roman" w:eastAsia="Calibri" w:hAnsi="Times New Roman" w:cs="Times New Roman"/>
          <w:sz w:val="24"/>
          <w:szCs w:val="24"/>
        </w:rPr>
        <w:t xml:space="preserve">powiązania wobec spółki dominującej, która to z kolei posiada udziały/akcje w spółkach zależnych z grupy, lub </w:t>
      </w:r>
    </w:p>
    <w:p w:rsidR="008F17E4" w:rsidRPr="00C93F78" w:rsidRDefault="00C91A6C"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2. </w:t>
      </w:r>
      <w:r w:rsidR="008F17E4" w:rsidRPr="00C93F78">
        <w:rPr>
          <w:rFonts w:ascii="Times New Roman" w:eastAsia="Calibri" w:hAnsi="Times New Roman" w:cs="Times New Roman"/>
          <w:sz w:val="24"/>
          <w:szCs w:val="24"/>
        </w:rPr>
        <w:t xml:space="preserve">wobec wszystkich spółek z grupy (np. gdy nie występuje spółka dominująca).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Ustalanie kontroli obejmuje nie tylko spółki z podatkowej grupy kapitałowej mające siedzibę lub zarząd lub zarejestrowane lub mające lokalizacje w państwie, w którym zarejestrowana jest zagraniczna podatkowa grupa kapitałowa, ale i spółki z innych państw, o ile są one częścią tej zagranicznej podatkowej grupy kapitałowej.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 przypadku ustalania poziomu kontroli wobec wszystkich spółek z grupy należy zsumować poziom kontroli wobec każdej ze spółek z osobna a następnie podzielić tak ustalony poziom kontroli przez liczbę spółek.</w:t>
      </w:r>
    </w:p>
    <w:p w:rsidR="00EE2A50" w:rsidRPr="00C93F78" w:rsidRDefault="00EE2A50" w:rsidP="00C93F78">
      <w:pPr>
        <w:spacing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sz w:val="24"/>
          <w:szCs w:val="24"/>
        </w:rPr>
        <w:t xml:space="preserve">Dodanie ust. 3c: w związku z faktem, że zagraniczną jednostką zgodnie z ust. 2 pkt 1 lit. f może być spółka z zagranicznej podatkowej grupy kapitałowej, która samodzielnie spełnia warunek z ust. 3 pkt 3 lit. c, spełnienie tego warunku wobec tej spółki należy ustalić poprzez odniesienie się do podatku, który zostałby przez tę spółkę zapłacony, gdyby ta spółka nie była częścią tej zagranicznej podatkowej grupy kapitałowej. Taki rozwiązanie jest koniecznie z racji tego, że spółka z zagranicznej podatkowej grupy kapitałowej może nie być oddzielnym podatnikiem (może nim być wyłącznie grupa) i dlatego może nie spełnić warunku podatku faktycznie zapłaconego o 50% mniej od analogicznego opodatkowania w Polsce z ust. 3 pkt 3 lit. c). Weryfikacji, czy przedmiotowa spółka z zagranicznej podatkowej grupy podatkowej może samodzielnie spełniać kryterium niskiego poziomu opodatkowania, dokonuje się jedynie wówczas gdy sama zagraniczna podatkowa grupa podatkowa nie spełnia definicji zagranicznej spółki kontrolowanej.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 xml:space="preserve">Lit </w:t>
      </w:r>
      <w:r w:rsidR="002B62F3" w:rsidRPr="00C93F78">
        <w:rPr>
          <w:rFonts w:ascii="Times New Roman" w:eastAsia="Calibri" w:hAnsi="Times New Roman" w:cs="Times New Roman"/>
          <w:b/>
          <w:sz w:val="24"/>
          <w:szCs w:val="24"/>
        </w:rPr>
        <w:t>f</w:t>
      </w:r>
      <w:r w:rsidRPr="00C93F78">
        <w:rPr>
          <w:rFonts w:ascii="Times New Roman" w:eastAsia="Calibri" w:hAnsi="Times New Roman" w:cs="Times New Roman"/>
          <w:b/>
          <w:sz w:val="24"/>
          <w:szCs w:val="24"/>
        </w:rPr>
        <w:t>)</w:t>
      </w:r>
      <w:r w:rsidRPr="00C93F78">
        <w:rPr>
          <w:rFonts w:ascii="Times New Roman" w:eastAsia="Calibri" w:hAnsi="Times New Roman" w:cs="Times New Roman"/>
          <w:sz w:val="24"/>
          <w:szCs w:val="24"/>
        </w:rPr>
        <w:t xml:space="preserve"> Doszczelnienie i doprecyzowanie badania podstawy opodatkowania polega na:</w:t>
      </w:r>
    </w:p>
    <w:p w:rsidR="008F17E4" w:rsidRPr="00C93F78" w:rsidRDefault="008F17E4" w:rsidP="00C93F78">
      <w:pPr>
        <w:numPr>
          <w:ilvl w:val="0"/>
          <w:numId w:val="65"/>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Zastąpieniu sformułowania „udziałom związanym z prawem do uczestnictwa w zyskach”, sformułowaniem „prawom do uczestnictwa w zysku”, co jest konsekwencją zmian wyjaśnionych w pkt 5) powyżej i kolejnych i ma na celu zwiększenie efektywności i precyzji przepisów o CFC. Ponadto, zmiana ta ma na celu zwiększenie efektywności i precyzji przepisów o CFC oraz zapewnienie ich zgodności z art. 8 ust. 3 ATAD;</w:t>
      </w:r>
    </w:p>
    <w:p w:rsidR="008F17E4" w:rsidRPr="00C93F78" w:rsidRDefault="008F17E4" w:rsidP="00C93F78">
      <w:pPr>
        <w:numPr>
          <w:ilvl w:val="0"/>
          <w:numId w:val="65"/>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Zastąpieniu sformułowania „stanowi dochód zagranicznej spółki kontrolowanej przypadający na okres, w którym został spełniony warunek wymieniony w ust. 3 pkt 3 lit. a”, sformułowaniem „stanowi kwota odpowiadająca dochodowi zagranicznej jednostki kontrolowanej</w:t>
      </w:r>
      <w:r w:rsidR="00214B8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proporcjonalnie do okresu, w którym jednostka zagraniczna była kontrolowana przez podatnika w jej roku podatkowym”. Wynika to z tego, że użycie sformułowania „dochód zagranicznej spółki kontrolowanej przypadający na okres, w którym został spełniony warunek wymieniony w ust. 3 pkt 3 lit. a” może wpływać na zmniejszenie skuteczności przepisów o CFC, ponieważ podatnicy CFC mogą uniknąć opodatkowania na mocy tych przepisów, dokonując umorzenia udziałów w CFC lub ich sprzedaży na rzecz innego podmiotu kontrolowanego przez siebie, zanim ta spółka otrzyma dochód w danym roku podatkowym, a następnie odkupić te udziały w następnym roku podatkowym. Przedmiotowa zmiana uniemożliwi taką manipulację. </w:t>
      </w:r>
    </w:p>
    <w:p w:rsidR="008F17E4" w:rsidRPr="00C93F78" w:rsidRDefault="008F17E4" w:rsidP="00C93F78">
      <w:pPr>
        <w:numPr>
          <w:ilvl w:val="0"/>
          <w:numId w:val="65"/>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Zgodnie z art. 8 ust. 3 ATAD, „</w:t>
      </w:r>
      <w:r w:rsidRPr="00C93F78">
        <w:rPr>
          <w:rFonts w:ascii="Times New Roman" w:eastAsia="Calibri" w:hAnsi="Times New Roman" w:cs="Times New Roman"/>
          <w:i/>
          <w:sz w:val="24"/>
          <w:szCs w:val="24"/>
        </w:rPr>
        <w:t>Dochód, który należy uwzględnić w podstawie opodatkowania, oblicza się proporcjonalnie do udziału posiadanego przez podatnika w podmiocie zdefiniowanym w art. 7 ust. 1 lit. a)</w:t>
      </w:r>
      <w:r w:rsidRPr="00C93F78">
        <w:rPr>
          <w:rFonts w:ascii="Times New Roman" w:eastAsia="Calibri" w:hAnsi="Times New Roman" w:cs="Times New Roman"/>
          <w:sz w:val="24"/>
          <w:szCs w:val="24"/>
        </w:rPr>
        <w:t>.” Zatem ATAD wymaga obliczenia dochodu na zasadzie proporcji udziału posiadanego przez podatnika w zagranicznej jednostce kontrolowanej, podczas gdy obecne przepisy o CFC odnoszą się dochodu zagranicznej spółki kontrolowanej przypadającej na okres, w którym został spełniony warunek kontroli. Dla zapewnienia precyzyjnej zgodności przepisów o CFC z art. 8 ust. 3 ATAD proponuje się przedmiotowe zmiany.</w:t>
      </w:r>
    </w:p>
    <w:p w:rsidR="008F17E4" w:rsidRPr="00C93F78" w:rsidRDefault="002B62F3"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Lit g</w:t>
      </w:r>
      <w:r w:rsidR="008F17E4" w:rsidRPr="00C93F78">
        <w:rPr>
          <w:rFonts w:ascii="Times New Roman" w:eastAsia="Calibri" w:hAnsi="Times New Roman" w:cs="Times New Roman"/>
          <w:b/>
          <w:sz w:val="24"/>
          <w:szCs w:val="24"/>
        </w:rPr>
        <w:t>)</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W przypadku podatnika będącego założycielem </w:t>
      </w:r>
      <w:r w:rsidR="006B2F1A" w:rsidRPr="00C93F78">
        <w:rPr>
          <w:rFonts w:ascii="Times New Roman" w:eastAsia="Calibri" w:hAnsi="Times New Roman" w:cs="Times New Roman"/>
          <w:sz w:val="24"/>
          <w:szCs w:val="24"/>
        </w:rPr>
        <w:t>(</w:t>
      </w:r>
      <w:r w:rsidRPr="00C93F78">
        <w:rPr>
          <w:rFonts w:ascii="Times New Roman" w:eastAsia="Calibri" w:hAnsi="Times New Roman" w:cs="Times New Roman"/>
          <w:sz w:val="24"/>
          <w:szCs w:val="24"/>
        </w:rPr>
        <w:t>fundatorem</w:t>
      </w:r>
      <w:r w:rsidR="006B2F1A" w:rsidRPr="00C93F78">
        <w:rPr>
          <w:rFonts w:ascii="Times New Roman" w:eastAsia="Calibri" w:hAnsi="Times New Roman" w:cs="Times New Roman"/>
          <w:sz w:val="24"/>
          <w:szCs w:val="24"/>
        </w:rPr>
        <w:t>)</w:t>
      </w:r>
      <w:r w:rsidRPr="00C93F78">
        <w:rPr>
          <w:rFonts w:ascii="Times New Roman" w:eastAsia="Calibri" w:hAnsi="Times New Roman" w:cs="Times New Roman"/>
          <w:sz w:val="24"/>
          <w:szCs w:val="24"/>
        </w:rPr>
        <w:t xml:space="preserve"> w zagranicznej jednostce będącej fundacją, trustem lub innym podmiotem albo stosunkiem prawnym o charakterze powierniczym prawo do uczestnictwa w zysku przysługujące takiemu podatnikowi określa się w sposób specyficzny dla tej kategorii podatników, czyli poprzez odniesienie do proporcji w jakiej pozostaje wartość rynkowa przekazanego przez niego majątku na dzień jego przekazania do całego majątku takiej zagranicznej jednostki. W przypadku zbiegu założyciela (fundatora) i beneficjenta w roli podatnika wobec majątku/dochodu zagranicznej fundacji lub trustu lub innego tytułu powierniczego, stosuje się odpowiednio ust. 9, chyba że podatnik będący założycielem </w:t>
      </w:r>
      <w:r w:rsidR="006B2F1A" w:rsidRPr="00C93F78">
        <w:rPr>
          <w:rFonts w:ascii="Times New Roman" w:eastAsia="Calibri" w:hAnsi="Times New Roman" w:cs="Times New Roman"/>
          <w:sz w:val="24"/>
          <w:szCs w:val="24"/>
        </w:rPr>
        <w:t>(</w:t>
      </w:r>
      <w:r w:rsidRPr="00C93F78">
        <w:rPr>
          <w:rFonts w:ascii="Times New Roman" w:eastAsia="Calibri" w:hAnsi="Times New Roman" w:cs="Times New Roman"/>
          <w:sz w:val="24"/>
          <w:szCs w:val="24"/>
        </w:rPr>
        <w:t>fundatorem</w:t>
      </w:r>
      <w:r w:rsidR="006B2F1A" w:rsidRPr="00C93F78">
        <w:rPr>
          <w:rFonts w:ascii="Times New Roman" w:eastAsia="Calibri" w:hAnsi="Times New Roman" w:cs="Times New Roman"/>
          <w:sz w:val="24"/>
          <w:szCs w:val="24"/>
        </w:rPr>
        <w:t>)</w:t>
      </w:r>
      <w:r w:rsidRPr="00C93F78">
        <w:rPr>
          <w:rFonts w:ascii="Times New Roman" w:eastAsia="Calibri" w:hAnsi="Times New Roman" w:cs="Times New Roman"/>
          <w:sz w:val="24"/>
          <w:szCs w:val="24"/>
        </w:rPr>
        <w:t xml:space="preserve"> wykaże, że faktycznie przysługujące prawo do uczestnictwa w zyskach podmiotu, o którym mowa w art. 30f ust. 2 pkt 1 lit. e przysługuje w całości podatnikowi będącemu beneficjentem. Takie rozwiązania prawne mają na celu uniknięcia podwójnego opodatkowania podatników.</w:t>
      </w:r>
    </w:p>
    <w:p w:rsidR="008F17E4" w:rsidRPr="00C93F78" w:rsidRDefault="002B62F3"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Lit h</w:t>
      </w:r>
      <w:r w:rsidR="008F17E4" w:rsidRPr="00C93F78">
        <w:rPr>
          <w:rFonts w:ascii="Times New Roman" w:eastAsia="Calibri" w:hAnsi="Times New Roman" w:cs="Times New Roman"/>
          <w:b/>
          <w:sz w:val="24"/>
          <w:szCs w:val="24"/>
        </w:rPr>
        <w:t xml:space="preserve">) </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Doprecyzowuje się domniemanie prawne zakładające przysługiwanie podatnikom łącznie </w:t>
      </w:r>
      <w:r w:rsidRPr="00C93F78">
        <w:rPr>
          <w:rFonts w:ascii="Times New Roman" w:eastAsia="Calibri" w:hAnsi="Times New Roman" w:cs="Times New Roman"/>
          <w:sz w:val="24"/>
          <w:szCs w:val="24"/>
        </w:rPr>
        <w:br/>
        <w:t xml:space="preserve">100-proc. dochodu spółki CFC z raju podatkowego, tak by takie domniemanie obejmowało </w:t>
      </w:r>
      <w:r w:rsidRPr="00C93F78">
        <w:rPr>
          <w:rFonts w:ascii="Times New Roman" w:eastAsia="Calibri" w:hAnsi="Times New Roman" w:cs="Times New Roman"/>
          <w:i/>
          <w:sz w:val="24"/>
          <w:szCs w:val="24"/>
        </w:rPr>
        <w:t>expressis verbis</w:t>
      </w:r>
      <w:r w:rsidRPr="00C93F78">
        <w:rPr>
          <w:rFonts w:ascii="Times New Roman" w:eastAsia="Calibri" w:hAnsi="Times New Roman" w:cs="Times New Roman"/>
          <w:sz w:val="24"/>
          <w:szCs w:val="24"/>
        </w:rPr>
        <w:t xml:space="preserve"> również przypadki „mieszane”, czyli przypadki gdy podatnikami są równocześnie podatnicy podatku dochodowego od osób prawych oraz podatnicy podatku dochodowego od osób fizycznych.</w:t>
      </w:r>
    </w:p>
    <w:p w:rsidR="008F17E4" w:rsidRPr="00C93F78" w:rsidRDefault="002B62F3"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Lit i</w:t>
      </w:r>
      <w:r w:rsidR="008F17E4" w:rsidRPr="00C93F78">
        <w:rPr>
          <w:rFonts w:ascii="Times New Roman" w:eastAsia="Calibri" w:hAnsi="Times New Roman" w:cs="Times New Roman"/>
          <w:b/>
          <w:sz w:val="24"/>
          <w:szCs w:val="24"/>
        </w:rPr>
        <w:t>)</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Mechanizm zwarty obecnie w przepisach nie pozwala na skuteczne unikanie wielokrotnego ekonomicznego opodatkowania dochodu CFC wynikającego z wielokrotnego zastosowania przepisów o CFC przez Polską lub przez Polskę i inne państwa. Zastosowanie tego przepisu może również pozbawić efektywności przepisy o CFC i dlatego zmiana wprowadza nowe rozwiązanie prawne w celu eliminacji wielokrotnego opodatkowania w sensie ekonomicznym polegające na pomniejszeniu podatku do zapłaty przez podatnika z tytułu kontroli nad zagraniczną jednostką kontrolowaną o podatek zapłacony przez jednostkę zależną z tytułu przepisów o kontrolowanych spółkach lub jednostkach zagranicznych obowiązujących w państwie siedziby lub zarządu lub rejestracji lub położenia jednostki zależnej.</w:t>
      </w:r>
    </w:p>
    <w:p w:rsidR="008F17E4" w:rsidRPr="00C93F78" w:rsidRDefault="002B62F3" w:rsidP="00C93F78">
      <w:pPr>
        <w:spacing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Lit j</w:t>
      </w:r>
      <w:r w:rsidR="008F17E4" w:rsidRPr="00C93F78">
        <w:rPr>
          <w:rFonts w:ascii="Times New Roman" w:eastAsia="Calibri" w:hAnsi="Times New Roman" w:cs="Times New Roman"/>
          <w:b/>
          <w:sz w:val="24"/>
          <w:szCs w:val="24"/>
        </w:rPr>
        <w:t>)</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Doprecyzowanie metody unikania podwójnego ekonomicznego podwójnego opodatkowania polega na tym, że kryteria siedziby i zarządu rozszerza się o kryteria rejestracji lub położenia, ponieważ zagraniczne fundacje, trusty, grupy kapitałowe, bądź wydzielone organizacyjnie lub prawnie części zagranicznych spółek lub innych podmiotów mających lub niemających osobowości prawnej mogą nie mieć siedziby lub zarządu, lecz będą zarejestrowane lub będą posiadać dane położenie (lokalizacje). Zmiana ta jest więc konsekwencją zmian wprowadzonych i wyjaśnionych powyżej w pkt 2.</w:t>
      </w:r>
    </w:p>
    <w:p w:rsidR="008F17E4" w:rsidRPr="00C93F78" w:rsidRDefault="002B62F3" w:rsidP="00C93F78">
      <w:pPr>
        <w:spacing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 xml:space="preserve">Lit </w:t>
      </w:r>
      <w:r w:rsidR="00EE2A50" w:rsidRPr="00C93F78">
        <w:rPr>
          <w:rFonts w:ascii="Times New Roman" w:eastAsia="Calibri" w:hAnsi="Times New Roman" w:cs="Times New Roman"/>
          <w:b/>
          <w:sz w:val="24"/>
          <w:szCs w:val="24"/>
        </w:rPr>
        <w:t>l)</w:t>
      </w:r>
    </w:p>
    <w:p w:rsidR="008F17E4" w:rsidRPr="00C93F78" w:rsidRDefault="008F17E4"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Obecnie brakuje regulacji prawnej, która pozwoliłaby na uszczelnienie przepisów o CFC w sposób holistyczny, tj. w każdym przypadku próby uniknięcia przez podatników wejścia w podmiotowy lub przedmiotowy zakres zastosowania przepisów o CFC. Dodanie wewnętrznej klauzuli anty-abuzywnej wypełnia tę istotną lukę. Takie rozwiązanie jest również rekomendowane przez OECD w Planie Działania BEPS nr 3</w:t>
      </w:r>
      <w:r w:rsidRPr="00C93F78">
        <w:rPr>
          <w:rFonts w:ascii="Times New Roman" w:eastAsia="Calibri" w:hAnsi="Times New Roman" w:cs="Times New Roman"/>
          <w:sz w:val="24"/>
          <w:szCs w:val="24"/>
          <w:vertAlign w:val="superscript"/>
        </w:rPr>
        <w:footnoteReference w:id="48"/>
      </w:r>
      <w:r w:rsidRPr="00C93F78">
        <w:rPr>
          <w:rFonts w:ascii="Times New Roman" w:eastAsia="Calibri" w:hAnsi="Times New Roman" w:cs="Times New Roman"/>
          <w:sz w:val="24"/>
          <w:szCs w:val="24"/>
        </w:rPr>
        <w:t>, a zatem jest ono pośrednio wymagane przez ATAD, jako, że celem ATAD jest, między innymi, efektywna implementacja ww. Planu Działania przez państwa członkowskie</w:t>
      </w:r>
      <w:r w:rsidRPr="00C93F78">
        <w:rPr>
          <w:rFonts w:ascii="Times New Roman" w:eastAsia="Calibri" w:hAnsi="Times New Roman" w:cs="Times New Roman"/>
          <w:sz w:val="24"/>
          <w:szCs w:val="24"/>
          <w:vertAlign w:val="superscript"/>
        </w:rPr>
        <w:footnoteReference w:id="49"/>
      </w:r>
      <w:r w:rsidRPr="00C93F78">
        <w:rPr>
          <w:rFonts w:ascii="Times New Roman" w:eastAsia="Calibri" w:hAnsi="Times New Roman" w:cs="Times New Roman"/>
          <w:sz w:val="24"/>
          <w:szCs w:val="24"/>
        </w:rPr>
        <w:t>. Brak wewnętrznej klauzuli anty-abuzywnej w przepisach o CFC może skutkować tym, że podatnicy będą tak manipulować strukturą właścicielską nad CFC, iż nie zostanie spełniona jedna z przesłanek zastosowania przepisów o CFC. W szczególności ten ostatni powód przemawia za wprowadzeniem przedmiotowej zmiany.</w:t>
      </w:r>
    </w:p>
    <w:p w:rsidR="00BB2EC5" w:rsidRPr="00C93F78" w:rsidRDefault="00BB2EC5"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pkt 29 - zmiana dotycząca art. 33 ustawy o PIT</w:t>
      </w:r>
      <w:r w:rsidR="004934CF" w:rsidRPr="00C93F78">
        <w:rPr>
          <w:rFonts w:ascii="Times New Roman" w:eastAsia="Calibri" w:hAnsi="Times New Roman" w:cs="Times New Roman"/>
          <w:sz w:val="24"/>
          <w:szCs w:val="24"/>
        </w:rPr>
        <w:t xml:space="preserve"> – </w:t>
      </w:r>
      <w:r w:rsidR="00F92791" w:rsidRPr="00C93F78">
        <w:rPr>
          <w:rFonts w:ascii="Times New Roman" w:eastAsia="Calibri" w:hAnsi="Times New Roman" w:cs="Times New Roman"/>
          <w:sz w:val="24"/>
          <w:szCs w:val="24"/>
        </w:rPr>
        <w:t>w art. 33 w ust. 3 skreśla się wyrazy „15 lutego 1992.</w:t>
      </w:r>
    </w:p>
    <w:p w:rsidR="006B0AAF" w:rsidRPr="00C93F78" w:rsidRDefault="006B0AAF"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4934CF" w:rsidRPr="00C93F78">
        <w:rPr>
          <w:rFonts w:ascii="Times New Roman" w:eastAsia="Calibri" w:hAnsi="Times New Roman" w:cs="Times New Roman"/>
          <w:sz w:val="24"/>
          <w:szCs w:val="24"/>
        </w:rPr>
        <w:t xml:space="preserve">30 </w:t>
      </w:r>
      <w:r w:rsidRPr="00C93F78">
        <w:rPr>
          <w:rFonts w:ascii="Times New Roman" w:eastAsia="Calibri" w:hAnsi="Times New Roman" w:cs="Times New Roman"/>
          <w:sz w:val="24"/>
          <w:szCs w:val="24"/>
        </w:rPr>
        <w:t>- zmiana dotycząca art. 33 ustawy o PIT</w:t>
      </w:r>
      <w:r w:rsidR="009113E8" w:rsidRPr="00C93F78">
        <w:rPr>
          <w:rFonts w:ascii="Times New Roman" w:eastAsia="Calibri" w:hAnsi="Times New Roman" w:cs="Times New Roman"/>
          <w:sz w:val="24"/>
          <w:szCs w:val="24"/>
        </w:rPr>
        <w:t>.</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Zmiana o charakterze porządkowym z związku z wprowadzeniem do ustawowego „słowniczka”</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definicji ustawy o CIT.</w:t>
      </w:r>
    </w:p>
    <w:p w:rsidR="006B0AAF" w:rsidRPr="00C93F78" w:rsidRDefault="006B0AAF" w:rsidP="00C93F78">
      <w:pPr>
        <w:pStyle w:val="Akapitzlist"/>
        <w:numPr>
          <w:ilvl w:val="0"/>
          <w:numId w:val="1"/>
        </w:num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pkt </w:t>
      </w:r>
      <w:r w:rsidR="004934CF" w:rsidRPr="00C93F78">
        <w:rPr>
          <w:rFonts w:ascii="Times New Roman" w:eastAsia="Calibri" w:hAnsi="Times New Roman" w:cs="Times New Roman"/>
          <w:sz w:val="24"/>
          <w:szCs w:val="24"/>
        </w:rPr>
        <w:t xml:space="preserve">31 </w:t>
      </w:r>
      <w:r w:rsidRPr="00C93F78">
        <w:rPr>
          <w:rFonts w:ascii="Times New Roman" w:eastAsia="Calibri" w:hAnsi="Times New Roman" w:cs="Times New Roman"/>
          <w:sz w:val="24"/>
          <w:szCs w:val="24"/>
        </w:rPr>
        <w:t>- zmiana</w:t>
      </w:r>
      <w:r w:rsidR="009113E8" w:rsidRPr="00C93F78">
        <w:rPr>
          <w:rFonts w:ascii="Times New Roman" w:eastAsia="Calibri" w:hAnsi="Times New Roman" w:cs="Times New Roman"/>
          <w:sz w:val="24"/>
          <w:szCs w:val="24"/>
        </w:rPr>
        <w:t xml:space="preserve"> dotycząca art. 41 ustawy o PIT.</w:t>
      </w:r>
    </w:p>
    <w:p w:rsidR="006B0AAF" w:rsidRPr="00C93F78" w:rsidRDefault="006B0AAF" w:rsidP="00C93F78">
      <w:pPr>
        <w:spacing w:after="120" w:line="360" w:lineRule="auto"/>
        <w:jc w:val="both"/>
        <w:rPr>
          <w:rFonts w:ascii="Times New Roman" w:hAnsi="Times New Roman"/>
          <w:b/>
          <w:sz w:val="24"/>
          <w:szCs w:val="24"/>
          <w:u w:val="single"/>
        </w:rPr>
      </w:pPr>
      <w:r w:rsidRPr="00C93F78">
        <w:rPr>
          <w:rFonts w:ascii="Times New Roman" w:hAnsi="Times New Roman"/>
          <w:sz w:val="24"/>
          <w:szCs w:val="24"/>
        </w:rPr>
        <w:t xml:space="preserve"> lit. a – lit. c zmiany w ust 4</w:t>
      </w:r>
      <w:r w:rsidRPr="00C93F78">
        <w:rPr>
          <w:rFonts w:ascii="Times New Roman" w:eastAsia="Calibri" w:hAnsi="Times New Roman" w:cs="Times New Roman"/>
          <w:sz w:val="24"/>
          <w:szCs w:val="24"/>
        </w:rPr>
        <w:t>,</w:t>
      </w:r>
      <w:r w:rsidRPr="00C93F78">
        <w:rPr>
          <w:rFonts w:ascii="Times New Roman" w:hAnsi="Times New Roman"/>
          <w:sz w:val="24"/>
          <w:szCs w:val="24"/>
        </w:rPr>
        <w:t xml:space="preserve"> i 4d oraz dodany ust. </w:t>
      </w:r>
      <w:r w:rsidRPr="00C93F78">
        <w:rPr>
          <w:rFonts w:ascii="Times New Roman" w:eastAsia="Calibri" w:hAnsi="Times New Roman" w:cs="Times New Roman"/>
          <w:sz w:val="24"/>
          <w:szCs w:val="24"/>
        </w:rPr>
        <w:t>4aa</w:t>
      </w:r>
      <w:r w:rsidRPr="00C93F78">
        <w:rPr>
          <w:rFonts w:ascii="Times New Roman" w:hAnsi="Times New Roman"/>
          <w:sz w:val="24"/>
          <w:szCs w:val="24"/>
        </w:rPr>
        <w:t xml:space="preserve"> </w:t>
      </w:r>
    </w:p>
    <w:p w:rsidR="006B0AAF" w:rsidRPr="00C93F78" w:rsidRDefault="006B0AAF" w:rsidP="00C93F78">
      <w:pPr>
        <w:spacing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Zmiana art. 41 ust. 4 ustawy o PIT oraz dodanie art. 41 ust. 4aa ustawy o PIT</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Zmiana na celu wprowadzenie nowej zasady poboru podatku u źródła, przewidzianej w dodanym art. 41 ust. 12. Nowe zasady będą miały zastosowanie do dochodów (przychodów) o których mowa w art. 29 ust. 1 oraz art. 30a ust. 1 pkt 1-5</w:t>
      </w:r>
      <w:r w:rsidR="003E4574" w:rsidRPr="00C93F78">
        <w:rPr>
          <w:rFonts w:ascii="Times New Roman" w:eastAsia="Calibri" w:hAnsi="Times New Roman" w:cs="Times New Roman"/>
          <w:sz w:val="24"/>
          <w:szCs w:val="24"/>
        </w:rPr>
        <w:t>a</w:t>
      </w:r>
      <w:r w:rsidRPr="00C93F78">
        <w:rPr>
          <w:rFonts w:ascii="Times New Roman" w:eastAsia="Calibri" w:hAnsi="Times New Roman" w:cs="Times New Roman"/>
          <w:sz w:val="24"/>
          <w:szCs w:val="24"/>
        </w:rPr>
        <w:t xml:space="preserve"> ustawy o PIT. W związku z tym, w zakresie pozostałych dochodów zastosowanie będą miały obowiązujące zasady poboru podatku u źródła.</w:t>
      </w:r>
    </w:p>
    <w:p w:rsidR="006B0AAF" w:rsidRPr="00C93F78" w:rsidRDefault="00EA1343"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 ustawie określono również</w:t>
      </w:r>
      <w:r w:rsidR="006B0AAF" w:rsidRPr="00C93F78">
        <w:rPr>
          <w:rFonts w:ascii="Times New Roman" w:eastAsia="Calibri" w:hAnsi="Times New Roman" w:cs="Times New Roman"/>
          <w:sz w:val="24"/>
          <w:szCs w:val="24"/>
        </w:rPr>
        <w:t xml:space="preserve"> czynności, jakie każdorazowo powinni podejmować płatnicy w celu weryfikacji uprawnień podatnika do skorzystania z preferencji. </w:t>
      </w:r>
      <w:r w:rsidRPr="00C93F78">
        <w:rPr>
          <w:rFonts w:ascii="Times New Roman" w:eastAsia="Calibri" w:hAnsi="Times New Roman" w:cs="Times New Roman"/>
          <w:sz w:val="24"/>
          <w:szCs w:val="24"/>
        </w:rPr>
        <w:t>P</w:t>
      </w:r>
      <w:r w:rsidR="006B0AAF" w:rsidRPr="00C93F78">
        <w:rPr>
          <w:rFonts w:ascii="Times New Roman" w:eastAsia="Calibri" w:hAnsi="Times New Roman" w:cs="Times New Roman"/>
          <w:sz w:val="24"/>
          <w:szCs w:val="24"/>
        </w:rPr>
        <w:t xml:space="preserve">rojektowany przepis </w:t>
      </w:r>
      <w:r w:rsidRPr="00C93F78">
        <w:rPr>
          <w:rFonts w:ascii="Times New Roman" w:eastAsia="Calibri" w:hAnsi="Times New Roman" w:cs="Times New Roman"/>
          <w:sz w:val="24"/>
          <w:szCs w:val="24"/>
        </w:rPr>
        <w:t xml:space="preserve">zobowiązuje </w:t>
      </w:r>
      <w:r w:rsidR="006B0AAF" w:rsidRPr="00C93F78">
        <w:rPr>
          <w:rFonts w:ascii="Times New Roman" w:eastAsia="Calibri" w:hAnsi="Times New Roman" w:cs="Times New Roman"/>
          <w:sz w:val="24"/>
          <w:szCs w:val="24"/>
        </w:rPr>
        <w:t>płatnik</w:t>
      </w:r>
      <w:r w:rsidRPr="00C93F78">
        <w:rPr>
          <w:rFonts w:ascii="Times New Roman" w:eastAsia="Calibri" w:hAnsi="Times New Roman" w:cs="Times New Roman"/>
          <w:sz w:val="24"/>
          <w:szCs w:val="24"/>
        </w:rPr>
        <w:t>a</w:t>
      </w:r>
      <w:r w:rsidR="006B0AAF"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do</w:t>
      </w:r>
      <w:r w:rsidR="006B0AAF" w:rsidRPr="00C93F78">
        <w:rPr>
          <w:rFonts w:ascii="Times New Roman" w:eastAsia="Calibri" w:hAnsi="Times New Roman" w:cs="Times New Roman"/>
          <w:sz w:val="24"/>
          <w:szCs w:val="24"/>
        </w:rPr>
        <w:t xml:space="preserve"> dochowa</w:t>
      </w:r>
      <w:r w:rsidRPr="00C93F78">
        <w:rPr>
          <w:rFonts w:ascii="Times New Roman" w:eastAsia="Calibri" w:hAnsi="Times New Roman" w:cs="Times New Roman"/>
          <w:sz w:val="24"/>
          <w:szCs w:val="24"/>
        </w:rPr>
        <w:t>nia</w:t>
      </w:r>
      <w:r w:rsidR="006B0AAF" w:rsidRPr="00C93F78">
        <w:rPr>
          <w:rFonts w:ascii="Times New Roman" w:eastAsia="Calibri" w:hAnsi="Times New Roman" w:cs="Times New Roman"/>
          <w:sz w:val="24"/>
          <w:szCs w:val="24"/>
        </w:rPr>
        <w:t xml:space="preserve"> staranności w weryfikacji, czy warunki niepobrania podatku, zastosowania zwolnienia lub stawek wynikających z przepisów prawa podatkowego są spełnione. Zakres i stopień weryfikacji powinien uwzględniać charakter oraz skalę działalności prowadzonej przez płatnika. </w:t>
      </w:r>
      <w:r w:rsidRPr="00C93F78">
        <w:rPr>
          <w:rFonts w:ascii="Times New Roman" w:eastAsia="Calibri" w:hAnsi="Times New Roman" w:cs="Times New Roman"/>
          <w:sz w:val="24"/>
          <w:szCs w:val="24"/>
        </w:rPr>
        <w:t xml:space="preserve">Innego stopnia weryfikacji należy oczekiwać od osób fizycznych dokonujących niewielkich zakupów u kontrahentów zagranicznych, innego zaś od dużych podmiotów, wypłacających znaczące kwoty zagranicznym odbiorcom. Także charakter działalności podatnika (w tym branża, w której działa) może determinować określony sposób weryfikacji odbiorców płatności (np. szczególnego rodzaju weryfikacja może być prowadzona w sektorze finansowym). </w:t>
      </w:r>
      <w:r w:rsidR="006B0AAF" w:rsidRPr="00C93F78">
        <w:rPr>
          <w:rFonts w:ascii="Times New Roman" w:eastAsia="Calibri" w:hAnsi="Times New Roman" w:cs="Times New Roman"/>
          <w:sz w:val="24"/>
          <w:szCs w:val="24"/>
        </w:rPr>
        <w:t>Jednym z wyznaczników tego jakie czynności należy podjąć w ramach czynności weryfikacyjnych będzie więc branża, w której działa płatnik. W sektorach szczególnie narażonych na ryzyko wystąpienia nieprawidłowości podatkowych wymagane może być stosowanie analizy analogicznej do podejmowanej przez tzw. instytucje zobowiązane w ramach stosowania środków bezpieczeństwa finansowego w rozumieniu przepisów o przeciwdziałaniu praniu pieniędzy oraz finansowaniu terroryzmu. W innych przypadkach wymagana może zaś być analiza struktury kapitałowej odbiorcy płatności w komercyjnych bądź publicznych bazach danych.</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Doprecyzowanie to ma znaczenie w tych wszystkich sytuacjach, w których płatnicy zdecydują się zastosować preferencyjne zasady opodatkowania podatkiem u źródła wypłacanych należności już w momencie ich wypłaty. Już w świetle obecnych zasad, w tym zasad odpowiedzialności płatnika, powinni oni weryfikować warunki do zastosowania preferencyjnych zasad rozliczania. Weryfikacja taka obejmować może w szczególności analizę treści umowy z kontrahentem, weryfikację (choćby zdalną) adresu jego siedziby, uzyskanie od kontrahenta dodatkowych informacji, itp.</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Wskazanie wprost na obowiązek dochowania staranności przy weryfikacji może mieć szczególne znaczenie dla tych płatników, którzy zdecydują się skorzystać z wprowadzanego uproszczenia, tj. z możliwości złożenia przez płatnika oświadczenia i zastosowania preferencji w momencie wypłaty należności. Złożenie oświadczenia umożliwiać będzie skorzystanie z preferencji w zakresie poboru podatku u źródła po przekroczeniu progu dwóch milionów złotych. Płatnik oświadczać będzie między innymi, że nie posiada wiedzy uzasadniającej przypuszczenie, że istnieją okoliczności wykluczające możliwość skorzystania z preferencyjnych zasad opodatkowania.</w:t>
      </w:r>
    </w:p>
    <w:p w:rsidR="009113E8" w:rsidRPr="00C93F78" w:rsidRDefault="009113E8" w:rsidP="00C93F78">
      <w:pPr>
        <w:spacing w:after="0" w:line="360" w:lineRule="auto"/>
        <w:ind w:firstLine="708"/>
        <w:jc w:val="both"/>
        <w:rPr>
          <w:rFonts w:ascii="Times New Roman" w:eastAsia="Calibri" w:hAnsi="Times New Roman" w:cs="Times New Roman"/>
          <w:sz w:val="24"/>
          <w:szCs w:val="24"/>
        </w:rPr>
      </w:pPr>
    </w:p>
    <w:p w:rsidR="006B0AAF" w:rsidRPr="00C93F78" w:rsidRDefault="006B0AAF" w:rsidP="00C93F78">
      <w:pPr>
        <w:spacing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Zmiana art. 41 ust. 4d (uzasadnienie dotyczy także zmiany ust. 10 ustawy o PIT)</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 nowelizacji utrzymana zostaje reguła, zgodnie z którą płatnikami są podmioty prowadzące rachunki, za pośrednictwem których wypłacane są należności z tytułów wskazanych w art. 41 ust. 4d oraz ust. 10 ustawy. To właśnie te podmioty (w porównaniu z emitentami papierów wartościowych) posiadają szerszą możliwość zweryfikowania tego kto jest beneficjentem dokonanej płatności oraz w jakiej kwocie. To zaś pozwala na odpowiednie rozliczenie należnego podatku dochodowego. Nie bez znaczenia pozostaje także fakt, iż to prowadzący rachunek (jako podmiot profesjonalny) dysponuje co do zasady lepszym niż osoby fizyczne zapleczem, które pozwala na rozliczenie podatku – instytucja płatnika daje więc osobom fizycznym większą pewność prawidłowego rozliczenia podatku. Po stronie zaś organów podatkowych możliwość weryfikacji rozliczenia podatku po stronie jednego podmiotu (płatnika) jest działaniem znacznie bardziej efektywnym w porównaniu z koniecznością powielenia tej samej procedury weryfikacyjnej u szeregu podatników (osób fizycznych), w tym w zakresie prawidłowości zastosowania preferencyjnej stawki podatku lub zwolnienia z podatku (zwolnienie z podatku nie oznacza bowiem, że w ogóle nie powstał obowiązek podatkowy – w przypadku zwolnienia z podatku w dalszym ciągu możliwe jest weryfikowanie zasadności jego zastosowania przez płatnika w momencie wypłaty należności do podatnika).</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Mając na uwadze, że obowiązki płatnika mogą zostać nałożone wyłącznie na podmioty krajowe, należało w tym zakresie uściślić omawiane regulacje. W konsekwencji, zmiana, która zostaje wprowadzona w art. 41 ust. 4d oraz ust. 10 ma charakter doprecyzowujący i wskazuje, iż nałożenie obowiązków płatnika na podmioty prowadzące rachunki, na których zapisane są papiery wartościowe, a więc w sytuacjach przewidzianych w 41 ust. 4d oraz ust. 10 dotyczyć będzie tych podmiotów, które podlegają nieograniczonemu obowiązkowi podatkowemu na gruncie ustawy o CIT. Przepisy 41 ust. 4d oraz ust. 10 nie mają więc zastosowania dla przypadków, w których prowadzącym rachunek jest podmiot niebędący</w:t>
      </w:r>
      <w:r w:rsidR="00126D3F" w:rsidRPr="00C93F78">
        <w:rPr>
          <w:rFonts w:ascii="Times New Roman" w:eastAsia="Calibri" w:hAnsi="Times New Roman" w:cs="Times New Roman"/>
          <w:sz w:val="24"/>
          <w:szCs w:val="24"/>
        </w:rPr>
        <w:t xml:space="preserve"> polskim rezydentem podatkowym, z wyjątkiem przypadku i w zakresie w jakim, podmiot taki prowadzi na terytorium RP działalność gospodarczą poprzez zagraniczny zakład jeżeli rachune</w:t>
      </w:r>
      <w:r w:rsidR="00A706F8" w:rsidRPr="00C93F78">
        <w:rPr>
          <w:rFonts w:ascii="Times New Roman" w:eastAsia="Calibri" w:hAnsi="Times New Roman" w:cs="Times New Roman"/>
          <w:sz w:val="24"/>
          <w:szCs w:val="24"/>
        </w:rPr>
        <w:t>k, na którym</w:t>
      </w:r>
      <w:r w:rsidR="00126D3F" w:rsidRPr="00C93F78">
        <w:rPr>
          <w:rFonts w:ascii="Times New Roman" w:eastAsia="Calibri" w:hAnsi="Times New Roman" w:cs="Times New Roman"/>
          <w:sz w:val="24"/>
          <w:szCs w:val="24"/>
        </w:rPr>
        <w:t xml:space="preserve"> zapisane są papiery wartościowe, jest związany z działalnością tego zakładu. </w:t>
      </w:r>
      <w:r w:rsidRPr="00C93F78">
        <w:rPr>
          <w:rFonts w:ascii="Times New Roman" w:eastAsia="Calibri" w:hAnsi="Times New Roman" w:cs="Times New Roman"/>
          <w:sz w:val="24"/>
          <w:szCs w:val="24"/>
        </w:rPr>
        <w:t>W takiej sytuacji (tj. gdy prowadzącym rachunek jest podmiot niebędący polski</w:t>
      </w:r>
      <w:r w:rsidR="00A706F8" w:rsidRPr="00C93F78">
        <w:rPr>
          <w:rFonts w:ascii="Times New Roman" w:eastAsia="Calibri" w:hAnsi="Times New Roman" w:cs="Times New Roman"/>
          <w:sz w:val="24"/>
          <w:szCs w:val="24"/>
        </w:rPr>
        <w:t xml:space="preserve">m rezydentem podatkowym i nieposiadający zakładu zagranicznego na terytorium RP) </w:t>
      </w:r>
      <w:r w:rsidRPr="00C93F78">
        <w:rPr>
          <w:rFonts w:ascii="Times New Roman" w:eastAsia="Calibri" w:hAnsi="Times New Roman" w:cs="Times New Roman"/>
          <w:sz w:val="24"/>
          <w:szCs w:val="24"/>
        </w:rPr>
        <w:t xml:space="preserve">płatnikiem jest podmiot ustalony zgodnie z pozostałymi przepisami ustawy. </w:t>
      </w:r>
    </w:p>
    <w:p w:rsidR="006B0AAF" w:rsidRPr="00C93F78" w:rsidRDefault="006B0AAF" w:rsidP="00C93F78">
      <w:pPr>
        <w:spacing w:after="0" w:line="360" w:lineRule="auto"/>
        <w:jc w:val="both"/>
        <w:rPr>
          <w:rFonts w:ascii="Times New Roman" w:eastAsia="Calibri" w:hAnsi="Times New Roman" w:cs="Times New Roman"/>
          <w:b/>
          <w:sz w:val="24"/>
          <w:szCs w:val="24"/>
        </w:rPr>
      </w:pP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w:t>
      </w:r>
      <w:r w:rsidR="00693D7B" w:rsidRPr="00C93F78">
        <w:rPr>
          <w:rFonts w:ascii="Times New Roman" w:eastAsia="Calibri" w:hAnsi="Times New Roman" w:cs="Times New Roman"/>
          <w:sz w:val="24"/>
          <w:szCs w:val="24"/>
          <w:u w:val="single"/>
        </w:rPr>
        <w:t>d</w:t>
      </w:r>
      <w:r w:rsidR="00693D7B"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zmiana w ust. 10</w:t>
      </w:r>
    </w:p>
    <w:p w:rsidR="006B0AAF" w:rsidRPr="00C93F78" w:rsidRDefault="006B0AAF" w:rsidP="00C93F78">
      <w:pPr>
        <w:spacing w:after="0" w:line="360" w:lineRule="auto"/>
        <w:jc w:val="both"/>
        <w:rPr>
          <w:rFonts w:ascii="Times New Roman" w:eastAsia="Calibri" w:hAnsi="Times New Roman" w:cs="Times New Roman"/>
          <w:sz w:val="24"/>
          <w:szCs w:val="24"/>
        </w:rPr>
      </w:pP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Zmiana została omówiona łącznie ze zmianą dotyczącą ust. 4d.</w:t>
      </w:r>
    </w:p>
    <w:p w:rsidR="006B0AAF" w:rsidRPr="00C93F78" w:rsidRDefault="006B0AAF" w:rsidP="00C93F78">
      <w:pPr>
        <w:spacing w:after="0" w:line="360" w:lineRule="auto"/>
        <w:jc w:val="both"/>
        <w:rPr>
          <w:rFonts w:ascii="Times New Roman" w:eastAsia="Calibri" w:hAnsi="Times New Roman" w:cs="Times New Roman"/>
          <w:sz w:val="24"/>
          <w:szCs w:val="24"/>
        </w:rPr>
      </w:pP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u w:val="single"/>
        </w:rPr>
        <w:t xml:space="preserve">lit. </w:t>
      </w:r>
      <w:r w:rsidR="00693D7B" w:rsidRPr="00C93F78">
        <w:rPr>
          <w:rFonts w:ascii="Times New Roman" w:eastAsia="Calibri" w:hAnsi="Times New Roman" w:cs="Times New Roman"/>
          <w:sz w:val="24"/>
          <w:szCs w:val="24"/>
          <w:u w:val="single"/>
        </w:rPr>
        <w:t>e</w:t>
      </w:r>
      <w:r w:rsidR="00693D7B"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dodanie ust. 12-</w:t>
      </w:r>
      <w:r w:rsidR="00693D7B" w:rsidRPr="00C93F78">
        <w:rPr>
          <w:rFonts w:ascii="Times New Roman" w:eastAsia="Calibri" w:hAnsi="Times New Roman" w:cs="Times New Roman"/>
          <w:sz w:val="24"/>
          <w:szCs w:val="24"/>
        </w:rPr>
        <w:t xml:space="preserve">29 </w:t>
      </w:r>
    </w:p>
    <w:p w:rsidR="006B0AAF" w:rsidRPr="00C93F78" w:rsidRDefault="006B0AAF" w:rsidP="00C93F78">
      <w:pPr>
        <w:spacing w:after="0" w:line="360" w:lineRule="auto"/>
        <w:jc w:val="both"/>
        <w:rPr>
          <w:rFonts w:ascii="Times New Roman" w:eastAsia="Calibri" w:hAnsi="Times New Roman" w:cs="Times New Roman"/>
          <w:b/>
          <w:sz w:val="24"/>
          <w:szCs w:val="24"/>
        </w:rPr>
      </w:pPr>
    </w:p>
    <w:p w:rsidR="006B0AAF" w:rsidRPr="00C93F78" w:rsidRDefault="006B0AAF" w:rsidP="00C93F78">
      <w:pPr>
        <w:spacing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w:t>
      </w:r>
      <w:r w:rsidRPr="00C93F78">
        <w:rPr>
          <w:rFonts w:ascii="Times New Roman" w:hAnsi="Times New Roman"/>
          <w:b/>
          <w:sz w:val="24"/>
          <w:szCs w:val="24"/>
        </w:rPr>
        <w:t xml:space="preserve"> art. 41 </w:t>
      </w:r>
      <w:r w:rsidRPr="00C93F78">
        <w:rPr>
          <w:rFonts w:ascii="Times New Roman" w:eastAsia="Calibri" w:hAnsi="Times New Roman" w:cs="Times New Roman"/>
          <w:b/>
          <w:sz w:val="24"/>
          <w:szCs w:val="24"/>
        </w:rPr>
        <w:t>ust. 12 ustawy o PIT</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Zgodnie z dodaną regulacją, w przypadkach, gdy: </w:t>
      </w:r>
    </w:p>
    <w:p w:rsidR="006B0AAF" w:rsidRPr="00C93F78" w:rsidRDefault="006B0AAF" w:rsidP="00C93F78">
      <w:pPr>
        <w:pStyle w:val="Akapitzlist"/>
        <w:numPr>
          <w:ilvl w:val="0"/>
          <w:numId w:val="62"/>
        </w:numPr>
        <w:spacing w:after="0" w:line="360" w:lineRule="auto"/>
        <w:ind w:left="426" w:hanging="426"/>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kwota </w:t>
      </w:r>
      <w:r w:rsidR="00F97BFF" w:rsidRPr="00C93F78">
        <w:rPr>
          <w:rFonts w:ascii="Times New Roman" w:eastAsia="Calibri" w:hAnsi="Times New Roman" w:cs="Times New Roman"/>
          <w:sz w:val="24"/>
          <w:szCs w:val="24"/>
        </w:rPr>
        <w:t xml:space="preserve">wypłat (świadczeń) dokonanych </w:t>
      </w:r>
      <w:r w:rsidRPr="00C93F78">
        <w:rPr>
          <w:rFonts w:ascii="Times New Roman" w:eastAsia="Calibri" w:hAnsi="Times New Roman" w:cs="Times New Roman"/>
          <w:sz w:val="24"/>
          <w:szCs w:val="24"/>
        </w:rPr>
        <w:t xml:space="preserve">temu samemu podatnikowi </w:t>
      </w:r>
      <w:r w:rsidR="00F97BFF" w:rsidRPr="00C93F78">
        <w:rPr>
          <w:rFonts w:ascii="Times New Roman" w:eastAsia="Calibri" w:hAnsi="Times New Roman" w:cs="Times New Roman"/>
          <w:sz w:val="24"/>
          <w:szCs w:val="24"/>
        </w:rPr>
        <w:t xml:space="preserve">lub postawionych mu do dyspozycji pieniędzy lub wartości pieniężnych </w:t>
      </w:r>
      <w:r w:rsidRPr="00C93F78">
        <w:rPr>
          <w:rFonts w:ascii="Times New Roman" w:eastAsia="Calibri" w:hAnsi="Times New Roman" w:cs="Times New Roman"/>
          <w:sz w:val="24"/>
          <w:szCs w:val="24"/>
        </w:rPr>
        <w:t>z tytułów określonych w art. 29 oraz art. 30a ust. 1 pkt 1- 5</w:t>
      </w:r>
      <w:r w:rsidR="009052EA" w:rsidRPr="00C93F78">
        <w:rPr>
          <w:rFonts w:ascii="Times New Roman" w:eastAsia="Calibri" w:hAnsi="Times New Roman" w:cs="Times New Roman"/>
          <w:sz w:val="24"/>
          <w:szCs w:val="24"/>
        </w:rPr>
        <w:t>a</w:t>
      </w:r>
      <w:r w:rsidRPr="00C93F78">
        <w:rPr>
          <w:rFonts w:ascii="Times New Roman" w:eastAsia="Calibri" w:hAnsi="Times New Roman" w:cs="Times New Roman"/>
          <w:sz w:val="24"/>
          <w:szCs w:val="24"/>
        </w:rPr>
        <w:t xml:space="preserve"> ustawy o PIT przekroczy w roku podatkowym (a więc w roku kalendarzowym) łącznie (a więc ze wszystkich wskazanych źródeł przychodów) kwotę dwóch milionów złotych, </w:t>
      </w:r>
      <w:r w:rsidR="00693D7B" w:rsidRPr="00C93F78">
        <w:rPr>
          <w:rFonts w:ascii="Times New Roman" w:eastAsia="Calibri" w:hAnsi="Times New Roman" w:cs="Times New Roman"/>
          <w:sz w:val="24"/>
          <w:szCs w:val="24"/>
        </w:rPr>
        <w:t>a jednocześnie</w:t>
      </w:r>
    </w:p>
    <w:p w:rsidR="006B0AAF" w:rsidRPr="00C93F78" w:rsidRDefault="006B0AAF" w:rsidP="00C93F78">
      <w:pPr>
        <w:pStyle w:val="Akapitzlist"/>
        <w:numPr>
          <w:ilvl w:val="0"/>
          <w:numId w:val="62"/>
        </w:numPr>
        <w:spacing w:after="0" w:line="360" w:lineRule="auto"/>
        <w:ind w:left="426" w:hanging="426"/>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nie złożono oświadczenia, o którym mowa w ust. 15,</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płatnik zobowiązany jest do pobrania podatku od nadwyżki tych wypłat ponad ten próg. Podatek pobiera się (od nadwyżki wypłaconych należności ponad kwotę dwóch milionów złotych), według stawek podstawowych, przewidzianych w art. 29 ust. 1 oraz art. 30a ust.1, bez możliwości niepobrania podatku na podstawie właściwej umowy o unikaniu podwójnego opodatkowania, której stroną jest Rzeczpospolita Polska, a także bez uwzględnienia zwolnień lub obniżonych stawek wynikających z przepisów szczególnych lub umów o unikaniu podwójnego opodatkowania, których stroną jest Rzeczpospolita Polska.</w:t>
      </w:r>
    </w:p>
    <w:p w:rsidR="00693D7B" w:rsidRPr="00C93F78" w:rsidRDefault="00693D7B" w:rsidP="00C93F78">
      <w:pPr>
        <w:spacing w:before="240"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Powyższe ilustruje następujący przykład (dla sytuacji, w której po przekroczeniu w danym roku kwoty 2 mln zł nie składano oświadczenia, o którym mowa w art. 41 ust. 15 ustawy o PIT):</w:t>
      </w:r>
    </w:p>
    <w:p w:rsidR="00693D7B" w:rsidRPr="00C93F78" w:rsidRDefault="00693D7B" w:rsidP="00C93F78">
      <w:pPr>
        <w:numPr>
          <w:ilvl w:val="0"/>
          <w:numId w:val="13"/>
        </w:numPr>
        <w:spacing w:after="0" w:line="360" w:lineRule="auto"/>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Podatnik (osoba fizyczna) podlegający w Polsce ograniczonemu obowiązkowi podatkowemu osiągnął w Polsce dochód z związku z wypłatą dywidendy</w:t>
      </w:r>
      <w:r w:rsidRPr="00C93F78">
        <w:rPr>
          <w:rFonts w:ascii="Times New Roman" w:eastAsia="Calibri" w:hAnsi="Times New Roman" w:cs="Times New Roman"/>
          <w:sz w:val="24"/>
          <w:szCs w:val="24"/>
        </w:rPr>
        <w:br/>
        <w:t>w kwocie 1 800 000 zł. Dochód został osiągnięty w kwietniu. Jednocześnie, podatnik ten przedstawił płatnikowi (spółce wypłacającej dywidendę) certyfikat rezydencji oraz oświadczenie, że jest jej rzeczywistym właścicielem. Płatnik uznał dokumenty za wiarygodne i na podstawie właściwej umowy o unikaniu podwójnego opodatkowania płatnik zastosował obniżoną stawkę podatku (przykładowo: 5%) zamiast przewidzianej w ustawie o PIT stawki 19%. Podatek pobrany przez płatnika wyniósł zatem 90 000 zł.</w:t>
      </w:r>
    </w:p>
    <w:p w:rsidR="00693D7B" w:rsidRPr="00C93F78" w:rsidRDefault="00693D7B" w:rsidP="00C93F78">
      <w:pPr>
        <w:spacing w:after="0" w:line="360" w:lineRule="auto"/>
        <w:ind w:left="1428"/>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Tytułem wyjaśnienia należy wskazać, iż złożenie oświadczenia, o którym mowa w art. 41 ust. 15 ustawy o PIT nie było w powyższej sytuacji konieczne dla zastosowania stawki podatku na podstawie umowy o unikaniu podwójnego opodatkowania, gdyż nie został wobec danego podatnika przekroczony próg 2 000 000 zł.</w:t>
      </w:r>
    </w:p>
    <w:p w:rsidR="00693D7B" w:rsidRPr="00C93F78" w:rsidRDefault="00693D7B" w:rsidP="00C93F78">
      <w:pPr>
        <w:numPr>
          <w:ilvl w:val="0"/>
          <w:numId w:val="13"/>
        </w:numPr>
        <w:spacing w:after="0" w:line="360" w:lineRule="auto"/>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Jednocześnie, od tego samego podmiotu, który wypłacił dywidendę, wspomniany podatnik uzyskał w lipcu tego samego roku kwotę 500 000 zł tytułem należności licencyjnych. W związku z obowiązywaniem nowych zasad rozliczania podatku u źródła, dla kwoty 200 000 zł płatnik będzie mógł zastosować przy wypłacie wspomnianych należności licencyjnych stawkę podatku wynikającą z umowy o unikaniu podwójnego opodatkowania (przykładowo: 10%). Jednakże dla nadwyżki wypłaconej kwoty ponad limit 2 000 000 zł, płatnik będzie zobowiązany zastosować podstawową stawkę podatku wynikającą z ustawy o PIT (20%). W konsekwencji, kwota podatku, którą płatnik będzie zobowiązany pobrać przy wypłacie wspomnianych należności licencyjnych, wyniesie:</w:t>
      </w:r>
    </w:p>
    <w:p w:rsidR="00693D7B" w:rsidRPr="00C93F78" w:rsidRDefault="00693D7B" w:rsidP="00C93F78">
      <w:pPr>
        <w:spacing w:after="0" w:line="360" w:lineRule="auto"/>
        <w:ind w:left="1068" w:firstLine="34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10% x 200 000 zł + 20% x 300 000 zł = 20 000 zł + 60 000 zł = 80 000 zł</w:t>
      </w:r>
    </w:p>
    <w:p w:rsidR="00693D7B" w:rsidRPr="00C93F78" w:rsidRDefault="00693D7B" w:rsidP="00C93F78">
      <w:pPr>
        <w:spacing w:after="0" w:line="360" w:lineRule="auto"/>
        <w:ind w:left="1428"/>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Jednocześnie podatnik będzie uprawniony do wystąpienia do organu podatkowego z wnioskiem o zwrot całości lub części podatku pobranego od kwoty 300 000 zł należności licencyjnych (a więc o zwrot całości lub części podatku w kwocie 60 000 zł) powołując się na prawo do zastosowania zwolnienia z podatku bądź obniżonej stawki podatku na podstawie obowiązującej umowy o unikaniu podwójnego opodatkowania.</w:t>
      </w:r>
    </w:p>
    <w:p w:rsidR="00693D7B" w:rsidRPr="00C93F78" w:rsidRDefault="00693D7B" w:rsidP="00C93F78">
      <w:pPr>
        <w:spacing w:after="0" w:line="360" w:lineRule="auto"/>
        <w:ind w:left="1428"/>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Tytułem uzupełnienia należy dodać, iż w przypadku, gdyby w omawianym przypadku płatnik złożył oświadczenie, o którym mowa w art. 41 ust. 15 ustawy o PIT, nie byłby on zobowiązany pobierać podatku u źródła od nadwyżki należności licencyjnych ponad 2 000 000 zł.</w:t>
      </w:r>
    </w:p>
    <w:p w:rsidR="00693D7B" w:rsidRPr="00C93F78" w:rsidRDefault="00693D7B" w:rsidP="00C93F78">
      <w:pPr>
        <w:numPr>
          <w:ilvl w:val="0"/>
          <w:numId w:val="13"/>
        </w:numPr>
        <w:spacing w:after="0" w:line="360" w:lineRule="auto"/>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Dodatkowo, w grudniu tego samego roku wspomniany podatnik otrzymał od tego samego płatnika (tj. spółki, która najpierw wypłaciła danemu podatnikowi dywidendę, a następnie należności licencyjne) otrzymał kwotę 100 000 zł tytułem odsetek od pożyczki niezwiązanej z prowadzeniem działalności gospodarczej przez tego podatnika. W konsekwencji, w związku z przekroczeniem w danym roku podatkowym limitu kwoty 2 000 000 zł dla należności z tytułów określonych w art. 29 oraz art. 30a ust. 1 pkt 1- 5a ustawy o PIT, płatnik będzie zobowiązany pobrać podatek według stawki wynikającej z ustawy o PIT (19%) od całej kwoty wypłaconych odsetek (należy powtórzyć, że obowiązek pobrania podatku nie powstałby, gdy podatnik złożył oświadczenie, o którym mowa w art. 41 ust. 15 ustawy o PIT). Podatek pobrany przez płatnika od podatnika powinien więc wynieść 19 000 zł. Analogicznie jak w punkcie powyżej, podatnik będzie miał prawo do ubiegania się o zwrot całości bądź części tego podatku, jeżeli istniała będzie ku temu podstawa prawna (np. obowiązywanie obniżonej stawki podatku u umowie o unikaniu podwójnego opodatkowania).</w:t>
      </w:r>
    </w:p>
    <w:p w:rsidR="00693D7B" w:rsidRPr="00C93F78" w:rsidRDefault="00693D7B" w:rsidP="00C93F78">
      <w:pPr>
        <w:numPr>
          <w:ilvl w:val="0"/>
          <w:numId w:val="13"/>
        </w:numPr>
        <w:spacing w:after="0" w:line="360" w:lineRule="auto"/>
        <w:contextualSpacing/>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W styczniu kolejnego roku wspomniany podatnik otrzymał od tego samego płatnika odsetki w kwocie 600 000 zł. Z uwagi na fakt, iż rozpoczął się nowy rok podatkowy, limit 2 000 000 zł, o którym mowa w art. 41 ust. 12 ustawy o PIT, liczony jest na nowo, w związku z czym na podstawie certyfikatu rezydencji możliwe będzie niepobranie podatku bądź zastosowanie obniżonej stawki podatku wynikającej z umowy o unikaniu podwójnego opodatkowania. </w:t>
      </w:r>
    </w:p>
    <w:p w:rsidR="006B0AAF" w:rsidRPr="00C93F78" w:rsidRDefault="006B0AAF" w:rsidP="00C93F78">
      <w:pPr>
        <w:spacing w:before="240" w:after="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Jednocześnie wymaga odnotowania, iż ustawowe sformułowanie dotyczące </w:t>
      </w:r>
      <w:r w:rsidR="00DA39F8" w:rsidRPr="00C93F78">
        <w:rPr>
          <w:rFonts w:ascii="Times New Roman" w:eastAsia="Calibri" w:hAnsi="Times New Roman" w:cs="Times New Roman"/>
          <w:sz w:val="24"/>
          <w:szCs w:val="24"/>
          <w:shd w:val="clear" w:color="auto" w:fill="FFFFFF"/>
        </w:rPr>
        <w:t xml:space="preserve">wypłat dokonanych </w:t>
      </w:r>
      <w:r w:rsidRPr="00C93F78">
        <w:rPr>
          <w:rFonts w:ascii="Times New Roman" w:eastAsia="Calibri" w:hAnsi="Times New Roman" w:cs="Times New Roman"/>
          <w:sz w:val="24"/>
          <w:szCs w:val="24"/>
          <w:shd w:val="clear" w:color="auto" w:fill="FFFFFF"/>
        </w:rPr>
        <w:t xml:space="preserve">„temu samemu podatnikowi” </w:t>
      </w:r>
      <w:r w:rsidR="00DA39F8" w:rsidRPr="00C93F78">
        <w:rPr>
          <w:rFonts w:ascii="Times New Roman" w:eastAsia="Calibri" w:hAnsi="Times New Roman" w:cs="Times New Roman"/>
          <w:sz w:val="24"/>
          <w:szCs w:val="24"/>
          <w:shd w:val="clear" w:color="auto" w:fill="FFFFFF"/>
        </w:rPr>
        <w:t xml:space="preserve">lub postawionych do dyspozycji „temu samemu podatnikowi” pieniędzy lub wartości pieniężnych, </w:t>
      </w:r>
      <w:r w:rsidRPr="00C93F78">
        <w:rPr>
          <w:rFonts w:ascii="Times New Roman" w:eastAsia="Calibri" w:hAnsi="Times New Roman" w:cs="Times New Roman"/>
          <w:sz w:val="24"/>
          <w:szCs w:val="24"/>
          <w:shd w:val="clear" w:color="auto" w:fill="FFFFFF"/>
        </w:rPr>
        <w:t>wymaga weryfikacji statusu odbiorcy danej płatności</w:t>
      </w:r>
      <w:r w:rsidR="00DA39F8" w:rsidRPr="00C93F78">
        <w:rPr>
          <w:rFonts w:ascii="Times New Roman" w:eastAsia="Calibri" w:hAnsi="Times New Roman" w:cs="Times New Roman"/>
          <w:sz w:val="24"/>
          <w:szCs w:val="24"/>
          <w:shd w:val="clear" w:color="auto" w:fill="FFFFFF"/>
        </w:rPr>
        <w:t>. Chodzi tu o zweryfikowanie</w:t>
      </w:r>
      <w:r w:rsidRPr="00C93F78">
        <w:rPr>
          <w:rFonts w:ascii="Times New Roman" w:eastAsia="Calibri" w:hAnsi="Times New Roman" w:cs="Times New Roman"/>
          <w:sz w:val="24"/>
          <w:szCs w:val="24"/>
          <w:shd w:val="clear" w:color="auto" w:fill="FFFFFF"/>
        </w:rPr>
        <w:t xml:space="preserve">, czy podmiot otrzymujący daną płatność posiada status podatnika (a więc czy występuje u niego trwałe przysporzenie majątkowe), nie zaś jednie status podmiotu pośredniczącego w płatności (zob. wyrok Naczelnego Sądu Administracyjnego z dnia 18.03.2018 r., sygn. II FSK 82/14). </w:t>
      </w:r>
    </w:p>
    <w:p w:rsidR="006B0AAF" w:rsidRPr="00C93F78" w:rsidRDefault="006B0AAF" w:rsidP="00C93F78">
      <w:pPr>
        <w:spacing w:before="240" w:after="0" w:line="360" w:lineRule="auto"/>
        <w:jc w:val="both"/>
        <w:rPr>
          <w:rFonts w:ascii="Times New Roman" w:eastAsia="Calibri" w:hAnsi="Times New Roman" w:cs="Times New Roman"/>
          <w:b/>
          <w:sz w:val="24"/>
          <w:szCs w:val="24"/>
          <w:shd w:val="clear" w:color="auto" w:fill="FFFFFF"/>
        </w:rPr>
      </w:pPr>
      <w:r w:rsidRPr="00C93F78">
        <w:rPr>
          <w:rFonts w:ascii="Times New Roman" w:eastAsia="Calibri" w:hAnsi="Times New Roman" w:cs="Times New Roman"/>
          <w:b/>
          <w:sz w:val="24"/>
          <w:szCs w:val="24"/>
          <w:shd w:val="clear" w:color="auto" w:fill="FFFFFF"/>
        </w:rPr>
        <w:t>Dodanie art. 41 ust. 13 ustawy o PIT</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Nowelizacja wskazuje na kurs, przy użyciu którego należy przeliczać wypłaty w walucie obcej dla potrzeb ustalania przekroczenia progu dwóch milionów złotych, o którym mowa w ust. 12, po przekroczeniu którego obowiązują zmienione zasady rozliczania podatku u źródła.</w:t>
      </w:r>
    </w:p>
    <w:p w:rsidR="006B0AAF" w:rsidRPr="00C93F78" w:rsidRDefault="006B0AAF" w:rsidP="00C93F78">
      <w:pPr>
        <w:spacing w:before="240" w:after="0" w:line="360" w:lineRule="auto"/>
        <w:jc w:val="both"/>
        <w:rPr>
          <w:rFonts w:ascii="Times New Roman" w:eastAsia="Calibri" w:hAnsi="Times New Roman" w:cs="Times New Roman"/>
          <w:b/>
          <w:sz w:val="24"/>
          <w:szCs w:val="24"/>
          <w:shd w:val="clear" w:color="auto" w:fill="FFFFFF"/>
        </w:rPr>
      </w:pPr>
      <w:r w:rsidRPr="00C93F78">
        <w:rPr>
          <w:rFonts w:ascii="Times New Roman" w:eastAsia="Calibri" w:hAnsi="Times New Roman" w:cs="Times New Roman"/>
          <w:b/>
          <w:sz w:val="24"/>
          <w:szCs w:val="24"/>
          <w:shd w:val="clear" w:color="auto" w:fill="FFFFFF"/>
        </w:rPr>
        <w:t>Dodanie art. 41 ust. 14 ustawy o PIT</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Dodany przepis wprowadza domniemanie przekroczenia progu dwóch milionów złotych w przypadku braku możliwości ustalenia wysokości wypłaconych należności.</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Wprowadzenie omawianego domniemania podyktowane jest koniecznością zapewnienia efektywnego oddziaływania wprowadzonych przepisów i ma na celu wykluczenie sytuacji, w której brak możliwości stosowania nowych zasad rozliczania podatku u źródła argumentowany byłby brakiem możliwości precyzyjnego ustalenia kwoty wypłaconej (udostępnionej) konkretnemu podatnikowi. W interesie płatnika powinno bowiem leżeć odpowiednie ewidencjonowanie wypłacanych kwot.</w:t>
      </w:r>
    </w:p>
    <w:p w:rsidR="006B0AAF" w:rsidRPr="00C93F78" w:rsidRDefault="006B0AAF" w:rsidP="00C93F78">
      <w:pPr>
        <w:spacing w:before="240"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 art. 41 ust. 15-</w:t>
      </w:r>
      <w:r w:rsidR="00792B08" w:rsidRPr="00C93F78">
        <w:rPr>
          <w:rFonts w:ascii="Times New Roman" w:eastAsia="Calibri" w:hAnsi="Times New Roman" w:cs="Times New Roman"/>
          <w:b/>
          <w:sz w:val="24"/>
          <w:szCs w:val="24"/>
        </w:rPr>
        <w:t xml:space="preserve">23 </w:t>
      </w:r>
      <w:r w:rsidRPr="00C93F78">
        <w:rPr>
          <w:rFonts w:ascii="Times New Roman" w:eastAsia="Calibri" w:hAnsi="Times New Roman" w:cs="Times New Roman"/>
          <w:b/>
          <w:sz w:val="24"/>
          <w:szCs w:val="24"/>
        </w:rPr>
        <w:t>ustawy o PIT</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Dodawane w art. 41 ustawy o PIT ustępu od 15 do </w:t>
      </w:r>
      <w:r w:rsidR="00792B08" w:rsidRPr="00C93F78">
        <w:rPr>
          <w:rFonts w:ascii="Times New Roman" w:eastAsia="Calibri" w:hAnsi="Times New Roman" w:cs="Times New Roman"/>
          <w:sz w:val="24"/>
          <w:szCs w:val="24"/>
        </w:rPr>
        <w:t xml:space="preserve">23 </w:t>
      </w:r>
      <w:r w:rsidRPr="00C93F78">
        <w:rPr>
          <w:rFonts w:ascii="Times New Roman" w:eastAsia="Calibri" w:hAnsi="Times New Roman" w:cs="Times New Roman"/>
          <w:sz w:val="24"/>
          <w:szCs w:val="24"/>
        </w:rPr>
        <w:t>składają się na normatywne uregulowanie uproszczenia wprowadzanego Projektem i umożliwiają płatnikowi zastosowanie preferencyjnych zasad poboru podatku u źródła już w momencie dokonywania wypłat</w:t>
      </w:r>
      <w:r w:rsidR="00387A7E" w:rsidRPr="00C93F78">
        <w:rPr>
          <w:rFonts w:ascii="Times New Roman" w:eastAsia="Calibri" w:hAnsi="Times New Roman" w:cs="Times New Roman"/>
          <w:sz w:val="24"/>
          <w:szCs w:val="24"/>
        </w:rPr>
        <w:t xml:space="preserve"> (świadczeń) lub stawiania do dyspozycji pieniędzy lub wartości pi</w:t>
      </w:r>
      <w:r w:rsidR="00D40D3B" w:rsidRPr="00C93F78">
        <w:rPr>
          <w:rFonts w:ascii="Times New Roman" w:eastAsia="Calibri" w:hAnsi="Times New Roman" w:cs="Times New Roman"/>
          <w:sz w:val="24"/>
          <w:szCs w:val="24"/>
        </w:rPr>
        <w:t>eniężnych</w:t>
      </w:r>
      <w:r w:rsidRPr="00C93F78">
        <w:rPr>
          <w:rFonts w:ascii="Times New Roman" w:eastAsia="Calibri" w:hAnsi="Times New Roman" w:cs="Times New Roman"/>
          <w:sz w:val="24"/>
          <w:szCs w:val="24"/>
        </w:rPr>
        <w:t>, nawet gdy w stosunku do danego podatnika przekroczony zostanie próg dwóch milionów złotych w danym roku.</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Motywy oraz charakter tych zmian został opisane w części ogólnej niniejszego uzasadnienia. Uszczegóławiając powyższe wskazać można, że w ustępie 15 przewidziano uprawnienie płatnika do korzystania z preferencyjnych zasad opodatkowania z momencie wypłaty należności. W tym celu będzie on składać oświadczenie, iż: </w:t>
      </w:r>
      <w:r w:rsidRPr="00C93F78">
        <w:rPr>
          <w:rFonts w:ascii="Times New Roman" w:eastAsia="Calibri" w:hAnsi="Times New Roman" w:cs="Times New Roman"/>
          <w:b/>
          <w:i/>
          <w:sz w:val="24"/>
          <w:szCs w:val="24"/>
        </w:rPr>
        <w:t>(i)</w:t>
      </w:r>
      <w:r w:rsidRPr="00C93F78">
        <w:rPr>
          <w:rFonts w:ascii="Times New Roman" w:eastAsia="Calibri" w:hAnsi="Times New Roman" w:cs="Times New Roman"/>
          <w:sz w:val="24"/>
          <w:szCs w:val="24"/>
        </w:rPr>
        <w:t xml:space="preserve"> posiada dokumenty </w:t>
      </w:r>
      <w:r w:rsidR="00581951" w:rsidRPr="00C93F78">
        <w:rPr>
          <w:rFonts w:ascii="Times New Roman" w:eastAsia="Calibri" w:hAnsi="Times New Roman" w:cs="Times New Roman"/>
          <w:sz w:val="24"/>
          <w:szCs w:val="24"/>
        </w:rPr>
        <w:t xml:space="preserve">wymagane przez przepisy prawa podatkowego dla </w:t>
      </w:r>
      <w:r w:rsidRPr="00C93F78">
        <w:rPr>
          <w:rFonts w:ascii="Times New Roman" w:eastAsia="Calibri" w:hAnsi="Times New Roman" w:cs="Times New Roman"/>
          <w:sz w:val="24"/>
          <w:szCs w:val="24"/>
        </w:rPr>
        <w:t>zastosowani</w:t>
      </w:r>
      <w:r w:rsidR="00581951" w:rsidRPr="00C93F78">
        <w:rPr>
          <w:rFonts w:ascii="Times New Roman" w:eastAsia="Calibri" w:hAnsi="Times New Roman" w:cs="Times New Roman"/>
          <w:sz w:val="24"/>
          <w:szCs w:val="24"/>
        </w:rPr>
        <w:t>a</w:t>
      </w:r>
      <w:r w:rsidRPr="00C93F78">
        <w:rPr>
          <w:rFonts w:ascii="Times New Roman" w:eastAsia="Calibri" w:hAnsi="Times New Roman" w:cs="Times New Roman"/>
          <w:sz w:val="24"/>
          <w:szCs w:val="24"/>
        </w:rPr>
        <w:t xml:space="preserve"> stawki podatku albo zwol</w:t>
      </w:r>
      <w:r w:rsidR="00581951" w:rsidRPr="00C93F78">
        <w:rPr>
          <w:rFonts w:ascii="Times New Roman" w:eastAsia="Calibri" w:hAnsi="Times New Roman" w:cs="Times New Roman"/>
          <w:sz w:val="24"/>
          <w:szCs w:val="24"/>
        </w:rPr>
        <w:t xml:space="preserve">nienia lub niepobrania podatku </w:t>
      </w:r>
      <w:r w:rsidRPr="00C93F78">
        <w:rPr>
          <w:rFonts w:ascii="Times New Roman" w:eastAsia="Calibri" w:hAnsi="Times New Roman" w:cs="Times New Roman"/>
          <w:sz w:val="24"/>
          <w:szCs w:val="24"/>
        </w:rPr>
        <w:t>(mowa o dokumentach wymaganych jako warunek formalny dla niepobrania podatku, zastosowania zwolnienia bądź stawki wynikającej z umowy o unikaniu opodatkowania – dotyczy to np. wymaganego przez ustawę o PIT certyfikatu rezydencji podatnika</w:t>
      </w:r>
      <w:r w:rsidR="008B148D" w:rsidRPr="00C93F78">
        <w:rPr>
          <w:rFonts w:ascii="Times New Roman" w:eastAsia="Calibri" w:hAnsi="Times New Roman" w:cs="Times New Roman"/>
          <w:sz w:val="24"/>
          <w:szCs w:val="24"/>
        </w:rPr>
        <w:t xml:space="preserve">, a w przypadku podatku dochodowego od osób prawnych, zawierającego analogiczne regulacje, także np. oświadczenia </w:t>
      </w:r>
      <w:r w:rsidR="00B5115D" w:rsidRPr="00C93F78">
        <w:rPr>
          <w:rFonts w:ascii="Times New Roman" w:eastAsia="Calibri" w:hAnsi="Times New Roman" w:cs="Times New Roman"/>
          <w:sz w:val="24"/>
          <w:szCs w:val="24"/>
        </w:rPr>
        <w:t xml:space="preserve">spółki </w:t>
      </w:r>
      <w:r w:rsidR="008B148D" w:rsidRPr="00C93F78">
        <w:rPr>
          <w:rFonts w:ascii="Times New Roman" w:eastAsia="Calibri" w:hAnsi="Times New Roman" w:cs="Times New Roman"/>
          <w:sz w:val="24"/>
          <w:szCs w:val="24"/>
        </w:rPr>
        <w:t>o spełnieniu warunku określonego w art. 21 ust. 3c ustawy o CIT – zob. art. 26 ust. 1f ustawy o CIT</w:t>
      </w:r>
      <w:r w:rsidRPr="00C93F78">
        <w:rPr>
          <w:rFonts w:ascii="Times New Roman" w:eastAsia="Calibri" w:hAnsi="Times New Roman" w:cs="Times New Roman"/>
          <w:sz w:val="24"/>
          <w:szCs w:val="24"/>
        </w:rPr>
        <w:t xml:space="preserve">) oraz </w:t>
      </w:r>
      <w:r w:rsidRPr="00C93F78">
        <w:rPr>
          <w:rFonts w:ascii="Times New Roman" w:eastAsia="Calibri" w:hAnsi="Times New Roman" w:cs="Times New Roman"/>
          <w:b/>
          <w:i/>
          <w:sz w:val="24"/>
          <w:szCs w:val="24"/>
        </w:rPr>
        <w:t xml:space="preserve">(ii) </w:t>
      </w:r>
      <w:r w:rsidRPr="00C93F78">
        <w:rPr>
          <w:rFonts w:ascii="Times New Roman" w:eastAsia="Calibri" w:hAnsi="Times New Roman" w:cs="Times New Roman"/>
          <w:sz w:val="24"/>
          <w:szCs w:val="24"/>
        </w:rPr>
        <w:t xml:space="preserve">po przeprowadzeniu weryfikacji, o której mowa w art. 41 ust. 4aa ustawy o PIT nie posiada wiedzy uzasadniającej przypuszczenie, że istnieją okoliczności wykluczające możliwość niepobrania podatku, zastosowania zwolnienia lub stawek wynikających z określonych regulacji, w szczególności nie posiada wiedzy o istnieniu okoliczności uniemożliwiających spełnienie przesłanek, o których mowa w art. 44f ust. </w:t>
      </w:r>
      <w:r w:rsidR="00E020AC" w:rsidRPr="00C93F78">
        <w:rPr>
          <w:rFonts w:ascii="Times New Roman" w:eastAsia="Calibri" w:hAnsi="Times New Roman" w:cs="Times New Roman"/>
          <w:sz w:val="24"/>
          <w:szCs w:val="24"/>
        </w:rPr>
        <w:t>4</w:t>
      </w:r>
      <w:r w:rsidRPr="00C93F78">
        <w:rPr>
          <w:rFonts w:ascii="Times New Roman" w:eastAsia="Calibri" w:hAnsi="Times New Roman" w:cs="Times New Roman"/>
          <w:sz w:val="24"/>
          <w:szCs w:val="24"/>
        </w:rPr>
        <w:t xml:space="preserve"> pkt 4 oraz 5. Ostatnie z ww. oświadczeń będzie więc miało podwójny charakter – stwierdza ono bowiem, że: </w:t>
      </w:r>
      <w:r w:rsidRPr="00C93F78">
        <w:rPr>
          <w:rFonts w:ascii="Times New Roman" w:eastAsia="Calibri" w:hAnsi="Times New Roman" w:cs="Times New Roman"/>
          <w:b/>
          <w:i/>
          <w:sz w:val="24"/>
          <w:szCs w:val="24"/>
        </w:rPr>
        <w:t>a)</w:t>
      </w:r>
      <w:r w:rsidRPr="00C93F78">
        <w:rPr>
          <w:rFonts w:ascii="Times New Roman" w:eastAsia="Calibri" w:hAnsi="Times New Roman" w:cs="Times New Roman"/>
          <w:sz w:val="24"/>
          <w:szCs w:val="24"/>
        </w:rPr>
        <w:t xml:space="preserve"> dokonano weryfikacji, o której mowa w 41 ust. 4aa ustawy o PIT (a więc weryfikacji, czy spełnione są warunki dla niepobrania podatku, zastosowania zwolnienia lub stawek wynikających z przepisów prawa podatkowego), a ponadto, iż </w:t>
      </w:r>
      <w:r w:rsidRPr="00C93F78">
        <w:rPr>
          <w:rFonts w:ascii="Times New Roman" w:eastAsia="Calibri" w:hAnsi="Times New Roman" w:cs="Times New Roman"/>
          <w:b/>
          <w:i/>
          <w:sz w:val="24"/>
          <w:szCs w:val="24"/>
        </w:rPr>
        <w:t xml:space="preserve">b) </w:t>
      </w:r>
      <w:r w:rsidRPr="00C93F78">
        <w:rPr>
          <w:rFonts w:ascii="Times New Roman" w:eastAsia="Calibri" w:hAnsi="Times New Roman" w:cs="Times New Roman"/>
          <w:sz w:val="24"/>
          <w:szCs w:val="24"/>
        </w:rPr>
        <w:t xml:space="preserve">po przeprowadzeniu weryfikacji płatnik nie posiada wiedzy uzasadniającej przypuszczenie, że istnieją okoliczności wykluczające możliwość niepobrania podatku, zastosowania zwolnienia lub stawek wynikających z określonych regulacji, w szczególności nie posiada wiedzy o istnieniu okoliczności uniemożliwiających spełnienie przesłanek, o których mowa w art. 44f ust. </w:t>
      </w:r>
      <w:r w:rsidR="00E020AC" w:rsidRPr="00C93F78">
        <w:rPr>
          <w:rFonts w:ascii="Times New Roman" w:eastAsia="Calibri" w:hAnsi="Times New Roman" w:cs="Times New Roman"/>
          <w:sz w:val="24"/>
          <w:szCs w:val="24"/>
        </w:rPr>
        <w:t>4</w:t>
      </w:r>
      <w:r w:rsidRPr="00C93F78">
        <w:rPr>
          <w:rFonts w:ascii="Times New Roman" w:eastAsia="Calibri" w:hAnsi="Times New Roman" w:cs="Times New Roman"/>
          <w:sz w:val="24"/>
          <w:szCs w:val="24"/>
        </w:rPr>
        <w:t xml:space="preserve"> pkt 4 oraz 5. </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W kolejnym przepisie wskazano, że oświadczenie to powinno być składane przez kierownika jednostki w rozumieniu przepisów ustawy o rachunkowości. Składający oświadczenie podawać będą pełnione funkcje. W przepisie tym wskazano również, że nie będzie dopuszczalne złożenie przedmiotowego oświadczenia przez pełnomocnika. Regulacja ta ma pełnić dodatkową funkcję gwarancyjną i obszarze poboru podatku u źródła w sytuacji skorzystania (pozostania) w mechanizmie </w:t>
      </w:r>
      <w:r w:rsidRPr="00C93F78">
        <w:rPr>
          <w:rFonts w:ascii="Times New Roman" w:eastAsia="Calibri" w:hAnsi="Times New Roman" w:cs="Times New Roman"/>
          <w:i/>
          <w:sz w:val="24"/>
          <w:szCs w:val="24"/>
        </w:rPr>
        <w:t>relief at source</w:t>
      </w:r>
      <w:r w:rsidRPr="00C93F78">
        <w:rPr>
          <w:rFonts w:ascii="Times New Roman" w:eastAsia="Calibri" w:hAnsi="Times New Roman" w:cs="Times New Roman"/>
          <w:sz w:val="24"/>
          <w:szCs w:val="24"/>
        </w:rPr>
        <w:t>. W ustępie 17 wskazano na termin składania oświadczenia.</w:t>
      </w:r>
    </w:p>
    <w:p w:rsidR="006B0AAF" w:rsidRPr="00C93F78" w:rsidRDefault="006B0AAF" w:rsidP="00C93F78">
      <w:pPr>
        <w:spacing w:after="0" w:line="360" w:lineRule="auto"/>
        <w:ind w:firstLine="708"/>
        <w:jc w:val="both"/>
        <w:rPr>
          <w:rFonts w:ascii="Times New Roman" w:eastAsia="Calibri" w:hAnsi="Times New Roman" w:cs="Times New Roman"/>
          <w:bCs/>
          <w:sz w:val="24"/>
          <w:szCs w:val="24"/>
        </w:rPr>
      </w:pPr>
      <w:r w:rsidRPr="00C93F78">
        <w:rPr>
          <w:rFonts w:ascii="Times New Roman" w:eastAsia="Calibri" w:hAnsi="Times New Roman" w:cs="Times New Roman"/>
          <w:sz w:val="24"/>
          <w:szCs w:val="24"/>
        </w:rPr>
        <w:t>W projektowanym ustępie 18 określono przebieg czynności składających się na złożenie oświadczenia, o którym mowa we wprowadzanym ust. 15.</w:t>
      </w:r>
      <w:r w:rsidRPr="00C93F78">
        <w:rPr>
          <w:rFonts w:ascii="Times New Roman" w:eastAsia="Calibri" w:hAnsi="Times New Roman" w:cs="Times New Roman"/>
          <w:bCs/>
          <w:sz w:val="24"/>
          <w:szCs w:val="24"/>
        </w:rPr>
        <w:t xml:space="preserve"> Tryb postępowania uzależniony jest w tym przypadku od liczby osób, która składa to oświadczenie. Jeżeli:</w:t>
      </w:r>
    </w:p>
    <w:p w:rsidR="00792B08" w:rsidRPr="00C93F78" w:rsidRDefault="00792B08" w:rsidP="00C93F78">
      <w:pPr>
        <w:pStyle w:val="Akapitzlist"/>
        <w:numPr>
          <w:ilvl w:val="0"/>
          <w:numId w:val="16"/>
        </w:numPr>
        <w:spacing w:after="0" w:line="360" w:lineRule="auto"/>
        <w:ind w:left="567" w:hanging="283"/>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rPr>
        <w:t>oświadczenie, o którym mowa w projektowanym ust. 15 składa jedna osoba (a więc w przypadkach, gdy tylko jedna osoba spełnia kryteria kierownika jednostki), wówczas złożenie oświadczenia następuje do organu podatkowego, o którym mowa w art. 44f ust. 16(ust. 18 pkt 1 ustawy o PIT);</w:t>
      </w:r>
    </w:p>
    <w:p w:rsidR="006B0AAF" w:rsidRPr="00C93F78" w:rsidRDefault="006B0AAF" w:rsidP="00C93F78">
      <w:pPr>
        <w:pStyle w:val="Akapitzlist"/>
        <w:numPr>
          <w:ilvl w:val="0"/>
          <w:numId w:val="16"/>
        </w:numPr>
        <w:spacing w:after="0" w:line="360" w:lineRule="auto"/>
        <w:ind w:left="567" w:hanging="283"/>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rPr>
        <w:t>do złożenia oświadczenia, o którym mowa w projektowanym ust. 15 zobowiązana jest więcej niż jedna osoba (a więc w przypadkach, gdy więcej niż jedna osoba spełnia kryteria kierownika jednostki, w związku z czym każda z tych osób zobowiązana jest do złożenia oświadczenia, o którym mowa w ust. 15), wówczas tryb postępowania, zgodnie z projektowanym ust. 18 pkt 2 i ust. 19, jest następujący:</w:t>
      </w:r>
    </w:p>
    <w:p w:rsidR="006B0AAF" w:rsidRPr="00C93F78" w:rsidRDefault="006B0AAF" w:rsidP="00C93F78">
      <w:pPr>
        <w:pStyle w:val="Akapitzlist"/>
        <w:numPr>
          <w:ilvl w:val="1"/>
          <w:numId w:val="16"/>
        </w:numPr>
        <w:spacing w:after="0" w:line="360" w:lineRule="auto"/>
        <w:ind w:left="1134" w:hanging="283"/>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rPr>
        <w:t>każda z zobowiązanych osób składa oświadczenie zgodnie z wymogami ust. 1</w:t>
      </w:r>
      <w:r w:rsidR="00E020AC" w:rsidRPr="00C93F78">
        <w:rPr>
          <w:rFonts w:ascii="Times New Roman" w:eastAsia="Calibri" w:hAnsi="Times New Roman" w:cs="Times New Roman"/>
          <w:bCs/>
          <w:sz w:val="24"/>
          <w:szCs w:val="24"/>
        </w:rPr>
        <w:t>5</w:t>
      </w:r>
      <w:r w:rsidRPr="00C93F78">
        <w:rPr>
          <w:rFonts w:ascii="Times New Roman" w:eastAsia="Calibri" w:hAnsi="Times New Roman" w:cs="Times New Roman"/>
          <w:bCs/>
          <w:sz w:val="24"/>
          <w:szCs w:val="24"/>
        </w:rPr>
        <w:t xml:space="preserve"> (ustawodawca zostawia tu swobodę co do formy złożenia takiego oświadczenia – możliwa musi jednak pozostać weryfikacja jego złożenia),</w:t>
      </w:r>
    </w:p>
    <w:p w:rsidR="00792B08" w:rsidRPr="00C93F78" w:rsidRDefault="00792B08" w:rsidP="00C93F78">
      <w:pPr>
        <w:pStyle w:val="Akapitzlist"/>
        <w:numPr>
          <w:ilvl w:val="1"/>
          <w:numId w:val="16"/>
        </w:numPr>
        <w:spacing w:after="0" w:line="360" w:lineRule="auto"/>
        <w:ind w:left="1134" w:hanging="283"/>
        <w:jc w:val="both"/>
        <w:rPr>
          <w:rFonts w:ascii="Times New Roman" w:eastAsia="Calibri" w:hAnsi="Times New Roman" w:cs="Times New Roman"/>
          <w:bCs/>
          <w:sz w:val="24"/>
          <w:szCs w:val="24"/>
        </w:rPr>
      </w:pPr>
      <w:r w:rsidRPr="00C93F78">
        <w:rPr>
          <w:rFonts w:ascii="Times New Roman" w:eastAsia="Calibri" w:hAnsi="Times New Roman" w:cs="Times New Roman"/>
          <w:bCs/>
          <w:sz w:val="24"/>
          <w:szCs w:val="24"/>
        </w:rPr>
        <w:t>następnie, dowód złożenia oświadczenia, o którym mowa w ust. 15 (tj. dowód złożenia tego oświadczenia przez wszystkie osoby, które są do tego zobowiązane), przekazywany jest wraz ze zgłoszeniem do organu podatkowego, o którym mowa w art. 44f ust. 16. Zgłoszenia należy dokonać w terminie, o którym mowa w ust. 17 (jest to więc termin ten sam, jaki przewidziano dla złożenia o świadczenia, o którym mowa w ust. 15). Zgłoszenia dokonuje jedna z osób, które złożyły oświadczenie, o którym mowa w ust. 15. W zgłoszeniu tym należy ponadto potwierdzić, że oświadczenie, o którym mowa w ust. 15 zostało złożone przez wszystkie zobowiązane do tego osoby. Jednocześnie ustawa przewiduje, iż zgłoszenie nie może zostać złożone przez pełnomocnika.</w:t>
      </w:r>
    </w:p>
    <w:p w:rsidR="006B0AAF" w:rsidRPr="00C93F78" w:rsidRDefault="006B0AAF" w:rsidP="00C93F78">
      <w:pPr>
        <w:spacing w:after="0" w:line="360" w:lineRule="auto"/>
        <w:jc w:val="both"/>
        <w:rPr>
          <w:rFonts w:ascii="Times New Roman" w:eastAsia="Calibri" w:hAnsi="Times New Roman" w:cs="Times New Roman"/>
          <w:sz w:val="24"/>
          <w:szCs w:val="24"/>
        </w:rPr>
      </w:pPr>
    </w:p>
    <w:p w:rsidR="00B038E7" w:rsidRPr="00C93F78" w:rsidRDefault="00B038E7"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Aby umożliwić płatnikom sprawniejsze procedowanie w przypadku powtarzających się rozliczeń z tym samym podatnikiem, ustawa wprowadza mechanizm bazowania – przez określony czas – na już złożonym oświadczeniu, o którym mowa w ust. 15.</w:t>
      </w:r>
    </w:p>
    <w:p w:rsidR="00B038E7" w:rsidRPr="00C93F78" w:rsidRDefault="00B038E7" w:rsidP="00C93F78">
      <w:pPr>
        <w:spacing w:after="0" w:line="360" w:lineRule="auto"/>
        <w:jc w:val="both"/>
        <w:rPr>
          <w:rFonts w:ascii="Times New Roman" w:eastAsia="Calibri" w:hAnsi="Times New Roman" w:cs="Times New Roman"/>
          <w:sz w:val="24"/>
          <w:szCs w:val="24"/>
        </w:rPr>
      </w:pPr>
    </w:p>
    <w:p w:rsidR="00B038E7" w:rsidRPr="00C93F78" w:rsidRDefault="00B038E7"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 ustępie 20 przewidziano bowiem sytuację, w której płatnik po złożeniu oświadczenia, o którym mowa w ust. 15, będzie dokonywał na rzecz podatnika, którego dotyczyło to oświadczenie, dalszych wypłat (świadczeń) z tytułów określonych w art. 29 i art. 30a ust. 1 pkt 1-5a, lub będzie stawiał do dyspozycji tego podatnika kolejne pieniądze lub wartości pieniężne ze wskazanych tytułów. W takim przypadku płatnik będzie uprawniony nie stosować ust. 12 względem danego podatnika do momentu upływu drugiego miesiąca następującego po miesiącu, w którym złożono wspomniane wyżej oświadczenie. Oznacza to, że do wskazanego momentu płatnik będzie uprawniony do zastosowania względem danego podatnika zwolnienia, obniżonej stawki podatku lub do niepobrania podatku na takich zasadach, jak gdyby nie został przekroczony w stosunku do tego podatnika próg 2 mln zł.</w:t>
      </w:r>
    </w:p>
    <w:p w:rsidR="00B038E7" w:rsidRPr="00C93F78" w:rsidRDefault="00B038E7" w:rsidP="00C93F78">
      <w:pPr>
        <w:spacing w:after="0" w:line="360" w:lineRule="auto"/>
        <w:jc w:val="both"/>
        <w:rPr>
          <w:rFonts w:ascii="Times New Roman" w:eastAsia="Calibri" w:hAnsi="Times New Roman" w:cs="Times New Roman"/>
          <w:sz w:val="24"/>
          <w:szCs w:val="24"/>
        </w:rPr>
      </w:pPr>
    </w:p>
    <w:p w:rsidR="00B038E7" w:rsidRPr="00C93F78" w:rsidRDefault="00B038E7"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Zgodnie z ust. 21, jeżeli płatnik skorzysta z uprawnienia, o którym mowa w ust. 20, będzie on zobowiązany złożyć do organu podatkowego, o którym mowa w art. 44f ust. 16, oświadczenie że w momencie dokonania dalszych wypłat (świadczeń) lub postawienia do dyspozycji kolejnych pieniędzy lub świadczeń pieniężnych:</w:t>
      </w:r>
    </w:p>
    <w:p w:rsidR="00B038E7" w:rsidRPr="00C93F78" w:rsidRDefault="00B038E7"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1)</w:t>
      </w:r>
      <w:r w:rsidRPr="00C93F78">
        <w:rPr>
          <w:rFonts w:ascii="Times New Roman" w:eastAsia="Calibri" w:hAnsi="Times New Roman" w:cs="Times New Roman"/>
          <w:sz w:val="24"/>
          <w:szCs w:val="24"/>
        </w:rPr>
        <w:tab/>
        <w:t>posiadał dokumenty wymagane przez przepisy prawa podatkowego dla zastosowania stawki podatku albo zwolnienia lub niepobrania podatku, wynikających z przepisów prawa podatkowego;</w:t>
      </w:r>
    </w:p>
    <w:p w:rsidR="00B038E7" w:rsidRPr="00C93F78" w:rsidRDefault="00B038E7"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2)</w:t>
      </w:r>
      <w:r w:rsidRPr="00C93F78">
        <w:rPr>
          <w:rFonts w:ascii="Times New Roman" w:eastAsia="Calibri" w:hAnsi="Times New Roman" w:cs="Times New Roman"/>
          <w:sz w:val="24"/>
          <w:szCs w:val="24"/>
        </w:rPr>
        <w:tab/>
        <w:t>po przeprowadzeniu weryfikacji, o której mowa w ust. 4aa, nie posiadał wiedzy uzasadniającej przypuszczenie, że istniały okoliczności wykluczające możliwość zastosowania stawki podatku, zwolnienia lub niepobrania podatku, wynikających z przepisów prawa podatkowego, w szczególności okoliczności uniemożliwiające spełnienie przesłanek, o których mowa w art. 44f ust. 4 pkt 4 oraz 5.</w:t>
      </w:r>
    </w:p>
    <w:p w:rsidR="00B038E7" w:rsidRPr="00C93F78" w:rsidRDefault="00B038E7" w:rsidP="00C93F78">
      <w:pPr>
        <w:spacing w:after="0" w:line="360" w:lineRule="auto"/>
        <w:jc w:val="both"/>
        <w:rPr>
          <w:rFonts w:ascii="Times New Roman" w:eastAsia="Calibri" w:hAnsi="Times New Roman" w:cs="Times New Roman"/>
          <w:sz w:val="24"/>
          <w:szCs w:val="24"/>
        </w:rPr>
      </w:pPr>
    </w:p>
    <w:p w:rsidR="00B038E7" w:rsidRPr="00C93F78" w:rsidRDefault="00B038E7"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Oświadczenie, o którym mowa w ust. 21 składa się w terminie do 7 dnia następującego po miesiącu, w którym upłynął okres, o którym mowa w ust. 20 (a wiec w terminie do 7 dnia następującego po miesiącu, w którym upłynął drugi miesiąc po miesiącu, którym złożono oświadczenie określone w ust. 15).</w:t>
      </w:r>
    </w:p>
    <w:p w:rsidR="00B038E7" w:rsidRPr="00C93F78" w:rsidRDefault="00B038E7" w:rsidP="00C93F78">
      <w:pPr>
        <w:spacing w:after="0" w:line="360" w:lineRule="auto"/>
        <w:jc w:val="both"/>
        <w:rPr>
          <w:rFonts w:ascii="Times New Roman" w:eastAsia="Calibri" w:hAnsi="Times New Roman" w:cs="Times New Roman"/>
          <w:sz w:val="24"/>
          <w:szCs w:val="24"/>
        </w:rPr>
      </w:pPr>
    </w:p>
    <w:p w:rsidR="00B038E7" w:rsidRPr="00C93F78" w:rsidRDefault="00B038E7"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Jeżeli złożenie oświadczenia, o którym mowa w ust. 21, nie jest możliwe z uwagi na niespełnienie warunków będących jego przedmiotem, płatnik będzie zobowiązany w terminie przewidzianym dla złożenia tego oświadczenia wpłacić podatek z należnymi odsetkami. Wpłacie podlega podatek, który byłby należny, gdyby płatnik stosował zasady rozliczania podatku u źródła według ust. 12.</w:t>
      </w:r>
    </w:p>
    <w:p w:rsidR="00B038E7" w:rsidRPr="00C93F78" w:rsidRDefault="00B038E7" w:rsidP="00C93F78">
      <w:pPr>
        <w:spacing w:after="0" w:line="360" w:lineRule="auto"/>
        <w:jc w:val="both"/>
        <w:rPr>
          <w:rFonts w:ascii="Times New Roman" w:eastAsia="Calibri" w:hAnsi="Times New Roman" w:cs="Times New Roman"/>
          <w:sz w:val="24"/>
          <w:szCs w:val="24"/>
        </w:rPr>
      </w:pPr>
    </w:p>
    <w:p w:rsidR="00B038E7" w:rsidRPr="00C93F78" w:rsidRDefault="00B038E7"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Ustęp 23 stanowi, że do oświadczenia, o którym mowa w ust. 21 stosuje się odpowiednio ust. 16, 18 i ust. 19 zdanie trzecie. Określono więc tym samym kto, oraz w jaki sposób, składa oświadczenie, o którym mowa w ust. 21, oraz że nie jest możliwe jego złożenie przez pełnomocnika.</w:t>
      </w:r>
    </w:p>
    <w:p w:rsidR="00B038E7" w:rsidRPr="00C93F78" w:rsidRDefault="00B038E7" w:rsidP="00C93F78">
      <w:pPr>
        <w:spacing w:after="0" w:line="360" w:lineRule="auto"/>
        <w:jc w:val="both"/>
        <w:rPr>
          <w:rFonts w:ascii="Times New Roman" w:eastAsia="Calibri" w:hAnsi="Times New Roman" w:cs="Times New Roman"/>
          <w:sz w:val="24"/>
          <w:szCs w:val="24"/>
        </w:rPr>
      </w:pPr>
    </w:p>
    <w:p w:rsidR="00B038E7" w:rsidRPr="00C93F78" w:rsidRDefault="00B038E7"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Wymaga jednocześnie odnotowania, iż w przypadku, gdy oświadczenie, o którym mowa w ust. 15 lub 21 nie było zgodne z prawdą, płatnik nie dokonał wymaganej weryfikacji lub podjęta przez płatnika weryfikacja nie była adekwatna do charakteru i skali działalności płatnika, ustalane będzie ustalenie dodatkowego zobowiązanie podatkowe zgodnie ze znowelizowanymi przepisami Ordynacji podatkowej (zob. projektowany art. 58a § 1 pkt 5 tej ustawy ).</w:t>
      </w:r>
    </w:p>
    <w:p w:rsidR="006B0AAF" w:rsidRPr="00C93F78" w:rsidRDefault="006B0AAF" w:rsidP="00C93F78">
      <w:pPr>
        <w:spacing w:before="240"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 xml:space="preserve">Dodanie art. 41 ust. </w:t>
      </w:r>
      <w:r w:rsidR="007C41F4" w:rsidRPr="00C93F78">
        <w:rPr>
          <w:rFonts w:ascii="Times New Roman" w:eastAsia="Calibri" w:hAnsi="Times New Roman" w:cs="Times New Roman"/>
          <w:b/>
          <w:sz w:val="24"/>
          <w:szCs w:val="24"/>
        </w:rPr>
        <w:t>24</w:t>
      </w:r>
      <w:r w:rsidRPr="00C93F78">
        <w:rPr>
          <w:rFonts w:ascii="Times New Roman" w:eastAsia="Calibri" w:hAnsi="Times New Roman" w:cs="Times New Roman"/>
          <w:b/>
          <w:sz w:val="24"/>
          <w:szCs w:val="24"/>
        </w:rPr>
        <w:t xml:space="preserve"> ustawy o PIT</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Wprowadzany ustęp </w:t>
      </w:r>
      <w:r w:rsidR="004504A2" w:rsidRPr="00C93F78">
        <w:rPr>
          <w:rFonts w:ascii="Times New Roman" w:eastAsia="Calibri" w:hAnsi="Times New Roman" w:cs="Times New Roman"/>
          <w:sz w:val="24"/>
          <w:szCs w:val="24"/>
        </w:rPr>
        <w:t xml:space="preserve">20 </w:t>
      </w:r>
      <w:r w:rsidRPr="00C93F78">
        <w:rPr>
          <w:rFonts w:ascii="Times New Roman" w:eastAsia="Calibri" w:hAnsi="Times New Roman" w:cs="Times New Roman"/>
          <w:sz w:val="24"/>
          <w:szCs w:val="24"/>
        </w:rPr>
        <w:t>przewiduje uprawnienie dla ministra właściwego do spraw finansów publicznych do określenia, w drodze rozporządzenia, grupy podatników, grupy płatników lub czynności, w przypadku których zostanie wyłączone lub ograniczone stosowanie ust. 12, tj. w przypadku których możliwe będzie skorzystanie z preferencji przewidzianych w przepisach prawa podatkowego, bez względu na kwotę należności wypłaconych jednemu podatnikowi z tytułów określonych w art. 29 oraz art. 30a ust. 1 pkt 1- 5a. Preferencje będą mogły być stosowane, jeżeli spełnione zostaną ich warunki.</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Wydając takie rozporządzenie, uwzględniane będzie w szczególności istnienie określonych uwarunkowań obrotu gospodarczego, specyficzny status niektórych grup podatników i płatników oraz specyfikę dokonywania niektórych czynności.</w:t>
      </w:r>
    </w:p>
    <w:p w:rsidR="006B0AAF" w:rsidRPr="00C93F78" w:rsidRDefault="006B0AAF" w:rsidP="00C93F78">
      <w:pPr>
        <w:spacing w:after="0" w:line="360" w:lineRule="auto"/>
        <w:ind w:firstLine="708"/>
        <w:jc w:val="both"/>
        <w:rPr>
          <w:rFonts w:ascii="Times New Roman" w:eastAsia="Calibri" w:hAnsi="Times New Roman" w:cs="Times New Roman"/>
          <w:i/>
          <w:sz w:val="24"/>
          <w:szCs w:val="24"/>
        </w:rPr>
      </w:pPr>
      <w:r w:rsidRPr="00C93F78">
        <w:rPr>
          <w:rFonts w:ascii="Times New Roman" w:eastAsia="Calibri" w:hAnsi="Times New Roman" w:cs="Times New Roman"/>
          <w:sz w:val="24"/>
          <w:szCs w:val="24"/>
        </w:rPr>
        <w:t xml:space="preserve">Uzasadnieniem tej możliwości jest stworzenie prawa do wydania rozporządzenia i stosowanie na jego podstawie – po spełnieniu w konkretnych sytuacjach warunków przewidzianych w prawie – preferencyjnych zasad opodatkowania wypłacanych należności już w momencie ich wypłaty. Należy bowiem przyjąć, że analiza praktyki w zakresie stosowania nowych zasad poboru podatku dostarczać będzie danych wskazujących na krąg podatników, płatników lub czynności w związku z którymi ryzyko nieprawidłowości będzie na tyle niskie, że możliwe będzie zastosowanie mechanizmu </w:t>
      </w:r>
      <w:r w:rsidRPr="00C93F78">
        <w:rPr>
          <w:rFonts w:ascii="Times New Roman" w:eastAsia="Calibri" w:hAnsi="Times New Roman" w:cs="Times New Roman"/>
          <w:i/>
          <w:sz w:val="24"/>
          <w:szCs w:val="24"/>
        </w:rPr>
        <w:t>relief at source.</w:t>
      </w:r>
    </w:p>
    <w:p w:rsidR="006B0AAF" w:rsidRPr="00C93F78" w:rsidRDefault="006B0AAF" w:rsidP="00C93F78">
      <w:pPr>
        <w:spacing w:before="240"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 xml:space="preserve">Dodanie art. 41 ust. </w:t>
      </w:r>
      <w:r w:rsidR="004D055F" w:rsidRPr="00C93F78">
        <w:rPr>
          <w:rFonts w:ascii="Times New Roman" w:eastAsia="Calibri" w:hAnsi="Times New Roman" w:cs="Times New Roman"/>
          <w:b/>
          <w:sz w:val="24"/>
          <w:szCs w:val="24"/>
        </w:rPr>
        <w:t>25</w:t>
      </w:r>
      <w:r w:rsidRPr="00C93F78">
        <w:rPr>
          <w:rFonts w:ascii="Times New Roman" w:eastAsia="Calibri" w:hAnsi="Times New Roman" w:cs="Times New Roman"/>
          <w:b/>
          <w:sz w:val="24"/>
          <w:szCs w:val="24"/>
        </w:rPr>
        <w:t>-</w:t>
      </w:r>
      <w:r w:rsidR="004D055F" w:rsidRPr="00C93F78">
        <w:rPr>
          <w:rFonts w:ascii="Times New Roman" w:eastAsia="Calibri" w:hAnsi="Times New Roman" w:cs="Times New Roman"/>
          <w:b/>
          <w:sz w:val="24"/>
          <w:szCs w:val="24"/>
        </w:rPr>
        <w:t xml:space="preserve">27 </w:t>
      </w:r>
      <w:r w:rsidRPr="00C93F78">
        <w:rPr>
          <w:rFonts w:ascii="Times New Roman" w:eastAsia="Calibri" w:hAnsi="Times New Roman" w:cs="Times New Roman"/>
          <w:b/>
          <w:sz w:val="24"/>
          <w:szCs w:val="24"/>
        </w:rPr>
        <w:t>ustawy o PIT</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ab/>
      </w:r>
      <w:r w:rsidRPr="00C93F78">
        <w:rPr>
          <w:rFonts w:ascii="Times New Roman" w:eastAsia="Calibri" w:hAnsi="Times New Roman" w:cs="Times New Roman"/>
          <w:sz w:val="24"/>
          <w:szCs w:val="24"/>
        </w:rPr>
        <w:t xml:space="preserve">Nowowprowadzone przepisy przewidują brak obowiązku pobierania przez płatników podatku od odsetek lub dyskonta od: </w:t>
      </w:r>
      <w:r w:rsidRPr="00C93F78">
        <w:rPr>
          <w:rFonts w:ascii="Times New Roman" w:eastAsia="Calibri" w:hAnsi="Times New Roman" w:cs="Times New Roman"/>
          <w:b/>
          <w:i/>
          <w:sz w:val="24"/>
          <w:szCs w:val="24"/>
        </w:rPr>
        <w:t>(i)</w:t>
      </w:r>
      <w:r w:rsidRPr="00C93F78">
        <w:rPr>
          <w:rFonts w:ascii="Times New Roman" w:eastAsia="Calibri" w:hAnsi="Times New Roman" w:cs="Times New Roman"/>
          <w:sz w:val="24"/>
          <w:szCs w:val="24"/>
        </w:rPr>
        <w:t xml:space="preserve"> listów zastawnych, a także </w:t>
      </w:r>
      <w:r w:rsidRPr="00C93F78">
        <w:rPr>
          <w:rFonts w:ascii="Times New Roman" w:eastAsia="Calibri" w:hAnsi="Times New Roman" w:cs="Times New Roman"/>
          <w:b/>
          <w:i/>
          <w:sz w:val="24"/>
          <w:szCs w:val="24"/>
        </w:rPr>
        <w:t>(ii)</w:t>
      </w:r>
      <w:r w:rsidRPr="00C93F78">
        <w:rPr>
          <w:rFonts w:ascii="Times New Roman" w:eastAsia="Calibri" w:hAnsi="Times New Roman" w:cs="Times New Roman"/>
          <w:sz w:val="24"/>
          <w:szCs w:val="24"/>
        </w:rPr>
        <w:t xml:space="preserve"> obligacji, jeżeli te odsetki lub dyskonto są wypłacane z obligacji o terminie wykupu nie krótszym niż 1 rok, które zostały dopuszczone do obrotu na rynku regulowanym lub wprowadzone do alternatywnego systemu obrotu w rozumieniu przepisów ustawy z dnia 29 lipca 2005 r. o obrocie instrumentami finansowymi, na terytorium Rzeczypospolitej Polskiej lub na terytorium państwa będącego stroną zawartej z Rzecząpospolitą Polską umowy o unikaniu podwójnego opodatkowania, której </w:t>
      </w:r>
      <w:r w:rsidR="009E08DE" w:rsidRPr="00C93F78">
        <w:rPr>
          <w:rFonts w:ascii="Times New Roman" w:eastAsia="Calibri" w:hAnsi="Times New Roman" w:cs="Times New Roman"/>
          <w:sz w:val="24"/>
          <w:szCs w:val="24"/>
        </w:rPr>
        <w:t xml:space="preserve">przepisy określają </w:t>
      </w:r>
      <w:r w:rsidRPr="00C93F78">
        <w:rPr>
          <w:rFonts w:ascii="Times New Roman" w:eastAsia="Calibri" w:hAnsi="Times New Roman" w:cs="Times New Roman"/>
          <w:sz w:val="24"/>
          <w:szCs w:val="24"/>
        </w:rPr>
        <w:t>zasad</w:t>
      </w:r>
      <w:r w:rsidR="009E08DE" w:rsidRPr="00C93F78">
        <w:rPr>
          <w:rFonts w:ascii="Times New Roman" w:eastAsia="Calibri" w:hAnsi="Times New Roman" w:cs="Times New Roman"/>
          <w:sz w:val="24"/>
          <w:szCs w:val="24"/>
        </w:rPr>
        <w:t>y</w:t>
      </w:r>
      <w:r w:rsidRPr="00C93F78">
        <w:rPr>
          <w:rFonts w:ascii="Times New Roman" w:eastAsia="Calibri" w:hAnsi="Times New Roman" w:cs="Times New Roman"/>
          <w:sz w:val="24"/>
          <w:szCs w:val="24"/>
        </w:rPr>
        <w:t xml:space="preserve"> opodatkowania dochodów z dywidend, odset</w:t>
      </w:r>
      <w:r w:rsidR="009E08DE" w:rsidRPr="00C93F78">
        <w:rPr>
          <w:rFonts w:ascii="Times New Roman" w:eastAsia="Calibri" w:hAnsi="Times New Roman" w:cs="Times New Roman"/>
          <w:sz w:val="24"/>
          <w:szCs w:val="24"/>
        </w:rPr>
        <w:t>ek oraz należności licencyjnych.</w:t>
      </w:r>
      <w:r w:rsidR="002D02B8" w:rsidRPr="00C93F78">
        <w:rPr>
          <w:rFonts w:ascii="Times New Roman" w:eastAsia="Calibri" w:hAnsi="Times New Roman" w:cs="Times New Roman"/>
          <w:sz w:val="24"/>
          <w:szCs w:val="24"/>
        </w:rPr>
        <w:t xml:space="preserve"> </w:t>
      </w:r>
      <w:r w:rsidR="007C262D" w:rsidRPr="00C93F78">
        <w:rPr>
          <w:rFonts w:ascii="Times New Roman" w:eastAsia="Calibri" w:hAnsi="Times New Roman" w:cs="Times New Roman"/>
          <w:sz w:val="24"/>
          <w:szCs w:val="24"/>
        </w:rPr>
        <w:t>W p</w:t>
      </w:r>
      <w:r w:rsidR="00945213" w:rsidRPr="00C93F78">
        <w:rPr>
          <w:rFonts w:ascii="Times New Roman" w:eastAsia="Calibri" w:hAnsi="Times New Roman" w:cs="Times New Roman"/>
          <w:sz w:val="24"/>
          <w:szCs w:val="24"/>
        </w:rPr>
        <w:t xml:space="preserve">rzypadku </w:t>
      </w:r>
      <w:r w:rsidR="002D02B8" w:rsidRPr="00C93F78">
        <w:rPr>
          <w:rFonts w:ascii="Times New Roman" w:eastAsia="Calibri" w:hAnsi="Times New Roman" w:cs="Times New Roman"/>
          <w:sz w:val="24"/>
          <w:szCs w:val="24"/>
        </w:rPr>
        <w:t xml:space="preserve">odsetek lub dyskonta od obligacji, o których mowa w poprzednim zdaniu, </w:t>
      </w:r>
      <w:r w:rsidR="00945213" w:rsidRPr="00C93F78">
        <w:rPr>
          <w:rFonts w:ascii="Times New Roman" w:eastAsia="Calibri" w:hAnsi="Times New Roman" w:cs="Times New Roman"/>
          <w:sz w:val="24"/>
          <w:szCs w:val="24"/>
        </w:rPr>
        <w:t xml:space="preserve">zwolnienie nie będzie jednak miało zastosowania, jeżeli na </w:t>
      </w:r>
      <w:r w:rsidR="00155F1B" w:rsidRPr="00C93F78">
        <w:rPr>
          <w:rFonts w:ascii="Times New Roman" w:eastAsia="Calibri" w:hAnsi="Times New Roman" w:cs="Times New Roman"/>
          <w:sz w:val="24"/>
          <w:szCs w:val="24"/>
        </w:rPr>
        <w:t xml:space="preserve">moment osiągnięcia dochodu podatnik </w:t>
      </w:r>
      <w:r w:rsidR="00945213" w:rsidRPr="00C93F78">
        <w:rPr>
          <w:rFonts w:ascii="Times New Roman" w:eastAsia="Calibri" w:hAnsi="Times New Roman" w:cs="Times New Roman"/>
          <w:sz w:val="24"/>
          <w:szCs w:val="24"/>
        </w:rPr>
        <w:t>będzie</w:t>
      </w:r>
      <w:r w:rsidR="00155F1B" w:rsidRPr="00C93F78">
        <w:rPr>
          <w:rFonts w:ascii="Times New Roman" w:eastAsia="Calibri" w:hAnsi="Times New Roman" w:cs="Times New Roman"/>
          <w:sz w:val="24"/>
          <w:szCs w:val="24"/>
        </w:rPr>
        <w:t xml:space="preserve"> podmiotem powiązanym z emitentem tych obligacji w sposób określony </w:t>
      </w:r>
      <w:r w:rsidR="004D055F" w:rsidRPr="00C93F78">
        <w:rPr>
          <w:rFonts w:ascii="Times New Roman" w:eastAsia="Calibri" w:hAnsi="Times New Roman" w:cs="Times New Roman"/>
          <w:sz w:val="24"/>
          <w:szCs w:val="24"/>
        </w:rPr>
        <w:t xml:space="preserve">w art. 23m ust. 1 pkt 4 ustawy o PIT lub art. 11a ust. 1 pkt 4 ustawy o CIT </w:t>
      </w:r>
      <w:r w:rsidR="00155F1B" w:rsidRPr="00C93F78">
        <w:rPr>
          <w:rFonts w:ascii="Times New Roman" w:eastAsia="Calibri" w:hAnsi="Times New Roman" w:cs="Times New Roman"/>
          <w:sz w:val="24"/>
          <w:szCs w:val="24"/>
        </w:rPr>
        <w:t>oraz</w:t>
      </w:r>
      <w:r w:rsidR="00945213" w:rsidRPr="00C93F78">
        <w:rPr>
          <w:rFonts w:ascii="Times New Roman" w:eastAsia="Calibri" w:hAnsi="Times New Roman" w:cs="Times New Roman"/>
          <w:sz w:val="24"/>
          <w:szCs w:val="24"/>
        </w:rPr>
        <w:t xml:space="preserve"> będzie</w:t>
      </w:r>
      <w:r w:rsidR="00155F1B" w:rsidRPr="00C93F78">
        <w:rPr>
          <w:rFonts w:ascii="Times New Roman" w:eastAsia="Calibri" w:hAnsi="Times New Roman" w:cs="Times New Roman"/>
          <w:sz w:val="24"/>
          <w:szCs w:val="24"/>
        </w:rPr>
        <w:t xml:space="preserve"> posiada</w:t>
      </w:r>
      <w:r w:rsidR="00945213" w:rsidRPr="00C93F78">
        <w:rPr>
          <w:rFonts w:ascii="Times New Roman" w:eastAsia="Calibri" w:hAnsi="Times New Roman" w:cs="Times New Roman"/>
          <w:sz w:val="24"/>
          <w:szCs w:val="24"/>
        </w:rPr>
        <w:t>ł</w:t>
      </w:r>
      <w:r w:rsidR="00155F1B" w:rsidRPr="00C93F78">
        <w:rPr>
          <w:rFonts w:ascii="Times New Roman" w:eastAsia="Calibri" w:hAnsi="Times New Roman" w:cs="Times New Roman"/>
          <w:sz w:val="24"/>
          <w:szCs w:val="24"/>
        </w:rPr>
        <w:t>, bezpośrednio lub pośrednio, łącznie z innymi podmiotami powiązanymi w rozumieniu tych przepisów</w:t>
      </w:r>
      <w:r w:rsidR="003D3DE2" w:rsidRPr="00C93F78">
        <w:rPr>
          <w:rFonts w:ascii="Times New Roman" w:eastAsia="Calibri" w:hAnsi="Times New Roman" w:cs="Times New Roman"/>
          <w:sz w:val="24"/>
          <w:szCs w:val="24"/>
        </w:rPr>
        <w:t>,</w:t>
      </w:r>
      <w:r w:rsidR="00155F1B" w:rsidRPr="00C93F78">
        <w:rPr>
          <w:rFonts w:ascii="Times New Roman" w:eastAsia="Calibri" w:hAnsi="Times New Roman" w:cs="Times New Roman"/>
          <w:sz w:val="24"/>
          <w:szCs w:val="24"/>
        </w:rPr>
        <w:t xml:space="preserve"> więcej niż 10% wartości tych obligacji</w:t>
      </w:r>
      <w:r w:rsidR="002D02B8" w:rsidRPr="00C93F78">
        <w:rPr>
          <w:rFonts w:ascii="Times New Roman" w:eastAsia="Calibri" w:hAnsi="Times New Roman" w:cs="Times New Roman"/>
          <w:sz w:val="24"/>
          <w:szCs w:val="24"/>
        </w:rPr>
        <w:t>.</w:t>
      </w:r>
    </w:p>
    <w:p w:rsidR="0017793E"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ab/>
      </w:r>
      <w:r w:rsidR="002D02B8" w:rsidRPr="00C93F78">
        <w:rPr>
          <w:rFonts w:ascii="Times New Roman" w:eastAsia="Calibri" w:hAnsi="Times New Roman" w:cs="Times New Roman"/>
          <w:sz w:val="24"/>
          <w:szCs w:val="24"/>
        </w:rPr>
        <w:t>W</w:t>
      </w:r>
      <w:r w:rsidRPr="00C93F78">
        <w:rPr>
          <w:rFonts w:ascii="Times New Roman" w:eastAsia="Calibri" w:hAnsi="Times New Roman" w:cs="Times New Roman"/>
          <w:sz w:val="24"/>
          <w:szCs w:val="24"/>
        </w:rPr>
        <w:t xml:space="preserve">arunkiem niepobrania podatku od odsetek lub dyskonta od obligacji (oczywiście tylko w przypadku, gdy obligacje te spełniają przesłanki, o których mowa w akapicie powyżej), jest złożenie przez </w:t>
      </w:r>
      <w:r w:rsidR="002D02B8" w:rsidRPr="00C93F78">
        <w:rPr>
          <w:rFonts w:ascii="Times New Roman" w:eastAsia="Calibri" w:hAnsi="Times New Roman" w:cs="Times New Roman"/>
          <w:sz w:val="24"/>
          <w:szCs w:val="24"/>
        </w:rPr>
        <w:t xml:space="preserve">emitenta </w:t>
      </w:r>
      <w:r w:rsidRPr="00C93F78">
        <w:rPr>
          <w:rFonts w:ascii="Times New Roman" w:eastAsia="Calibri" w:hAnsi="Times New Roman" w:cs="Times New Roman"/>
          <w:sz w:val="24"/>
          <w:szCs w:val="24"/>
        </w:rPr>
        <w:t>organowi podatkowemu, o którym mowa w art. 44f ust. 1</w:t>
      </w:r>
      <w:r w:rsidR="001005C4" w:rsidRPr="00C93F78">
        <w:rPr>
          <w:rFonts w:ascii="Times New Roman" w:eastAsia="Calibri" w:hAnsi="Times New Roman" w:cs="Times New Roman"/>
          <w:sz w:val="24"/>
          <w:szCs w:val="24"/>
        </w:rPr>
        <w:t>6</w:t>
      </w:r>
      <w:r w:rsidRPr="00C93F78">
        <w:rPr>
          <w:rFonts w:ascii="Times New Roman" w:eastAsia="Calibri" w:hAnsi="Times New Roman" w:cs="Times New Roman"/>
          <w:sz w:val="24"/>
          <w:szCs w:val="24"/>
        </w:rPr>
        <w:t xml:space="preserve"> oświadczenia, że </w:t>
      </w:r>
      <w:r w:rsidR="002D02B8" w:rsidRPr="00C93F78">
        <w:rPr>
          <w:rFonts w:ascii="Times New Roman" w:eastAsia="Calibri" w:hAnsi="Times New Roman" w:cs="Times New Roman"/>
          <w:sz w:val="24"/>
          <w:szCs w:val="24"/>
        </w:rPr>
        <w:t xml:space="preserve">emitent </w:t>
      </w:r>
      <w:r w:rsidRPr="00C93F78">
        <w:rPr>
          <w:rFonts w:ascii="Times New Roman" w:eastAsia="Calibri" w:hAnsi="Times New Roman" w:cs="Times New Roman"/>
          <w:sz w:val="24"/>
          <w:szCs w:val="24"/>
        </w:rPr>
        <w:t xml:space="preserve">ten dochował należytej staranności i poinformował </w:t>
      </w:r>
      <w:r w:rsidR="002D02B8" w:rsidRPr="00C93F78">
        <w:rPr>
          <w:rFonts w:ascii="Times New Roman" w:eastAsia="Calibri" w:hAnsi="Times New Roman" w:cs="Times New Roman"/>
          <w:sz w:val="24"/>
          <w:szCs w:val="24"/>
        </w:rPr>
        <w:t xml:space="preserve">podmioty z nim powiązane </w:t>
      </w:r>
      <w:r w:rsidRPr="00C93F78">
        <w:rPr>
          <w:rFonts w:ascii="Times New Roman" w:eastAsia="Calibri" w:hAnsi="Times New Roman" w:cs="Times New Roman"/>
          <w:sz w:val="24"/>
          <w:szCs w:val="24"/>
        </w:rPr>
        <w:t>o wymogu</w:t>
      </w:r>
      <w:r w:rsidR="001005C4" w:rsidRPr="00C93F78">
        <w:rPr>
          <w:rFonts w:ascii="Times New Roman" w:eastAsia="Calibri" w:hAnsi="Times New Roman" w:cs="Times New Roman"/>
          <w:sz w:val="24"/>
          <w:szCs w:val="24"/>
        </w:rPr>
        <w:t xml:space="preserve">, zgodnie z którym </w:t>
      </w:r>
      <w:r w:rsidR="003D3DE2" w:rsidRPr="00C93F78">
        <w:rPr>
          <w:rFonts w:ascii="Times New Roman" w:eastAsia="Calibri" w:hAnsi="Times New Roman" w:cs="Times New Roman"/>
          <w:sz w:val="24"/>
          <w:szCs w:val="24"/>
        </w:rPr>
        <w:t xml:space="preserve">na moment osiągnięcia </w:t>
      </w:r>
      <w:r w:rsidR="0073359F" w:rsidRPr="00C93F78">
        <w:rPr>
          <w:rFonts w:ascii="Times New Roman" w:eastAsia="Calibri" w:hAnsi="Times New Roman" w:cs="Times New Roman"/>
          <w:sz w:val="24"/>
          <w:szCs w:val="24"/>
        </w:rPr>
        <w:t>dochoduu</w:t>
      </w:r>
      <w:r w:rsidR="003D3DE2" w:rsidRPr="00C93F78">
        <w:rPr>
          <w:rFonts w:ascii="Times New Roman" w:eastAsia="Calibri" w:hAnsi="Times New Roman" w:cs="Times New Roman"/>
          <w:sz w:val="24"/>
          <w:szCs w:val="24"/>
        </w:rPr>
        <w:t xml:space="preserve"> przez podatnika nie mogą być spełnione jednocześnie dwie następujące przesłanki: powiązania podatnika z emitentem oraz posiadania przez podatnika i inne podmioty z nim powiązane łącznie </w:t>
      </w:r>
      <w:r w:rsidRPr="00C93F78">
        <w:rPr>
          <w:rFonts w:ascii="Times New Roman" w:eastAsia="Calibri" w:hAnsi="Times New Roman" w:cs="Times New Roman"/>
          <w:sz w:val="24"/>
          <w:szCs w:val="24"/>
        </w:rPr>
        <w:t>więcej niż 10% wartości tych obligacji</w:t>
      </w:r>
      <w:r w:rsidR="001005C4" w:rsidRPr="00C93F78">
        <w:rPr>
          <w:rFonts w:ascii="Times New Roman" w:eastAsia="Calibri" w:hAnsi="Times New Roman" w:cs="Times New Roman"/>
          <w:sz w:val="24"/>
          <w:szCs w:val="24"/>
        </w:rPr>
        <w:t xml:space="preserve"> (zob. art.</w:t>
      </w:r>
      <w:r w:rsidR="003D3DE2" w:rsidRPr="00C93F78">
        <w:rPr>
          <w:rFonts w:ascii="Times New Roman" w:eastAsia="Calibri" w:hAnsi="Times New Roman" w:cs="Times New Roman"/>
          <w:sz w:val="24"/>
          <w:szCs w:val="24"/>
        </w:rPr>
        <w:t>, przy czym przez posiadanie rozumie się posiadanie pośrednie lub bezpośrednie</w:t>
      </w:r>
      <w:r w:rsidR="001005C4" w:rsidRPr="00C93F78">
        <w:rPr>
          <w:rFonts w:ascii="Times New Roman" w:eastAsia="Calibri" w:hAnsi="Times New Roman" w:cs="Times New Roman"/>
          <w:sz w:val="24"/>
          <w:szCs w:val="24"/>
        </w:rPr>
        <w:t xml:space="preserve"> (zob. </w:t>
      </w:r>
      <w:r w:rsidR="00C5045C" w:rsidRPr="00C93F78">
        <w:rPr>
          <w:rFonts w:ascii="Times New Roman" w:eastAsia="Calibri" w:hAnsi="Times New Roman" w:cs="Times New Roman"/>
          <w:sz w:val="24"/>
          <w:szCs w:val="24"/>
        </w:rPr>
        <w:t xml:space="preserve">przesłanki zwolnienia w </w:t>
      </w:r>
      <w:r w:rsidR="001005C4" w:rsidRPr="00C93F78">
        <w:rPr>
          <w:rFonts w:ascii="Times New Roman" w:eastAsia="Calibri" w:hAnsi="Times New Roman" w:cs="Times New Roman"/>
          <w:sz w:val="24"/>
          <w:szCs w:val="24"/>
        </w:rPr>
        <w:t>art. 21 ust. 1 pkt 130c ustawy o PIT</w:t>
      </w:r>
      <w:r w:rsidRPr="00C93F78">
        <w:rPr>
          <w:rFonts w:ascii="Times New Roman" w:eastAsia="Calibri" w:hAnsi="Times New Roman" w:cs="Times New Roman"/>
          <w:sz w:val="24"/>
          <w:szCs w:val="24"/>
        </w:rPr>
        <w:t xml:space="preserve">). Oświadczenie to składane </w:t>
      </w:r>
      <w:r w:rsidR="004D055F" w:rsidRPr="00C93F78">
        <w:rPr>
          <w:rFonts w:ascii="Times New Roman" w:eastAsia="Calibri" w:hAnsi="Times New Roman" w:cs="Times New Roman"/>
          <w:sz w:val="24"/>
          <w:szCs w:val="24"/>
        </w:rPr>
        <w:t xml:space="preserve">będzie w określonej postaci elektronicznej </w:t>
      </w:r>
      <w:r w:rsidRPr="00C93F78">
        <w:rPr>
          <w:rFonts w:ascii="Times New Roman" w:eastAsia="Calibri" w:hAnsi="Times New Roman" w:cs="Times New Roman"/>
          <w:sz w:val="24"/>
          <w:szCs w:val="24"/>
        </w:rPr>
        <w:t xml:space="preserve">jednokrotnie w stosunku do danej emisji obligacji najpóźniej w dniu, w którym płatnik nie pobiera podatku w związku z wypłatą należności z tytułów, o których mowa w ust. </w:t>
      </w:r>
      <w:r w:rsidR="004D055F" w:rsidRPr="00C93F78">
        <w:rPr>
          <w:rFonts w:ascii="Times New Roman" w:eastAsia="Calibri" w:hAnsi="Times New Roman" w:cs="Times New Roman"/>
          <w:sz w:val="24"/>
          <w:szCs w:val="24"/>
        </w:rPr>
        <w:t xml:space="preserve">25 </w:t>
      </w:r>
      <w:r w:rsidRPr="00C93F78">
        <w:rPr>
          <w:rFonts w:ascii="Times New Roman" w:eastAsia="Calibri" w:hAnsi="Times New Roman" w:cs="Times New Roman"/>
          <w:sz w:val="24"/>
          <w:szCs w:val="24"/>
        </w:rPr>
        <w:t xml:space="preserve">pkt 2 (a więc w związku z wypłatą należności z odsetek lub dyskonta od obligacji spełniających wskazane w ustawie kryteria). </w:t>
      </w:r>
    </w:p>
    <w:p w:rsidR="004D055F" w:rsidRPr="00C93F78" w:rsidRDefault="004D055F" w:rsidP="00C93F78">
      <w:pPr>
        <w:spacing w:before="240"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 art. 41 ust. 28 i 29 ustawy o PIT</w:t>
      </w:r>
    </w:p>
    <w:p w:rsidR="004D055F" w:rsidRPr="00C93F78" w:rsidRDefault="004D055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ab/>
        <w:t>Dodany art. 41 ust. 28 określa tryb składania oświadczeń, o których mowa w art. 41 ust. 15, 21 oraz 26, a także zgłoszenia, o którym mowa w ust. 18 pkt 2. Ustawa wskazuje, że są one składane w postaci elektronicznej odpowiadającej strukturze logicznej dostępnej w Biuletynie Informacji Publicznej na stronie podmiotowej urzędu obsługującego ministra właściwego do spraw finansów publicznych.</w:t>
      </w:r>
    </w:p>
    <w:p w:rsidR="004D055F" w:rsidRPr="00C93F78" w:rsidRDefault="004D055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ab/>
        <w:t>Konsekwencją powyższego jest art. 41 ust. 29, wprowadzający delegację dla ministra właściwego do spraw finansów publicznych do określenia (w drodze rozporządzenia) sposobu przesyłania wspomnianych wyżej dokumentów.</w:t>
      </w:r>
    </w:p>
    <w:p w:rsidR="004D055F" w:rsidRPr="00C93F78" w:rsidRDefault="004D055F" w:rsidP="00C93F78">
      <w:pPr>
        <w:spacing w:after="0" w:line="360" w:lineRule="auto"/>
        <w:jc w:val="both"/>
        <w:rPr>
          <w:rFonts w:ascii="Times New Roman" w:eastAsia="Calibri" w:hAnsi="Times New Roman" w:cs="Times New Roman"/>
          <w:sz w:val="24"/>
          <w:szCs w:val="24"/>
        </w:rPr>
      </w:pPr>
    </w:p>
    <w:p w:rsidR="006B0AAF" w:rsidRPr="00C93F78" w:rsidRDefault="006B0AAF" w:rsidP="00C93F78">
      <w:pPr>
        <w:pStyle w:val="Akapitzlist"/>
        <w:numPr>
          <w:ilvl w:val="3"/>
          <w:numId w:val="7"/>
        </w:numPr>
        <w:spacing w:after="240" w:line="360" w:lineRule="auto"/>
        <w:ind w:left="851"/>
        <w:jc w:val="both"/>
        <w:rPr>
          <w:rFonts w:ascii="Times New Roman" w:hAnsi="Times New Roman" w:cs="Times New Roman"/>
          <w:b/>
          <w:sz w:val="24"/>
          <w:szCs w:val="24"/>
        </w:rPr>
      </w:pPr>
      <w:r w:rsidRPr="00C93F78">
        <w:rPr>
          <w:rFonts w:ascii="Times New Roman" w:hAnsi="Times New Roman" w:cs="Times New Roman"/>
          <w:sz w:val="24"/>
          <w:szCs w:val="24"/>
        </w:rPr>
        <w:t xml:space="preserve">pkt </w:t>
      </w:r>
      <w:r w:rsidR="004934CF" w:rsidRPr="00C93F78">
        <w:rPr>
          <w:rFonts w:ascii="Times New Roman" w:hAnsi="Times New Roman" w:cs="Times New Roman"/>
          <w:sz w:val="24"/>
          <w:szCs w:val="24"/>
        </w:rPr>
        <w:t xml:space="preserve">32 </w:t>
      </w:r>
      <w:r w:rsidRPr="00C93F78">
        <w:rPr>
          <w:rFonts w:ascii="Times New Roman" w:hAnsi="Times New Roman" w:cs="Times New Roman"/>
          <w:sz w:val="24"/>
          <w:szCs w:val="24"/>
        </w:rPr>
        <w:t>– zmiana dotycząca art. 42 ustawy o PIT</w:t>
      </w:r>
    </w:p>
    <w:p w:rsidR="006B0AAF" w:rsidRPr="00C93F78" w:rsidRDefault="006B0AAF" w:rsidP="00C93F78">
      <w:pPr>
        <w:spacing w:after="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 art. 42 ust. 9 oraz ust. 10 ustawy o PIT</w:t>
      </w:r>
    </w:p>
    <w:p w:rsidR="006B0AAF" w:rsidRPr="00C93F78" w:rsidRDefault="006B0AAF"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Dodane przepisy dotyczą sytuacji, w której w stosunku do tego samego podatnika w danym roku podatkowym przekroczony został limit dwóch milionów złotych, o którym mowa w art. 41 ust. 12, a uzyskan</w:t>
      </w:r>
      <w:r w:rsidR="001C36D7" w:rsidRPr="00C93F78">
        <w:rPr>
          <w:rFonts w:ascii="Times New Roman" w:eastAsia="Calibri" w:hAnsi="Times New Roman" w:cs="Times New Roman"/>
          <w:sz w:val="24"/>
          <w:szCs w:val="24"/>
        </w:rPr>
        <w:t>e</w:t>
      </w:r>
      <w:r w:rsidRPr="00C93F78">
        <w:rPr>
          <w:rFonts w:ascii="Times New Roman" w:eastAsia="Calibri" w:hAnsi="Times New Roman" w:cs="Times New Roman"/>
          <w:sz w:val="24"/>
          <w:szCs w:val="24"/>
        </w:rPr>
        <w:t xml:space="preserve"> przez tego podatnika </w:t>
      </w:r>
      <w:r w:rsidR="001C36D7" w:rsidRPr="00C93F78">
        <w:rPr>
          <w:rFonts w:ascii="Times New Roman" w:eastAsia="Calibri" w:hAnsi="Times New Roman" w:cs="Times New Roman"/>
          <w:sz w:val="24"/>
          <w:szCs w:val="24"/>
        </w:rPr>
        <w:t xml:space="preserve">dochody obejmują również te, </w:t>
      </w:r>
      <w:r w:rsidRPr="00C93F78">
        <w:rPr>
          <w:rFonts w:ascii="Times New Roman" w:eastAsia="Calibri" w:hAnsi="Times New Roman" w:cs="Times New Roman"/>
          <w:sz w:val="24"/>
          <w:szCs w:val="24"/>
        </w:rPr>
        <w:t xml:space="preserve">od których nie został pobrany podatek zgodnie z art. 41 ust. 2a (dotyczy </w:t>
      </w:r>
      <w:r w:rsidR="00BD7BD0" w:rsidRPr="00C93F78">
        <w:rPr>
          <w:rFonts w:ascii="Times New Roman" w:eastAsia="Calibri" w:hAnsi="Times New Roman" w:cs="Times New Roman"/>
          <w:sz w:val="24"/>
          <w:szCs w:val="24"/>
        </w:rPr>
        <w:t xml:space="preserve">dochodów związanych </w:t>
      </w:r>
      <w:r w:rsidRPr="00C93F78">
        <w:rPr>
          <w:rFonts w:ascii="Times New Roman" w:eastAsia="Calibri" w:hAnsi="Times New Roman" w:cs="Times New Roman"/>
          <w:sz w:val="24"/>
          <w:szCs w:val="24"/>
        </w:rPr>
        <w:t xml:space="preserve">z położonym na terytorium Rzeczypospolitej Polskiej zagranicznym zakładem podatnika posiadającego ograniczony obowiązek podatkowy). W takim przypadku płatnik zobowiązany jest do zawiadomienia właściwego naczelnika urzędu skarbowego o kwocie i rodzaju </w:t>
      </w:r>
      <w:r w:rsidR="001C36D7" w:rsidRPr="00C93F78">
        <w:rPr>
          <w:rFonts w:ascii="Times New Roman" w:eastAsia="Calibri" w:hAnsi="Times New Roman" w:cs="Times New Roman"/>
          <w:sz w:val="24"/>
          <w:szCs w:val="24"/>
        </w:rPr>
        <w:t>dokonanych podatnikowi wypłat (świadczeń) lub postawionych mu do dyspozycji pieniędzy lub wartości pieniężnych</w:t>
      </w:r>
      <w:r w:rsidRPr="00C93F78">
        <w:rPr>
          <w:rFonts w:ascii="Times New Roman" w:eastAsia="Calibri" w:hAnsi="Times New Roman" w:cs="Times New Roman"/>
          <w:sz w:val="24"/>
          <w:szCs w:val="24"/>
        </w:rPr>
        <w:t>, od których zgodnie z art. 41 ust. 2a nie został pobrany podatek. Dodane przepisy wskazują jakie dane należy zawrzeć w zawiadomieniu oraz terminy, w których zawiadomienie powinno zostać złożone.</w:t>
      </w:r>
    </w:p>
    <w:p w:rsidR="007E7F49" w:rsidRPr="00C93F78" w:rsidRDefault="007E7F49" w:rsidP="00C93F78">
      <w:pPr>
        <w:spacing w:after="0" w:line="360" w:lineRule="auto"/>
        <w:ind w:firstLine="708"/>
        <w:jc w:val="both"/>
        <w:rPr>
          <w:rFonts w:ascii="Times New Roman" w:eastAsia="Calibri" w:hAnsi="Times New Roman" w:cs="Times New Roman"/>
          <w:sz w:val="24"/>
          <w:szCs w:val="24"/>
        </w:rPr>
      </w:pPr>
    </w:p>
    <w:p w:rsidR="006B0AAF" w:rsidRPr="00C93F78" w:rsidRDefault="006B0AAF" w:rsidP="00C93F78">
      <w:pPr>
        <w:pStyle w:val="Akapitzlist"/>
        <w:numPr>
          <w:ilvl w:val="3"/>
          <w:numId w:val="7"/>
        </w:numPr>
        <w:spacing w:line="360" w:lineRule="auto"/>
        <w:ind w:left="851"/>
        <w:jc w:val="both"/>
        <w:rPr>
          <w:rFonts w:ascii="Times New Roman" w:hAnsi="Times New Roman" w:cs="Times New Roman"/>
          <w:b/>
          <w:sz w:val="24"/>
          <w:szCs w:val="24"/>
        </w:rPr>
      </w:pPr>
      <w:r w:rsidRPr="00C93F78">
        <w:rPr>
          <w:rFonts w:ascii="Times New Roman" w:hAnsi="Times New Roman"/>
          <w:sz w:val="24"/>
          <w:szCs w:val="24"/>
        </w:rPr>
        <w:t xml:space="preserve">pkt </w:t>
      </w:r>
      <w:r w:rsidR="004934CF" w:rsidRPr="00C93F78">
        <w:rPr>
          <w:rFonts w:ascii="Times New Roman" w:hAnsi="Times New Roman"/>
          <w:sz w:val="24"/>
          <w:szCs w:val="24"/>
        </w:rPr>
        <w:t xml:space="preserve">33 </w:t>
      </w:r>
      <w:r w:rsidRPr="00C93F78">
        <w:rPr>
          <w:rFonts w:ascii="Times New Roman" w:hAnsi="Times New Roman"/>
          <w:sz w:val="24"/>
          <w:szCs w:val="24"/>
        </w:rPr>
        <w:t>– dodawany rozdział 7b dotyczy zwrotu podatku z tytułu wypłaconych należności</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Wprowadzony rozdział 7b (na który składają się przepisy dodanego art. 44f) określa zasady zwrotu podatku zapłaconego w związku z przekazaniem podatnikowi wypłat (świadczeń) lub postawieniem podatnikowi do dyspozycji pieniędzy lub wartości pieniężnych, o których mowa w art. 41 ust. 12.</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Tytułem wyjaśnienia ewentualnych wątpliwości należy odnotować, iż zwrot podatku, o którym mowa w projektowanym rozdziale 7b ustawy o PIT stanowi zwrot podatku w rozumieniu art. 3 </w:t>
      </w:r>
      <w:r w:rsidRPr="00C93F78">
        <w:rPr>
          <w:rFonts w:ascii="Times New Roman" w:hAnsi="Times New Roman" w:cs="Times New Roman"/>
          <w:sz w:val="24"/>
          <w:szCs w:val="24"/>
        </w:rPr>
        <w:t>pkt 7 Ordynacji podatkowej, z konsekwencją stosowania dla tego rodzaju zwrotu właściwych przepisów Ordynacji podatkowej.</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Art. 44f ust. 1 przewiduje, iż zwrotu podatku, pobranego według zasad określonych w art. 41 ust. 12, dokonuje się stosując zwolnienia lub obniżone stawki podatku wynikające z przepisów szczególnych, w tym z umów o unikaniu podwójnego opodatkowania, których stroną jest Rzeczypospolita Polska.</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hAnsi="Times New Roman"/>
          <w:sz w:val="24"/>
          <w:szCs w:val="24"/>
        </w:rPr>
        <w:t xml:space="preserve">Art. </w:t>
      </w:r>
      <w:r w:rsidRPr="00C93F78">
        <w:rPr>
          <w:rFonts w:ascii="Times New Roman" w:eastAsia="Calibri" w:hAnsi="Times New Roman" w:cs="Times New Roman"/>
          <w:sz w:val="24"/>
          <w:szCs w:val="24"/>
        </w:rPr>
        <w:t xml:space="preserve">44f ust. 2 wskazuje podmioty uprawnione do złożenia wniosku o zwrot podatku. Są nimi: podatnik podlegający w Rzeczypospolitej Polskiej ograniczonemu obowiązkowi podatkowemu (spełniający warunki określone w tym przepisie), a także płatnik, który wpłacił podatek z własnych środków i w związku z w tym poniósł ekonomiczny ciężar tego podatku. Przykładem tej ostatniej sytuacji (w której to płatnik może wystąpić o zwrot podatku) jest zawarcie w umowie klauzuli ubruttawiającej wynagrodzenie podatnika (usługodawcy) – zgodnie z tego rodzaju klauzulą, odbiorca należności (podatnik) uprawniony jest do otrzymania stałej kwoty wynagrodzenia za świadczenie wykonane na rzecz usługobiorcy (płatnika), w związku z czym to płatnik zobowiązany jest ponieść ekonomiczny ciężar ewentualnego podatku (podnosząc – ubruttawiając kwotę wynagrodzenia). Funkcjonowanie w obrocie klauzul takich jak opisana powyżej (co potwierdzają składane wnioski o wydanie interpretacji indywidualnej przepisów prawa podatkowego), znanych także jako klauzule </w:t>
      </w:r>
      <w:r w:rsidRPr="00C93F78">
        <w:rPr>
          <w:rFonts w:ascii="Times New Roman" w:eastAsia="Calibri" w:hAnsi="Times New Roman" w:cs="Times New Roman"/>
          <w:i/>
          <w:sz w:val="24"/>
          <w:szCs w:val="24"/>
        </w:rPr>
        <w:t>net of tax</w:t>
      </w:r>
      <w:r w:rsidRPr="00C93F78">
        <w:rPr>
          <w:rFonts w:ascii="Times New Roman" w:eastAsia="Calibri" w:hAnsi="Times New Roman" w:cs="Times New Roman"/>
          <w:sz w:val="24"/>
          <w:szCs w:val="24"/>
        </w:rPr>
        <w:t>, potwierdza zasadność jednoznacznego przyznania płatnikom uprawnienia do wystąpienia o zwrot podatku.</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Wniosek o zwrot podatku będzie zawierał oświadczenie co do zgodności z prawdą faktów przedstawionych we wniosku oraz co do zgodności z oryginałem dokumentacji załączonej do wniosku. Obowiązek złożenia takiego oświadczenia obowiązywać będzie także na dalszym etapie postępowania w odniesieniu do przedstawianych kolejnych faktów oraz przekazywanej uzupełniające dokumentacji (art. 44f ust. 3).</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Treść artykułu 44f ust. 4 wskazuje na dokumenty, które należy przedstawić składając wniosek o zwrot podatku. Wyliczenie z ust. </w:t>
      </w:r>
      <w:r w:rsidR="000261CE" w:rsidRPr="00C93F78">
        <w:rPr>
          <w:rFonts w:ascii="Times New Roman" w:eastAsia="Calibri" w:hAnsi="Times New Roman" w:cs="Times New Roman"/>
          <w:sz w:val="24"/>
          <w:szCs w:val="24"/>
        </w:rPr>
        <w:t>4</w:t>
      </w:r>
      <w:r w:rsidRPr="00C93F78">
        <w:rPr>
          <w:rFonts w:ascii="Times New Roman" w:eastAsia="Calibri" w:hAnsi="Times New Roman" w:cs="Times New Roman"/>
          <w:sz w:val="24"/>
          <w:szCs w:val="24"/>
        </w:rPr>
        <w:t xml:space="preserve"> ma jednak charakter katalogu otwartego, co oznacza, iż organy mogą wymagać także dodatkowej dokumentacji potwierdzającej zasadność zwrotu podatku. Jednocześnie należy zauważyć, iż zakres wymaganej dokumentacji jest uzależniony od konkretnego przypadku (np. osoba nieprowadząca działalności gospodarczej nie jest zobowiązana do dostarczenia dokumentacji odnoszącej się do przesłanki prowadzenia rzeczywistej działalności gospodarczej, o której mowa w ust. 4 pkt 5).</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Przepis artykułu 44f ust. 5 stanowi, iż w sprawie zwrotu podatku, organ podatkowy wydaje decyzję, w której określa kwotę zwrotu. Na zasadzie wyjątku, jeżeli wniosek o zwrot podatku nie budzi wątpliwości, organ podatkowy dokonuje zwrotu kwoty wskazanej we wniosku </w:t>
      </w:r>
      <w:r w:rsidR="008A5266" w:rsidRPr="00C93F78">
        <w:rPr>
          <w:rFonts w:ascii="Times New Roman" w:eastAsia="Calibri" w:hAnsi="Times New Roman" w:cs="Times New Roman"/>
          <w:sz w:val="24"/>
          <w:szCs w:val="24"/>
        </w:rPr>
        <w:t xml:space="preserve">niezwłocznie </w:t>
      </w:r>
      <w:r w:rsidRPr="00C93F78">
        <w:rPr>
          <w:rFonts w:ascii="Times New Roman" w:eastAsia="Calibri" w:hAnsi="Times New Roman" w:cs="Times New Roman"/>
          <w:sz w:val="24"/>
          <w:szCs w:val="24"/>
        </w:rPr>
        <w:t>bez wydania decyzji (art. 44f ust. 10). Jednocześnie ustawa przewiduje, iż w przypadku dokonania zwrotu podatku bez wydania decyzji, jeżeli zwrot był nienależny lub w wysokości wyższej od należnej, w zakresie takiego zwrotu podatku nie będzie wszczynane postępowanie w sprawach o przestępstwa i wykroczenia skarbowe.</w:t>
      </w:r>
    </w:p>
    <w:p w:rsidR="006B0AAF" w:rsidRPr="00C93F78" w:rsidRDefault="008A5266"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U</w:t>
      </w:r>
      <w:r w:rsidR="006B0AAF" w:rsidRPr="00C93F78">
        <w:rPr>
          <w:rFonts w:ascii="Times New Roman" w:eastAsia="Calibri" w:hAnsi="Times New Roman" w:cs="Times New Roman"/>
          <w:sz w:val="24"/>
          <w:szCs w:val="24"/>
        </w:rPr>
        <w:t>stawa określa</w:t>
      </w:r>
      <w:r w:rsidRPr="00C93F78">
        <w:rPr>
          <w:rFonts w:ascii="Times New Roman" w:eastAsia="Calibri" w:hAnsi="Times New Roman" w:cs="Times New Roman"/>
          <w:sz w:val="24"/>
          <w:szCs w:val="24"/>
        </w:rPr>
        <w:t>, iż zwrot podatku następuje bez zbędnej zwłoki, nie później jednak niż w</w:t>
      </w:r>
      <w:r w:rsidR="006B0AAF" w:rsidRPr="00C93F78">
        <w:rPr>
          <w:rFonts w:ascii="Times New Roman" w:eastAsia="Calibri" w:hAnsi="Times New Roman" w:cs="Times New Roman"/>
          <w:sz w:val="24"/>
          <w:szCs w:val="24"/>
        </w:rPr>
        <w:t xml:space="preserve"> termin</w:t>
      </w:r>
      <w:r w:rsidRPr="00C93F78">
        <w:rPr>
          <w:rFonts w:ascii="Times New Roman" w:eastAsia="Calibri" w:hAnsi="Times New Roman" w:cs="Times New Roman"/>
          <w:sz w:val="24"/>
          <w:szCs w:val="24"/>
        </w:rPr>
        <w:t>ie</w:t>
      </w:r>
      <w:r w:rsidR="006B0AAF" w:rsidRPr="00C93F78">
        <w:rPr>
          <w:rFonts w:ascii="Times New Roman" w:eastAsia="Calibri" w:hAnsi="Times New Roman" w:cs="Times New Roman"/>
          <w:sz w:val="24"/>
          <w:szCs w:val="24"/>
        </w:rPr>
        <w:t xml:space="preserve"> 6 miesięcy od dnia wpływu wniosku o zwrot podatku, przy czym do terminu tego nie wlicza się terminów i okresów, o których mowa w art. 139 § 4 Ordynacji podatkowej. Jednocześnie ustawa stanowi, iż termin na </w:t>
      </w:r>
      <w:r w:rsidRPr="00C93F78">
        <w:rPr>
          <w:rFonts w:ascii="Times New Roman" w:eastAsia="Calibri" w:hAnsi="Times New Roman" w:cs="Times New Roman"/>
          <w:sz w:val="24"/>
          <w:szCs w:val="24"/>
        </w:rPr>
        <w:t xml:space="preserve">dokonanie </w:t>
      </w:r>
      <w:r w:rsidR="006B0AAF" w:rsidRPr="00C93F78">
        <w:rPr>
          <w:rFonts w:ascii="Times New Roman" w:eastAsia="Calibri" w:hAnsi="Times New Roman" w:cs="Times New Roman"/>
          <w:sz w:val="24"/>
          <w:szCs w:val="24"/>
        </w:rPr>
        <w:t>zwrot</w:t>
      </w:r>
      <w:r w:rsidRPr="00C93F78">
        <w:rPr>
          <w:rFonts w:ascii="Times New Roman" w:eastAsia="Calibri" w:hAnsi="Times New Roman" w:cs="Times New Roman"/>
          <w:sz w:val="24"/>
          <w:szCs w:val="24"/>
        </w:rPr>
        <w:t>u</w:t>
      </w:r>
      <w:r w:rsidR="006B0AAF" w:rsidRPr="00C93F78">
        <w:rPr>
          <w:rFonts w:ascii="Times New Roman" w:eastAsia="Calibri" w:hAnsi="Times New Roman" w:cs="Times New Roman"/>
          <w:sz w:val="24"/>
          <w:szCs w:val="24"/>
        </w:rPr>
        <w:t xml:space="preserve"> podatku biegnie na nowo w przypadku złożenia zmienionego wniosku o zwrot podatku – od dnia wpływu zmienionego wniosku (art. 44f ust. 6). </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Dodatkowo zastrzega się, że</w:t>
      </w:r>
      <w:r w:rsidR="00840A3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 xml:space="preserve">jeśli </w:t>
      </w:r>
      <w:r w:rsidR="008A5266" w:rsidRPr="00C93F78">
        <w:rPr>
          <w:rFonts w:ascii="Times New Roman" w:eastAsia="Calibri" w:hAnsi="Times New Roman" w:cs="Times New Roman"/>
          <w:sz w:val="24"/>
          <w:szCs w:val="24"/>
        </w:rPr>
        <w:t xml:space="preserve">posiadane informacje wskazują na wysokie prawdopodobieństwo niezasadności zwrotu oraz wyczerpano możliwości uzyskania informacji przesądzających o zasadności zwrotu na podstawie przepisów prawa krajowego, w skutek czego </w:t>
      </w:r>
      <w:r w:rsidRPr="00C93F78">
        <w:rPr>
          <w:rFonts w:ascii="Times New Roman" w:eastAsia="Calibri" w:hAnsi="Times New Roman" w:cs="Times New Roman"/>
          <w:sz w:val="24"/>
          <w:szCs w:val="24"/>
        </w:rPr>
        <w:t>weryfikacja zasadności zwrotu nie jest możliwa w podstawowym terminie (wynikającym z ww. wspomnianego art. 44f ust. 6 ustawy o PIT), organ podatkowy może przedłużyć wskazany termin zwrotu podatku do czasu zakończenia weryfikacji wniosku o zwrot podatku w ramach kontroli podatkowej lub kontroli celno-skarbowej lub postępowania podatkowego</w:t>
      </w:r>
      <w:r w:rsidR="008A5266" w:rsidRPr="00C93F78">
        <w:rPr>
          <w:rFonts w:ascii="Times New Roman" w:eastAsia="Calibri" w:hAnsi="Times New Roman" w:cs="Times New Roman"/>
          <w:sz w:val="24"/>
          <w:szCs w:val="24"/>
        </w:rPr>
        <w:t>, tym kontroli, o której mowa w ust. 9 omawianego artykułu</w:t>
      </w:r>
      <w:r w:rsidRPr="00C93F78">
        <w:rPr>
          <w:rFonts w:ascii="Times New Roman" w:eastAsia="Calibri" w:hAnsi="Times New Roman" w:cs="Times New Roman"/>
          <w:sz w:val="24"/>
          <w:szCs w:val="24"/>
        </w:rPr>
        <w:t xml:space="preserve"> (art. 44f ust. 7). </w:t>
      </w:r>
      <w:r w:rsidRPr="00C93F78">
        <w:rPr>
          <w:rFonts w:ascii="Times New Roman" w:hAnsi="Times New Roman"/>
          <w:sz w:val="24"/>
          <w:szCs w:val="24"/>
        </w:rPr>
        <w:t xml:space="preserve">Art. </w:t>
      </w:r>
      <w:r w:rsidRPr="00C93F78">
        <w:rPr>
          <w:rFonts w:ascii="Times New Roman" w:eastAsia="Calibri" w:hAnsi="Times New Roman" w:cs="Times New Roman"/>
          <w:sz w:val="24"/>
          <w:szCs w:val="24"/>
        </w:rPr>
        <w:t xml:space="preserve">44f ust. 8 określa jakie </w:t>
      </w:r>
      <w:r w:rsidR="008A5266" w:rsidRPr="00C93F78">
        <w:rPr>
          <w:rFonts w:ascii="Times New Roman" w:eastAsia="Calibri" w:hAnsi="Times New Roman" w:cs="Times New Roman"/>
          <w:sz w:val="24"/>
          <w:szCs w:val="24"/>
        </w:rPr>
        <w:t xml:space="preserve">w szczególności działania podejmuje organ </w:t>
      </w:r>
      <w:r w:rsidRPr="00C93F78">
        <w:rPr>
          <w:rFonts w:ascii="Times New Roman" w:eastAsia="Calibri" w:hAnsi="Times New Roman" w:cs="Times New Roman"/>
          <w:sz w:val="24"/>
          <w:szCs w:val="24"/>
        </w:rPr>
        <w:t>przy weryfikacji zasadności wniosku o zwrot podatku (tytułem przykładu, czynności weryfikacyjne, które mogą uzasadnić przedłużenie terminu na zwrot podatku, mogą wiązać się z potrzebą wystąpienia do obcej jurysdykcji podatkowej z wnioskiem o przekazanie informacji na temat działalności podatnika prowadzonej w tej jurysdykcji a następnie oczekiwaniem na odpowiedź zwrotną). Z kolei 44f ust. 9 przewiduje możliwość przeprowadzenie kontroli podatkowej na terytorium państwa zamieszkania podatnika dla celów podatkowych w związku z dokonywaniem weryfikacji wniosku o zwrot podatku.</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hAnsi="Times New Roman"/>
          <w:sz w:val="24"/>
          <w:szCs w:val="24"/>
        </w:rPr>
        <w:t xml:space="preserve">Art. </w:t>
      </w:r>
      <w:r w:rsidRPr="00C93F78">
        <w:rPr>
          <w:rFonts w:ascii="Times New Roman" w:eastAsia="Calibri" w:hAnsi="Times New Roman" w:cs="Times New Roman"/>
          <w:sz w:val="24"/>
          <w:szCs w:val="24"/>
        </w:rPr>
        <w:t xml:space="preserve">44f ust. 11 </w:t>
      </w:r>
      <w:r w:rsidR="001B589B" w:rsidRPr="00C93F78">
        <w:rPr>
          <w:rFonts w:ascii="Times New Roman" w:eastAsia="Calibri" w:hAnsi="Times New Roman" w:cs="Times New Roman"/>
          <w:sz w:val="24"/>
          <w:szCs w:val="24"/>
        </w:rPr>
        <w:t>określa sposób składania wniosku o zwrot</w:t>
      </w:r>
      <w:r w:rsidRPr="00C93F78">
        <w:rPr>
          <w:rFonts w:ascii="Times New Roman" w:eastAsia="Calibri" w:hAnsi="Times New Roman" w:cs="Times New Roman"/>
          <w:sz w:val="24"/>
          <w:szCs w:val="24"/>
        </w:rPr>
        <w:t>.</w:t>
      </w:r>
      <w:r w:rsidR="001B589B" w:rsidRPr="00C93F78">
        <w:rPr>
          <w:rFonts w:ascii="Times New Roman" w:eastAsia="Calibri" w:hAnsi="Times New Roman" w:cs="Times New Roman"/>
          <w:sz w:val="24"/>
          <w:szCs w:val="24"/>
        </w:rPr>
        <w:t xml:space="preserve"> Zgodnie z projektowaną regulacją, wniosek o zwrot podatku składa się w postaci elektronicznej odpowiadającej strukturze logicznej dostępnej w Biuletynie Informacji Publicznej na stronie podmiotowej urzędu obsługującego ministra właściwego do spraw finansów publicznych. W ten sam sposób będzie następowało uzupełnienie wniosku o zwrot podatku w zakresie przedstawienia organowi podatkowemu dalszych faktów oraz przekazania uzupełniającej dokumentacji.</w:t>
      </w:r>
      <w:r w:rsidRPr="00C93F78">
        <w:rPr>
          <w:rFonts w:ascii="Times New Roman" w:eastAsia="Calibri" w:hAnsi="Times New Roman" w:cs="Times New Roman"/>
          <w:sz w:val="24"/>
          <w:szCs w:val="24"/>
        </w:rPr>
        <w:t xml:space="preserve"> </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hAnsi="Times New Roman"/>
          <w:sz w:val="24"/>
          <w:szCs w:val="24"/>
        </w:rPr>
        <w:t xml:space="preserve">Art. </w:t>
      </w:r>
      <w:r w:rsidRPr="00C93F78">
        <w:rPr>
          <w:rFonts w:ascii="Times New Roman" w:eastAsia="Calibri" w:hAnsi="Times New Roman" w:cs="Times New Roman"/>
          <w:sz w:val="24"/>
          <w:szCs w:val="24"/>
        </w:rPr>
        <w:t>44f ust. 12 określa tryb postępowania z wnioskiem o zwrot podatku, do którego nie dołączono wymaganej dokumentacji. W takim przypadku organ wzywa wnioskodawcę do usunięcia braków w terminie 14 dni, z pouczeniem, że niewypełnienie tego warunku spowoduje pozostawienie wniosku o zwrot podatku bez rozpatrzenia. W sprawie pozostawienia wniosku o zwrot bez rozpatrzenia wydaje się postanowienie, na które służy zażalenie.</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hAnsi="Times New Roman"/>
          <w:sz w:val="24"/>
          <w:szCs w:val="24"/>
        </w:rPr>
        <w:t xml:space="preserve">Art. </w:t>
      </w:r>
      <w:r w:rsidRPr="00C93F78">
        <w:rPr>
          <w:rFonts w:ascii="Times New Roman" w:eastAsia="Calibri" w:hAnsi="Times New Roman" w:cs="Times New Roman"/>
          <w:sz w:val="24"/>
          <w:szCs w:val="24"/>
        </w:rPr>
        <w:t>44f ust. 13 określa zasady oprocentowania kwoty podatku. Zgodnie ze wskazanym przepisem, w przypadku przekroczenia 6-miesięcznego terminu na zwrot podatku, zwrócona kwota podlega oprocentowaniu w wysokości odpowiadającej opłacie prolongacyjnej.</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hAnsi="Times New Roman"/>
          <w:sz w:val="24"/>
          <w:szCs w:val="24"/>
        </w:rPr>
        <w:t xml:space="preserve">Art. </w:t>
      </w:r>
      <w:r w:rsidRPr="00C93F78">
        <w:rPr>
          <w:rFonts w:ascii="Times New Roman" w:eastAsia="Calibri" w:hAnsi="Times New Roman" w:cs="Times New Roman"/>
          <w:sz w:val="24"/>
          <w:szCs w:val="24"/>
        </w:rPr>
        <w:t>44f ust. 14 określa tryb (sposób) zwrotu podatku. Zgodnie z tą regulacją, zwrot podatku dokonywany następował będzie wyłącznie na rachunek bankowy wnioskodawcy lub rachunek wnioskodawcy w spółdzielczej kasie oszczędnościowo-kredytowej. Jednocześnie zastrzeżono, iż w przypadku gdy zwrot podatku miałby zostać dokonany na rachunek wnioskodawcy prowadzony poza terytorium kraju, zwracana kwota jest pomniejszana o koszty dokonania zwrotu.</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hAnsi="Times New Roman"/>
          <w:sz w:val="24"/>
          <w:szCs w:val="24"/>
        </w:rPr>
        <w:t xml:space="preserve">Art. </w:t>
      </w:r>
      <w:r w:rsidRPr="00C93F78">
        <w:rPr>
          <w:rFonts w:ascii="Times New Roman" w:eastAsia="Calibri" w:hAnsi="Times New Roman" w:cs="Times New Roman"/>
          <w:sz w:val="24"/>
          <w:szCs w:val="24"/>
        </w:rPr>
        <w:t xml:space="preserve">44f ust. 15 </w:t>
      </w:r>
      <w:r w:rsidR="001B589B" w:rsidRPr="00C93F78">
        <w:rPr>
          <w:rFonts w:ascii="Times New Roman" w:eastAsia="Calibri" w:hAnsi="Times New Roman" w:cs="Times New Roman"/>
          <w:sz w:val="24"/>
          <w:szCs w:val="24"/>
        </w:rPr>
        <w:t>zawiera delegację dla ministra właściwego do spraw finansów publicznych do określenia, w drodze rozporządzenia, sposobu przesyłania wniosku o zwrot podatku za pomocą środków komunikacji elektronicznej</w:t>
      </w:r>
      <w:r w:rsidRPr="00C93F78">
        <w:rPr>
          <w:rFonts w:ascii="Times New Roman" w:eastAsia="Calibri" w:hAnsi="Times New Roman" w:cs="Times New Roman"/>
          <w:sz w:val="24"/>
          <w:szCs w:val="24"/>
        </w:rPr>
        <w:t>.</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W treści ustępu 16 artykułu 44f wskazano na organ podatkowy właściwy w sprawach zwrotu podatku z tytułu wpłaconych należności. Zgodnie z regułą ogólną organem podatkowym właściwym w tych sprawach będzie naczelnik urzędu skarbowego właściwy według miejsca zamieszkania podatnika, a w przypadku nierezydentów, naczelnik urzędu skarbowego właściwy w sprawach opodatkowania osób zagranicznych. Przepis ust. 17 wskazuje jednak na uprawnienie ministra właściwego do spraw finansów publicznych do wydania rozporządzenia określającego odmienną właściwość miejscową organów podatkowych. Wydając rozporządzenie minister właściwy do spraw finansów publicznych kierować się ma celem sprawnego i efektywnego wykonywania zadań dotyczących zwrotu podatku. Dotychczasowa praktyka dowodzi bowiem, że ponad połowa składanych informacji o dochodach osiąganych przez nierezydentów wpływa w obrębie jednego województwa – mazowieckiego.</w:t>
      </w:r>
    </w:p>
    <w:p w:rsidR="006B0AAF" w:rsidRPr="00C93F78" w:rsidRDefault="006B0AAF" w:rsidP="00C93F78">
      <w:pPr>
        <w:spacing w:after="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Projektowane przepisy o zwrocie podatku z tytułu wypłaconych należności są przepisami szczególnymi względem postanowień Ordynacji podatkowej dotyczących nadpłaty i jej zwrotu. W konsekwencji w ramach procedury zwrotu podatku z tytułu wypłaconych należności przepisy Ordynacji podatkowej znajdą zastosowanie jedynie w zakresie nieuregulowanym w przepisach ustawy o PIT i ustawy o CIT. Na gruncie ustawy o PIT zagadnienie to zostało uregulowane w projektowanym art. 44f ust. 18.</w:t>
      </w:r>
    </w:p>
    <w:p w:rsidR="0017793E" w:rsidRPr="00C93F78" w:rsidRDefault="0017793E" w:rsidP="00C93F78">
      <w:pPr>
        <w:spacing w:after="0" w:line="360" w:lineRule="auto"/>
        <w:jc w:val="both"/>
        <w:rPr>
          <w:rFonts w:ascii="Times New Roman" w:eastAsia="Calibri" w:hAnsi="Times New Roman" w:cs="Times New Roman"/>
          <w:sz w:val="24"/>
          <w:szCs w:val="24"/>
        </w:rPr>
      </w:pPr>
    </w:p>
    <w:p w:rsidR="004934CF" w:rsidRPr="00C93F78" w:rsidRDefault="004934CF" w:rsidP="00C93F78">
      <w:pPr>
        <w:pStyle w:val="Akapitzlist"/>
        <w:numPr>
          <w:ilvl w:val="0"/>
          <w:numId w:val="1"/>
        </w:numPr>
        <w:spacing w:line="360" w:lineRule="auto"/>
        <w:jc w:val="both"/>
        <w:rPr>
          <w:rFonts w:ascii="Times New Roman" w:hAnsi="Times New Roman"/>
          <w:sz w:val="24"/>
          <w:szCs w:val="24"/>
        </w:rPr>
      </w:pPr>
      <w:r w:rsidRPr="00C93F78">
        <w:rPr>
          <w:rFonts w:ascii="Times New Roman" w:hAnsi="Times New Roman"/>
          <w:sz w:val="24"/>
          <w:szCs w:val="24"/>
        </w:rPr>
        <w:t>pkt 34 – dotyczy zmian w art. 45 ustawy o PIT – zmiana została szerzej omówiona w części uzasadnienia dotyczącej problematyki cen transferowych</w:t>
      </w:r>
      <w:r w:rsidR="009113E8" w:rsidRPr="00C93F78">
        <w:rPr>
          <w:rFonts w:ascii="Times New Roman" w:hAnsi="Times New Roman"/>
          <w:sz w:val="24"/>
          <w:szCs w:val="24"/>
        </w:rPr>
        <w:t>.</w:t>
      </w:r>
      <w:r w:rsidRPr="00C93F78">
        <w:rPr>
          <w:rFonts w:ascii="Times New Roman" w:hAnsi="Times New Roman"/>
          <w:sz w:val="24"/>
          <w:szCs w:val="24"/>
        </w:rPr>
        <w:t xml:space="preserve"> </w:t>
      </w:r>
    </w:p>
    <w:p w:rsidR="004934CF" w:rsidRPr="00C93F78" w:rsidRDefault="004934CF" w:rsidP="00C93F78">
      <w:pPr>
        <w:pStyle w:val="Akapitzlist"/>
        <w:numPr>
          <w:ilvl w:val="0"/>
          <w:numId w:val="1"/>
        </w:numPr>
        <w:spacing w:line="360" w:lineRule="auto"/>
        <w:jc w:val="both"/>
        <w:rPr>
          <w:rFonts w:ascii="Times New Roman" w:hAnsi="Times New Roman"/>
          <w:sz w:val="24"/>
          <w:szCs w:val="24"/>
        </w:rPr>
      </w:pPr>
      <w:r w:rsidRPr="00C93F78">
        <w:rPr>
          <w:rFonts w:ascii="Times New Roman" w:hAnsi="Times New Roman"/>
          <w:sz w:val="24"/>
          <w:szCs w:val="24"/>
        </w:rPr>
        <w:t>pkt 35 – dotyczy dodania załącznika nr 4 do ustawy o PIT – zmiana została szerzej omówiona w części uzasadnienia dotyczącej problematyki cen transferowych</w:t>
      </w:r>
      <w:r w:rsidR="009113E8" w:rsidRPr="00C93F78">
        <w:rPr>
          <w:rFonts w:ascii="Times New Roman" w:hAnsi="Times New Roman"/>
          <w:sz w:val="24"/>
          <w:szCs w:val="24"/>
        </w:rPr>
        <w:t>.</w:t>
      </w:r>
      <w:r w:rsidRPr="00C93F78">
        <w:rPr>
          <w:rFonts w:ascii="Times New Roman" w:hAnsi="Times New Roman"/>
          <w:sz w:val="24"/>
          <w:szCs w:val="24"/>
        </w:rPr>
        <w:t xml:space="preserve"> </w:t>
      </w:r>
    </w:p>
    <w:p w:rsidR="006B0AAF" w:rsidRPr="00C93F78" w:rsidRDefault="006B0AAF" w:rsidP="00C93F78">
      <w:pPr>
        <w:pStyle w:val="Nagwek2"/>
        <w:spacing w:after="240" w:line="360" w:lineRule="auto"/>
        <w:jc w:val="both"/>
        <w:rPr>
          <w:szCs w:val="24"/>
        </w:rPr>
      </w:pPr>
      <w:r w:rsidRPr="00C93F78">
        <w:rPr>
          <w:szCs w:val="24"/>
        </w:rPr>
        <w:t>Art. 2 – zmiany w ustawie o podatku dochodowym od osób prawnych (ustawa o CIT)</w:t>
      </w:r>
    </w:p>
    <w:p w:rsidR="004934CF" w:rsidRPr="00C93F78" w:rsidRDefault="004934CF" w:rsidP="00C93F78">
      <w:pPr>
        <w:pStyle w:val="Akapitzlist"/>
        <w:numPr>
          <w:ilvl w:val="0"/>
          <w:numId w:val="1"/>
        </w:numPr>
        <w:spacing w:line="360" w:lineRule="auto"/>
        <w:jc w:val="both"/>
        <w:rPr>
          <w:rFonts w:ascii="Times New Roman" w:hAnsi="Times New Roman"/>
          <w:sz w:val="24"/>
          <w:szCs w:val="24"/>
        </w:rPr>
      </w:pPr>
      <w:r w:rsidRPr="00C93F78">
        <w:rPr>
          <w:rFonts w:ascii="Times New Roman" w:hAnsi="Times New Roman" w:cs="Times New Roman"/>
          <w:sz w:val="24"/>
          <w:szCs w:val="24"/>
        </w:rPr>
        <w:t xml:space="preserve">pkt 1 – zmiany dotyczące art. 1a - ustawy o CIT - </w:t>
      </w:r>
      <w:r w:rsidRPr="00C93F78">
        <w:rPr>
          <w:rFonts w:ascii="Times New Roman" w:hAnsi="Times New Roman"/>
          <w:sz w:val="24"/>
          <w:szCs w:val="24"/>
        </w:rPr>
        <w:t>zmiana została szerzej omówiona w części uzasadnienia dotyczącej problematyki cen transferowych</w:t>
      </w:r>
      <w:r w:rsidR="009113E8" w:rsidRPr="00C93F78">
        <w:rPr>
          <w:rFonts w:ascii="Times New Roman" w:hAnsi="Times New Roman"/>
          <w:sz w:val="24"/>
          <w:szCs w:val="24"/>
        </w:rPr>
        <w:t>.</w:t>
      </w:r>
      <w:r w:rsidRPr="00C93F78">
        <w:rPr>
          <w:rFonts w:ascii="Times New Roman" w:hAnsi="Times New Roman"/>
          <w:sz w:val="24"/>
          <w:szCs w:val="24"/>
        </w:rPr>
        <w:t xml:space="preserve"> </w:t>
      </w:r>
    </w:p>
    <w:p w:rsidR="006B0AAF" w:rsidRPr="00C93F78" w:rsidRDefault="006B0AAF"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934CF" w:rsidRPr="00C93F78">
        <w:rPr>
          <w:rFonts w:ascii="Times New Roman" w:hAnsi="Times New Roman" w:cs="Times New Roman"/>
          <w:sz w:val="24"/>
          <w:szCs w:val="24"/>
        </w:rPr>
        <w:t xml:space="preserve">2 </w:t>
      </w:r>
      <w:r w:rsidRPr="00C93F78">
        <w:rPr>
          <w:rFonts w:ascii="Times New Roman" w:hAnsi="Times New Roman" w:cs="Times New Roman"/>
          <w:sz w:val="24"/>
          <w:szCs w:val="24"/>
        </w:rPr>
        <w:t>- dodawany pkt 6 w art. 3 w ust. 3 ustawy o CIT</w:t>
      </w:r>
      <w:r w:rsidR="009113E8" w:rsidRPr="00C93F78">
        <w:rPr>
          <w:rFonts w:ascii="Times New Roman" w:hAnsi="Times New Roman" w:cs="Times New Roman"/>
          <w:sz w:val="24"/>
          <w:szCs w:val="24"/>
        </w:rPr>
        <w: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Zmiana polega na wskazaniu </w:t>
      </w:r>
      <w:r w:rsidRPr="00C93F78">
        <w:rPr>
          <w:rFonts w:ascii="Times New Roman" w:hAnsi="Times New Roman" w:cs="Times New Roman"/>
          <w:i/>
          <w:sz w:val="24"/>
          <w:szCs w:val="24"/>
        </w:rPr>
        <w:t>expressis verbis</w:t>
      </w:r>
      <w:r w:rsidRPr="00C93F78">
        <w:rPr>
          <w:rFonts w:ascii="Times New Roman" w:hAnsi="Times New Roman" w:cs="Times New Roman"/>
          <w:sz w:val="24"/>
          <w:szCs w:val="24"/>
        </w:rPr>
        <w:t xml:space="preserve">, iż nowa kategoria dochodów (przychodów) jakim są dochody z niezrealizowanych zysków, określona w dodawanym Rozdziale 7a stanowi dochód (przychód) osiągnięty na terytorium Rzeczpospolitej Polskiej w rozumieniu art. 3 ust. 2 ustawy o CIT. Zmiana ma charakter dostosowujący do regulacji wprowadzającej do ustawy CIT Rozdział 7a dotyczący podatku od dochodów z niezrealizowanych zysków (tzw. podatku z tytułu wyjścia, </w:t>
      </w:r>
      <w:r w:rsidRPr="00C93F78">
        <w:rPr>
          <w:rFonts w:ascii="Times New Roman" w:hAnsi="Times New Roman" w:cs="Times New Roman"/>
          <w:i/>
          <w:sz w:val="24"/>
          <w:szCs w:val="24"/>
        </w:rPr>
        <w:t>exit tax</w:t>
      </w:r>
      <w:r w:rsidRPr="00C93F78">
        <w:rPr>
          <w:rFonts w:ascii="Times New Roman" w:hAnsi="Times New Roman" w:cs="Times New Roman"/>
          <w:sz w:val="24"/>
          <w:szCs w:val="24"/>
        </w:rPr>
        <w:t xml:space="preserve">). Zmiana analogiczna do przewidzianej w ustawie o PIT. </w:t>
      </w:r>
    </w:p>
    <w:p w:rsidR="006B0AAF" w:rsidRPr="00C93F78" w:rsidRDefault="006B0AAF"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934CF" w:rsidRPr="00C93F78">
        <w:rPr>
          <w:rFonts w:ascii="Times New Roman" w:hAnsi="Times New Roman" w:cs="Times New Roman"/>
          <w:sz w:val="24"/>
          <w:szCs w:val="24"/>
        </w:rPr>
        <w:t xml:space="preserve">3 </w:t>
      </w:r>
      <w:r w:rsidRPr="00C93F78">
        <w:rPr>
          <w:rFonts w:ascii="Times New Roman" w:hAnsi="Times New Roman" w:cs="Times New Roman"/>
          <w:sz w:val="24"/>
          <w:szCs w:val="24"/>
        </w:rPr>
        <w:t xml:space="preserve">– zmiany dotyczące art. 4a ustawy o CIT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Zmiany polegają na dodaniu w słowniczku definicji:</w:t>
      </w:r>
    </w:p>
    <w:p w:rsidR="006B0AAF" w:rsidRPr="00C93F78" w:rsidRDefault="006B0AAF" w:rsidP="00C93F78">
      <w:pPr>
        <w:spacing w:before="120" w:after="120" w:line="360" w:lineRule="auto"/>
        <w:jc w:val="both"/>
        <w:rPr>
          <w:rFonts w:ascii="Times New Roman" w:hAnsi="Times New Roman" w:cs="Times New Roman"/>
          <w:b/>
          <w:color w:val="FF0000"/>
          <w:sz w:val="24"/>
          <w:szCs w:val="24"/>
        </w:rPr>
      </w:pPr>
      <w:r w:rsidRPr="00C93F78">
        <w:rPr>
          <w:rFonts w:ascii="Times New Roman" w:hAnsi="Times New Roman" w:cs="Times New Roman"/>
          <w:b/>
          <w:color w:val="FF0000"/>
          <w:sz w:val="24"/>
          <w:szCs w:val="24"/>
        </w:rPr>
        <w:t xml:space="preserve">- rzeczywistego właściciela – </w:t>
      </w:r>
      <w:r w:rsidRPr="00C93F78">
        <w:rPr>
          <w:rFonts w:ascii="Times New Roman" w:eastAsia="Calibri" w:hAnsi="Times New Roman" w:cs="Times New Roman"/>
          <w:sz w:val="24"/>
          <w:szCs w:val="24"/>
        </w:rPr>
        <w:t>motywy oraz charakter zmiany zostały opisane w części ogólnej niniejszego uzasadnienia,</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waluty wirtualnej, zdefiniowano ją poprzez odesłanie do definicji z ustawy z dnia 1 marca 2018 r. o przeciwdziałaniu praniu pieniędzy oraz finansowaniu terroryzmu (Dz. U. poz. 723) – pkt 33,</w:t>
      </w:r>
      <w:r w:rsidR="00840A3E" w:rsidRPr="00C93F78">
        <w:rPr>
          <w:rFonts w:ascii="Times New Roman" w:hAnsi="Times New Roman" w:cs="Times New Roman"/>
          <w:sz w:val="24"/>
          <w:szCs w:val="24"/>
        </w:rPr>
        <w:t xml:space="preserve">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pożyczki papierów wartościowych</w:t>
      </w:r>
      <w:r w:rsidRPr="00C93F78">
        <w:rPr>
          <w:rFonts w:ascii="Times New Roman" w:hAnsi="Times New Roman" w:cs="Times New Roman"/>
          <w:sz w:val="24"/>
          <w:szCs w:val="24"/>
        </w:rPr>
        <w:tab/>
        <w:t xml:space="preserve"> (pkt 34), oraz</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ustawy o przeciwdziałaniu praniu pieniędzy oraz finansowaniu terroryzmu.</w:t>
      </w:r>
    </w:p>
    <w:p w:rsidR="006B0AAF" w:rsidRPr="00C93F78" w:rsidRDefault="006B0AAF"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934CF" w:rsidRPr="00C93F78">
        <w:rPr>
          <w:rFonts w:ascii="Times New Roman" w:hAnsi="Times New Roman" w:cs="Times New Roman"/>
          <w:sz w:val="24"/>
          <w:szCs w:val="24"/>
        </w:rPr>
        <w:t xml:space="preserve">4 </w:t>
      </w:r>
      <w:r w:rsidRPr="00C93F78">
        <w:rPr>
          <w:rFonts w:ascii="Times New Roman" w:hAnsi="Times New Roman" w:cs="Times New Roman"/>
          <w:sz w:val="24"/>
          <w:szCs w:val="24"/>
        </w:rPr>
        <w:t>– zmiany dotyczące art. 7 ustawy o CIT</w:t>
      </w:r>
      <w:r w:rsidR="009113E8" w:rsidRPr="00C93F78">
        <w:rPr>
          <w:rFonts w:ascii="Times New Roman" w:hAnsi="Times New Roman" w:cs="Times New Roman"/>
          <w:sz w:val="24"/>
          <w:szCs w:val="24"/>
        </w:rPr>
        <w:t>.</w:t>
      </w:r>
      <w:r w:rsidRPr="00C93F78">
        <w:rPr>
          <w:rFonts w:ascii="Times New Roman" w:hAnsi="Times New Roman" w:cs="Times New Roman"/>
          <w:sz w:val="24"/>
          <w:szCs w:val="24"/>
        </w:rPr>
        <w:t xml:space="preserve">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w:t>
      </w:r>
      <w:r w:rsidRPr="00C93F78">
        <w:rPr>
          <w:rFonts w:ascii="Times New Roman" w:hAnsi="Times New Roman" w:cs="Times New Roman"/>
          <w:sz w:val="24"/>
          <w:szCs w:val="24"/>
        </w:rPr>
        <w:t xml:space="preserve"> - Zmiana w ust. 2 ma charakter dostosowawczy i związana jest z wprowadzanymi rozwiązaniami w zakresie instytucji tzw.</w:t>
      </w:r>
      <w:r w:rsidR="00214B8A" w:rsidRPr="00C93F78">
        <w:rPr>
          <w:rFonts w:ascii="Times New Roman" w:hAnsi="Times New Roman" w:cs="Times New Roman"/>
          <w:sz w:val="24"/>
          <w:szCs w:val="24"/>
        </w:rPr>
        <w:t xml:space="preserve"> </w:t>
      </w:r>
      <w:r w:rsidRPr="00C93F78">
        <w:rPr>
          <w:rFonts w:ascii="Times New Roman" w:hAnsi="Times New Roman" w:cs="Times New Roman"/>
          <w:i/>
          <w:sz w:val="24"/>
          <w:szCs w:val="24"/>
        </w:rPr>
        <w:t>exit tax</w:t>
      </w:r>
      <w:r w:rsidRPr="00C93F78">
        <w:rPr>
          <w:rFonts w:ascii="Times New Roman" w:hAnsi="Times New Roman" w:cs="Times New Roman"/>
          <w:sz w:val="24"/>
          <w:szCs w:val="24"/>
        </w:rPr>
        <w: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b</w:t>
      </w:r>
      <w:r w:rsidRPr="00C93F78">
        <w:rPr>
          <w:rFonts w:ascii="Times New Roman" w:hAnsi="Times New Roman" w:cs="Times New Roman"/>
          <w:sz w:val="24"/>
          <w:szCs w:val="24"/>
        </w:rPr>
        <w:t xml:space="preserve"> - Dodatnie ust. 6 związane jest z regulacjami dotyczącymi skutków podatkowych wynikających ze zbycia walut wirtualnych. Analogicznie jak w ustawie PIT wyłączono możliwość pomniejszania dochodu o straty z odpłatnego zbycia walut wirtualnych.</w:t>
      </w:r>
    </w:p>
    <w:p w:rsidR="006B0AAF" w:rsidRPr="00C93F78" w:rsidRDefault="006B0AAF"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934CF" w:rsidRPr="00C93F78">
        <w:rPr>
          <w:rFonts w:ascii="Times New Roman" w:hAnsi="Times New Roman" w:cs="Times New Roman"/>
          <w:sz w:val="24"/>
          <w:szCs w:val="24"/>
        </w:rPr>
        <w:t xml:space="preserve">5 </w:t>
      </w:r>
      <w:r w:rsidRPr="00C93F78">
        <w:rPr>
          <w:rFonts w:ascii="Times New Roman" w:hAnsi="Times New Roman" w:cs="Times New Roman"/>
          <w:sz w:val="24"/>
          <w:szCs w:val="24"/>
        </w:rPr>
        <w:t>- zmiany dotyczące art. 7b ustawy o CIT: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a tiret pierwsze </w:t>
      </w:r>
      <w:r w:rsidRPr="00C93F78">
        <w:rPr>
          <w:rFonts w:ascii="Times New Roman" w:hAnsi="Times New Roman" w:cs="Times New Roman"/>
          <w:sz w:val="24"/>
          <w:szCs w:val="24"/>
        </w:rPr>
        <w:t>- zmiana dotycząca ust. 1 pkt 6 lit. f</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Zmiana określa, iż do przychodów z zysków kapitałowych będzie się uważać, przychody z odpłatnego zbycia waluty wirtualnej rozumianego jako wymiana waluty wirtualnej na </w:t>
      </w:r>
      <w:r w:rsidR="005A35A4" w:rsidRPr="00C93F78">
        <w:rPr>
          <w:rFonts w:ascii="Times New Roman" w:hAnsi="Times New Roman" w:cs="Times New Roman"/>
          <w:sz w:val="24"/>
          <w:szCs w:val="24"/>
        </w:rPr>
        <w:t xml:space="preserve">prawny </w:t>
      </w:r>
      <w:r w:rsidRPr="00C93F78">
        <w:rPr>
          <w:rFonts w:ascii="Times New Roman" w:hAnsi="Times New Roman" w:cs="Times New Roman"/>
          <w:sz w:val="24"/>
          <w:szCs w:val="24"/>
        </w:rPr>
        <w:t xml:space="preserve">środek płatniczy, towar albo usługę. Wymiana waluty wirtualnej na inną walutę, tak jak w PIT będzie neutralna podatkowo, o czym stanowi dodawany art. 12 ust. 4 pkt 27 ustawy o CIT. </w:t>
      </w:r>
    </w:p>
    <w:p w:rsidR="006B0AAF" w:rsidRPr="00C93F78" w:rsidRDefault="006B0AAF" w:rsidP="00C93F78">
      <w:pPr>
        <w:spacing w:before="120"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 xml:space="preserve">Wyjątek od powyższej zasady (dodawany ust. 3) przypisania dochodów związanych z walutami wirtualnymi do źródła zyski kapitałowe nie będzie dotyczyła podmiotów prowadzących działalność polegającą na świadczeniu usług w zakresie wymiany pomiędzy walutami wirtualnymi i środkami płatniczymi lub wymiany pomiędzy walutami wirtualnymi. Jest to rozwiązanie analogiczne do przewidzianego w ustawie o PIT. </w:t>
      </w:r>
    </w:p>
    <w:p w:rsidR="006B0AAF" w:rsidRPr="00C93F78" w:rsidRDefault="006B0AAF" w:rsidP="00C93F78">
      <w:pPr>
        <w:spacing w:before="120"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u w:val="single"/>
        </w:rPr>
        <w:t>lit. a tiret drugie</w:t>
      </w:r>
      <w:r w:rsidRPr="00C93F78">
        <w:rPr>
          <w:rFonts w:ascii="Times New Roman" w:hAnsi="Times New Roman" w:cs="Times New Roman"/>
          <w:bCs/>
          <w:sz w:val="24"/>
          <w:szCs w:val="24"/>
        </w:rPr>
        <w:t xml:space="preserve"> – dodawany pkt 7 w ust. 1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bCs/>
          <w:sz w:val="24"/>
          <w:szCs w:val="24"/>
        </w:rPr>
        <w:t>Zmiana ma na celu zakwalifikowanie do dochodów z zysków kapitałowych</w:t>
      </w:r>
      <w:r w:rsidR="00840A3E" w:rsidRPr="00C93F78">
        <w:rPr>
          <w:rFonts w:ascii="Times New Roman" w:hAnsi="Times New Roman" w:cs="Times New Roman"/>
          <w:bCs/>
          <w:sz w:val="24"/>
          <w:szCs w:val="24"/>
        </w:rPr>
        <w:t xml:space="preserve"> </w:t>
      </w:r>
      <w:r w:rsidRPr="00C93F78">
        <w:rPr>
          <w:rFonts w:ascii="Times New Roman" w:hAnsi="Times New Roman" w:cs="Times New Roman"/>
          <w:bCs/>
          <w:sz w:val="24"/>
          <w:szCs w:val="24"/>
        </w:rPr>
        <w:t>dochodów z odsetek i dyskonta od pożyczek papierów wartościowych</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264FAF" w:rsidRPr="00C93F78">
        <w:rPr>
          <w:rFonts w:ascii="Times New Roman" w:hAnsi="Times New Roman" w:cs="Times New Roman"/>
          <w:sz w:val="24"/>
          <w:szCs w:val="24"/>
          <w:u w:val="single"/>
        </w:rPr>
        <w:t>b</w:t>
      </w:r>
      <w:r w:rsidRPr="00C93F78">
        <w:rPr>
          <w:rFonts w:ascii="Times New Roman" w:hAnsi="Times New Roman" w:cs="Times New Roman"/>
          <w:sz w:val="24"/>
          <w:szCs w:val="24"/>
        </w:rPr>
        <w:t>– dodawany ust. 3 w art. 7b</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stanowi, iż podmioty prowadzące działalność polegającą na świadczeniu usług w zakresie wymienionym w art. 2 ust. 1 pkt 12 ustawy o przeciwdziałaniu praniu pieniędzy oraz finansowaniu terroryzmu, podlegające kontroli organów informacji finansowej w rozumieniu tej ustawy przychody ze zbycia walut wirtualnych będą zaliczały do źródła innego niż zyski kapitałowe.</w:t>
      </w:r>
      <w:r w:rsidR="00840A3E" w:rsidRPr="00C93F78">
        <w:rPr>
          <w:rFonts w:ascii="Times New Roman" w:hAnsi="Times New Roman" w:cs="Times New Roman"/>
          <w:sz w:val="24"/>
          <w:szCs w:val="24"/>
        </w:rPr>
        <w:t xml:space="preserve"> </w:t>
      </w:r>
    </w:p>
    <w:p w:rsidR="006B0AAF" w:rsidRPr="00C93F78" w:rsidRDefault="006B0AAF" w:rsidP="00C93F78">
      <w:pPr>
        <w:pStyle w:val="Akapitzlist"/>
        <w:numPr>
          <w:ilvl w:val="0"/>
          <w:numId w:val="6"/>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934CF" w:rsidRPr="00C93F78">
        <w:rPr>
          <w:rFonts w:ascii="Times New Roman" w:hAnsi="Times New Roman" w:cs="Times New Roman"/>
          <w:sz w:val="24"/>
          <w:szCs w:val="24"/>
        </w:rPr>
        <w:t xml:space="preserve">6 </w:t>
      </w:r>
      <w:r w:rsidRPr="00C93F78">
        <w:rPr>
          <w:rFonts w:ascii="Times New Roman" w:hAnsi="Times New Roman" w:cs="Times New Roman"/>
          <w:sz w:val="24"/>
          <w:szCs w:val="24"/>
        </w:rPr>
        <w:t>- zmiana dotycząca art. 9 polegająca na dodaniu nowego ust. 2d</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w:t>
      </w:r>
      <w:r w:rsidRPr="00C93F78">
        <w:rPr>
          <w:rFonts w:ascii="Times New Roman" w:hAnsi="Times New Roman" w:cs="Times New Roman"/>
          <w:sz w:val="24"/>
          <w:szCs w:val="24"/>
        </w:rPr>
        <w:t xml:space="preserve"> - Nowy ustęp 2d wprowadza obowiązek wyodrębnienia w prowadzonej ewidencji rachunkowej, składników majątkowych podlegających przeniesieniu poza terytorium RP i podlegających opodatkowaniu na podstawie art. 36a ustawy o CIT. Zmiana ma charakter dostosowujący do regulacji wprowadzającej do ustawy o CIT nowy rozdział 7a dotyczący podatku od dochodów z niezrealizowanych zysków.</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b</w:t>
      </w:r>
      <w:r w:rsidRPr="00C93F78">
        <w:rPr>
          <w:rFonts w:ascii="Times New Roman" w:hAnsi="Times New Roman" w:cs="Times New Roman"/>
          <w:sz w:val="24"/>
          <w:szCs w:val="24"/>
        </w:rPr>
        <w:t xml:space="preserve"> – przepis wprowadza delegację dla ministra właściwego do spraw finansów publicznych do wydania rozporządzenia określającego zakres ewidencji jaką obowiązane są prowadzić działające na terytorium RP zagraniczne zakłady nierezydentów, o ile nie działają one w formie oddziału lub przedstawicielstwa. </w:t>
      </w:r>
    </w:p>
    <w:p w:rsidR="004934CF" w:rsidRPr="00C93F78" w:rsidRDefault="004934CF"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pkt 7 i 8</w:t>
      </w:r>
      <w:r w:rsidR="00214B8A"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 przepis ten uchyla art. 9a oraz art. 11 ustawy o CIT – zmiany te zostały szerzej opisane w części uzasadnienia dotyczącej cen </w:t>
      </w:r>
      <w:r w:rsidR="00D156B1" w:rsidRPr="00C93F78">
        <w:rPr>
          <w:rFonts w:ascii="Times New Roman" w:hAnsi="Times New Roman" w:cs="Times New Roman"/>
          <w:sz w:val="24"/>
          <w:szCs w:val="24"/>
        </w:rPr>
        <w:t>transferowych</w:t>
      </w:r>
    </w:p>
    <w:p w:rsidR="0017793E" w:rsidRPr="00C93F78" w:rsidRDefault="0017793E" w:rsidP="00C93F78">
      <w:pPr>
        <w:pStyle w:val="Akapitzlist"/>
        <w:spacing w:before="120" w:after="120" w:line="360" w:lineRule="auto"/>
        <w:ind w:left="780"/>
        <w:jc w:val="both"/>
        <w:rPr>
          <w:rFonts w:ascii="Times New Roman" w:hAnsi="Times New Roman" w:cs="Times New Roman"/>
          <w:sz w:val="24"/>
          <w:szCs w:val="24"/>
        </w:rPr>
      </w:pPr>
    </w:p>
    <w:p w:rsidR="00D156B1" w:rsidRPr="00C93F78" w:rsidRDefault="00D156B1"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pkt 9 – na mocy tego przepisu dodawany jest rozdział 1 a – rozdział ten dotyczy problematyki cen transferowych oraz został szerzej opisany w części uzasadnienia dotyczącej tej problematyki</w:t>
      </w:r>
    </w:p>
    <w:p w:rsidR="0017793E" w:rsidRPr="00C93F78" w:rsidRDefault="0017793E" w:rsidP="00C93F78">
      <w:pPr>
        <w:pStyle w:val="Akapitzlist"/>
        <w:spacing w:line="360" w:lineRule="auto"/>
        <w:jc w:val="both"/>
        <w:rPr>
          <w:rFonts w:ascii="Times New Roman" w:hAnsi="Times New Roman" w:cs="Times New Roman"/>
          <w:sz w:val="24"/>
          <w:szCs w:val="24"/>
        </w:rPr>
      </w:pPr>
    </w:p>
    <w:p w:rsidR="006B0AAF" w:rsidRPr="00C93F78" w:rsidRDefault="006B0AAF"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D156B1" w:rsidRPr="00C93F78">
        <w:rPr>
          <w:rFonts w:ascii="Times New Roman" w:hAnsi="Times New Roman" w:cs="Times New Roman"/>
          <w:sz w:val="24"/>
          <w:szCs w:val="24"/>
        </w:rPr>
        <w:t>10</w:t>
      </w:r>
      <w:r w:rsidRPr="00C93F78">
        <w:rPr>
          <w:rFonts w:ascii="Times New Roman" w:hAnsi="Times New Roman" w:cs="Times New Roman"/>
          <w:sz w:val="24"/>
          <w:szCs w:val="24"/>
        </w:rPr>
        <w:t>- zmiany dotyczące art. 12 ustawy o CIT</w:t>
      </w:r>
      <w:r w:rsidR="009113E8" w:rsidRPr="00C93F78">
        <w:rPr>
          <w:rFonts w:ascii="Times New Roman" w:hAnsi="Times New Roman" w:cs="Times New Roman"/>
          <w:sz w:val="24"/>
          <w:szCs w:val="24"/>
        </w:rPr>
        <w:t>.</w:t>
      </w:r>
    </w:p>
    <w:p w:rsidR="00D156B1"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w:t>
      </w:r>
      <w:r w:rsidRPr="00C93F78">
        <w:rPr>
          <w:rFonts w:ascii="Times New Roman" w:hAnsi="Times New Roman" w:cs="Times New Roman"/>
          <w:sz w:val="24"/>
          <w:szCs w:val="24"/>
        </w:rPr>
        <w:t xml:space="preserve"> – dodawany pkt 12 w ust. 1 określa sposób obliczania dochodu z pożyczki papierów wartościowych.</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ab/>
      </w:r>
    </w:p>
    <w:p w:rsidR="00D156B1" w:rsidRPr="00C93F78" w:rsidRDefault="00F92791"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b, c</w:t>
      </w:r>
      <w:r w:rsidR="00D156B1" w:rsidRPr="00C93F78">
        <w:rPr>
          <w:rFonts w:ascii="Times New Roman" w:hAnsi="Times New Roman" w:cs="Times New Roman"/>
          <w:sz w:val="24"/>
          <w:szCs w:val="24"/>
          <w:u w:val="single"/>
        </w:rPr>
        <w:t>, f, g</w:t>
      </w:r>
      <w:r w:rsidR="00D156B1" w:rsidRPr="00C93F78">
        <w:rPr>
          <w:rFonts w:ascii="Times New Roman" w:hAnsi="Times New Roman" w:cs="Times New Roman"/>
          <w:sz w:val="24"/>
          <w:szCs w:val="24"/>
        </w:rPr>
        <w:t xml:space="preserve"> – przepisy te dotyczą zmian w zakresie cen transferowyc</w:t>
      </w:r>
      <w:r w:rsidR="00E7677F" w:rsidRPr="00C93F78">
        <w:rPr>
          <w:rFonts w:ascii="Times New Roman" w:hAnsi="Times New Roman" w:cs="Times New Roman"/>
          <w:sz w:val="24"/>
          <w:szCs w:val="24"/>
        </w:rPr>
        <w:t>h oraz zostały opisane we wcześniejszej części uzasadnienia.</w:t>
      </w:r>
    </w:p>
    <w:p w:rsidR="006B0AAF" w:rsidRPr="00C93F78" w:rsidRDefault="006B0AAF" w:rsidP="00C93F78">
      <w:pPr>
        <w:spacing w:before="120" w:after="120" w:line="360" w:lineRule="auto"/>
        <w:ind w:left="709" w:hanging="709"/>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D156B1" w:rsidRPr="00C93F78">
        <w:rPr>
          <w:rFonts w:ascii="Times New Roman" w:hAnsi="Times New Roman" w:cs="Times New Roman"/>
          <w:sz w:val="24"/>
          <w:szCs w:val="24"/>
          <w:u w:val="single"/>
        </w:rPr>
        <w:t xml:space="preserve">e </w:t>
      </w:r>
      <w:r w:rsidRPr="00C93F78">
        <w:rPr>
          <w:rFonts w:ascii="Times New Roman" w:hAnsi="Times New Roman" w:cs="Times New Roman"/>
          <w:sz w:val="24"/>
          <w:szCs w:val="24"/>
          <w:u w:val="single"/>
        </w:rPr>
        <w:t>tiret pierwsze</w:t>
      </w:r>
      <w:r w:rsidRPr="00C93F78">
        <w:rPr>
          <w:rFonts w:ascii="Times New Roman" w:hAnsi="Times New Roman" w:cs="Times New Roman"/>
          <w:sz w:val="24"/>
          <w:szCs w:val="24"/>
        </w:rPr>
        <w:t xml:space="preserve"> - dodawana lit. e w pkt 8 ust. 4</w:t>
      </w:r>
      <w:r w:rsidR="00840A3E" w:rsidRPr="00C93F78">
        <w:rPr>
          <w:rFonts w:ascii="Times New Roman" w:hAnsi="Times New Roman" w:cs="Times New Roman"/>
          <w:sz w:val="24"/>
          <w:szCs w:val="24"/>
        </w:rPr>
        <w:t xml:space="preserve"> </w:t>
      </w:r>
      <w:r w:rsidR="0017793E" w:rsidRPr="00C93F78">
        <w:rPr>
          <w:rFonts w:ascii="Times New Roman" w:hAnsi="Times New Roman" w:cs="Times New Roman"/>
          <w:sz w:val="24"/>
          <w:szCs w:val="24"/>
        </w:rPr>
        <w:t>ustawy o CIT.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ten przewiduje niezaliczanie do przychodów równowartości kwot stanowiących umorzone zobowiązania, w tym także z tytułu pożyczek (kredytów), jeżeli umorzenie zobowiązań będzie związane z bezzwrotną pomocą udzieloną bankowi, będącemu uczestnikiem IPS, pochodzącą ze środków funduszu pomocowego w ramach realizacji celów funkcjonowania IPS – w przypadku przejęcia albo nabycia przedsiębiorstwa</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(zorganizowanej części przedsiębiorstwa) banku przez inny bank, będących uczestnikami tego systemu.</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D156B1" w:rsidRPr="00C93F78">
        <w:rPr>
          <w:rFonts w:ascii="Times New Roman" w:hAnsi="Times New Roman" w:cs="Times New Roman"/>
          <w:sz w:val="24"/>
          <w:szCs w:val="24"/>
          <w:u w:val="single"/>
        </w:rPr>
        <w:t xml:space="preserve">e </w:t>
      </w:r>
      <w:r w:rsidRPr="00C93F78">
        <w:rPr>
          <w:rFonts w:ascii="Times New Roman" w:hAnsi="Times New Roman" w:cs="Times New Roman"/>
          <w:sz w:val="24"/>
          <w:szCs w:val="24"/>
          <w:u w:val="single"/>
        </w:rPr>
        <w:t>tiret drugie</w:t>
      </w:r>
      <w:r w:rsidRPr="00C93F78">
        <w:rPr>
          <w:rFonts w:ascii="Times New Roman" w:hAnsi="Times New Roman" w:cs="Times New Roman"/>
          <w:sz w:val="24"/>
          <w:szCs w:val="24"/>
        </w:rPr>
        <w:t xml:space="preserve"> – dodawany pkt 27 w ust. 4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stanowi o tym, iż otrzymanie w zamian za walutę wirtualną innej waluty wirtualnej nie stanowi przychodu podatkowego; zgodnie z przyjętymi założeniami wymiana taka ma być neutralna podatkowo..</w:t>
      </w:r>
      <w:r w:rsidR="00840A3E" w:rsidRPr="00C93F78">
        <w:rPr>
          <w:rFonts w:ascii="Times New Roman" w:hAnsi="Times New Roman" w:cs="Times New Roman"/>
          <w:sz w:val="24"/>
          <w:szCs w:val="24"/>
        </w:rPr>
        <w:t xml:space="preserve"> </w:t>
      </w:r>
    </w:p>
    <w:p w:rsidR="00D156B1" w:rsidRPr="00C93F78" w:rsidRDefault="00D156B1"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pkt 11 - zmiany dotyczące art. 14 ustawy o CIT - przepisy te dotyczą zmian w zakresie cen transferowych</w:t>
      </w:r>
      <w:r w:rsidR="00E7677F" w:rsidRPr="00C93F78">
        <w:rPr>
          <w:rFonts w:ascii="Times New Roman" w:hAnsi="Times New Roman" w:cs="Times New Roman"/>
          <w:sz w:val="24"/>
          <w:szCs w:val="24"/>
        </w:rPr>
        <w:t xml:space="preserve"> oraz zostały opisane we wcześniejszej części uzasadnienia. </w:t>
      </w:r>
    </w:p>
    <w:p w:rsidR="006B0AAF" w:rsidRPr="00C93F78" w:rsidRDefault="006B0AAF"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E7677F" w:rsidRPr="00C93F78">
        <w:rPr>
          <w:rFonts w:ascii="Times New Roman" w:hAnsi="Times New Roman" w:cs="Times New Roman"/>
          <w:sz w:val="24"/>
          <w:szCs w:val="24"/>
        </w:rPr>
        <w:t xml:space="preserve">12 </w:t>
      </w:r>
      <w:r w:rsidRPr="00C93F78">
        <w:rPr>
          <w:rFonts w:ascii="Times New Roman" w:hAnsi="Times New Roman" w:cs="Times New Roman"/>
          <w:sz w:val="24"/>
          <w:szCs w:val="24"/>
        </w:rPr>
        <w:t>- zmiany dotyczące</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art. 15 ustawy o CIT</w:t>
      </w:r>
      <w:r w:rsidR="009113E8" w:rsidRPr="00C93F78">
        <w:rPr>
          <w:rFonts w:ascii="Times New Roman" w:hAnsi="Times New Roman" w:cs="Times New Roman"/>
          <w:sz w:val="24"/>
          <w:szCs w:val="24"/>
        </w:rPr>
        <w:t>.</w:t>
      </w:r>
    </w:p>
    <w:p w:rsidR="00E7677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264FAF" w:rsidRPr="00C93F78">
        <w:rPr>
          <w:rFonts w:ascii="Times New Roman" w:hAnsi="Times New Roman" w:cs="Times New Roman"/>
          <w:sz w:val="24"/>
          <w:szCs w:val="24"/>
          <w:u w:val="single"/>
        </w:rPr>
        <w:t>a</w:t>
      </w:r>
      <w:r w:rsidR="00264FAF"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 </w:t>
      </w:r>
      <w:r w:rsidR="00E7677F" w:rsidRPr="00C93F78">
        <w:rPr>
          <w:rFonts w:ascii="Times New Roman" w:hAnsi="Times New Roman" w:cs="Times New Roman"/>
          <w:sz w:val="24"/>
          <w:szCs w:val="24"/>
        </w:rPr>
        <w:t>przepisy te dotyczą zmian w zakresie cen transferowych</w:t>
      </w:r>
    </w:p>
    <w:p w:rsidR="006B0AAF" w:rsidRPr="00C93F78" w:rsidRDefault="004F4B7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b</w:t>
      </w:r>
      <w:r w:rsidRPr="00C93F78">
        <w:rPr>
          <w:rFonts w:ascii="Times New Roman" w:hAnsi="Times New Roman" w:cs="Times New Roman"/>
          <w:sz w:val="24"/>
          <w:szCs w:val="24"/>
        </w:rPr>
        <w:t xml:space="preserve"> - </w:t>
      </w:r>
      <w:r w:rsidR="006B0AAF" w:rsidRPr="00C93F78">
        <w:rPr>
          <w:rFonts w:ascii="Times New Roman" w:hAnsi="Times New Roman" w:cs="Times New Roman"/>
          <w:sz w:val="24"/>
          <w:szCs w:val="24"/>
        </w:rPr>
        <w:t xml:space="preserve">zmiany dotyczące ustępu 1y dotyczą zasad ustalenia wartości składników majątku wchodzących w skład zagranicznego zakładu, które są przenoszone na terytorium RP. Zgodnie z postanowieniami art. 5 ust. 5 dyrektywy ATAD państwo przyjmujące przyjmuje wartość rynkową składnika majątku ustaloną dla celów opodatkowania, podatkiem równoważnym do podatku od niezrealizowanych zysków, przez państwo członkowskie UE poprzedniej rezydencji podatnika lub poprzedniego miejsca położenia zakładu - jako wartość początkową tego składnika. W przypadku przeniesienia składników majątkowych z państwa trzeciego lub w sytuacji gdy ww. państwo członkowskie nie określi ich wartości, ustala się ją w wysokości przyjętej dla celów podatkowych i wynikającej z ksiąg podatkowych podatnika, niezaliczonej do kosztów i nie wyższej od wartości rynkowej tych składników majątku. Regulacja analogiczna do zmiany proponowanej w ustawie o PIT.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4F4B7F" w:rsidRPr="00C93F78">
        <w:rPr>
          <w:rFonts w:ascii="Times New Roman" w:hAnsi="Times New Roman" w:cs="Times New Roman"/>
          <w:sz w:val="24"/>
          <w:szCs w:val="24"/>
          <w:u w:val="single"/>
        </w:rPr>
        <w:t>c</w:t>
      </w:r>
      <w:r w:rsidR="00735C4C" w:rsidRPr="00C93F78">
        <w:rPr>
          <w:rFonts w:ascii="Times New Roman" w:hAnsi="Times New Roman" w:cs="Times New Roman"/>
          <w:sz w:val="24"/>
          <w:szCs w:val="24"/>
        </w:rPr>
        <w:t xml:space="preserve"> </w:t>
      </w:r>
      <w:r w:rsidRPr="00C93F78">
        <w:rPr>
          <w:rFonts w:ascii="Times New Roman" w:hAnsi="Times New Roman" w:cs="Times New Roman"/>
          <w:sz w:val="24"/>
          <w:szCs w:val="24"/>
        </w:rPr>
        <w:t>– dodawany ust. 1ya przewiduje odpowiednie stosowanie zasad określonych w ust. 1y do podatnika, który przeniósł na terytorium RP składnik majątku swojego zagranicznego zakładu (również w wyniku likwidacji tego zakładu) lub działalności gospodarczej prowadzonej za granicą w związku ze zmianą rezydencji podatkowej. Regulacja analogiczna do zmiany proponowanej w ustawie o PIT.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4F4B7F" w:rsidRPr="00C93F78">
        <w:rPr>
          <w:rFonts w:ascii="Times New Roman" w:hAnsi="Times New Roman" w:cs="Times New Roman"/>
          <w:sz w:val="24"/>
          <w:szCs w:val="24"/>
          <w:u w:val="single"/>
        </w:rPr>
        <w:t>d</w:t>
      </w:r>
      <w:r w:rsidR="004F4B7F" w:rsidRPr="00C93F78">
        <w:rPr>
          <w:rFonts w:ascii="Times New Roman" w:hAnsi="Times New Roman" w:cs="Times New Roman"/>
          <w:sz w:val="24"/>
          <w:szCs w:val="24"/>
        </w:rPr>
        <w:t xml:space="preserve"> </w:t>
      </w:r>
      <w:r w:rsidRPr="00C93F78">
        <w:rPr>
          <w:rFonts w:ascii="Times New Roman" w:hAnsi="Times New Roman" w:cs="Times New Roman"/>
          <w:sz w:val="24"/>
          <w:szCs w:val="24"/>
        </w:rPr>
        <w:t>– zmiana dotycząca ust. 1z przewiduje odpowiednie stosowanie zasad określonych w ust. 1 y i 1ya również do spółek europejskich i spółdzielni europejskich.</w:t>
      </w:r>
    </w:p>
    <w:p w:rsidR="004F4B7F" w:rsidRPr="00C93F78" w:rsidRDefault="004F4B7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e</w:t>
      </w:r>
      <w:r w:rsidRPr="00C93F78">
        <w:rPr>
          <w:rFonts w:ascii="Times New Roman" w:hAnsi="Times New Roman" w:cs="Times New Roman"/>
          <w:sz w:val="24"/>
          <w:szCs w:val="24"/>
        </w:rPr>
        <w:t xml:space="preserve"> – zmiana dotyczy cen transferowych</w:t>
      </w:r>
      <w:r w:rsidR="0017793E" w:rsidRPr="00C93F78">
        <w:rPr>
          <w:rFonts w:ascii="Times New Roman" w:hAnsi="Times New Roman" w:cs="Times New Roman"/>
          <w:sz w:val="24"/>
          <w:szCs w:val="24"/>
        </w:rPr>
        <w:t xml:space="preserve"> oraz została opisana we wcześniej części uzasadnienia.</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4F4B7F" w:rsidRPr="00C93F78">
        <w:rPr>
          <w:rFonts w:ascii="Times New Roman" w:hAnsi="Times New Roman" w:cs="Times New Roman"/>
          <w:sz w:val="24"/>
          <w:szCs w:val="24"/>
          <w:u w:val="single"/>
        </w:rPr>
        <w:t>f</w:t>
      </w:r>
      <w:r w:rsidR="004F4B7F" w:rsidRPr="00C93F78">
        <w:rPr>
          <w:rFonts w:ascii="Times New Roman" w:hAnsi="Times New Roman" w:cs="Times New Roman"/>
          <w:sz w:val="24"/>
          <w:szCs w:val="24"/>
        </w:rPr>
        <w:t xml:space="preserve"> </w:t>
      </w:r>
      <w:r w:rsidRPr="00C93F78">
        <w:rPr>
          <w:rFonts w:ascii="Times New Roman" w:hAnsi="Times New Roman" w:cs="Times New Roman"/>
          <w:sz w:val="24"/>
          <w:szCs w:val="24"/>
        </w:rPr>
        <w:t>– dodawany ust. 4m przewiduje odpowiednie stosowanie przepisów dotyczących korekty kosztu uzyskania przychodu w sytuacji orzeczenia korekty wartości rynkowej składnika majątku, określonej w państwie członkowskim Unii</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Europejskiej, z którego terytorium składniki te zostały przeniesione – jeżeli organ podatkowy stwierdzi, że wartość ta jest zawyżona. Zmiana ma charakter dostosowujący do regulacji wprowadzającej do ustawy o CIT nowy rozdział 7a dotyczący podatku od dochodów z niezrealizowanych zysków.</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4F4B7F" w:rsidRPr="00C93F78">
        <w:rPr>
          <w:rFonts w:ascii="Times New Roman" w:hAnsi="Times New Roman" w:cs="Times New Roman"/>
          <w:sz w:val="24"/>
          <w:szCs w:val="24"/>
          <w:u w:val="single"/>
        </w:rPr>
        <w:t>g</w:t>
      </w:r>
      <w:r w:rsidRPr="00C93F78">
        <w:rPr>
          <w:rFonts w:ascii="Times New Roman" w:hAnsi="Times New Roman" w:cs="Times New Roman"/>
          <w:sz w:val="24"/>
          <w:szCs w:val="24"/>
        </w:rPr>
        <w:t>– dodawane ust. 11-13</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przepisach tych, na analogicznych zasadach jak ustawie PIT, określono co stanowi koszt uzyskania przychodów</w:t>
      </w:r>
      <w:r w:rsidRPr="00C93F78">
        <w:rPr>
          <w:rFonts w:ascii="Times New Roman" w:hAnsi="Times New Roman" w:cs="Times New Roman"/>
          <w:b/>
          <w:sz w:val="24"/>
          <w:szCs w:val="24"/>
        </w:rPr>
        <w:t xml:space="preserve"> </w:t>
      </w:r>
      <w:r w:rsidRPr="00C93F78">
        <w:rPr>
          <w:rFonts w:ascii="Times New Roman" w:hAnsi="Times New Roman" w:cs="Times New Roman"/>
          <w:sz w:val="24"/>
          <w:szCs w:val="24"/>
        </w:rPr>
        <w:t xml:space="preserve">z odpłatnego zbycia waluty wirtualnej oraz zasady potrącania tychże kosztów. </w:t>
      </w:r>
    </w:p>
    <w:p w:rsidR="006B0AAF" w:rsidRPr="00C93F78" w:rsidRDefault="006B0AAF" w:rsidP="00C93F78">
      <w:pPr>
        <w:pStyle w:val="Akapitzlist"/>
        <w:numPr>
          <w:ilvl w:val="0"/>
          <w:numId w:val="1"/>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F4B7F" w:rsidRPr="00C93F78">
        <w:rPr>
          <w:rFonts w:ascii="Times New Roman" w:hAnsi="Times New Roman" w:cs="Times New Roman"/>
          <w:sz w:val="24"/>
          <w:szCs w:val="24"/>
        </w:rPr>
        <w:t xml:space="preserve">13 </w:t>
      </w:r>
      <w:r w:rsidRPr="00C93F78">
        <w:rPr>
          <w:rFonts w:ascii="Times New Roman" w:hAnsi="Times New Roman" w:cs="Times New Roman"/>
          <w:sz w:val="24"/>
          <w:szCs w:val="24"/>
        </w:rPr>
        <w:t>- dodawany art. 15ba w ustawie o CIT</w:t>
      </w:r>
      <w:r w:rsidR="009113E8" w:rsidRPr="00C93F78">
        <w:rPr>
          <w:rFonts w:ascii="Times New Roman" w:hAnsi="Times New Roman" w:cs="Times New Roman"/>
          <w:sz w:val="24"/>
          <w:szCs w:val="24"/>
        </w:rPr>
        <w: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Dodawane przepisy dotyczą podatkowego rozliczania wierzytelności, w tym wchodzących w skład nabytego pakietu wierzytelności i są analogiczne do rozwiązania omówionego w części dotyczącej podatku PIT. </w:t>
      </w:r>
    </w:p>
    <w:p w:rsidR="004F4B7F" w:rsidRPr="00C93F78" w:rsidRDefault="004F4B7F" w:rsidP="00C93F78">
      <w:pPr>
        <w:pStyle w:val="Akapitzlist"/>
        <w:numPr>
          <w:ilvl w:val="0"/>
          <w:numId w:val="1"/>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14 oraz 15 - zmiany dotyczące cen transferowych </w:t>
      </w:r>
    </w:p>
    <w:p w:rsidR="006B0AAF" w:rsidRPr="00C93F78" w:rsidRDefault="006B0AAF" w:rsidP="00C93F78">
      <w:pPr>
        <w:pStyle w:val="Akapitzlist"/>
        <w:numPr>
          <w:ilvl w:val="0"/>
          <w:numId w:val="1"/>
        </w:num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F4B7F" w:rsidRPr="00C93F78">
        <w:rPr>
          <w:rFonts w:ascii="Times New Roman" w:hAnsi="Times New Roman" w:cs="Times New Roman"/>
          <w:sz w:val="24"/>
          <w:szCs w:val="24"/>
        </w:rPr>
        <w:t xml:space="preserve">16 </w:t>
      </w:r>
      <w:r w:rsidRPr="00C93F78">
        <w:rPr>
          <w:rFonts w:ascii="Times New Roman" w:hAnsi="Times New Roman" w:cs="Times New Roman"/>
          <w:sz w:val="24"/>
          <w:szCs w:val="24"/>
        </w:rPr>
        <w:t>- zmiany dotyczące art. 16 ustawy o CIT</w:t>
      </w:r>
      <w:r w:rsidR="009113E8" w:rsidRPr="00C93F78">
        <w:rPr>
          <w:rFonts w:ascii="Times New Roman" w:hAnsi="Times New Roman" w:cs="Times New Roman"/>
          <w:sz w:val="24"/>
          <w:szCs w:val="24"/>
        </w:rPr>
        <w: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a tiret pierwsze, drugie, trzecie, piąte, szóste, siódme, ósme, jedenaste </w:t>
      </w:r>
      <w:r w:rsidRPr="00C93F78">
        <w:rPr>
          <w:rFonts w:ascii="Times New Roman" w:hAnsi="Times New Roman" w:cs="Times New Roman"/>
          <w:sz w:val="24"/>
          <w:szCs w:val="24"/>
        </w:rPr>
        <w:t>– zmiany dotyczące 6a, 8aa, 39a i 39b,</w:t>
      </w:r>
      <w:r w:rsidR="00214B8A" w:rsidRPr="00C93F78">
        <w:rPr>
          <w:rFonts w:ascii="Times New Roman" w:hAnsi="Times New Roman" w:cs="Times New Roman"/>
          <w:sz w:val="24"/>
          <w:szCs w:val="24"/>
        </w:rPr>
        <w:t xml:space="preserve"> </w:t>
      </w:r>
      <w:r w:rsidR="00264FAF" w:rsidRPr="00C93F78">
        <w:rPr>
          <w:rFonts w:ascii="Times New Roman" w:hAnsi="Times New Roman" w:cs="Times New Roman"/>
          <w:sz w:val="24"/>
          <w:szCs w:val="24"/>
        </w:rPr>
        <w:t xml:space="preserve">i </w:t>
      </w:r>
      <w:r w:rsidRPr="00C93F78">
        <w:rPr>
          <w:rFonts w:ascii="Times New Roman" w:hAnsi="Times New Roman" w:cs="Times New Roman"/>
          <w:sz w:val="24"/>
          <w:szCs w:val="24"/>
        </w:rPr>
        <w:t>76</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Zmiany te są analogiczne do zmian omówionych w części dotyczącej ustawy o PIT.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 tiret dziesiąte</w:t>
      </w:r>
      <w:r w:rsidR="00840A3E" w:rsidRPr="00C93F78">
        <w:rPr>
          <w:rFonts w:ascii="Times New Roman" w:hAnsi="Times New Roman" w:cs="Times New Roman"/>
          <w:sz w:val="24"/>
          <w:szCs w:val="24"/>
          <w:u w:val="single"/>
        </w:rPr>
        <w:t xml:space="preserve"> </w:t>
      </w:r>
      <w:r w:rsidRPr="00C93F78">
        <w:rPr>
          <w:rFonts w:ascii="Times New Roman" w:hAnsi="Times New Roman" w:cs="Times New Roman"/>
          <w:sz w:val="24"/>
          <w:szCs w:val="24"/>
        </w:rPr>
        <w:t>- dodawany pkt 71a wyłącza z kosztów uzyskania przychodów</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wpłaty na IPS dokonywane przez banki spółdzielcze zgodnie z ustawą o funkcjonowaniu banków spółdzielczych, ich zrzeszaniu się i bankach zrzeszających.</w:t>
      </w:r>
    </w:p>
    <w:p w:rsidR="006B0AAF" w:rsidRPr="00C93F78" w:rsidRDefault="006B0AAF" w:rsidP="00C93F78">
      <w:pPr>
        <w:spacing w:before="120" w:after="120"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 xml:space="preserve">lit. b </w:t>
      </w:r>
      <w:r w:rsidRPr="00C93F78">
        <w:rPr>
          <w:rFonts w:ascii="Times New Roman" w:hAnsi="Times New Roman" w:cs="Times New Roman"/>
          <w:sz w:val="24"/>
          <w:szCs w:val="24"/>
        </w:rPr>
        <w:t>– dodawany ust. 1c</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Celem uniknięcia wątpliwości interpretacyjnych dotyczących sposobu ustalania wysokości „wydatków na nabycie lub objęcie” udziałów w spółce kapitałowej powstałej z przekształcenia spółki osobowej do której podatnik wniósł wkłady niepieniężne, w dodanym w art. 16 nowym ust. 1c wskazane zostało, iż wydatki takie określać się będzie na podstawie poniesionych przez podatnika wydatków na nabycie lub wytworzenie składników majątku stanowiących przedmiot takiego wkładu, niezaliczonych do kosztów w jakiejkolwiek formie.</w:t>
      </w:r>
    </w:p>
    <w:p w:rsidR="006B0AAF" w:rsidRPr="00C93F78" w:rsidRDefault="006B0AAF" w:rsidP="00C93F78">
      <w:pPr>
        <w:pStyle w:val="Akapitzlist"/>
        <w:numPr>
          <w:ilvl w:val="0"/>
          <w:numId w:val="5"/>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F4B7F" w:rsidRPr="00C93F78">
        <w:rPr>
          <w:rFonts w:ascii="Times New Roman" w:hAnsi="Times New Roman" w:cs="Times New Roman"/>
          <w:sz w:val="24"/>
          <w:szCs w:val="24"/>
        </w:rPr>
        <w:t xml:space="preserve">17 </w:t>
      </w:r>
      <w:r w:rsidRPr="00C93F78">
        <w:rPr>
          <w:rFonts w:ascii="Times New Roman" w:hAnsi="Times New Roman" w:cs="Times New Roman"/>
          <w:sz w:val="24"/>
          <w:szCs w:val="24"/>
        </w:rPr>
        <w:t>– dodawany pkt 2a w ust. 2 art. 16b ustawy o CIT</w:t>
      </w:r>
      <w:r w:rsidR="009113E8" w:rsidRPr="00C93F78">
        <w:rPr>
          <w:rFonts w:ascii="Times New Roman" w:hAnsi="Times New Roman" w:cs="Times New Roman"/>
          <w:sz w:val="24"/>
          <w:szCs w:val="24"/>
        </w:rPr>
        <w: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dotyczy określenia wartości firmy przeniesionej w ramach przedsiębiorstwa lub jego zorganizowanej części z innego państwa UE, jeśli podlegała ona opodatkowaniu podatkiem równoważnym do podatku od niezrealizowanych zysków.</w:t>
      </w:r>
    </w:p>
    <w:p w:rsidR="006B0AAF" w:rsidRPr="00C93F78" w:rsidRDefault="006B0AAF" w:rsidP="00C93F78">
      <w:pPr>
        <w:pStyle w:val="Akapitzlist"/>
        <w:numPr>
          <w:ilvl w:val="0"/>
          <w:numId w:val="5"/>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F4B7F" w:rsidRPr="00C93F78">
        <w:rPr>
          <w:rFonts w:ascii="Times New Roman" w:hAnsi="Times New Roman" w:cs="Times New Roman"/>
          <w:sz w:val="24"/>
          <w:szCs w:val="24"/>
        </w:rPr>
        <w:t xml:space="preserve">18 </w:t>
      </w:r>
      <w:r w:rsidRPr="00C93F78">
        <w:rPr>
          <w:rFonts w:ascii="Times New Roman" w:hAnsi="Times New Roman" w:cs="Times New Roman"/>
          <w:sz w:val="24"/>
          <w:szCs w:val="24"/>
        </w:rPr>
        <w:t>- zmiana dotycząca art. 16c pkt 4 ustawy o CIT</w:t>
      </w:r>
      <w:r w:rsidR="009113E8" w:rsidRPr="00C93F78">
        <w:rPr>
          <w:rFonts w:ascii="Times New Roman" w:hAnsi="Times New Roman" w:cs="Times New Roman"/>
          <w:sz w:val="24"/>
          <w:szCs w:val="24"/>
        </w:rPr>
        <w: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dotyczy zasad amortyzacji podatkowej wartości firmy przeniesionej w ramach przedsiębiorstwa lub jego zorganizowanej części z innego państwa UE, jeśli podlegała ona opodatkowaniu podatkiem równoważnym do podatku od niezrealizowanych zysków.</w:t>
      </w:r>
    </w:p>
    <w:p w:rsidR="006B0AAF" w:rsidRPr="00C93F78" w:rsidRDefault="006B0AAF" w:rsidP="00C93F78">
      <w:pPr>
        <w:pStyle w:val="Akapitzlist"/>
        <w:numPr>
          <w:ilvl w:val="0"/>
          <w:numId w:val="5"/>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F4B7F" w:rsidRPr="00C93F78">
        <w:rPr>
          <w:rFonts w:ascii="Times New Roman" w:hAnsi="Times New Roman" w:cs="Times New Roman"/>
          <w:sz w:val="24"/>
          <w:szCs w:val="24"/>
        </w:rPr>
        <w:t xml:space="preserve">19 </w:t>
      </w:r>
      <w:r w:rsidRPr="00C93F78">
        <w:rPr>
          <w:rFonts w:ascii="Times New Roman" w:hAnsi="Times New Roman" w:cs="Times New Roman"/>
          <w:sz w:val="24"/>
          <w:szCs w:val="24"/>
        </w:rPr>
        <w:t>- zmiana dotycząca art. 16g ust. 1 ustawy o CIT</w:t>
      </w:r>
      <w:r w:rsidR="009113E8" w:rsidRPr="00C93F78">
        <w:rPr>
          <w:rFonts w:ascii="Times New Roman" w:hAnsi="Times New Roman" w:cs="Times New Roman"/>
          <w:sz w:val="24"/>
          <w:szCs w:val="24"/>
        </w:rPr>
        <w: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w:t>
      </w:r>
      <w:r w:rsidRPr="00C93F78">
        <w:rPr>
          <w:rFonts w:ascii="Times New Roman" w:hAnsi="Times New Roman" w:cs="Times New Roman"/>
          <w:sz w:val="24"/>
          <w:szCs w:val="24"/>
        </w:rPr>
        <w:t xml:space="preserve"> - zmiana brzmienia pkt 7 dotyczącego zasad ustalania wartości początkowej środków trwałych oraz wartości niematerialnych i prawnych dla potrzeb dokonywania odpisów amortyzacyjnych, ma charakter dostosowujący do regulacji wprowadzającej do ustawy o CIT nowy rozdział 7a dotyczący podatku od dochodów z niezrealizowanych zysków.</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b</w:t>
      </w:r>
      <w:r w:rsidRPr="00C93F78">
        <w:rPr>
          <w:rFonts w:ascii="Times New Roman" w:hAnsi="Times New Roman" w:cs="Times New Roman"/>
          <w:sz w:val="24"/>
          <w:szCs w:val="24"/>
        </w:rPr>
        <w:t xml:space="preserve"> - zmiana polegająca na dodaniu nowego pkt 8 określającego sposób ustalania wartości początkowej środków trwałych oraz wartości niematerialnych i prawnych dla potrzeb dokonywania odpisów amortyzacyjnych, w przypadku podatnika, który przeniósł na terytorium RP składnik majątku swojego zagranicznego zakładu (również w wyniku likwidacji tego zakładu) lub działalności gospodarczej prowadzonej za granicą w związku ze zmiana rezydencji podatkowej.</w:t>
      </w:r>
    </w:p>
    <w:p w:rsidR="006B0AAF" w:rsidRPr="00C93F78" w:rsidRDefault="006B0AAF" w:rsidP="00C93F78">
      <w:pPr>
        <w:pStyle w:val="Akapitzlist"/>
        <w:numPr>
          <w:ilvl w:val="0"/>
          <w:numId w:val="5"/>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F4B7F" w:rsidRPr="00C93F78">
        <w:rPr>
          <w:rFonts w:ascii="Times New Roman" w:hAnsi="Times New Roman" w:cs="Times New Roman"/>
          <w:sz w:val="24"/>
          <w:szCs w:val="24"/>
        </w:rPr>
        <w:t xml:space="preserve">20 </w:t>
      </w:r>
      <w:r w:rsidRPr="00C93F78">
        <w:rPr>
          <w:rFonts w:ascii="Times New Roman" w:hAnsi="Times New Roman" w:cs="Times New Roman"/>
          <w:sz w:val="24"/>
          <w:szCs w:val="24"/>
        </w:rPr>
        <w:t>- zmiany dotyczące art. 17 ustawy o CIT</w:t>
      </w:r>
      <w:r w:rsidR="009113E8" w:rsidRPr="00C93F78">
        <w:rPr>
          <w:rFonts w:ascii="Times New Roman" w:hAnsi="Times New Roman" w:cs="Times New Roman"/>
          <w:sz w:val="24"/>
          <w:szCs w:val="24"/>
        </w:rPr>
        <w: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 tiret drugie</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 dodawane pkt 50c przewiduje zwolnienie z opodatkowania odsetek oraz dyskonta od obligacji uzyskanych przez podatników CIT będących nierezydentami. Odnośnie kryterium pośredniego lub bezpośredniego posiadania łącznie nie więcej niż 10% wartości obligacji, a także odnośnie kryterium obowiązywania odpowiedniej umowy o unikaniu podwójnego opodatkowania, aktualne są tu uwagi zawarte w części dot. art. 21 ust. 1 pkt 130c ustawy o PIT.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dodawanym pkt 50d proponuje się ponadto wprowadzenie, w katalogu zwolnień od podatku, zwolnienia w zakresie zryczałtowanego podatku dochodowego (tzw. podatek u źródła) od należności wypłacanych przez Narodowy Bank Polski w związku z zadaniem ustawowym, które bank centralny realizuje w interesie publicznym na podstawie ustawy z dnia 29 sierpnia 1997 r. o Narodowym Banku Polskim (Dz. U. z 2017 r., poz. 1373) w zakresie zarządzania rezerwami dewizowymi.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Bank centralny realizuje funkcje centralnej bankowej instytucji dewizowej poprzez gromadzenie rezerw dewizowych, zarządzanie rezerwami dewizowymi oraz podejmowanie czynności bankowych i innych mających na celu zapewnienie bezpieczeństwa obrotu dewizowego i płynności płatniczej kraju. Rezerwy dewizowe służą wzmocnieniu wiarygodności finansowej RP, przez co przyczyniają się do obniżenia kosztu finansowania na rynkach globalnych oraz ograniczenia zmienności kursu złotego. Spełniają także inne funkcje, które są istotne z punktu widzenia interesu państwa, takie jak zabezpieczenie pokrycia zadłużenia zagranicznego czy importu. Realizując zadania związane z zarządzaniem rezerwami dewizowymi Narodowy Bank Polski dąży do zapewnienia wysokiego stopnia bezpieczeństwa inwestowanych środków oraz ich niezbędnej płynności, a przy spełnieniu tych kryteriów do maksymalizacji, w danych uwarunkowaniach rynkowych, stopy zwrotu z rezerw dewizowych wyliczanej w polskich złotych. Barierę dla realizacji tych celów, wpływającą na ograniczenie stosowanego przez bank centralny instrumentarium inwestycyjnego (rodzaje transakcji dopuszczone do stosowania przez Narodowy Bank Polski w ramach zarządzania rezerwami dewizowymi), może być opodatkowanie podatkiem u źródła podmiotów, z którymi Narodowy Bank Polski dokonuje operacje w związku z zarządzaniem rezerwami dewizowymi. W obecnym stanie prawnym w zakresie podatku u źródła, należności wypłacane na rzecz podmiotów zagranicznych przez bank centralny z tytułu operacji zawieranych w ramach gospodarki rezerwami dewizowymi, które zaliczają się do tytułów wymienionych w art. 21 ustawy o podatku dochodowym od osób prawnych, podlegają obowiązkowi poboru zryczałtowanego podatku dochodowego. W konsekwencji, zgodnie z art. 26 ustawy o podatku dochodowym od osób prawnych, bank centralny może być obowiązany do poboru podatku u źródła. Rozwiązanie takie ogranicza możliwości Narodowego Banku Polskiego w zakresie swobody zarządzania rezerwami dewizowymi, gdyż zawierane transakcje mogą skutkować płatnościami podlegającymi opodatkowaniu podatkiem u źródła, a w efekcie wpływa na wzrost ponoszonych przez NBP kosztów (w tym administracyjnych związanych z pozyskiwaniem i aktualizowaniem certyfikatów rezydencji). Koszt podatku u źródła zwiększa kwoty płacone przez NBP, co ma bezpośredni wpływ na rentowność operacji zawieranych w ramach prowadzenia gospodarki rezerwami dewizowymi (w tym poprzez koszty utraconych korzyści w wyniku odstąpienia od transakcji). W określonych sytuacjach część umów o unikaniu podwójnego opodatkowania przewiduje zwolnienie od podatku w państwie wypłacającego należności (w tym przypadku w Polsce), jednakże może to nastąpić po wypełnieniu przez obydwie strony transakcji obowiązków o charakterze informacyjnym oraz dokumentacyjnym, co zwiększa koszty obsługi transakcji, może skutkować ograniczeniem popytu na relacje transakcyjne z NBP i ostatecznie ogranicza możliwości prowadzenia gospodarki rezerwami dewizowymi. W celu uniknięcia wskazanych powyżej ograniczeń proponuje się zatem wprowadzenie zwolnienia z opodatkowania podatkiem u źródła przychodów, do których podatek ten ma zastosowanie, uzyskiwanych przez podatników, o których mowa w art. 3 ust. 2, wypłacanych przez Narodowy Bank Polski w związku z operacjami dokonywanymi w ramach gospodarki rezerwami dewizowymi, na podstawie ustawy z dnia 29 sierpnia 1997 r. o Narodowym Banku Polskim (Dz. U. z 2017 r., poz. 1373). Rozwiązanie takie przyczyni się do zwiększenia swobody prowadzenia przez Narodowy Bank Polski efektywnej gospodarki rezerwami dewizowymi.</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 tiret trzecie</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 projektowany pkt 56a wprowadza zwolnienie od podatku środków finansowych otrzymywanych przez bank zrzeszający albo jednostkę zarządzającą, pochodzące</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z funduszu pomocowego w ramach realizacji celów</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określonych w ustawie</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o funkcjonowaniu banków spółdzielczych, ich zrzeszaniu się i bankach zrzeszających,</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w tym bezzwrotne wpłaty</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na fundusz zasobowy lub fundusz rezerwowy.</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 tiret czwarte</w:t>
      </w:r>
      <w:r w:rsidRPr="00C93F78">
        <w:rPr>
          <w:rFonts w:ascii="Times New Roman" w:hAnsi="Times New Roman" w:cs="Times New Roman"/>
          <w:sz w:val="24"/>
          <w:szCs w:val="24"/>
        </w:rPr>
        <w:t xml:space="preserve"> – zmiana dotycząca lit. b w pkt 57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Zmiana polega na poszerzeniu zakresu obecnego zwolnienia na odsetki od pożyczek udzielonych przez – podlegające nadzorowi państwowego organu nadzoru nad rynkiem finansowych – banki, w tym banki spółdzielcze lub skoki.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Za zasadne należy uznać wydzielenie z wyłączenia ze zwolnienia, określonego w</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art. 17 ust. 1 pkt 57 lit. b ustawy o CIT odsetek od pożyczek udzielonych przez podlegające nadzorowi</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 xml:space="preserve">państwowego organu nadzoru nad rynkiem finansowych banki w tym banki spółdzielcze lub SKOKi. Można przyjąć, że udzielanie pożyczek przez te podmioty nie rodzi ryzyka optymalizacji, któremu miał przeciwdziałać ten przepis.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 tiret piąte</w:t>
      </w:r>
      <w:r w:rsidRPr="00C93F78">
        <w:rPr>
          <w:rFonts w:ascii="Times New Roman" w:hAnsi="Times New Roman" w:cs="Times New Roman"/>
          <w:sz w:val="24"/>
          <w:szCs w:val="24"/>
        </w:rPr>
        <w:t xml:space="preserve"> – dodawany pkt 60</w:t>
      </w:r>
      <w:r w:rsidR="00840A3E" w:rsidRPr="00C93F78">
        <w:rPr>
          <w:rFonts w:ascii="Times New Roman" w:hAnsi="Times New Roman" w:cs="Times New Roman"/>
          <w:sz w:val="24"/>
          <w:szCs w:val="24"/>
        </w:rPr>
        <w:t xml:space="preserve">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Wprowadzane w pkt 60 zwolnienie dotyczy określonych dochodów uzyskiwanych w ramach umów offsetowych i zostało omówione w części dotyczącej podatku PIT.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b</w:t>
      </w:r>
      <w:r w:rsidRPr="00C93F78">
        <w:rPr>
          <w:rFonts w:ascii="Times New Roman" w:hAnsi="Times New Roman" w:cs="Times New Roman"/>
          <w:sz w:val="24"/>
          <w:szCs w:val="24"/>
        </w:rPr>
        <w:t xml:space="preserve"> - dodawane ust. 13 i 14 odnoszą się do projektowanego zwolnienia związanych z realizacją umów offsetowych i są analogiczne do regulacji omówionych w części dotyczącej ustawy o PIT.</w:t>
      </w:r>
      <w:r w:rsidR="00840A3E" w:rsidRPr="00C93F78">
        <w:rPr>
          <w:rFonts w:ascii="Times New Roman" w:hAnsi="Times New Roman" w:cs="Times New Roman"/>
          <w:sz w:val="24"/>
          <w:szCs w:val="24"/>
        </w:rPr>
        <w:t xml:space="preserve"> </w:t>
      </w:r>
    </w:p>
    <w:p w:rsidR="006B0AAF" w:rsidRPr="00C93F78" w:rsidRDefault="006B0AAF" w:rsidP="00C93F78">
      <w:pPr>
        <w:pStyle w:val="Akapitzlist"/>
        <w:numPr>
          <w:ilvl w:val="0"/>
          <w:numId w:val="5"/>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F4B7F" w:rsidRPr="00C93F78">
        <w:rPr>
          <w:rFonts w:ascii="Times New Roman" w:hAnsi="Times New Roman" w:cs="Times New Roman"/>
          <w:sz w:val="24"/>
          <w:szCs w:val="24"/>
        </w:rPr>
        <w:t>21</w:t>
      </w:r>
      <w:r w:rsidRPr="00C93F78">
        <w:rPr>
          <w:rFonts w:ascii="Times New Roman" w:hAnsi="Times New Roman" w:cs="Times New Roman"/>
          <w:sz w:val="24"/>
          <w:szCs w:val="24"/>
        </w:rPr>
        <w:t xml:space="preserve">- zmiana dotycząca art. 18 ustawy o CIT: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 tiret pierwsze</w:t>
      </w:r>
      <w:r w:rsidRPr="00C93F78">
        <w:rPr>
          <w:rFonts w:ascii="Times New Roman" w:hAnsi="Times New Roman" w:cs="Times New Roman"/>
          <w:sz w:val="24"/>
          <w:szCs w:val="24"/>
        </w:rPr>
        <w:t xml:space="preserve"> – zmiana dotycząca zdania wstępnego w ust. 1 ma charakter dostosowawczy i polega na uwzględnieniu regulacji dochodów uzyskanych z odpłatnego zbycia walut wirtualnych (art. 22d) oraz dochodów z niezrealizowanych zysków jako odstępstwa od wyliczania podstawy opodatkowania, o której mowa w art. 18 ust. 1.</w:t>
      </w:r>
      <w:r w:rsidR="00840A3E" w:rsidRPr="00C93F78">
        <w:rPr>
          <w:rFonts w:ascii="Times New Roman" w:hAnsi="Times New Roman" w:cs="Times New Roman"/>
          <w:sz w:val="24"/>
          <w:szCs w:val="24"/>
        </w:rPr>
        <w:t xml:space="preserve">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 tiret drugie</w:t>
      </w:r>
      <w:r w:rsidRPr="00C93F78">
        <w:rPr>
          <w:rFonts w:ascii="Times New Roman" w:hAnsi="Times New Roman" w:cs="Times New Roman"/>
          <w:sz w:val="24"/>
          <w:szCs w:val="24"/>
        </w:rPr>
        <w:t xml:space="preserve"> – dodawany pkt 8 w ust. 1 wprowadza możliwość pomniejszenia w banku spółdzielczym dochodu do opodatkowania o </w:t>
      </w:r>
      <w:r w:rsidR="009113E8" w:rsidRPr="00C93F78">
        <w:rPr>
          <w:rFonts w:ascii="Times New Roman" w:hAnsi="Times New Roman" w:cs="Times New Roman"/>
          <w:sz w:val="24"/>
          <w:szCs w:val="24"/>
        </w:rPr>
        <w:t>50</w:t>
      </w:r>
      <w:r w:rsidRPr="00C93F78">
        <w:rPr>
          <w:rFonts w:ascii="Times New Roman" w:hAnsi="Times New Roman" w:cs="Times New Roman"/>
          <w:sz w:val="24"/>
          <w:szCs w:val="24"/>
        </w:rPr>
        <w:t>% kwoty wniesionych roku podatkowym wpłat na system ochrony w rozumieniu ustawy o funkcjonowaniu banków spółdzielczych, ich zrzeszaniu się i bankach zrzeszających. Warunkiem stosowanie pomniejszenia jest przekazanie odpowiadającego tym wpłatom zysku banku spółdzielczego na fundusze własne banku.</w:t>
      </w:r>
      <w:r w:rsidR="00840A3E" w:rsidRPr="00C93F78">
        <w:rPr>
          <w:rFonts w:ascii="Times New Roman" w:hAnsi="Times New Roman" w:cs="Times New Roman"/>
          <w:sz w:val="24"/>
          <w:szCs w:val="24"/>
        </w:rPr>
        <w:t xml:space="preserve">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b</w:t>
      </w:r>
      <w:r w:rsidRPr="00C93F78">
        <w:rPr>
          <w:rFonts w:ascii="Times New Roman" w:hAnsi="Times New Roman" w:cs="Times New Roman"/>
          <w:sz w:val="24"/>
          <w:szCs w:val="24"/>
        </w:rPr>
        <w:t xml:space="preserve"> - dodawane ust. 8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proponowana w dodawanym ust. 9, przewiduje że bank spółdzielczy w przypadku braku możliwości dokonania za dany rok podatkowy odliczenia określonego w ust. 1 pkt 8 (tj. w sytuacji poniesienia stratę albo gdy wielkość dochodu jest niższa od kwoty przysługującego odliczenia) może dokonać tego odliczenia w zeznaniach za kolejne następujące bezpośrednio po sobie trzy lata podatkowe (do czasu wyczerpania).</w:t>
      </w:r>
    </w:p>
    <w:p w:rsidR="00735C4C" w:rsidRPr="00C93F78" w:rsidRDefault="006B0AAF" w:rsidP="00C93F78">
      <w:pPr>
        <w:pStyle w:val="Akapitzlist"/>
        <w:numPr>
          <w:ilvl w:val="0"/>
          <w:numId w:val="6"/>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4F4B7F" w:rsidRPr="00C93F78">
        <w:rPr>
          <w:rFonts w:ascii="Times New Roman" w:hAnsi="Times New Roman" w:cs="Times New Roman"/>
          <w:sz w:val="24"/>
          <w:szCs w:val="24"/>
        </w:rPr>
        <w:t xml:space="preserve">22 </w:t>
      </w:r>
      <w:r w:rsidRPr="00C93F78">
        <w:rPr>
          <w:rFonts w:ascii="Times New Roman" w:hAnsi="Times New Roman" w:cs="Times New Roman"/>
          <w:sz w:val="24"/>
          <w:szCs w:val="24"/>
        </w:rPr>
        <w:t xml:space="preserve">– </w:t>
      </w:r>
      <w:r w:rsidR="004F4B7F" w:rsidRPr="00C93F78">
        <w:rPr>
          <w:rFonts w:ascii="Times New Roman" w:hAnsi="Times New Roman" w:cs="Times New Roman"/>
          <w:sz w:val="24"/>
          <w:szCs w:val="24"/>
        </w:rPr>
        <w:t>zmiany w art. 18d ust 2 ustawy o CIT – jest to zmia</w:t>
      </w:r>
      <w:r w:rsidR="009113E8" w:rsidRPr="00C93F78">
        <w:rPr>
          <w:rFonts w:ascii="Times New Roman" w:hAnsi="Times New Roman" w:cs="Times New Roman"/>
          <w:sz w:val="24"/>
          <w:szCs w:val="24"/>
        </w:rPr>
        <w:t>na w zakresie cen transferowych</w:t>
      </w:r>
    </w:p>
    <w:p w:rsidR="004F4B7F" w:rsidRPr="00C93F78" w:rsidRDefault="004F4B7F" w:rsidP="00C93F78">
      <w:pPr>
        <w:pStyle w:val="Akapitzlist"/>
        <w:numPr>
          <w:ilvl w:val="0"/>
          <w:numId w:val="6"/>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23 – uchyla ust 4 w art. 19 </w:t>
      </w:r>
    </w:p>
    <w:p w:rsidR="004F4B7F" w:rsidRPr="00C93F78" w:rsidRDefault="004F4B7F" w:rsidP="00C93F78">
      <w:pPr>
        <w:pStyle w:val="Akapitzlist"/>
        <w:numPr>
          <w:ilvl w:val="0"/>
          <w:numId w:val="6"/>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pkt 24 – zmiana brzmienia art. 21 ust 7 – zmia</w:t>
      </w:r>
      <w:r w:rsidR="009113E8" w:rsidRPr="00C93F78">
        <w:rPr>
          <w:rFonts w:ascii="Times New Roman" w:hAnsi="Times New Roman" w:cs="Times New Roman"/>
          <w:sz w:val="24"/>
          <w:szCs w:val="24"/>
        </w:rPr>
        <w:t>na w zakresie cen transferowych</w:t>
      </w:r>
    </w:p>
    <w:p w:rsidR="00735C4C" w:rsidRPr="00C93F78" w:rsidRDefault="00735C4C" w:rsidP="00C93F78">
      <w:pPr>
        <w:pStyle w:val="Akapitzlist"/>
        <w:numPr>
          <w:ilvl w:val="0"/>
          <w:numId w:val="6"/>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8B53F9" w:rsidRPr="00C93F78">
        <w:rPr>
          <w:rFonts w:ascii="Times New Roman" w:hAnsi="Times New Roman" w:cs="Times New Roman"/>
          <w:sz w:val="24"/>
          <w:szCs w:val="24"/>
        </w:rPr>
        <w:t xml:space="preserve">25 </w:t>
      </w:r>
      <w:r w:rsidR="009113E8" w:rsidRPr="00C93F78">
        <w:rPr>
          <w:rFonts w:ascii="Times New Roman" w:hAnsi="Times New Roman" w:cs="Times New Roman"/>
          <w:sz w:val="24"/>
          <w:szCs w:val="24"/>
        </w:rPr>
        <w:t>– zmiana brzmienia art. 22c</w:t>
      </w:r>
    </w:p>
    <w:p w:rsidR="00735C4C" w:rsidRPr="00C93F78" w:rsidRDefault="00735C4C" w:rsidP="00C93F78">
      <w:pPr>
        <w:pStyle w:val="Akapitzlist"/>
        <w:spacing w:before="120" w:after="120" w:line="360" w:lineRule="auto"/>
        <w:jc w:val="both"/>
        <w:rPr>
          <w:rFonts w:ascii="Times New Roman" w:hAnsi="Times New Roman" w:cs="Times New Roman"/>
          <w:sz w:val="24"/>
          <w:szCs w:val="24"/>
        </w:rPr>
      </w:pPr>
    </w:p>
    <w:p w:rsidR="00840A3E" w:rsidRPr="00C93F78" w:rsidRDefault="006B0AAF" w:rsidP="00C93F78">
      <w:pPr>
        <w:pStyle w:val="Akapitzlist"/>
        <w:spacing w:line="360" w:lineRule="auto"/>
        <w:ind w:left="0"/>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Zmienione i rozszerzone zostają przepisy szczególnej klauzuli przeciwko unikaniu opodatkowania, zgodnie z częścią ogólną niniejszego uzasadnienia.</w:t>
      </w:r>
    </w:p>
    <w:p w:rsidR="00735C4C" w:rsidRPr="00C93F78" w:rsidRDefault="00735C4C" w:rsidP="00C93F78">
      <w:pPr>
        <w:pStyle w:val="Akapitzlist"/>
        <w:spacing w:line="360" w:lineRule="auto"/>
        <w:ind w:left="0"/>
        <w:jc w:val="both"/>
        <w:rPr>
          <w:rFonts w:ascii="Times New Roman" w:eastAsia="Calibri" w:hAnsi="Times New Roman" w:cs="Times New Roman"/>
          <w:sz w:val="24"/>
          <w:szCs w:val="24"/>
        </w:rPr>
      </w:pPr>
    </w:p>
    <w:p w:rsidR="006B0AAF" w:rsidRPr="00C93F78" w:rsidRDefault="006B0AAF" w:rsidP="00C93F78">
      <w:pPr>
        <w:pStyle w:val="Akapitzlist"/>
        <w:numPr>
          <w:ilvl w:val="0"/>
          <w:numId w:val="6"/>
        </w:numPr>
        <w:spacing w:line="360" w:lineRule="auto"/>
        <w:jc w:val="both"/>
        <w:rPr>
          <w:rFonts w:ascii="Times New Roman" w:eastAsia="Calibri" w:hAnsi="Times New Roman" w:cs="Times New Roman"/>
          <w:sz w:val="24"/>
          <w:szCs w:val="24"/>
        </w:rPr>
      </w:pPr>
      <w:r w:rsidRPr="00C93F78">
        <w:rPr>
          <w:rFonts w:ascii="Times New Roman" w:hAnsi="Times New Roman" w:cs="Times New Roman"/>
          <w:sz w:val="24"/>
          <w:szCs w:val="24"/>
        </w:rPr>
        <w:t xml:space="preserve">pkt </w:t>
      </w:r>
      <w:r w:rsidR="008B53F9" w:rsidRPr="00C93F78">
        <w:rPr>
          <w:rFonts w:ascii="Times New Roman" w:hAnsi="Times New Roman" w:cs="Times New Roman"/>
          <w:sz w:val="24"/>
          <w:szCs w:val="24"/>
        </w:rPr>
        <w:t xml:space="preserve">26 </w:t>
      </w:r>
      <w:r w:rsidRPr="00C93F78">
        <w:rPr>
          <w:rFonts w:ascii="Times New Roman" w:hAnsi="Times New Roman" w:cs="Times New Roman"/>
          <w:sz w:val="24"/>
          <w:szCs w:val="24"/>
        </w:rPr>
        <w:t>– dodawany art. 22d ustawy o CIT.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Dodawany przepis reguluje opodatkowanie dochodów uzyskiwanych z odpłatnego zbycia tzw. kryptowalut (walut wirtualnych). Zasady rozliczania w podatku CIT dochodów z walut wirtualnych są analogiczne do przyjętych w ustawie o PIT.</w:t>
      </w:r>
      <w:r w:rsidR="00840A3E" w:rsidRPr="00C93F78">
        <w:rPr>
          <w:rFonts w:ascii="Times New Roman" w:hAnsi="Times New Roman" w:cs="Times New Roman"/>
          <w:sz w:val="24"/>
          <w:szCs w:val="24"/>
        </w:rPr>
        <w:t xml:space="preserve">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określa stawkę podatku od dochodu uzyskanego z odpłatnego zbycia waluty wirtualnej oraz określono co będzie traktowane jako dochód z tego tytułu (ust. 1 i 2). Wskazano także zasady stosowania stawek podatku z umów o unikaniu podwójnego opodatkowania (ust. 3).</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Wprowadzono została także reguła stanowiąca, że dochód z odpłatnego zbycia waluty wirtualnej nie będzie łączony z innymi dochodami.</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 ust. 5 i 6 zawarto zasady przedstawiania dochodów i kosztów uzyskania przychodów z odpłatnego zbycia walut wirtualnych w zeznaniu podatkowym, o którym mowa w art. 27 ust. 1 ustawy CIT. pkt 21) zmiany dotyczące art. 24a ustawy o CIT.</w:t>
      </w:r>
    </w:p>
    <w:p w:rsidR="006B0AAF" w:rsidRPr="00C93F78" w:rsidRDefault="006B0AAF" w:rsidP="00C93F78">
      <w:pPr>
        <w:pStyle w:val="Akapitzlist"/>
        <w:numPr>
          <w:ilvl w:val="0"/>
          <w:numId w:val="5"/>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8B53F9" w:rsidRPr="00C93F78">
        <w:rPr>
          <w:rFonts w:ascii="Times New Roman" w:hAnsi="Times New Roman" w:cs="Times New Roman"/>
          <w:sz w:val="24"/>
          <w:szCs w:val="24"/>
        </w:rPr>
        <w:t xml:space="preserve">27 </w:t>
      </w:r>
      <w:r w:rsidRPr="00C93F78">
        <w:rPr>
          <w:rFonts w:ascii="Times New Roman" w:hAnsi="Times New Roman" w:cs="Times New Roman"/>
          <w:sz w:val="24"/>
          <w:szCs w:val="24"/>
        </w:rPr>
        <w:t>– z</w:t>
      </w:r>
      <w:r w:rsidR="00747F69" w:rsidRPr="00C93F78">
        <w:rPr>
          <w:rFonts w:ascii="Times New Roman" w:hAnsi="Times New Roman" w:cs="Times New Roman"/>
          <w:sz w:val="24"/>
          <w:szCs w:val="24"/>
        </w:rPr>
        <w:t xml:space="preserve">miana dotycząca art. 24a </w:t>
      </w:r>
      <w:r w:rsidRPr="00C93F78">
        <w:rPr>
          <w:rFonts w:ascii="Times New Roman" w:hAnsi="Times New Roman" w:cs="Times New Roman"/>
          <w:sz w:val="24"/>
          <w:szCs w:val="24"/>
        </w:rPr>
        <w:t>ustawy o CIT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dotycząc</w:t>
      </w:r>
      <w:r w:rsidR="00747F69" w:rsidRPr="00C93F78">
        <w:rPr>
          <w:rFonts w:ascii="Times New Roman" w:hAnsi="Times New Roman" w:cs="Times New Roman"/>
          <w:sz w:val="24"/>
          <w:szCs w:val="24"/>
        </w:rPr>
        <w:t>a</w:t>
      </w:r>
      <w:r w:rsidRPr="00C93F78">
        <w:rPr>
          <w:rFonts w:ascii="Times New Roman" w:hAnsi="Times New Roman" w:cs="Times New Roman"/>
          <w:sz w:val="24"/>
          <w:szCs w:val="24"/>
        </w:rPr>
        <w:t xml:space="preserve"> regulacji odnoszącej się do kontrolowanej spółki zagranicznej (CFC) jest analogiczna do zmian omówionych w części dotyczącej ustawy o PIT. </w:t>
      </w:r>
    </w:p>
    <w:p w:rsidR="00B35783" w:rsidRPr="00C93F78" w:rsidRDefault="00B35783" w:rsidP="00C93F78">
      <w:pPr>
        <w:spacing w:before="120" w:after="120" w:line="360" w:lineRule="auto"/>
        <w:ind w:left="360"/>
        <w:jc w:val="both"/>
        <w:rPr>
          <w:rFonts w:ascii="Times New Roman" w:hAnsi="Times New Roman" w:cs="Times New Roman"/>
          <w:sz w:val="24"/>
          <w:szCs w:val="24"/>
        </w:rPr>
      </w:pPr>
      <w:r w:rsidRPr="00C93F78">
        <w:rPr>
          <w:rFonts w:ascii="Times New Roman" w:hAnsi="Times New Roman" w:cs="Times New Roman"/>
          <w:sz w:val="24"/>
          <w:szCs w:val="24"/>
        </w:rPr>
        <w:t xml:space="preserve">pkt 28 – zmiana dotycząca art. 24b ustawy o CIT </w:t>
      </w:r>
      <w:r w:rsidR="008B53F9" w:rsidRPr="00C93F78">
        <w:rPr>
          <w:rFonts w:ascii="Times New Roman" w:hAnsi="Times New Roman" w:cs="Times New Roman"/>
          <w:sz w:val="24"/>
          <w:szCs w:val="24"/>
        </w:rPr>
        <w:t>-</w:t>
      </w:r>
      <w:r w:rsidRPr="00C93F78">
        <w:rPr>
          <w:rFonts w:ascii="Times New Roman" w:hAnsi="Times New Roman" w:cs="Times New Roman"/>
          <w:sz w:val="24"/>
          <w:szCs w:val="24"/>
        </w:rPr>
        <w:t xml:space="preserve">Zmiana ta została opisana w części uzasadnienia dotyczącej przepisów zmienianych w zakresie cen transferowych </w:t>
      </w:r>
    </w:p>
    <w:p w:rsidR="009113E8" w:rsidRPr="00C93F78" w:rsidRDefault="00B35783" w:rsidP="00C93F78">
      <w:pPr>
        <w:pStyle w:val="Akapitzlist"/>
        <w:numPr>
          <w:ilvl w:val="0"/>
          <w:numId w:val="5"/>
        </w:numPr>
        <w:spacing w:before="120" w:after="120" w:line="360" w:lineRule="auto"/>
        <w:ind w:left="360"/>
        <w:jc w:val="both"/>
        <w:rPr>
          <w:rFonts w:ascii="Times New Roman" w:hAnsi="Times New Roman" w:cs="Times New Roman"/>
          <w:sz w:val="24"/>
          <w:szCs w:val="24"/>
        </w:rPr>
      </w:pPr>
      <w:r w:rsidRPr="00C93F78">
        <w:rPr>
          <w:rFonts w:ascii="Times New Roman" w:hAnsi="Times New Roman" w:cs="Times New Roman"/>
          <w:sz w:val="24"/>
          <w:szCs w:val="24"/>
        </w:rPr>
        <w:t>pkt 29 – zmiana dotycząca art. 24d i 24e ustawy o CIT</w:t>
      </w:r>
    </w:p>
    <w:p w:rsidR="005E1384" w:rsidRPr="00C93F78" w:rsidRDefault="005E1384"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Przepisy te regulują na gruncie ustawy o CIT instytucję tzw. </w:t>
      </w:r>
      <w:r w:rsidRPr="00C93F78">
        <w:rPr>
          <w:rFonts w:ascii="Times New Roman" w:hAnsi="Times New Roman" w:cs="Times New Roman"/>
          <w:i/>
          <w:sz w:val="24"/>
          <w:szCs w:val="24"/>
        </w:rPr>
        <w:t>Innovation Box</w:t>
      </w:r>
      <w:r w:rsidRPr="00C93F78">
        <w:rPr>
          <w:rFonts w:ascii="Times New Roman" w:hAnsi="Times New Roman" w:cs="Times New Roman"/>
          <w:sz w:val="24"/>
          <w:szCs w:val="24"/>
        </w:rPr>
        <w:t>, omówioną w części dotyczącej podatku PIT. Przepisy obu ustaw są w tym zakresie analogiczne.</w:t>
      </w:r>
    </w:p>
    <w:p w:rsidR="006B0AAF" w:rsidRPr="00C93F78" w:rsidRDefault="006B0AAF" w:rsidP="00C93F78">
      <w:pPr>
        <w:pStyle w:val="Akapitzlist"/>
        <w:numPr>
          <w:ilvl w:val="0"/>
          <w:numId w:val="5"/>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8B53F9" w:rsidRPr="00C93F78">
        <w:rPr>
          <w:rFonts w:ascii="Times New Roman" w:hAnsi="Times New Roman" w:cs="Times New Roman"/>
          <w:sz w:val="24"/>
          <w:szCs w:val="24"/>
        </w:rPr>
        <w:t xml:space="preserve">30 </w:t>
      </w:r>
      <w:r w:rsidRPr="00C93F78">
        <w:rPr>
          <w:rFonts w:ascii="Times New Roman" w:hAnsi="Times New Roman" w:cs="Times New Roman"/>
          <w:sz w:val="24"/>
          <w:szCs w:val="24"/>
        </w:rPr>
        <w:t>- dodawany rozdział 5a ustawy o CIT „Podatek od dochodów z niezrealizowanych zysków”</w:t>
      </w:r>
      <w:r w:rsidR="009113E8" w:rsidRPr="00C93F78">
        <w:rPr>
          <w:rFonts w:ascii="Times New Roman" w:hAnsi="Times New Roman" w:cs="Times New Roman"/>
          <w:sz w:val="24"/>
          <w:szCs w:val="24"/>
        </w:rPr>
        <w:t>.</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Niniejszy punkt przewiduje wprowadzenie do ustawy o CIT nowego rozdziału pn. „Podatek od dochodów z niezrealizowanych zysków”, w którym w sposób kompleksowy została uregulowana kwestia opodatkowania niezrealizowanych zysków kapitałowych w przypadku przeniesienia składników majątkowych, rezydencji podatkowej lub stałego zakładu. Biorąc pod uwagę zakres ww. regulacji, wyodrębnienie nowego rozdziału wydaje się zabiegiem uzasadnionym i korzystnym z punktu widzenia czytelności aktu prawnego.</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Rozdział 5a obejmuje 6 nowych jednostek redakcyjnych: art. 24f – 24k ustawy o CIT, które określają: podatek od dochodów z niezrealizowanych zysków w przypadku przeniesienia składników majątku lub miejsca siedziby (zarządu) poza terytorium RP i obowiązki podatników (art. 24f) sytuacje nie objęte powyższym opodatkowaniem (art. 24g i 24h), zasady odroczenia i rozłożenia płatności podatku na raty (art. 24i), zasady ustalania wartości składników majątku przenoszonych na terytorium RP (art. 24j), oraz upoważnienie dla ministra właściwego do spraw finansów publicznych do wydania aktów wykonawczych określających wzory deklaracji i informacji przewidzianych ww. przepisami (art. 24k).</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24f</w:t>
      </w:r>
      <w:r w:rsidRPr="00C93F78">
        <w:rPr>
          <w:rFonts w:ascii="Times New Roman" w:hAnsi="Times New Roman" w:cs="Times New Roman"/>
          <w:sz w:val="24"/>
          <w:szCs w:val="24"/>
        </w:rPr>
        <w:t xml:space="preserve"> określa zasady opodatkowania dochodów z niezrealizowanych zysków w przypadku przeniesienia składników majątku lub miejsca siedziby (zarządu) poza terytorium RP. Przepisy te wdrażają art. 5 dyrektywy ATAD, mający na celu zapewnienie, aby w przypadku przeniesienia przez podatnika aktywów lub rezydencji podatkowej poza jurysdykcję podatkową danego państwa, państwo to mogło opodatkować wartość ekonomiczną ewentualnych zysków kapitałowych osiągniętych na jego terytorium, chociaż zyski te nie zostały jeszcze zrealizowane w chwili dokonania zmiany jurysdykcji podatkowej.</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Ust. 1 wskazuje stawkę podatku od dochodów z niezrealizowanych zysków. Dochody te będą opodatkowane stawką 19%. </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Ust. 2 wskazuje przypadki, w których powstaje obowiązek podatkowy z tytułu dochodów z niezrealizowanych zysków. Obowiązek ten powstaje wówczas, gdy dany składnik majątku, w tym przedsiębiorstwo lub zorganizowaną cześć przedsiębiorstwa jest w sposób trwały przenoszony poza terytorium RP, przy czym przeniesienie to odbywa się w „obrębie” tego samego podatnika lub jest konsekwencją zmiany rezydencji podatkowej danego podatnika. Przesłanką zastosowania tej regulacji jest utrata przez Polskę prawa do opodatkowania, w związku z tym przeniesieniem (zmianą rezydencji) prawa do opodatkowania dochodów z przyszłego zbycia przenoszonego składnika majątku. Utrata tego prawa może mieć charakter całkowity – w przypadku gdy zawarta przez Polskę umowa o unikania podwójnego opodatkowania przewiduje wyłączne prawo do opodatkowania dochodu ze zbycia tego składnika majątku innemu państwu lub do unikania podwójnego opodatkowania tych dochodów ma zastosowania metoda wyłączenia – albo charakter częściowy – w przypadku stosowania metody zaliczenia. </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ust. 3 poszerza, na potrzeby rozdziału, rozumienie pojęcia „składnik majątku” na przedsiębiorstwo lub jego zorganizowaną część.</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Przepis ust. 4 na wzór dyrektywy ATAD wskazuje konkretne przypadki w których podatek od niezrealizowanych zysków znajduje zastosowanie. Ustęp 5 precyzuje z kolei, do jakich składników nie stosuje się </w:t>
      </w:r>
      <w:r w:rsidRPr="00C93F78">
        <w:rPr>
          <w:rFonts w:ascii="Times New Roman" w:hAnsi="Times New Roman" w:cs="Times New Roman"/>
          <w:i/>
          <w:sz w:val="24"/>
          <w:szCs w:val="24"/>
        </w:rPr>
        <w:t>exit tax</w:t>
      </w:r>
      <w:r w:rsidRPr="00C93F78">
        <w:rPr>
          <w:rFonts w:ascii="Times New Roman" w:hAnsi="Times New Roman" w:cs="Times New Roman"/>
          <w:sz w:val="24"/>
          <w:szCs w:val="24"/>
        </w:rPr>
        <w:t xml:space="preserve"> w sytuacji zmiany rezydencji. </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Dochód z niezrealizowanych zysków od składnika majątkowego został określony jako nadwyżka wartości rynkowej danego składnika nad jego wartością podatkową, ustalonych na dzień przeniesienia (ust. 6). Doprecyzowanie, co należy rozumieć przez „dzień przeniesienia” zostało zawarte w ust. 7. </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8 wskazuje sposób określenia wartości rynkowej składnika majątku. Z kolei ust. 9 określa „wartość podatkową składnika majątkowego”, jako wartość, jaka zostałaby przyjęta przez podatnika za koszt uzyskania przychodów, gdyby składnik ten został zbyty, niezaliczoną wcześniej do kosztów uzyskania przychodów w jakiejkolwiek formie.</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10</w:t>
      </w:r>
      <w:r w:rsidRPr="00C93F78">
        <w:rPr>
          <w:rFonts w:ascii="Times New Roman" w:hAnsi="Times New Roman" w:cs="Times New Roman"/>
          <w:b/>
          <w:sz w:val="24"/>
          <w:szCs w:val="24"/>
        </w:rPr>
        <w:t xml:space="preserve"> </w:t>
      </w:r>
      <w:r w:rsidRPr="00C93F78">
        <w:rPr>
          <w:rFonts w:ascii="Times New Roman" w:hAnsi="Times New Roman" w:cs="Times New Roman"/>
          <w:sz w:val="24"/>
          <w:szCs w:val="24"/>
        </w:rPr>
        <w:t>wskazuje na możliwość oszacowania przez organ podatkowy wartości rynkowej składnika majątku (przedsiębiorstwa lub jego zorganizowanej części), jeśli wartość zadeklarowana przez podatnika jest wartością zaniżoną w sposób nieuzasadniony ekonomicznie.</w:t>
      </w:r>
    </w:p>
    <w:p w:rsidR="00247416" w:rsidRPr="00C93F78" w:rsidRDefault="00247416" w:rsidP="00C93F78">
      <w:pPr>
        <w:spacing w:before="120" w:after="120" w:line="360" w:lineRule="auto"/>
        <w:jc w:val="both"/>
        <w:rPr>
          <w:rFonts w:ascii="Times New Roman" w:hAnsi="Times New Roman" w:cs="Times New Roman"/>
          <w:b/>
          <w:sz w:val="24"/>
          <w:szCs w:val="24"/>
        </w:rPr>
      </w:pPr>
      <w:r w:rsidRPr="00C93F78">
        <w:rPr>
          <w:rFonts w:ascii="Times New Roman" w:hAnsi="Times New Roman" w:cs="Times New Roman"/>
          <w:sz w:val="24"/>
          <w:szCs w:val="24"/>
        </w:rPr>
        <w:t>Ust. 11 określa podstawę opodatkowania, którą jest suma dochodów z niezrealizowanych zysków ustalonych od poszczególnych składników majątkowych podatnika.</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12</w:t>
      </w:r>
      <w:r w:rsidRPr="00C93F78">
        <w:rPr>
          <w:rFonts w:ascii="Times New Roman" w:hAnsi="Times New Roman" w:cs="Times New Roman"/>
          <w:b/>
          <w:sz w:val="24"/>
          <w:szCs w:val="24"/>
        </w:rPr>
        <w:t xml:space="preserve"> </w:t>
      </w:r>
      <w:r w:rsidRPr="00C93F78">
        <w:rPr>
          <w:rFonts w:ascii="Times New Roman" w:hAnsi="Times New Roman" w:cs="Times New Roman"/>
          <w:sz w:val="24"/>
          <w:szCs w:val="24"/>
        </w:rPr>
        <w:t xml:space="preserve">wskazuje na możliwość opodatkowania również składników majątku zakładu zagranicznego położonego w innym niż RP państwie, jeżeli umowa o unikaniu podwójnego opodatkowania przewiduje tzw. metodę zaliczenia przy ustalania dochodów z działalności gospodarczej. Przepis przewiduje również odliczenie eliminujące podwójne opodatkowanie, jakie może powstać przy łączeniu dochodów osiągniętych w Polsce i w innym kraju przy jednoczesnym opodatkowaniu majątku zakładu zagranicznego podatkiem typu </w:t>
      </w:r>
      <w:r w:rsidRPr="00C93F78">
        <w:rPr>
          <w:rFonts w:ascii="Times New Roman" w:hAnsi="Times New Roman" w:cs="Times New Roman"/>
          <w:i/>
          <w:sz w:val="24"/>
          <w:szCs w:val="24"/>
        </w:rPr>
        <w:t>exit tax</w:t>
      </w:r>
      <w:r w:rsidRPr="00C93F78">
        <w:rPr>
          <w:rFonts w:ascii="Times New Roman" w:hAnsi="Times New Roman" w:cs="Times New Roman"/>
          <w:sz w:val="24"/>
          <w:szCs w:val="24"/>
        </w:rPr>
        <w:t>.</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Ust. 13 nakazuje odpowiednie stosownie przepisów o </w:t>
      </w:r>
      <w:r w:rsidRPr="00C93F78">
        <w:rPr>
          <w:rFonts w:ascii="Times New Roman" w:hAnsi="Times New Roman" w:cs="Times New Roman"/>
          <w:i/>
          <w:sz w:val="24"/>
          <w:szCs w:val="24"/>
        </w:rPr>
        <w:t>exit tax</w:t>
      </w:r>
      <w:r w:rsidRPr="00C93F78">
        <w:rPr>
          <w:rFonts w:ascii="Times New Roman" w:hAnsi="Times New Roman" w:cs="Times New Roman"/>
          <w:sz w:val="24"/>
          <w:szCs w:val="24"/>
        </w:rPr>
        <w:t xml:space="preserve"> do nieodpłatnego przekazania innemu podmiotowi położonego na terytorium Rzeczpospolitej Polskiej składnika majątku, oraz wniesienia składnika majątku do podmiotu innego niż spółka lub spółdzielnia, jeżeli w związku z tym przekazaniem albo wniesieniem wkładu Rzeczpospolita Polska traci w całości lub w części prawo do opodatkowania dochodów ze zbycia tego składnika majątku. Wskazane sytuacje w swoich skutkach są analogiczne do sytuacji objętych zakresem projektowanego ust. 2 art. 24g i mogą stanowić element działań ukierunkowanych na erozję podstawy opodatkowania w Polsce. </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14 reguluje obowiązek złożenia deklaracji podatkowej i zapłaty podatku przez podatników dokonujących przeniesienia składników majątkowych poza terytorium RP. Deklarację o wysokości osiągniętego dochodu należy złożyć do 7 dnia poprzedzającego dzień przeniesienia składników majątkowych poza terytorium RP lub dzień zmiany rezydencji podatkowej i w tym terminie wpłacić podatek należny.</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15 i 16 doprecyzowują zasady odnoszące się do podatkowych grup kapitałowych oraz do spółek niebędących osobami prawnymi.</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24g</w:t>
      </w:r>
      <w:r w:rsidRPr="00C93F78">
        <w:rPr>
          <w:rFonts w:ascii="Times New Roman" w:hAnsi="Times New Roman" w:cs="Times New Roman"/>
          <w:sz w:val="24"/>
          <w:szCs w:val="24"/>
        </w:rPr>
        <w:t xml:space="preserve"> reguluje sytuację tymczasowego – na okres nie dłuższy niż 12 miesięcy – przeniesienia składników majątkowych, które jest dokonywane na potrzeby zarządzania płynnością, jako zabezpieczenie lub w celu spełnienia ostrożnościowych wymogów kapitałowych, określonych prawem UE.</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2 reguluje obowiązek podatnika do wykazania w zeznaniu rocznym wartości przenoszonych składników majątku oraz przewidywanego terminu ich sprowadzenia ponownie na terytorium RP.</w:t>
      </w:r>
    </w:p>
    <w:p w:rsidR="00247416" w:rsidRPr="00C93F78" w:rsidRDefault="00247416" w:rsidP="00C93F78">
      <w:pPr>
        <w:spacing w:before="120" w:after="120"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rPr>
        <w:t>Ust. 3 i 4 regulują sytuację, gdy przed upływem terminu sprowadzenia składników majątkowych z powrotem na terytorium RP ustanie byt prawny podatnika, (np. w drodze likwidacji lub przejęcia przez inny podmiot). Wówczas wartość składnika majątku, zadeklarowanego uprzednio, jako składnik podlegający ponownemu sprowadzeniu na terytorium RP, podlega opodatkowaniu, zgodnie z przepisami ust. 1, a podatnik jest obowiązany złożyć deklaracje i wpłacić podatek należny do 7 dnia poprzedzającego dzień ustania jego bytu prawnego. Jeśli działalność podatnika będzie kontynuowana np. poprzez zakład podmiotu przejmującego, przepis ust. 1 i 2 stosować się będzie odpowiednio.</w:t>
      </w:r>
      <w:r w:rsidRPr="00C93F78" w:rsidDel="00F75AFB">
        <w:rPr>
          <w:rFonts w:ascii="Times New Roman" w:hAnsi="Times New Roman" w:cs="Times New Roman"/>
          <w:sz w:val="24"/>
          <w:szCs w:val="24"/>
        </w:rPr>
        <w:t xml:space="preserve"> </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24h</w:t>
      </w:r>
      <w:r w:rsidRPr="00C93F78">
        <w:rPr>
          <w:rFonts w:ascii="Times New Roman" w:hAnsi="Times New Roman" w:cs="Times New Roman"/>
          <w:sz w:val="24"/>
          <w:szCs w:val="24"/>
        </w:rPr>
        <w:t xml:space="preserve"> określa przypadki, w których dochody z niezrealizowanych zysków podlegają zwolnieniu z opodatkowania. Przepis stanowi również, że do opodatkowania podatkiem od niezrealizowanych zysków nie będą mieć zastosowania zwolnienia i przesunięcia terminu opodatkowania, przewidziane w działalności gospodarczej.</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24i</w:t>
      </w:r>
      <w:r w:rsidRPr="00C93F78">
        <w:rPr>
          <w:rFonts w:ascii="Times New Roman" w:hAnsi="Times New Roman" w:cs="Times New Roman"/>
          <w:sz w:val="24"/>
          <w:szCs w:val="24"/>
        </w:rPr>
        <w:t xml:space="preserve"> określa zasady rozłożenia płatności podatku na raty. Przepis zastrzega, że okres rozłożenia na raty nie może przekroczyć 5 lat. Zgodnie z regulacją podatnik sam będzie decydował czy ureguluje podatek w całości w terminach powstania zobowiązania podatkowego, czy tez zawnioskuje do organu podatkowego o rozłożenie na raty całości podatku czy tylko jego części. </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1 przewiduje dla podatnika możliwość wystąpienia o rozłożenie na raty zapłaty podatku należnego od dochodów z niezrealizowanych zysków, pod warunkiem łącznego spełnienia przesłanek określonych w punktach 1 – 4.</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Pkt 1 stanowi, iż przeniesienie składników majątku lub rezydencji podatkowej następuje na terytorium państwa członkowskiego UE lub innego państwa należącego do EOG, które jest stroną umowy zawartej z Rzeczpospolitą Polską lub stroną umowy z Unią Europejską w sprawie wzajemnej pomocy przy odzyskiwaniu wierzytelności podatkowych, równoważnej wzajemnej pomocy przewidzianej w dyrektywie Rady 2010/24/UE z dnia 16 marca 2010 r. w sprawie wzajemnej pomocy przy odzyskiwaniu wierzytelności dotyczących podatków, ceł i innych obciążeń.</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Zgodnie z pkt 2 podatnik powinien przedstawić zabezpieczenie wykonania zobowiązania podatkowego wraz z opłatą prolongacyjną w formie przewidzianej przepisami Ordynacji podatkowej dla zabezpieczeń wykonania zobowiązań podatkowych, chyba że podatnik wykaże, że nie istnieje realne ryzyko uchylania się od zapłacenia podatku należnego.</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2 wymienia przykładowe okoliczności i warunki, jakie organ podatkowy może uwzględnić przy ocenie, czy nie istnieje realne ryzyko uchylania się od zapłacenia podatku należnego przez podatnika, w przypadku jego rozłożenia na raty. Przepis nie zamyka katalogu okoliczności i warunków, jakie organ podatkowy może brać pod uwagę, przy ocenie tego ryzyka.</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3 stanowi, iż warunek przedstawienia zabezpieczenia uważa się za spełniony również w przypadku przedłożenia gwarancji lub poręczenia wykonania zobowiązania podatkowego przez dowolny podmiot będący polskim rezydentem. Warunkiem jest jedynie dobra kondycja majątkowa podmiotu gwarantującego lub dającego poręczenie.</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4 w pkt 1 – 4 wskazuje konieczne elementy decyzji o rozłożeniu zapłaty podatku od niezrealizowanych zysków na raty, którymi są:</w:t>
      </w:r>
    </w:p>
    <w:p w:rsidR="00247416" w:rsidRPr="00C93F78" w:rsidRDefault="00247416" w:rsidP="00C93F78">
      <w:pPr>
        <w:numPr>
          <w:ilvl w:val="0"/>
          <w:numId w:val="4"/>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ustalenie opłaty prolongacyjnej od kwoty podatku, na okres wnioskowany przez podatnika, nie dłuższy niż 5 lat (pkt 1);</w:t>
      </w:r>
    </w:p>
    <w:p w:rsidR="00247416" w:rsidRPr="00C93F78" w:rsidRDefault="00247416" w:rsidP="00C93F78">
      <w:pPr>
        <w:numPr>
          <w:ilvl w:val="0"/>
          <w:numId w:val="4"/>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zastrzeżenie, iż niedopełnienie przez podatnika określonych tym przepisem warunków skutkuje wygaśnięciem decyzji i postawieniem zobowiązania podatkowego w stan wymagalności (pkt 2);</w:t>
      </w:r>
    </w:p>
    <w:p w:rsidR="00247416" w:rsidRPr="00C93F78" w:rsidRDefault="00247416" w:rsidP="00C93F78">
      <w:pPr>
        <w:numPr>
          <w:ilvl w:val="0"/>
          <w:numId w:val="4"/>
        </w:num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wskazanie skutków prawnych w postaci wygaśnięcia decyzji o rozłożeniu na raty, w przypadku gdy podatnik, który udzielił gwarancji lub poręczenia wykonania zobowiązania podatkowego ogłosi upadłość, likwidację lub zostanie przejęty w wyniku łączenia lub podziału przez inny podmiot lub przekształcony w spółkę niemającą osobowości prawnej (pkt 3);</w:t>
      </w:r>
    </w:p>
    <w:p w:rsidR="00247416" w:rsidRPr="00C93F78" w:rsidRDefault="00247416" w:rsidP="00C93F78">
      <w:pPr>
        <w:numPr>
          <w:ilvl w:val="0"/>
          <w:numId w:val="4"/>
        </w:numPr>
        <w:spacing w:before="120" w:after="120" w:line="360" w:lineRule="auto"/>
        <w:ind w:left="0" w:firstLine="0"/>
        <w:jc w:val="both"/>
        <w:rPr>
          <w:rFonts w:ascii="Times New Roman" w:hAnsi="Times New Roman" w:cs="Times New Roman"/>
          <w:sz w:val="24"/>
          <w:szCs w:val="24"/>
        </w:rPr>
      </w:pPr>
      <w:r w:rsidRPr="00C93F78">
        <w:rPr>
          <w:rFonts w:ascii="Times New Roman" w:hAnsi="Times New Roman" w:cs="Times New Roman"/>
          <w:sz w:val="24"/>
          <w:szCs w:val="24"/>
        </w:rPr>
        <w:t>wskazanie skutków prawnych niewypełnienia przez podatnika obowiązków związanych z płatnością rat i opłaty prolongacyjnej (pkt 4).</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ust. 5 przewiduje, że w przypadku rozłożenia zapłaty podatku na raty, podatnik zobowiązany jest do składania informacji o spełnieniu warunków wskazanych w ust. 1 pkt 4. Informację składa się na ostatni dzień każdego roku kalendarzowego, w którym zapłata podatku została rozłożona na raty, do naczelnika urzędu skarbowego, który wydał decyzję o rozłożeniu zapłaty podatku na raty. Informację należy złożyć w terminie do 7 dnia pierwszego miesiąca następnego roku kalendarzowego, którego dotyczy informacja.</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6 stanowi o właściwości naczelnika urzędu skarbowego dla podatnika zmieniającego rezydencje podatkową</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7 wskazuje, że rozłożenie podatku na raty, na warunkach określonych art. 26i nie stanowi pomocy publicznej.</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24j ust. 1</w:t>
      </w:r>
      <w:r w:rsidRPr="00C93F78">
        <w:rPr>
          <w:rFonts w:ascii="Times New Roman" w:hAnsi="Times New Roman" w:cs="Times New Roman"/>
          <w:sz w:val="24"/>
          <w:szCs w:val="24"/>
        </w:rPr>
        <w:t xml:space="preserve"> przepis wskazuje na obowiązek informacyjny podatnika, który uwzględni w kosztach uzyskania przychodów wartość rynkową składnika majątku, w tym przedsiębiorstwa lub jego zorganizowanej części, określoną w państwie członkowskim Unii Europejskiej dla celów opodatkowania podatkiem równoważnym do opodatkowania dochodów z niezrealizowanych zysków, o którym mowa w art. 36a. Podatnik obowiązany będzie dołączyć do zeznania, składanego za rok podatkowy informację o wysokości wartości rynkowej tego składnika. Do informacji tej podatnik jest obowiązany dołączyć dokument wydany lub potwierdzony przez właściwy organ państwa o wysokości wartości rynkowej tego składnika.</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2 wskazuje, że Informację należy złożyć do właściwego naczelnika urzędu skarbowego wraz z dokumentem wydanym przez właściwy organ państwa poprzedniej rezydencji (miejsca położenia zakładu zagranicznego) potwierdzający wartość rynkową tego składnika.</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Ust. 3 stanowi, że naczelnik urzędu skarbowego, na podstawie otrzymanej informacji, oraz ewentualnie innych zebranych dowodów w sprawie może wydać decyzję, w której określi inną wartość składnika majątku, w tym przedsiębiorstwa lub jego zorganizowanej części</w:t>
      </w:r>
      <w:r w:rsidRPr="00C93F78" w:rsidDel="006E6F3D">
        <w:rPr>
          <w:rFonts w:ascii="Times New Roman" w:hAnsi="Times New Roman" w:cs="Times New Roman"/>
          <w:sz w:val="24"/>
          <w:szCs w:val="24"/>
        </w:rPr>
        <w:t xml:space="preserve"> </w:t>
      </w:r>
      <w:r w:rsidRPr="00C93F78">
        <w:rPr>
          <w:rFonts w:ascii="Times New Roman" w:hAnsi="Times New Roman" w:cs="Times New Roman"/>
          <w:sz w:val="24"/>
          <w:szCs w:val="24"/>
        </w:rPr>
        <w:t>, jeżeli wartość zadeklarowana przez podatnika jest zawyżona w stosunku do faktycznej wartości rynkowej.</w:t>
      </w:r>
    </w:p>
    <w:p w:rsidR="00247416" w:rsidRPr="00C93F78" w:rsidRDefault="00247416"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Art. 24k</w:t>
      </w:r>
      <w:r w:rsidRPr="00C93F78">
        <w:rPr>
          <w:rFonts w:ascii="Times New Roman" w:hAnsi="Times New Roman" w:cs="Times New Roman"/>
          <w:sz w:val="24"/>
          <w:szCs w:val="24"/>
        </w:rPr>
        <w:t xml:space="preserve"> zawiera przepis upoważniający ministra właściwego do spraw finansów publicznych do wydania rozporządzenia określającego wzory deklaracji i informacji, o których mowa w art. 24a ust. 12 i w art. 24j ust. 1, wraz z objaśnieniami co do sposobu ich wypełniania, terminu i miejsca składania oraz niezbędnymi pouczeniami, mając na uwadze umożliwienie identyfikacji urzędu skarbowego, do którego jest kierowany formularz,, identyfikacji podatnika, zastosowanej metody wyceny wartości rynkowej oraz poprawne obliczenie podatku przez podatnika.</w:t>
      </w:r>
    </w:p>
    <w:p w:rsidR="006B0AAF" w:rsidRPr="00C93F78" w:rsidRDefault="006B0AAF" w:rsidP="00C93F78">
      <w:pPr>
        <w:pStyle w:val="Akapitzlist"/>
        <w:numPr>
          <w:ilvl w:val="0"/>
          <w:numId w:val="6"/>
        </w:numPr>
        <w:spacing w:before="120" w:after="120" w:line="360" w:lineRule="auto"/>
        <w:ind w:left="0" w:firstLine="0"/>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8B53F9" w:rsidRPr="00C93F78">
        <w:rPr>
          <w:rFonts w:ascii="Times New Roman" w:hAnsi="Times New Roman" w:cs="Times New Roman"/>
          <w:sz w:val="24"/>
          <w:szCs w:val="24"/>
        </w:rPr>
        <w:t xml:space="preserve">31 </w:t>
      </w:r>
      <w:r w:rsidRPr="00C93F78">
        <w:rPr>
          <w:rFonts w:ascii="Times New Roman" w:hAnsi="Times New Roman" w:cs="Times New Roman"/>
          <w:sz w:val="24"/>
          <w:szCs w:val="24"/>
        </w:rPr>
        <w:t xml:space="preserve">- </w:t>
      </w:r>
      <w:r w:rsidR="009E36A0" w:rsidRPr="00C93F78">
        <w:rPr>
          <w:rFonts w:ascii="Times New Roman" w:hAnsi="Times New Roman" w:cs="Times New Roman"/>
          <w:sz w:val="24"/>
          <w:szCs w:val="24"/>
        </w:rPr>
        <w:t>zmiany</w:t>
      </w:r>
      <w:r w:rsidRPr="00C93F78">
        <w:rPr>
          <w:rFonts w:ascii="Times New Roman" w:hAnsi="Times New Roman" w:cs="Times New Roman"/>
          <w:sz w:val="24"/>
          <w:szCs w:val="24"/>
        </w:rPr>
        <w:t xml:space="preserve"> w art. 25 ustawy o CIT</w:t>
      </w:r>
    </w:p>
    <w:p w:rsidR="006B0AAF" w:rsidRPr="00C93F78" w:rsidRDefault="009E36A0"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Zmiana jest konsekwencją dodania do ustawy o CIT rozdziału 5a: Podatek od dochodów z niezrealizowanych zysków.</w:t>
      </w:r>
    </w:p>
    <w:p w:rsidR="006B0AAF" w:rsidRPr="00C93F78" w:rsidRDefault="006B0AAF" w:rsidP="00C93F78">
      <w:pPr>
        <w:pStyle w:val="Akapitzlist"/>
        <w:numPr>
          <w:ilvl w:val="0"/>
          <w:numId w:val="5"/>
        </w:numPr>
        <w:spacing w:before="120" w:after="120" w:line="360" w:lineRule="auto"/>
        <w:ind w:left="0" w:firstLine="0"/>
        <w:jc w:val="both"/>
        <w:rPr>
          <w:rFonts w:ascii="Times New Roman" w:hAnsi="Times New Roman" w:cs="Times New Roman"/>
          <w:sz w:val="24"/>
          <w:szCs w:val="24"/>
        </w:rPr>
      </w:pPr>
      <w:r w:rsidRPr="00C93F78">
        <w:rPr>
          <w:rFonts w:ascii="Times New Roman" w:hAnsi="Times New Roman" w:cs="Times New Roman"/>
          <w:sz w:val="24"/>
          <w:szCs w:val="24"/>
        </w:rPr>
        <w:t xml:space="preserve">pkt </w:t>
      </w:r>
      <w:r w:rsidR="008B53F9" w:rsidRPr="00C93F78">
        <w:rPr>
          <w:rFonts w:ascii="Times New Roman" w:hAnsi="Times New Roman" w:cs="Times New Roman"/>
          <w:sz w:val="24"/>
          <w:szCs w:val="24"/>
        </w:rPr>
        <w:t xml:space="preserve">32 </w:t>
      </w:r>
      <w:r w:rsidRPr="00C93F78">
        <w:rPr>
          <w:rFonts w:ascii="Times New Roman" w:hAnsi="Times New Roman" w:cs="Times New Roman"/>
          <w:sz w:val="24"/>
          <w:szCs w:val="24"/>
        </w:rPr>
        <w:t>- zmiany dotyczące art. 26 ustawy o CIT</w:t>
      </w:r>
      <w:r w:rsidR="009113E8" w:rsidRPr="00C93F78">
        <w:rPr>
          <w:rFonts w:ascii="Times New Roman" w:hAnsi="Times New Roman" w:cs="Times New Roman"/>
          <w:sz w:val="24"/>
          <w:szCs w:val="24"/>
        </w:rPr>
        <w:t>.</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a</w:t>
      </w:r>
      <w:r w:rsidRPr="00C93F78">
        <w:rPr>
          <w:rFonts w:ascii="Times New Roman" w:hAnsi="Times New Roman" w:cs="Times New Roman"/>
          <w:sz w:val="24"/>
          <w:szCs w:val="24"/>
        </w:rPr>
        <w:t xml:space="preserve"> – zmiana w ust. 1 </w:t>
      </w:r>
    </w:p>
    <w:p w:rsidR="006B0AAF" w:rsidRPr="00C93F78" w:rsidRDefault="006B0AAF"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rPr>
        <w:t xml:space="preserve"> Celem zmiany jest doprowadzenie do stanu, w którym dotychczasowe zasady rozliczania podatku u źródła (tj. możliwość zastosowania zwolnienia lub obniżonej stawki podatku już przy wypłacie należności do podatnika) stosuje się dla wypłat z tytułów </w:t>
      </w:r>
      <w:r w:rsidRPr="00C93F78">
        <w:rPr>
          <w:rFonts w:ascii="Times New Roman" w:eastAsia="Calibri" w:hAnsi="Times New Roman" w:cs="Times New Roman"/>
          <w:sz w:val="24"/>
          <w:szCs w:val="24"/>
          <w:shd w:val="clear" w:color="auto" w:fill="FFFFFF"/>
        </w:rPr>
        <w:t xml:space="preserve">wymienionych </w:t>
      </w:r>
      <w:r w:rsidRPr="00C93F78">
        <w:rPr>
          <w:rFonts w:ascii="Times New Roman" w:eastAsia="Calibri" w:hAnsi="Times New Roman" w:cs="Times New Roman"/>
          <w:sz w:val="24"/>
          <w:szCs w:val="24"/>
        </w:rPr>
        <w:t xml:space="preserve">w art. 21 ust. 1 oraz art. 22 ust. 1 ustawy o CIT jedynie wówczas, gdy kwota tych wypłat nie </w:t>
      </w:r>
      <w:r w:rsidRPr="00C93F78">
        <w:rPr>
          <w:rFonts w:ascii="Times New Roman" w:eastAsia="Calibri" w:hAnsi="Times New Roman" w:cs="Times New Roman"/>
          <w:sz w:val="24"/>
          <w:szCs w:val="24"/>
          <w:shd w:val="clear" w:color="auto" w:fill="FFFFFF"/>
        </w:rPr>
        <w:t xml:space="preserve">przekroczy dla tego samego podatnika kwoty </w:t>
      </w:r>
      <w:r w:rsidRPr="00C93F78">
        <w:rPr>
          <w:rFonts w:ascii="Times New Roman" w:eastAsia="Calibri" w:hAnsi="Times New Roman" w:cs="Times New Roman"/>
          <w:sz w:val="24"/>
          <w:szCs w:val="24"/>
        </w:rPr>
        <w:t xml:space="preserve">dwóch milionów złotych </w:t>
      </w:r>
      <w:r w:rsidRPr="00C93F78">
        <w:rPr>
          <w:rFonts w:ascii="Times New Roman" w:eastAsia="Calibri" w:hAnsi="Times New Roman" w:cs="Times New Roman"/>
          <w:sz w:val="24"/>
          <w:szCs w:val="24"/>
          <w:shd w:val="clear" w:color="auto" w:fill="FFFFFF"/>
        </w:rPr>
        <w:t>w obowiązującym u wypłacającego należności roku podatkowym.</w:t>
      </w:r>
    </w:p>
    <w:p w:rsidR="006B0AAF" w:rsidRPr="00C93F78" w:rsidRDefault="006B0AAF"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W przepisie tym doprecyzowano również normatywnie – istniejący również obecnie – obowiązek płatnika dochowania staranności w ramach weryfikowania uprawnienia do zastosowania preferencji podatkowych w momencie wypłaty należności. Szerzej zagadnienie to omówione zostało w części poświęconej zmianom do ustawy o PIT.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b</w:t>
      </w:r>
      <w:r w:rsidRPr="00C93F78">
        <w:rPr>
          <w:rFonts w:ascii="Times New Roman" w:hAnsi="Times New Roman" w:cs="Times New Roman"/>
          <w:sz w:val="24"/>
          <w:szCs w:val="24"/>
        </w:rPr>
        <w:t xml:space="preserve"> -</w:t>
      </w:r>
      <w:r w:rsidR="00840A3E" w:rsidRPr="00C93F78">
        <w:rPr>
          <w:rFonts w:ascii="Times New Roman" w:hAnsi="Times New Roman" w:cs="Times New Roman"/>
          <w:sz w:val="24"/>
          <w:szCs w:val="24"/>
        </w:rPr>
        <w:t xml:space="preserve"> </w:t>
      </w:r>
      <w:r w:rsidRPr="00C93F78">
        <w:rPr>
          <w:rFonts w:ascii="Times New Roman" w:hAnsi="Times New Roman" w:cs="Times New Roman"/>
          <w:sz w:val="24"/>
          <w:szCs w:val="24"/>
        </w:rPr>
        <w:t>dodawany ust. 1aa – 1ad</w:t>
      </w:r>
    </w:p>
    <w:p w:rsidR="006B0AAF" w:rsidRPr="00C93F78" w:rsidRDefault="006B0AAF" w:rsidP="00C93F78">
      <w:pPr>
        <w:keepNext/>
        <w:spacing w:after="120" w:line="360" w:lineRule="auto"/>
        <w:jc w:val="both"/>
        <w:rPr>
          <w:rFonts w:ascii="Times New Roman" w:eastAsia="Calibri" w:hAnsi="Times New Roman" w:cs="Times New Roman"/>
          <w:b/>
          <w:sz w:val="24"/>
          <w:szCs w:val="24"/>
          <w:shd w:val="clear" w:color="auto" w:fill="FFFFFF"/>
        </w:rPr>
      </w:pPr>
      <w:r w:rsidRPr="00C93F78">
        <w:rPr>
          <w:rFonts w:ascii="Times New Roman" w:eastAsia="Calibri" w:hAnsi="Times New Roman" w:cs="Times New Roman"/>
          <w:b/>
          <w:sz w:val="24"/>
          <w:szCs w:val="24"/>
          <w:shd w:val="clear" w:color="auto" w:fill="FFFFFF"/>
        </w:rPr>
        <w:t>Dodanie art. 26 ust. 1aa-1ac ustawy o CIT</w:t>
      </w:r>
    </w:p>
    <w:p w:rsidR="006B0AAF" w:rsidRPr="00C93F78" w:rsidRDefault="006B0AAF" w:rsidP="00C93F78">
      <w:pPr>
        <w:keepNext/>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b/>
          <w:sz w:val="24"/>
          <w:szCs w:val="24"/>
          <w:shd w:val="clear" w:color="auto" w:fill="FFFFFF"/>
        </w:rPr>
        <w:tab/>
      </w:r>
      <w:r w:rsidRPr="00C93F78">
        <w:rPr>
          <w:rFonts w:ascii="Times New Roman" w:eastAsia="Calibri" w:hAnsi="Times New Roman" w:cs="Times New Roman"/>
          <w:sz w:val="24"/>
          <w:szCs w:val="24"/>
          <w:shd w:val="clear" w:color="auto" w:fill="FFFFFF"/>
        </w:rPr>
        <w:t xml:space="preserve">Zmiana ma charakter analogiczny do nowelizacji przepisów art. 41 ust. </w:t>
      </w:r>
      <w:r w:rsidR="004D055F" w:rsidRPr="00C93F78">
        <w:rPr>
          <w:rFonts w:ascii="Times New Roman" w:eastAsia="Calibri" w:hAnsi="Times New Roman" w:cs="Times New Roman"/>
          <w:sz w:val="24"/>
          <w:szCs w:val="24"/>
          <w:shd w:val="clear" w:color="auto" w:fill="FFFFFF"/>
        </w:rPr>
        <w:t>25</w:t>
      </w:r>
      <w:r w:rsidRPr="00C93F78">
        <w:rPr>
          <w:rFonts w:ascii="Times New Roman" w:eastAsia="Calibri" w:hAnsi="Times New Roman" w:cs="Times New Roman"/>
          <w:sz w:val="24"/>
          <w:szCs w:val="24"/>
          <w:shd w:val="clear" w:color="auto" w:fill="FFFFFF"/>
        </w:rPr>
        <w:t>-</w:t>
      </w:r>
      <w:r w:rsidR="004D055F" w:rsidRPr="00C93F78">
        <w:rPr>
          <w:rFonts w:ascii="Times New Roman" w:eastAsia="Calibri" w:hAnsi="Times New Roman" w:cs="Times New Roman"/>
          <w:sz w:val="24"/>
          <w:szCs w:val="24"/>
          <w:shd w:val="clear" w:color="auto" w:fill="FFFFFF"/>
        </w:rPr>
        <w:t xml:space="preserve">27 </w:t>
      </w:r>
      <w:r w:rsidRPr="00C93F78">
        <w:rPr>
          <w:rFonts w:ascii="Times New Roman" w:eastAsia="Calibri" w:hAnsi="Times New Roman" w:cs="Times New Roman"/>
          <w:sz w:val="24"/>
          <w:szCs w:val="24"/>
          <w:shd w:val="clear" w:color="auto" w:fill="FFFFFF"/>
        </w:rPr>
        <w:t>ustawy o PIT (zob. uzasadnienie do tej części ustawy).</w:t>
      </w:r>
    </w:p>
    <w:p w:rsidR="006B0AAF" w:rsidRPr="00C93F78" w:rsidRDefault="006B0AAF" w:rsidP="00C93F78">
      <w:pPr>
        <w:keepNext/>
        <w:spacing w:after="120" w:line="360" w:lineRule="auto"/>
        <w:jc w:val="both"/>
        <w:rPr>
          <w:rFonts w:ascii="Times New Roman" w:eastAsia="Calibri" w:hAnsi="Times New Roman" w:cs="Times New Roman"/>
          <w:b/>
          <w:sz w:val="24"/>
          <w:szCs w:val="24"/>
          <w:shd w:val="clear" w:color="auto" w:fill="FFFFFF"/>
        </w:rPr>
      </w:pPr>
      <w:r w:rsidRPr="00C93F78">
        <w:rPr>
          <w:rFonts w:ascii="Times New Roman" w:eastAsia="Calibri" w:hAnsi="Times New Roman" w:cs="Times New Roman"/>
          <w:b/>
          <w:sz w:val="24"/>
          <w:szCs w:val="24"/>
          <w:shd w:val="clear" w:color="auto" w:fill="FFFFFF"/>
        </w:rPr>
        <w:t>Dodanie art. 26 ust. 1 ad ustawy o CIT</w:t>
      </w:r>
    </w:p>
    <w:p w:rsidR="006B0AAF" w:rsidRPr="00C93F78" w:rsidRDefault="006B0AAF" w:rsidP="00C93F78">
      <w:pPr>
        <w:keepNext/>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b/>
          <w:sz w:val="24"/>
          <w:szCs w:val="24"/>
          <w:shd w:val="clear" w:color="auto" w:fill="FFFFFF"/>
        </w:rPr>
        <w:tab/>
      </w:r>
      <w:r w:rsidRPr="00C93F78">
        <w:rPr>
          <w:rFonts w:ascii="Times New Roman" w:eastAsia="Calibri" w:hAnsi="Times New Roman" w:cs="Times New Roman"/>
          <w:sz w:val="24"/>
          <w:szCs w:val="24"/>
          <w:shd w:val="clear" w:color="auto" w:fill="FFFFFF"/>
        </w:rPr>
        <w:t>W związku z wprowadzeniem do ustawy o CIT zwolnienia z art. 17 ust. 1 pkt 50d, celowe jest dodanie także przepisu wyłączającego obowiązek pobierania podatku przez Narodowy Bank Polski w przypadkach, o których mowa w art. 17 ust. 1 pkt 50d.</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lit. c i lit. d</w:t>
      </w:r>
      <w:r w:rsidRPr="00C93F78">
        <w:rPr>
          <w:rFonts w:ascii="Times New Roman" w:hAnsi="Times New Roman"/>
          <w:sz w:val="24"/>
          <w:szCs w:val="24"/>
          <w:u w:val="single"/>
        </w:rPr>
        <w:t xml:space="preserve"> </w:t>
      </w:r>
      <w:r w:rsidRPr="00C93F78">
        <w:rPr>
          <w:rFonts w:ascii="Times New Roman" w:hAnsi="Times New Roman" w:cs="Times New Roman"/>
          <w:sz w:val="24"/>
          <w:szCs w:val="24"/>
        </w:rPr>
        <w:t>– zmiana w ust. 1c i ust. 1f</w:t>
      </w:r>
    </w:p>
    <w:p w:rsidR="006B0AAF" w:rsidRPr="00C93F78" w:rsidRDefault="006B0AAF"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Po dokonanej nowelizacji, zwolnienia przewidziane w art. 21 ust. 3 oraz art. 22 ust. 4 stosowane będą jedynie jeżeli nie zostanie przekroczony limit </w:t>
      </w:r>
      <w:r w:rsidRPr="00C93F78">
        <w:rPr>
          <w:rFonts w:ascii="Times New Roman" w:eastAsia="Calibri" w:hAnsi="Times New Roman" w:cs="Times New Roman"/>
          <w:sz w:val="24"/>
          <w:szCs w:val="24"/>
        </w:rPr>
        <w:t>dwóch milionów złotych</w:t>
      </w:r>
      <w:r w:rsidRPr="00C93F78">
        <w:rPr>
          <w:rFonts w:ascii="Times New Roman" w:eastAsia="Calibri" w:hAnsi="Times New Roman" w:cs="Times New Roman"/>
          <w:sz w:val="24"/>
          <w:szCs w:val="24"/>
          <w:shd w:val="clear" w:color="auto" w:fill="FFFFFF"/>
        </w:rPr>
        <w:t xml:space="preserve">, o którym mowa a ust. 1. Po przekroczenie tej kwoty konieczna będzie zapłata podatku bądź wystąpienie o opinię o stosowaniu zwolnienia. Należy podkreślić, iż badając przekroczenie limitu </w:t>
      </w:r>
      <w:r w:rsidRPr="00C93F78">
        <w:rPr>
          <w:rFonts w:ascii="Times New Roman" w:eastAsia="Calibri" w:hAnsi="Times New Roman" w:cs="Times New Roman"/>
          <w:sz w:val="24"/>
          <w:szCs w:val="24"/>
        </w:rPr>
        <w:t>dwóch milionów złotych</w:t>
      </w:r>
      <w:r w:rsidRPr="00C93F78">
        <w:rPr>
          <w:rFonts w:ascii="Times New Roman" w:eastAsia="Calibri" w:hAnsi="Times New Roman" w:cs="Times New Roman"/>
          <w:sz w:val="24"/>
          <w:szCs w:val="24"/>
          <w:shd w:val="clear" w:color="auto" w:fill="FFFFFF"/>
        </w:rPr>
        <w:t xml:space="preserve">, o którym mowa w ust. 1, należy wziąć pod uwagę wszystkie wypłaty z tytułów wymienionych w art. </w:t>
      </w:r>
      <w:r w:rsidRPr="00C93F78">
        <w:rPr>
          <w:rFonts w:ascii="Times New Roman" w:eastAsia="Calibri" w:hAnsi="Times New Roman" w:cs="Times New Roman"/>
          <w:sz w:val="24"/>
          <w:szCs w:val="24"/>
        </w:rPr>
        <w:t xml:space="preserve">21 ust. 1 oraz art. 22 ust. 1, nie zaś jedynie kwotę wypłat z tytułów, do których stosuje się zwolnienia z </w:t>
      </w:r>
      <w:r w:rsidRPr="00C93F78">
        <w:rPr>
          <w:rFonts w:ascii="Times New Roman" w:eastAsia="Calibri" w:hAnsi="Times New Roman" w:cs="Times New Roman"/>
          <w:sz w:val="24"/>
          <w:szCs w:val="24"/>
          <w:shd w:val="clear" w:color="auto" w:fill="FFFFFF"/>
        </w:rPr>
        <w:t>art. 21 ust. 3 oraz art. 22 ust. 4.</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e </w:t>
      </w:r>
      <w:r w:rsidRPr="00C93F78">
        <w:rPr>
          <w:rFonts w:ascii="Times New Roman" w:hAnsi="Times New Roman" w:cs="Times New Roman"/>
          <w:sz w:val="24"/>
          <w:szCs w:val="24"/>
        </w:rPr>
        <w:t>– zmiana w ust. 1g</w:t>
      </w:r>
    </w:p>
    <w:p w:rsidR="006B0AAF" w:rsidRPr="00C93F78" w:rsidRDefault="006B0AAF"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 Zgodnie ze zmianą, dodatkowym warunkiem stosowania zwolnień z podatku, do których odnosi się art. 26 ust. 1g, dla należności z tytułów wymienionych w art. </w:t>
      </w:r>
      <w:r w:rsidRPr="00C93F78">
        <w:rPr>
          <w:rFonts w:ascii="Times New Roman" w:eastAsia="Calibri" w:hAnsi="Times New Roman" w:cs="Times New Roman"/>
          <w:sz w:val="24"/>
          <w:szCs w:val="24"/>
        </w:rPr>
        <w:t>21 ust. 1 oraz art. 22 ust. 1</w:t>
      </w:r>
      <w:r w:rsidRPr="00C93F78">
        <w:rPr>
          <w:rFonts w:ascii="Times New Roman" w:eastAsia="Calibri" w:hAnsi="Times New Roman" w:cs="Times New Roman"/>
          <w:sz w:val="24"/>
          <w:szCs w:val="24"/>
          <w:shd w:val="clear" w:color="auto" w:fill="FFFFFF"/>
        </w:rPr>
        <w:t xml:space="preserve">, będzie nieprzekroczenie limitu, o którym mowa w ust. 1, tj. kwoty </w:t>
      </w:r>
      <w:r w:rsidRPr="00C93F78">
        <w:rPr>
          <w:rFonts w:ascii="Times New Roman" w:eastAsia="Calibri" w:hAnsi="Times New Roman" w:cs="Times New Roman"/>
          <w:sz w:val="24"/>
          <w:szCs w:val="24"/>
        </w:rPr>
        <w:t>dwóch milionów złotych</w:t>
      </w:r>
      <w:r w:rsidRPr="00C93F78">
        <w:rPr>
          <w:rFonts w:ascii="Times New Roman" w:eastAsia="Calibri" w:hAnsi="Times New Roman" w:cs="Times New Roman"/>
          <w:sz w:val="24"/>
          <w:szCs w:val="24"/>
          <w:shd w:val="clear" w:color="auto" w:fill="FFFFFF"/>
        </w:rPr>
        <w:t xml:space="preserve"> należności wypłaconych dla tego samego podatnika z tytułów wymienionych w art. </w:t>
      </w:r>
      <w:r w:rsidRPr="00C93F78">
        <w:rPr>
          <w:rFonts w:ascii="Times New Roman" w:eastAsia="Calibri" w:hAnsi="Times New Roman" w:cs="Times New Roman"/>
          <w:sz w:val="24"/>
          <w:szCs w:val="24"/>
        </w:rPr>
        <w:t xml:space="preserve">21 ust. 1 oraz art. 22 ust. 1 </w:t>
      </w:r>
      <w:r w:rsidRPr="00C93F78">
        <w:rPr>
          <w:rFonts w:ascii="Times New Roman" w:eastAsia="Calibri" w:hAnsi="Times New Roman" w:cs="Times New Roman"/>
          <w:sz w:val="24"/>
          <w:szCs w:val="24"/>
          <w:shd w:val="clear" w:color="auto" w:fill="FFFFFF"/>
        </w:rPr>
        <w:t>w roku podatkowym obowiązującym u wypłacającego te należności.</w:t>
      </w:r>
    </w:p>
    <w:p w:rsidR="00912FDD" w:rsidRPr="00C93F78" w:rsidRDefault="00912FDD" w:rsidP="00C93F78">
      <w:pPr>
        <w:spacing w:before="120" w:after="120"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lit. f</w:t>
      </w:r>
      <w:r w:rsidRPr="00C93F78">
        <w:rPr>
          <w:rFonts w:ascii="Times New Roman" w:hAnsi="Times New Roman" w:cs="Times New Roman"/>
          <w:sz w:val="24"/>
          <w:szCs w:val="24"/>
        </w:rPr>
        <w:t>– zmiana w ust. 1m</w:t>
      </w:r>
    </w:p>
    <w:p w:rsidR="00912FDD" w:rsidRPr="00C93F78" w:rsidRDefault="00912FDD" w:rsidP="00C93F78">
      <w:pPr>
        <w:spacing w:before="120" w:after="120"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Zmiana ma charakter dostosowawczy w związku z uchyleniem art. 9a.</w:t>
      </w:r>
    </w:p>
    <w:p w:rsidR="006B0AAF" w:rsidRPr="00C93F78" w:rsidRDefault="006B0AAF" w:rsidP="00C93F78">
      <w:pPr>
        <w:spacing w:before="120" w:after="120" w:line="360" w:lineRule="auto"/>
        <w:jc w:val="both"/>
        <w:rPr>
          <w:rFonts w:ascii="Times New Roman" w:hAnsi="Times New Roman" w:cs="Times New Roman"/>
          <w:sz w:val="24"/>
          <w:szCs w:val="24"/>
          <w:u w:val="single"/>
        </w:rPr>
      </w:pPr>
      <w:r w:rsidRPr="00C93F78">
        <w:rPr>
          <w:rFonts w:ascii="Times New Roman" w:hAnsi="Times New Roman" w:cs="Times New Roman"/>
          <w:sz w:val="24"/>
          <w:szCs w:val="24"/>
          <w:u w:val="single"/>
        </w:rPr>
        <w:t xml:space="preserve">lit. </w:t>
      </w:r>
      <w:r w:rsidR="00912FDD" w:rsidRPr="00C93F78">
        <w:rPr>
          <w:rFonts w:ascii="Times New Roman" w:hAnsi="Times New Roman" w:cs="Times New Roman"/>
          <w:sz w:val="24"/>
          <w:szCs w:val="24"/>
          <w:u w:val="single"/>
        </w:rPr>
        <w:t>g</w:t>
      </w:r>
      <w:r w:rsidRPr="00C93F78">
        <w:rPr>
          <w:rFonts w:ascii="Times New Roman" w:hAnsi="Times New Roman" w:cs="Times New Roman"/>
          <w:sz w:val="24"/>
          <w:szCs w:val="24"/>
        </w:rPr>
        <w:t>– zmiana w ust. 2c</w:t>
      </w:r>
    </w:p>
    <w:p w:rsidR="006B0AAF" w:rsidRPr="00C93F78" w:rsidRDefault="006B0AAF"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 Zmiana ma charakter analogiczny do nowelizacji przepisów art. 41 ust. 4d oraz ust. 10 ustawy o PIT (zob. uzasadnienie do tej części ustawy).</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912FDD" w:rsidRPr="00C93F78">
        <w:rPr>
          <w:rFonts w:ascii="Times New Roman" w:hAnsi="Times New Roman" w:cs="Times New Roman"/>
          <w:sz w:val="24"/>
          <w:szCs w:val="24"/>
          <w:u w:val="single"/>
        </w:rPr>
        <w:t>h</w:t>
      </w:r>
      <w:r w:rsidR="001639DA" w:rsidRPr="00C93F78">
        <w:rPr>
          <w:rFonts w:ascii="Times New Roman" w:hAnsi="Times New Roman" w:cs="Times New Roman"/>
          <w:sz w:val="24"/>
          <w:szCs w:val="24"/>
          <w:u w:val="single"/>
        </w:rPr>
        <w:t xml:space="preserve"> </w:t>
      </w:r>
      <w:r w:rsidRPr="00C93F78">
        <w:rPr>
          <w:rFonts w:ascii="Times New Roman" w:hAnsi="Times New Roman" w:cs="Times New Roman"/>
          <w:sz w:val="24"/>
          <w:szCs w:val="24"/>
        </w:rPr>
        <w:t xml:space="preserve">– dodawane </w:t>
      </w:r>
      <w:r w:rsidR="006B6AC9" w:rsidRPr="00C93F78">
        <w:rPr>
          <w:rFonts w:ascii="Times New Roman" w:hAnsi="Times New Roman" w:cs="Times New Roman"/>
          <w:sz w:val="24"/>
          <w:szCs w:val="24"/>
        </w:rPr>
        <w:t>ust. 2e</w:t>
      </w:r>
      <w:r w:rsidRPr="00C93F78">
        <w:rPr>
          <w:rFonts w:ascii="Times New Roman" w:hAnsi="Times New Roman" w:cs="Times New Roman"/>
          <w:sz w:val="24"/>
          <w:szCs w:val="24"/>
        </w:rPr>
        <w:t xml:space="preserve"> – 2</w:t>
      </w:r>
      <w:r w:rsidR="006B6AC9" w:rsidRPr="00C93F78">
        <w:rPr>
          <w:rFonts w:ascii="Times New Roman" w:hAnsi="Times New Roman" w:cs="Times New Roman"/>
          <w:sz w:val="24"/>
          <w:szCs w:val="24"/>
        </w:rPr>
        <w:t>l</w:t>
      </w:r>
      <w:r w:rsidRPr="00C93F78">
        <w:rPr>
          <w:rFonts w:ascii="Times New Roman" w:hAnsi="Times New Roman" w:cs="Times New Roman"/>
          <w:sz w:val="24"/>
          <w:szCs w:val="24"/>
        </w:rPr>
        <w:t xml:space="preserve"> </w:t>
      </w:r>
    </w:p>
    <w:p w:rsidR="006B0AAF" w:rsidRPr="00C93F78" w:rsidRDefault="006B0AAF" w:rsidP="00C93F78">
      <w:pPr>
        <w:spacing w:after="120" w:line="360" w:lineRule="auto"/>
        <w:jc w:val="both"/>
        <w:rPr>
          <w:rFonts w:ascii="Times New Roman" w:eastAsia="Calibri" w:hAnsi="Times New Roman" w:cs="Times New Roman"/>
          <w:b/>
          <w:sz w:val="24"/>
          <w:szCs w:val="24"/>
          <w:shd w:val="clear" w:color="auto" w:fill="FFFFFF"/>
        </w:rPr>
      </w:pPr>
      <w:r w:rsidRPr="00C93F78">
        <w:rPr>
          <w:rFonts w:ascii="Times New Roman" w:eastAsia="Calibri" w:hAnsi="Times New Roman" w:cs="Times New Roman"/>
          <w:b/>
          <w:sz w:val="24"/>
          <w:szCs w:val="24"/>
          <w:shd w:val="clear" w:color="auto" w:fill="FFFFFF"/>
        </w:rPr>
        <w:t xml:space="preserve"> Dodanie art. 26 ust. 2e ustawy o CIT</w:t>
      </w:r>
    </w:p>
    <w:p w:rsidR="006B0AAF" w:rsidRPr="00C93F78" w:rsidRDefault="006B0AAF"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rPr>
        <w:t xml:space="preserve">Zgodnie z dodaną regulacją, w przypadkach, gdy kwota należności wypłaconych temu samemu podatnikowi z tytułów </w:t>
      </w:r>
      <w:r w:rsidRPr="00C93F78">
        <w:rPr>
          <w:rFonts w:ascii="Times New Roman" w:eastAsia="Calibri" w:hAnsi="Times New Roman" w:cs="Times New Roman"/>
          <w:sz w:val="24"/>
          <w:szCs w:val="24"/>
          <w:shd w:val="clear" w:color="auto" w:fill="FFFFFF"/>
        </w:rPr>
        <w:t xml:space="preserve">wymienionych w art. </w:t>
      </w:r>
      <w:r w:rsidRPr="00C93F78">
        <w:rPr>
          <w:rFonts w:ascii="Times New Roman" w:eastAsia="Calibri" w:hAnsi="Times New Roman" w:cs="Times New Roman"/>
          <w:sz w:val="24"/>
          <w:szCs w:val="24"/>
        </w:rPr>
        <w:t xml:space="preserve">21 ust. 1 oraz art. 22 ust. 1 ustawy o CIT </w:t>
      </w:r>
      <w:r w:rsidRPr="00C93F78">
        <w:rPr>
          <w:rFonts w:ascii="Times New Roman" w:eastAsia="Calibri" w:hAnsi="Times New Roman" w:cs="Times New Roman"/>
          <w:sz w:val="24"/>
          <w:szCs w:val="24"/>
          <w:shd w:val="clear" w:color="auto" w:fill="FFFFFF"/>
        </w:rPr>
        <w:t xml:space="preserve">przekroczy w obowiązującym u wypłacającego należności roku podatkowym łącznie kwotę </w:t>
      </w:r>
      <w:r w:rsidRPr="00C93F78">
        <w:rPr>
          <w:rFonts w:ascii="Times New Roman" w:eastAsia="Calibri" w:hAnsi="Times New Roman" w:cs="Times New Roman"/>
          <w:sz w:val="24"/>
          <w:szCs w:val="24"/>
        </w:rPr>
        <w:t>dwóch milionów złotych</w:t>
      </w:r>
      <w:r w:rsidRPr="00C93F78">
        <w:rPr>
          <w:rFonts w:ascii="Times New Roman" w:eastAsia="Calibri" w:hAnsi="Times New Roman" w:cs="Times New Roman"/>
          <w:sz w:val="24"/>
          <w:szCs w:val="24"/>
          <w:shd w:val="clear" w:color="auto" w:fill="FFFFFF"/>
        </w:rPr>
        <w:t>, płatnik zobowiązany jest do pobrania podatku od nadwyżki tych wypłat ponad ten</w:t>
      </w:r>
      <w:r w:rsidR="006B6AC9" w:rsidRPr="00C93F78">
        <w:rPr>
          <w:rFonts w:ascii="Times New Roman" w:eastAsia="Calibri" w:hAnsi="Times New Roman" w:cs="Times New Roman"/>
          <w:sz w:val="24"/>
          <w:szCs w:val="24"/>
          <w:shd w:val="clear" w:color="auto" w:fill="FFFFFF"/>
        </w:rPr>
        <w:t xml:space="preserve"> próg, z zastrzeżeniem ust. 2</w:t>
      </w:r>
      <w:r w:rsidR="00607F4E" w:rsidRPr="00C93F78">
        <w:rPr>
          <w:rFonts w:ascii="Times New Roman" w:eastAsia="Calibri" w:hAnsi="Times New Roman" w:cs="Times New Roman"/>
          <w:sz w:val="24"/>
          <w:szCs w:val="24"/>
          <w:shd w:val="clear" w:color="auto" w:fill="FFFFFF"/>
        </w:rPr>
        <w:t>g</w:t>
      </w:r>
      <w:r w:rsidRPr="00C93F78">
        <w:rPr>
          <w:rFonts w:ascii="Times New Roman" w:eastAsia="Calibri" w:hAnsi="Times New Roman" w:cs="Times New Roman"/>
          <w:sz w:val="24"/>
          <w:szCs w:val="24"/>
          <w:shd w:val="clear" w:color="auto" w:fill="FFFFFF"/>
        </w:rPr>
        <w:t xml:space="preserve">. Podatek pobiera się (od nadwyżki wypłaconych należności ponad kwotę </w:t>
      </w:r>
      <w:r w:rsidRPr="00C93F78">
        <w:rPr>
          <w:rFonts w:ascii="Times New Roman" w:eastAsia="Calibri" w:hAnsi="Times New Roman" w:cs="Times New Roman"/>
          <w:sz w:val="24"/>
          <w:szCs w:val="24"/>
        </w:rPr>
        <w:t>dwóch milionów złotych</w:t>
      </w:r>
      <w:r w:rsidRPr="00C93F78">
        <w:rPr>
          <w:rFonts w:ascii="Times New Roman" w:eastAsia="Calibri" w:hAnsi="Times New Roman" w:cs="Times New Roman"/>
          <w:sz w:val="24"/>
          <w:szCs w:val="24"/>
          <w:shd w:val="clear" w:color="auto" w:fill="FFFFFF"/>
        </w:rPr>
        <w:t xml:space="preserve">) według stawek podstawowych, przewidzianych w </w:t>
      </w:r>
      <w:r w:rsidRPr="00C93F78">
        <w:rPr>
          <w:rFonts w:ascii="Times New Roman" w:eastAsia="Calibri" w:hAnsi="Times New Roman" w:cs="Times New Roman"/>
          <w:sz w:val="24"/>
          <w:szCs w:val="24"/>
        </w:rPr>
        <w:t>art. 21 ust. 1 lub art. 22 ust. 1</w:t>
      </w:r>
      <w:r w:rsidRPr="00C93F78">
        <w:rPr>
          <w:rFonts w:ascii="Times New Roman" w:eastAsia="Calibri" w:hAnsi="Times New Roman" w:cs="Times New Roman"/>
          <w:sz w:val="24"/>
          <w:szCs w:val="24"/>
          <w:shd w:val="clear" w:color="auto" w:fill="FFFFFF"/>
        </w:rPr>
        <w:t xml:space="preserve">, tj. </w:t>
      </w:r>
      <w:r w:rsidRPr="00C93F78">
        <w:rPr>
          <w:rFonts w:ascii="Times New Roman" w:eastAsia="Calibri" w:hAnsi="Times New Roman" w:cs="Times New Roman"/>
          <w:sz w:val="24"/>
          <w:szCs w:val="24"/>
        </w:rPr>
        <w:t>bez możliwości niepobrania podatku na podstawie właściwej umowy o unikaniu podwójnego opodatkowani, a także bez uwzględniania zwolnień lub stawek wynikających z przepisów szczególnych oraz umów o unikaniu podwójnego opodatkowania</w:t>
      </w:r>
      <w:r w:rsidRPr="00C93F78">
        <w:rPr>
          <w:rFonts w:ascii="Times New Roman" w:eastAsia="Calibri" w:hAnsi="Times New Roman" w:cs="Times New Roman"/>
          <w:sz w:val="24"/>
          <w:szCs w:val="24"/>
          <w:shd w:val="clear" w:color="auto" w:fill="FFFFFF"/>
        </w:rPr>
        <w:t>.</w:t>
      </w:r>
      <w:r w:rsidR="007139A7" w:rsidRPr="00C93F78">
        <w:rPr>
          <w:rFonts w:ascii="Times New Roman" w:eastAsia="Calibri" w:hAnsi="Times New Roman" w:cs="Times New Roman"/>
          <w:sz w:val="24"/>
          <w:szCs w:val="24"/>
          <w:shd w:val="clear" w:color="auto" w:fill="FFFFFF"/>
        </w:rPr>
        <w:t xml:space="preserve"> Przepis ten stanowi odpowiednik art. 41 ust. 12 </w:t>
      </w:r>
      <w:r w:rsidR="00902C62" w:rsidRPr="00C93F78">
        <w:rPr>
          <w:rFonts w:ascii="Times New Roman" w:eastAsia="Calibri" w:hAnsi="Times New Roman" w:cs="Times New Roman"/>
          <w:sz w:val="24"/>
          <w:szCs w:val="24"/>
          <w:shd w:val="clear" w:color="auto" w:fill="FFFFFF"/>
        </w:rPr>
        <w:t>ustawy o CIT</w:t>
      </w:r>
      <w:r w:rsidR="007139A7" w:rsidRPr="00C93F78">
        <w:rPr>
          <w:rFonts w:ascii="Times New Roman" w:eastAsia="Calibri" w:hAnsi="Times New Roman" w:cs="Times New Roman"/>
          <w:sz w:val="24"/>
          <w:szCs w:val="24"/>
          <w:shd w:val="clear" w:color="auto" w:fill="FFFFFF"/>
        </w:rPr>
        <w:t xml:space="preserve">. </w:t>
      </w:r>
    </w:p>
    <w:p w:rsidR="006B6AC9" w:rsidRPr="00C93F78" w:rsidRDefault="006B6AC9" w:rsidP="00C93F78">
      <w:pPr>
        <w:spacing w:after="120" w:line="360" w:lineRule="auto"/>
        <w:jc w:val="both"/>
        <w:rPr>
          <w:rFonts w:ascii="Times New Roman" w:eastAsia="Calibri" w:hAnsi="Times New Roman" w:cs="Times New Roman"/>
          <w:b/>
          <w:sz w:val="24"/>
          <w:szCs w:val="24"/>
          <w:shd w:val="clear" w:color="auto" w:fill="FFFFFF"/>
        </w:rPr>
      </w:pPr>
      <w:r w:rsidRPr="00C93F78">
        <w:rPr>
          <w:rFonts w:ascii="Times New Roman" w:eastAsia="Calibri" w:hAnsi="Times New Roman" w:cs="Times New Roman"/>
          <w:b/>
          <w:sz w:val="24"/>
          <w:szCs w:val="24"/>
          <w:shd w:val="clear" w:color="auto" w:fill="FFFFFF"/>
        </w:rPr>
        <w:t>Dodanie art. 26 ust. 2</w:t>
      </w:r>
      <w:r w:rsidR="007139A7" w:rsidRPr="00C93F78">
        <w:rPr>
          <w:rFonts w:ascii="Times New Roman" w:eastAsia="Calibri" w:hAnsi="Times New Roman" w:cs="Times New Roman"/>
          <w:b/>
          <w:sz w:val="24"/>
          <w:szCs w:val="24"/>
          <w:shd w:val="clear" w:color="auto" w:fill="FFFFFF"/>
        </w:rPr>
        <w:t>f</w:t>
      </w:r>
    </w:p>
    <w:p w:rsidR="006B0AAF" w:rsidRPr="00C93F78" w:rsidRDefault="006B6AC9"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Zgodnie z</w:t>
      </w:r>
      <w:r w:rsidR="00214B8A" w:rsidRPr="00C93F78">
        <w:rPr>
          <w:rFonts w:ascii="Times New Roman" w:eastAsia="Calibri" w:hAnsi="Times New Roman" w:cs="Times New Roman"/>
          <w:sz w:val="24"/>
          <w:szCs w:val="24"/>
          <w:shd w:val="clear" w:color="auto" w:fill="FFFFFF"/>
        </w:rPr>
        <w:t xml:space="preserve"> </w:t>
      </w:r>
      <w:r w:rsidR="006B0AAF" w:rsidRPr="00C93F78">
        <w:rPr>
          <w:rFonts w:ascii="Times New Roman" w:eastAsia="Calibri" w:hAnsi="Times New Roman" w:cs="Times New Roman"/>
          <w:sz w:val="24"/>
          <w:szCs w:val="24"/>
          <w:shd w:val="clear" w:color="auto" w:fill="FFFFFF"/>
        </w:rPr>
        <w:t>ustawy o CIT</w:t>
      </w:r>
      <w:r w:rsidRPr="00C93F78">
        <w:rPr>
          <w:rFonts w:ascii="Times New Roman" w:eastAsia="Calibri" w:hAnsi="Times New Roman" w:cs="Times New Roman"/>
          <w:b/>
          <w:sz w:val="24"/>
          <w:szCs w:val="24"/>
          <w:shd w:val="clear" w:color="auto" w:fill="FFFFFF"/>
        </w:rPr>
        <w:t xml:space="preserve"> </w:t>
      </w:r>
      <w:r w:rsidRPr="00C93F78">
        <w:rPr>
          <w:rFonts w:ascii="Times New Roman" w:eastAsia="Calibri" w:hAnsi="Times New Roman" w:cs="Times New Roman"/>
          <w:sz w:val="24"/>
          <w:szCs w:val="24"/>
          <w:shd w:val="clear" w:color="auto" w:fill="FFFFFF"/>
        </w:rPr>
        <w:t>z dodanym art. 26 ust. 2f</w:t>
      </w:r>
      <w:r w:rsidR="007139A7" w:rsidRPr="00C93F78">
        <w:rPr>
          <w:rFonts w:ascii="Times New Roman" w:eastAsia="Calibri" w:hAnsi="Times New Roman" w:cs="Times New Roman"/>
          <w:sz w:val="24"/>
          <w:szCs w:val="24"/>
          <w:shd w:val="clear" w:color="auto" w:fill="FFFFFF"/>
        </w:rPr>
        <w:t xml:space="preserve"> </w:t>
      </w:r>
      <w:r w:rsidRPr="00C93F78">
        <w:rPr>
          <w:rFonts w:ascii="Times New Roman" w:eastAsia="Calibri" w:hAnsi="Times New Roman" w:cs="Times New Roman"/>
          <w:sz w:val="24"/>
          <w:szCs w:val="24"/>
          <w:shd w:val="clear" w:color="auto" w:fill="FFFFFF"/>
        </w:rPr>
        <w:t>obowiązek przewidziany w ust. 1e stosowany będzie do podmiotów wymienionych w ust. 3d.</w:t>
      </w:r>
    </w:p>
    <w:p w:rsidR="007139A7" w:rsidRPr="00C93F78" w:rsidRDefault="007139A7" w:rsidP="00C93F78">
      <w:pPr>
        <w:spacing w:after="120" w:line="360" w:lineRule="auto"/>
        <w:jc w:val="both"/>
        <w:rPr>
          <w:rFonts w:ascii="Times New Roman" w:eastAsia="Calibri" w:hAnsi="Times New Roman" w:cs="Times New Roman"/>
          <w:b/>
          <w:sz w:val="24"/>
          <w:szCs w:val="24"/>
          <w:shd w:val="clear" w:color="auto" w:fill="FFFFFF"/>
        </w:rPr>
      </w:pPr>
      <w:r w:rsidRPr="00C93F78">
        <w:rPr>
          <w:rFonts w:ascii="Times New Roman" w:eastAsia="Calibri" w:hAnsi="Times New Roman" w:cs="Times New Roman"/>
          <w:b/>
          <w:sz w:val="24"/>
          <w:szCs w:val="24"/>
          <w:shd w:val="clear" w:color="auto" w:fill="FFFFFF"/>
        </w:rPr>
        <w:t>Dodanie art. 26 ust. 2g - 2h</w:t>
      </w:r>
    </w:p>
    <w:p w:rsidR="006B0AAF" w:rsidRPr="00C93F78" w:rsidRDefault="006B0AAF"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Zgodnie z dodanym art. 26 ust. 2</w:t>
      </w:r>
      <w:r w:rsidR="007139A7" w:rsidRPr="00C93F78">
        <w:rPr>
          <w:rFonts w:ascii="Times New Roman" w:eastAsia="Calibri" w:hAnsi="Times New Roman" w:cs="Times New Roman"/>
          <w:sz w:val="24"/>
          <w:szCs w:val="24"/>
          <w:shd w:val="clear" w:color="auto" w:fill="FFFFFF"/>
        </w:rPr>
        <w:t>g</w:t>
      </w:r>
      <w:r w:rsidRPr="00C93F78">
        <w:rPr>
          <w:rFonts w:ascii="Times New Roman" w:eastAsia="Calibri" w:hAnsi="Times New Roman" w:cs="Times New Roman"/>
          <w:sz w:val="24"/>
          <w:szCs w:val="24"/>
          <w:shd w:val="clear" w:color="auto" w:fill="FFFFFF"/>
        </w:rPr>
        <w:t xml:space="preserve">, w przypadku przekroczenia limitu </w:t>
      </w:r>
      <w:r w:rsidRPr="00C93F78">
        <w:rPr>
          <w:rFonts w:ascii="Times New Roman" w:eastAsia="Calibri" w:hAnsi="Times New Roman" w:cs="Times New Roman"/>
          <w:sz w:val="24"/>
          <w:szCs w:val="24"/>
        </w:rPr>
        <w:t>dwóch milionów złotych</w:t>
      </w:r>
      <w:r w:rsidRPr="00C93F78">
        <w:rPr>
          <w:rFonts w:ascii="Times New Roman" w:eastAsia="Calibri" w:hAnsi="Times New Roman" w:cs="Times New Roman"/>
          <w:sz w:val="24"/>
          <w:szCs w:val="24"/>
          <w:shd w:val="clear" w:color="auto" w:fill="FFFFFF"/>
        </w:rPr>
        <w:t xml:space="preserve">, o którym mowa w ust. 1 (zatem biorąc pod uwagę wszystkie wypłaty z tytułów wymienionych w art. </w:t>
      </w:r>
      <w:r w:rsidRPr="00C93F78">
        <w:rPr>
          <w:rFonts w:ascii="Times New Roman" w:eastAsia="Calibri" w:hAnsi="Times New Roman" w:cs="Times New Roman"/>
          <w:sz w:val="24"/>
          <w:szCs w:val="24"/>
        </w:rPr>
        <w:t xml:space="preserve">21 ust. 1 oraz art. 22 ust. 1), możliwe jest stosowanie zwolnień z </w:t>
      </w:r>
      <w:r w:rsidRPr="00C93F78">
        <w:rPr>
          <w:rFonts w:ascii="Times New Roman" w:eastAsia="Calibri" w:hAnsi="Times New Roman" w:cs="Times New Roman"/>
          <w:sz w:val="24"/>
          <w:szCs w:val="24"/>
          <w:shd w:val="clear" w:color="auto" w:fill="FFFFFF"/>
        </w:rPr>
        <w:t xml:space="preserve">art. 21 ust. 3 oraz art. 22 ust. 4 na podstawie obowiązującej opinii o stosowaniu zwolnienia, o której mowa </w:t>
      </w:r>
      <w:r w:rsidRPr="00C93F78">
        <w:rPr>
          <w:rFonts w:ascii="Times New Roman" w:eastAsia="Calibri" w:hAnsi="Times New Roman" w:cs="Times New Roman"/>
          <w:sz w:val="24"/>
          <w:szCs w:val="24"/>
        </w:rPr>
        <w:t xml:space="preserve">w art. 26b. </w:t>
      </w:r>
      <w:r w:rsidR="007139A7" w:rsidRPr="00C93F78">
        <w:rPr>
          <w:rFonts w:ascii="Times New Roman" w:eastAsia="Calibri" w:hAnsi="Times New Roman" w:cs="Times New Roman"/>
          <w:sz w:val="24"/>
          <w:szCs w:val="24"/>
        </w:rPr>
        <w:t>Zgodnie z ust. 2h z</w:t>
      </w:r>
      <w:r w:rsidRPr="00C93F78">
        <w:rPr>
          <w:rFonts w:ascii="Times New Roman" w:eastAsia="Calibri" w:hAnsi="Times New Roman" w:cs="Times New Roman"/>
          <w:sz w:val="24"/>
          <w:szCs w:val="24"/>
        </w:rPr>
        <w:t>wolnienie jednak nie powinno zostać zastosowane, jeżeli z informacji posiadanej przez wypłacającego należności, w tym z dokumentu, w szczególności z faktury lub z umowy, wynika, że podatnik, którego dotyczy opinia o stosowaniu zwolnienia, nie spełnia warunków określonych w art. 21 ust. 3 – 9, art. 22 ust. 4 – 6 lub stan faktyczny nie odpowiada</w:t>
      </w:r>
      <w:r w:rsidR="00A91BC0" w:rsidRPr="00C93F78">
        <w:rPr>
          <w:rFonts w:ascii="Times New Roman" w:eastAsia="Calibri" w:hAnsi="Times New Roman" w:cs="Times New Roman"/>
          <w:sz w:val="24"/>
          <w:szCs w:val="24"/>
        </w:rPr>
        <w:t xml:space="preserve"> stanowi faktycznemu</w:t>
      </w:r>
      <w:r w:rsidRPr="00C93F78">
        <w:rPr>
          <w:rFonts w:ascii="Times New Roman" w:eastAsia="Calibri" w:hAnsi="Times New Roman" w:cs="Times New Roman"/>
          <w:sz w:val="24"/>
          <w:szCs w:val="24"/>
        </w:rPr>
        <w:t xml:space="preserve"> przedstawionemu w tej opinii.</w:t>
      </w:r>
    </w:p>
    <w:p w:rsidR="006B0AAF" w:rsidRPr="00C93F78" w:rsidRDefault="006B0AAF" w:rsidP="00C93F78">
      <w:pPr>
        <w:spacing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 art. 26 ust. 2</w:t>
      </w:r>
      <w:r w:rsidR="007139A7" w:rsidRPr="00C93F78">
        <w:rPr>
          <w:rFonts w:ascii="Times New Roman" w:eastAsia="Calibri" w:hAnsi="Times New Roman" w:cs="Times New Roman"/>
          <w:b/>
          <w:sz w:val="24"/>
          <w:szCs w:val="24"/>
        </w:rPr>
        <w:t>i</w:t>
      </w:r>
      <w:r w:rsidRPr="00C93F78">
        <w:rPr>
          <w:rFonts w:ascii="Times New Roman" w:eastAsia="Calibri" w:hAnsi="Times New Roman" w:cs="Times New Roman"/>
          <w:b/>
          <w:sz w:val="24"/>
          <w:szCs w:val="24"/>
        </w:rPr>
        <w:t xml:space="preserve"> ustawy o CIT</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Celem art. 26 ust. 2</w:t>
      </w:r>
      <w:r w:rsidR="007139A7" w:rsidRPr="00C93F78">
        <w:rPr>
          <w:rFonts w:ascii="Times New Roman" w:eastAsia="Calibri" w:hAnsi="Times New Roman" w:cs="Times New Roman"/>
          <w:sz w:val="24"/>
          <w:szCs w:val="24"/>
        </w:rPr>
        <w:t>i</w:t>
      </w:r>
      <w:r w:rsidRPr="00C93F78">
        <w:rPr>
          <w:rFonts w:ascii="Times New Roman" w:eastAsia="Calibri" w:hAnsi="Times New Roman" w:cs="Times New Roman"/>
          <w:sz w:val="24"/>
          <w:szCs w:val="24"/>
        </w:rPr>
        <w:t xml:space="preserve"> jest uregulowanie sytuacji, w których rok podatkowy wypłacającego jest krótszy bądź dłuższy niż 12 miesięcy. W takim przypadkach limit dwóch milionów złotych, o którym mowa w art. 26 ust. 1 odpowiednio zmniejsza się bądź zwiększa, stosownie długości trwania tego roku podatkowego.</w:t>
      </w:r>
    </w:p>
    <w:p w:rsidR="006B0AAF" w:rsidRPr="00C93F78" w:rsidRDefault="006B0AAF" w:rsidP="00C93F78">
      <w:pPr>
        <w:spacing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 art. 26 ust. 2</w:t>
      </w:r>
      <w:r w:rsidR="007139A7" w:rsidRPr="00C93F78">
        <w:rPr>
          <w:rFonts w:ascii="Times New Roman" w:eastAsia="Calibri" w:hAnsi="Times New Roman" w:cs="Times New Roman"/>
          <w:b/>
          <w:sz w:val="24"/>
          <w:szCs w:val="24"/>
        </w:rPr>
        <w:t>j</w:t>
      </w:r>
      <w:r w:rsidRPr="00C93F78">
        <w:rPr>
          <w:rFonts w:ascii="Times New Roman" w:eastAsia="Calibri" w:hAnsi="Times New Roman" w:cs="Times New Roman"/>
          <w:b/>
          <w:sz w:val="24"/>
          <w:szCs w:val="24"/>
        </w:rPr>
        <w:t xml:space="preserve"> ustawy o CIT</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Uzasadnieniem wprowadze</w:t>
      </w:r>
      <w:r w:rsidR="007139A7" w:rsidRPr="00C93F78">
        <w:rPr>
          <w:rFonts w:ascii="Times New Roman" w:eastAsia="Calibri" w:hAnsi="Times New Roman" w:cs="Times New Roman"/>
          <w:sz w:val="24"/>
          <w:szCs w:val="24"/>
        </w:rPr>
        <w:t>nia ust. 2j</w:t>
      </w:r>
      <w:r w:rsidRPr="00C93F78">
        <w:rPr>
          <w:rFonts w:ascii="Times New Roman" w:eastAsia="Calibri" w:hAnsi="Times New Roman" w:cs="Times New Roman"/>
          <w:sz w:val="24"/>
          <w:szCs w:val="24"/>
        </w:rPr>
        <w:t xml:space="preserve"> jest potrzeba określenia tego w jaki sposób nowe zasady rozliczania podatku u źródła mają zastosowanie w przypadku, gdy wypłacający należności z tytułów </w:t>
      </w:r>
      <w:r w:rsidRPr="00C93F78">
        <w:rPr>
          <w:rFonts w:ascii="Times New Roman" w:eastAsia="Calibri" w:hAnsi="Times New Roman" w:cs="Times New Roman"/>
          <w:sz w:val="24"/>
          <w:szCs w:val="24"/>
          <w:shd w:val="clear" w:color="auto" w:fill="FFFFFF"/>
        </w:rPr>
        <w:t xml:space="preserve">wymienionych w art. </w:t>
      </w:r>
      <w:r w:rsidRPr="00C93F78">
        <w:rPr>
          <w:rFonts w:ascii="Times New Roman" w:eastAsia="Calibri" w:hAnsi="Times New Roman" w:cs="Times New Roman"/>
          <w:sz w:val="24"/>
          <w:szCs w:val="24"/>
        </w:rPr>
        <w:t>21 ust. 1 oraz art. 22 ust. 1 nie posiada roku podatkowego (np. spółka osobowa niebędąca podatnikiem podatku dochodowego od osób prawnych). W takim przypadku należy odwołać się do obowiązującego u tego wypłacającego roku obrotowego, a w razie jego braku, do obowiązującego u tego wypłacającego innego okresu o cechach właściwych dla roku obrotowego, nie dłuższego jednak niż 23 kolejne miesiące.</w:t>
      </w:r>
    </w:p>
    <w:p w:rsidR="006B0AAF" w:rsidRPr="00C93F78" w:rsidRDefault="007139A7" w:rsidP="00C93F78">
      <w:pPr>
        <w:spacing w:after="120" w:line="360" w:lineRule="auto"/>
        <w:jc w:val="both"/>
        <w:rPr>
          <w:rFonts w:ascii="Times New Roman" w:hAnsi="Times New Roman"/>
          <w:b/>
          <w:sz w:val="24"/>
          <w:szCs w:val="24"/>
        </w:rPr>
      </w:pPr>
      <w:r w:rsidRPr="00C93F78">
        <w:rPr>
          <w:rFonts w:ascii="Times New Roman" w:eastAsia="Calibri" w:hAnsi="Times New Roman" w:cs="Times New Roman"/>
          <w:b/>
          <w:sz w:val="24"/>
          <w:szCs w:val="24"/>
        </w:rPr>
        <w:t xml:space="preserve">Dodanie art. 26 ust. </w:t>
      </w:r>
      <w:r w:rsidRPr="00C93F78">
        <w:rPr>
          <w:rFonts w:ascii="Times New Roman" w:hAnsi="Times New Roman"/>
          <w:b/>
          <w:sz w:val="24"/>
          <w:szCs w:val="24"/>
        </w:rPr>
        <w:t>2k</w:t>
      </w:r>
      <w:r w:rsidR="006B0AAF" w:rsidRPr="00C93F78">
        <w:rPr>
          <w:rFonts w:ascii="Times New Roman" w:hAnsi="Times New Roman"/>
          <w:b/>
          <w:sz w:val="24"/>
          <w:szCs w:val="24"/>
        </w:rPr>
        <w:t xml:space="preserve"> </w:t>
      </w:r>
      <w:r w:rsidR="006B0AAF" w:rsidRPr="00C93F78">
        <w:rPr>
          <w:rFonts w:ascii="Times New Roman" w:eastAsia="Calibri" w:hAnsi="Times New Roman" w:cs="Times New Roman"/>
          <w:b/>
          <w:sz w:val="24"/>
          <w:szCs w:val="24"/>
        </w:rPr>
        <w:t>ustawy o CIT</w:t>
      </w:r>
    </w:p>
    <w:p w:rsidR="006B0AAF" w:rsidRPr="00C93F78" w:rsidRDefault="006B0AAF"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Nowelizacja wskazuje na kurs, przy użyciu którego należy przeliczać wypłaty w walucie obcej dla potrzeb ustalania przekroczenia progu </w:t>
      </w:r>
      <w:r w:rsidRPr="00C93F78">
        <w:rPr>
          <w:rFonts w:ascii="Times New Roman" w:eastAsia="Calibri" w:hAnsi="Times New Roman" w:cs="Times New Roman"/>
          <w:sz w:val="24"/>
          <w:szCs w:val="24"/>
        </w:rPr>
        <w:t>dwóch milionów złotych</w:t>
      </w:r>
      <w:r w:rsidRPr="00C93F78">
        <w:rPr>
          <w:rFonts w:ascii="Times New Roman" w:eastAsia="Calibri" w:hAnsi="Times New Roman" w:cs="Times New Roman"/>
          <w:sz w:val="24"/>
          <w:szCs w:val="24"/>
          <w:shd w:val="clear" w:color="auto" w:fill="FFFFFF"/>
        </w:rPr>
        <w:t>, po przekroczeniu którego obowiązują zmienione zasady rozliczania podatku u źródła.</w:t>
      </w:r>
    </w:p>
    <w:p w:rsidR="00EF66D4" w:rsidRPr="00C93F78" w:rsidRDefault="007139A7" w:rsidP="00C93F78">
      <w:pPr>
        <w:spacing w:after="120" w:line="360" w:lineRule="auto"/>
        <w:jc w:val="both"/>
        <w:rPr>
          <w:rFonts w:ascii="Times New Roman" w:eastAsia="Calibri" w:hAnsi="Times New Roman" w:cs="Times New Roman"/>
          <w:b/>
          <w:sz w:val="24"/>
          <w:szCs w:val="24"/>
          <w:shd w:val="clear" w:color="auto" w:fill="FFFFFF"/>
        </w:rPr>
      </w:pPr>
      <w:r w:rsidRPr="00C93F78">
        <w:rPr>
          <w:rFonts w:ascii="Times New Roman" w:eastAsia="Calibri" w:hAnsi="Times New Roman" w:cs="Times New Roman"/>
          <w:b/>
          <w:sz w:val="24"/>
          <w:szCs w:val="24"/>
          <w:shd w:val="clear" w:color="auto" w:fill="FFFFFF"/>
        </w:rPr>
        <w:t>Dodanie art. 26 ust. 2l</w:t>
      </w:r>
      <w:r w:rsidR="006B0AAF" w:rsidRPr="00C93F78">
        <w:rPr>
          <w:rFonts w:ascii="Times New Roman" w:eastAsia="Calibri" w:hAnsi="Times New Roman" w:cs="Times New Roman"/>
          <w:b/>
          <w:sz w:val="24"/>
          <w:szCs w:val="24"/>
          <w:shd w:val="clear" w:color="auto" w:fill="FFFFFF"/>
        </w:rPr>
        <w:t xml:space="preserve"> ustawy o CIT</w:t>
      </w:r>
    </w:p>
    <w:p w:rsidR="006B0AAF"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Dodany przepis wprowadza domniemanie przekroczenia progu dwóch milionów złotych w przypadku braku możliwości ustalenia wysokości wypłaconych należności (motywy wprowadzenia domniemania – zob. uzasadnienie do art. art. 41 ust. </w:t>
      </w:r>
      <w:r w:rsidR="003334EB" w:rsidRPr="00C93F78">
        <w:rPr>
          <w:rFonts w:ascii="Times New Roman" w:eastAsia="Calibri" w:hAnsi="Times New Roman" w:cs="Times New Roman"/>
          <w:sz w:val="24"/>
          <w:szCs w:val="24"/>
        </w:rPr>
        <w:t>1</w:t>
      </w:r>
      <w:r w:rsidRPr="00C93F78">
        <w:rPr>
          <w:rFonts w:ascii="Times New Roman" w:eastAsia="Calibri" w:hAnsi="Times New Roman" w:cs="Times New Roman"/>
          <w:sz w:val="24"/>
          <w:szCs w:val="24"/>
        </w:rPr>
        <w:t>4 ustawy o PIT).</w:t>
      </w:r>
    </w:p>
    <w:p w:rsidR="006B0AAF" w:rsidRPr="00C93F78" w:rsidRDefault="006B0AAF" w:rsidP="00C93F78">
      <w:pPr>
        <w:spacing w:before="120" w:after="120" w:line="360" w:lineRule="auto"/>
        <w:ind w:left="709" w:hanging="709"/>
        <w:jc w:val="both"/>
        <w:rPr>
          <w:rFonts w:ascii="Times New Roman" w:hAnsi="Times New Roman" w:cs="Times New Roman"/>
          <w:sz w:val="24"/>
          <w:szCs w:val="24"/>
          <w:u w:val="single"/>
        </w:rPr>
      </w:pPr>
      <w:r w:rsidRPr="00C93F78">
        <w:rPr>
          <w:rFonts w:ascii="Times New Roman" w:hAnsi="Times New Roman" w:cs="Times New Roman"/>
          <w:sz w:val="24"/>
          <w:szCs w:val="24"/>
          <w:u w:val="single"/>
        </w:rPr>
        <w:t xml:space="preserve">lit. </w:t>
      </w:r>
      <w:r w:rsidR="00912FDD" w:rsidRPr="00C93F78">
        <w:rPr>
          <w:rFonts w:ascii="Times New Roman" w:hAnsi="Times New Roman" w:cs="Times New Roman"/>
          <w:sz w:val="24"/>
          <w:szCs w:val="24"/>
          <w:u w:val="single"/>
        </w:rPr>
        <w:t xml:space="preserve">i </w:t>
      </w:r>
      <w:r w:rsidRPr="00C93F78">
        <w:rPr>
          <w:rFonts w:ascii="Times New Roman" w:hAnsi="Times New Roman" w:cs="Times New Roman"/>
          <w:sz w:val="24"/>
          <w:szCs w:val="24"/>
        </w:rPr>
        <w:t>– zmieniany ust. 3</w:t>
      </w:r>
      <w:r w:rsidRPr="00C93F78">
        <w:rPr>
          <w:rFonts w:ascii="Times New Roman" w:hAnsi="Times New Roman" w:cs="Times New Roman"/>
          <w:sz w:val="24"/>
          <w:szCs w:val="24"/>
          <w:u w:val="single"/>
        </w:rPr>
        <w:t xml:space="preserve"> </w:t>
      </w:r>
    </w:p>
    <w:p w:rsidR="006B0AAF" w:rsidRPr="00C93F78" w:rsidRDefault="006B0AAF"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Projektowany przepis nadaje nowe brzmienie zdaniu pierwszemu w ust. 3 art. 26 i zawiera propozycję zmiany właściwości naczelnika urzędu skarbowego, w przypadku dochodów powstałych w związku z przekazaniem na kapitał zakładowy kwot z innych kapitałów. Zmiana ta jest podyktowana tym, iż w niektórych sytuacjach płatnik podatku nie jest w stanie obiektywnie ustalić kto jest posiadaczem jego akcji na moment opodatkowania dochodów z tego tytułu (np. w przypadku spółek notowanych na giełdzie). Proponuje się, aby w takich sytuacjach wpłata następowała do Naczelnika Urzędu Skarbowego właściwego dla płatnika. Właściwość taka już funkcjonuje w ustawie o PIT.</w:t>
      </w:r>
    </w:p>
    <w:p w:rsidR="006B0AAF" w:rsidRPr="00C93F78" w:rsidRDefault="006B0AAF" w:rsidP="00C93F78">
      <w:pPr>
        <w:spacing w:before="120" w:after="12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Ponadto, zmiana w ust. 3 art. 26 precyzuje termin wpłacenia przez płatnika należnego podatku pobranego według zmienionych zasad (podatek podlega wpłacie w tym samym terminie, w którym zostałby wpłacony w przypadku pobrania go na gruncie dotychczasowych przepisów, tj. z zastosowaniem </w:t>
      </w:r>
      <w:r w:rsidRPr="00C93F78">
        <w:rPr>
          <w:rFonts w:ascii="Times New Roman" w:eastAsia="Calibri" w:hAnsi="Times New Roman" w:cs="Times New Roman"/>
          <w:i/>
          <w:sz w:val="24"/>
          <w:szCs w:val="24"/>
          <w:shd w:val="clear" w:color="auto" w:fill="FFFFFF"/>
        </w:rPr>
        <w:t>relief at source</w:t>
      </w:r>
      <w:r w:rsidRPr="00C93F78">
        <w:rPr>
          <w:rFonts w:ascii="Times New Roman" w:eastAsia="Calibri" w:hAnsi="Times New Roman" w:cs="Times New Roman"/>
          <w:sz w:val="24"/>
          <w:szCs w:val="24"/>
          <w:shd w:val="clear" w:color="auto" w:fill="FFFFFF"/>
        </w:rPr>
        <w:t>).</w:t>
      </w:r>
    </w:p>
    <w:p w:rsidR="006B0AAF" w:rsidRPr="00C93F78" w:rsidRDefault="006B0AAF" w:rsidP="00C93F78">
      <w:pPr>
        <w:spacing w:before="120" w:after="120" w:line="360" w:lineRule="auto"/>
        <w:ind w:left="709" w:hanging="709"/>
        <w:jc w:val="both"/>
        <w:rPr>
          <w:rFonts w:ascii="Times New Roman" w:hAnsi="Times New Roman" w:cs="Times New Roman"/>
          <w:sz w:val="24"/>
          <w:szCs w:val="24"/>
          <w:u w:val="single"/>
        </w:rPr>
      </w:pPr>
      <w:r w:rsidRPr="00C93F78">
        <w:rPr>
          <w:rFonts w:ascii="Times New Roman" w:hAnsi="Times New Roman" w:cs="Times New Roman"/>
          <w:sz w:val="24"/>
          <w:szCs w:val="24"/>
          <w:u w:val="single"/>
        </w:rPr>
        <w:t>lit.</w:t>
      </w:r>
      <w:r w:rsidR="00912FDD" w:rsidRPr="00C93F78">
        <w:rPr>
          <w:rFonts w:ascii="Times New Roman" w:hAnsi="Times New Roman" w:cs="Times New Roman"/>
          <w:sz w:val="24"/>
          <w:szCs w:val="24"/>
          <w:u w:val="single"/>
        </w:rPr>
        <w:t xml:space="preserve">j </w:t>
      </w:r>
      <w:r w:rsidR="007139A7" w:rsidRPr="00C93F78">
        <w:rPr>
          <w:rFonts w:ascii="Times New Roman" w:hAnsi="Times New Roman" w:cs="Times New Roman"/>
          <w:sz w:val="24"/>
          <w:szCs w:val="24"/>
        </w:rPr>
        <w:t>– dodawane ust. 3e -3</w:t>
      </w:r>
      <w:r w:rsidR="003334EB" w:rsidRPr="00C93F78">
        <w:rPr>
          <w:rFonts w:ascii="Times New Roman" w:hAnsi="Times New Roman" w:cs="Times New Roman"/>
          <w:sz w:val="24"/>
          <w:szCs w:val="24"/>
        </w:rPr>
        <w:t>g</w:t>
      </w:r>
      <w:r w:rsidRPr="00C93F78">
        <w:rPr>
          <w:rFonts w:ascii="Times New Roman" w:hAnsi="Times New Roman" w:cs="Times New Roman"/>
          <w:sz w:val="24"/>
          <w:szCs w:val="24"/>
        </w:rPr>
        <w:t xml:space="preserve"> </w:t>
      </w:r>
    </w:p>
    <w:p w:rsidR="006B0AAF" w:rsidRPr="00C93F78" w:rsidRDefault="006B0AAF" w:rsidP="00C93F78">
      <w:pPr>
        <w:spacing w:before="120"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 xml:space="preserve"> Dodanie art. 26 ust. 3e oraz 3f ustawy o CIT</w:t>
      </w:r>
    </w:p>
    <w:p w:rsidR="006B0AAF"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Dodane przepisy mają charakter analogiczny do przepisów art. 42 ust. 9 oraz ust. </w:t>
      </w:r>
      <w:r w:rsidR="003334EB" w:rsidRPr="00C93F78">
        <w:rPr>
          <w:rFonts w:ascii="Times New Roman" w:eastAsia="Calibri" w:hAnsi="Times New Roman" w:cs="Times New Roman"/>
          <w:sz w:val="24"/>
          <w:szCs w:val="24"/>
        </w:rPr>
        <w:t xml:space="preserve">10 </w:t>
      </w:r>
      <w:r w:rsidRPr="00C93F78">
        <w:rPr>
          <w:rFonts w:ascii="Times New Roman" w:eastAsia="Calibri" w:hAnsi="Times New Roman" w:cs="Times New Roman"/>
          <w:sz w:val="24"/>
          <w:szCs w:val="24"/>
        </w:rPr>
        <w:t>ustawy o PIT (zob. uzasadnienie do ustawy o PIT).</w:t>
      </w:r>
    </w:p>
    <w:p w:rsidR="006B0AAF" w:rsidRPr="00C93F78" w:rsidRDefault="006B0AAF" w:rsidP="00C93F78">
      <w:pPr>
        <w:spacing w:before="120" w:after="120" w:line="360" w:lineRule="auto"/>
        <w:jc w:val="both"/>
        <w:rPr>
          <w:rFonts w:ascii="Times New Roman" w:hAnsi="Times New Roman"/>
          <w:b/>
          <w:sz w:val="24"/>
          <w:szCs w:val="24"/>
        </w:rPr>
      </w:pPr>
      <w:r w:rsidRPr="00C93F78">
        <w:rPr>
          <w:rFonts w:ascii="Times New Roman" w:eastAsia="Calibri" w:hAnsi="Times New Roman" w:cs="Times New Roman"/>
          <w:b/>
          <w:sz w:val="24"/>
          <w:szCs w:val="24"/>
        </w:rPr>
        <w:t xml:space="preserve">Dodanie art. 26 ust. </w:t>
      </w:r>
      <w:r w:rsidRPr="00C93F78">
        <w:rPr>
          <w:rFonts w:ascii="Times New Roman" w:hAnsi="Times New Roman"/>
          <w:b/>
          <w:sz w:val="24"/>
          <w:szCs w:val="24"/>
        </w:rPr>
        <w:t xml:space="preserve">3g </w:t>
      </w:r>
      <w:r w:rsidRPr="00C93F78">
        <w:rPr>
          <w:rFonts w:ascii="Times New Roman" w:eastAsia="Calibri" w:hAnsi="Times New Roman" w:cs="Times New Roman"/>
          <w:b/>
          <w:sz w:val="24"/>
          <w:szCs w:val="24"/>
        </w:rPr>
        <w:t>ustawy o CIT</w:t>
      </w:r>
    </w:p>
    <w:p w:rsidR="006B0AAF" w:rsidRPr="00C93F78" w:rsidRDefault="006B0AAF" w:rsidP="00C93F78">
      <w:pPr>
        <w:spacing w:before="120" w:after="120" w:line="360" w:lineRule="auto"/>
        <w:jc w:val="both"/>
        <w:rPr>
          <w:rFonts w:ascii="Times New Roman" w:hAnsi="Times New Roman" w:cs="Times New Roman"/>
          <w:b/>
          <w:color w:val="FF0000"/>
          <w:sz w:val="24"/>
          <w:szCs w:val="24"/>
        </w:rPr>
      </w:pPr>
      <w:r w:rsidRPr="00C93F78">
        <w:rPr>
          <w:rFonts w:ascii="Times New Roman" w:eastAsia="Calibri" w:hAnsi="Times New Roman" w:cs="Times New Roman"/>
          <w:sz w:val="24"/>
          <w:szCs w:val="24"/>
        </w:rPr>
        <w:t>Zgodnie z wprowadzonym przepisem, do wypłat, od których nie pobrano podatku u źródła w związku z obowiązywaniem ust. 1a, stosuje się odpowiednio wymóg składania zawiadomień przewidziany dla wypłat, o których mowa w ust. 1d (a więc dla związanych z położonym na terenie Rzeczypospolitej Polskiej zagranicznym zakładem podatnika).</w:t>
      </w:r>
    </w:p>
    <w:p w:rsidR="006B0AAF" w:rsidRPr="00C93F78" w:rsidRDefault="006B0AAF" w:rsidP="00C93F78">
      <w:pPr>
        <w:spacing w:before="120" w:after="120" w:line="360" w:lineRule="auto"/>
        <w:ind w:left="709" w:hanging="709"/>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912FDD" w:rsidRPr="00C93F78">
        <w:rPr>
          <w:rFonts w:ascii="Times New Roman" w:hAnsi="Times New Roman" w:cs="Times New Roman"/>
          <w:sz w:val="24"/>
          <w:szCs w:val="24"/>
          <w:u w:val="single"/>
        </w:rPr>
        <w:t xml:space="preserve">k </w:t>
      </w:r>
      <w:r w:rsidRPr="00C93F78">
        <w:rPr>
          <w:rFonts w:ascii="Times New Roman" w:hAnsi="Times New Roman" w:cs="Times New Roman"/>
          <w:sz w:val="24"/>
          <w:szCs w:val="24"/>
        </w:rPr>
        <w:t xml:space="preserve">– zmieniany ust. 7 </w:t>
      </w:r>
    </w:p>
    <w:p w:rsidR="006B0AAF" w:rsidRPr="00C93F78" w:rsidRDefault="006B0AAF" w:rsidP="00C93F78">
      <w:pPr>
        <w:spacing w:before="120" w:after="120" w:line="360" w:lineRule="auto"/>
        <w:jc w:val="both"/>
        <w:rPr>
          <w:rFonts w:ascii="Times New Roman" w:hAnsi="Times New Roman" w:cs="Times New Roman"/>
          <w:sz w:val="24"/>
          <w:szCs w:val="24"/>
          <w:u w:val="single"/>
        </w:rPr>
      </w:pPr>
      <w:r w:rsidRPr="00C93F78">
        <w:rPr>
          <w:rFonts w:ascii="Times New Roman" w:eastAsia="Calibri" w:hAnsi="Times New Roman" w:cs="Times New Roman"/>
          <w:sz w:val="24"/>
          <w:szCs w:val="24"/>
          <w:shd w:val="clear" w:color="auto" w:fill="FFFFFF"/>
        </w:rPr>
        <w:t xml:space="preserve">Zmiana ma na celu doprecyzowanie, iż stosowanie reguły z ust. 7 dotyczy także przypadków regulowanych nowowprowadzonymi przepisami. </w:t>
      </w:r>
    </w:p>
    <w:p w:rsidR="006B0AAF" w:rsidRPr="00C93F78" w:rsidRDefault="006B0AAF" w:rsidP="00C93F78">
      <w:pPr>
        <w:spacing w:before="120" w:after="120" w:line="360" w:lineRule="auto"/>
        <w:ind w:left="709" w:hanging="709"/>
        <w:jc w:val="both"/>
        <w:rPr>
          <w:rFonts w:ascii="Times New Roman" w:hAnsi="Times New Roman" w:cs="Times New Roman"/>
          <w:sz w:val="24"/>
          <w:szCs w:val="24"/>
        </w:rPr>
      </w:pPr>
      <w:r w:rsidRPr="00C93F78">
        <w:rPr>
          <w:rFonts w:ascii="Times New Roman" w:hAnsi="Times New Roman" w:cs="Times New Roman"/>
          <w:sz w:val="24"/>
          <w:szCs w:val="24"/>
          <w:u w:val="single"/>
        </w:rPr>
        <w:t xml:space="preserve">lit. </w:t>
      </w:r>
      <w:r w:rsidR="00912FDD" w:rsidRPr="00C93F78">
        <w:rPr>
          <w:rFonts w:ascii="Times New Roman" w:hAnsi="Times New Roman" w:cs="Times New Roman"/>
          <w:sz w:val="24"/>
          <w:szCs w:val="24"/>
          <w:u w:val="single"/>
        </w:rPr>
        <w:t xml:space="preserve">l </w:t>
      </w:r>
      <w:r w:rsidRPr="00C93F78">
        <w:rPr>
          <w:rFonts w:ascii="Times New Roman" w:hAnsi="Times New Roman" w:cs="Times New Roman"/>
          <w:sz w:val="24"/>
          <w:szCs w:val="24"/>
        </w:rPr>
        <w:t xml:space="preserve">– dodawane ust. 7a – </w:t>
      </w:r>
      <w:r w:rsidR="00690573" w:rsidRPr="00C93F78">
        <w:rPr>
          <w:rFonts w:ascii="Times New Roman" w:hAnsi="Times New Roman" w:cs="Times New Roman"/>
          <w:sz w:val="24"/>
          <w:szCs w:val="24"/>
        </w:rPr>
        <w:t xml:space="preserve">7l </w:t>
      </w:r>
    </w:p>
    <w:p w:rsidR="007174BD" w:rsidRPr="00C93F78" w:rsidRDefault="006B0AAF" w:rsidP="00C93F78">
      <w:pPr>
        <w:spacing w:before="240"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 art. 26 ust. 7</w:t>
      </w:r>
      <w:r w:rsidR="003334EB" w:rsidRPr="00C93F78">
        <w:rPr>
          <w:rFonts w:ascii="Times New Roman" w:eastAsia="Calibri" w:hAnsi="Times New Roman" w:cs="Times New Roman"/>
          <w:b/>
          <w:sz w:val="24"/>
          <w:szCs w:val="24"/>
        </w:rPr>
        <w:t>a</w:t>
      </w:r>
      <w:r w:rsidRPr="00C93F78">
        <w:rPr>
          <w:rFonts w:ascii="Times New Roman" w:eastAsia="Calibri" w:hAnsi="Times New Roman" w:cs="Times New Roman"/>
          <w:b/>
          <w:sz w:val="24"/>
          <w:szCs w:val="24"/>
        </w:rPr>
        <w:t>-</w:t>
      </w:r>
      <w:r w:rsidR="00473A12" w:rsidRPr="00C93F78">
        <w:rPr>
          <w:rFonts w:ascii="Times New Roman" w:eastAsia="Calibri" w:hAnsi="Times New Roman" w:cs="Times New Roman"/>
          <w:b/>
          <w:sz w:val="24"/>
          <w:szCs w:val="24"/>
        </w:rPr>
        <w:t xml:space="preserve">7i </w:t>
      </w:r>
      <w:r w:rsidRPr="00C93F78">
        <w:rPr>
          <w:rFonts w:ascii="Times New Roman" w:eastAsia="Calibri" w:hAnsi="Times New Roman" w:cs="Times New Roman"/>
          <w:b/>
          <w:sz w:val="24"/>
          <w:szCs w:val="24"/>
        </w:rPr>
        <w:t>ustawy o CIT</w:t>
      </w:r>
    </w:p>
    <w:p w:rsidR="00473A12" w:rsidRPr="00C93F78" w:rsidRDefault="00473A12" w:rsidP="00C93F78">
      <w:pPr>
        <w:spacing w:before="240" w:after="120" w:line="360" w:lineRule="auto"/>
        <w:jc w:val="both"/>
        <w:rPr>
          <w:rFonts w:ascii="Times New Roman" w:hAnsi="Times New Roman" w:cs="Times New Roman"/>
          <w:sz w:val="24"/>
          <w:szCs w:val="24"/>
        </w:rPr>
      </w:pPr>
      <w:r w:rsidRPr="00C93F78">
        <w:rPr>
          <w:rFonts w:ascii="Times New Roman" w:eastAsia="Calibri" w:hAnsi="Times New Roman" w:cs="Times New Roman"/>
          <w:sz w:val="24"/>
          <w:szCs w:val="24"/>
        </w:rPr>
        <w:t xml:space="preserve">Dodawane do art. 26 ustawy o CIT ustępy 7a-7i stanowią odpowiednik art. 41 ust. 15-23 ustawy o PIT. Przepisy te regulują uproszczenie, tj. możliwość stosowania mechanizmu </w:t>
      </w:r>
      <w:r w:rsidRPr="00C93F78">
        <w:rPr>
          <w:rFonts w:ascii="Times New Roman" w:eastAsia="Calibri" w:hAnsi="Times New Roman" w:cs="Times New Roman"/>
          <w:i/>
          <w:sz w:val="24"/>
          <w:szCs w:val="24"/>
        </w:rPr>
        <w:t>relief at source</w:t>
      </w:r>
      <w:r w:rsidRPr="00C93F78">
        <w:rPr>
          <w:rFonts w:ascii="Times New Roman" w:eastAsia="Calibri" w:hAnsi="Times New Roman" w:cs="Times New Roman"/>
          <w:sz w:val="24"/>
          <w:szCs w:val="24"/>
        </w:rPr>
        <w:t xml:space="preserve"> w oparciu o złożone przez płatnika oświadczenie. Szczegółowy opis tych przepisów przedstawiony został w uzasadnieniu do ustawy o PIT</w:t>
      </w:r>
      <w:r w:rsidRPr="00C93F78">
        <w:rPr>
          <w:rFonts w:ascii="Times New Roman" w:hAnsi="Times New Roman" w:cs="Times New Roman"/>
          <w:sz w:val="24"/>
          <w:szCs w:val="24"/>
        </w:rPr>
        <w:t xml:space="preserve">. </w:t>
      </w:r>
    </w:p>
    <w:p w:rsidR="00473A12" w:rsidRPr="00C93F78" w:rsidRDefault="00473A12" w:rsidP="00C93F78">
      <w:pPr>
        <w:spacing w:before="240"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 art. 26 ust. 7j ustawy o CIT</w:t>
      </w:r>
    </w:p>
    <w:p w:rsidR="00473A12" w:rsidRPr="00C93F78" w:rsidRDefault="00473A12" w:rsidP="00C93F78">
      <w:pPr>
        <w:spacing w:before="240" w:after="120" w:line="360" w:lineRule="auto"/>
        <w:jc w:val="both"/>
        <w:rPr>
          <w:rFonts w:ascii="Times New Roman" w:hAnsi="Times New Roman" w:cs="Times New Roman"/>
          <w:sz w:val="24"/>
          <w:szCs w:val="24"/>
        </w:rPr>
      </w:pPr>
      <w:r w:rsidRPr="00C93F78">
        <w:rPr>
          <w:rFonts w:ascii="Times New Roman" w:eastAsia="Calibri" w:hAnsi="Times New Roman" w:cs="Times New Roman"/>
          <w:sz w:val="24"/>
          <w:szCs w:val="24"/>
        </w:rPr>
        <w:t>Dodany przepis stanowi odpowiednik art. 41 ust. 28 ustawy o PIT. Opis tego przepisu przedstawiony został w uzasadnieniu do ustawy o PIT</w:t>
      </w:r>
      <w:r w:rsidRPr="00C93F78">
        <w:rPr>
          <w:rFonts w:ascii="Times New Roman" w:hAnsi="Times New Roman" w:cs="Times New Roman"/>
          <w:sz w:val="24"/>
          <w:szCs w:val="24"/>
        </w:rPr>
        <w:t>.</w:t>
      </w:r>
    </w:p>
    <w:p w:rsidR="00473A12" w:rsidRPr="00C93F78" w:rsidRDefault="00473A12" w:rsidP="00C93F78">
      <w:pPr>
        <w:spacing w:before="240"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 art. 26 ust. 7k ustawy o CIT</w:t>
      </w:r>
    </w:p>
    <w:p w:rsidR="00473A12" w:rsidRPr="00C93F78" w:rsidRDefault="00473A12" w:rsidP="00C93F78">
      <w:pPr>
        <w:spacing w:before="240" w:after="120" w:line="360" w:lineRule="auto"/>
        <w:jc w:val="both"/>
        <w:rPr>
          <w:rFonts w:ascii="Times New Roman" w:hAnsi="Times New Roman" w:cs="Times New Roman"/>
          <w:sz w:val="24"/>
          <w:szCs w:val="24"/>
        </w:rPr>
      </w:pPr>
      <w:r w:rsidRPr="00C93F78">
        <w:rPr>
          <w:rFonts w:ascii="Times New Roman" w:eastAsia="Calibri" w:hAnsi="Times New Roman" w:cs="Times New Roman"/>
          <w:sz w:val="24"/>
          <w:szCs w:val="24"/>
        </w:rPr>
        <w:t>Dodany przepis stanowi odpowiednik art. 41 ust. 24 ustawy o PIT. Opis tego przepisu przedstawiony został w uzasadnieniu do ustawy o PIT</w:t>
      </w:r>
      <w:r w:rsidRPr="00C93F78">
        <w:rPr>
          <w:rFonts w:ascii="Times New Roman" w:hAnsi="Times New Roman" w:cs="Times New Roman"/>
          <w:sz w:val="24"/>
          <w:szCs w:val="24"/>
        </w:rPr>
        <w:t>.</w:t>
      </w:r>
    </w:p>
    <w:p w:rsidR="00473A12" w:rsidRPr="00C93F78" w:rsidRDefault="00473A12" w:rsidP="00C93F78">
      <w:pPr>
        <w:spacing w:before="240"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Dodanie art. 26 ust. 7l ustawy o CIT</w:t>
      </w:r>
    </w:p>
    <w:p w:rsidR="00473A12" w:rsidRPr="00C93F78" w:rsidRDefault="00473A12" w:rsidP="00C93F78">
      <w:pPr>
        <w:spacing w:before="240" w:after="120" w:line="360" w:lineRule="auto"/>
        <w:jc w:val="both"/>
        <w:rPr>
          <w:rFonts w:ascii="Times New Roman" w:hAnsi="Times New Roman" w:cs="Times New Roman"/>
          <w:sz w:val="24"/>
          <w:szCs w:val="24"/>
        </w:rPr>
      </w:pPr>
      <w:r w:rsidRPr="00C93F78">
        <w:rPr>
          <w:rFonts w:ascii="Times New Roman" w:eastAsia="Calibri" w:hAnsi="Times New Roman" w:cs="Times New Roman"/>
          <w:sz w:val="24"/>
          <w:szCs w:val="24"/>
        </w:rPr>
        <w:t>Dodany przepis stanowi odpowiednik art. 41 ust. 29 ustawy o PIT. Opis tego przepisu przedstawiony został w uzasadnieniu do ustawy o PIT</w:t>
      </w:r>
      <w:r w:rsidRPr="00C93F78">
        <w:rPr>
          <w:rFonts w:ascii="Times New Roman" w:hAnsi="Times New Roman" w:cs="Times New Roman"/>
          <w:sz w:val="24"/>
          <w:szCs w:val="24"/>
        </w:rPr>
        <w:t>.</w:t>
      </w:r>
    </w:p>
    <w:p w:rsidR="007174BD" w:rsidRPr="00C93F78" w:rsidRDefault="007174BD" w:rsidP="00C93F78">
      <w:pPr>
        <w:pStyle w:val="Akapitzlist"/>
        <w:numPr>
          <w:ilvl w:val="0"/>
          <w:numId w:val="5"/>
        </w:numPr>
        <w:spacing w:before="240" w:after="120" w:line="360" w:lineRule="auto"/>
        <w:jc w:val="both"/>
        <w:rPr>
          <w:rFonts w:ascii="Times New Roman" w:eastAsia="Calibri" w:hAnsi="Times New Roman" w:cs="Times New Roman"/>
          <w:b/>
          <w:sz w:val="24"/>
          <w:szCs w:val="24"/>
        </w:rPr>
      </w:pPr>
      <w:r w:rsidRPr="00C93F78">
        <w:rPr>
          <w:rFonts w:ascii="Times New Roman" w:hAnsi="Times New Roman" w:cs="Times New Roman"/>
          <w:sz w:val="24"/>
          <w:szCs w:val="24"/>
        </w:rPr>
        <w:t xml:space="preserve">pkt </w:t>
      </w:r>
      <w:r w:rsidR="008B53F9" w:rsidRPr="00C93F78">
        <w:rPr>
          <w:rFonts w:ascii="Times New Roman" w:hAnsi="Times New Roman" w:cs="Times New Roman"/>
          <w:sz w:val="24"/>
          <w:szCs w:val="24"/>
        </w:rPr>
        <w:t xml:space="preserve">33 </w:t>
      </w:r>
      <w:r w:rsidRPr="00C93F78">
        <w:rPr>
          <w:rFonts w:ascii="Times New Roman" w:hAnsi="Times New Roman" w:cs="Times New Roman"/>
          <w:sz w:val="24"/>
          <w:szCs w:val="24"/>
        </w:rPr>
        <w:t xml:space="preserve">- </w:t>
      </w:r>
      <w:r w:rsidR="006B0AAF" w:rsidRPr="00C93F78">
        <w:rPr>
          <w:rFonts w:ascii="Times New Roman" w:hAnsi="Times New Roman" w:cs="Times New Roman"/>
          <w:sz w:val="24"/>
          <w:szCs w:val="24"/>
        </w:rPr>
        <w:t>dodawany art. 26b</w:t>
      </w:r>
      <w:r w:rsidR="009113E8" w:rsidRPr="00C93F78">
        <w:rPr>
          <w:rFonts w:ascii="Times New Roman" w:hAnsi="Times New Roman" w:cs="Times New Roman"/>
          <w:sz w:val="24"/>
          <w:szCs w:val="24"/>
        </w:rPr>
        <w:t xml:space="preserve"> ustawy o CIT.</w:t>
      </w:r>
    </w:p>
    <w:p w:rsidR="006B0AAF" w:rsidRPr="00C93F78" w:rsidRDefault="006B0AAF" w:rsidP="00C93F78">
      <w:pPr>
        <w:spacing w:after="120" w:line="360" w:lineRule="auto"/>
        <w:ind w:firstLine="708"/>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rPr>
        <w:t xml:space="preserve">W celu umożliwienia podatnikom korzystania ze zwolnień przewidzianych w art. </w:t>
      </w:r>
      <w:r w:rsidRPr="00C93F78">
        <w:rPr>
          <w:rFonts w:ascii="Times New Roman" w:eastAsia="Calibri" w:hAnsi="Times New Roman" w:cs="Times New Roman"/>
          <w:sz w:val="24"/>
          <w:szCs w:val="24"/>
          <w:shd w:val="clear" w:color="auto" w:fill="FFFFFF"/>
        </w:rPr>
        <w:t>21 ust. 3 oraz art. 22 ust. 4 ustawy o CIT po przekroczeniu kwoty, o której mowa w art. 26 ust. 1 tej ustawy, przewiduje się możliwość uzyskania opinii o stosowaniu zwolnienia, po spełnieniu ustawowych wymogów i złożeniu wniosku do organu podatkowego (art. 26b ust. 1 ustawy o CIT).</w:t>
      </w:r>
    </w:p>
    <w:p w:rsidR="006B0AAF" w:rsidRPr="00C93F78" w:rsidRDefault="006B0AAF" w:rsidP="00C93F78">
      <w:pPr>
        <w:spacing w:after="120" w:line="360" w:lineRule="auto"/>
        <w:ind w:firstLine="708"/>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Opinia o stosowaniu zwolnienia powodować będzie prawo do niepobierania podatku u źródła jedynie w zakresie dochodów korzystających ze zwolnień przewidzianych w art. 21 ust. 3 oraz w art. 22 ust. 4 ustawy o CIT. Oznacza to, że w sytuacji gdy płatnik dysponować będzie tą opinią w stosunku do danego podatnika, ale wypłacać będzie na jego rzecz należności, które nie są objęte ww. zwolnieniami (np. płatnik wypłacać będzie należności za usługi niematerialne, które w świetle umowy o unikaniu podwójnego opodatkowania traktowane będą jako zyski przedsiębiorstwa) i nastąpiło przekroczenie kwoty, o której mowa w art. 26 ust. 1 ustawy o CIT (a więc z uwzględnieniem kwot wypłaconych z tytułów, w stosunku do których została wydana opinia o stosowaniu zwolnienia), płatnik zasadniczo zobowiązany będzie do pobrania podatku u źródła od takich należności, tj. zastosowanie znajdzie w tym przypadku reguła przewidziana w art. 26 ust. 2e ustawy o CIT. Ewentualnie, płatnik zdecydować może się na skorzystanie z uproszczenia zawartego w projektowanym art. 26 ust. 7</w:t>
      </w:r>
      <w:r w:rsidR="008A3EA6" w:rsidRPr="00C93F78">
        <w:rPr>
          <w:rFonts w:ascii="Times New Roman" w:eastAsia="Calibri" w:hAnsi="Times New Roman" w:cs="Times New Roman"/>
          <w:sz w:val="24"/>
          <w:szCs w:val="24"/>
          <w:shd w:val="clear" w:color="auto" w:fill="FFFFFF"/>
        </w:rPr>
        <w:t>a</w:t>
      </w:r>
      <w:r w:rsidRPr="00C93F78">
        <w:rPr>
          <w:rFonts w:ascii="Times New Roman" w:eastAsia="Calibri" w:hAnsi="Times New Roman" w:cs="Times New Roman"/>
          <w:sz w:val="24"/>
          <w:szCs w:val="24"/>
          <w:shd w:val="clear" w:color="auto" w:fill="FFFFFF"/>
        </w:rPr>
        <w:t xml:space="preserve"> </w:t>
      </w:r>
      <w:r w:rsidR="00473A12" w:rsidRPr="00C93F78">
        <w:rPr>
          <w:rFonts w:ascii="Times New Roman" w:eastAsia="Calibri" w:hAnsi="Times New Roman" w:cs="Times New Roman"/>
          <w:sz w:val="24"/>
          <w:szCs w:val="24"/>
          <w:shd w:val="clear" w:color="auto" w:fill="FFFFFF"/>
        </w:rPr>
        <w:t xml:space="preserve">lub 7g </w:t>
      </w:r>
      <w:r w:rsidRPr="00C93F78">
        <w:rPr>
          <w:rFonts w:ascii="Times New Roman" w:eastAsia="Calibri" w:hAnsi="Times New Roman" w:cs="Times New Roman"/>
          <w:sz w:val="24"/>
          <w:szCs w:val="24"/>
          <w:shd w:val="clear" w:color="auto" w:fill="FFFFFF"/>
        </w:rPr>
        <w:t>ustawy o CIT, tj. złożenia do organu podatkowego stosownych oświadczeń.</w:t>
      </w:r>
    </w:p>
    <w:p w:rsidR="00667265" w:rsidRPr="00C93F78" w:rsidRDefault="00667265" w:rsidP="00C93F78">
      <w:pPr>
        <w:spacing w:after="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Art. 26b ust. 2 określa sposób składania </w:t>
      </w:r>
      <w:r w:rsidR="00444628" w:rsidRPr="00C93F78">
        <w:rPr>
          <w:rFonts w:ascii="Times New Roman" w:eastAsia="Calibri" w:hAnsi="Times New Roman" w:cs="Times New Roman"/>
          <w:sz w:val="24"/>
          <w:szCs w:val="24"/>
        </w:rPr>
        <w:t xml:space="preserve">wniosku o wydanie </w:t>
      </w:r>
      <w:r w:rsidRPr="00C93F78">
        <w:rPr>
          <w:rFonts w:ascii="Times New Roman" w:eastAsia="Calibri" w:hAnsi="Times New Roman" w:cs="Times New Roman"/>
          <w:sz w:val="24"/>
          <w:szCs w:val="24"/>
        </w:rPr>
        <w:t xml:space="preserve">opinii o stosowaniu zwolnienia. Zgodnie z projektowaną regulacją, wniosek o wydanie tej opinii składa się w postaci elektronicznej odpowiadającej strukturze logicznej dostępnej w Biuletynie Informacji Publicznej na stronie podmiotowej urzędu obsługującego ministra właściwego do spraw finansów publicznych. W ten sam sposób będzie następowało uzupełnienie wniosku o wydanie opinii w zakresie przedstawienia organowi podatkowemu dalszych faktów oraz przekazania uzupełniającej dokumentacji. Jednocześnie ust. </w:t>
      </w:r>
      <w:r w:rsidR="00A13707" w:rsidRPr="00C93F78">
        <w:rPr>
          <w:rFonts w:ascii="Times New Roman" w:eastAsia="Calibri" w:hAnsi="Times New Roman" w:cs="Times New Roman"/>
          <w:sz w:val="24"/>
          <w:szCs w:val="24"/>
        </w:rPr>
        <w:t xml:space="preserve">3 </w:t>
      </w:r>
      <w:r w:rsidRPr="00C93F78">
        <w:rPr>
          <w:rFonts w:ascii="Times New Roman" w:eastAsia="Calibri" w:hAnsi="Times New Roman" w:cs="Times New Roman"/>
          <w:sz w:val="24"/>
          <w:szCs w:val="24"/>
        </w:rPr>
        <w:t xml:space="preserve">art. 26b zawiera delegację dla ministra właściwego do spraw finansów publicznych do określenia, w drodze rozporządzenia, sposobu przesyłania wniosku o </w:t>
      </w:r>
      <w:r w:rsidR="00B136FE" w:rsidRPr="00C93F78">
        <w:rPr>
          <w:rFonts w:ascii="Times New Roman" w:eastAsia="Calibri" w:hAnsi="Times New Roman" w:cs="Times New Roman"/>
          <w:sz w:val="24"/>
          <w:szCs w:val="24"/>
        </w:rPr>
        <w:t>wydanie opinii</w:t>
      </w:r>
      <w:r w:rsidRPr="00C93F78">
        <w:rPr>
          <w:rFonts w:ascii="Times New Roman" w:eastAsia="Calibri" w:hAnsi="Times New Roman" w:cs="Times New Roman"/>
          <w:sz w:val="24"/>
          <w:szCs w:val="24"/>
        </w:rPr>
        <w:t xml:space="preserve"> za pomocą środków komunikacji elektronicznej.</w:t>
      </w:r>
    </w:p>
    <w:p w:rsidR="006B0AAF" w:rsidRPr="00C93F78" w:rsidRDefault="006B0AAF" w:rsidP="00C93F78">
      <w:pPr>
        <w:spacing w:after="120" w:line="360" w:lineRule="auto"/>
        <w:ind w:firstLine="708"/>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W przypadkach określonych w art. 26b ust. </w:t>
      </w:r>
      <w:r w:rsidR="00A13707" w:rsidRPr="00C93F78">
        <w:rPr>
          <w:rFonts w:ascii="Times New Roman" w:eastAsia="Calibri" w:hAnsi="Times New Roman" w:cs="Times New Roman"/>
          <w:sz w:val="24"/>
          <w:szCs w:val="24"/>
          <w:shd w:val="clear" w:color="auto" w:fill="FFFFFF"/>
        </w:rPr>
        <w:t xml:space="preserve">4 </w:t>
      </w:r>
      <w:r w:rsidRPr="00C93F78">
        <w:rPr>
          <w:rFonts w:ascii="Times New Roman" w:eastAsia="Calibri" w:hAnsi="Times New Roman" w:cs="Times New Roman"/>
          <w:sz w:val="24"/>
          <w:szCs w:val="24"/>
        </w:rPr>
        <w:t xml:space="preserve">organ podatkowy </w:t>
      </w:r>
      <w:r w:rsidRPr="00C93F78">
        <w:rPr>
          <w:rFonts w:ascii="Times New Roman" w:eastAsia="Calibri" w:hAnsi="Times New Roman" w:cs="Times New Roman"/>
          <w:sz w:val="24"/>
          <w:szCs w:val="24"/>
          <w:shd w:val="clear" w:color="auto" w:fill="FFFFFF"/>
        </w:rPr>
        <w:t>odmówi wydania opinii o stosowaniu zwolnienia. Do przesłanek odmowy wydania opinii należą (wystarczy spełnienie jednej z przesłanek, aby organ podatkowy odmówił wydania opinii o stosowaniu zwolnienia):</w:t>
      </w:r>
    </w:p>
    <w:p w:rsidR="006B0AAF" w:rsidRPr="00C93F78" w:rsidRDefault="006B0AAF" w:rsidP="00C93F78">
      <w:pPr>
        <w:numPr>
          <w:ilvl w:val="0"/>
          <w:numId w:val="14"/>
        </w:numPr>
        <w:spacing w:after="120" w:line="360" w:lineRule="auto"/>
        <w:ind w:left="426" w:hanging="426"/>
        <w:contextualSpacing/>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niespełnienie przez podatnika warunków określonych dla zwolnień przewidzianych</w:t>
      </w:r>
      <w:r w:rsidRPr="00C93F78">
        <w:rPr>
          <w:rFonts w:ascii="Times New Roman" w:eastAsia="Calibri" w:hAnsi="Times New Roman" w:cs="Times New Roman"/>
          <w:sz w:val="24"/>
          <w:szCs w:val="24"/>
          <w:shd w:val="clear" w:color="auto" w:fill="FFFFFF"/>
        </w:rPr>
        <w:br/>
        <w:t>w art. 21 ust. 3 oraz w art. 22 ust. 4 ustawy, a więc warunków określonych w art. 21 ust. 3 – 9 lub w art. 22 ust. 4 – 6 ustawy o CIT. Wprowadzenie tej przesłanki ma charakter oczywisty – opinia o stosowaniu zwolnienia nie może zostać wydana w przypadku stwierdzenia braku podstaw do przyznania zwolnienia z podatku.</w:t>
      </w:r>
    </w:p>
    <w:p w:rsidR="006B0AAF" w:rsidRPr="00C93F78" w:rsidRDefault="006B0AAF" w:rsidP="00C93F78">
      <w:pPr>
        <w:numPr>
          <w:ilvl w:val="0"/>
          <w:numId w:val="14"/>
        </w:numPr>
        <w:spacing w:after="120" w:line="360" w:lineRule="auto"/>
        <w:ind w:left="426" w:hanging="426"/>
        <w:contextualSpacing/>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rPr>
        <w:t>istnienie uzasadnionych wątpliwości, co do zgodności ze stanem rzeczywistym dołączonej do wniosku dokumentacji lub oświadczenia podatnika, że jest rzeczywistym właścicielem należności. Na podstawie tej przesłanki, organy podatkowe uprawnione będą do weryfikacji wiarygodności dostarczonej im dokumentacji oraz oświadczenia podatnika o spełnieniu kryterium rzeczywistego właściciela należności. Rozwiązanie to podyktowane jest możliwością wykorzystania do nadużyć podatkowych np. podmiotów nowopowstałych, o nieudokumentowanej historii podatkowej, bądź zarejestrowanych</w:t>
      </w:r>
      <w:r w:rsidR="004B22B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w</w:t>
      </w:r>
      <w:r w:rsidR="004B22BE" w:rsidRPr="00C93F78">
        <w:rPr>
          <w:rFonts w:ascii="Times New Roman" w:eastAsia="Calibri" w:hAnsi="Times New Roman" w:cs="Times New Roman"/>
          <w:sz w:val="24"/>
          <w:szCs w:val="24"/>
        </w:rPr>
        <w:t> </w:t>
      </w:r>
      <w:r w:rsidRPr="00C93F78">
        <w:rPr>
          <w:rFonts w:ascii="Times New Roman" w:eastAsia="Calibri" w:hAnsi="Times New Roman" w:cs="Times New Roman"/>
          <w:sz w:val="24"/>
          <w:szCs w:val="24"/>
        </w:rPr>
        <w:t>jurysdykcjach uznawanych za stosujące szkodliwą konkurencję podatkową lub faktycznie nieudzielających informacji podatkowych na wniosek polskich władz. W</w:t>
      </w:r>
      <w:r w:rsidR="004B22BE" w:rsidRPr="00C93F78">
        <w:rPr>
          <w:rFonts w:ascii="Times New Roman" w:eastAsia="Calibri" w:hAnsi="Times New Roman" w:cs="Times New Roman"/>
          <w:sz w:val="24"/>
          <w:szCs w:val="24"/>
        </w:rPr>
        <w:t> </w:t>
      </w:r>
      <w:r w:rsidRPr="00C93F78">
        <w:rPr>
          <w:rFonts w:ascii="Times New Roman" w:eastAsia="Calibri" w:hAnsi="Times New Roman" w:cs="Times New Roman"/>
          <w:sz w:val="24"/>
          <w:szCs w:val="24"/>
        </w:rPr>
        <w:t>takich przypadkach należy wyposażyć organy w możliwość kwestionowania – w</w:t>
      </w:r>
      <w:r w:rsidR="004B22BE" w:rsidRPr="00C93F78">
        <w:rPr>
          <w:rFonts w:ascii="Times New Roman" w:eastAsia="Calibri" w:hAnsi="Times New Roman" w:cs="Times New Roman"/>
          <w:sz w:val="24"/>
          <w:szCs w:val="24"/>
        </w:rPr>
        <w:t> </w:t>
      </w:r>
      <w:r w:rsidRPr="00C93F78">
        <w:rPr>
          <w:rFonts w:ascii="Times New Roman" w:eastAsia="Calibri" w:hAnsi="Times New Roman" w:cs="Times New Roman"/>
          <w:sz w:val="24"/>
          <w:szCs w:val="24"/>
        </w:rPr>
        <w:t>przypadku zaistnienia uzasadnionych wątpliwości – prawdziwości dokumentacji dostarczonej wraz z wnioskiem o zwrot podatku.</w:t>
      </w:r>
    </w:p>
    <w:p w:rsidR="006B0AAF" w:rsidRPr="00C93F78" w:rsidRDefault="006B0AAF" w:rsidP="00C93F78">
      <w:pPr>
        <w:numPr>
          <w:ilvl w:val="0"/>
          <w:numId w:val="14"/>
        </w:numPr>
        <w:spacing w:after="120" w:line="360" w:lineRule="auto"/>
        <w:ind w:left="426" w:hanging="426"/>
        <w:contextualSpacing/>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rPr>
        <w:t>istnienie uzasadnionego przypuszczenia wydania decyzji z zastosowaniem art. 119a Ordynacji podatkowej</w:t>
      </w:r>
      <w:r w:rsidR="004B22BE" w:rsidRPr="00C93F78">
        <w:rPr>
          <w:rFonts w:ascii="Times New Roman" w:eastAsia="Calibri" w:hAnsi="Times New Roman" w:cs="Times New Roman"/>
          <w:sz w:val="24"/>
          <w:szCs w:val="24"/>
        </w:rPr>
        <w:t>, środków ograniczających umowne korzyści</w:t>
      </w:r>
      <w:r w:rsidRPr="00C93F78">
        <w:rPr>
          <w:rFonts w:ascii="Times New Roman" w:eastAsia="Calibri" w:hAnsi="Times New Roman" w:cs="Times New Roman"/>
          <w:sz w:val="24"/>
          <w:szCs w:val="24"/>
        </w:rPr>
        <w:t xml:space="preserve"> lub art. 22c ustawy o</w:t>
      </w:r>
      <w:r w:rsidR="004B22BE" w:rsidRPr="00C93F78">
        <w:rPr>
          <w:rFonts w:ascii="Times New Roman" w:eastAsia="Calibri" w:hAnsi="Times New Roman" w:cs="Times New Roman"/>
          <w:sz w:val="24"/>
          <w:szCs w:val="24"/>
        </w:rPr>
        <w:t> </w:t>
      </w:r>
      <w:r w:rsidRPr="00C93F78">
        <w:rPr>
          <w:rFonts w:ascii="Times New Roman" w:eastAsia="Calibri" w:hAnsi="Times New Roman" w:cs="Times New Roman"/>
          <w:sz w:val="24"/>
          <w:szCs w:val="24"/>
        </w:rPr>
        <w:t>CIT. Uszczelniając system podatkowy</w:t>
      </w:r>
      <w:r w:rsidR="004B22B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w</w:t>
      </w:r>
      <w:r w:rsidR="00214B8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zakresie opodatkowania podatkiem u źródła, przewiduje się prawo organów podatkowych rozpatrujących wnioski o wydanie opinii o</w:t>
      </w:r>
      <w:r w:rsidR="004B22BE" w:rsidRPr="00C93F78">
        <w:rPr>
          <w:rFonts w:ascii="Times New Roman" w:eastAsia="Calibri" w:hAnsi="Times New Roman" w:cs="Times New Roman"/>
          <w:sz w:val="24"/>
          <w:szCs w:val="24"/>
        </w:rPr>
        <w:t> </w:t>
      </w:r>
      <w:r w:rsidRPr="00C93F78">
        <w:rPr>
          <w:rFonts w:ascii="Times New Roman" w:eastAsia="Calibri" w:hAnsi="Times New Roman" w:cs="Times New Roman"/>
          <w:sz w:val="24"/>
          <w:szCs w:val="24"/>
        </w:rPr>
        <w:t>stosowaniu zwolnienia do weryfikacji całej struktury faktycznej i prawnej, w ramach której zastosowanie miałoby znaleźć zwolnienie z art. 21 ust. 3 lub art. 22 ust. 4 ustawy o</w:t>
      </w:r>
      <w:r w:rsidR="004B22BE" w:rsidRPr="00C93F78">
        <w:rPr>
          <w:rFonts w:ascii="Times New Roman" w:eastAsia="Calibri" w:hAnsi="Times New Roman" w:cs="Times New Roman"/>
          <w:sz w:val="24"/>
          <w:szCs w:val="24"/>
        </w:rPr>
        <w:t> </w:t>
      </w:r>
      <w:r w:rsidRPr="00C93F78">
        <w:rPr>
          <w:rFonts w:ascii="Times New Roman" w:eastAsia="Calibri" w:hAnsi="Times New Roman" w:cs="Times New Roman"/>
          <w:sz w:val="24"/>
          <w:szCs w:val="24"/>
        </w:rPr>
        <w:t>CIT, pod kątem jej rzeczywistego celu oraz charakteru. W konsekwencji, organy zostają wyposażone w prawo do odmowy wydania opinii o stosowaniu zwolnienia w</w:t>
      </w:r>
      <w:r w:rsidR="00214B8A"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przypadku istnienia uzasadnionego przypuszczenia, iż w zakresie obejmującym tę opinie może zostać wydana decyzja</w:t>
      </w:r>
      <w:r w:rsidR="004B22BE" w:rsidRPr="00C93F78">
        <w:rPr>
          <w:rFonts w:ascii="Times New Roman" w:eastAsia="Calibri" w:hAnsi="Times New Roman" w:cs="Times New Roman"/>
          <w:sz w:val="24"/>
          <w:szCs w:val="24"/>
        </w:rPr>
        <w:t xml:space="preserve"> </w:t>
      </w:r>
      <w:r w:rsidRPr="00C93F78">
        <w:rPr>
          <w:rFonts w:ascii="Times New Roman" w:eastAsia="Calibri" w:hAnsi="Times New Roman" w:cs="Times New Roman"/>
          <w:sz w:val="24"/>
          <w:szCs w:val="24"/>
        </w:rPr>
        <w:t>z zastosowaniem art. 119a Ordynacji podatkowej</w:t>
      </w:r>
      <w:r w:rsidR="00AA0455" w:rsidRPr="00C93F78">
        <w:rPr>
          <w:rFonts w:ascii="Times New Roman" w:eastAsia="Calibri" w:hAnsi="Times New Roman" w:cs="Times New Roman"/>
          <w:sz w:val="24"/>
          <w:szCs w:val="24"/>
        </w:rPr>
        <w:t xml:space="preserve"> środków ograniczających umowne korzyści</w:t>
      </w:r>
      <w:r w:rsidRPr="00C93F78">
        <w:rPr>
          <w:rFonts w:ascii="Times New Roman" w:eastAsia="Calibri" w:hAnsi="Times New Roman" w:cs="Times New Roman"/>
          <w:sz w:val="24"/>
          <w:szCs w:val="24"/>
        </w:rPr>
        <w:t xml:space="preserve"> lub art. 22c ustawy o CIT.</w:t>
      </w:r>
    </w:p>
    <w:p w:rsidR="006B0AAF" w:rsidRPr="00C93F78" w:rsidRDefault="006B0AAF" w:rsidP="00C93F78">
      <w:pPr>
        <w:numPr>
          <w:ilvl w:val="0"/>
          <w:numId w:val="14"/>
        </w:numPr>
        <w:spacing w:after="120" w:line="360" w:lineRule="auto"/>
        <w:ind w:left="426" w:hanging="426"/>
        <w:contextualSpacing/>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rPr>
        <w:t xml:space="preserve">istnienie uzasadnionego przypuszczenia, że podatnik, o którym mowa w art. 3 ust. 2 ustawy o CIT nie prowadzi rzeczywistej działalności gospodarczej w kraju miejsca siedziby tego podatnika dla celów podatkowych. </w:t>
      </w:r>
      <w:r w:rsidR="00A13707" w:rsidRPr="00C93F78">
        <w:rPr>
          <w:rFonts w:ascii="Times New Roman" w:eastAsia="Calibri" w:hAnsi="Times New Roman" w:cs="Times New Roman"/>
          <w:sz w:val="24"/>
          <w:szCs w:val="24"/>
        </w:rPr>
        <w:t xml:space="preserve">Jednocześnie ustawa odsyła do odpowiedniego stosowania przepisów art. 24a ust. 18 ustawy o CIT. Wprowadzenie tej przesłanki odmowy wydania opinii o stosowaniu zwolnienia </w:t>
      </w:r>
      <w:r w:rsidRPr="00C93F78">
        <w:rPr>
          <w:rFonts w:ascii="Times New Roman" w:eastAsia="Calibri" w:hAnsi="Times New Roman" w:cs="Times New Roman"/>
          <w:sz w:val="24"/>
          <w:szCs w:val="24"/>
        </w:rPr>
        <w:t>także podyktowane jest potrzebą ochrony polskiego systemu podatkowego przed działaniami sztucznymi, polegającymi na tworzeniu struktur wykorzystujących podmioty pośredniczące z innych jurysdykcji podatkowych jedynie w celu uzyskania nieuprawnionej korzyści podatkowej.</w:t>
      </w:r>
    </w:p>
    <w:p w:rsidR="006B0AAF" w:rsidRPr="00C93F78" w:rsidRDefault="006B0AAF" w:rsidP="00C93F78">
      <w:pPr>
        <w:spacing w:after="120" w:line="360" w:lineRule="auto"/>
        <w:ind w:firstLine="708"/>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Odmowa wydania opinii o stosowaniu zwolnienia będzie zawierała pouczenie o prawie wniesienia skargi do sądu administracyjnego (art. 26b ust. </w:t>
      </w:r>
      <w:r w:rsidR="00A13707" w:rsidRPr="00C93F78">
        <w:rPr>
          <w:rFonts w:ascii="Times New Roman" w:eastAsia="Calibri" w:hAnsi="Times New Roman" w:cs="Times New Roman"/>
          <w:sz w:val="24"/>
          <w:szCs w:val="24"/>
          <w:shd w:val="clear" w:color="auto" w:fill="FFFFFF"/>
        </w:rPr>
        <w:t>5</w:t>
      </w:r>
      <w:r w:rsidRPr="00C93F78">
        <w:rPr>
          <w:rFonts w:ascii="Times New Roman" w:eastAsia="Calibri" w:hAnsi="Times New Roman" w:cs="Times New Roman"/>
          <w:sz w:val="24"/>
          <w:szCs w:val="24"/>
          <w:shd w:val="clear" w:color="auto" w:fill="FFFFFF"/>
        </w:rPr>
        <w:t>).</w:t>
      </w:r>
    </w:p>
    <w:p w:rsidR="006B0AAF" w:rsidRPr="00C93F78" w:rsidRDefault="006B0AAF" w:rsidP="00C93F78">
      <w:pPr>
        <w:spacing w:after="12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shd w:val="clear" w:color="auto" w:fill="FFFFFF"/>
        </w:rPr>
        <w:t xml:space="preserve">Zgodnie z art. 26b ust. </w:t>
      </w:r>
      <w:r w:rsidR="00A13707" w:rsidRPr="00C93F78">
        <w:rPr>
          <w:rFonts w:ascii="Times New Roman" w:eastAsia="Calibri" w:hAnsi="Times New Roman" w:cs="Times New Roman"/>
          <w:sz w:val="24"/>
          <w:szCs w:val="24"/>
          <w:shd w:val="clear" w:color="auto" w:fill="FFFFFF"/>
        </w:rPr>
        <w:t>6</w:t>
      </w:r>
      <w:r w:rsidRPr="00C93F78">
        <w:rPr>
          <w:rFonts w:ascii="Times New Roman" w:eastAsia="Calibri" w:hAnsi="Times New Roman" w:cs="Times New Roman"/>
          <w:sz w:val="24"/>
          <w:szCs w:val="24"/>
          <w:shd w:val="clear" w:color="auto" w:fill="FFFFFF"/>
        </w:rPr>
        <w:t xml:space="preserve">, opinię o stosowaniu zwolnienia wydaje się bez zbędnej zwłoki, nie później jednak niż </w:t>
      </w:r>
      <w:r w:rsidRPr="00C93F78">
        <w:rPr>
          <w:rFonts w:ascii="Times New Roman" w:eastAsia="Calibri" w:hAnsi="Times New Roman" w:cs="Times New Roman"/>
          <w:sz w:val="24"/>
          <w:szCs w:val="24"/>
        </w:rPr>
        <w:t>w terminie 6 miesięcy od dnia otrzymania wniosku przez organ podatkowy. Do tego terminu nie wlicza się terminów i okresów, o których mowa w art. 139 § 4 Ordynacji podatkowej.</w:t>
      </w:r>
    </w:p>
    <w:p w:rsidR="006B0AAF" w:rsidRPr="00C93F78" w:rsidRDefault="006B0AAF" w:rsidP="00C93F78">
      <w:pPr>
        <w:spacing w:after="120" w:line="360" w:lineRule="auto"/>
        <w:ind w:firstLine="708"/>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Wniosek o wydanie opinii o stosowaniu zwolnienia podlegać ma opłacie stanowiącej dochód budżetu państwa. Ustawa określa termin oraz wysokość wnoszonej opłaty (art. 26b ust. </w:t>
      </w:r>
      <w:r w:rsidR="00D25E41" w:rsidRPr="00C93F78">
        <w:rPr>
          <w:rFonts w:ascii="Times New Roman" w:eastAsia="Calibri" w:hAnsi="Times New Roman" w:cs="Times New Roman"/>
          <w:sz w:val="24"/>
          <w:szCs w:val="24"/>
        </w:rPr>
        <w:t>7</w:t>
      </w:r>
      <w:r w:rsidRPr="00C93F78">
        <w:rPr>
          <w:rFonts w:ascii="Times New Roman" w:eastAsia="Calibri" w:hAnsi="Times New Roman" w:cs="Times New Roman"/>
          <w:sz w:val="24"/>
          <w:szCs w:val="24"/>
        </w:rPr>
        <w:t xml:space="preserve">). </w:t>
      </w:r>
      <w:r w:rsidR="00E743B7" w:rsidRPr="00C93F78">
        <w:rPr>
          <w:rFonts w:ascii="Times New Roman" w:eastAsia="Calibri" w:hAnsi="Times New Roman" w:cs="Times New Roman"/>
          <w:sz w:val="24"/>
          <w:szCs w:val="24"/>
        </w:rPr>
        <w:t>Wysokość opłaty od wniosku o wydanie opinii wynosi 2 000 zł. Opłata za wniosek o wydanie opinii o stosowaniu zwolnienia stanowi dochód budżetu państwa.</w:t>
      </w:r>
    </w:p>
    <w:p w:rsidR="006B0AAF" w:rsidRPr="00C93F78" w:rsidRDefault="006B0AAF" w:rsidP="00C93F78">
      <w:pPr>
        <w:spacing w:after="0" w:line="360" w:lineRule="auto"/>
        <w:ind w:firstLine="708"/>
        <w:jc w:val="both"/>
        <w:rPr>
          <w:rFonts w:ascii="Times New Roman" w:eastAsia="Calibri" w:hAnsi="Times New Roman" w:cs="Times New Roman"/>
          <w:sz w:val="24"/>
          <w:szCs w:val="24"/>
          <w:shd w:val="clear" w:color="auto" w:fill="FFFFFF"/>
        </w:rPr>
      </w:pPr>
      <w:r w:rsidRPr="00C93F78">
        <w:rPr>
          <w:rFonts w:ascii="Times New Roman" w:hAnsi="Times New Roman"/>
          <w:sz w:val="24"/>
          <w:szCs w:val="24"/>
          <w:shd w:val="clear" w:color="auto" w:fill="FFFFFF"/>
        </w:rPr>
        <w:t xml:space="preserve">Art. </w:t>
      </w:r>
      <w:r w:rsidRPr="00C93F78">
        <w:rPr>
          <w:rFonts w:ascii="Times New Roman" w:eastAsia="Calibri" w:hAnsi="Times New Roman" w:cs="Times New Roman"/>
          <w:sz w:val="24"/>
          <w:szCs w:val="24"/>
          <w:shd w:val="clear" w:color="auto" w:fill="FFFFFF"/>
        </w:rPr>
        <w:t xml:space="preserve">26b ust. </w:t>
      </w:r>
      <w:r w:rsidR="00D25E41" w:rsidRPr="00C93F78">
        <w:rPr>
          <w:rFonts w:ascii="Times New Roman" w:eastAsia="Calibri" w:hAnsi="Times New Roman" w:cs="Times New Roman"/>
          <w:sz w:val="24"/>
          <w:szCs w:val="24"/>
          <w:shd w:val="clear" w:color="auto" w:fill="FFFFFF"/>
        </w:rPr>
        <w:t xml:space="preserve">8 </w:t>
      </w:r>
      <w:r w:rsidRPr="00C93F78">
        <w:rPr>
          <w:rFonts w:ascii="Times New Roman" w:eastAsia="Calibri" w:hAnsi="Times New Roman" w:cs="Times New Roman"/>
          <w:sz w:val="24"/>
          <w:szCs w:val="24"/>
          <w:shd w:val="clear" w:color="auto" w:fill="FFFFFF"/>
        </w:rPr>
        <w:t>określa przypadki, w których opinia o stosowaniu zwolnienia wygasa. Skutek taki wystąpi:</w:t>
      </w:r>
    </w:p>
    <w:p w:rsidR="006B0AAF" w:rsidRPr="00C93F78" w:rsidRDefault="006B0AAF" w:rsidP="00C93F78">
      <w:pPr>
        <w:numPr>
          <w:ilvl w:val="0"/>
          <w:numId w:val="15"/>
        </w:numPr>
        <w:spacing w:after="0" w:line="360" w:lineRule="auto"/>
        <w:ind w:left="426" w:hanging="426"/>
        <w:contextualSpacing/>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z upływem 36 miesięcy od dnia wydania opinii (celem tego rodzaju normy jest zweryfikowanie, po relatywnie długim okresie, przesłanek uprawniających do stosowania zwolnienia z podatku);</w:t>
      </w:r>
    </w:p>
    <w:p w:rsidR="006B0AAF" w:rsidRPr="00C93F78" w:rsidRDefault="006B0AAF" w:rsidP="00C93F78">
      <w:pPr>
        <w:numPr>
          <w:ilvl w:val="0"/>
          <w:numId w:val="15"/>
        </w:numPr>
        <w:spacing w:after="0" w:line="360" w:lineRule="auto"/>
        <w:ind w:left="426" w:hanging="426"/>
        <w:contextualSpacing/>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 xml:space="preserve">w przypadku gdy organ podatkowy został poinformowany o istotnej zmianie okoliczności faktycznych mogących mieć wpływ na stosowanie zwolnienia z podatku (do czego zobowiązuje art. 26b ust. </w:t>
      </w:r>
      <w:r w:rsidR="00390900" w:rsidRPr="00C93F78">
        <w:rPr>
          <w:rFonts w:ascii="Times New Roman" w:eastAsia="Calibri" w:hAnsi="Times New Roman" w:cs="Times New Roman"/>
          <w:sz w:val="24"/>
          <w:szCs w:val="24"/>
          <w:shd w:val="clear" w:color="auto" w:fill="FFFFFF"/>
        </w:rPr>
        <w:t>9</w:t>
      </w:r>
      <w:r w:rsidRPr="00C93F78">
        <w:rPr>
          <w:rFonts w:ascii="Times New Roman" w:eastAsia="Calibri" w:hAnsi="Times New Roman" w:cs="Times New Roman"/>
          <w:sz w:val="24"/>
          <w:szCs w:val="24"/>
          <w:shd w:val="clear" w:color="auto" w:fill="FFFFFF"/>
        </w:rPr>
        <w:t>) – opinia wygasa wówczas ostatniego dnia miesiąca następującego po miesiącu, w którym upłynął termin, w jakim na postawie</w:t>
      </w:r>
      <w:r w:rsidRPr="00C93F78">
        <w:rPr>
          <w:rFonts w:ascii="Times New Roman" w:eastAsia="Calibri" w:hAnsi="Times New Roman" w:cs="Times New Roman"/>
          <w:sz w:val="24"/>
          <w:szCs w:val="24"/>
          <w:shd w:val="clear" w:color="auto" w:fill="FFFFFF"/>
        </w:rPr>
        <w:br/>
        <w:t>art. 26b ust. 8 należało powiadomić organ podatkowy o istotnej zmianie okoliczności;</w:t>
      </w:r>
    </w:p>
    <w:p w:rsidR="006B0AAF" w:rsidRPr="00C93F78" w:rsidRDefault="006B0AAF" w:rsidP="00C93F78">
      <w:pPr>
        <w:numPr>
          <w:ilvl w:val="0"/>
          <w:numId w:val="15"/>
        </w:numPr>
        <w:spacing w:after="0" w:line="360" w:lineRule="auto"/>
        <w:ind w:left="426" w:hanging="426"/>
        <w:contextualSpacing/>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sz w:val="24"/>
          <w:szCs w:val="24"/>
          <w:shd w:val="clear" w:color="auto" w:fill="FFFFFF"/>
        </w:rPr>
        <w:t>z dniem</w:t>
      </w:r>
      <w:r w:rsidRPr="00C93F78">
        <w:rPr>
          <w:rFonts w:ascii="Times New Roman" w:eastAsia="Calibri" w:hAnsi="Times New Roman" w:cs="Times New Roman"/>
          <w:sz w:val="24"/>
          <w:szCs w:val="24"/>
        </w:rPr>
        <w:t xml:space="preserve">, w którym podatnik, którego dotyczy opinia, przestał spełniać warunki określone w art. 21 ust. 3 – 3c oraz w art. 22 ust. 4 – 6, jeśli wnioskodawca nie poinformował </w:t>
      </w:r>
      <w:r w:rsidRPr="00C93F78">
        <w:rPr>
          <w:rFonts w:ascii="Times New Roman" w:eastAsia="Calibri" w:hAnsi="Times New Roman" w:cs="Times New Roman"/>
          <w:sz w:val="24"/>
          <w:szCs w:val="24"/>
          <w:shd w:val="clear" w:color="auto" w:fill="FFFFFF"/>
        </w:rPr>
        <w:t>organu podatkowego o tym fakcie</w:t>
      </w:r>
      <w:r w:rsidRPr="00C93F78">
        <w:rPr>
          <w:rFonts w:ascii="Times New Roman" w:eastAsia="Calibri" w:hAnsi="Times New Roman" w:cs="Times New Roman"/>
          <w:sz w:val="24"/>
          <w:szCs w:val="24"/>
        </w:rPr>
        <w:t xml:space="preserve"> mimo takiego obowiązku wynikającego z </w:t>
      </w:r>
      <w:r w:rsidRPr="00C93F78">
        <w:rPr>
          <w:rFonts w:ascii="Times New Roman" w:eastAsia="Calibri" w:hAnsi="Times New Roman" w:cs="Times New Roman"/>
          <w:sz w:val="24"/>
          <w:szCs w:val="24"/>
          <w:shd w:val="clear" w:color="auto" w:fill="FFFFFF"/>
        </w:rPr>
        <w:t xml:space="preserve">art. 26b ust. </w:t>
      </w:r>
      <w:r w:rsidR="00390900" w:rsidRPr="00C93F78">
        <w:rPr>
          <w:rFonts w:ascii="Times New Roman" w:eastAsia="Calibri" w:hAnsi="Times New Roman" w:cs="Times New Roman"/>
          <w:sz w:val="24"/>
          <w:szCs w:val="24"/>
          <w:shd w:val="clear" w:color="auto" w:fill="FFFFFF"/>
        </w:rPr>
        <w:t>9</w:t>
      </w:r>
      <w:r w:rsidRPr="00C93F78">
        <w:rPr>
          <w:rFonts w:ascii="Times New Roman" w:eastAsia="Calibri" w:hAnsi="Times New Roman" w:cs="Times New Roman"/>
          <w:sz w:val="24"/>
          <w:szCs w:val="24"/>
        </w:rPr>
        <w:t>.</w:t>
      </w:r>
    </w:p>
    <w:p w:rsidR="00EF66D4" w:rsidRPr="00C93F78" w:rsidRDefault="006B0AAF" w:rsidP="00C93F78">
      <w:pPr>
        <w:spacing w:before="120" w:after="120" w:line="360" w:lineRule="auto"/>
        <w:jc w:val="both"/>
        <w:rPr>
          <w:rFonts w:ascii="Times New Roman" w:eastAsia="Calibri" w:hAnsi="Times New Roman" w:cs="Times New Roman"/>
          <w:sz w:val="24"/>
          <w:szCs w:val="24"/>
        </w:rPr>
      </w:pPr>
      <w:r w:rsidRPr="00C93F78">
        <w:rPr>
          <w:rFonts w:ascii="Times New Roman" w:hAnsi="Times New Roman"/>
          <w:sz w:val="24"/>
          <w:szCs w:val="24"/>
          <w:shd w:val="clear" w:color="auto" w:fill="FFFFFF"/>
        </w:rPr>
        <w:t xml:space="preserve">Art. </w:t>
      </w:r>
      <w:r w:rsidRPr="00C93F78">
        <w:rPr>
          <w:rFonts w:ascii="Times New Roman" w:eastAsia="Calibri" w:hAnsi="Times New Roman" w:cs="Times New Roman"/>
          <w:sz w:val="24"/>
          <w:szCs w:val="24"/>
          <w:shd w:val="clear" w:color="auto" w:fill="FFFFFF"/>
        </w:rPr>
        <w:t xml:space="preserve">26b ust. </w:t>
      </w:r>
      <w:r w:rsidR="002C1424" w:rsidRPr="00C93F78">
        <w:rPr>
          <w:rFonts w:ascii="Times New Roman" w:eastAsia="Calibri" w:hAnsi="Times New Roman" w:cs="Times New Roman"/>
          <w:sz w:val="24"/>
          <w:szCs w:val="24"/>
          <w:shd w:val="clear" w:color="auto" w:fill="FFFFFF"/>
        </w:rPr>
        <w:t xml:space="preserve">9 </w:t>
      </w:r>
      <w:r w:rsidRPr="00C93F78">
        <w:rPr>
          <w:rFonts w:ascii="Times New Roman" w:eastAsia="Calibri" w:hAnsi="Times New Roman" w:cs="Times New Roman"/>
          <w:sz w:val="24"/>
          <w:szCs w:val="24"/>
          <w:shd w:val="clear" w:color="auto" w:fill="FFFFFF"/>
        </w:rPr>
        <w:t xml:space="preserve">obliguje wnioskującego o wydanie opinii o stosowaniu zwolnienia do informowania </w:t>
      </w:r>
      <w:r w:rsidRPr="00C93F78">
        <w:rPr>
          <w:rFonts w:ascii="Times New Roman" w:eastAsia="Calibri" w:hAnsi="Times New Roman" w:cs="Times New Roman"/>
          <w:sz w:val="24"/>
          <w:szCs w:val="24"/>
        </w:rPr>
        <w:t xml:space="preserve">organ podatkowy </w:t>
      </w:r>
      <w:r w:rsidRPr="00C93F78">
        <w:rPr>
          <w:rFonts w:ascii="Times New Roman" w:eastAsia="Calibri" w:hAnsi="Times New Roman" w:cs="Times New Roman"/>
          <w:sz w:val="24"/>
          <w:szCs w:val="24"/>
          <w:shd w:val="clear" w:color="auto" w:fill="FFFFFF"/>
        </w:rPr>
        <w:t>o zmianie okoliczności faktycznych, które mogą mieć wpływ na korzystanie ze zwolnienia, o</w:t>
      </w:r>
      <w:r w:rsidRPr="00C93F78">
        <w:rPr>
          <w:rFonts w:ascii="Times New Roman" w:eastAsia="Calibri" w:hAnsi="Times New Roman" w:cs="Times New Roman"/>
          <w:sz w:val="24"/>
          <w:szCs w:val="24"/>
        </w:rPr>
        <w:t xml:space="preserve"> którym mowa w art. 21 ust. 3</w:t>
      </w:r>
      <w:r w:rsidRPr="00C93F78">
        <w:rPr>
          <w:rFonts w:ascii="Times New Roman" w:eastAsia="Calibri" w:hAnsi="Times New Roman" w:cs="Times New Roman"/>
          <w:sz w:val="24"/>
          <w:szCs w:val="24"/>
        </w:rPr>
        <w:br/>
        <w:t>lub art. 22 ust. 4. Jeżeli to podatnik będzie zobowiązany do spełnienia powyższego obowiązku informacyjnego, podatnik powinien jednocześnie poinformować płatnika o takiej istotnej zmianie okoliczności.</w:t>
      </w:r>
    </w:p>
    <w:p w:rsidR="00EF66D4" w:rsidRPr="00C93F78" w:rsidRDefault="006B0AAF" w:rsidP="00C93F78">
      <w:pPr>
        <w:spacing w:after="120" w:line="360" w:lineRule="auto"/>
        <w:jc w:val="both"/>
        <w:rPr>
          <w:rFonts w:ascii="Times New Roman" w:eastAsia="Calibri" w:hAnsi="Times New Roman" w:cs="Times New Roman"/>
          <w:sz w:val="24"/>
          <w:szCs w:val="24"/>
          <w:shd w:val="clear" w:color="auto" w:fill="FFFFFF"/>
        </w:rPr>
      </w:pPr>
      <w:r w:rsidRPr="00C93F78">
        <w:rPr>
          <w:rFonts w:ascii="Times New Roman" w:hAnsi="Times New Roman"/>
          <w:sz w:val="24"/>
          <w:szCs w:val="24"/>
          <w:shd w:val="clear" w:color="auto" w:fill="FFFFFF"/>
        </w:rPr>
        <w:t xml:space="preserve">Art. </w:t>
      </w:r>
      <w:r w:rsidRPr="00C93F78">
        <w:rPr>
          <w:rFonts w:ascii="Times New Roman" w:eastAsia="Calibri" w:hAnsi="Times New Roman" w:cs="Times New Roman"/>
          <w:sz w:val="24"/>
          <w:szCs w:val="24"/>
          <w:shd w:val="clear" w:color="auto" w:fill="FFFFFF"/>
        </w:rPr>
        <w:t xml:space="preserve">26b ust. </w:t>
      </w:r>
      <w:r w:rsidR="00142D32" w:rsidRPr="00C93F78">
        <w:rPr>
          <w:rFonts w:ascii="Times New Roman" w:eastAsia="Calibri" w:hAnsi="Times New Roman" w:cs="Times New Roman"/>
          <w:sz w:val="24"/>
          <w:szCs w:val="24"/>
          <w:shd w:val="clear" w:color="auto" w:fill="FFFFFF"/>
        </w:rPr>
        <w:t xml:space="preserve">10 </w:t>
      </w:r>
      <w:r w:rsidRPr="00C93F78">
        <w:rPr>
          <w:rFonts w:ascii="Times New Roman" w:eastAsia="Calibri" w:hAnsi="Times New Roman" w:cs="Times New Roman"/>
          <w:sz w:val="24"/>
          <w:szCs w:val="24"/>
          <w:shd w:val="clear" w:color="auto" w:fill="FFFFFF"/>
        </w:rPr>
        <w:t>zawiera odesłanie do odpowiedniego stosowania – w zakresie nieuregulowanym przepisami dot. wydawania opinii o stosowaniu zwolnienia – określonych przepisów art. 28b, dotyczących zwrotu podatku u źródła</w:t>
      </w:r>
      <w:r w:rsidR="009B7AC4" w:rsidRPr="00C93F78">
        <w:rPr>
          <w:rFonts w:ascii="Times New Roman" w:eastAsia="Calibri" w:hAnsi="Times New Roman" w:cs="Times New Roman"/>
          <w:sz w:val="24"/>
          <w:szCs w:val="24"/>
          <w:shd w:val="clear" w:color="auto" w:fill="FFFFFF"/>
        </w:rPr>
        <w:t>, oraz przepisów Ordynacji podatkowej</w:t>
      </w:r>
      <w:r w:rsidRPr="00C93F78">
        <w:rPr>
          <w:rFonts w:ascii="Times New Roman" w:eastAsia="Calibri" w:hAnsi="Times New Roman" w:cs="Times New Roman"/>
          <w:sz w:val="24"/>
          <w:szCs w:val="24"/>
          <w:shd w:val="clear" w:color="auto" w:fill="FFFFFF"/>
        </w:rPr>
        <w:t>.</w:t>
      </w:r>
    </w:p>
    <w:p w:rsidR="0085022A" w:rsidRPr="00C93F78" w:rsidRDefault="006B0AAF" w:rsidP="00C93F78">
      <w:pPr>
        <w:spacing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shd w:val="clear" w:color="auto" w:fill="FFFFFF"/>
        </w:rPr>
        <w:t xml:space="preserve">Ostatni ustęp projektowanego artykułu 26b </w:t>
      </w:r>
      <w:r w:rsidRPr="00C93F78">
        <w:rPr>
          <w:rFonts w:ascii="Times New Roman" w:eastAsia="Calibri" w:hAnsi="Times New Roman" w:cs="Times New Roman"/>
          <w:sz w:val="24"/>
          <w:szCs w:val="24"/>
        </w:rPr>
        <w:t>wskazuje na organ podatkowy właściwy w sprawach opinii o stosowaniu zwolnienia. Podobnie jak w przypadku spraw dotyczących zwrotu podatku, reguła ogólna wskazuje, że organem podatkowym właściwym w tych sprawach będzie naczelnik urzędu skarbowego właściwy według siedziby podatnika, a w przypadku nierezydentów, naczelnik urzędu skarbowego właściwy w sprawach opodatkowania osób zagranicznych. Projektowany przepis zawiera jednak uprawnienie ministra właściwego do spraw finansów publicznych do wydania rozporządzenia określającego odmienną właściwość miejscową organów podatkowych. Wydając rozporządzenie minister właściwy do spraw finansów publicznych kierować się ma celem usprawnienia postępowania w sprawach opinii o stosowaniu zwolnienia</w:t>
      </w:r>
      <w:r w:rsidR="00F87A8F" w:rsidRPr="00C93F78">
        <w:rPr>
          <w:rFonts w:ascii="Times New Roman" w:eastAsia="Calibri" w:hAnsi="Times New Roman" w:cs="Times New Roman"/>
          <w:sz w:val="24"/>
          <w:szCs w:val="24"/>
        </w:rPr>
        <w:t>, biorąc pod uwagę</w:t>
      </w:r>
      <w:r w:rsidRPr="00C93F78">
        <w:rPr>
          <w:rFonts w:ascii="Times New Roman" w:eastAsia="Calibri" w:hAnsi="Times New Roman" w:cs="Times New Roman"/>
          <w:sz w:val="24"/>
          <w:szCs w:val="24"/>
        </w:rPr>
        <w:t xml:space="preserve"> </w:t>
      </w:r>
      <w:r w:rsidR="00F87A8F" w:rsidRPr="00C93F78">
        <w:rPr>
          <w:rFonts w:ascii="Times New Roman" w:eastAsia="Calibri" w:hAnsi="Times New Roman" w:cs="Times New Roman"/>
          <w:sz w:val="24"/>
          <w:szCs w:val="24"/>
        </w:rPr>
        <w:t xml:space="preserve">konieczność </w:t>
      </w:r>
      <w:r w:rsidRPr="00C93F78">
        <w:rPr>
          <w:rFonts w:ascii="Times New Roman" w:eastAsia="Calibri" w:hAnsi="Times New Roman" w:cs="Times New Roman"/>
          <w:sz w:val="24"/>
          <w:szCs w:val="24"/>
        </w:rPr>
        <w:t>zapewnienia jednolitości podejścia w tych sprawach. Uprawnienie do wydania rozporządzenia odmiennie regulującego kwestię właściwości miejscowej w tym zakresie wynika z dotychczasowej praktyki. Okazuje się bowiem, że ponad połowa składanych informacji o przychodach (dochodach) osiąganych przez nierezydentów (formularze IFT) wpływa w obrębie jednego województwa – mazowieckiego. Można z dużą dozą prawdopodobieństwa przyjąć, że podobnie wyglądać będzie rozkład wniosków o wydanie opinii o stosowaniu zwolnienia. Właściwym rozwiązaniem okazać się więc może stworzenie wyspecjalizowanego urzędu do obsługi zarówno wniosków o zwrot podatku i wydawania opinii o stosowaniu zwolnienia. Obie te instytucje stosowane będą bowiem z zastosowaniem praktycznie jednolitych kryteriów oceny.</w:t>
      </w:r>
    </w:p>
    <w:p w:rsidR="00EF66D4" w:rsidRPr="00C93F78" w:rsidRDefault="006B0AAF" w:rsidP="00C93F78">
      <w:pPr>
        <w:pStyle w:val="Akapitzlist"/>
        <w:numPr>
          <w:ilvl w:val="0"/>
          <w:numId w:val="6"/>
        </w:numPr>
        <w:spacing w:after="120" w:line="360" w:lineRule="auto"/>
        <w:jc w:val="both"/>
        <w:rPr>
          <w:rFonts w:ascii="Times New Roman" w:hAnsi="Times New Roman" w:cs="Times New Roman"/>
          <w:color w:val="FF0000"/>
          <w:sz w:val="24"/>
          <w:szCs w:val="24"/>
        </w:rPr>
      </w:pPr>
      <w:r w:rsidRPr="00C93F78">
        <w:rPr>
          <w:rFonts w:ascii="Times New Roman" w:hAnsi="Times New Roman" w:cs="Times New Roman"/>
          <w:sz w:val="24"/>
          <w:szCs w:val="24"/>
        </w:rPr>
        <w:t xml:space="preserve">pkt </w:t>
      </w:r>
      <w:r w:rsidR="008B53F9" w:rsidRPr="00C93F78">
        <w:rPr>
          <w:rFonts w:ascii="Times New Roman" w:hAnsi="Times New Roman" w:cs="Times New Roman"/>
          <w:sz w:val="24"/>
          <w:szCs w:val="24"/>
        </w:rPr>
        <w:t xml:space="preserve">34 </w:t>
      </w:r>
      <w:r w:rsidRPr="00C93F78">
        <w:rPr>
          <w:rFonts w:ascii="Times New Roman" w:hAnsi="Times New Roman" w:cs="Times New Roman"/>
          <w:sz w:val="24"/>
          <w:szCs w:val="24"/>
        </w:rPr>
        <w:t xml:space="preserve">- </w:t>
      </w:r>
      <w:r w:rsidR="008B53F9" w:rsidRPr="00C93F78">
        <w:rPr>
          <w:rFonts w:ascii="Times New Roman" w:hAnsi="Times New Roman" w:cs="Times New Roman"/>
          <w:sz w:val="24"/>
          <w:szCs w:val="24"/>
        </w:rPr>
        <w:t xml:space="preserve">dodawane przepisy dotyczą problematyki cen transferowych </w:t>
      </w:r>
    </w:p>
    <w:p w:rsidR="008B53F9" w:rsidRPr="00C93F78" w:rsidRDefault="008B53F9" w:rsidP="00C93F78">
      <w:pPr>
        <w:pStyle w:val="Akapitzlist"/>
        <w:numPr>
          <w:ilvl w:val="0"/>
          <w:numId w:val="6"/>
        </w:numPr>
        <w:spacing w:after="120" w:line="360" w:lineRule="auto"/>
        <w:jc w:val="both"/>
        <w:rPr>
          <w:rFonts w:ascii="Times New Roman" w:hAnsi="Times New Roman" w:cs="Times New Roman"/>
          <w:color w:val="FF0000"/>
          <w:sz w:val="24"/>
          <w:szCs w:val="24"/>
        </w:rPr>
      </w:pPr>
      <w:r w:rsidRPr="00C93F78">
        <w:rPr>
          <w:rFonts w:ascii="Times New Roman" w:hAnsi="Times New Roman" w:cs="Times New Roman"/>
          <w:sz w:val="24"/>
          <w:szCs w:val="24"/>
        </w:rPr>
        <w:t>pkt 35 - dodawany „Rozdział 6a”</w:t>
      </w:r>
    </w:p>
    <w:p w:rsidR="006B0AAF" w:rsidRPr="00C93F78" w:rsidRDefault="006B0AAF" w:rsidP="00C93F78">
      <w:pPr>
        <w:spacing w:after="240" w:line="360" w:lineRule="auto"/>
        <w:jc w:val="both"/>
        <w:rPr>
          <w:rFonts w:ascii="Times New Roman" w:hAnsi="Times New Roman" w:cs="Times New Roman"/>
          <w:color w:val="FF0000"/>
          <w:sz w:val="24"/>
          <w:szCs w:val="24"/>
        </w:rPr>
      </w:pPr>
      <w:r w:rsidRPr="00C93F78">
        <w:rPr>
          <w:rFonts w:ascii="Times New Roman" w:eastAsia="Calibri" w:hAnsi="Times New Roman" w:cs="Times New Roman"/>
          <w:sz w:val="24"/>
          <w:szCs w:val="24"/>
          <w:shd w:val="clear" w:color="auto" w:fill="FFFFFF"/>
        </w:rPr>
        <w:t>Dodane przepisy mają charakter analogiczny do przepisów wprowadzonego rozdziału 7b w ustawie o PIT (zob. uzasadnienie do tej części ustawy o PIT).</w:t>
      </w:r>
    </w:p>
    <w:p w:rsidR="00ED3F66" w:rsidRPr="00C93F78" w:rsidRDefault="00565544" w:rsidP="00C93F78">
      <w:pPr>
        <w:pStyle w:val="Nagwek2"/>
        <w:spacing w:line="360" w:lineRule="auto"/>
        <w:jc w:val="both"/>
        <w:rPr>
          <w:b w:val="0"/>
          <w:szCs w:val="24"/>
        </w:rPr>
      </w:pPr>
      <w:r w:rsidRPr="00C93F78">
        <w:rPr>
          <w:szCs w:val="24"/>
        </w:rPr>
        <w:t xml:space="preserve">Art. </w:t>
      </w:r>
      <w:r w:rsidR="00447C5B" w:rsidRPr="00C93F78">
        <w:rPr>
          <w:szCs w:val="24"/>
        </w:rPr>
        <w:t>3</w:t>
      </w:r>
      <w:r w:rsidR="00416F4E" w:rsidRPr="00C93F78">
        <w:rPr>
          <w:szCs w:val="24"/>
        </w:rPr>
        <w:t xml:space="preserve"> </w:t>
      </w:r>
      <w:r w:rsidRPr="00C93F78">
        <w:rPr>
          <w:szCs w:val="24"/>
        </w:rPr>
        <w:t xml:space="preserve">– zmiany w </w:t>
      </w:r>
      <w:r w:rsidR="00ED3F66" w:rsidRPr="00C93F78">
        <w:rPr>
          <w:szCs w:val="24"/>
        </w:rPr>
        <w:t xml:space="preserve">ustawie Ordynacja podatkowa </w:t>
      </w:r>
    </w:p>
    <w:p w:rsidR="00ED3F66" w:rsidRPr="00C93F78" w:rsidRDefault="008D07BD" w:rsidP="00C93F78">
      <w:pPr>
        <w:spacing w:before="240"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Zmiany w Ordynacji podatkowej zostały omówione w częściach uzasadnienia odnoszących się do poszczególnych zagadnień.</w:t>
      </w:r>
    </w:p>
    <w:p w:rsidR="00ED3F66" w:rsidRPr="00C93F78" w:rsidRDefault="00ED3F66" w:rsidP="00C93F78">
      <w:pPr>
        <w:pStyle w:val="Nagwek2"/>
        <w:spacing w:line="360" w:lineRule="auto"/>
        <w:jc w:val="both"/>
        <w:rPr>
          <w:b w:val="0"/>
          <w:szCs w:val="24"/>
        </w:rPr>
      </w:pPr>
      <w:r w:rsidRPr="00C93F78">
        <w:rPr>
          <w:szCs w:val="24"/>
        </w:rPr>
        <w:t xml:space="preserve">Art. 4 – zmiany w ustawie o postępowaniu egzekucyjnym w administracji </w:t>
      </w:r>
    </w:p>
    <w:p w:rsidR="00ED3F66" w:rsidRPr="00C93F78" w:rsidRDefault="00027CB2" w:rsidP="00C93F78">
      <w:pPr>
        <w:spacing w:before="240"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 xml:space="preserve">Zmiany w ustawie o postępowaniu egzekucyjnym w administracji wynikają ze zmian w przepisach Ordynacji podatkowej dotyczących klauzuli przeciwko unikaniu opodatkowania i zostały przedstawione, w uzasadnieniu traktującym o tych zmianach. </w:t>
      </w:r>
    </w:p>
    <w:p w:rsidR="00ED4930" w:rsidRPr="00C93F78" w:rsidRDefault="00ED4930" w:rsidP="00C93F78">
      <w:pPr>
        <w:pStyle w:val="Nagwek2"/>
        <w:spacing w:line="360" w:lineRule="auto"/>
        <w:jc w:val="both"/>
        <w:rPr>
          <w:szCs w:val="24"/>
        </w:rPr>
      </w:pPr>
      <w:r w:rsidRPr="00C93F78">
        <w:rPr>
          <w:szCs w:val="24"/>
        </w:rPr>
        <w:t>Art. 5</w:t>
      </w:r>
      <w:r w:rsidR="00BC48D7" w:rsidRPr="00C93F78">
        <w:rPr>
          <w:szCs w:val="24"/>
        </w:rPr>
        <w:t xml:space="preserve"> – 7</w:t>
      </w:r>
      <w:r w:rsidR="009113E8" w:rsidRPr="00C93F78">
        <w:rPr>
          <w:szCs w:val="24"/>
        </w:rPr>
        <w:t xml:space="preserve"> </w:t>
      </w:r>
      <w:r w:rsidR="00BC48D7" w:rsidRPr="00C93F78">
        <w:rPr>
          <w:szCs w:val="24"/>
        </w:rPr>
        <w:t xml:space="preserve">projektu </w:t>
      </w:r>
      <w:r w:rsidRPr="00C93F78">
        <w:rPr>
          <w:szCs w:val="24"/>
        </w:rPr>
        <w:t>– zmiany w ustawie o adwokaturze</w:t>
      </w:r>
      <w:r w:rsidR="00AA6975" w:rsidRPr="00C93F78">
        <w:rPr>
          <w:szCs w:val="24"/>
        </w:rPr>
        <w:t>, o radcach prawnych i</w:t>
      </w:r>
      <w:r w:rsidR="00BC48D7" w:rsidRPr="00C93F78">
        <w:rPr>
          <w:szCs w:val="24"/>
        </w:rPr>
        <w:t xml:space="preserve"> o notariacie </w:t>
      </w:r>
    </w:p>
    <w:p w:rsidR="00BC48D7" w:rsidRPr="00C93F78" w:rsidRDefault="00BC48D7"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Należy wskazać, że projektowane przepisy zmienianych ustaw nie znoszą tajemnicy zawodowej, gdy doradca (radca prawny, adwokat) występuje w roli obrońcy interesów strony w postępowaniach przed organami lub sądami. Zgodnie z art. 17 Konstytucji RP samorządy zawodowe, reprezentują osoby wykonujące zawody zaufania publicznego i sprawują pieczę nad należytym wykonywaniem tych zawodów, w granicach interesu publicznego i dla jego ochrony. Ochrona przed agresywną optymalizacją podatkową stanowi ochronę interesu publicznego. Przepisy zawarte w projekcie mają na celu poszanowanie tajemnicy zawodowej z uwzględnieniem innych zasad chronionych konstytucyjnie (powszechność opodatkowania, dbałość o stan finansów publicznych).</w:t>
      </w:r>
    </w:p>
    <w:p w:rsidR="00BC48D7" w:rsidRPr="00C93F78" w:rsidRDefault="00BC48D7" w:rsidP="00C93F78">
      <w:pPr>
        <w:tabs>
          <w:tab w:val="left" w:pos="708"/>
          <w:tab w:val="center" w:pos="4536"/>
        </w:tabs>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Ministerstwo Finansów projektując te przepisy dołożyło najwięcej uwagi w zakresie obowiązku zachowania tajemnicy zawodowej. Znalazło to swoje odzwierciedlenie w sposobach informowania o schematach podatkowych. Proponowane rozwiązania mają na celu jak najdalej idącą ochronę tajemnicy zawodowej, co przejawia się w:</w:t>
      </w:r>
    </w:p>
    <w:p w:rsidR="00BC48D7" w:rsidRPr="00C93F78" w:rsidRDefault="00BC48D7" w:rsidP="00C93F78">
      <w:pPr>
        <w:numPr>
          <w:ilvl w:val="0"/>
          <w:numId w:val="84"/>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zasadzie nieujawniania danych korzystających ze schematów podatkowych w przypadku braku zwolnienia promotora lub wspomagającego z obowiązku zachowania tajemnicy zawodowej,</w:t>
      </w:r>
    </w:p>
    <w:p w:rsidR="00BC48D7" w:rsidRPr="00C93F78" w:rsidRDefault="00BC48D7" w:rsidP="00C93F78">
      <w:pPr>
        <w:numPr>
          <w:ilvl w:val="0"/>
          <w:numId w:val="84"/>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zasadzie raportowania schematów przez korzystającego, jeśli promotor lub wspomagający nie zostaną zwolnieni z obowiązku zachowania tajemnicy zawodowej,</w:t>
      </w:r>
    </w:p>
    <w:p w:rsidR="00BC48D7" w:rsidRPr="00C93F78" w:rsidRDefault="00BC48D7" w:rsidP="00C93F78">
      <w:pPr>
        <w:numPr>
          <w:ilvl w:val="0"/>
          <w:numId w:val="84"/>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zasadzie raportowania schematów standaryzowanych, w których nie będą ujawniane dane korzystających objęte tajemnicą zawodową, które pozwoliłyby na identyfikację korzystających.</w:t>
      </w:r>
    </w:p>
    <w:p w:rsidR="00BC48D7" w:rsidRPr="00C93F78" w:rsidRDefault="00BC48D7"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Biorąc pod uwagę uwagi podnoszone przez stronę społeczną oraz efekt uzgodnień wewnątrzrządowych uznano, że najlepszym rozwiązaniem, gwarantującym prawidłową realizację zasad konstytucyjnych, efektywność projektowanych rozwiązań oraz spójność systemu prawa w przypadku zawodów zaufania publicznego, będzie jednoznaczne wskazanie w przepisach systemowych regulujących zasady funkcjonowania tych zawodów wpływu projektowanych przepisów na obowiązek zachowania tajemnicy zawodowej. W tym zakresie – zgodnie z uwagami Ministerstwa Sprawiedliwości – wzorowano się na przepisach wskazujących na wzajemne interakcje tajemnicy zawodowej i przepisów o przeciwdziałaniu praniu pieniędzy oraz finansowaniu terroryzmu.</w:t>
      </w:r>
    </w:p>
    <w:p w:rsidR="00BC48D7" w:rsidRPr="00C93F78" w:rsidRDefault="00BC48D7"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W tym kontekście podkreślić należy, że projektodawca nie planuje obecnie poszerzać zakresu oddziaływania przepisów o obowiązku raportowania schematów podatkowych na tajemnicę zawodową osób wykonujących zawody zaufania publicznego. Zakres tego oddziaływania uregulowano w art. 86b § 7 Ordynacji podatkowej. Zgodnie z tym przepisem nie stanowi naruszenia obowiązku zachowania prawnie chronionej tajemnicy zawodowej:</w:t>
      </w:r>
    </w:p>
    <w:p w:rsidR="00BC48D7" w:rsidRPr="00C93F78" w:rsidRDefault="00BC48D7" w:rsidP="00C93F78">
      <w:pPr>
        <w:numPr>
          <w:ilvl w:val="0"/>
          <w:numId w:val="80"/>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przekazanie informacji o schemacie podatkowym w sytuacji, w której przekazujący tę informację został zwolniony z obowiązku jej zachowania;</w:t>
      </w:r>
    </w:p>
    <w:p w:rsidR="00BC48D7" w:rsidRPr="00C93F78" w:rsidRDefault="00BC48D7" w:rsidP="00C93F78">
      <w:pPr>
        <w:numPr>
          <w:ilvl w:val="0"/>
          <w:numId w:val="80"/>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przekazanie informacji o schemacie podatkowym standaryzowanym (taka informacja nie zawiera danych identyfikacyjnych korzystającego);</w:t>
      </w:r>
    </w:p>
    <w:p w:rsidR="00BC48D7" w:rsidRPr="00C93F78" w:rsidRDefault="00BC48D7" w:rsidP="00C93F78">
      <w:pPr>
        <w:numPr>
          <w:ilvl w:val="0"/>
          <w:numId w:val="80"/>
        </w:num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przesłanie do Szefa Krajowej Administracji Skarbowej informacji o poinformowaniu korzystającego lub innych podmiotów o obowiązku przekazania schematu podatkowego do Szefa Krajowej Administracji Skarbowej (tj. obowiązku uregulowanego w projektowanym art. 86b § 6 Ordynacji podatkowej – informacja również nie zawiera danych identyfikacyjnych korzystającego ani innych obowiązanych podmiotów).</w:t>
      </w:r>
    </w:p>
    <w:p w:rsidR="00BC48D7" w:rsidRPr="00C93F78" w:rsidRDefault="00BC48D7"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Powyższe przypadki nie naruszają istoty uregulowań o tajemnicy zawodowej. Wprowadzane przepisy oddziaływać będą na osoby wykonujące zawody zaufania publicznego jedynie w sytuacji, w której osoby te działań będą w charakterze promotorów lub wspomagających (zob. odesłanie do art. 86b § 7 Ordynacji podatkowej zawarte w art. 86c § 4 tej ustawy), i to w sposób który chroni klientów (korzystających) przed przekazaniem ich danych identyfikacyjnych, w sytuacji w której nie wyrażą takiego wyraźnego życzenia poprzez zwolnienie promotora lub wspomagającego z tajemnicy. </w:t>
      </w:r>
    </w:p>
    <w:p w:rsidR="00ED4930" w:rsidRPr="00C93F78" w:rsidRDefault="00ED4930" w:rsidP="00C93F78">
      <w:pPr>
        <w:pStyle w:val="Nagwek2"/>
        <w:spacing w:line="360" w:lineRule="auto"/>
        <w:jc w:val="both"/>
        <w:rPr>
          <w:b w:val="0"/>
          <w:szCs w:val="24"/>
        </w:rPr>
      </w:pPr>
      <w:r w:rsidRPr="00C93F78">
        <w:rPr>
          <w:szCs w:val="24"/>
        </w:rPr>
        <w:t>Art. 8 – zmiany w ustawie o specjalnych strefach ekonomicznych</w:t>
      </w:r>
    </w:p>
    <w:p w:rsidR="006C093D" w:rsidRPr="00C93F78" w:rsidRDefault="006C093D" w:rsidP="00C93F78">
      <w:pPr>
        <w:tabs>
          <w:tab w:val="left" w:pos="1168"/>
        </w:tabs>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ma na celu dostosowanie odwołania w art. 7 ust. 2 ustawy o specjalnych strefach ekonomicznych do zmiany oznaczenia jednostki legislacyjnej w ustawie o CIT, dokonanej niniejszą ustawą w zakresie zdefiniowania powiązań pomiędzy podmiotami – art. 11a ust. 1 pkt 5 zamiast art. 11 ust. 4-8.</w:t>
      </w:r>
    </w:p>
    <w:p w:rsidR="00ED3F66" w:rsidRPr="00C93F78" w:rsidRDefault="00ED3F66" w:rsidP="00C93F78">
      <w:pPr>
        <w:pStyle w:val="Nagwek2"/>
        <w:spacing w:line="360" w:lineRule="auto"/>
        <w:jc w:val="both"/>
        <w:rPr>
          <w:b w:val="0"/>
          <w:szCs w:val="24"/>
        </w:rPr>
      </w:pPr>
      <w:r w:rsidRPr="00C93F78">
        <w:rPr>
          <w:szCs w:val="24"/>
        </w:rPr>
        <w:t xml:space="preserve">Art. </w:t>
      </w:r>
      <w:r w:rsidR="00ED4930" w:rsidRPr="00C93F78">
        <w:rPr>
          <w:szCs w:val="24"/>
        </w:rPr>
        <w:t>9</w:t>
      </w:r>
      <w:r w:rsidR="006C093D" w:rsidRPr="00C93F78">
        <w:rPr>
          <w:szCs w:val="24"/>
        </w:rPr>
        <w:t xml:space="preserve"> </w:t>
      </w:r>
      <w:r w:rsidRPr="00C93F78">
        <w:rPr>
          <w:szCs w:val="24"/>
        </w:rPr>
        <w:t xml:space="preserve">– zmiany w ustawie – Kodeks karny skarbowy </w:t>
      </w:r>
    </w:p>
    <w:p w:rsidR="008E3145" w:rsidRPr="00C93F78" w:rsidRDefault="008E3145" w:rsidP="00C93F78">
      <w:pPr>
        <w:pStyle w:val="ZARTzmartartykuempunktem"/>
        <w:spacing w:before="120" w:after="120"/>
        <w:ind w:left="0" w:firstLine="0"/>
        <w:rPr>
          <w:rFonts w:ascii="Times New Roman" w:hAnsi="Times New Roman" w:cs="Times New Roman"/>
          <w:szCs w:val="24"/>
        </w:rPr>
      </w:pPr>
      <w:r w:rsidRPr="00C93F78">
        <w:rPr>
          <w:rFonts w:ascii="Times New Roman" w:hAnsi="Times New Roman" w:cs="Times New Roman"/>
          <w:szCs w:val="24"/>
        </w:rPr>
        <w:t xml:space="preserve">Projektowana ustawa wprowadza sankcje na podstawie kodeksu karnego skarbowego w odniesieniu do przepisów regulujących obowiązek przekazywania informacji podatkowych oraz zmian w systemie poboru podatku u źródła. Z uwagi na fakt, że artykuł 56a dotyczący nieprawdziwych oświadczeń lub zatajenia prawdy odnosi się wyłącznie do podatnika, biorąc pod uwagę efekt złożenia przez płatnika oświadczenia – tj. możliwość zastosowania na moment wypłaty mechanizmu </w:t>
      </w:r>
      <w:r w:rsidRPr="00C93F78">
        <w:rPr>
          <w:rFonts w:ascii="Times New Roman" w:hAnsi="Times New Roman" w:cs="Times New Roman"/>
          <w:i/>
          <w:szCs w:val="24"/>
        </w:rPr>
        <w:t>relief at source</w:t>
      </w:r>
      <w:r w:rsidRPr="00C93F78">
        <w:rPr>
          <w:rFonts w:ascii="Times New Roman" w:hAnsi="Times New Roman" w:cs="Times New Roman"/>
          <w:szCs w:val="24"/>
        </w:rPr>
        <w:t xml:space="preserve"> – zdecydowano się na wprowadzenie artykułu </w:t>
      </w:r>
      <w:r w:rsidR="00F87A8F" w:rsidRPr="00C93F78">
        <w:rPr>
          <w:rFonts w:ascii="Times New Roman" w:hAnsi="Times New Roman" w:cs="Times New Roman"/>
          <w:szCs w:val="24"/>
        </w:rPr>
        <w:t>56d</w:t>
      </w:r>
      <w:r w:rsidRPr="00C93F78">
        <w:rPr>
          <w:rFonts w:ascii="Times New Roman" w:hAnsi="Times New Roman" w:cs="Times New Roman"/>
          <w:szCs w:val="24"/>
        </w:rPr>
        <w:t>, który sankcjonować będzie nieprawdziwe oświadczenia lub zatajenie prawdy</w:t>
      </w:r>
      <w:r w:rsidR="001C0C30" w:rsidRPr="00C93F78">
        <w:rPr>
          <w:rFonts w:ascii="Times New Roman" w:hAnsi="Times New Roman" w:cs="Times New Roman"/>
          <w:szCs w:val="24"/>
        </w:rPr>
        <w:t xml:space="preserve"> także</w:t>
      </w:r>
      <w:r w:rsidRPr="00C93F78">
        <w:rPr>
          <w:rFonts w:ascii="Times New Roman" w:hAnsi="Times New Roman" w:cs="Times New Roman"/>
          <w:szCs w:val="24"/>
        </w:rPr>
        <w:t xml:space="preserve"> przez płatnika. Sankcja przewidziana w art. </w:t>
      </w:r>
      <w:r w:rsidR="00F87A8F" w:rsidRPr="00C93F78">
        <w:rPr>
          <w:rFonts w:ascii="Times New Roman" w:hAnsi="Times New Roman" w:cs="Times New Roman"/>
          <w:szCs w:val="24"/>
        </w:rPr>
        <w:t xml:space="preserve">56d </w:t>
      </w:r>
      <w:r w:rsidRPr="00C93F78">
        <w:rPr>
          <w:rFonts w:ascii="Times New Roman" w:hAnsi="Times New Roman" w:cs="Times New Roman"/>
          <w:szCs w:val="24"/>
        </w:rPr>
        <w:t xml:space="preserve">jest tożsama do sankcji zwartej w art. 56 </w:t>
      </w:r>
      <w:r w:rsidR="00F87A8F" w:rsidRPr="00C93F78">
        <w:rPr>
          <w:rFonts w:ascii="Times New Roman" w:hAnsi="Times New Roman" w:cs="Times New Roman"/>
          <w:szCs w:val="24"/>
        </w:rPr>
        <w:t xml:space="preserve">§ 1 </w:t>
      </w:r>
      <w:r w:rsidRPr="00C93F78">
        <w:rPr>
          <w:rFonts w:ascii="Times New Roman" w:hAnsi="Times New Roman" w:cs="Times New Roman"/>
          <w:szCs w:val="24"/>
        </w:rPr>
        <w:t>kodeku karnego skarbowego.</w:t>
      </w:r>
    </w:p>
    <w:p w:rsidR="008E3145" w:rsidRPr="00C93F78" w:rsidRDefault="008E3145" w:rsidP="00C93F78">
      <w:pPr>
        <w:pStyle w:val="ZARTzmartartykuempunktem"/>
        <w:spacing w:before="120" w:after="120"/>
        <w:ind w:left="0" w:firstLine="0"/>
        <w:rPr>
          <w:rFonts w:ascii="Times New Roman" w:hAnsi="Times New Roman"/>
          <w:szCs w:val="24"/>
        </w:rPr>
      </w:pPr>
      <w:r w:rsidRPr="00C93F78">
        <w:rPr>
          <w:rFonts w:ascii="Times New Roman" w:hAnsi="Times New Roman" w:cs="Times New Roman"/>
          <w:szCs w:val="24"/>
        </w:rPr>
        <w:t>Wprowadzając obowiązek raportowania schematów podatkowych zdecydowano się na wprowadzenie możliwości orzeczenia przez sąd środka karnego zakazu prowadzenia określonej działalności gospodarczej. Zmiana</w:t>
      </w:r>
      <w:r w:rsidRPr="00C93F78">
        <w:rPr>
          <w:rFonts w:ascii="Times New Roman" w:hAnsi="Times New Roman"/>
          <w:szCs w:val="24"/>
        </w:rPr>
        <w:t xml:space="preserve"> dotyczy dodania do przepisów kodeksu karnego skarbowego nowego art. 80</w:t>
      </w:r>
      <w:r w:rsidR="00B65FB9" w:rsidRPr="00C93F78">
        <w:rPr>
          <w:rFonts w:ascii="Times New Roman" w:hAnsi="Times New Roman"/>
          <w:szCs w:val="24"/>
        </w:rPr>
        <w:t>f</w:t>
      </w:r>
      <w:r w:rsidRPr="00C93F78">
        <w:rPr>
          <w:rFonts w:ascii="Times New Roman" w:hAnsi="Times New Roman"/>
          <w:szCs w:val="24"/>
        </w:rPr>
        <w:t>, zgodnie z którym karze grzywny do 720 stawek dziennych będzie podlegał ten, kto nie przekazuje właściwemu organowi informacji o schemacie podatkowym, albo przekazuje informacje po terminie, lub nie przekazuje właściwemu organowi danych dotyczących podmiotów, którym udostępniono standaryzowany schemat podatkowy, albo przekazuje je terminie. Tej samej karze podlegać, będzie osoba, która nie składa informacji, o której mowa w art. 86j ustawy Ordynacja podatkowa. Karze grzywny do 720 stawek dziennych podlegać będzie,</w:t>
      </w:r>
      <w:r w:rsidR="00AF4EDC" w:rsidRPr="00C93F78">
        <w:rPr>
          <w:rFonts w:ascii="Times New Roman" w:hAnsi="Times New Roman"/>
          <w:szCs w:val="24"/>
        </w:rPr>
        <w:t xml:space="preserve"> kto</w:t>
      </w:r>
      <w:r w:rsidRPr="00C93F78">
        <w:rPr>
          <w:rFonts w:ascii="Times New Roman" w:hAnsi="Times New Roman"/>
          <w:szCs w:val="24"/>
        </w:rPr>
        <w:t xml:space="preserve"> </w:t>
      </w:r>
      <w:r w:rsidR="00AF4EDC" w:rsidRPr="00C93F78">
        <w:rPr>
          <w:szCs w:val="24"/>
        </w:rPr>
        <w:t>nie składa właściwemu organowi oświadczenia, o którym mowa w art. 86j § 5 ustawy Ordynacja podatkowa</w:t>
      </w:r>
      <w:r w:rsidRPr="00C93F78">
        <w:rPr>
          <w:rFonts w:ascii="Times New Roman" w:hAnsi="Times New Roman"/>
          <w:szCs w:val="24"/>
        </w:rPr>
        <w:t>.</w:t>
      </w:r>
      <w:r w:rsidR="00AF4EDC" w:rsidRPr="00C93F78">
        <w:rPr>
          <w:rFonts w:ascii="Times New Roman" w:hAnsi="Times New Roman"/>
          <w:szCs w:val="24"/>
        </w:rPr>
        <w:t xml:space="preserve"> Analogiczne zagrożenie karą przewidziane jest dla tego, kto nie informuje pisemnie podmiotu obowiązanego do przekazania schematu podatkowego o tym obowiązku lub robi to po terminie, kto nie przekazuje podmiotowi obowiązanemu do przekazania schematu podatkowego danych, o których mowa w art. 86f § 1 dotyczących schematu podatkowego lub robi to po terminie, kto nie informuje pisemnie podmiotów obowiązanych do przekazania informacji o schemacie podatkowym o tym, że nie przekaże informacji o schemacie podatkowym lub robi to po terminie oraz kto nie występuje do podmiotu zlecającego czynności z odrębnym pismem o przekazanie mu pisemnego oświadczenia, że uzgodnienie nie stanowi schematu podatkowego lub robi to po terminie.</w:t>
      </w:r>
      <w:r w:rsidRPr="00C93F78">
        <w:rPr>
          <w:rFonts w:ascii="Times New Roman" w:hAnsi="Times New Roman"/>
          <w:szCs w:val="24"/>
        </w:rPr>
        <w:t xml:space="preserve"> Posługiwanie się unieważnionym NSP podlegać będzie karze do 240 stawek dziennych. W wypadku mniejszej wagi, sprawca powyższych czynów zabronionych może podlegać karze grzywny za wykroczenie skarbowe.</w:t>
      </w:r>
    </w:p>
    <w:p w:rsidR="00ED4930" w:rsidRPr="00C93F78" w:rsidRDefault="00ED4930" w:rsidP="00C93F78">
      <w:pPr>
        <w:pStyle w:val="Nagwek2"/>
        <w:spacing w:line="360" w:lineRule="auto"/>
        <w:jc w:val="both"/>
        <w:rPr>
          <w:szCs w:val="24"/>
        </w:rPr>
      </w:pPr>
      <w:r w:rsidRPr="00C93F78">
        <w:rPr>
          <w:szCs w:val="24"/>
        </w:rPr>
        <w:t>Art. 10</w:t>
      </w:r>
      <w:r w:rsidR="00BC48D7" w:rsidRPr="00C93F78">
        <w:rPr>
          <w:szCs w:val="24"/>
        </w:rPr>
        <w:t xml:space="preserve"> – 1</w:t>
      </w:r>
      <w:r w:rsidR="002B538D" w:rsidRPr="00C93F78">
        <w:rPr>
          <w:szCs w:val="24"/>
        </w:rPr>
        <w:t>1</w:t>
      </w:r>
      <w:r w:rsidR="00BC48D7" w:rsidRPr="00C93F78">
        <w:rPr>
          <w:szCs w:val="24"/>
        </w:rPr>
        <w:t xml:space="preserve"> projektu -</w:t>
      </w:r>
      <w:r w:rsidR="009113E8" w:rsidRPr="00C93F78">
        <w:rPr>
          <w:szCs w:val="24"/>
        </w:rPr>
        <w:t xml:space="preserve"> </w:t>
      </w:r>
      <w:r w:rsidRPr="00C93F78">
        <w:rPr>
          <w:szCs w:val="24"/>
        </w:rPr>
        <w:t xml:space="preserve">zmiany w ustawie o </w:t>
      </w:r>
      <w:r w:rsidR="00E77A77" w:rsidRPr="00C93F78">
        <w:rPr>
          <w:szCs w:val="24"/>
        </w:rPr>
        <w:t>doradztwie podatkowym</w:t>
      </w:r>
      <w:r w:rsidR="002B538D" w:rsidRPr="00C93F78">
        <w:rPr>
          <w:szCs w:val="24"/>
        </w:rPr>
        <w:t xml:space="preserve"> oraz</w:t>
      </w:r>
      <w:r w:rsidR="00BC48D7" w:rsidRPr="00C93F78">
        <w:rPr>
          <w:szCs w:val="24"/>
        </w:rPr>
        <w:t xml:space="preserve"> ustawie o rzecznikach patentowych</w:t>
      </w:r>
    </w:p>
    <w:p w:rsidR="002B538D" w:rsidRPr="00C93F78" w:rsidRDefault="002B538D" w:rsidP="00C93F78">
      <w:pPr>
        <w:tabs>
          <w:tab w:val="right" w:pos="9072"/>
        </w:tabs>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Uzasadnienie przedmiotowych zmian zostało szczegółowo opisane w uzasadnieniu do art. 5-7 projektu. </w:t>
      </w:r>
      <w:r w:rsidRPr="00C93F78">
        <w:rPr>
          <w:rFonts w:ascii="Times New Roman" w:hAnsi="Times New Roman" w:cs="Times New Roman"/>
          <w:sz w:val="24"/>
          <w:szCs w:val="24"/>
        </w:rPr>
        <w:tab/>
      </w:r>
    </w:p>
    <w:p w:rsidR="00ED3F66" w:rsidRPr="00C93F78" w:rsidRDefault="00ED3F66" w:rsidP="00C93F78">
      <w:pPr>
        <w:pStyle w:val="Nagwek2"/>
        <w:spacing w:line="360" w:lineRule="auto"/>
        <w:jc w:val="both"/>
        <w:rPr>
          <w:b w:val="0"/>
          <w:szCs w:val="24"/>
        </w:rPr>
      </w:pPr>
      <w:r w:rsidRPr="00C93F78">
        <w:rPr>
          <w:szCs w:val="24"/>
        </w:rPr>
        <w:t xml:space="preserve">Art. </w:t>
      </w:r>
      <w:r w:rsidR="00E77A77" w:rsidRPr="00C93F78">
        <w:rPr>
          <w:szCs w:val="24"/>
        </w:rPr>
        <w:t>12</w:t>
      </w:r>
      <w:r w:rsidR="006C093D" w:rsidRPr="00C93F78">
        <w:rPr>
          <w:szCs w:val="24"/>
        </w:rPr>
        <w:t xml:space="preserve"> </w:t>
      </w:r>
      <w:r w:rsidRPr="00C93F78">
        <w:rPr>
          <w:szCs w:val="24"/>
        </w:rPr>
        <w:t xml:space="preserve">– zmiany w ustawie o dochodach jednostek samorządu terytorialnego </w:t>
      </w:r>
    </w:p>
    <w:p w:rsidR="008E3145" w:rsidRPr="00C93F78" w:rsidRDefault="0028573B" w:rsidP="00C93F78">
      <w:pPr>
        <w:pStyle w:val="ARTartustawynprozporzdzenia"/>
        <w:spacing w:after="120"/>
        <w:ind w:firstLine="0"/>
        <w:rPr>
          <w:szCs w:val="24"/>
        </w:rPr>
      </w:pPr>
      <w:r w:rsidRPr="00C93F78">
        <w:rPr>
          <w:szCs w:val="24"/>
        </w:rPr>
        <w:t xml:space="preserve">Zmiana zakłada uwzględnienie w dochodach własnych gminy wpływów z dodatkowego zobowiązania podatkowego związanego z unikaniem opodatkowania. </w:t>
      </w:r>
    </w:p>
    <w:p w:rsidR="00BE78DF" w:rsidRPr="00C93F78" w:rsidRDefault="00BE78DF" w:rsidP="00C93F78">
      <w:pPr>
        <w:pStyle w:val="Nagwek2"/>
        <w:spacing w:line="360" w:lineRule="auto"/>
        <w:jc w:val="both"/>
        <w:rPr>
          <w:rFonts w:eastAsia="Calibri"/>
          <w:b w:val="0"/>
          <w:szCs w:val="24"/>
        </w:rPr>
      </w:pPr>
      <w:r w:rsidRPr="00C93F78">
        <w:rPr>
          <w:rFonts w:eastAsia="Calibri"/>
          <w:szCs w:val="24"/>
        </w:rPr>
        <w:t xml:space="preserve">Art. </w:t>
      </w:r>
      <w:r w:rsidR="00F92791" w:rsidRPr="00C93F78">
        <w:rPr>
          <w:rFonts w:eastAsia="Calibri"/>
          <w:szCs w:val="24"/>
        </w:rPr>
        <w:t>13</w:t>
      </w:r>
      <w:r w:rsidRPr="00C93F78">
        <w:rPr>
          <w:rFonts w:eastAsia="Calibri"/>
          <w:szCs w:val="24"/>
        </w:rPr>
        <w:t xml:space="preserve"> – zmiany w ustawie o podatku od towarów i usług </w:t>
      </w:r>
    </w:p>
    <w:p w:rsidR="001404ED" w:rsidRPr="00C93F78" w:rsidRDefault="001404ED"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Przepis ma na celu dostosowanie przepisu art. 32 podatku od towarów i usług do zmian wprowadzanych przez niniejszą ustawę do ustawy o CIT i ustawy o PIT. W rezultacie osiągnięta będzie spójność regulacji dotyczących podmiotów powiązanych we wszystkich trzech ustawach, bowiem treść zmian w art. 32 ustawy o VAT bezpośrednio odnosi się do zmian wprowadzonych do ustawy CIT i ustawy PIT. Z uwagi na specyfikę ustawy o VAT, pozostawiono specyficznie na potrzeby tej ustawy relacje wyni</w:t>
      </w:r>
      <w:r w:rsidR="00C25392" w:rsidRPr="00C93F78">
        <w:rPr>
          <w:rFonts w:ascii="Times New Roman" w:hAnsi="Times New Roman" w:cs="Times New Roman"/>
          <w:sz w:val="24"/>
          <w:szCs w:val="24"/>
        </w:rPr>
        <w:t>kające ze stosunku pracy oraz z </w:t>
      </w:r>
      <w:r w:rsidRPr="00C93F78">
        <w:rPr>
          <w:rFonts w:ascii="Times New Roman" w:hAnsi="Times New Roman" w:cs="Times New Roman"/>
          <w:sz w:val="24"/>
          <w:szCs w:val="24"/>
        </w:rPr>
        <w:t>tytułu przysposobienia jako uzupełnienie przepisów ustawy o CIT i ustawy o PIT w zakresie powiązań.</w:t>
      </w:r>
    </w:p>
    <w:p w:rsidR="00ED3F66" w:rsidRPr="00C93F78" w:rsidRDefault="00ED3F66" w:rsidP="00C93F78">
      <w:pPr>
        <w:pStyle w:val="Nagwek2"/>
        <w:spacing w:line="360" w:lineRule="auto"/>
        <w:jc w:val="both"/>
        <w:rPr>
          <w:rFonts w:eastAsia="Calibri"/>
          <w:b w:val="0"/>
          <w:szCs w:val="24"/>
        </w:rPr>
      </w:pPr>
      <w:r w:rsidRPr="00C93F78">
        <w:rPr>
          <w:rFonts w:eastAsia="Calibri"/>
          <w:szCs w:val="24"/>
        </w:rPr>
        <w:t>Art.</w:t>
      </w:r>
      <w:r w:rsidR="00E77A77" w:rsidRPr="00C93F78">
        <w:rPr>
          <w:rFonts w:eastAsia="Calibri"/>
          <w:szCs w:val="24"/>
        </w:rPr>
        <w:t xml:space="preserve"> 14 - </w:t>
      </w:r>
      <w:r w:rsidRPr="00C93F78">
        <w:rPr>
          <w:rFonts w:eastAsia="Calibri"/>
          <w:szCs w:val="24"/>
        </w:rPr>
        <w:t xml:space="preserve">zmiany w ustawie o Krajowej Administracji </w:t>
      </w:r>
      <w:r w:rsidR="0028573B" w:rsidRPr="00C93F78">
        <w:rPr>
          <w:rFonts w:eastAsia="Calibri"/>
          <w:szCs w:val="24"/>
        </w:rPr>
        <w:t>S</w:t>
      </w:r>
      <w:r w:rsidRPr="00C93F78">
        <w:rPr>
          <w:rFonts w:eastAsia="Calibri"/>
          <w:szCs w:val="24"/>
        </w:rPr>
        <w:t xml:space="preserve">karbowej </w:t>
      </w:r>
    </w:p>
    <w:p w:rsidR="0028573B" w:rsidRPr="00C93F78" w:rsidRDefault="0028573B" w:rsidP="00C93F78">
      <w:pPr>
        <w:spacing w:before="120" w:after="120"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Zmiany w ustawie o Krajowej Administracji Skarbowej zostały omówione w częściach uzasadnienia odnoszących się do poszczególnych zagadnień.</w:t>
      </w:r>
    </w:p>
    <w:p w:rsidR="001404ED" w:rsidRPr="00C93F78" w:rsidRDefault="001404ED" w:rsidP="00C93F78">
      <w:pPr>
        <w:spacing w:before="120" w:after="120"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 xml:space="preserve">Art. </w:t>
      </w:r>
      <w:r w:rsidR="00E77A77" w:rsidRPr="00C93F78">
        <w:rPr>
          <w:rFonts w:ascii="Times New Roman" w:hAnsi="Times New Roman" w:cs="Times New Roman"/>
          <w:b/>
          <w:sz w:val="24"/>
          <w:szCs w:val="24"/>
        </w:rPr>
        <w:t>15</w:t>
      </w:r>
      <w:r w:rsidRPr="00C93F78">
        <w:rPr>
          <w:rFonts w:ascii="Times New Roman" w:hAnsi="Times New Roman" w:cs="Times New Roman"/>
          <w:b/>
          <w:sz w:val="24"/>
          <w:szCs w:val="24"/>
        </w:rPr>
        <w:t xml:space="preserve"> </w:t>
      </w:r>
      <w:r w:rsidR="0017793E" w:rsidRPr="00C93F78">
        <w:rPr>
          <w:rFonts w:ascii="Times New Roman" w:eastAsia="SimSun" w:hAnsi="Times New Roman" w:cs="Times New Roman"/>
          <w:b/>
          <w:sz w:val="24"/>
          <w:szCs w:val="24"/>
        </w:rPr>
        <w:t xml:space="preserve">- </w:t>
      </w:r>
      <w:r w:rsidRPr="00C93F78">
        <w:rPr>
          <w:rFonts w:ascii="Times New Roman" w:hAnsi="Times New Roman" w:cs="Times New Roman"/>
          <w:b/>
          <w:sz w:val="24"/>
          <w:szCs w:val="24"/>
        </w:rPr>
        <w:t xml:space="preserve">zmiany w ustawie o wymianie informacji podatkowych z innymi państwami </w:t>
      </w:r>
    </w:p>
    <w:p w:rsidR="00C25392" w:rsidRPr="00C93F78" w:rsidRDefault="001404ED" w:rsidP="00C93F78">
      <w:pPr>
        <w:spacing w:line="360" w:lineRule="auto"/>
        <w:jc w:val="both"/>
        <w:rPr>
          <w:rFonts w:ascii="Times New Roman" w:eastAsia="SimSun" w:hAnsi="Times New Roman" w:cs="Times New Roman"/>
          <w:kern w:val="3"/>
          <w:sz w:val="24"/>
          <w:szCs w:val="24"/>
        </w:rPr>
      </w:pPr>
      <w:r w:rsidRPr="00C93F78">
        <w:rPr>
          <w:rFonts w:ascii="Times New Roman" w:eastAsia="SimSun" w:hAnsi="Times New Roman" w:cs="Times New Roman"/>
          <w:kern w:val="3"/>
          <w:sz w:val="24"/>
          <w:szCs w:val="24"/>
        </w:rPr>
        <w:t>Celem przepisu są zmiany dostosowawcze wynikające ze zmiany terminologii w zakresie cen transferowych – określenie „cena transakcyjna” zostało zastąpio</w:t>
      </w:r>
      <w:r w:rsidR="00C25392" w:rsidRPr="00C93F78">
        <w:rPr>
          <w:rFonts w:ascii="Times New Roman" w:eastAsia="SimSun" w:hAnsi="Times New Roman" w:cs="Times New Roman"/>
          <w:kern w:val="3"/>
          <w:sz w:val="24"/>
          <w:szCs w:val="24"/>
        </w:rPr>
        <w:t>ne terminem „cena transferowa”.</w:t>
      </w:r>
    </w:p>
    <w:p w:rsidR="00C25392" w:rsidRPr="00C93F78" w:rsidRDefault="001404ED" w:rsidP="00C93F78">
      <w:pPr>
        <w:spacing w:line="360" w:lineRule="auto"/>
        <w:jc w:val="both"/>
        <w:rPr>
          <w:rFonts w:ascii="Times New Roman" w:eastAsia="SimSun" w:hAnsi="Times New Roman" w:cs="Times New Roman"/>
          <w:kern w:val="3"/>
          <w:sz w:val="24"/>
          <w:szCs w:val="24"/>
        </w:rPr>
      </w:pPr>
      <w:r w:rsidRPr="00C93F78">
        <w:rPr>
          <w:rFonts w:ascii="Times New Roman" w:eastAsia="SimSun" w:hAnsi="Times New Roman" w:cs="Times New Roman"/>
          <w:kern w:val="3"/>
          <w:sz w:val="24"/>
          <w:szCs w:val="24"/>
        </w:rPr>
        <w:t>Wprowadzenie regulacji wynika ze zmiany oznaczenia jednostek legislacyjnych w ustawie o PIT i w ustawie o CIT – odpowiednio 23m ust. 1 pkt 4 zamiast „art. 25” oraz 11a ust. 1 pkt 4 zamiast „art. 11”.</w:t>
      </w:r>
    </w:p>
    <w:p w:rsidR="00C25392" w:rsidRPr="00C93F78" w:rsidRDefault="00C25392" w:rsidP="00C93F78">
      <w:pPr>
        <w:spacing w:before="120" w:after="120" w:line="360" w:lineRule="auto"/>
        <w:jc w:val="both"/>
        <w:rPr>
          <w:rFonts w:ascii="Times New Roman" w:eastAsia="SimSun" w:hAnsi="Times New Roman" w:cs="Times New Roman"/>
          <w:kern w:val="3"/>
          <w:sz w:val="24"/>
          <w:szCs w:val="24"/>
        </w:rPr>
      </w:pPr>
      <w:r w:rsidRPr="00C93F78">
        <w:rPr>
          <w:rFonts w:ascii="Times New Roman" w:eastAsia="Calibri" w:hAnsi="Times New Roman" w:cs="Times New Roman"/>
          <w:b/>
          <w:sz w:val="24"/>
          <w:szCs w:val="24"/>
        </w:rPr>
        <w:t>Art. 1</w:t>
      </w:r>
      <w:r w:rsidR="00E77A77" w:rsidRPr="00C93F78">
        <w:rPr>
          <w:rFonts w:ascii="Times New Roman" w:eastAsia="Calibri" w:hAnsi="Times New Roman" w:cs="Times New Roman"/>
          <w:b/>
          <w:sz w:val="24"/>
          <w:szCs w:val="24"/>
        </w:rPr>
        <w:t xml:space="preserve">6 projektu </w:t>
      </w:r>
      <w:r w:rsidR="00F64648" w:rsidRPr="00C93F78">
        <w:rPr>
          <w:rFonts w:ascii="Times New Roman" w:eastAsia="Calibri" w:hAnsi="Times New Roman" w:cs="Times New Roman"/>
          <w:b/>
          <w:sz w:val="24"/>
          <w:szCs w:val="24"/>
        </w:rPr>
        <w:t>–</w:t>
      </w:r>
      <w:r w:rsidR="00E77A77" w:rsidRPr="00C93F78">
        <w:rPr>
          <w:rFonts w:ascii="Times New Roman" w:eastAsia="Calibri" w:hAnsi="Times New Roman" w:cs="Times New Roman"/>
          <w:b/>
          <w:sz w:val="24"/>
          <w:szCs w:val="24"/>
        </w:rPr>
        <w:t xml:space="preserve"> </w:t>
      </w:r>
      <w:r w:rsidR="00F64648" w:rsidRPr="00C93F78">
        <w:rPr>
          <w:rFonts w:ascii="Times New Roman" w:eastAsia="SimSun" w:hAnsi="Times New Roman" w:cs="Times New Roman"/>
          <w:kern w:val="3"/>
          <w:sz w:val="24"/>
          <w:szCs w:val="24"/>
        </w:rPr>
        <w:t xml:space="preserve">Zmiana w ustawie o biegłych rewidentach, firmach audytorskich oraz nadzorze publicznym – </w:t>
      </w:r>
      <w:r w:rsidR="00F64648" w:rsidRPr="00C93F78">
        <w:rPr>
          <w:rFonts w:ascii="Times New Roman" w:hAnsi="Times New Roman" w:cs="Times New Roman"/>
          <w:sz w:val="24"/>
          <w:szCs w:val="24"/>
        </w:rPr>
        <w:t>Uzasadnienie przedmiotowych zmian zostało szczegółowo opisane w uzasadnieniu do art. 5-7 projektu.</w:t>
      </w:r>
    </w:p>
    <w:p w:rsidR="003461A3" w:rsidRPr="00C93F78" w:rsidRDefault="003461A3" w:rsidP="00C93F78">
      <w:pPr>
        <w:pStyle w:val="Nagwek2"/>
        <w:spacing w:line="360" w:lineRule="auto"/>
        <w:jc w:val="both"/>
        <w:rPr>
          <w:rFonts w:eastAsia="Calibri"/>
          <w:b w:val="0"/>
          <w:szCs w:val="24"/>
        </w:rPr>
      </w:pPr>
      <w:r w:rsidRPr="00C93F78">
        <w:rPr>
          <w:rFonts w:eastAsia="Calibri"/>
          <w:szCs w:val="24"/>
        </w:rPr>
        <w:t>Przepisy przejściowe i końcowe</w:t>
      </w:r>
    </w:p>
    <w:p w:rsidR="00F64648" w:rsidRPr="00C93F78" w:rsidRDefault="00F64648" w:rsidP="00C93F78">
      <w:pPr>
        <w:spacing w:before="120" w:after="120" w:line="360" w:lineRule="auto"/>
        <w:jc w:val="both"/>
        <w:rPr>
          <w:rFonts w:ascii="Times New Roman" w:eastAsia="SimSun" w:hAnsi="Times New Roman" w:cs="Times New Roman"/>
          <w:kern w:val="3"/>
          <w:sz w:val="24"/>
          <w:szCs w:val="24"/>
        </w:rPr>
      </w:pPr>
      <w:r w:rsidRPr="00C93F78">
        <w:rPr>
          <w:rFonts w:ascii="Times New Roman" w:eastAsia="Calibri" w:hAnsi="Times New Roman" w:cs="Times New Roman"/>
          <w:b/>
          <w:sz w:val="24"/>
          <w:szCs w:val="24"/>
        </w:rPr>
        <w:t xml:space="preserve">Art. 17 projektu - </w:t>
      </w:r>
      <w:r w:rsidRPr="00C93F78">
        <w:rPr>
          <w:rFonts w:ascii="Times New Roman" w:eastAsia="Calibri" w:hAnsi="Times New Roman" w:cs="Times New Roman"/>
          <w:sz w:val="24"/>
          <w:szCs w:val="24"/>
        </w:rPr>
        <w:t>p</w:t>
      </w:r>
      <w:r w:rsidRPr="00C93F78">
        <w:rPr>
          <w:rFonts w:ascii="Times New Roman" w:eastAsia="SimSun" w:hAnsi="Times New Roman" w:cs="Times New Roman"/>
          <w:kern w:val="3"/>
          <w:sz w:val="24"/>
          <w:szCs w:val="24"/>
        </w:rPr>
        <w:t>rzepis wprowadza zwolnienie od podatku odsetek lub dyskonta od obligacji opodatkowanych w sposób określony w przepisach art. 9-11niniejszego projektu, jak również zwolnienie w tym zakresie podmiotu wypłacającego odsetki (dyskonto) z obowiązków płatnika. Zwolnienie to dotyczy dochodów nierezydentów z obligacji wyemitowanych przed dniem wejścia w życie niniejszego projektu ustawy.</w:t>
      </w:r>
    </w:p>
    <w:p w:rsidR="00ED3F66" w:rsidRPr="00C93F78" w:rsidRDefault="00ED3F66" w:rsidP="00C93F78">
      <w:pPr>
        <w:spacing w:before="120" w:after="120" w:line="360" w:lineRule="auto"/>
        <w:jc w:val="both"/>
        <w:rPr>
          <w:rFonts w:ascii="Times New Roman" w:eastAsia="SimSun" w:hAnsi="Times New Roman" w:cs="Times New Roman"/>
          <w:kern w:val="3"/>
          <w:sz w:val="24"/>
          <w:szCs w:val="24"/>
        </w:rPr>
      </w:pPr>
      <w:r w:rsidRPr="00C93F78">
        <w:rPr>
          <w:rFonts w:ascii="Times New Roman" w:eastAsia="Calibri" w:hAnsi="Times New Roman" w:cs="Times New Roman"/>
          <w:b/>
          <w:sz w:val="24"/>
          <w:szCs w:val="24"/>
        </w:rPr>
        <w:t>Art.</w:t>
      </w:r>
      <w:r w:rsidR="001639DA" w:rsidRPr="00C93F78">
        <w:rPr>
          <w:rFonts w:ascii="Times New Roman" w:eastAsia="Calibri" w:hAnsi="Times New Roman" w:cs="Times New Roman"/>
          <w:b/>
          <w:sz w:val="24"/>
          <w:szCs w:val="24"/>
        </w:rPr>
        <w:t xml:space="preserve"> </w:t>
      </w:r>
      <w:r w:rsidR="00C25392" w:rsidRPr="00C93F78">
        <w:rPr>
          <w:rFonts w:ascii="Times New Roman" w:eastAsia="Calibri" w:hAnsi="Times New Roman" w:cs="Times New Roman"/>
          <w:b/>
          <w:sz w:val="24"/>
          <w:szCs w:val="24"/>
        </w:rPr>
        <w:t>1</w:t>
      </w:r>
      <w:r w:rsidR="00F64648" w:rsidRPr="00C93F78">
        <w:rPr>
          <w:rFonts w:ascii="Times New Roman" w:eastAsia="Calibri" w:hAnsi="Times New Roman" w:cs="Times New Roman"/>
          <w:b/>
          <w:sz w:val="24"/>
          <w:szCs w:val="24"/>
        </w:rPr>
        <w:t>8</w:t>
      </w:r>
      <w:r w:rsidR="00B96B46" w:rsidRPr="00C93F78">
        <w:rPr>
          <w:rFonts w:ascii="Times New Roman" w:eastAsia="Calibri" w:hAnsi="Times New Roman" w:cs="Times New Roman"/>
          <w:b/>
          <w:sz w:val="24"/>
          <w:szCs w:val="24"/>
        </w:rPr>
        <w:t>-</w:t>
      </w:r>
      <w:r w:rsidR="00F64648" w:rsidRPr="00C93F78">
        <w:rPr>
          <w:rFonts w:ascii="Times New Roman" w:eastAsia="Calibri" w:hAnsi="Times New Roman" w:cs="Times New Roman"/>
          <w:b/>
          <w:sz w:val="24"/>
          <w:szCs w:val="24"/>
        </w:rPr>
        <w:t>20</w:t>
      </w:r>
      <w:r w:rsidR="00E77A77" w:rsidRPr="00C93F78">
        <w:rPr>
          <w:rFonts w:ascii="Times New Roman" w:eastAsia="Calibri" w:hAnsi="Times New Roman" w:cs="Times New Roman"/>
          <w:b/>
          <w:sz w:val="24"/>
          <w:szCs w:val="24"/>
        </w:rPr>
        <w:t xml:space="preserve"> projektu - </w:t>
      </w:r>
      <w:r w:rsidR="00E77A77" w:rsidRPr="00C93F78">
        <w:rPr>
          <w:rFonts w:ascii="Times New Roman" w:eastAsia="Calibri" w:hAnsi="Times New Roman" w:cs="Times New Roman"/>
          <w:sz w:val="24"/>
          <w:szCs w:val="24"/>
        </w:rPr>
        <w:t>p</w:t>
      </w:r>
      <w:r w:rsidRPr="00C93F78">
        <w:rPr>
          <w:rFonts w:ascii="Times New Roman" w:eastAsia="SimSun" w:hAnsi="Times New Roman" w:cs="Times New Roman"/>
          <w:kern w:val="3"/>
          <w:sz w:val="24"/>
          <w:szCs w:val="24"/>
        </w:rPr>
        <w:t>rzepisy przewidują możliwość opodatkowania 3%</w:t>
      </w:r>
      <w:r w:rsidR="00840A3E" w:rsidRPr="00C93F78">
        <w:rPr>
          <w:rFonts w:ascii="Times New Roman" w:eastAsia="SimSun" w:hAnsi="Times New Roman" w:cs="Times New Roman"/>
          <w:kern w:val="3"/>
          <w:sz w:val="24"/>
          <w:szCs w:val="24"/>
        </w:rPr>
        <w:t xml:space="preserve"> </w:t>
      </w:r>
      <w:r w:rsidRPr="00C93F78">
        <w:rPr>
          <w:rFonts w:ascii="Times New Roman" w:eastAsia="SimSun" w:hAnsi="Times New Roman" w:cs="Times New Roman"/>
          <w:kern w:val="3"/>
          <w:sz w:val="24"/>
          <w:szCs w:val="24"/>
        </w:rPr>
        <w:t>podatkiem zryczałtowanym emisji obligacji dokonanych przed 1 stycznia 2019 r. Projekt określa również zasady opodatkowania tych emisji, które dokonywane były z zastosowaniem struktur optymalizacyjnych.</w:t>
      </w:r>
    </w:p>
    <w:p w:rsidR="00ED3F66" w:rsidRPr="00C93F78" w:rsidRDefault="00ED3F66" w:rsidP="00C93F78">
      <w:pPr>
        <w:spacing w:before="120"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 xml:space="preserve">Art. </w:t>
      </w:r>
      <w:r w:rsidR="00E77A77" w:rsidRPr="00C93F78">
        <w:rPr>
          <w:rFonts w:ascii="Times New Roman" w:eastAsia="Calibri" w:hAnsi="Times New Roman" w:cs="Times New Roman"/>
          <w:b/>
          <w:sz w:val="24"/>
          <w:szCs w:val="24"/>
        </w:rPr>
        <w:t>2</w:t>
      </w:r>
      <w:r w:rsidR="00F64648" w:rsidRPr="00C93F78">
        <w:rPr>
          <w:rFonts w:ascii="Times New Roman" w:eastAsia="Calibri" w:hAnsi="Times New Roman" w:cs="Times New Roman"/>
          <w:b/>
          <w:sz w:val="24"/>
          <w:szCs w:val="24"/>
        </w:rPr>
        <w:t>1</w:t>
      </w:r>
      <w:r w:rsidR="00E77A77" w:rsidRPr="00C93F78">
        <w:rPr>
          <w:rFonts w:ascii="Times New Roman" w:eastAsia="Calibri" w:hAnsi="Times New Roman" w:cs="Times New Roman"/>
          <w:b/>
          <w:sz w:val="24"/>
          <w:szCs w:val="24"/>
        </w:rPr>
        <w:t xml:space="preserve"> projektu - </w:t>
      </w:r>
      <w:r w:rsidR="00E77A77" w:rsidRPr="00C93F78">
        <w:rPr>
          <w:rFonts w:ascii="Times New Roman" w:eastAsia="Calibri" w:hAnsi="Times New Roman" w:cs="Times New Roman"/>
          <w:sz w:val="24"/>
          <w:szCs w:val="24"/>
        </w:rPr>
        <w:t>p</w:t>
      </w:r>
      <w:r w:rsidRPr="00C93F78">
        <w:rPr>
          <w:rFonts w:ascii="Times New Roman" w:eastAsia="SimSun" w:hAnsi="Times New Roman" w:cs="Times New Roman"/>
          <w:kern w:val="3"/>
          <w:sz w:val="24"/>
          <w:szCs w:val="24"/>
        </w:rPr>
        <w:t>rzepis wprowadza</w:t>
      </w:r>
      <w:r w:rsidRPr="00C93F78">
        <w:rPr>
          <w:rFonts w:ascii="Times New Roman" w:eastAsia="SimSun" w:hAnsi="Times New Roman" w:cs="Times New Roman"/>
          <w:b/>
          <w:kern w:val="3"/>
          <w:sz w:val="24"/>
          <w:szCs w:val="24"/>
        </w:rPr>
        <w:t xml:space="preserve"> </w:t>
      </w:r>
      <w:r w:rsidRPr="00C93F78">
        <w:rPr>
          <w:rFonts w:ascii="Times New Roman" w:eastAsia="SimSun" w:hAnsi="Times New Roman" w:cs="Times New Roman"/>
          <w:kern w:val="3"/>
          <w:sz w:val="24"/>
          <w:szCs w:val="24"/>
        </w:rPr>
        <w:t>delegację ustawową dla określenia wzoru deklaracji podatkowej w zakresie opodatkowania emisji obligacji dokonanych przed 1 stycznia 2019 r.</w:t>
      </w:r>
    </w:p>
    <w:p w:rsidR="00ED3F66" w:rsidRPr="00C93F78" w:rsidRDefault="00ED3F66"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 xml:space="preserve">Art. </w:t>
      </w:r>
      <w:r w:rsidR="00E77A77" w:rsidRPr="00C93F78">
        <w:rPr>
          <w:rFonts w:ascii="Times New Roman" w:eastAsia="Calibri" w:hAnsi="Times New Roman" w:cs="Times New Roman"/>
          <w:b/>
          <w:sz w:val="24"/>
          <w:szCs w:val="24"/>
        </w:rPr>
        <w:t>2</w:t>
      </w:r>
      <w:r w:rsidR="00F64648" w:rsidRPr="00C93F78">
        <w:rPr>
          <w:rFonts w:ascii="Times New Roman" w:eastAsia="Calibri" w:hAnsi="Times New Roman" w:cs="Times New Roman"/>
          <w:b/>
          <w:sz w:val="24"/>
          <w:szCs w:val="24"/>
        </w:rPr>
        <w:t>2</w:t>
      </w:r>
      <w:r w:rsidR="00E77A77" w:rsidRPr="00C93F78">
        <w:rPr>
          <w:rFonts w:ascii="Times New Roman" w:eastAsia="Calibri" w:hAnsi="Times New Roman" w:cs="Times New Roman"/>
          <w:b/>
          <w:sz w:val="24"/>
          <w:szCs w:val="24"/>
        </w:rPr>
        <w:t xml:space="preserve"> projektu - </w:t>
      </w:r>
      <w:r w:rsidR="00E77A77" w:rsidRPr="00C93F78">
        <w:rPr>
          <w:rFonts w:ascii="Times New Roman" w:eastAsia="Calibri" w:hAnsi="Times New Roman" w:cs="Times New Roman"/>
          <w:sz w:val="24"/>
          <w:szCs w:val="24"/>
        </w:rPr>
        <w:t>p</w:t>
      </w:r>
      <w:r w:rsidRPr="00C93F78">
        <w:rPr>
          <w:rFonts w:ascii="Times New Roman" w:eastAsia="Calibri" w:hAnsi="Times New Roman" w:cs="Times New Roman"/>
          <w:sz w:val="24"/>
          <w:szCs w:val="24"/>
        </w:rPr>
        <w:t>rzepis reguluje kwestię</w:t>
      </w:r>
      <w:r w:rsidRPr="00C93F78">
        <w:rPr>
          <w:rFonts w:ascii="Times New Roman" w:eastAsia="Calibri" w:hAnsi="Times New Roman" w:cs="Times New Roman"/>
          <w:b/>
          <w:sz w:val="24"/>
          <w:szCs w:val="24"/>
        </w:rPr>
        <w:t xml:space="preserve"> </w:t>
      </w:r>
      <w:r w:rsidRPr="00C93F78">
        <w:rPr>
          <w:rFonts w:ascii="Times New Roman" w:eastAsia="Calibri" w:hAnsi="Times New Roman" w:cs="Times New Roman"/>
          <w:sz w:val="24"/>
          <w:szCs w:val="24"/>
        </w:rPr>
        <w:t>rozliczania kosztów uzyskania przychodów z odpłatnego zbycia waluty wirtualnej, jeżeli te koszty zostały poniesione i nierozliczone przed dniem wejścia w życie niniejszej ustawy. W takim przypadku podatnik wykazywać będzie te koszty w pierwszym zeznaniu składanym po wejściu w życie ustawy.</w:t>
      </w:r>
    </w:p>
    <w:p w:rsidR="00ED3F66" w:rsidRPr="00C93F78" w:rsidRDefault="00ED3F66"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sz w:val="24"/>
          <w:szCs w:val="24"/>
        </w:rPr>
        <w:t xml:space="preserve">Warunkiem odliczenia tych kosztów jest wykazanie ich w zeznaniu rocznym składanym za 2018 r. </w:t>
      </w:r>
    </w:p>
    <w:p w:rsidR="00A3651D" w:rsidRPr="00C93F78" w:rsidRDefault="00E77A77"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Art. 2</w:t>
      </w:r>
      <w:r w:rsidR="00F64648" w:rsidRPr="00C93F78">
        <w:rPr>
          <w:rFonts w:ascii="Times New Roman" w:eastAsia="Calibri" w:hAnsi="Times New Roman" w:cs="Times New Roman"/>
          <w:b/>
          <w:sz w:val="24"/>
          <w:szCs w:val="24"/>
        </w:rPr>
        <w:t>3</w:t>
      </w:r>
      <w:r w:rsidRPr="00C93F78">
        <w:rPr>
          <w:rFonts w:ascii="Times New Roman" w:eastAsia="Calibri" w:hAnsi="Times New Roman" w:cs="Times New Roman"/>
          <w:b/>
          <w:sz w:val="24"/>
          <w:szCs w:val="24"/>
        </w:rPr>
        <w:t xml:space="preserve"> projektu - </w:t>
      </w:r>
      <w:r w:rsidRPr="00C93F78">
        <w:rPr>
          <w:rFonts w:ascii="Times New Roman" w:eastAsia="Calibri" w:hAnsi="Times New Roman" w:cs="Times New Roman"/>
          <w:sz w:val="24"/>
          <w:szCs w:val="24"/>
        </w:rPr>
        <w:t>p</w:t>
      </w:r>
      <w:r w:rsidR="00A3651D" w:rsidRPr="00C93F78">
        <w:rPr>
          <w:rFonts w:ascii="Times New Roman" w:eastAsia="Calibri" w:hAnsi="Times New Roman" w:cs="Times New Roman"/>
          <w:sz w:val="24"/>
          <w:szCs w:val="24"/>
        </w:rPr>
        <w:t xml:space="preserve">rzepis wskazuje się na możliwość skorzystania z ulgi </w:t>
      </w:r>
      <w:r w:rsidR="00A3651D" w:rsidRPr="00C93F78">
        <w:rPr>
          <w:rFonts w:ascii="Times New Roman" w:eastAsia="Calibri" w:hAnsi="Times New Roman" w:cs="Times New Roman"/>
          <w:i/>
          <w:sz w:val="24"/>
          <w:szCs w:val="24"/>
        </w:rPr>
        <w:t>Innovation Box</w:t>
      </w:r>
      <w:r w:rsidR="00A3651D" w:rsidRPr="00C93F78">
        <w:rPr>
          <w:rFonts w:ascii="Times New Roman" w:eastAsia="Calibri" w:hAnsi="Times New Roman" w:cs="Times New Roman"/>
          <w:sz w:val="24"/>
          <w:szCs w:val="24"/>
        </w:rPr>
        <w:t xml:space="preserve"> przez podatników, którzy przed datą wejścia w życie projektowanej regulacji ponosili koszty związane z kwalifikowanymi prawami własności intelektualnej wytworzonymi w ramach prowadzonej przez nich działalności badawczo-rozwojowej, jednakże na podstawie prowadzonej ewidencji nie są w stanie określić wysokości tych kosztów w odniesieniu do poszczególnych kwalifikowanych składników aktywów na potrzeby obliczenia podstawy opodatkowania. W drodze wyjątku podatnik może wówczas przyjąć ich wartość na poziomie wartości z roku podatkowego, w którym skorzysta z ulgi. Zasada ta miałaby obowiązywać w</w:t>
      </w:r>
      <w:r w:rsidR="0049752C" w:rsidRPr="00C93F78">
        <w:rPr>
          <w:rFonts w:ascii="Times New Roman" w:eastAsia="Calibri" w:hAnsi="Times New Roman" w:cs="Times New Roman"/>
          <w:sz w:val="24"/>
          <w:szCs w:val="24"/>
        </w:rPr>
        <w:t> </w:t>
      </w:r>
      <w:r w:rsidR="00A3651D" w:rsidRPr="00C93F78">
        <w:rPr>
          <w:rFonts w:ascii="Times New Roman" w:eastAsia="Calibri" w:hAnsi="Times New Roman" w:cs="Times New Roman"/>
          <w:sz w:val="24"/>
          <w:szCs w:val="24"/>
        </w:rPr>
        <w:t>stosunku do kosztów poniesionych począwszy od roku podatkowego rozpoczynającego się po dniu 31 grudnia 2012 r.</w:t>
      </w:r>
    </w:p>
    <w:p w:rsidR="00417CB2" w:rsidRPr="00C93F78" w:rsidRDefault="00E77A77"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Art. 2</w:t>
      </w:r>
      <w:r w:rsidR="00F64648" w:rsidRPr="00C93F78">
        <w:rPr>
          <w:rFonts w:ascii="Times New Roman" w:eastAsia="Calibri" w:hAnsi="Times New Roman" w:cs="Times New Roman"/>
          <w:b/>
          <w:sz w:val="24"/>
          <w:szCs w:val="24"/>
        </w:rPr>
        <w:t>4</w:t>
      </w:r>
      <w:r w:rsidRPr="00C93F78">
        <w:rPr>
          <w:rFonts w:ascii="Times New Roman" w:eastAsia="Calibri" w:hAnsi="Times New Roman" w:cs="Times New Roman"/>
          <w:b/>
          <w:sz w:val="24"/>
          <w:szCs w:val="24"/>
        </w:rPr>
        <w:t xml:space="preserve"> projektu - </w:t>
      </w:r>
      <w:r w:rsidRPr="00C93F78">
        <w:rPr>
          <w:rFonts w:ascii="Times New Roman" w:eastAsia="Calibri" w:hAnsi="Times New Roman" w:cs="Times New Roman"/>
          <w:sz w:val="24"/>
          <w:szCs w:val="24"/>
        </w:rPr>
        <w:t>c</w:t>
      </w:r>
      <w:r w:rsidR="00417CB2" w:rsidRPr="00C93F78">
        <w:rPr>
          <w:rFonts w:ascii="Times New Roman" w:hAnsi="Times New Roman" w:cs="Times New Roman"/>
          <w:sz w:val="24"/>
          <w:szCs w:val="24"/>
        </w:rPr>
        <w:t>elem przepisu jest wyznaczenie terminu na wydanie przez ministra właściwego do sprawy finansów publicznych obwieszczeń (w odniesieniu do ustawy o PIT oraz ustawy o CIT), określających rodzaje bazowej stopy procentowej i poziom marży w odniesieniu do pożyczek, objętych regulacjami „</w:t>
      </w:r>
      <w:r w:rsidR="00417CB2" w:rsidRPr="00C93F78">
        <w:rPr>
          <w:rFonts w:ascii="Times New Roman" w:hAnsi="Times New Roman" w:cs="Times New Roman"/>
          <w:i/>
          <w:sz w:val="24"/>
          <w:szCs w:val="24"/>
        </w:rPr>
        <w:t>safe harbour</w:t>
      </w:r>
      <w:r w:rsidR="00417CB2" w:rsidRPr="00C93F78">
        <w:rPr>
          <w:rFonts w:ascii="Times New Roman" w:hAnsi="Times New Roman" w:cs="Times New Roman"/>
          <w:sz w:val="24"/>
          <w:szCs w:val="24"/>
        </w:rPr>
        <w:t>” (art. 11g ustawy o CIT i odpowiedn</w:t>
      </w:r>
      <w:r w:rsidR="0049752C" w:rsidRPr="00C93F78">
        <w:rPr>
          <w:rFonts w:ascii="Times New Roman" w:hAnsi="Times New Roman" w:cs="Times New Roman"/>
          <w:sz w:val="24"/>
          <w:szCs w:val="24"/>
        </w:rPr>
        <w:t>io art. 23s ustawy o </w:t>
      </w:r>
      <w:r w:rsidR="00417CB2" w:rsidRPr="00C93F78">
        <w:rPr>
          <w:rFonts w:ascii="Times New Roman" w:hAnsi="Times New Roman" w:cs="Times New Roman"/>
          <w:sz w:val="24"/>
          <w:szCs w:val="24"/>
        </w:rPr>
        <w:t>PIT). Obwieszczenia te zostaną po raz pierwszy ogłoszone nie później niż dnia 31 grudnia 2018 r</w:t>
      </w:r>
      <w:r w:rsidR="00417CB2" w:rsidRPr="00C93F78" w:rsidDel="00743DC0">
        <w:rPr>
          <w:rFonts w:ascii="Times New Roman" w:hAnsi="Times New Roman" w:cs="Times New Roman"/>
          <w:sz w:val="24"/>
          <w:szCs w:val="24"/>
        </w:rPr>
        <w:t xml:space="preserve"> </w:t>
      </w:r>
      <w:r w:rsidR="00417CB2" w:rsidRPr="00C93F78">
        <w:rPr>
          <w:rFonts w:ascii="Times New Roman" w:hAnsi="Times New Roman" w:cs="Times New Roman"/>
          <w:sz w:val="24"/>
          <w:szCs w:val="24"/>
        </w:rPr>
        <w:t>.</w:t>
      </w:r>
    </w:p>
    <w:p w:rsidR="00417CB2" w:rsidRPr="00C93F78" w:rsidRDefault="00417CB2" w:rsidP="00C93F78">
      <w:pPr>
        <w:spacing w:line="360" w:lineRule="auto"/>
        <w:jc w:val="both"/>
        <w:rPr>
          <w:rFonts w:ascii="Times New Roman" w:hAnsi="Times New Roman" w:cs="Times New Roman"/>
          <w:sz w:val="24"/>
          <w:szCs w:val="24"/>
        </w:rPr>
      </w:pPr>
      <w:r w:rsidRPr="00C93F78">
        <w:rPr>
          <w:rFonts w:ascii="Times New Roman" w:eastAsia="Calibri" w:hAnsi="Times New Roman" w:cs="Times New Roman"/>
          <w:b/>
          <w:sz w:val="24"/>
          <w:szCs w:val="24"/>
        </w:rPr>
        <w:t xml:space="preserve">Art. </w:t>
      </w:r>
      <w:r w:rsidR="00E77A77" w:rsidRPr="00C93F78">
        <w:rPr>
          <w:rFonts w:ascii="Times New Roman" w:eastAsia="Calibri" w:hAnsi="Times New Roman" w:cs="Times New Roman"/>
          <w:b/>
          <w:sz w:val="24"/>
          <w:szCs w:val="24"/>
        </w:rPr>
        <w:t>2</w:t>
      </w:r>
      <w:r w:rsidR="00F64648" w:rsidRPr="00C93F78">
        <w:rPr>
          <w:rFonts w:ascii="Times New Roman" w:eastAsia="Calibri" w:hAnsi="Times New Roman" w:cs="Times New Roman"/>
          <w:b/>
          <w:sz w:val="24"/>
          <w:szCs w:val="24"/>
        </w:rPr>
        <w:t xml:space="preserve">5 </w:t>
      </w:r>
      <w:r w:rsidR="00E77A77" w:rsidRPr="00C93F78">
        <w:rPr>
          <w:rFonts w:ascii="Times New Roman" w:eastAsia="Calibri" w:hAnsi="Times New Roman" w:cs="Times New Roman"/>
          <w:b/>
          <w:sz w:val="24"/>
          <w:szCs w:val="24"/>
        </w:rPr>
        <w:t xml:space="preserve">projektu - </w:t>
      </w:r>
      <w:r w:rsidR="00E77A77" w:rsidRPr="00C93F78">
        <w:rPr>
          <w:rFonts w:ascii="Times New Roman" w:eastAsia="Calibri" w:hAnsi="Times New Roman" w:cs="Times New Roman"/>
          <w:sz w:val="24"/>
          <w:szCs w:val="24"/>
        </w:rPr>
        <w:t>r</w:t>
      </w:r>
      <w:r w:rsidRPr="00C93F78">
        <w:rPr>
          <w:rFonts w:ascii="Times New Roman" w:hAnsi="Times New Roman" w:cs="Times New Roman"/>
          <w:sz w:val="24"/>
          <w:szCs w:val="24"/>
        </w:rPr>
        <w:t>egulacja ma charakter przepisu przejściowego. W myśl tego przepisu, do transakcji i innych zdarzeń (w rozumieniu obowiązujących regulacji) rozpoczętych i niezakończonych przed dniem 1 stycznia 2019 r. stosuje się wprowadzane przepisy, w zakresie tej części transakcji lub innych zdarzeń (transakcji kontrolowanych), które są realizowane w roku podatkowym rozpoczynającym się po dniu 31 grudnia 2018 r.</w:t>
      </w:r>
    </w:p>
    <w:p w:rsidR="0054644B" w:rsidRPr="00C93F78" w:rsidRDefault="00E77A77" w:rsidP="00C93F78">
      <w:pPr>
        <w:spacing w:line="360" w:lineRule="auto"/>
        <w:jc w:val="both"/>
        <w:rPr>
          <w:rFonts w:ascii="Times New Roman" w:hAnsi="Times New Roman" w:cs="Times New Roman"/>
          <w:sz w:val="24"/>
          <w:szCs w:val="24"/>
        </w:rPr>
      </w:pPr>
      <w:r w:rsidRPr="00C93F78">
        <w:rPr>
          <w:rFonts w:ascii="Times New Roman" w:hAnsi="Times New Roman" w:cs="Times New Roman"/>
          <w:b/>
          <w:sz w:val="24"/>
          <w:szCs w:val="24"/>
        </w:rPr>
        <w:t>Art. 2</w:t>
      </w:r>
      <w:r w:rsidR="00F64648" w:rsidRPr="00C93F78">
        <w:rPr>
          <w:rFonts w:ascii="Times New Roman" w:hAnsi="Times New Roman" w:cs="Times New Roman"/>
          <w:b/>
          <w:sz w:val="24"/>
          <w:szCs w:val="24"/>
        </w:rPr>
        <w:t>6</w:t>
      </w:r>
      <w:r w:rsidRPr="00C93F78">
        <w:rPr>
          <w:rFonts w:ascii="Times New Roman" w:hAnsi="Times New Roman" w:cs="Times New Roman"/>
          <w:b/>
          <w:sz w:val="24"/>
          <w:szCs w:val="24"/>
        </w:rPr>
        <w:t xml:space="preserve"> projektu - </w:t>
      </w:r>
      <w:r w:rsidRPr="00C93F78">
        <w:rPr>
          <w:rFonts w:ascii="Times New Roman" w:hAnsi="Times New Roman" w:cs="Times New Roman"/>
          <w:sz w:val="24"/>
          <w:szCs w:val="24"/>
        </w:rPr>
        <w:t>r</w:t>
      </w:r>
      <w:r w:rsidR="0054644B" w:rsidRPr="00C93F78">
        <w:rPr>
          <w:rFonts w:ascii="Times New Roman" w:hAnsi="Times New Roman" w:cs="Times New Roman"/>
          <w:sz w:val="24"/>
          <w:szCs w:val="24"/>
        </w:rPr>
        <w:t>egulacja ma charakter przepisu przejściowego. W myśl tego przepisu, analizy danych porównawczych lub opisy zgodności warunków transakcji oraz innych zdarzeń, ustalonych z podmiotami powiązanymi sporządzone przez podatników przed dniem wejścia w życie niniejszej ustawy, zachowują aktualność przez 3 kolejne lata od daty sporządzenia, chyba że zmiana warunków ekonomicznych w stopniu znacznie wpływającym na analizę danych porównawczych uzasadnia dokonanie przeglądu w roku zaistnienia tej zmiany. W takim przypadku podatnik sporządza analizę porównawczą lub analizę zgodności w sposób określony przez niniejszą ustawę.</w:t>
      </w:r>
    </w:p>
    <w:p w:rsidR="00EF66D4" w:rsidRPr="00C93F78" w:rsidRDefault="008F6890" w:rsidP="00C93F78">
      <w:pPr>
        <w:pStyle w:val="ARTartustawynprozporzdzenia"/>
        <w:ind w:firstLine="0"/>
        <w:rPr>
          <w:rStyle w:val="Ppogrubienie"/>
          <w:rFonts w:ascii="Times New Roman" w:hAnsi="Times New Roman"/>
          <w:szCs w:val="24"/>
        </w:rPr>
      </w:pPr>
      <w:r w:rsidRPr="00C93F78">
        <w:rPr>
          <w:rStyle w:val="Ppogrubienie"/>
          <w:rFonts w:ascii="Times New Roman" w:hAnsi="Times New Roman"/>
          <w:szCs w:val="24"/>
        </w:rPr>
        <w:t xml:space="preserve">Art. </w:t>
      </w:r>
      <w:r w:rsidR="00E77A77" w:rsidRPr="00C93F78">
        <w:rPr>
          <w:rStyle w:val="Ppogrubienie"/>
          <w:rFonts w:ascii="Times New Roman" w:hAnsi="Times New Roman" w:cs="Times New Roman"/>
          <w:szCs w:val="24"/>
        </w:rPr>
        <w:t>2</w:t>
      </w:r>
      <w:r w:rsidR="00F64648" w:rsidRPr="00C93F78">
        <w:rPr>
          <w:rStyle w:val="Ppogrubienie"/>
          <w:rFonts w:ascii="Times New Roman" w:hAnsi="Times New Roman" w:cs="Times New Roman"/>
          <w:szCs w:val="24"/>
        </w:rPr>
        <w:t>7</w:t>
      </w:r>
      <w:r w:rsidR="00E77A77" w:rsidRPr="00C93F78">
        <w:rPr>
          <w:rStyle w:val="Ppogrubienie"/>
          <w:rFonts w:ascii="Times New Roman" w:hAnsi="Times New Roman" w:cs="Times New Roman"/>
          <w:szCs w:val="24"/>
        </w:rPr>
        <w:t xml:space="preserve"> projektu - </w:t>
      </w:r>
      <w:r w:rsidR="00E77A77" w:rsidRPr="00C93F78">
        <w:rPr>
          <w:rStyle w:val="Ppogrubienie"/>
          <w:rFonts w:ascii="Times New Roman" w:hAnsi="Times New Roman" w:cs="Times New Roman"/>
          <w:b w:val="0"/>
          <w:szCs w:val="24"/>
        </w:rPr>
        <w:t>r</w:t>
      </w:r>
      <w:r w:rsidR="00814569" w:rsidRPr="00C93F78">
        <w:rPr>
          <w:rStyle w:val="Ppogrubienie"/>
          <w:rFonts w:ascii="Times New Roman" w:hAnsi="Times New Roman" w:cs="Times New Roman"/>
          <w:b w:val="0"/>
          <w:szCs w:val="24"/>
        </w:rPr>
        <w:t>aportowanie schematów podatkowych wdrożonych po dniu 25 czerwca 2018 r.</w:t>
      </w:r>
    </w:p>
    <w:p w:rsidR="008F6890" w:rsidRPr="00C93F78" w:rsidRDefault="008F6890" w:rsidP="00C93F78">
      <w:pPr>
        <w:pStyle w:val="ARTartustawynprozporzdzenia"/>
        <w:ind w:firstLine="0"/>
        <w:rPr>
          <w:rFonts w:ascii="Times New Roman" w:hAnsi="Times New Roman"/>
          <w:szCs w:val="24"/>
        </w:rPr>
      </w:pPr>
      <w:r w:rsidRPr="00C93F78">
        <w:rPr>
          <w:rStyle w:val="Ppogrubienie"/>
          <w:rFonts w:ascii="Times New Roman" w:hAnsi="Times New Roman"/>
          <w:b w:val="0"/>
          <w:szCs w:val="24"/>
        </w:rPr>
        <w:t>Co do zasady, proponowane zmiany w zakresie uszczelniania systemu podatkowego, polegające na obowiązkowym raportowaniu schematów mają zastosowanie na przyszłość, tj.</w:t>
      </w:r>
      <w:r w:rsidRPr="00C93F78">
        <w:rPr>
          <w:rStyle w:val="Ppogrubienie"/>
          <w:rFonts w:ascii="Times New Roman" w:hAnsi="Times New Roman" w:cs="Times New Roman"/>
          <w:b w:val="0"/>
          <w:szCs w:val="24"/>
        </w:rPr>
        <w:t> </w:t>
      </w:r>
      <w:r w:rsidRPr="00C93F78">
        <w:rPr>
          <w:rStyle w:val="Ppogrubienie"/>
          <w:rFonts w:ascii="Times New Roman" w:hAnsi="Times New Roman"/>
          <w:b w:val="0"/>
          <w:szCs w:val="24"/>
        </w:rPr>
        <w:t xml:space="preserve">od czasu ich wprowadzenia. Niemniej co </w:t>
      </w:r>
      <w:r w:rsidRPr="00C93F78">
        <w:rPr>
          <w:rFonts w:ascii="Times New Roman" w:hAnsi="Times New Roman"/>
          <w:szCs w:val="24"/>
        </w:rPr>
        <w:t>do funkcjonujących już schematów podatkowych</w:t>
      </w:r>
      <w:r w:rsidRPr="00C93F78">
        <w:rPr>
          <w:rFonts w:ascii="Times New Roman" w:hAnsi="Times New Roman"/>
          <w:b/>
          <w:szCs w:val="24"/>
        </w:rPr>
        <w:t xml:space="preserve"> </w:t>
      </w:r>
      <w:r w:rsidR="004F55D0" w:rsidRPr="00C93F78">
        <w:rPr>
          <w:rFonts w:ascii="Times New Roman" w:hAnsi="Times New Roman"/>
          <w:b/>
          <w:szCs w:val="24"/>
        </w:rPr>
        <w:t xml:space="preserve">transgranicznych </w:t>
      </w:r>
      <w:r w:rsidRPr="00C93F78">
        <w:rPr>
          <w:rStyle w:val="Ppogrubienie"/>
          <w:rFonts w:ascii="Times New Roman" w:hAnsi="Times New Roman"/>
          <w:b w:val="0"/>
          <w:szCs w:val="24"/>
        </w:rPr>
        <w:t>projekt przewiduje obowiązek</w:t>
      </w:r>
      <w:r w:rsidRPr="00C93F78">
        <w:rPr>
          <w:rStyle w:val="Ppogrubienie"/>
          <w:rFonts w:ascii="Times New Roman" w:hAnsi="Times New Roman"/>
          <w:szCs w:val="24"/>
        </w:rPr>
        <w:t xml:space="preserve"> </w:t>
      </w:r>
      <w:r w:rsidRPr="00C93F78">
        <w:rPr>
          <w:rFonts w:ascii="Times New Roman" w:hAnsi="Times New Roman"/>
          <w:szCs w:val="24"/>
        </w:rPr>
        <w:t>ich raportowania na zasadach przewidzianych w nini</w:t>
      </w:r>
      <w:r w:rsidR="0028573B" w:rsidRPr="00C93F78">
        <w:rPr>
          <w:rFonts w:ascii="Times New Roman" w:hAnsi="Times New Roman"/>
          <w:szCs w:val="24"/>
        </w:rPr>
        <w:t xml:space="preserve">ejszej ustawie. Zgodnie z art. </w:t>
      </w:r>
      <w:r w:rsidR="000F4BF9" w:rsidRPr="00C93F78">
        <w:rPr>
          <w:rFonts w:ascii="Times New Roman" w:hAnsi="Times New Roman" w:cs="Times New Roman"/>
          <w:szCs w:val="24"/>
        </w:rPr>
        <w:t>14</w:t>
      </w:r>
      <w:r w:rsidRPr="00C93F78">
        <w:rPr>
          <w:rFonts w:ascii="Times New Roman" w:hAnsi="Times New Roman"/>
          <w:szCs w:val="24"/>
        </w:rPr>
        <w:t xml:space="preserve"> w terminie 3 miesięcy od dnia wejścia w życie niniejszej ustawy, promotor przekazuje Szefowi Krajowej Administracji Skarbowej informację o schemacie podatkowym, który został wdrożony przed dniem wejścia w życie niniejszej ustawy, jeżeli do jego wdrożenia doszło po dniu 25 czerwca 2018 r. Jednocześnie przepisy art. 86c, art. 86f i 86g ustawy zmienianej stosuje się odpowiednio.</w:t>
      </w:r>
    </w:p>
    <w:p w:rsidR="008F6890" w:rsidRPr="00C93F78" w:rsidRDefault="008F6890" w:rsidP="00C93F78">
      <w:pPr>
        <w:pStyle w:val="ARTartustawynprozporzdzenia"/>
        <w:ind w:firstLine="0"/>
        <w:rPr>
          <w:rFonts w:ascii="Times New Roman" w:hAnsi="Times New Roman"/>
          <w:szCs w:val="24"/>
        </w:rPr>
      </w:pPr>
      <w:r w:rsidRPr="00C93F78">
        <w:rPr>
          <w:rFonts w:ascii="Times New Roman" w:hAnsi="Times New Roman"/>
          <w:szCs w:val="24"/>
        </w:rPr>
        <w:t>Ponadto, jeżeli w odniesieniu do schematu podatkowego, korzystający nie został poinformowany przez promotora m.in. o numerze NSP lub został poinformowany o obowiązku przekazania informacji o schemacie ze względu na obowiązek zachowania tajemnicy zawodowej, korzystający przekazuje Szefowi Krajowej Administracji Skarbowej informację o tym schemacie podatkowym w terminie 6 miesięcy od dnia wejścia w życie niniejszej ustawy.</w:t>
      </w:r>
    </w:p>
    <w:p w:rsidR="008F6890" w:rsidRPr="00C93F78" w:rsidRDefault="008F6890" w:rsidP="00C93F78">
      <w:pPr>
        <w:pStyle w:val="ARTartustawynprozporzdzenia"/>
        <w:ind w:firstLine="0"/>
        <w:rPr>
          <w:rFonts w:ascii="Times New Roman" w:hAnsi="Times New Roman" w:cs="Times New Roman"/>
          <w:szCs w:val="24"/>
        </w:rPr>
      </w:pPr>
      <w:r w:rsidRPr="00C93F78">
        <w:rPr>
          <w:rFonts w:ascii="Times New Roman" w:hAnsi="Times New Roman"/>
          <w:szCs w:val="24"/>
        </w:rPr>
        <w:t>Powyższe regulacje są zgodne z Dyrektywą 2018/822, albowiem w świetle art. 8ab ust. 5 Dyrektywy 2018/822, każde państwo członkowskie przyjmuje niezbędne środki w celu zobowiązania pośredników i właściwych podatników do przekazywania informacji na temat podlegającego zgłoszeniu uzgodnienia transgranicznego, w odniesieniu do którego dokonano pierwszej czynności służącej jego wdrożeniu w okresie między dniem wejścia w życie a datą rozpoczęcia stosowania niniejszej dyrektywy. Dyrektywa 2018/822 weszła w życie 25 czerwca 2018 r.</w:t>
      </w:r>
      <w:r w:rsidR="0028573B" w:rsidRPr="00C93F78">
        <w:rPr>
          <w:rFonts w:ascii="Times New Roman" w:hAnsi="Times New Roman" w:cs="Times New Roman"/>
          <w:szCs w:val="24"/>
        </w:rPr>
        <w:t xml:space="preserve"> Warto również wskazać, że Ministerstwo Finansów poinformowało o przedmiotowym obowiązku wynikającym z Dyrektywy 2018/822 na swoich stronach internetowych oraz w korespondencji skierowanej do izb i podmiotów skupiających osoby wykonujące określone zawody zaufania publicznego, względem których to osób potencjalnie powstać może obowiązek przekazania informacji do Szefa Krajowej Administracji Skarbowej.</w:t>
      </w:r>
    </w:p>
    <w:p w:rsidR="008F6890" w:rsidRPr="00C93F78" w:rsidRDefault="008F6890" w:rsidP="00C93F78">
      <w:pPr>
        <w:spacing w:before="120" w:line="360" w:lineRule="auto"/>
        <w:jc w:val="both"/>
        <w:rPr>
          <w:rFonts w:ascii="Times New Roman" w:hAnsi="Times New Roman"/>
          <w:color w:val="000000"/>
          <w:spacing w:val="-2"/>
          <w:sz w:val="24"/>
          <w:szCs w:val="24"/>
        </w:rPr>
      </w:pPr>
      <w:r w:rsidRPr="00C93F78">
        <w:rPr>
          <w:rFonts w:ascii="Times New Roman" w:hAnsi="Times New Roman" w:cs="Times New Roman"/>
          <w:sz w:val="24"/>
          <w:szCs w:val="24"/>
        </w:rPr>
        <w:t xml:space="preserve">W </w:t>
      </w:r>
      <w:r w:rsidRPr="00C93F78">
        <w:rPr>
          <w:rFonts w:ascii="Times New Roman" w:hAnsi="Times New Roman" w:cs="Times New Roman"/>
          <w:b/>
          <w:sz w:val="24"/>
          <w:szCs w:val="24"/>
        </w:rPr>
        <w:t>art.</w:t>
      </w:r>
      <w:r w:rsidRPr="00C93F78">
        <w:rPr>
          <w:rFonts w:ascii="Times New Roman" w:hAnsi="Times New Roman" w:cs="Times New Roman"/>
          <w:b/>
          <w:color w:val="000000"/>
          <w:spacing w:val="-2"/>
          <w:sz w:val="24"/>
          <w:szCs w:val="24"/>
        </w:rPr>
        <w:t xml:space="preserve"> </w:t>
      </w:r>
      <w:r w:rsidR="00E77A77" w:rsidRPr="00C93F78">
        <w:rPr>
          <w:rFonts w:ascii="Times New Roman" w:hAnsi="Times New Roman" w:cs="Times New Roman"/>
          <w:b/>
          <w:color w:val="000000"/>
          <w:spacing w:val="-2"/>
          <w:sz w:val="24"/>
          <w:szCs w:val="24"/>
        </w:rPr>
        <w:t>2</w:t>
      </w:r>
      <w:r w:rsidR="00F64648" w:rsidRPr="00C93F78">
        <w:rPr>
          <w:rFonts w:ascii="Times New Roman" w:hAnsi="Times New Roman" w:cs="Times New Roman"/>
          <w:b/>
          <w:color w:val="000000"/>
          <w:spacing w:val="-2"/>
          <w:sz w:val="24"/>
          <w:szCs w:val="24"/>
        </w:rPr>
        <w:t>8</w:t>
      </w:r>
      <w:r w:rsidR="00BA7562" w:rsidRPr="00C93F78">
        <w:rPr>
          <w:rFonts w:ascii="Times New Roman" w:hAnsi="Times New Roman" w:cs="Times New Roman"/>
          <w:b/>
          <w:color w:val="000000"/>
          <w:spacing w:val="-2"/>
          <w:sz w:val="24"/>
          <w:szCs w:val="24"/>
        </w:rPr>
        <w:t xml:space="preserve"> </w:t>
      </w:r>
      <w:r w:rsidRPr="00C93F78">
        <w:rPr>
          <w:rFonts w:ascii="Times New Roman" w:hAnsi="Times New Roman" w:cs="Times New Roman"/>
          <w:b/>
          <w:color w:val="000000"/>
          <w:spacing w:val="-2"/>
          <w:sz w:val="24"/>
          <w:szCs w:val="24"/>
        </w:rPr>
        <w:t>projektu</w:t>
      </w:r>
      <w:r w:rsidRPr="00C93F78">
        <w:rPr>
          <w:rFonts w:ascii="Times New Roman" w:hAnsi="Times New Roman" w:cs="Times New Roman"/>
          <w:color w:val="000000"/>
          <w:spacing w:val="-2"/>
          <w:sz w:val="24"/>
          <w:szCs w:val="24"/>
        </w:rPr>
        <w:t xml:space="preserve"> przewiduje się, że w terminie do dnia 1 czerwca 2021 </w:t>
      </w:r>
      <w:r w:rsidRPr="00C93F78">
        <w:rPr>
          <w:rFonts w:ascii="Times New Roman" w:hAnsi="Times New Roman"/>
          <w:color w:val="000000"/>
          <w:spacing w:val="-2"/>
          <w:sz w:val="24"/>
          <w:szCs w:val="24"/>
        </w:rPr>
        <w:t>r Szef Krajowej Administracji Skarbowej przygotuje sprawozdanie w zakresie informacji o schematach podatkowych przekazanych w latach 2019 - 2020. Sprawozdanie zawiera w szczególności dane o liczbie przekazanych Szefowi Krajowej Administracji Skarbowej informacji o schematach podatkowych z podziałem na informacje przekazane przez promotorów, korzystających oraz wspomagających, z uwzględnieniem liczby tych podmiotów, a także o karach pieniężnych nałożonych przez Szefa Krajowej Administracji Skarbowej podstawie art. 86m tej ustawy.</w:t>
      </w:r>
    </w:p>
    <w:p w:rsidR="008F6890" w:rsidRPr="00C93F78" w:rsidRDefault="008F6890" w:rsidP="00C93F78">
      <w:pPr>
        <w:spacing w:before="120" w:after="0" w:line="360" w:lineRule="auto"/>
        <w:jc w:val="both"/>
        <w:rPr>
          <w:rFonts w:ascii="Times New Roman" w:hAnsi="Times New Roman"/>
          <w:color w:val="000000"/>
          <w:spacing w:val="-2"/>
          <w:sz w:val="24"/>
          <w:szCs w:val="24"/>
        </w:rPr>
      </w:pPr>
      <w:r w:rsidRPr="00C93F78">
        <w:rPr>
          <w:rFonts w:ascii="Times New Roman" w:hAnsi="Times New Roman"/>
          <w:color w:val="000000"/>
          <w:spacing w:val="-2"/>
          <w:sz w:val="24"/>
          <w:szCs w:val="24"/>
        </w:rPr>
        <w:t>Sprawozdanie jest publikowane na stronie podmiotowej Biuletynu Informacji Publicznej urzędu obsługującego ministra właściwego do spraw finansów publicznych.</w:t>
      </w:r>
    </w:p>
    <w:p w:rsidR="008F6890" w:rsidRPr="00C93F78" w:rsidRDefault="008F6890" w:rsidP="00C93F78">
      <w:pPr>
        <w:spacing w:before="120" w:after="0" w:line="360" w:lineRule="auto"/>
        <w:jc w:val="both"/>
        <w:rPr>
          <w:rFonts w:ascii="Times New Roman" w:hAnsi="Times New Roman"/>
          <w:color w:val="000000"/>
          <w:spacing w:val="-2"/>
          <w:sz w:val="24"/>
          <w:szCs w:val="24"/>
        </w:rPr>
      </w:pPr>
      <w:r w:rsidRPr="00C93F78">
        <w:rPr>
          <w:rFonts w:ascii="Times New Roman" w:hAnsi="Times New Roman"/>
          <w:color w:val="000000"/>
          <w:spacing w:val="-2"/>
          <w:sz w:val="24"/>
          <w:szCs w:val="24"/>
        </w:rPr>
        <w:t>W terminie 6 miesięcy od dnia publikacji sprawozdania za lata 2018 – 2020 minister właściwy do spraw finansów publicznych wspólnie z Szefem Krajowej Administracji Skarbowej przygotuje raport oceniający dotyczący przeciwdziałania wykorzystywania schematów podatkowych do unikania płacenia należnych podatków.</w:t>
      </w:r>
    </w:p>
    <w:p w:rsidR="008F6890" w:rsidRPr="00C93F78" w:rsidRDefault="008F6890" w:rsidP="00C93F78">
      <w:pPr>
        <w:spacing w:before="120" w:after="0" w:line="360" w:lineRule="auto"/>
        <w:jc w:val="both"/>
        <w:rPr>
          <w:rFonts w:ascii="Times New Roman" w:hAnsi="Times New Roman"/>
          <w:color w:val="000000"/>
          <w:spacing w:val="-2"/>
          <w:sz w:val="24"/>
          <w:szCs w:val="24"/>
        </w:rPr>
      </w:pPr>
      <w:r w:rsidRPr="00C93F78">
        <w:rPr>
          <w:rFonts w:ascii="Times New Roman" w:hAnsi="Times New Roman"/>
          <w:color w:val="000000"/>
          <w:spacing w:val="-2"/>
          <w:sz w:val="24"/>
          <w:szCs w:val="24"/>
        </w:rPr>
        <w:t>Raport jest publikowany na stronie podmiotowej Biuletynu Informacji Publicznej urzędu obsługującego ministra właściwego do spraw finansów publicznych.</w:t>
      </w:r>
    </w:p>
    <w:p w:rsidR="008F6890" w:rsidRPr="00C93F78" w:rsidRDefault="008F6890" w:rsidP="00C93F78">
      <w:pPr>
        <w:pStyle w:val="ARTartustawynprozporzdzenia"/>
        <w:ind w:firstLine="0"/>
        <w:rPr>
          <w:rFonts w:ascii="Times New Roman" w:hAnsi="Times New Roman"/>
          <w:color w:val="000000"/>
          <w:spacing w:val="-2"/>
          <w:szCs w:val="24"/>
        </w:rPr>
      </w:pPr>
      <w:r w:rsidRPr="00C93F78">
        <w:rPr>
          <w:rFonts w:ascii="Times New Roman" w:hAnsi="Times New Roman"/>
          <w:color w:val="000000"/>
          <w:spacing w:val="-2"/>
          <w:szCs w:val="24"/>
        </w:rPr>
        <w:t>Istotą wprowadzanego rozwiązania jest sporządzenie po trzech latach funkcjonowania nowych przepisów jednorazowo sprawozdania, a następnie na jego podstawie raportu oceniającego wprowadzone zasady raportowania MDR. Pozwoli to ocenić efekty oraz wymierne skutki finansowe dla budżetu państwa wynikające z wprowadzanego rozwiązania zmierzającego do uszczelnienia systemu podatkowego.</w:t>
      </w:r>
    </w:p>
    <w:p w:rsidR="008F6890" w:rsidRPr="00C93F78" w:rsidRDefault="008F6890" w:rsidP="00C93F78">
      <w:pPr>
        <w:spacing w:before="240" w:after="120" w:line="360" w:lineRule="auto"/>
        <w:jc w:val="both"/>
        <w:rPr>
          <w:rFonts w:ascii="Times New Roman" w:hAnsi="Times New Roman"/>
          <w:sz w:val="24"/>
          <w:szCs w:val="24"/>
        </w:rPr>
      </w:pPr>
      <w:r w:rsidRPr="00C93F78">
        <w:rPr>
          <w:rFonts w:ascii="Times New Roman" w:hAnsi="Times New Roman" w:cs="Times New Roman"/>
          <w:sz w:val="24"/>
          <w:szCs w:val="24"/>
        </w:rPr>
        <w:t>Biorąc pod uwagę proponowaną zmianę w art. 14b § 2a Ordynacji podatkowej, która rozszerza zakres spraw, w których nie może być wydana interpretacja indywidualna, zasadne wydaje się, aby dotychczas wydane interpretacje indywidualne spełniające przesłanki z ww. przepisu zostały usunięte z obrotu prawnego. Nie do zaakceptowania jest bowiem sytuacja, w której jedni podatnicy będą korzystać z uzyskanej w przeszłości interpretacji indywidualnej, która nie może zostać już uzyskana przez innych podatników. Na mocy projektowanych przepisów interpretacje indywidualne dotychczas wydane w zakresie art. 14b § 2a Ordynacji podatkowej, w brzmieniu nadanym niniejszym projektem</w:t>
      </w:r>
      <w:r w:rsidR="001C02FE" w:rsidRPr="00C93F78">
        <w:rPr>
          <w:rFonts w:ascii="Times New Roman" w:hAnsi="Times New Roman" w:cs="Times New Roman"/>
          <w:sz w:val="24"/>
          <w:szCs w:val="24"/>
        </w:rPr>
        <w:t xml:space="preserve">, do zasady tej zastosowano vacatio legis wynoszące 3 miesiące. </w:t>
      </w:r>
      <w:r w:rsidRPr="00C93F78">
        <w:rPr>
          <w:rFonts w:ascii="Times New Roman" w:hAnsi="Times New Roman" w:cs="Times New Roman"/>
          <w:sz w:val="24"/>
          <w:szCs w:val="24"/>
        </w:rPr>
        <w:t>. Ochrona związana z uzyskaniem interpretacji indywidualnej będzie jednak skuteczna, przy założeniu opartym na fikcji prawnej, że z ww. dniem stwierdzono ich wygaśnięcie (</w:t>
      </w:r>
      <w:r w:rsidRPr="00C93F78">
        <w:rPr>
          <w:rFonts w:ascii="Times New Roman" w:hAnsi="Times New Roman" w:cs="Times New Roman"/>
          <w:b/>
          <w:sz w:val="24"/>
          <w:szCs w:val="24"/>
        </w:rPr>
        <w:t xml:space="preserve">art. </w:t>
      </w:r>
      <w:r w:rsidR="00B96B46" w:rsidRPr="00C93F78">
        <w:rPr>
          <w:rFonts w:ascii="Times New Roman" w:hAnsi="Times New Roman" w:cs="Times New Roman"/>
          <w:b/>
          <w:sz w:val="24"/>
          <w:szCs w:val="24"/>
        </w:rPr>
        <w:t>2</w:t>
      </w:r>
      <w:r w:rsidR="00F64648" w:rsidRPr="00C93F78">
        <w:rPr>
          <w:rFonts w:ascii="Times New Roman" w:hAnsi="Times New Roman" w:cs="Times New Roman"/>
          <w:b/>
          <w:sz w:val="24"/>
          <w:szCs w:val="24"/>
        </w:rPr>
        <w:t>9</w:t>
      </w:r>
      <w:r w:rsidR="00BA7562"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w:t>
      </w:r>
      <w:r w:rsidR="000B40A3" w:rsidRPr="00C93F78">
        <w:rPr>
          <w:rFonts w:ascii="Times New Roman" w:hAnsi="Times New Roman" w:cs="Times New Roman"/>
          <w:sz w:val="24"/>
          <w:szCs w:val="24"/>
        </w:rPr>
        <w:t xml:space="preserve"> W kontekście tego przepisu przejściowego wskazać należy, że już obecnie obowiązują uregulowania (art. 14na </w:t>
      </w:r>
      <w:r w:rsidR="008A410F" w:rsidRPr="00C93F78">
        <w:rPr>
          <w:rFonts w:ascii="Times New Roman" w:hAnsi="Times New Roman" w:cs="Times New Roman"/>
          <w:sz w:val="24"/>
          <w:szCs w:val="24"/>
        </w:rPr>
        <w:t>Op</w:t>
      </w:r>
      <w:r w:rsidR="000B40A3" w:rsidRPr="00C93F78">
        <w:rPr>
          <w:rFonts w:ascii="Times New Roman" w:hAnsi="Times New Roman" w:cs="Times New Roman"/>
          <w:sz w:val="24"/>
          <w:szCs w:val="24"/>
        </w:rPr>
        <w:t>), które wyłączają ochronę z interpretacji indywidualnych w sytuacji unikania opodatkowania, tj. zastosowania klauzuli ogólnej przeciwko unikaniu opodatkowania lub w przypadku nadużyciu prawa w ramach podatku od towarów i usług. Obecnie obowiązują również przepisy, na mocy których podatnicy mogą wnioskować o wydanie opinii zabezpieczającej, jeśli ich działania prowadzą do osiągnięcia korzyści podatkowej i podmioty te zainteresowane są uzyskaniem potwierdzenia, że czynności te nie zostaną uznane za unikanie opodatkowania.</w:t>
      </w:r>
    </w:p>
    <w:p w:rsidR="000B40A3" w:rsidRPr="00C93F78" w:rsidRDefault="008A410F" w:rsidP="00C93F78">
      <w:pPr>
        <w:spacing w:before="24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Projektowane w art. 14b § 2b Op uregulowania prowadzić będą do </w:t>
      </w:r>
      <w:r w:rsidR="000B40A3" w:rsidRPr="00C93F78">
        <w:rPr>
          <w:rFonts w:ascii="Times New Roman" w:hAnsi="Times New Roman" w:cs="Times New Roman"/>
          <w:sz w:val="24"/>
          <w:szCs w:val="24"/>
        </w:rPr>
        <w:t>wyłącz</w:t>
      </w:r>
      <w:r w:rsidRPr="00C93F78">
        <w:rPr>
          <w:rFonts w:ascii="Times New Roman" w:hAnsi="Times New Roman" w:cs="Times New Roman"/>
          <w:sz w:val="24"/>
          <w:szCs w:val="24"/>
        </w:rPr>
        <w:t>enia możliwości</w:t>
      </w:r>
      <w:r w:rsidR="000B40A3" w:rsidRPr="00C93F78">
        <w:rPr>
          <w:rFonts w:ascii="Times New Roman" w:hAnsi="Times New Roman" w:cs="Times New Roman"/>
          <w:sz w:val="24"/>
          <w:szCs w:val="24"/>
        </w:rPr>
        <w:t xml:space="preserve"> wnioskowania o wydanie interpretacji indywidulanej dotyczących przepisów mających na celu przeciwdziałanie unikaniu opodatkowania. </w:t>
      </w:r>
      <w:r w:rsidRPr="00C93F78">
        <w:rPr>
          <w:rFonts w:ascii="Times New Roman" w:hAnsi="Times New Roman" w:cs="Times New Roman"/>
          <w:sz w:val="24"/>
          <w:szCs w:val="24"/>
        </w:rPr>
        <w:t>Warto pamiętać, że w</w:t>
      </w:r>
      <w:r w:rsidR="000B40A3" w:rsidRPr="00C93F78">
        <w:rPr>
          <w:rFonts w:ascii="Times New Roman" w:hAnsi="Times New Roman" w:cs="Times New Roman"/>
          <w:sz w:val="24"/>
          <w:szCs w:val="24"/>
        </w:rPr>
        <w:t xml:space="preserve">ydanie interpretacji indywidualnej nie jest poprzedzone analizą czynności </w:t>
      </w:r>
      <w:r w:rsidRPr="00C93F78">
        <w:rPr>
          <w:rFonts w:ascii="Times New Roman" w:hAnsi="Times New Roman" w:cs="Times New Roman"/>
          <w:sz w:val="24"/>
          <w:szCs w:val="24"/>
        </w:rPr>
        <w:t xml:space="preserve">realizowanych </w:t>
      </w:r>
      <w:r w:rsidR="000B40A3" w:rsidRPr="00C93F78">
        <w:rPr>
          <w:rFonts w:ascii="Times New Roman" w:hAnsi="Times New Roman" w:cs="Times New Roman"/>
          <w:sz w:val="24"/>
          <w:szCs w:val="24"/>
        </w:rPr>
        <w:t>faktyczn</w:t>
      </w:r>
      <w:r w:rsidRPr="00C93F78">
        <w:rPr>
          <w:rFonts w:ascii="Times New Roman" w:hAnsi="Times New Roman" w:cs="Times New Roman"/>
          <w:sz w:val="24"/>
          <w:szCs w:val="24"/>
        </w:rPr>
        <w:t>ie</w:t>
      </w:r>
      <w:r w:rsidR="000B40A3" w:rsidRPr="00C93F78">
        <w:rPr>
          <w:rFonts w:ascii="Times New Roman" w:hAnsi="Times New Roman" w:cs="Times New Roman"/>
          <w:sz w:val="24"/>
          <w:szCs w:val="24"/>
        </w:rPr>
        <w:t xml:space="preserve"> i nie jest nakierowane na dokonywanie oceny złożonych zagadnień. Zagadnienia takie ocenia są w toku postępowania podatkowego lub ewentualnie w ramach procedury o wydanie opinii zabezpieczającej.</w:t>
      </w:r>
    </w:p>
    <w:p w:rsidR="000B40A3" w:rsidRPr="00C93F78" w:rsidRDefault="000B40A3" w:rsidP="00C93F78">
      <w:pPr>
        <w:spacing w:before="24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Skoro po wejściu w życie nowelizacji (tj. po 1.1.2019) nie będzie można wnioskować o wydanie interpretacji w tego typu sprawach, to z perspektywy zasady równości nie jest zasadne, aby podmioty, które wcześniej wystąpiły o taką interpretację mogły w nieskończoność korzystać z ochrony z takiej interpretacji. Na podstawie </w:t>
      </w:r>
      <w:r w:rsidR="008A410F" w:rsidRPr="00C93F78">
        <w:rPr>
          <w:rFonts w:ascii="Times New Roman" w:hAnsi="Times New Roman" w:cs="Times New Roman"/>
          <w:sz w:val="24"/>
          <w:szCs w:val="24"/>
        </w:rPr>
        <w:t xml:space="preserve">analizowanego </w:t>
      </w:r>
      <w:r w:rsidRPr="00C93F78">
        <w:rPr>
          <w:rFonts w:ascii="Times New Roman" w:hAnsi="Times New Roman" w:cs="Times New Roman"/>
          <w:sz w:val="24"/>
          <w:szCs w:val="24"/>
        </w:rPr>
        <w:t xml:space="preserve">przepisu przejściowego dotychczasowe interpretacje dotyczące tego typu przepisów wygasną </w:t>
      </w:r>
      <w:r w:rsidR="00C7591E" w:rsidRPr="00C93F78">
        <w:rPr>
          <w:rFonts w:ascii="Times New Roman" w:hAnsi="Times New Roman" w:cs="Times New Roman"/>
          <w:sz w:val="24"/>
          <w:szCs w:val="24"/>
        </w:rPr>
        <w:t>po upływie 3 miesięcznego vacatio legis</w:t>
      </w:r>
      <w:r w:rsidRPr="00C93F78">
        <w:rPr>
          <w:rFonts w:ascii="Times New Roman" w:hAnsi="Times New Roman" w:cs="Times New Roman"/>
          <w:sz w:val="24"/>
          <w:szCs w:val="24"/>
        </w:rPr>
        <w:t>.</w:t>
      </w:r>
      <w:r w:rsidR="00C7591E" w:rsidRPr="00C93F78">
        <w:rPr>
          <w:rFonts w:ascii="Times New Roman" w:hAnsi="Times New Roman" w:cs="Times New Roman"/>
          <w:sz w:val="24"/>
          <w:szCs w:val="24"/>
        </w:rPr>
        <w:t xml:space="preserve"> </w:t>
      </w:r>
      <w:r w:rsidR="008A410F" w:rsidRPr="00C93F78">
        <w:rPr>
          <w:rFonts w:ascii="Times New Roman" w:hAnsi="Times New Roman" w:cs="Times New Roman"/>
          <w:sz w:val="24"/>
          <w:szCs w:val="24"/>
        </w:rPr>
        <w:t>Podkreślić należy, że p</w:t>
      </w:r>
      <w:r w:rsidRPr="00C93F78">
        <w:rPr>
          <w:rFonts w:ascii="Times New Roman" w:hAnsi="Times New Roman" w:cs="Times New Roman"/>
          <w:sz w:val="24"/>
          <w:szCs w:val="24"/>
        </w:rPr>
        <w:t>rzepis</w:t>
      </w:r>
      <w:r w:rsidR="008A410F" w:rsidRPr="00C93F78">
        <w:rPr>
          <w:rFonts w:ascii="Times New Roman" w:hAnsi="Times New Roman" w:cs="Times New Roman"/>
          <w:sz w:val="24"/>
          <w:szCs w:val="24"/>
        </w:rPr>
        <w:t xml:space="preserve"> </w:t>
      </w:r>
      <w:r w:rsidRPr="00C93F78">
        <w:rPr>
          <w:rFonts w:ascii="Times New Roman" w:hAnsi="Times New Roman" w:cs="Times New Roman"/>
          <w:sz w:val="24"/>
          <w:szCs w:val="24"/>
        </w:rPr>
        <w:t>przejściow</w:t>
      </w:r>
      <w:r w:rsidR="008A410F" w:rsidRPr="00C93F78">
        <w:rPr>
          <w:rFonts w:ascii="Times New Roman" w:hAnsi="Times New Roman" w:cs="Times New Roman"/>
          <w:sz w:val="24"/>
          <w:szCs w:val="24"/>
        </w:rPr>
        <w:t xml:space="preserve">y </w:t>
      </w:r>
      <w:r w:rsidRPr="00C93F78">
        <w:rPr>
          <w:rFonts w:ascii="Times New Roman" w:hAnsi="Times New Roman" w:cs="Times New Roman"/>
          <w:sz w:val="24"/>
          <w:szCs w:val="24"/>
        </w:rPr>
        <w:t>respektuje zasadę dotyczącą ochrony wynikającej z wcześniej otrzymanej interpretacji</w:t>
      </w:r>
      <w:r w:rsidR="008A410F" w:rsidRPr="00C93F78">
        <w:rPr>
          <w:rFonts w:ascii="Times New Roman" w:hAnsi="Times New Roman" w:cs="Times New Roman"/>
          <w:sz w:val="24"/>
          <w:szCs w:val="24"/>
        </w:rPr>
        <w:t>, która podlegać będzie wygaszeniu z mocy prawa.</w:t>
      </w:r>
      <w:r w:rsidRPr="00C93F78">
        <w:rPr>
          <w:rFonts w:ascii="Times New Roman" w:hAnsi="Times New Roman" w:cs="Times New Roman"/>
          <w:sz w:val="24"/>
          <w:szCs w:val="24"/>
        </w:rPr>
        <w:t xml:space="preserve"> Zgodnie z </w:t>
      </w:r>
      <w:r w:rsidR="008A410F" w:rsidRPr="00C93F78">
        <w:rPr>
          <w:rFonts w:ascii="Times New Roman" w:hAnsi="Times New Roman" w:cs="Times New Roman"/>
          <w:sz w:val="24"/>
          <w:szCs w:val="24"/>
        </w:rPr>
        <w:t>ust. 2 tego przepisu</w:t>
      </w:r>
      <w:r w:rsidRPr="00C93F78">
        <w:rPr>
          <w:rFonts w:ascii="Times New Roman" w:hAnsi="Times New Roman" w:cs="Times New Roman"/>
          <w:sz w:val="24"/>
          <w:szCs w:val="24"/>
        </w:rPr>
        <w:t xml:space="preserve"> podatnicy, posiadający interpretacje, które wygasły z mocy prawa, będą mogli przez czas określony w dotychczas obowiązujących przepisach, korzystać z ochrony wynikającej z takiej interpretacji. </w:t>
      </w:r>
      <w:r w:rsidR="008A410F" w:rsidRPr="00C93F78">
        <w:rPr>
          <w:rFonts w:ascii="Times New Roman" w:hAnsi="Times New Roman" w:cs="Times New Roman"/>
          <w:sz w:val="24"/>
          <w:szCs w:val="24"/>
        </w:rPr>
        <w:t>W przypadku podatków dochodowych okres dalszego respektowania wygaszonej interpretacji uzależniony będzie od sposobu ukształtowania roku podatkowego danego podatnika.</w:t>
      </w:r>
      <w:r w:rsidR="00C7591E" w:rsidRPr="00C93F78">
        <w:rPr>
          <w:rFonts w:ascii="Times New Roman" w:hAnsi="Times New Roman" w:cs="Times New Roman"/>
          <w:sz w:val="24"/>
          <w:szCs w:val="24"/>
        </w:rPr>
        <w:t xml:space="preserve"> </w:t>
      </w:r>
      <w:r w:rsidR="008A410F" w:rsidRPr="00C93F78">
        <w:rPr>
          <w:rFonts w:ascii="Times New Roman" w:hAnsi="Times New Roman" w:cs="Times New Roman"/>
          <w:sz w:val="24"/>
          <w:szCs w:val="24"/>
        </w:rPr>
        <w:t xml:space="preserve">W ten sposób projektodawca </w:t>
      </w:r>
      <w:r w:rsidRPr="00C93F78">
        <w:rPr>
          <w:rFonts w:ascii="Times New Roman" w:hAnsi="Times New Roman" w:cs="Times New Roman"/>
          <w:sz w:val="24"/>
          <w:szCs w:val="24"/>
        </w:rPr>
        <w:t>stara</w:t>
      </w:r>
      <w:r w:rsidR="008A410F" w:rsidRPr="00C93F78">
        <w:rPr>
          <w:rFonts w:ascii="Times New Roman" w:hAnsi="Times New Roman" w:cs="Times New Roman"/>
          <w:sz w:val="24"/>
          <w:szCs w:val="24"/>
        </w:rPr>
        <w:t xml:space="preserve"> </w:t>
      </w:r>
      <w:r w:rsidRPr="00C93F78">
        <w:rPr>
          <w:rFonts w:ascii="Times New Roman" w:hAnsi="Times New Roman" w:cs="Times New Roman"/>
          <w:sz w:val="24"/>
          <w:szCs w:val="24"/>
        </w:rPr>
        <w:t>się osiągnąć efekt w postaci uczciwej konkurencji bez przewagi „optymalizacyjnej” (lev</w:t>
      </w:r>
      <w:r w:rsidR="00C7591E" w:rsidRPr="00C93F78">
        <w:rPr>
          <w:rFonts w:ascii="Times New Roman" w:hAnsi="Times New Roman" w:cs="Times New Roman"/>
          <w:sz w:val="24"/>
          <w:szCs w:val="24"/>
        </w:rPr>
        <w:t>el p</w:t>
      </w:r>
      <w:r w:rsidRPr="00C93F78">
        <w:rPr>
          <w:rFonts w:ascii="Times New Roman" w:hAnsi="Times New Roman" w:cs="Times New Roman"/>
          <w:sz w:val="24"/>
          <w:szCs w:val="24"/>
        </w:rPr>
        <w:t>l</w:t>
      </w:r>
      <w:r w:rsidR="00C7591E" w:rsidRPr="00C93F78">
        <w:rPr>
          <w:rFonts w:ascii="Times New Roman" w:hAnsi="Times New Roman" w:cs="Times New Roman"/>
          <w:sz w:val="24"/>
          <w:szCs w:val="24"/>
        </w:rPr>
        <w:t>a</w:t>
      </w:r>
      <w:r w:rsidRPr="00C93F78">
        <w:rPr>
          <w:rFonts w:ascii="Times New Roman" w:hAnsi="Times New Roman" w:cs="Times New Roman"/>
          <w:sz w:val="24"/>
          <w:szCs w:val="24"/>
        </w:rPr>
        <w:t>ying field), co jest zgodne z zasadą równości</w:t>
      </w:r>
      <w:r w:rsidR="008A410F" w:rsidRPr="00C93F78">
        <w:rPr>
          <w:rFonts w:ascii="Times New Roman" w:hAnsi="Times New Roman" w:cs="Times New Roman"/>
          <w:sz w:val="24"/>
          <w:szCs w:val="24"/>
        </w:rPr>
        <w:t>,</w:t>
      </w:r>
      <w:r w:rsidRPr="00C93F78">
        <w:rPr>
          <w:rFonts w:ascii="Times New Roman" w:hAnsi="Times New Roman" w:cs="Times New Roman"/>
          <w:sz w:val="24"/>
          <w:szCs w:val="24"/>
        </w:rPr>
        <w:t xml:space="preserve"> przy zapewnieniu niedziałania prawa wstecz i poszanowania praw nabytych.</w:t>
      </w:r>
    </w:p>
    <w:p w:rsidR="008F6890" w:rsidRPr="00C93F78" w:rsidRDefault="008F6890" w:rsidP="00C93F78">
      <w:pPr>
        <w:spacing w:before="24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 uwagi na zmianę przepisów art. 119a-119f Ordynacji podatkowej, Szef KAS będzie uprawniony do zmiany w ciągu 6 miesięcy </w:t>
      </w:r>
      <w:r w:rsidR="001C02FE" w:rsidRPr="00C93F78">
        <w:rPr>
          <w:rFonts w:ascii="Times New Roman" w:hAnsi="Times New Roman" w:cs="Times New Roman"/>
          <w:sz w:val="24"/>
          <w:szCs w:val="24"/>
        </w:rPr>
        <w:t xml:space="preserve">liczonych od dnia, w którym upłynął 3 miesiące od ogłoszenia </w:t>
      </w:r>
      <w:r w:rsidRPr="00C93F78">
        <w:rPr>
          <w:rFonts w:ascii="Times New Roman" w:hAnsi="Times New Roman" w:cs="Times New Roman"/>
          <w:sz w:val="24"/>
          <w:szCs w:val="24"/>
        </w:rPr>
        <w:t xml:space="preserve">niniejszej ustawy na mocy </w:t>
      </w:r>
      <w:r w:rsidRPr="00C93F78">
        <w:rPr>
          <w:rFonts w:ascii="Times New Roman" w:hAnsi="Times New Roman" w:cs="Times New Roman"/>
          <w:b/>
          <w:sz w:val="24"/>
          <w:szCs w:val="24"/>
        </w:rPr>
        <w:t xml:space="preserve">art. </w:t>
      </w:r>
      <w:r w:rsidR="00F64648" w:rsidRPr="00C93F78">
        <w:rPr>
          <w:rFonts w:ascii="Times New Roman" w:hAnsi="Times New Roman" w:cs="Times New Roman"/>
          <w:b/>
          <w:sz w:val="24"/>
          <w:szCs w:val="24"/>
        </w:rPr>
        <w:t>30</w:t>
      </w:r>
      <w:r w:rsidR="00BA7562"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 xml:space="preserve"> wydanej wcześniej opinii zabezpieczającej lub odmowy wydania opinii zabezpieczającej, jeżeli zmiana ww. przepisów ma wpływ na treść rozstrzygnięcia</w:t>
      </w:r>
      <w:r w:rsidR="001C02FE" w:rsidRPr="00C93F78">
        <w:rPr>
          <w:rFonts w:ascii="Times New Roman" w:hAnsi="Times New Roman" w:cs="Times New Roman"/>
          <w:sz w:val="24"/>
          <w:szCs w:val="24"/>
        </w:rPr>
        <w:t xml:space="preserve">. </w:t>
      </w:r>
      <w:r w:rsidRPr="00C93F78">
        <w:rPr>
          <w:rFonts w:ascii="Times New Roman" w:hAnsi="Times New Roman" w:cs="Times New Roman"/>
          <w:sz w:val="24"/>
          <w:szCs w:val="24"/>
        </w:rPr>
        <w:t>Do korzyści podatkowych uzyskanych przez wnioskodawcę w zakresie otrzymanej uprzednio opinii zabezpieczającej, w okresie, w którym zmieniona opinia zabezpieczająca była w obrocie prawnym, nie będzie można zastosować art. 119a Ordynacji podatkowej (</w:t>
      </w:r>
      <w:r w:rsidRPr="00C93F78">
        <w:rPr>
          <w:rFonts w:ascii="Times New Roman" w:hAnsi="Times New Roman" w:cs="Times New Roman"/>
          <w:i/>
          <w:sz w:val="24"/>
          <w:szCs w:val="24"/>
        </w:rPr>
        <w:t>vide</w:t>
      </w:r>
      <w:r w:rsidRPr="00C93F78">
        <w:rPr>
          <w:rFonts w:ascii="Times New Roman" w:hAnsi="Times New Roman" w:cs="Times New Roman"/>
          <w:sz w:val="24"/>
          <w:szCs w:val="24"/>
        </w:rPr>
        <w:t xml:space="preserve"> art. 119b § 1 pkt 2 Ordynacji podatkowej).</w:t>
      </w:r>
      <w:r w:rsidR="00943832" w:rsidRPr="00C93F78">
        <w:rPr>
          <w:rFonts w:ascii="Times New Roman" w:hAnsi="Times New Roman" w:cs="Times New Roman"/>
          <w:sz w:val="24"/>
          <w:szCs w:val="24"/>
        </w:rPr>
        <w:t xml:space="preserve"> W tym zakresie odpowiednie zastosowanie znajdzie projektowany przepis art. 119x § 4 . Odesłanie to oznacza, że Szef KAS w toku działań podjętych na</w:t>
      </w:r>
      <w:r w:rsidR="0049752C" w:rsidRPr="00C93F78">
        <w:rPr>
          <w:rFonts w:ascii="Times New Roman" w:hAnsi="Times New Roman" w:cs="Times New Roman"/>
          <w:sz w:val="24"/>
          <w:szCs w:val="24"/>
        </w:rPr>
        <w:t> </w:t>
      </w:r>
      <w:r w:rsidR="00943832" w:rsidRPr="00C93F78">
        <w:rPr>
          <w:rFonts w:ascii="Times New Roman" w:hAnsi="Times New Roman" w:cs="Times New Roman"/>
          <w:sz w:val="24"/>
          <w:szCs w:val="24"/>
        </w:rPr>
        <w:t>podstawie analizowanego przepisu przejściowego będzie uprawniony do wezwania podmiotu, któremu wcześniej wydał opinię zabezpieczającą lub odmówił jej wydania, do uzupełnienia braków wniosku.</w:t>
      </w:r>
    </w:p>
    <w:p w:rsidR="008F6890" w:rsidRPr="00C93F78" w:rsidRDefault="008F6890"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w:t>
      </w:r>
      <w:r w:rsidRPr="00C93F78">
        <w:rPr>
          <w:rFonts w:ascii="Times New Roman" w:hAnsi="Times New Roman" w:cs="Times New Roman"/>
          <w:b/>
          <w:sz w:val="24"/>
          <w:szCs w:val="24"/>
        </w:rPr>
        <w:t xml:space="preserve">art. </w:t>
      </w:r>
      <w:r w:rsidR="00E77A77" w:rsidRPr="00C93F78">
        <w:rPr>
          <w:rFonts w:ascii="Times New Roman" w:hAnsi="Times New Roman" w:cs="Times New Roman"/>
          <w:b/>
          <w:sz w:val="24"/>
          <w:szCs w:val="24"/>
        </w:rPr>
        <w:t>3</w:t>
      </w:r>
      <w:r w:rsidR="00F64648" w:rsidRPr="00C93F78">
        <w:rPr>
          <w:rFonts w:ascii="Times New Roman" w:hAnsi="Times New Roman" w:cs="Times New Roman"/>
          <w:b/>
          <w:sz w:val="24"/>
          <w:szCs w:val="24"/>
        </w:rPr>
        <w:t>1</w:t>
      </w:r>
      <w:r w:rsidR="00BA7562"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 xml:space="preserve"> proponuje się ograniczyć czasową możliwość skorzystania z procedury cofnięcia skutków unikania opodatkowania odnośnie korzyści podatkowych uzyskanych do dnia wejścia w życie niniejszej ustawy w zakończonym okresie rozliczeniowym, a w przypadku podatków, które nie są rozliczane okresowo – uzyskanej do dnia wejścia w życie ustawy nowelizującej. W przypadku tych korzyści podatkowych wniosek o wydanie decyzji określonej w art. 119zfa będzie można złożyć w ciągu 12 miesięcy od dnia wejścia w życie niniejszej ustawy. Wprowadzenie tego przepisu powinno pozytywnie wpłynąć na zachowanie podatników w kontekście publikowanych ostrzeżeń przez ministra właściwego do spraw finansów publicznych oraz Szefa KAS, a także ograniczyć – poprzez zmotywowanie podatników do składania wniosków o wydanie decyzji – liczbę możliwych sporów w zakresie stosowania klauzuli przeciwko unikaniu opodatkowania.</w:t>
      </w:r>
    </w:p>
    <w:p w:rsidR="008F6890" w:rsidRPr="00C93F78" w:rsidRDefault="008F6890"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w:t>
      </w:r>
      <w:r w:rsidRPr="00C93F78">
        <w:rPr>
          <w:rFonts w:ascii="Times New Roman" w:hAnsi="Times New Roman" w:cs="Times New Roman"/>
          <w:b/>
          <w:sz w:val="24"/>
          <w:szCs w:val="24"/>
        </w:rPr>
        <w:t xml:space="preserve">art. </w:t>
      </w:r>
      <w:r w:rsidR="00E77A77" w:rsidRPr="00C93F78">
        <w:rPr>
          <w:rFonts w:ascii="Times New Roman" w:hAnsi="Times New Roman" w:cs="Times New Roman"/>
          <w:b/>
          <w:sz w:val="24"/>
          <w:szCs w:val="24"/>
        </w:rPr>
        <w:t>3</w:t>
      </w:r>
      <w:r w:rsidR="00F64648" w:rsidRPr="00C93F78">
        <w:rPr>
          <w:rFonts w:ascii="Times New Roman" w:hAnsi="Times New Roman" w:cs="Times New Roman"/>
          <w:b/>
          <w:sz w:val="24"/>
          <w:szCs w:val="24"/>
        </w:rPr>
        <w:t>2</w:t>
      </w:r>
      <w:r w:rsidR="00BA7562"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 xml:space="preserve"> określono reguły stosowania art. 14na Op w brzmieniu nadanym proponowaną ustawą. Art. 14na Op § 1 w brzmieniu nadanym będzie miał zatem zastosowanie do interpretacji indywidualnych wydanych od dnia wejścia w życie niniejszej ustawy oraz interpretacji indywidualnych wydanych przed dniem wejścia w życie niniejszej ustawy, jeżeli korzyść podatkowa została uzyskaniu po dniu wejścia w życie niniejszej ustawy. Takie brzmienie przepisu przejściowego zapewni wyłączenie mocy ochronnej interpretacji indywidualnej wobec korzyści podatkowych mogących być przedmiotem decyzji z</w:t>
      </w:r>
      <w:r w:rsidR="0049752C" w:rsidRPr="00C93F78">
        <w:rPr>
          <w:rFonts w:ascii="Times New Roman" w:hAnsi="Times New Roman" w:cs="Times New Roman"/>
          <w:sz w:val="24"/>
          <w:szCs w:val="24"/>
        </w:rPr>
        <w:t> </w:t>
      </w:r>
      <w:r w:rsidRPr="00C93F78">
        <w:rPr>
          <w:rFonts w:ascii="Times New Roman" w:hAnsi="Times New Roman" w:cs="Times New Roman"/>
          <w:sz w:val="24"/>
          <w:szCs w:val="24"/>
        </w:rPr>
        <w:t>zastosowaniem środków ograniczających umowne korzyści. Art. 14na § 2 będzie miał zastosowanie do utrwalonej praktyki interpretacyjnej, interpretacji ogólnych i objaśnień podatkowych zaistniałych lub wydanych po dniu wejścia w życie niniejszej ustawy. Ponadto, przepis art. 14na § 2 Op będzie miał zastosowanie również do indywidualnych utrwalonej praktyki interpretacyjnej, interpretacji ogólnych i objaśnień podatkowych wydanych przed dniem wejścia w życie niniejszej ustawy, jeżeli korzyść podatkowa uzyskana od dnia wejścia w życie niniejszej ustawy jest skutkiem zastosowania przepisów prawa podatkowego będących przedmiotem wyjaśnień zakresu i sposobu stosowania tych przepisów wynikających z</w:t>
      </w:r>
      <w:r w:rsidR="0049752C" w:rsidRPr="00C93F78">
        <w:rPr>
          <w:rFonts w:ascii="Times New Roman" w:hAnsi="Times New Roman" w:cs="Times New Roman"/>
          <w:sz w:val="24"/>
          <w:szCs w:val="24"/>
        </w:rPr>
        <w:t> </w:t>
      </w:r>
      <w:r w:rsidRPr="00C93F78">
        <w:rPr>
          <w:rFonts w:ascii="Times New Roman" w:hAnsi="Times New Roman" w:cs="Times New Roman"/>
          <w:sz w:val="24"/>
          <w:szCs w:val="24"/>
        </w:rPr>
        <w:t>indywidualnej utrwalonej praktyki interpretacyjnej lub interpretacji ogólnej, lub wyjaśnień przepisów prawa podatkowego, dotyczących stosowania tych przepisów, zawartych w</w:t>
      </w:r>
      <w:r w:rsidR="0049752C" w:rsidRPr="00C93F78">
        <w:rPr>
          <w:rFonts w:ascii="Times New Roman" w:hAnsi="Times New Roman" w:cs="Times New Roman"/>
          <w:sz w:val="24"/>
          <w:szCs w:val="24"/>
        </w:rPr>
        <w:t> </w:t>
      </w:r>
      <w:r w:rsidRPr="00C93F78">
        <w:rPr>
          <w:rFonts w:ascii="Times New Roman" w:hAnsi="Times New Roman" w:cs="Times New Roman"/>
          <w:sz w:val="24"/>
          <w:szCs w:val="24"/>
        </w:rPr>
        <w:t>objaśnieniach podatkowych. Regulacje te są w dużej mierze analogiczne do tych zawartych w art. 5 ust. 1 i 1a ustawy zmieniającej z 2016 r.</w:t>
      </w:r>
    </w:p>
    <w:p w:rsidR="008F6890" w:rsidRPr="00C93F78" w:rsidRDefault="008F6890"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myśl </w:t>
      </w:r>
      <w:r w:rsidRPr="00C93F78">
        <w:rPr>
          <w:rFonts w:ascii="Times New Roman" w:hAnsi="Times New Roman" w:cs="Times New Roman"/>
          <w:b/>
          <w:sz w:val="24"/>
          <w:szCs w:val="24"/>
        </w:rPr>
        <w:t xml:space="preserve">art. </w:t>
      </w:r>
      <w:r w:rsidR="00E77A77" w:rsidRPr="00C93F78">
        <w:rPr>
          <w:rFonts w:ascii="Times New Roman" w:hAnsi="Times New Roman" w:cs="Times New Roman"/>
          <w:b/>
          <w:sz w:val="24"/>
          <w:szCs w:val="24"/>
        </w:rPr>
        <w:t>3</w:t>
      </w:r>
      <w:r w:rsidR="00F64648" w:rsidRPr="00C93F78">
        <w:rPr>
          <w:rFonts w:ascii="Times New Roman" w:hAnsi="Times New Roman" w:cs="Times New Roman"/>
          <w:b/>
          <w:sz w:val="24"/>
          <w:szCs w:val="24"/>
        </w:rPr>
        <w:t>3</w:t>
      </w:r>
      <w:r w:rsidR="00BA7562"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 xml:space="preserve"> przepisy rozdziału 6a działu III Op, dotyczące możliwości ustalenia dodatkowego zobowiązania podatkowego, będą miały zastosowanie do decyzji wydanych z zastosowaniem klauzuli przeciwko unikaniu opodatkowania lub środków ograniczających umowne korzyści i odnoszących się do korzyści podatkowych uzyskanych po</w:t>
      </w:r>
      <w:r w:rsidR="0049752C" w:rsidRPr="00C93F78">
        <w:rPr>
          <w:rFonts w:ascii="Times New Roman" w:hAnsi="Times New Roman" w:cs="Times New Roman"/>
          <w:sz w:val="24"/>
          <w:szCs w:val="24"/>
        </w:rPr>
        <w:t> </w:t>
      </w:r>
      <w:r w:rsidRPr="00C93F78">
        <w:rPr>
          <w:rFonts w:ascii="Times New Roman" w:hAnsi="Times New Roman" w:cs="Times New Roman"/>
          <w:sz w:val="24"/>
          <w:szCs w:val="24"/>
        </w:rPr>
        <w:t>dniu wejścia w życie niniejszej ustawy, a w przypadku podatków, które są rozliczane okresowo – uzyskanych w okresach rozliczeniowych rozpoczynających się od dnia wejścia w życie niniejszej ustawy. W przypadku decyzji, w których zastosowanie znajdą przepisy dotyczące cen transferowych, ustalenie dodatkowego zobowiązania podatkowego będzie możliwe w okresach rozliczeniowych, które rozpoczną się od dnia wejścia w życie niniejszej ustawy.</w:t>
      </w:r>
    </w:p>
    <w:p w:rsidR="008F6890" w:rsidRPr="00C93F78" w:rsidRDefault="008F6890"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Zgodnie z </w:t>
      </w:r>
      <w:r w:rsidRPr="00C93F78">
        <w:rPr>
          <w:rFonts w:ascii="Times New Roman" w:hAnsi="Times New Roman" w:cs="Times New Roman"/>
          <w:b/>
          <w:sz w:val="24"/>
          <w:szCs w:val="24"/>
        </w:rPr>
        <w:t xml:space="preserve">art. </w:t>
      </w:r>
      <w:r w:rsidR="00F64648" w:rsidRPr="00C93F78">
        <w:rPr>
          <w:rFonts w:ascii="Times New Roman" w:hAnsi="Times New Roman" w:cs="Times New Roman"/>
          <w:b/>
          <w:sz w:val="24"/>
          <w:szCs w:val="24"/>
        </w:rPr>
        <w:t>34</w:t>
      </w:r>
      <w:r w:rsidR="00BA7562"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 xml:space="preserve"> przepisy art. 119a-119f Ordynacji podatkowej będą mieć zastosowanie do korzyści podatkowych uzyskanych po dniu wejścia w życie ustawy, a w przypadku podatków, które są rozliczane okresowo - uzyskanej w okresach rozliczeniowych rozpoczynających się po dniu wejścia w życie niniejszej ustawy, włącznie z tym dniem. W celu uniknięcia wątpliwości związanych ze stosowaniem klauzuli przeciwko unikaniu opodatkowania, powinna ona w ocenie projektodawcy odnosić się jedynie do tych korzyści podatkowych, które zostały uzyskane w okresach rozliczeniowych przypadających w całości pod rządami znowelizowanych rozdziału 1 działu IIIa Op.</w:t>
      </w:r>
    </w:p>
    <w:p w:rsidR="008F6890" w:rsidRPr="00C93F78" w:rsidRDefault="008F6890"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w:t>
      </w:r>
      <w:r w:rsidRPr="00C93F78">
        <w:rPr>
          <w:rFonts w:ascii="Times New Roman" w:hAnsi="Times New Roman" w:cs="Times New Roman"/>
          <w:b/>
          <w:sz w:val="24"/>
          <w:szCs w:val="24"/>
        </w:rPr>
        <w:t xml:space="preserve">art. </w:t>
      </w:r>
      <w:r w:rsidR="00E77A77" w:rsidRPr="00C93F78">
        <w:rPr>
          <w:rFonts w:ascii="Times New Roman" w:hAnsi="Times New Roman" w:cs="Times New Roman"/>
          <w:b/>
          <w:sz w:val="24"/>
          <w:szCs w:val="24"/>
        </w:rPr>
        <w:t>3</w:t>
      </w:r>
      <w:r w:rsidR="00F64648" w:rsidRPr="00C93F78">
        <w:rPr>
          <w:rFonts w:ascii="Times New Roman" w:hAnsi="Times New Roman" w:cs="Times New Roman"/>
          <w:b/>
          <w:sz w:val="24"/>
          <w:szCs w:val="24"/>
        </w:rPr>
        <w:t xml:space="preserve">5 </w:t>
      </w:r>
      <w:r w:rsidRPr="00C93F78">
        <w:rPr>
          <w:rFonts w:ascii="Times New Roman" w:hAnsi="Times New Roman" w:cs="Times New Roman"/>
          <w:b/>
          <w:sz w:val="24"/>
          <w:szCs w:val="24"/>
        </w:rPr>
        <w:t>projektu</w:t>
      </w:r>
      <w:r w:rsidRPr="00C93F78">
        <w:rPr>
          <w:rFonts w:ascii="Times New Roman" w:hAnsi="Times New Roman"/>
          <w:b/>
          <w:sz w:val="24"/>
          <w:szCs w:val="24"/>
        </w:rPr>
        <w:t xml:space="preserve"> </w:t>
      </w:r>
      <w:r w:rsidRPr="00C93F78">
        <w:rPr>
          <w:rFonts w:ascii="Times New Roman" w:hAnsi="Times New Roman" w:cs="Times New Roman"/>
          <w:sz w:val="24"/>
          <w:szCs w:val="24"/>
        </w:rPr>
        <w:t>proponuje się zastrzec, że do wniosków organów samorządu terytorialnego, o których mowa w art. 119g § 2 Ordynacji podatkowej, które nie zostaną rozpatrzone do dnia wejścia w życie niniejszej ustawy, będzie mieć zastosowanie art. 119g § 2 Ordynacji podatkowej w brzmieniu nadanym niniejszą ustawą. Przez nierozpatrzenie wniosku należy rozumieć brak postanowienia Szefa KAS w zakresie wszczęcia lub przejęcia postępowania podatkowego.</w:t>
      </w:r>
    </w:p>
    <w:p w:rsidR="008F6890" w:rsidRPr="00C93F78" w:rsidRDefault="008F6890"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b/>
          <w:sz w:val="24"/>
          <w:szCs w:val="24"/>
        </w:rPr>
        <w:t xml:space="preserve">Art. </w:t>
      </w:r>
      <w:r w:rsidR="00B96B46" w:rsidRPr="00C93F78">
        <w:rPr>
          <w:rFonts w:ascii="Times New Roman" w:hAnsi="Times New Roman" w:cs="Times New Roman"/>
          <w:b/>
          <w:sz w:val="24"/>
          <w:szCs w:val="24"/>
        </w:rPr>
        <w:t>3</w:t>
      </w:r>
      <w:r w:rsidR="00F64648" w:rsidRPr="00C93F78">
        <w:rPr>
          <w:rFonts w:ascii="Times New Roman" w:hAnsi="Times New Roman" w:cs="Times New Roman"/>
          <w:b/>
          <w:sz w:val="24"/>
          <w:szCs w:val="24"/>
        </w:rPr>
        <w:t>6</w:t>
      </w:r>
      <w:r w:rsidR="00BA7562"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 xml:space="preserve"> będzie wskazywał, że przepisy art. 119x § 1 pkt 3, 6a i 6b, art. 119zc oraz art. 119zf w zakresie odesłania do art. 14r § 2 i 3 Ordynacji podatkowej, w brzmieniu nadanym projektowaną ustawą, będą miały zastosowanie jedynie do wniosków o wydanie opinii zabezpieczającej złożonych po dniu wejścia w życie niniejszej ustawy. Pozostałe zmieniane przepisy dotyczące procedury wydawania opinii zabezpieczającej, w tym art. 119y § 2, mogą być stosowane także do wniosków złożonych przed wejściem w życie projektowanej ustawy.</w:t>
      </w:r>
    </w:p>
    <w:p w:rsidR="008F6890" w:rsidRPr="00C93F78" w:rsidRDefault="008F6890"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w:t>
      </w:r>
      <w:r w:rsidRPr="00C93F78">
        <w:rPr>
          <w:rFonts w:ascii="Times New Roman" w:hAnsi="Times New Roman" w:cs="Times New Roman"/>
          <w:b/>
          <w:sz w:val="24"/>
          <w:szCs w:val="24"/>
        </w:rPr>
        <w:t xml:space="preserve">art. </w:t>
      </w:r>
      <w:r w:rsidR="00F64648" w:rsidRPr="00C93F78">
        <w:rPr>
          <w:rFonts w:ascii="Times New Roman" w:hAnsi="Times New Roman" w:cs="Times New Roman"/>
          <w:b/>
          <w:sz w:val="24"/>
          <w:szCs w:val="24"/>
        </w:rPr>
        <w:t>37</w:t>
      </w:r>
      <w:r w:rsidR="00BA7562"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 xml:space="preserve"> </w:t>
      </w:r>
      <w:r w:rsidR="00133086" w:rsidRPr="00C93F78">
        <w:rPr>
          <w:rFonts w:ascii="Times New Roman" w:hAnsi="Times New Roman" w:cs="Times New Roman"/>
          <w:sz w:val="24"/>
          <w:szCs w:val="24"/>
        </w:rPr>
        <w:t xml:space="preserve">- </w:t>
      </w:r>
      <w:r w:rsidRPr="00C93F78">
        <w:rPr>
          <w:rFonts w:ascii="Times New Roman" w:hAnsi="Times New Roman" w:cs="Times New Roman"/>
          <w:sz w:val="24"/>
          <w:szCs w:val="24"/>
        </w:rPr>
        <w:t>wprowadzono przepis przejściowy, zgodnie z którym domniemanie zawarte w art. art. 119zfe § 2 pkt 2 i 3 Op stosuje się odpowiednio do korzyści podatkowych uzyskanych przed terminami wskazanymi w art. 32 uwzględniając dotychczasowe brzmienie przepisów art. 119a § 1 oraz art. 119d Op.</w:t>
      </w:r>
    </w:p>
    <w:p w:rsidR="008F6890" w:rsidRPr="00C93F78" w:rsidRDefault="008F6890"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w:t>
      </w:r>
      <w:r w:rsidRPr="00C93F78">
        <w:rPr>
          <w:rFonts w:ascii="Times New Roman" w:hAnsi="Times New Roman" w:cs="Times New Roman"/>
          <w:b/>
          <w:sz w:val="24"/>
          <w:szCs w:val="24"/>
        </w:rPr>
        <w:t xml:space="preserve">art. </w:t>
      </w:r>
      <w:r w:rsidR="00F64648" w:rsidRPr="00C93F78">
        <w:rPr>
          <w:rFonts w:ascii="Times New Roman" w:hAnsi="Times New Roman" w:cs="Times New Roman"/>
          <w:b/>
          <w:sz w:val="24"/>
          <w:szCs w:val="24"/>
        </w:rPr>
        <w:t>38</w:t>
      </w:r>
      <w:r w:rsidR="00BA7562"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 xml:space="preserve"> proponuje się objąć tajemnicą skarbową również akta postępowań w sprawie wydania opinii zabezpieczającej, w których wnioski o wydanie przedmiotowej opinii zostały złożone lub rozpatrzone przed dniem wejścia w życie niniejszej ustawy. Przepis ten, działając z mocą wsteczną, pozwoli objąć tajemnicą skarbową akta zakończonych już postępowań.</w:t>
      </w:r>
    </w:p>
    <w:p w:rsidR="008F6890" w:rsidRPr="00C93F78" w:rsidRDefault="008F6890" w:rsidP="00C93F78">
      <w:pPr>
        <w:spacing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Pomimo tego, że przepis wskazany w art. 5 § 1 pkt 4c lit. b ustawy z dnia 17 czerwca 1966 r. o</w:t>
      </w:r>
      <w:r w:rsidR="0049752C" w:rsidRPr="00C93F78">
        <w:rPr>
          <w:rFonts w:ascii="Times New Roman" w:hAnsi="Times New Roman" w:cs="Times New Roman"/>
          <w:sz w:val="24"/>
          <w:szCs w:val="24"/>
        </w:rPr>
        <w:t> </w:t>
      </w:r>
      <w:r w:rsidRPr="00C93F78">
        <w:rPr>
          <w:rFonts w:ascii="Times New Roman" w:hAnsi="Times New Roman" w:cs="Times New Roman"/>
          <w:sz w:val="24"/>
          <w:szCs w:val="24"/>
        </w:rPr>
        <w:t>postępowaniu egzekucyjnym w administracji będzie odnosić się do postępowań przejętych zgodnie z art. 119g § 2 Op, to – z uwagi na wcześniejsze brzmienie przepisu – proponuje się w </w:t>
      </w:r>
      <w:r w:rsidRPr="00C93F78">
        <w:rPr>
          <w:rFonts w:ascii="Times New Roman" w:hAnsi="Times New Roman" w:cs="Times New Roman"/>
          <w:b/>
          <w:sz w:val="24"/>
          <w:szCs w:val="24"/>
        </w:rPr>
        <w:t>art. </w:t>
      </w:r>
      <w:r w:rsidR="00F64648" w:rsidRPr="00C93F78">
        <w:rPr>
          <w:rFonts w:ascii="Times New Roman" w:hAnsi="Times New Roman" w:cs="Times New Roman"/>
          <w:b/>
          <w:sz w:val="24"/>
          <w:szCs w:val="24"/>
        </w:rPr>
        <w:t>39</w:t>
      </w:r>
      <w:r w:rsidR="00E77A77" w:rsidRPr="00C93F78">
        <w:rPr>
          <w:rFonts w:ascii="Times New Roman" w:hAnsi="Times New Roman" w:cs="Times New Roman"/>
          <w:b/>
          <w:sz w:val="24"/>
          <w:szCs w:val="24"/>
        </w:rPr>
        <w:t xml:space="preserve"> </w:t>
      </w:r>
      <w:r w:rsidRPr="00C93F78">
        <w:rPr>
          <w:rFonts w:ascii="Times New Roman" w:hAnsi="Times New Roman" w:cs="Times New Roman"/>
          <w:b/>
          <w:sz w:val="24"/>
          <w:szCs w:val="24"/>
        </w:rPr>
        <w:t>projektu</w:t>
      </w:r>
      <w:r w:rsidRPr="00C93F78">
        <w:rPr>
          <w:rFonts w:ascii="Times New Roman" w:hAnsi="Times New Roman" w:cs="Times New Roman"/>
          <w:sz w:val="24"/>
          <w:szCs w:val="24"/>
        </w:rPr>
        <w:t xml:space="preserve"> zapewnić jego odpowiednie stosowanie również do postępowań wszczętych na podstawie art. 119g § 2 Op w brzmieniu dotychczasowym.</w:t>
      </w:r>
    </w:p>
    <w:p w:rsidR="006B0AAF" w:rsidRPr="00C93F78" w:rsidRDefault="00ED3F66" w:rsidP="00C93F78">
      <w:pPr>
        <w:spacing w:before="120" w:after="0" w:line="360" w:lineRule="auto"/>
        <w:jc w:val="both"/>
        <w:rPr>
          <w:rFonts w:ascii="Times New Roman" w:eastAsia="Calibri" w:hAnsi="Times New Roman" w:cs="Times New Roman"/>
          <w:sz w:val="24"/>
          <w:szCs w:val="24"/>
          <w:shd w:val="clear" w:color="auto" w:fill="FFFFFF"/>
        </w:rPr>
      </w:pPr>
      <w:r w:rsidRPr="00C93F78">
        <w:rPr>
          <w:rFonts w:ascii="Times New Roman" w:eastAsia="Calibri" w:hAnsi="Times New Roman" w:cs="Times New Roman"/>
          <w:b/>
          <w:sz w:val="24"/>
          <w:szCs w:val="24"/>
        </w:rPr>
        <w:t xml:space="preserve">Art. </w:t>
      </w:r>
      <w:r w:rsidR="00F64648" w:rsidRPr="00C93F78">
        <w:rPr>
          <w:rFonts w:ascii="Times New Roman" w:eastAsia="Calibri" w:hAnsi="Times New Roman" w:cs="Times New Roman"/>
          <w:b/>
          <w:sz w:val="24"/>
          <w:szCs w:val="24"/>
        </w:rPr>
        <w:t>40</w:t>
      </w:r>
      <w:r w:rsidR="00E77A77" w:rsidRPr="00C93F78">
        <w:rPr>
          <w:rFonts w:ascii="Times New Roman" w:eastAsia="Calibri" w:hAnsi="Times New Roman" w:cs="Times New Roman"/>
          <w:b/>
          <w:sz w:val="24"/>
          <w:szCs w:val="24"/>
        </w:rPr>
        <w:t xml:space="preserve"> projektu - </w:t>
      </w:r>
      <w:r w:rsidR="00E77A77" w:rsidRPr="00C93F78">
        <w:rPr>
          <w:rFonts w:ascii="Times New Roman" w:eastAsia="Calibri" w:hAnsi="Times New Roman" w:cs="Times New Roman"/>
          <w:sz w:val="24"/>
          <w:szCs w:val="24"/>
        </w:rPr>
        <w:t>w</w:t>
      </w:r>
      <w:r w:rsidR="006B0AAF" w:rsidRPr="00C93F78">
        <w:rPr>
          <w:rFonts w:ascii="Times New Roman" w:eastAsia="Calibri" w:hAnsi="Times New Roman" w:cs="Times New Roman"/>
          <w:sz w:val="24"/>
          <w:szCs w:val="24"/>
          <w:shd w:val="clear" w:color="auto" w:fill="FFFFFF"/>
        </w:rPr>
        <w:t xml:space="preserve">prowadza się regulację przejściową, zgodnie z którą przepis Rozdziału 7b ustawy o PIT oraz Rozdziału 6a ustawy o CIT w znowelizowanym brzmieniu stosuje się w stosunku do podatku pobranego od dnia 1 stycznia </w:t>
      </w:r>
      <w:r w:rsidR="005D7A67" w:rsidRPr="00C93F78">
        <w:rPr>
          <w:rFonts w:ascii="Times New Roman" w:eastAsia="Calibri" w:hAnsi="Times New Roman" w:cs="Times New Roman"/>
          <w:sz w:val="24"/>
          <w:szCs w:val="24"/>
          <w:shd w:val="clear" w:color="auto" w:fill="FFFFFF"/>
        </w:rPr>
        <w:t xml:space="preserve">2019 r. </w:t>
      </w:r>
      <w:r w:rsidR="006B0AAF" w:rsidRPr="00C93F78">
        <w:rPr>
          <w:rFonts w:ascii="Times New Roman" w:eastAsia="Calibri" w:hAnsi="Times New Roman" w:cs="Times New Roman"/>
          <w:sz w:val="24"/>
          <w:szCs w:val="24"/>
          <w:shd w:val="clear" w:color="auto" w:fill="FFFFFF"/>
        </w:rPr>
        <w:t>na podstawie art. 41 ust. 12 ustawy o PIT albo art. 26 ust. 2e ustawy o CIT.</w:t>
      </w:r>
    </w:p>
    <w:p w:rsidR="00581951" w:rsidRPr="00C93F78" w:rsidRDefault="00581951" w:rsidP="00C93F78">
      <w:pPr>
        <w:spacing w:before="120" w:after="120" w:line="360" w:lineRule="auto"/>
        <w:jc w:val="both"/>
        <w:rPr>
          <w:rFonts w:ascii="Times New Roman" w:hAnsi="Times New Roman" w:cs="Times New Roman"/>
          <w:sz w:val="24"/>
          <w:szCs w:val="24"/>
        </w:rPr>
      </w:pPr>
      <w:r w:rsidRPr="00C93F78">
        <w:rPr>
          <w:rFonts w:ascii="Times New Roman" w:hAnsi="Times New Roman" w:cs="Times New Roman"/>
          <w:sz w:val="24"/>
          <w:szCs w:val="24"/>
        </w:rPr>
        <w:t xml:space="preserve">W </w:t>
      </w:r>
      <w:r w:rsidR="008F6890" w:rsidRPr="00C93F78">
        <w:rPr>
          <w:rFonts w:ascii="Times New Roman" w:hAnsi="Times New Roman" w:cs="Times New Roman"/>
          <w:b/>
          <w:sz w:val="24"/>
          <w:szCs w:val="24"/>
        </w:rPr>
        <w:t>art.</w:t>
      </w:r>
      <w:r w:rsidRPr="00C93F78">
        <w:rPr>
          <w:rFonts w:ascii="Times New Roman" w:hAnsi="Times New Roman" w:cs="Times New Roman"/>
          <w:b/>
          <w:sz w:val="24"/>
          <w:szCs w:val="24"/>
        </w:rPr>
        <w:t xml:space="preserve"> </w:t>
      </w:r>
      <w:r w:rsidR="00F64648" w:rsidRPr="00C93F78">
        <w:rPr>
          <w:rFonts w:ascii="Times New Roman" w:hAnsi="Times New Roman" w:cs="Times New Roman"/>
          <w:b/>
          <w:sz w:val="24"/>
          <w:szCs w:val="24"/>
        </w:rPr>
        <w:t>41</w:t>
      </w:r>
      <w:r w:rsidR="00BA7562" w:rsidRPr="00C93F78">
        <w:rPr>
          <w:rFonts w:ascii="Times New Roman" w:hAnsi="Times New Roman" w:cs="Times New Roman"/>
          <w:b/>
          <w:sz w:val="24"/>
          <w:szCs w:val="24"/>
        </w:rPr>
        <w:t xml:space="preserve"> </w:t>
      </w:r>
      <w:r w:rsidR="008F6890" w:rsidRPr="00C93F78">
        <w:rPr>
          <w:rFonts w:ascii="Times New Roman" w:hAnsi="Times New Roman" w:cs="Times New Roman"/>
          <w:b/>
          <w:sz w:val="24"/>
          <w:szCs w:val="24"/>
        </w:rPr>
        <w:t>p</w:t>
      </w:r>
      <w:r w:rsidRPr="00C93F78">
        <w:rPr>
          <w:rFonts w:ascii="Times New Roman" w:hAnsi="Times New Roman" w:cs="Times New Roman"/>
          <w:b/>
          <w:sz w:val="24"/>
          <w:szCs w:val="24"/>
        </w:rPr>
        <w:t>rojektu</w:t>
      </w:r>
      <w:r w:rsidRPr="00C93F78">
        <w:rPr>
          <w:rFonts w:ascii="Times New Roman" w:hAnsi="Times New Roman" w:cs="Times New Roman"/>
          <w:sz w:val="24"/>
          <w:szCs w:val="24"/>
        </w:rPr>
        <w:t xml:space="preserve"> – zgodnie z zasadami określonymi w art. 50 ust. 1a ustawy o finansach publicznych – wskazano</w:t>
      </w:r>
      <w:r w:rsidR="00214B8A" w:rsidRPr="00C93F78">
        <w:rPr>
          <w:rFonts w:ascii="Times New Roman" w:hAnsi="Times New Roman" w:cs="Times New Roman"/>
          <w:sz w:val="24"/>
          <w:szCs w:val="24"/>
        </w:rPr>
        <w:t xml:space="preserve"> </w:t>
      </w:r>
      <w:r w:rsidRPr="00C93F78">
        <w:rPr>
          <w:rFonts w:ascii="Times New Roman" w:hAnsi="Times New Roman" w:cs="Times New Roman"/>
          <w:sz w:val="24"/>
          <w:szCs w:val="24"/>
        </w:rPr>
        <w:t>maksymalny limit wydatków budżetu państwa będący skutkiem finansowym wejścia w życie przepisów dotyczących obowiązku raportowania o schematach podatkowych przez 10 kolejnych lat obowiązywania tych przepisów. wykonywania.</w:t>
      </w:r>
    </w:p>
    <w:p w:rsidR="00ED3F66" w:rsidRPr="00C93F78" w:rsidRDefault="00ED3F66" w:rsidP="00C93F78">
      <w:pPr>
        <w:spacing w:before="120" w:after="120" w:line="360" w:lineRule="auto"/>
        <w:jc w:val="both"/>
        <w:rPr>
          <w:rFonts w:ascii="Times New Roman" w:eastAsia="Calibri" w:hAnsi="Times New Roman" w:cs="Times New Roman"/>
          <w:b/>
          <w:sz w:val="24"/>
          <w:szCs w:val="24"/>
        </w:rPr>
      </w:pPr>
      <w:r w:rsidRPr="00C93F78">
        <w:rPr>
          <w:rFonts w:ascii="Times New Roman" w:eastAsia="Calibri" w:hAnsi="Times New Roman" w:cs="Times New Roman"/>
          <w:b/>
          <w:sz w:val="24"/>
          <w:szCs w:val="24"/>
        </w:rPr>
        <w:t xml:space="preserve">Art. </w:t>
      </w:r>
      <w:r w:rsidR="00F64648" w:rsidRPr="00C93F78">
        <w:rPr>
          <w:rFonts w:ascii="Times New Roman" w:eastAsia="Calibri" w:hAnsi="Times New Roman" w:cs="Times New Roman"/>
          <w:b/>
          <w:sz w:val="24"/>
          <w:szCs w:val="24"/>
        </w:rPr>
        <w:t>42</w:t>
      </w:r>
      <w:r w:rsidR="00E77A77" w:rsidRPr="00C93F78">
        <w:rPr>
          <w:rFonts w:ascii="Times New Roman" w:eastAsia="Calibri" w:hAnsi="Times New Roman" w:cs="Times New Roman"/>
          <w:b/>
          <w:sz w:val="24"/>
          <w:szCs w:val="24"/>
        </w:rPr>
        <w:t xml:space="preserve"> projektu - </w:t>
      </w:r>
      <w:r w:rsidR="00E77A77" w:rsidRPr="00C93F78">
        <w:rPr>
          <w:rFonts w:ascii="Times New Roman" w:eastAsia="Calibri" w:hAnsi="Times New Roman" w:cs="Times New Roman"/>
          <w:sz w:val="24"/>
          <w:szCs w:val="24"/>
        </w:rPr>
        <w:t>p</w:t>
      </w:r>
      <w:r w:rsidRPr="00C93F78">
        <w:rPr>
          <w:rFonts w:ascii="Times New Roman" w:eastAsia="Calibri" w:hAnsi="Times New Roman" w:cs="Times New Roman"/>
          <w:sz w:val="24"/>
          <w:szCs w:val="24"/>
        </w:rPr>
        <w:t xml:space="preserve">rzepis dedykowany jest podatnikom o innym roku podatkowym niż rok kalendarzowy. Podatnicy ci zasadniczo będą stosować nowe regulacje od początku ich roku podatkowego rozpoczętego po 31 grudnia 2018 r. </w:t>
      </w:r>
    </w:p>
    <w:p w:rsidR="005E27C8" w:rsidRPr="00C93F78" w:rsidRDefault="005E27C8" w:rsidP="00C93F78">
      <w:pPr>
        <w:spacing w:before="120" w:after="120" w:line="360" w:lineRule="auto"/>
        <w:jc w:val="both"/>
        <w:rPr>
          <w:rFonts w:ascii="Times New Roman" w:eastAsia="Calibri" w:hAnsi="Times New Roman" w:cs="Times New Roman"/>
          <w:sz w:val="24"/>
          <w:szCs w:val="24"/>
        </w:rPr>
      </w:pPr>
      <w:r w:rsidRPr="00C93F78">
        <w:rPr>
          <w:rFonts w:ascii="Times New Roman" w:eastAsia="Calibri" w:hAnsi="Times New Roman" w:cs="Times New Roman"/>
          <w:b/>
          <w:sz w:val="24"/>
          <w:szCs w:val="24"/>
        </w:rPr>
        <w:t xml:space="preserve">Art. </w:t>
      </w:r>
      <w:r w:rsidR="00F64648" w:rsidRPr="00C93F78">
        <w:rPr>
          <w:rFonts w:ascii="Times New Roman" w:eastAsia="Calibri" w:hAnsi="Times New Roman" w:cs="Times New Roman"/>
          <w:b/>
          <w:sz w:val="24"/>
          <w:szCs w:val="24"/>
        </w:rPr>
        <w:t>43</w:t>
      </w:r>
      <w:r w:rsidR="00E77A77" w:rsidRPr="00C93F78">
        <w:rPr>
          <w:rFonts w:ascii="Times New Roman" w:eastAsia="Calibri" w:hAnsi="Times New Roman" w:cs="Times New Roman"/>
          <w:b/>
          <w:sz w:val="24"/>
          <w:szCs w:val="24"/>
        </w:rPr>
        <w:t xml:space="preserve"> projektu - </w:t>
      </w:r>
      <w:r w:rsidR="00E77A77" w:rsidRPr="00C93F78">
        <w:rPr>
          <w:rFonts w:ascii="Times New Roman" w:eastAsia="Calibri" w:hAnsi="Times New Roman" w:cs="Times New Roman"/>
          <w:sz w:val="24"/>
          <w:szCs w:val="24"/>
        </w:rPr>
        <w:t>p</w:t>
      </w:r>
      <w:r w:rsidRPr="00C93F78">
        <w:rPr>
          <w:rFonts w:ascii="Times New Roman" w:eastAsia="Calibri" w:hAnsi="Times New Roman" w:cs="Times New Roman"/>
          <w:sz w:val="24"/>
          <w:szCs w:val="24"/>
        </w:rPr>
        <w:t>rzepis reguluje moment stosowania regulacji wprowadzającej ulgę dla banków spółdzielczych. </w:t>
      </w:r>
    </w:p>
    <w:p w:rsidR="008E2F84" w:rsidRPr="00C93F78" w:rsidRDefault="00ED3F66" w:rsidP="00C93F78">
      <w:pPr>
        <w:autoSpaceDE w:val="0"/>
        <w:autoSpaceDN w:val="0"/>
        <w:spacing w:before="40" w:after="40" w:line="360" w:lineRule="auto"/>
        <w:jc w:val="both"/>
        <w:rPr>
          <w:sz w:val="24"/>
          <w:szCs w:val="24"/>
        </w:rPr>
      </w:pPr>
      <w:r w:rsidRPr="00C93F78">
        <w:rPr>
          <w:rFonts w:ascii="Times New Roman" w:eastAsia="Calibri" w:hAnsi="Times New Roman" w:cs="Times New Roman"/>
          <w:b/>
          <w:sz w:val="24"/>
          <w:szCs w:val="24"/>
        </w:rPr>
        <w:t xml:space="preserve">Art. </w:t>
      </w:r>
      <w:r w:rsidR="00F64648" w:rsidRPr="00C93F78">
        <w:rPr>
          <w:rFonts w:ascii="Times New Roman" w:eastAsia="Calibri" w:hAnsi="Times New Roman" w:cs="Times New Roman"/>
          <w:b/>
          <w:sz w:val="24"/>
          <w:szCs w:val="24"/>
        </w:rPr>
        <w:t>44</w:t>
      </w:r>
      <w:r w:rsidR="00E77A77" w:rsidRPr="00C93F78">
        <w:rPr>
          <w:rFonts w:ascii="Times New Roman" w:eastAsia="Calibri" w:hAnsi="Times New Roman" w:cs="Times New Roman"/>
          <w:b/>
          <w:sz w:val="24"/>
          <w:szCs w:val="24"/>
        </w:rPr>
        <w:t xml:space="preserve"> projektu - </w:t>
      </w:r>
      <w:r w:rsidR="00E77A77" w:rsidRPr="00C93F78">
        <w:rPr>
          <w:rFonts w:ascii="Times New Roman" w:eastAsia="Calibri" w:hAnsi="Times New Roman" w:cs="Times New Roman"/>
          <w:sz w:val="24"/>
          <w:szCs w:val="24"/>
        </w:rPr>
        <w:t>p</w:t>
      </w:r>
      <w:r w:rsidR="008E2F84" w:rsidRPr="00C93F78">
        <w:rPr>
          <w:rFonts w:ascii="Times New Roman" w:hAnsi="Times New Roman"/>
          <w:sz w:val="24"/>
          <w:szCs w:val="24"/>
        </w:rPr>
        <w:t>rzepis stanowi, iż zmieniane przepisów znajdą co do zasady zastosowanie do</w:t>
      </w:r>
      <w:r w:rsidR="009113E8" w:rsidRPr="00C93F78">
        <w:rPr>
          <w:rFonts w:ascii="Times New Roman" w:hAnsi="Times New Roman"/>
          <w:sz w:val="24"/>
          <w:szCs w:val="24"/>
        </w:rPr>
        <w:t xml:space="preserve"> </w:t>
      </w:r>
      <w:r w:rsidR="008E2F84" w:rsidRPr="00C93F78">
        <w:rPr>
          <w:rFonts w:ascii="Times New Roman" w:hAnsi="Times New Roman"/>
          <w:sz w:val="24"/>
          <w:szCs w:val="24"/>
        </w:rPr>
        <w:t>dochodów uzyskanych od dnia 1 stycznia 2019 r. Wprowadza jednocześnie wyjątki od tej zasady. Dotyczą one: </w:t>
      </w:r>
    </w:p>
    <w:p w:rsidR="008E2F84" w:rsidRPr="00C93F78" w:rsidRDefault="008E2F84" w:rsidP="00C93F78">
      <w:pPr>
        <w:autoSpaceDE w:val="0"/>
        <w:autoSpaceDN w:val="0"/>
        <w:spacing w:before="40" w:after="40" w:line="360" w:lineRule="auto"/>
        <w:jc w:val="both"/>
        <w:rPr>
          <w:sz w:val="24"/>
          <w:szCs w:val="24"/>
        </w:rPr>
      </w:pPr>
      <w:r w:rsidRPr="00C93F78">
        <w:rPr>
          <w:rFonts w:ascii="Times New Roman" w:hAnsi="Times New Roman"/>
          <w:sz w:val="24"/>
          <w:szCs w:val="24"/>
        </w:rPr>
        <w:t>Pkt 1 i 2 odnoszą się z kolei do zwolnienia z podatku odsetek i dyskonta od obligacji. Zwolnienia to ma dotyczyć wyłącznie obligacji wyemitowanych od dnia 1 stycznia 2019 r. </w:t>
      </w:r>
    </w:p>
    <w:p w:rsidR="00ED3F66" w:rsidRPr="00C93F78" w:rsidRDefault="008E2F84" w:rsidP="00C93F78">
      <w:pPr>
        <w:autoSpaceDE w:val="0"/>
        <w:autoSpaceDN w:val="0"/>
        <w:spacing w:before="40" w:after="40" w:line="360" w:lineRule="auto"/>
        <w:jc w:val="both"/>
        <w:rPr>
          <w:sz w:val="24"/>
          <w:szCs w:val="24"/>
        </w:rPr>
      </w:pPr>
      <w:r w:rsidRPr="00C93F78">
        <w:rPr>
          <w:rFonts w:ascii="Times New Roman" w:hAnsi="Times New Roman"/>
          <w:sz w:val="24"/>
          <w:szCs w:val="24"/>
        </w:rPr>
        <w:t>Pkt 3 wskazuje na stosowanie zwolnienia dochodów (przychodów) uzyskiwanych przez polskie podmioty w następstwie wykonania umów offsetowych po dniu 31 grudnia 2019 roku. Dochody (przychody) uzyskiwane przed tą datą zwolnione są z opodatkowania na podstawie rozporządzenia Ministra Finansów w sprawie zaniechania poboru podatku dochodowego</w:t>
      </w:r>
      <w:r w:rsidR="00ED3F66" w:rsidRPr="00C93F78">
        <w:rPr>
          <w:rFonts w:ascii="Times New Roman" w:eastAsia="Calibri" w:hAnsi="Times New Roman" w:cs="Times New Roman"/>
          <w:sz w:val="24"/>
          <w:szCs w:val="24"/>
        </w:rPr>
        <w:t>.</w:t>
      </w:r>
      <w:r w:rsidR="00840A3E" w:rsidRPr="00C93F78">
        <w:rPr>
          <w:rFonts w:ascii="Times New Roman" w:eastAsia="Calibri" w:hAnsi="Times New Roman" w:cs="Times New Roman"/>
          <w:sz w:val="24"/>
          <w:szCs w:val="24"/>
        </w:rPr>
        <w:t xml:space="preserve"> </w:t>
      </w:r>
    </w:p>
    <w:p w:rsidR="000B599A" w:rsidRPr="00C93F78" w:rsidRDefault="00B96B46" w:rsidP="00C93F78">
      <w:pPr>
        <w:spacing w:before="240" w:line="360" w:lineRule="auto"/>
        <w:jc w:val="both"/>
        <w:rPr>
          <w:rFonts w:ascii="Times New Roman" w:hAnsi="Times New Roman" w:cs="Times New Roman"/>
          <w:sz w:val="24"/>
          <w:szCs w:val="24"/>
        </w:rPr>
      </w:pPr>
      <w:r w:rsidRPr="00C93F78">
        <w:rPr>
          <w:rFonts w:ascii="Times New Roman" w:hAnsi="Times New Roman" w:cs="Times New Roman"/>
          <w:b/>
          <w:sz w:val="24"/>
          <w:szCs w:val="24"/>
        </w:rPr>
        <w:t xml:space="preserve">Art. </w:t>
      </w:r>
      <w:r w:rsidR="00F64648" w:rsidRPr="00C93F78">
        <w:rPr>
          <w:rFonts w:ascii="Times New Roman" w:hAnsi="Times New Roman" w:cs="Times New Roman"/>
          <w:b/>
          <w:sz w:val="24"/>
          <w:szCs w:val="24"/>
        </w:rPr>
        <w:t>45</w:t>
      </w:r>
      <w:r w:rsidRPr="00C93F78">
        <w:rPr>
          <w:rFonts w:ascii="Times New Roman" w:hAnsi="Times New Roman" w:cs="Times New Roman"/>
          <w:b/>
          <w:sz w:val="24"/>
          <w:szCs w:val="24"/>
        </w:rPr>
        <w:t xml:space="preserve"> </w:t>
      </w:r>
      <w:r w:rsidR="00E77A77" w:rsidRPr="00C93F78">
        <w:rPr>
          <w:rFonts w:ascii="Times New Roman" w:hAnsi="Times New Roman" w:cs="Times New Roman"/>
          <w:b/>
          <w:sz w:val="24"/>
          <w:szCs w:val="24"/>
        </w:rPr>
        <w:t xml:space="preserve">projektu - </w:t>
      </w:r>
      <w:r w:rsidR="00E77A77" w:rsidRPr="00C93F78">
        <w:rPr>
          <w:rFonts w:ascii="Times New Roman" w:hAnsi="Times New Roman" w:cs="Times New Roman"/>
          <w:sz w:val="24"/>
          <w:szCs w:val="24"/>
        </w:rPr>
        <w:t>r</w:t>
      </w:r>
      <w:r w:rsidR="000B599A" w:rsidRPr="00C93F78">
        <w:rPr>
          <w:rFonts w:ascii="Times New Roman" w:hAnsi="Times New Roman" w:cs="Times New Roman"/>
          <w:sz w:val="24"/>
          <w:szCs w:val="24"/>
        </w:rPr>
        <w:t>egulacja ma charakter przepisu przejściowego. W myśl tego przepisu, analizy danych porównawczych lub opisy zgodności warunków transakcji oraz innych zdarzeń, ustalonych z podmiotami powiązanymi sporządzone przez podatników przed dniem wejścia w życie niniejszej ustawy, zachowują aktualność przez 3 kolejne lata od daty sporządzenia, chyba że zmiana warunków ekonomicznych w stopniu znacznie wpływającym na analizę danych porównawczych uzasadnia dokonanie przeglądu w roku zaistnienia tej zmiany. W takim przypadku podatnik sporządza analizę porównawczą lub analizę zgodności w sposób określony przez niniejszą ustawę.</w:t>
      </w:r>
    </w:p>
    <w:p w:rsidR="000B599A" w:rsidRPr="00C93F78" w:rsidRDefault="000B599A" w:rsidP="00C93F78">
      <w:pPr>
        <w:spacing w:line="360" w:lineRule="auto"/>
        <w:jc w:val="both"/>
        <w:rPr>
          <w:rFonts w:ascii="Times New Roman" w:hAnsi="Times New Roman" w:cs="Times New Roman"/>
          <w:bCs/>
          <w:sz w:val="24"/>
          <w:szCs w:val="24"/>
        </w:rPr>
      </w:pPr>
      <w:r w:rsidRPr="00C93F78">
        <w:rPr>
          <w:rFonts w:ascii="Times New Roman" w:hAnsi="Times New Roman" w:cs="Times New Roman"/>
          <w:bCs/>
          <w:sz w:val="24"/>
          <w:szCs w:val="24"/>
        </w:rPr>
        <w:t>Ustęp 1 ma charakter przepisu przejściowego i wskazuje, że</w:t>
      </w:r>
      <w:r w:rsidR="0049752C" w:rsidRPr="00C93F78">
        <w:rPr>
          <w:rFonts w:ascii="Times New Roman" w:hAnsi="Times New Roman" w:cs="Times New Roman"/>
          <w:bCs/>
          <w:sz w:val="24"/>
          <w:szCs w:val="24"/>
        </w:rPr>
        <w:t xml:space="preserve"> przepisy ustawy stosuje się do </w:t>
      </w:r>
      <w:r w:rsidRPr="00C93F78">
        <w:rPr>
          <w:rFonts w:ascii="Times New Roman" w:hAnsi="Times New Roman" w:cs="Times New Roman"/>
          <w:bCs/>
          <w:sz w:val="24"/>
          <w:szCs w:val="24"/>
        </w:rPr>
        <w:t>dochodów (przychodów) uzyskanych w roku podatkowym rozpoczynającym się po dniu 31 grudnia 2018 r.</w:t>
      </w:r>
    </w:p>
    <w:p w:rsidR="000B599A" w:rsidRPr="00C93F78" w:rsidRDefault="000B599A"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ustępu 2 ma na celu fakultatywne umożliwienie podatnikom stosowanie przepisów wprowadzonych przez ustawę w zakresie dokumentacji cen transferowych – w odniesieniu do transakcji kontrolowanych realizowanych w 2018 r. Regulacja zostaje wprowadzona, żeby pozwolić podatnikom na przygotowanie dokumentacji cen transferowych za 2018 rok na podstawie zmienionych przepisów, co może spowodować ograniczenie obowiązków w</w:t>
      </w:r>
      <w:r w:rsidR="0049752C" w:rsidRPr="00C93F78">
        <w:rPr>
          <w:rFonts w:ascii="Times New Roman" w:hAnsi="Times New Roman" w:cs="Times New Roman"/>
          <w:sz w:val="24"/>
          <w:szCs w:val="24"/>
        </w:rPr>
        <w:t> </w:t>
      </w:r>
      <w:r w:rsidRPr="00C93F78">
        <w:rPr>
          <w:rFonts w:ascii="Times New Roman" w:hAnsi="Times New Roman" w:cs="Times New Roman"/>
          <w:sz w:val="24"/>
          <w:szCs w:val="24"/>
        </w:rPr>
        <w:t>zakresie dokumentacji cen transferowych dla części podatników już za 2018 rok.</w:t>
      </w:r>
    </w:p>
    <w:p w:rsidR="000B599A" w:rsidRPr="00C93F78" w:rsidRDefault="000B599A" w:rsidP="00C93F78">
      <w:pPr>
        <w:spacing w:line="360" w:lineRule="auto"/>
        <w:jc w:val="both"/>
        <w:rPr>
          <w:rFonts w:ascii="Times New Roman" w:hAnsi="Times New Roman" w:cs="Times New Roman"/>
          <w:sz w:val="24"/>
          <w:szCs w:val="24"/>
        </w:rPr>
      </w:pPr>
      <w:r w:rsidRPr="00C93F78">
        <w:rPr>
          <w:rFonts w:ascii="Times New Roman" w:hAnsi="Times New Roman" w:cs="Times New Roman"/>
          <w:sz w:val="24"/>
          <w:szCs w:val="24"/>
        </w:rPr>
        <w:t>Regulacja ustępu 3 ma na celu wskazanie, że uchylany wprowadzaną ustawą przepis art. 15ca ustawy o CIT zostanie usunięty od momentu jego wyjścia w życie, co jest zmianą korzystną dla podatników.</w:t>
      </w:r>
    </w:p>
    <w:p w:rsidR="0054644B" w:rsidRPr="00C93F78" w:rsidRDefault="0054644B" w:rsidP="00C93F78">
      <w:pPr>
        <w:spacing w:line="360" w:lineRule="auto"/>
        <w:jc w:val="both"/>
        <w:rPr>
          <w:rFonts w:ascii="Times New Roman" w:hAnsi="Times New Roman" w:cs="Times New Roman"/>
          <w:sz w:val="24"/>
          <w:szCs w:val="24"/>
        </w:rPr>
      </w:pPr>
      <w:r w:rsidRPr="00C93F78">
        <w:rPr>
          <w:rFonts w:ascii="Times New Roman" w:hAnsi="Times New Roman" w:cs="Times New Roman"/>
          <w:b/>
          <w:sz w:val="24"/>
          <w:szCs w:val="24"/>
        </w:rPr>
        <w:t xml:space="preserve">Art. </w:t>
      </w:r>
      <w:r w:rsidR="00F64648" w:rsidRPr="00C93F78">
        <w:rPr>
          <w:rFonts w:ascii="Times New Roman" w:hAnsi="Times New Roman" w:cs="Times New Roman"/>
          <w:b/>
          <w:sz w:val="24"/>
          <w:szCs w:val="24"/>
        </w:rPr>
        <w:t>46</w:t>
      </w:r>
      <w:r w:rsidRPr="00C93F78">
        <w:rPr>
          <w:rFonts w:ascii="Times New Roman" w:hAnsi="Times New Roman" w:cs="Times New Roman"/>
          <w:b/>
          <w:sz w:val="24"/>
          <w:szCs w:val="24"/>
        </w:rPr>
        <w:t xml:space="preserve"> </w:t>
      </w:r>
      <w:r w:rsidR="0056611A" w:rsidRPr="00C93F78">
        <w:rPr>
          <w:rFonts w:ascii="Times New Roman" w:hAnsi="Times New Roman" w:cs="Times New Roman"/>
          <w:b/>
          <w:sz w:val="24"/>
          <w:szCs w:val="24"/>
        </w:rPr>
        <w:t xml:space="preserve">projektu - </w:t>
      </w:r>
      <w:r w:rsidR="0056611A" w:rsidRPr="00C93F78">
        <w:rPr>
          <w:rFonts w:ascii="Times New Roman" w:hAnsi="Times New Roman" w:cs="Times New Roman"/>
          <w:sz w:val="24"/>
          <w:szCs w:val="24"/>
        </w:rPr>
        <w:t>r</w:t>
      </w:r>
      <w:r w:rsidR="0056611A" w:rsidRPr="00C93F78">
        <w:rPr>
          <w:rFonts w:ascii="Times New Roman" w:hAnsi="Times New Roman" w:cs="Times New Roman"/>
          <w:b/>
          <w:sz w:val="24"/>
          <w:szCs w:val="24"/>
        </w:rPr>
        <w:t>e</w:t>
      </w:r>
      <w:r w:rsidRPr="00C93F78">
        <w:rPr>
          <w:rFonts w:ascii="Times New Roman" w:hAnsi="Times New Roman" w:cs="Times New Roman"/>
          <w:sz w:val="24"/>
          <w:szCs w:val="24"/>
        </w:rPr>
        <w:t>gulacja ma charakter przepisu przejściowego. Określa, że do postępowań wszczętych – w sprawach, o których mowa w art. 20a § 1 i 2 ustawy Ordynacja podatkowa, innych sprawach w zakresie cen transferowych oraz sprawach związanych z określaniem podstawy opodatkowania zgodnie z art. 32 ustawy o podatku od towarów u usług – i niezakończonych przed dniem wejścia stosuje się przepisy dotychczasowe.</w:t>
      </w:r>
    </w:p>
    <w:p w:rsidR="00417CB2" w:rsidRPr="00C93F78" w:rsidRDefault="00417CB2" w:rsidP="00C93F78">
      <w:pPr>
        <w:spacing w:line="360" w:lineRule="auto"/>
        <w:jc w:val="both"/>
        <w:rPr>
          <w:rFonts w:ascii="Times New Roman" w:hAnsi="Times New Roman" w:cs="Times New Roman"/>
          <w:b/>
          <w:sz w:val="24"/>
          <w:szCs w:val="24"/>
        </w:rPr>
      </w:pPr>
      <w:r w:rsidRPr="00C93F78">
        <w:rPr>
          <w:rFonts w:ascii="Times New Roman" w:hAnsi="Times New Roman" w:cs="Times New Roman"/>
          <w:b/>
          <w:sz w:val="24"/>
          <w:szCs w:val="24"/>
        </w:rPr>
        <w:t xml:space="preserve">Art. </w:t>
      </w:r>
      <w:r w:rsidR="00F64648" w:rsidRPr="00C93F78">
        <w:rPr>
          <w:rFonts w:ascii="Times New Roman" w:hAnsi="Times New Roman" w:cs="Times New Roman"/>
          <w:b/>
          <w:sz w:val="24"/>
          <w:szCs w:val="24"/>
        </w:rPr>
        <w:t>47</w:t>
      </w:r>
      <w:r w:rsidR="0056611A" w:rsidRPr="00C93F78">
        <w:rPr>
          <w:rFonts w:ascii="Times New Roman" w:hAnsi="Times New Roman" w:cs="Times New Roman"/>
          <w:b/>
          <w:sz w:val="24"/>
          <w:szCs w:val="24"/>
        </w:rPr>
        <w:t xml:space="preserve"> projektu - </w:t>
      </w:r>
      <w:r w:rsidR="0056611A" w:rsidRPr="00C93F78">
        <w:rPr>
          <w:rFonts w:ascii="Times New Roman" w:hAnsi="Times New Roman" w:cs="Times New Roman"/>
          <w:sz w:val="24"/>
          <w:szCs w:val="24"/>
        </w:rPr>
        <w:t>r</w:t>
      </w:r>
      <w:r w:rsidR="000B599A" w:rsidRPr="00C93F78">
        <w:rPr>
          <w:rFonts w:ascii="Times New Roman" w:hAnsi="Times New Roman" w:cs="Times New Roman"/>
          <w:sz w:val="24"/>
          <w:szCs w:val="24"/>
        </w:rPr>
        <w:t>egulacja ma na celu przedłużenie ważności części aktualnie obowiązujących przepisów wykonawczych, do czasu wydania nowych na podstawie wprowadzanych regulacji, nie dłużej niż do końca marca 2019 r.</w:t>
      </w:r>
      <w:r w:rsidRPr="00C93F78">
        <w:rPr>
          <w:rFonts w:ascii="Times New Roman" w:hAnsi="Times New Roman" w:cs="Times New Roman"/>
          <w:b/>
          <w:sz w:val="24"/>
          <w:szCs w:val="24"/>
        </w:rPr>
        <w:t xml:space="preserve"> </w:t>
      </w:r>
    </w:p>
    <w:p w:rsidR="0054644B" w:rsidRPr="00C93F78" w:rsidRDefault="00417CB2" w:rsidP="00C93F78">
      <w:pPr>
        <w:spacing w:line="360" w:lineRule="auto"/>
        <w:jc w:val="both"/>
        <w:rPr>
          <w:rFonts w:ascii="Times New Roman" w:hAnsi="Times New Roman" w:cs="Times New Roman"/>
          <w:sz w:val="24"/>
          <w:szCs w:val="24"/>
        </w:rPr>
      </w:pPr>
      <w:r w:rsidRPr="00C93F78">
        <w:rPr>
          <w:rFonts w:ascii="Times New Roman" w:hAnsi="Times New Roman" w:cs="Times New Roman"/>
          <w:b/>
          <w:sz w:val="24"/>
          <w:szCs w:val="24"/>
        </w:rPr>
        <w:t xml:space="preserve">Art. </w:t>
      </w:r>
      <w:r w:rsidR="00F64648" w:rsidRPr="00C93F78">
        <w:rPr>
          <w:rFonts w:ascii="Times New Roman" w:hAnsi="Times New Roman" w:cs="Times New Roman"/>
          <w:b/>
          <w:sz w:val="24"/>
          <w:szCs w:val="24"/>
        </w:rPr>
        <w:t>48</w:t>
      </w:r>
      <w:r w:rsidR="0056611A" w:rsidRPr="00C93F78">
        <w:rPr>
          <w:rFonts w:ascii="Times New Roman" w:hAnsi="Times New Roman" w:cs="Times New Roman"/>
          <w:b/>
          <w:sz w:val="24"/>
          <w:szCs w:val="24"/>
        </w:rPr>
        <w:t xml:space="preserve"> projektu - </w:t>
      </w:r>
      <w:r w:rsidR="0056611A" w:rsidRPr="00C93F78">
        <w:rPr>
          <w:rFonts w:ascii="Times New Roman" w:hAnsi="Times New Roman" w:cs="Times New Roman"/>
          <w:sz w:val="24"/>
          <w:szCs w:val="24"/>
        </w:rPr>
        <w:t>r</w:t>
      </w:r>
      <w:r w:rsidR="0054644B" w:rsidRPr="00C93F78">
        <w:rPr>
          <w:rFonts w:ascii="Times New Roman" w:hAnsi="Times New Roman" w:cs="Times New Roman"/>
          <w:sz w:val="24"/>
          <w:szCs w:val="24"/>
        </w:rPr>
        <w:t>egulacja ma na celu przedłużenie maksymalnie o 12 miesięcy od wejścia w życie niniejszej ustawy ważności obowiązujących przepisów wykonawczych, wydanych na podstawie art. 45 ust. 5b ustawy o PIT i art. 27 ust. 4 ustawy o CIT, w związku z modyfikacją delegacji ustawowej.</w:t>
      </w:r>
    </w:p>
    <w:p w:rsidR="000B599A" w:rsidRPr="00CF0810" w:rsidRDefault="00417CB2" w:rsidP="00CF0810">
      <w:pPr>
        <w:spacing w:line="360" w:lineRule="auto"/>
        <w:jc w:val="both"/>
        <w:rPr>
          <w:rFonts w:ascii="Times New Roman" w:hAnsi="Times New Roman" w:cs="Times New Roman"/>
          <w:sz w:val="24"/>
          <w:szCs w:val="24"/>
        </w:rPr>
      </w:pPr>
      <w:r w:rsidRPr="00C93F78">
        <w:rPr>
          <w:rFonts w:ascii="Times New Roman" w:hAnsi="Times New Roman" w:cs="Times New Roman"/>
          <w:b/>
          <w:sz w:val="24"/>
          <w:szCs w:val="24"/>
        </w:rPr>
        <w:t xml:space="preserve">Art. </w:t>
      </w:r>
      <w:r w:rsidR="00F64648" w:rsidRPr="00C93F78">
        <w:rPr>
          <w:rFonts w:ascii="Times New Roman" w:hAnsi="Times New Roman" w:cs="Times New Roman"/>
          <w:b/>
          <w:sz w:val="24"/>
          <w:szCs w:val="24"/>
        </w:rPr>
        <w:t>49</w:t>
      </w:r>
      <w:r w:rsidRPr="00C93F78">
        <w:rPr>
          <w:rFonts w:ascii="Times New Roman" w:hAnsi="Times New Roman" w:cs="Times New Roman"/>
          <w:sz w:val="24"/>
          <w:szCs w:val="24"/>
        </w:rPr>
        <w:t xml:space="preserve"> </w:t>
      </w:r>
      <w:r w:rsidR="0056611A" w:rsidRPr="00C93F78">
        <w:rPr>
          <w:rFonts w:ascii="Times New Roman" w:hAnsi="Times New Roman" w:cs="Times New Roman"/>
          <w:sz w:val="24"/>
          <w:szCs w:val="24"/>
        </w:rPr>
        <w:t>projektu - p</w:t>
      </w:r>
      <w:r w:rsidR="000B599A" w:rsidRPr="00C93F78">
        <w:rPr>
          <w:rFonts w:ascii="Times New Roman" w:hAnsi="Times New Roman" w:cs="Times New Roman"/>
          <w:sz w:val="24"/>
          <w:szCs w:val="24"/>
        </w:rPr>
        <w:t>rzepis określa wejście w życie ustawy na dzień 1 stycznia 2019 r.</w:t>
      </w:r>
      <w:r w:rsidRPr="00C93F78">
        <w:rPr>
          <w:rFonts w:ascii="Times New Roman" w:hAnsi="Times New Roman" w:cs="Times New Roman"/>
          <w:sz w:val="24"/>
          <w:szCs w:val="24"/>
        </w:rPr>
        <w:t xml:space="preserve"> </w:t>
      </w:r>
      <w:r w:rsidR="0049752C" w:rsidRPr="00C93F78">
        <w:rPr>
          <w:rFonts w:ascii="Times New Roman" w:hAnsi="Times New Roman" w:cs="Times New Roman"/>
          <w:sz w:val="24"/>
          <w:szCs w:val="24"/>
        </w:rPr>
        <w:t>z wyjątkiem art. 1 </w:t>
      </w:r>
      <w:r w:rsidRPr="00C93F78">
        <w:rPr>
          <w:rFonts w:ascii="Times New Roman" w:hAnsi="Times New Roman" w:cs="Times New Roman"/>
          <w:sz w:val="24"/>
          <w:szCs w:val="24"/>
        </w:rPr>
        <w:t>pkt 16 w zakresie art. 23s ust. 4 i art. 2 pkt 9 w zakresie art. 11g ust. 4 oraz art. 8, które wchodzą w życie z dniem następującym po dniu ogłoszenia.</w:t>
      </w:r>
    </w:p>
    <w:sectPr w:rsidR="000B599A" w:rsidRPr="00CF0810" w:rsidSect="00C93F78">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F78" w:rsidRDefault="00C93F78" w:rsidP="00910147">
      <w:pPr>
        <w:spacing w:after="0" w:line="240" w:lineRule="auto"/>
      </w:pPr>
      <w:r>
        <w:separator/>
      </w:r>
    </w:p>
  </w:endnote>
  <w:endnote w:type="continuationSeparator" w:id="0">
    <w:p w:rsidR="00C93F78" w:rsidRDefault="00C93F78" w:rsidP="00910147">
      <w:pPr>
        <w:spacing w:after="0" w:line="240" w:lineRule="auto"/>
      </w:pPr>
      <w:r>
        <w:continuationSeparator/>
      </w:r>
    </w:p>
  </w:endnote>
  <w:endnote w:type="continuationNotice" w:id="1">
    <w:p w:rsidR="00C93F78" w:rsidRDefault="00C93F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101385"/>
      <w:docPartObj>
        <w:docPartGallery w:val="Page Numbers (Bottom of Page)"/>
        <w:docPartUnique/>
      </w:docPartObj>
    </w:sdtPr>
    <w:sdtEndPr>
      <w:rPr>
        <w:rFonts w:ascii="Times New Roman" w:hAnsi="Times New Roman" w:cs="Times New Roman"/>
        <w:sz w:val="24"/>
        <w:szCs w:val="24"/>
      </w:rPr>
    </w:sdtEndPr>
    <w:sdtContent>
      <w:p w:rsidR="00C93F78" w:rsidRPr="00C93F78" w:rsidRDefault="00C93F78" w:rsidP="00C93F78">
        <w:pPr>
          <w:pStyle w:val="Stopka"/>
          <w:jc w:val="center"/>
          <w:rPr>
            <w:rFonts w:ascii="Times New Roman" w:hAnsi="Times New Roman" w:cs="Times New Roman"/>
            <w:sz w:val="24"/>
            <w:szCs w:val="24"/>
          </w:rPr>
        </w:pPr>
        <w:r w:rsidRPr="00C93F78">
          <w:rPr>
            <w:rFonts w:ascii="Times New Roman" w:hAnsi="Times New Roman" w:cs="Times New Roman"/>
            <w:sz w:val="24"/>
            <w:szCs w:val="24"/>
          </w:rPr>
          <w:fldChar w:fldCharType="begin"/>
        </w:r>
        <w:r w:rsidRPr="00C93F78">
          <w:rPr>
            <w:rFonts w:ascii="Times New Roman" w:hAnsi="Times New Roman" w:cs="Times New Roman"/>
            <w:sz w:val="24"/>
            <w:szCs w:val="24"/>
          </w:rPr>
          <w:instrText>PAGE   \* MERGEFORMAT</w:instrText>
        </w:r>
        <w:r w:rsidRPr="00C93F78">
          <w:rPr>
            <w:rFonts w:ascii="Times New Roman" w:hAnsi="Times New Roman" w:cs="Times New Roman"/>
            <w:sz w:val="24"/>
            <w:szCs w:val="24"/>
          </w:rPr>
          <w:fldChar w:fldCharType="separate"/>
        </w:r>
        <w:r w:rsidR="00FE376D">
          <w:rPr>
            <w:rFonts w:ascii="Times New Roman" w:hAnsi="Times New Roman" w:cs="Times New Roman"/>
            <w:noProof/>
            <w:sz w:val="24"/>
            <w:szCs w:val="24"/>
          </w:rPr>
          <w:t>296</w:t>
        </w:r>
        <w:r w:rsidRPr="00C93F7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F78" w:rsidRDefault="00C93F78" w:rsidP="00910147">
      <w:pPr>
        <w:spacing w:after="0" w:line="240" w:lineRule="auto"/>
      </w:pPr>
      <w:r>
        <w:separator/>
      </w:r>
    </w:p>
  </w:footnote>
  <w:footnote w:type="continuationSeparator" w:id="0">
    <w:p w:rsidR="00C93F78" w:rsidRDefault="00C93F78" w:rsidP="00910147">
      <w:pPr>
        <w:spacing w:after="0" w:line="240" w:lineRule="auto"/>
      </w:pPr>
      <w:r>
        <w:continuationSeparator/>
      </w:r>
    </w:p>
  </w:footnote>
  <w:footnote w:type="continuationNotice" w:id="1">
    <w:p w:rsidR="00C93F78" w:rsidRDefault="00C93F78">
      <w:pPr>
        <w:spacing w:after="0" w:line="240" w:lineRule="auto"/>
      </w:pPr>
    </w:p>
  </w:footnote>
  <w:footnote w:id="2">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zob. także m.in.: wyrok NSA z dnia 23 marca 2016 r., II FSK 229/14, wyrok WSA w Poznaniu z dnia 9 lutego 2018 r. ,I SA/Po 1118/17 (niepr.), wyrok WSA w Warszawie z dnia 23 stycznia 2017 r., III SA/Wa 3169/15 (niepr.); w orzecznictwie można jednak spotkać pogląd odmienny, zgodny z projektowanymi przepisami; tak np: wyrok WSA w Gdańsku z dnia 5 lipca 2017 r., I SA /Gd 404/17 (niepr.), wyrok WSA we Wrocławiu z dnia 5 kwietnia 2017 r., I SA/Wr 1030/16. </w:t>
      </w:r>
    </w:p>
  </w:footnote>
  <w:footnote w:id="3">
    <w:p w:rsidR="00C93F78" w:rsidRPr="00C93F78" w:rsidRDefault="00C93F78" w:rsidP="00C93F78">
      <w:pPr>
        <w:pStyle w:val="Tekstprzypisudolnego"/>
        <w:ind w:left="142" w:hanging="142"/>
        <w:rPr>
          <w:rFonts w:ascii="Times New Roman" w:hAnsi="Times New Roman" w:cs="Times New Roman"/>
          <w:lang w:val="en-GB"/>
        </w:rPr>
      </w:pPr>
      <w:r w:rsidRPr="00C93F78">
        <w:rPr>
          <w:rStyle w:val="Odwoanieprzypisudolnego"/>
          <w:rFonts w:ascii="Times New Roman" w:hAnsi="Times New Roman" w:cs="Times New Roman"/>
        </w:rPr>
        <w:footnoteRef/>
      </w:r>
      <w:r w:rsidRPr="00C93F78">
        <w:rPr>
          <w:rFonts w:ascii="Times New Roman" w:hAnsi="Times New Roman" w:cs="Times New Roman"/>
          <w:lang w:val="en-GB"/>
        </w:rPr>
        <w:t xml:space="preserve"> OECD/G20 Base Erosion and Profit Shifting Project 2015 Final Reports.</w:t>
      </w:r>
    </w:p>
  </w:footnote>
  <w:footnote w:id="4">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Umowa między Rzeczpospolita Polską a Republiką Słowacką w sprawie unikania podwójnego opodatkowania w zakresie podatków od dochodu i majątku, sporządzona w Warszawie dnia 18 </w:t>
      </w:r>
      <w:r>
        <w:rPr>
          <w:rFonts w:ascii="Times New Roman" w:hAnsi="Times New Roman" w:cs="Times New Roman"/>
        </w:rPr>
        <w:t>sierpnia 1994 r., Dz. U. z 1996 </w:t>
      </w:r>
      <w:r w:rsidRPr="00C93F78">
        <w:rPr>
          <w:rFonts w:ascii="Times New Roman" w:hAnsi="Times New Roman" w:cs="Times New Roman"/>
        </w:rPr>
        <w:t xml:space="preserve">r. Nr. 30 poz. 131). </w:t>
      </w:r>
    </w:p>
  </w:footnote>
  <w:footnote w:id="5">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Konwencja między Rzeczpospolitą Polską a Wielkim Księstwem Luksemburga w sprawie unikania podwójnego opodatkowania w zakresie podatków od dochodu i majątku, sporządzona w Luksemburgu dnia 14 czerwca 1995 r., Dz. U. z 1996 r. nr 110 poz. 527.</w:t>
      </w:r>
    </w:p>
  </w:footnote>
  <w:footnote w:id="6">
    <w:p w:rsidR="00C93F78" w:rsidRPr="00C93F78" w:rsidRDefault="00C93F78" w:rsidP="00C93F78">
      <w:pPr>
        <w:pStyle w:val="Tekstprzypisudolnego"/>
        <w:ind w:left="142" w:hanging="142"/>
        <w:rPr>
          <w:rFonts w:ascii="Times New Roman" w:hAnsi="Times New Roman" w:cs="Times New Roman"/>
          <w:lang w:val="en-US"/>
        </w:rPr>
      </w:pPr>
      <w:r w:rsidRPr="00C93F78">
        <w:rPr>
          <w:rStyle w:val="Odwoanieprzypisudolnego"/>
          <w:rFonts w:ascii="Times New Roman" w:hAnsi="Times New Roman" w:cs="Times New Roman"/>
        </w:rPr>
        <w:footnoteRef/>
      </w:r>
      <w:r w:rsidRPr="00C93F78">
        <w:rPr>
          <w:rFonts w:ascii="Times New Roman" w:hAnsi="Times New Roman" w:cs="Times New Roman"/>
          <w:lang w:val="en-US"/>
        </w:rPr>
        <w:t xml:space="preserve"> “</w:t>
      </w:r>
      <w:r w:rsidRPr="00C93F78">
        <w:rPr>
          <w:rFonts w:ascii="Times New Roman" w:hAnsi="Times New Roman" w:cs="Times New Roman"/>
          <w:i/>
          <w:lang w:val="en-US"/>
        </w:rPr>
        <w:t>Multilateral convention to implement tax treaty-related measures to prevent base erosion and profit shifting</w:t>
      </w:r>
      <w:r w:rsidRPr="00C93F78">
        <w:rPr>
          <w:rFonts w:ascii="Times New Roman" w:hAnsi="Times New Roman" w:cs="Times New Roman"/>
          <w:lang w:val="en-US"/>
        </w:rPr>
        <w:t>”.</w:t>
      </w:r>
    </w:p>
  </w:footnote>
  <w:footnote w:id="7">
    <w:p w:rsidR="00C93F78" w:rsidRPr="00C93F78" w:rsidRDefault="00C93F78" w:rsidP="00C93F78">
      <w:pPr>
        <w:spacing w:after="0" w:line="240" w:lineRule="auto"/>
        <w:ind w:left="142" w:hanging="142"/>
        <w:jc w:val="both"/>
        <w:rPr>
          <w:rFonts w:ascii="Times New Roman" w:hAnsi="Times New Roman" w:cs="Times New Roman"/>
          <w:sz w:val="20"/>
          <w:szCs w:val="20"/>
          <w:lang w:val="en-US"/>
        </w:rPr>
      </w:pPr>
      <w:r w:rsidRPr="00C93F78">
        <w:rPr>
          <w:rStyle w:val="Odwoanieprzypisudolnego"/>
          <w:rFonts w:ascii="Times New Roman" w:hAnsi="Times New Roman" w:cs="Times New Roman"/>
          <w:sz w:val="20"/>
          <w:szCs w:val="20"/>
        </w:rPr>
        <w:footnoteRef/>
      </w:r>
      <w:r w:rsidRPr="00C93F78">
        <w:rPr>
          <w:rFonts w:ascii="Times New Roman" w:hAnsi="Times New Roman" w:cs="Times New Roman"/>
          <w:sz w:val="20"/>
          <w:szCs w:val="20"/>
          <w:lang w:val="en-US"/>
        </w:rPr>
        <w:t xml:space="preserve"> K. Vogel, Klaus Vogel on Double Taxation Conventions, Third Edition, 1997 [pełen tytuł publikacji: Klaus Vogel on Double Taxation Conventions, Third Edition, A Commentary to the OECD, UN and U.S. Model Conventions for the Avoidance of Double Taxation of Income and Capital, With Particular Reference to German Treaty Practice].</w:t>
      </w:r>
    </w:p>
  </w:footnote>
  <w:footnote w:id="8">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Materiały dotyczące projektu zmian w przepisach Ordynacji podatkowej w zakresie interpretacji grupowych dostępne są pod adresem http://legislacja.rcl.gov.pl/projekt/12310260/katalog/12501010#12501010.</w:t>
      </w:r>
    </w:p>
  </w:footnote>
  <w:footnote w:id="9">
    <w:p w:rsidR="00C93F78" w:rsidRPr="00C93F78" w:rsidRDefault="00C93F78" w:rsidP="00C93F78">
      <w:pPr>
        <w:pStyle w:val="Tekstprzypisudolnego"/>
        <w:ind w:left="142" w:hanging="142"/>
        <w:rPr>
          <w:rFonts w:ascii="Times New Roman" w:hAnsi="Times New Roman" w:cs="Times New Roman"/>
          <w:lang w:val="en-US"/>
        </w:rPr>
      </w:pPr>
      <w:r w:rsidRPr="00C93F78">
        <w:rPr>
          <w:rStyle w:val="Odwoanieprzypisudolnego"/>
          <w:rFonts w:ascii="Times New Roman" w:hAnsi="Times New Roman" w:cs="Times New Roman"/>
        </w:rPr>
        <w:footnoteRef/>
      </w:r>
      <w:r w:rsidRPr="00C93F78">
        <w:rPr>
          <w:rFonts w:ascii="Times New Roman" w:hAnsi="Times New Roman" w:cs="Times New Roman"/>
          <w:lang w:val="en-US"/>
        </w:rPr>
        <w:t xml:space="preserve"> „Tax Avoidance And Rationality of Law” Hanna Filipczyk, Warszawa 2017</w:t>
      </w:r>
      <w:r>
        <w:rPr>
          <w:rFonts w:ascii="Times New Roman" w:hAnsi="Times New Roman" w:cs="Times New Roman"/>
          <w:lang w:val="en-US"/>
        </w:rPr>
        <w:t xml:space="preserve"> </w:t>
      </w:r>
      <w:r w:rsidRPr="00C93F78">
        <w:rPr>
          <w:rFonts w:ascii="Times New Roman" w:hAnsi="Times New Roman" w:cs="Times New Roman"/>
          <w:lang w:val="en-US"/>
        </w:rPr>
        <w:t xml:space="preserve">r. </w:t>
      </w:r>
    </w:p>
  </w:footnote>
  <w:footnote w:id="10">
    <w:p w:rsidR="00C93F78" w:rsidRPr="00C93F78" w:rsidRDefault="00C93F78" w:rsidP="00C93F78">
      <w:pPr>
        <w:spacing w:after="0" w:line="240" w:lineRule="auto"/>
        <w:ind w:left="142" w:hanging="142"/>
        <w:jc w:val="both"/>
        <w:rPr>
          <w:rFonts w:ascii="Times New Roman" w:hAnsi="Times New Roman" w:cs="Times New Roman"/>
          <w:sz w:val="20"/>
          <w:szCs w:val="20"/>
        </w:rPr>
      </w:pPr>
      <w:r w:rsidRPr="00C93F78">
        <w:rPr>
          <w:rFonts w:ascii="Times New Roman" w:hAnsi="Times New Roman" w:cs="Times New Roman"/>
          <w:sz w:val="20"/>
          <w:szCs w:val="20"/>
          <w:vertAlign w:val="superscript"/>
        </w:rPr>
        <w:footnoteRef/>
      </w:r>
      <w:r w:rsidRPr="00C93F78">
        <w:rPr>
          <w:rFonts w:ascii="Times New Roman" w:hAnsi="Times New Roman" w:cs="Times New Roman"/>
          <w:sz w:val="20"/>
          <w:szCs w:val="20"/>
        </w:rPr>
        <w:t xml:space="preserve"> Zob. schemat podatkowy opisany w: K. Modrzejewska, Podniesienie wartości majątku to wyższe koszty, Rzeczpospolita z 28 listopada 2012 r.</w:t>
      </w:r>
    </w:p>
  </w:footnote>
  <w:footnote w:id="11">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Zob. Druk nr 1725. Materiał dostępny pod adresem: </w:t>
      </w:r>
      <w:r w:rsidRPr="001F5C69">
        <w:rPr>
          <w:rFonts w:ascii="Times New Roman" w:hAnsi="Times New Roman" w:cs="Times New Roman"/>
        </w:rPr>
        <w:t>http://www.sejm.gov.pl/sejm7.nsf/druk.xsp?nr=1725</w:t>
      </w:r>
    </w:p>
  </w:footnote>
  <w:footnote w:id="12">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Zob. Druk nr 1878. Materiał dostępny pod adresem </w:t>
      </w:r>
      <w:r w:rsidRPr="001F5C69">
        <w:rPr>
          <w:rFonts w:ascii="Times New Roman" w:hAnsi="Times New Roman" w:cs="Times New Roman"/>
        </w:rPr>
        <w:t>http://www.sejm.gov.pl/Sejm8.nsf/druk.xsp?nr=1878</w:t>
      </w:r>
    </w:p>
  </w:footnote>
  <w:footnote w:id="13">
    <w:p w:rsidR="00C93F78" w:rsidRPr="00C93F78" w:rsidRDefault="00C93F78" w:rsidP="00C93F78">
      <w:pPr>
        <w:pStyle w:val="Tekstprzypisudolnego"/>
        <w:ind w:left="142" w:hanging="142"/>
        <w:jc w:val="both"/>
        <w:rPr>
          <w:rFonts w:ascii="Times New Roman" w:hAnsi="Times New Roman" w:cs="Times New Roman"/>
        </w:rPr>
      </w:pPr>
      <w:r w:rsidRPr="00C93F78">
        <w:rPr>
          <w:rFonts w:ascii="Times New Roman" w:hAnsi="Times New Roman" w:cs="Times New Roman"/>
          <w:vertAlign w:val="superscript"/>
        </w:rPr>
        <w:footnoteRef/>
      </w:r>
      <w:r w:rsidRPr="00C93F78">
        <w:rPr>
          <w:rFonts w:ascii="Times New Roman" w:hAnsi="Times New Roman" w:cs="Times New Roman"/>
        </w:rPr>
        <w:t xml:space="preserve"> W dniach 20 października – 15 listopada 2017 roku Ministerstwo Finansów zorganizowało konsultacje podatkowe na wstępnym etapie prac nad projektem nowelizacji w zakresie Mandatory Disclosure Rules. Raport z przeprowadzonych konsultacji podatkowych dostępny jest pod adresem: </w:t>
      </w:r>
      <w:r w:rsidRPr="001F5C69">
        <w:rPr>
          <w:rFonts w:ascii="Times New Roman" w:hAnsi="Times New Roman" w:cs="Times New Roman"/>
        </w:rPr>
        <w:t>https://www.mf.gov.pl/ministerstwo-finansow/dzialalnosc/konsultacje-podatkowe</w:t>
      </w:r>
      <w:r w:rsidRPr="00C93F78">
        <w:rPr>
          <w:rFonts w:ascii="Times New Roman" w:hAnsi="Times New Roman" w:cs="Times New Roman"/>
        </w:rPr>
        <w:t xml:space="preserve"> </w:t>
      </w:r>
    </w:p>
  </w:footnote>
  <w:footnote w:id="14">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https://offshoreleaks.icij.org/search?c=POL&amp;cat=3&amp;e=&amp;j=&amp;q=&amp;utf8=%E2%9C%93</w:t>
      </w:r>
    </w:p>
  </w:footnote>
  <w:footnote w:id="15">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001F5C69">
        <w:rPr>
          <w:rFonts w:ascii="Times New Roman" w:hAnsi="Times New Roman" w:cs="Times New Roman"/>
        </w:rPr>
        <w:t xml:space="preserve"> </w:t>
      </w:r>
      <w:r w:rsidRPr="00C93F78">
        <w:rPr>
          <w:rFonts w:ascii="Times New Roman" w:hAnsi="Times New Roman" w:cs="Times New Roman"/>
        </w:rPr>
        <w:t xml:space="preserve">Ostrzeżenia podatkowe opublikowane przez Ministerstwo Finansów dostępne są pod adresem: </w:t>
      </w:r>
      <w:r w:rsidRPr="001F5C69">
        <w:rPr>
          <w:rFonts w:ascii="Times New Roman" w:hAnsi="Times New Roman" w:cs="Times New Roman"/>
        </w:rPr>
        <w:t>http://www.mf.gov.pl/ministerstwo-finansow/wiadomosci/ostrzezenia-i-wyjasnienia-podatkowe</w:t>
      </w:r>
      <w:r w:rsidRPr="00C93F78">
        <w:rPr>
          <w:rFonts w:ascii="Times New Roman" w:hAnsi="Times New Roman" w:cs="Times New Roman"/>
        </w:rPr>
        <w:t xml:space="preserve"> </w:t>
      </w:r>
    </w:p>
  </w:footnote>
  <w:footnote w:id="16">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6 marca 2018 r. Prawo przedsiębiorców (Dz. U. poz. 646).</w:t>
      </w:r>
    </w:p>
  </w:footnote>
  <w:footnote w:id="17">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2 lipca 2004 r. o swobodzie działalności gospodarczej (Dz. U. z 2016 r. poz. 1829 z późn. zm.).</w:t>
      </w:r>
    </w:p>
  </w:footnote>
  <w:footnote w:id="18">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http://www.oecd.org/tax/mandatory-disclosure-rules-action-12-2015-final-report-9789264241442-en.htm</w:t>
      </w:r>
    </w:p>
  </w:footnote>
  <w:footnote w:id="19">
    <w:p w:rsidR="00C93F78" w:rsidRPr="00C93F78" w:rsidRDefault="00C93F78" w:rsidP="00C93F78">
      <w:pPr>
        <w:pStyle w:val="Tekstprzypisudolnego"/>
        <w:ind w:left="142" w:hanging="142"/>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Raport BEPS, pkt 37 , str. 27.</w:t>
      </w:r>
    </w:p>
  </w:footnote>
  <w:footnote w:id="20">
    <w:p w:rsidR="00C93F78" w:rsidRPr="00C93F78" w:rsidRDefault="00C93F78" w:rsidP="001F5C69">
      <w:pPr>
        <w:pStyle w:val="Tekstprzypisudolnego"/>
        <w:ind w:left="142" w:hanging="142"/>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Raport z konsultacji jest dostępny: https://www.mf.gov.pl/ministerstwo-finansow/dzialalnosc/konsultacje-podatkowe/-/asset_publisher/M1vU/content/raport-z-konsultacji-podatkowych-w-spr</w:t>
      </w:r>
      <w:r w:rsidR="001F5C69">
        <w:rPr>
          <w:rFonts w:ascii="Times New Roman" w:hAnsi="Times New Roman" w:cs="Times New Roman"/>
        </w:rPr>
        <w:t>awie-mandatory-disclosure-rules</w:t>
      </w:r>
    </w:p>
  </w:footnote>
  <w:footnote w:id="21">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Wyrok TSUE z 4 lipca 2006 r. w sprawie C-212/04 </w:t>
      </w:r>
      <w:r w:rsidRPr="00C93F78">
        <w:rPr>
          <w:rFonts w:ascii="Times New Roman" w:hAnsi="Times New Roman" w:cs="Times New Roman"/>
          <w:i/>
          <w:iCs/>
        </w:rPr>
        <w:t>Adeneler</w:t>
      </w:r>
      <w:r w:rsidRPr="00C93F78">
        <w:rPr>
          <w:rFonts w:ascii="Times New Roman" w:hAnsi="Times New Roman" w:cs="Times New Roman"/>
        </w:rPr>
        <w:t>., wyrok z dnia 8 maja 2003 r. w sprawie C-14/02 ATRAL, Rec. str. I-4431, pkt 58, i ww. wyrok w sprawie Mangold, pkt 67</w:t>
      </w:r>
    </w:p>
  </w:footnote>
  <w:footnote w:id="22">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9 marca 2017 r. o wymianie informacji podatkowych z innymi państwami (Dz.U. z 2017 r. poz. 648 ze zm., dalej: ustawa o wymianie informacji).</w:t>
      </w:r>
    </w:p>
  </w:footnote>
  <w:footnote w:id="23">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https://www.gov.uk/government/publications/tax-administration-large-businesses-transparency-strategy</w:t>
      </w:r>
    </w:p>
  </w:footnote>
  <w:footnote w:id="24">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5 lipca 1996 r. o doradztwie podatkowym (Dz. U. z 2016 r. poz. 794 ze zm.).</w:t>
      </w:r>
    </w:p>
  </w:footnote>
  <w:footnote w:id="25">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26 maja 1982 r. – Prawo o adwokaturze (Dz. U. z 2016 r. poz. 1999 ze zm.).</w:t>
      </w:r>
    </w:p>
  </w:footnote>
  <w:footnote w:id="26">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6 lipca 1982 r. o radcach prawnych (Dz. U. z 2016 r. poz. 233 ze zm.).</w:t>
      </w:r>
    </w:p>
  </w:footnote>
  <w:footnote w:id="27">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14 lutego 1991 r. - Prawo o notariacie (Dz. U. z 2016 r. poz. 1796 ze zm.).</w:t>
      </w:r>
    </w:p>
  </w:footnote>
  <w:footnote w:id="28">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11 maja 2017 roku o biegłych rewidentach, firmach audytorskich oraz nadzorze publicznym (Dz. U., poz. 1089 z późn. zm.).</w:t>
      </w:r>
    </w:p>
  </w:footnote>
  <w:footnote w:id="29">
    <w:p w:rsidR="00C93F78" w:rsidRPr="00C93F78" w:rsidRDefault="00C93F78" w:rsidP="001F5C69">
      <w:pPr>
        <w:pStyle w:val="Tekstprzypisudolnego"/>
        <w:ind w:left="284" w:hanging="284"/>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https://eur-lex.europa.eu/resource.html?uri=cellar:638f0a5d-568f-11e7-a5ca-01aa75ed71a1.0015.02/DOC_1&amp;format=PDF</w:t>
      </w:r>
    </w:p>
  </w:footnote>
  <w:footnote w:id="30">
    <w:p w:rsidR="00C93F78" w:rsidRPr="00C93F78" w:rsidRDefault="00C93F78" w:rsidP="00C93F78">
      <w:pPr>
        <w:pStyle w:val="Tekstprzypisudolnego"/>
        <w:ind w:left="142" w:hanging="142"/>
        <w:jc w:val="both"/>
        <w:rPr>
          <w:rFonts w:ascii="Times New Roman" w:hAnsi="Times New Roman" w:cs="Times New Roman"/>
          <w:lang w:val="en-US"/>
        </w:rPr>
      </w:pPr>
      <w:r w:rsidRPr="00C93F78">
        <w:rPr>
          <w:rStyle w:val="Odwoanieprzypisudolnego"/>
          <w:rFonts w:ascii="Times New Roman" w:hAnsi="Times New Roman" w:cs="Times New Roman"/>
        </w:rPr>
        <w:footnoteRef/>
      </w:r>
      <w:r w:rsidRPr="00C93F78">
        <w:rPr>
          <w:rFonts w:ascii="Times New Roman" w:hAnsi="Times New Roman" w:cs="Times New Roman"/>
          <w:lang w:val="en-US"/>
        </w:rPr>
        <w:t xml:space="preserve"> Podkreślenie i pogrubienie własne.</w:t>
      </w:r>
    </w:p>
  </w:footnote>
  <w:footnote w:id="31">
    <w:p w:rsidR="00C93F78" w:rsidRPr="001F5C69" w:rsidRDefault="00C93F78" w:rsidP="00C93F78">
      <w:pPr>
        <w:pStyle w:val="Tekstprzypisudolnego"/>
        <w:ind w:left="142" w:hanging="142"/>
        <w:jc w:val="both"/>
        <w:rPr>
          <w:rFonts w:ascii="Times New Roman" w:hAnsi="Times New Roman" w:cs="Times New Roman"/>
          <w:lang w:val="en-US"/>
        </w:rPr>
      </w:pPr>
      <w:r w:rsidRPr="00C93F78">
        <w:rPr>
          <w:rStyle w:val="Odwoanieprzypisudolnego"/>
          <w:rFonts w:ascii="Times New Roman" w:hAnsi="Times New Roman" w:cs="Times New Roman"/>
        </w:rPr>
        <w:footnoteRef/>
      </w:r>
      <w:r w:rsidRPr="00C93F78">
        <w:rPr>
          <w:rFonts w:ascii="Times New Roman" w:hAnsi="Times New Roman" w:cs="Times New Roman"/>
          <w:lang w:val="en-US"/>
        </w:rPr>
        <w:t xml:space="preserve"> OECD (2018), Model Mandatory Disclosure Rules for CRS Avoidance Arrangements and Opaque Offshore Structures, OECD, Paris. </w:t>
      </w:r>
      <w:r w:rsidRPr="001F5C69">
        <w:rPr>
          <w:rFonts w:ascii="Times New Roman" w:hAnsi="Times New Roman" w:cs="Times New Roman"/>
          <w:lang w:val="en-US"/>
        </w:rPr>
        <w:t>http://www.oecd.org/tax/exchange-of-tax-information/model-mandatory-disclosure-rules-for-crs-avoidance-arrangements-and-opaque-offshore-structures.pdf, s. 36-37, akapit 59-60.</w:t>
      </w:r>
    </w:p>
  </w:footnote>
  <w:footnote w:id="32">
    <w:p w:rsidR="00C93F78" w:rsidRPr="001F5C69" w:rsidRDefault="00C93F78" w:rsidP="00C93F78">
      <w:pPr>
        <w:pStyle w:val="Tekstprzypisudolnego"/>
        <w:ind w:left="142" w:hanging="142"/>
        <w:jc w:val="both"/>
        <w:rPr>
          <w:rFonts w:ascii="Times New Roman" w:hAnsi="Times New Roman" w:cs="Times New Roman"/>
          <w:lang w:val="en-US"/>
        </w:rPr>
      </w:pPr>
      <w:r w:rsidRPr="00C93F78">
        <w:rPr>
          <w:rStyle w:val="Odwoanieprzypisudolnego"/>
          <w:rFonts w:ascii="Times New Roman" w:hAnsi="Times New Roman" w:cs="Times New Roman"/>
        </w:rPr>
        <w:footnoteRef/>
      </w:r>
      <w:r w:rsidRPr="00C93F78">
        <w:rPr>
          <w:rFonts w:ascii="Times New Roman" w:hAnsi="Times New Roman" w:cs="Times New Roman"/>
          <w:lang w:val="en-GB"/>
        </w:rPr>
        <w:t xml:space="preserve"> </w:t>
      </w:r>
      <w:r w:rsidRPr="00C93F78">
        <w:rPr>
          <w:rFonts w:ascii="Times New Roman" w:hAnsi="Times New Roman" w:cs="Times New Roman"/>
          <w:lang w:val="en-US"/>
        </w:rPr>
        <w:t xml:space="preserve">OECD (2018), Model Mandatory Disclosure Rules for CRS Avoidance Arrangements and Opaque Offshore Structures, OECD, Paris. </w:t>
      </w:r>
      <w:r w:rsidRPr="001F5C69">
        <w:rPr>
          <w:rFonts w:ascii="Times New Roman" w:hAnsi="Times New Roman" w:cs="Times New Roman"/>
          <w:lang w:val="en-US"/>
        </w:rPr>
        <w:t>http://www.oecd.org/tax/exchange-of-tax-information/model-mandatory-disclosure-rules-for-crs-avoidance-arrangements-and-opaque-offshore-structures.pdf.</w:t>
      </w:r>
    </w:p>
  </w:footnote>
  <w:footnote w:id="33">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W świetle wątpliwości odnośnie tego, czy dotychczas istnieje możliwości zwolnienia przedstawicieli niektórych zawodów z tajemnicy zawodowej przez ich klientów, analizowane przepisy należy rozumieć jako normy o charakterze </w:t>
      </w:r>
      <w:r w:rsidRPr="00C93F78">
        <w:rPr>
          <w:rFonts w:ascii="Times New Roman" w:hAnsi="Times New Roman" w:cs="Times New Roman"/>
          <w:i/>
        </w:rPr>
        <w:t>lex specialis</w:t>
      </w:r>
      <w:r w:rsidRPr="00C93F78">
        <w:rPr>
          <w:rFonts w:ascii="Times New Roman" w:hAnsi="Times New Roman" w:cs="Times New Roman"/>
        </w:rPr>
        <w:t>, które jednoznacznie przesądzają o takiej możliwości (przynajmniej w określonych projektowanymi przepisami przypadkach).</w:t>
      </w:r>
    </w:p>
  </w:footnote>
  <w:footnote w:id="34">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Formuła, w której promotor nie został zwolniony z obowiązku zachowania tajemnicy i obowiązek raportowania ciąży bezpośrednio na korzystającym, przy jednoczesnym zobowiązaniu promotora do pisemnego poinformowania korzystającego o obowiązku przekazania informacji Szefowi KAS przez korzystającego. </w:t>
      </w:r>
    </w:p>
  </w:footnote>
  <w:footnote w:id="35">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Op. </w:t>
      </w:r>
      <w:r w:rsidR="001F5C69">
        <w:rPr>
          <w:rFonts w:ascii="Times New Roman" w:hAnsi="Times New Roman" w:cs="Times New Roman"/>
        </w:rPr>
        <w:t>c</w:t>
      </w:r>
      <w:r w:rsidRPr="00C93F78">
        <w:rPr>
          <w:rFonts w:ascii="Times New Roman" w:hAnsi="Times New Roman" w:cs="Times New Roman"/>
        </w:rPr>
        <w:t xml:space="preserve">it. </w:t>
      </w:r>
    </w:p>
  </w:footnote>
  <w:footnote w:id="36">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001F5C69">
        <w:rPr>
          <w:rFonts w:ascii="Times New Roman" w:hAnsi="Times New Roman" w:cs="Times New Roman"/>
        </w:rPr>
        <w:t xml:space="preserve"> U</w:t>
      </w:r>
      <w:r w:rsidRPr="00C93F78">
        <w:rPr>
          <w:rFonts w:ascii="Times New Roman" w:hAnsi="Times New Roman" w:cs="Times New Roman"/>
        </w:rPr>
        <w:t xml:space="preserve">stawa z dnia 10 września 1999 r. </w:t>
      </w:r>
      <w:r w:rsidR="001F5C69">
        <w:rPr>
          <w:rFonts w:ascii="Times New Roman" w:hAnsi="Times New Roman" w:cs="Times New Roman"/>
        </w:rPr>
        <w:t xml:space="preserve">– </w:t>
      </w:r>
      <w:r w:rsidRPr="00C93F78">
        <w:rPr>
          <w:rFonts w:ascii="Times New Roman" w:hAnsi="Times New Roman" w:cs="Times New Roman"/>
        </w:rPr>
        <w:t xml:space="preserve">Kodeks </w:t>
      </w:r>
      <w:r w:rsidR="001F5C69">
        <w:rPr>
          <w:rFonts w:ascii="Times New Roman" w:hAnsi="Times New Roman" w:cs="Times New Roman"/>
        </w:rPr>
        <w:t>k</w:t>
      </w:r>
      <w:r w:rsidRPr="00C93F78">
        <w:rPr>
          <w:rFonts w:ascii="Times New Roman" w:hAnsi="Times New Roman" w:cs="Times New Roman"/>
        </w:rPr>
        <w:t xml:space="preserve">arny </w:t>
      </w:r>
      <w:r w:rsidR="001F5C69">
        <w:rPr>
          <w:rFonts w:ascii="Times New Roman" w:hAnsi="Times New Roman" w:cs="Times New Roman"/>
        </w:rPr>
        <w:t>s</w:t>
      </w:r>
      <w:r w:rsidRPr="00C93F78">
        <w:rPr>
          <w:rFonts w:ascii="Times New Roman" w:hAnsi="Times New Roman" w:cs="Times New Roman"/>
        </w:rPr>
        <w:t>karbowy (Dz. U. z 2016 r. poz. 2137 i 2138).</w:t>
      </w:r>
    </w:p>
  </w:footnote>
  <w:footnote w:id="37">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1 marca 2018 r. o przeciwdziałaniu praniu pieniędzy oraz finansowaniu terroryzmu (Dz.U. z 2018 r., poz. 723). </w:t>
      </w:r>
    </w:p>
  </w:footnote>
  <w:footnote w:id="38">
    <w:p w:rsidR="00C93F78" w:rsidRPr="00C93F78" w:rsidRDefault="00C93F78" w:rsidP="00C93F78">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Ustawa z dnia 14 czerwca 1960 r. – Kodeks postępowania administracyjnego (Dz. U. z 2016 r. poz. 23, 868, 996, 1579 i 2138).</w:t>
      </w:r>
    </w:p>
  </w:footnote>
  <w:footnote w:id="39">
    <w:p w:rsidR="00C93F78" w:rsidRPr="00C93F78" w:rsidRDefault="00C93F78" w:rsidP="004B0C13">
      <w:pPr>
        <w:pStyle w:val="Tekstprzypisudolnego"/>
        <w:ind w:left="142" w:hanging="142"/>
        <w:jc w:val="both"/>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Zagraniczne inwestycje bezpośrednie w Polsce w 2016 roku, NBP, (źródło: http://www.nbp.pl/publikacje/zib/zib_2016_n.pdf)</w:t>
      </w:r>
    </w:p>
  </w:footnote>
  <w:footnote w:id="40">
    <w:p w:rsidR="00C93F78" w:rsidRPr="00C93F78" w:rsidRDefault="00C93F78" w:rsidP="00C93F78">
      <w:pPr>
        <w:pStyle w:val="Tekstprzypisudolnego"/>
        <w:ind w:left="142" w:hanging="142"/>
        <w:rPr>
          <w:rFonts w:ascii="Times New Roman" w:hAnsi="Times New Roman" w:cs="Times New Roman"/>
          <w:lang w:val="en-US"/>
        </w:rPr>
      </w:pPr>
      <w:r w:rsidRPr="00C93F78">
        <w:rPr>
          <w:rStyle w:val="Odwoanieprzypisudolnego"/>
          <w:rFonts w:ascii="Times New Roman" w:hAnsi="Times New Roman" w:cs="Times New Roman"/>
        </w:rPr>
        <w:footnoteRef/>
      </w:r>
      <w:r w:rsidRPr="00C93F78">
        <w:rPr>
          <w:rFonts w:ascii="Times New Roman" w:hAnsi="Times New Roman" w:cs="Times New Roman"/>
          <w:lang w:val="en-US"/>
        </w:rPr>
        <w:t xml:space="preserve"> </w:t>
      </w:r>
      <w:r w:rsidRPr="00C93F78">
        <w:rPr>
          <w:rFonts w:ascii="Times New Roman" w:hAnsi="Times New Roman" w:cs="Times New Roman"/>
          <w:i/>
          <w:lang w:val="en-US"/>
        </w:rPr>
        <w:t>Relief at source is not necessarily always the best practice and, in some cases, a relief at source simply is not possible. In some cases improving withholding tax procedures by making WHT relief by refund quicker and more efficient can be more appropriate (Code of Conduct, pkt 10.1).</w:t>
      </w:r>
    </w:p>
  </w:footnote>
  <w:footnote w:id="41">
    <w:p w:rsidR="00C93F78" w:rsidRPr="00C93F78" w:rsidRDefault="00C93F78" w:rsidP="00C93F78">
      <w:pPr>
        <w:pStyle w:val="Tekstprzypisudolnego"/>
        <w:ind w:left="142" w:hanging="142"/>
        <w:jc w:val="both"/>
        <w:rPr>
          <w:rFonts w:ascii="Times New Roman" w:hAnsi="Times New Roman" w:cs="Times New Roman"/>
          <w:lang w:val="en-US"/>
        </w:rPr>
      </w:pPr>
      <w:r w:rsidRPr="00C93F78">
        <w:rPr>
          <w:rStyle w:val="Odwoanieprzypisudolnego"/>
          <w:rFonts w:ascii="Times New Roman" w:hAnsi="Times New Roman" w:cs="Times New Roman"/>
        </w:rPr>
        <w:footnoteRef/>
      </w:r>
      <w:r w:rsidRPr="00C93F78">
        <w:rPr>
          <w:rFonts w:ascii="Times New Roman" w:hAnsi="Times New Roman" w:cs="Times New Roman"/>
          <w:lang w:val="en-US"/>
        </w:rPr>
        <w:t xml:space="preserve"> Punkt 10.2 Komentarza do art. 11: 10.2: „</w:t>
      </w:r>
      <w:r w:rsidRPr="00C93F78">
        <w:rPr>
          <w:rFonts w:ascii="Times New Roman" w:hAnsi="Times New Roman" w:cs="Times New Roman"/>
          <w:i/>
          <w:lang w:val="en-US"/>
        </w:rPr>
        <w:t xml:space="preserve">In these various examples (agent, nominee, conduit company acting as a fiduciary or administrator), the direct recipient of the interest is not the “beneficial owner” because that recipient’s right to use and enjoy the interest is constrained by a contractual or legal obligation to pass on the payment received to another person. </w:t>
      </w:r>
      <w:r w:rsidRPr="00C93F78">
        <w:rPr>
          <w:rFonts w:ascii="Times New Roman" w:hAnsi="Times New Roman" w:cs="Times New Roman"/>
          <w:b/>
          <w:i/>
          <w:lang w:val="en-US"/>
        </w:rPr>
        <w:t>Such an obligation will normally derive from relevant legal documents but may also be found to exist on the basis of facts and circumstances showing that, in substance, the recipient clearly does not have the right to use and enjoy the interest unconstrained by a contractual or legal obligation to pass on the payment received to another person</w:t>
      </w:r>
      <w:r w:rsidRPr="00C93F78">
        <w:rPr>
          <w:rFonts w:ascii="Times New Roman" w:hAnsi="Times New Roman" w:cs="Times New Roman"/>
          <w:i/>
          <w:lang w:val="en-US"/>
        </w:rPr>
        <w:t>.</w:t>
      </w:r>
      <w:r w:rsidRPr="00C93F78">
        <w:rPr>
          <w:rFonts w:ascii="Times New Roman" w:hAnsi="Times New Roman" w:cs="Times New Roman"/>
          <w:lang w:val="en-US"/>
        </w:rPr>
        <w:t>” (http://www.oecd.org/ctp/treaties/2017-update-model-tax-convention.pdf)</w:t>
      </w:r>
    </w:p>
  </w:footnote>
  <w:footnote w:id="42">
    <w:p w:rsidR="00C93F78" w:rsidRPr="00C93F78" w:rsidRDefault="00C93F78" w:rsidP="00C93F78">
      <w:pPr>
        <w:pStyle w:val="Tekstprzypisudolnego"/>
        <w:ind w:left="142" w:hanging="142"/>
        <w:rPr>
          <w:rFonts w:ascii="Times New Roman" w:hAnsi="Times New Roman" w:cs="Times New Roman"/>
          <w:lang w:val="en-GB"/>
        </w:rPr>
      </w:pPr>
      <w:r w:rsidRPr="00C93F78">
        <w:rPr>
          <w:rStyle w:val="Odwoanieprzypisudolnego"/>
          <w:rFonts w:ascii="Times New Roman" w:hAnsi="Times New Roman" w:cs="Times New Roman"/>
        </w:rPr>
        <w:footnoteRef/>
      </w:r>
      <w:r w:rsidRPr="00C93F78">
        <w:rPr>
          <w:rFonts w:ascii="Times New Roman" w:hAnsi="Times New Roman" w:cs="Times New Roman"/>
          <w:lang w:val="en-US"/>
        </w:rPr>
        <w:t xml:space="preserve"> Ustawodawca wskazuje, iż uwzględnienie w definicji rzeczywistego właściciela odwołania do prowadzenia rzeczywistej działalności gospodarczej jest rozwiązaniem, które było już wykorzystane w praktyce międzynarodowej – zob. dokument „Harmful Tax Competition An Emerging Global Issue” (OECD 1998), gdzie w pkt 119 wskazano: „</w:t>
      </w:r>
      <w:r w:rsidRPr="00C93F78">
        <w:rPr>
          <w:rFonts w:ascii="Times New Roman" w:hAnsi="Times New Roman" w:cs="Times New Roman"/>
          <w:i/>
          <w:lang w:val="en-US"/>
        </w:rPr>
        <w:t>Another example involves denying companies with no real economic function treaty benefits because these companies are not considered as beneficial owner of certain income formally attributed to them.</w:t>
      </w:r>
      <w:r w:rsidRPr="00C93F78">
        <w:rPr>
          <w:rFonts w:ascii="Times New Roman" w:hAnsi="Times New Roman" w:cs="Times New Roman"/>
          <w:lang w:val="en-US"/>
        </w:rPr>
        <w:t>”</w:t>
      </w:r>
      <w:r w:rsidRPr="00C93F78">
        <w:rPr>
          <w:rFonts w:ascii="Times New Roman" w:hAnsi="Times New Roman" w:cs="Times New Roman"/>
          <w:i/>
          <w:lang w:val="en-US"/>
        </w:rPr>
        <w:t>.</w:t>
      </w:r>
      <w:r w:rsidRPr="00C93F78">
        <w:rPr>
          <w:rFonts w:ascii="Times New Roman" w:hAnsi="Times New Roman" w:cs="Times New Roman"/>
          <w:lang w:val="en-US"/>
        </w:rPr>
        <w:t xml:space="preserve"> </w:t>
      </w:r>
      <w:r w:rsidRPr="00C93F78">
        <w:rPr>
          <w:rFonts w:ascii="Times New Roman" w:hAnsi="Times New Roman" w:cs="Times New Roman"/>
        </w:rPr>
        <w:t xml:space="preserve">Mając więc na uwadze, iż zwierane umowy o unikaniu podwójnego opodatkowania służą likwidowaniu barier w prowadzonej przez przedsiębiorców działalności, ustawodawca przyjmuje, iż z korzyści płynących z tych umów nie powinny korzystać podmioty wykreowane w sposób sztuczny, jedynie w celu transferu środków do kolejnych podmiotów. </w:t>
      </w:r>
      <w:r w:rsidRPr="00C93F78">
        <w:rPr>
          <w:rFonts w:ascii="Times New Roman" w:hAnsi="Times New Roman" w:cs="Times New Roman"/>
          <w:lang w:val="en-GB"/>
        </w:rPr>
        <w:t>Do omawianego zjawiska nawiązuje także Komentarz do Modelu Konwencji (pkt 14 Komentarza do art. 1), gdzie wskazano: „</w:t>
      </w:r>
      <w:r w:rsidRPr="00C93F78">
        <w:rPr>
          <w:rFonts w:ascii="Times New Roman" w:hAnsi="Times New Roman" w:cs="Times New Roman"/>
          <w:i/>
          <w:lang w:val="en-GB"/>
        </w:rPr>
        <w:t xml:space="preserve">The “look-through approach” underlying the above provision seems an adequate basis for treaties with countries that have no or very low taxation </w:t>
      </w:r>
      <w:r w:rsidRPr="00C93F78">
        <w:rPr>
          <w:rFonts w:ascii="Times New Roman" w:hAnsi="Times New Roman" w:cs="Times New Roman"/>
          <w:b/>
          <w:i/>
          <w:lang w:val="en-GB"/>
        </w:rPr>
        <w:t>and where little substantive business activities would normally be carried on</w:t>
      </w:r>
      <w:r w:rsidRPr="00C93F78">
        <w:rPr>
          <w:rFonts w:ascii="Times New Roman" w:hAnsi="Times New Roman" w:cs="Times New Roman"/>
          <w:i/>
          <w:lang w:val="en-GB"/>
        </w:rPr>
        <w:t xml:space="preserve">. Even in these cases it might be necessary to alter the provision or to substitute for it another one </w:t>
      </w:r>
      <w:r w:rsidRPr="00C93F78">
        <w:rPr>
          <w:rFonts w:ascii="Times New Roman" w:hAnsi="Times New Roman" w:cs="Times New Roman"/>
          <w:b/>
          <w:i/>
          <w:lang w:val="en-GB"/>
        </w:rPr>
        <w:t>to safeguard bona fide business activities</w:t>
      </w:r>
      <w:r w:rsidRPr="00C93F78">
        <w:rPr>
          <w:rFonts w:ascii="Times New Roman" w:hAnsi="Times New Roman" w:cs="Times New Roman"/>
          <w:i/>
          <w:lang w:val="en-GB"/>
        </w:rPr>
        <w:t>.</w:t>
      </w:r>
      <w:r w:rsidRPr="00C93F78">
        <w:rPr>
          <w:rFonts w:ascii="Times New Roman" w:hAnsi="Times New Roman" w:cs="Times New Roman"/>
          <w:lang w:val="en-GB"/>
        </w:rPr>
        <w:t>”.</w:t>
      </w:r>
    </w:p>
  </w:footnote>
  <w:footnote w:id="43">
    <w:p w:rsidR="00C93F78" w:rsidRPr="00C93F78" w:rsidRDefault="00C93F78" w:rsidP="00C93F78">
      <w:pPr>
        <w:pStyle w:val="Tekstprzypisudolnego"/>
        <w:ind w:left="142" w:hanging="142"/>
        <w:rPr>
          <w:rFonts w:ascii="Times New Roman" w:hAnsi="Times New Roman" w:cs="Times New Roman"/>
        </w:rPr>
      </w:pPr>
      <w:r w:rsidRPr="00CF0810">
        <w:rPr>
          <w:rFonts w:ascii="Times New Roman" w:hAnsi="Times New Roman" w:cs="Times New Roman"/>
          <w:vertAlign w:val="superscript"/>
        </w:rPr>
        <w:footnoteRef/>
      </w:r>
      <w:r w:rsidRPr="00C93F78">
        <w:rPr>
          <w:rFonts w:ascii="Times New Roman" w:hAnsi="Times New Roman" w:cs="Times New Roman"/>
        </w:rPr>
        <w:tab/>
      </w:r>
      <w:r w:rsidR="00CF0810">
        <w:rPr>
          <w:rFonts w:ascii="Times New Roman" w:hAnsi="Times New Roman" w:cs="Times New Roman"/>
        </w:rPr>
        <w:t xml:space="preserve"> </w:t>
      </w:r>
      <w:r w:rsidRPr="00C93F78">
        <w:rPr>
          <w:rFonts w:ascii="Times New Roman" w:hAnsi="Times New Roman" w:cs="Times New Roman"/>
        </w:rPr>
        <w:t>Punkt 7.61 Wytycznych OECD z lipca 2017 r.</w:t>
      </w:r>
    </w:p>
  </w:footnote>
  <w:footnote w:id="44">
    <w:p w:rsidR="00C93F78" w:rsidRPr="00C93F78" w:rsidRDefault="00C93F78" w:rsidP="00C93F78">
      <w:pPr>
        <w:pStyle w:val="Tekstprzypisudolnego"/>
        <w:ind w:left="142" w:hanging="142"/>
        <w:jc w:val="both"/>
        <w:rPr>
          <w:rFonts w:ascii="Times New Roman" w:hAnsi="Times New Roman" w:cs="Times New Roman"/>
        </w:rPr>
      </w:pPr>
      <w:r w:rsidRPr="00CF0810">
        <w:rPr>
          <w:rFonts w:ascii="Times New Roman" w:hAnsi="Times New Roman" w:cs="Times New Roman"/>
          <w:vertAlign w:val="superscript"/>
        </w:rPr>
        <w:footnoteRef/>
      </w:r>
      <w:r w:rsidRPr="00C93F78">
        <w:rPr>
          <w:rFonts w:ascii="Times New Roman" w:hAnsi="Times New Roman" w:cs="Times New Roman"/>
        </w:rPr>
        <w:tab/>
      </w:r>
      <w:r w:rsidR="00CF0810">
        <w:rPr>
          <w:rFonts w:ascii="Times New Roman" w:hAnsi="Times New Roman" w:cs="Times New Roman"/>
        </w:rPr>
        <w:t xml:space="preserve"> </w:t>
      </w:r>
      <w:r w:rsidRPr="00C93F78">
        <w:rPr>
          <w:rFonts w:ascii="Times New Roman" w:hAnsi="Times New Roman" w:cs="Times New Roman"/>
        </w:rPr>
        <w:t>Komunikat Komisji do Parlamentu Europejskiego, Rady i Europejskiego Komitetu Ekonomiczno-Społecznego w sprawie prac Wspólnego Forum UE ds. Cen Transferowych w okresie od kwietnia 2009 r. do czerwca 2010 r. i związanych z nimi propozycji: 1. Wytycznych w sprawie usług o niskiej wartości dodanej świadczonych wewnątrz grup i 2. Potencjalnych podejść do spraw trójstronnych poza UE, Dodatek I, punkt 65 (Bruksela, dnia 25.1.2011, KOM(2011) 16).</w:t>
      </w:r>
    </w:p>
  </w:footnote>
  <w:footnote w:id="45">
    <w:p w:rsidR="00C93F78" w:rsidRPr="00C93F78" w:rsidRDefault="00C93F78" w:rsidP="00C93F78">
      <w:pPr>
        <w:pStyle w:val="Tekstprzypisudolnego"/>
        <w:ind w:left="142" w:hanging="142"/>
        <w:rPr>
          <w:rFonts w:ascii="Times New Roman" w:hAnsi="Times New Roman" w:cs="Times New Roman"/>
          <w:lang w:val="en-GB"/>
        </w:rPr>
      </w:pPr>
      <w:r w:rsidRPr="00C93F78">
        <w:rPr>
          <w:rStyle w:val="Odwoanieprzypisudolnego"/>
          <w:rFonts w:ascii="Times New Roman" w:hAnsi="Times New Roman" w:cs="Times New Roman"/>
        </w:rPr>
        <w:footnoteRef/>
      </w:r>
      <w:r w:rsidRPr="00C93F78">
        <w:rPr>
          <w:rFonts w:ascii="Times New Roman" w:hAnsi="Times New Roman" w:cs="Times New Roman"/>
          <w:lang w:val="en-GB"/>
        </w:rPr>
        <w:t xml:space="preserve"> Zob. OECD, </w:t>
      </w:r>
      <w:r w:rsidRPr="00C93F78">
        <w:rPr>
          <w:rFonts w:ascii="Times New Roman" w:hAnsi="Times New Roman" w:cs="Times New Roman"/>
          <w:i/>
          <w:lang w:val="en-GB"/>
        </w:rPr>
        <w:t>Designing Effective Controlled Foreign Company Rules, Action 3 – Final Report</w:t>
      </w:r>
      <w:r w:rsidRPr="00C93F78">
        <w:rPr>
          <w:rFonts w:ascii="Times New Roman" w:hAnsi="Times New Roman" w:cs="Times New Roman"/>
          <w:lang w:val="en-GB"/>
        </w:rPr>
        <w:t>, Paryż 2015, pkt 26.</w:t>
      </w:r>
    </w:p>
  </w:footnote>
  <w:footnote w:id="46">
    <w:p w:rsidR="00C93F78" w:rsidRPr="00C93F78" w:rsidRDefault="00C93F78" w:rsidP="00C93F78">
      <w:pPr>
        <w:pStyle w:val="Tekstprzypisudolnego"/>
        <w:ind w:left="142" w:hanging="142"/>
        <w:rPr>
          <w:rFonts w:ascii="Times New Roman" w:hAnsi="Times New Roman" w:cs="Times New Roman"/>
        </w:rPr>
      </w:pPr>
      <w:r w:rsidRPr="00C93F78">
        <w:rPr>
          <w:rStyle w:val="Odwoanieprzypisudolnego"/>
          <w:rFonts w:ascii="Times New Roman" w:hAnsi="Times New Roman" w:cs="Times New Roman"/>
        </w:rPr>
        <w:footnoteRef/>
      </w:r>
      <w:r w:rsidRPr="00C93F78">
        <w:rPr>
          <w:rFonts w:ascii="Times New Roman" w:hAnsi="Times New Roman" w:cs="Times New Roman"/>
        </w:rPr>
        <w:t xml:space="preserve"> Zob. Preambuła do ATAD (pkt 1-2)</w:t>
      </w:r>
    </w:p>
  </w:footnote>
  <w:footnote w:id="47">
    <w:p w:rsidR="00C93F78" w:rsidRPr="00C93F78" w:rsidRDefault="00C93F78" w:rsidP="00C93F78">
      <w:pPr>
        <w:pStyle w:val="Tekstprzypisudolnego"/>
        <w:ind w:left="142" w:hanging="142"/>
        <w:rPr>
          <w:rFonts w:ascii="Times New Roman" w:hAnsi="Times New Roman" w:cs="Times New Roman"/>
          <w:lang w:val="en-GB"/>
        </w:rPr>
      </w:pPr>
      <w:r w:rsidRPr="00C93F78">
        <w:rPr>
          <w:rStyle w:val="Odwoanieprzypisudolnego"/>
          <w:rFonts w:ascii="Times New Roman" w:hAnsi="Times New Roman" w:cs="Times New Roman"/>
        </w:rPr>
        <w:footnoteRef/>
      </w:r>
      <w:r w:rsidRPr="00C93F78">
        <w:rPr>
          <w:rFonts w:ascii="Times New Roman" w:hAnsi="Times New Roman" w:cs="Times New Roman"/>
          <w:lang w:val="en-GB"/>
        </w:rPr>
        <w:t xml:space="preserve"> Zob. OECD, </w:t>
      </w:r>
      <w:r w:rsidRPr="00C93F78">
        <w:rPr>
          <w:rFonts w:ascii="Times New Roman" w:hAnsi="Times New Roman" w:cs="Times New Roman"/>
          <w:i/>
          <w:lang w:val="en-GB"/>
        </w:rPr>
        <w:t>Designing</w:t>
      </w:r>
      <w:r w:rsidRPr="00C93F78">
        <w:rPr>
          <w:rFonts w:ascii="Times New Roman" w:hAnsi="Times New Roman" w:cs="Times New Roman"/>
          <w:lang w:val="en-GB"/>
        </w:rPr>
        <w:t>…, pkt 35, akapit 3.</w:t>
      </w:r>
    </w:p>
  </w:footnote>
  <w:footnote w:id="48">
    <w:p w:rsidR="00C93F78" w:rsidRPr="00C93F78" w:rsidRDefault="00C93F78" w:rsidP="00C93F78">
      <w:pPr>
        <w:pStyle w:val="Tekstprzypisudolnego"/>
        <w:ind w:left="142" w:hanging="142"/>
        <w:rPr>
          <w:rFonts w:ascii="Times New Roman" w:hAnsi="Times New Roman" w:cs="Times New Roman"/>
          <w:lang w:val="en-GB"/>
        </w:rPr>
      </w:pPr>
      <w:r w:rsidRPr="00C93F78">
        <w:rPr>
          <w:rStyle w:val="Odwoanieprzypisudolnego"/>
          <w:rFonts w:ascii="Times New Roman" w:hAnsi="Times New Roman" w:cs="Times New Roman"/>
        </w:rPr>
        <w:footnoteRef/>
      </w:r>
      <w:r w:rsidRPr="00C93F78">
        <w:rPr>
          <w:rFonts w:ascii="Times New Roman" w:hAnsi="Times New Roman" w:cs="Times New Roman"/>
          <w:lang w:val="en-GB"/>
        </w:rPr>
        <w:t xml:space="preserve"> Zob. OECD, Designing…, pkt 54, 57-69.</w:t>
      </w:r>
    </w:p>
  </w:footnote>
  <w:footnote w:id="49">
    <w:p w:rsidR="00C93F78" w:rsidRPr="00C93F78" w:rsidRDefault="00C93F78" w:rsidP="00C93F78">
      <w:pPr>
        <w:pStyle w:val="Tekstprzypisudolnego"/>
        <w:ind w:left="142" w:hanging="142"/>
        <w:rPr>
          <w:rFonts w:ascii="Times New Roman" w:hAnsi="Times New Roman" w:cs="Times New Roman"/>
          <w:lang w:val="en-GB"/>
        </w:rPr>
      </w:pPr>
      <w:r w:rsidRPr="00C93F78">
        <w:rPr>
          <w:rStyle w:val="Odwoanieprzypisudolnego"/>
          <w:rFonts w:ascii="Times New Roman" w:hAnsi="Times New Roman" w:cs="Times New Roman"/>
        </w:rPr>
        <w:footnoteRef/>
      </w:r>
      <w:r w:rsidRPr="00C93F78">
        <w:rPr>
          <w:rFonts w:ascii="Times New Roman" w:hAnsi="Times New Roman" w:cs="Times New Roman"/>
          <w:lang w:val="en-GB"/>
        </w:rPr>
        <w:t xml:space="preserve"> Zob. pkt 1-2 Preambuły ATAD.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B1172"/>
    <w:multiLevelType w:val="hybridMultilevel"/>
    <w:tmpl w:val="42DC8042"/>
    <w:lvl w:ilvl="0" w:tplc="04150001">
      <w:start w:val="1"/>
      <w:numFmt w:val="bullet"/>
      <w:lvlText w:val=""/>
      <w:lvlJc w:val="left"/>
      <w:pPr>
        <w:ind w:left="720" w:hanging="360"/>
      </w:pPr>
      <w:rPr>
        <w:rFonts w:ascii="Symbol" w:hAnsi="Symbol" w:hint="default"/>
        <w:sz w:val="24"/>
        <w:szCs w:val="24"/>
      </w:rPr>
    </w:lvl>
    <w:lvl w:ilvl="1" w:tplc="485A1C56">
      <w:start w:val="1"/>
      <w:numFmt w:val="lowerLetter"/>
      <w:lvlText w:val="%2)"/>
      <w:lvlJc w:val="left"/>
      <w:pPr>
        <w:ind w:left="1440" w:hanging="360"/>
      </w:pPr>
      <w:rPr>
        <w:rFonts w:ascii="Times New Roman" w:hAnsi="Times New Roman" w:cs="Times New Roman" w:hint="default"/>
      </w:rPr>
    </w:lvl>
    <w:lvl w:ilvl="2" w:tplc="8CCC18C0">
      <w:start w:val="1"/>
      <w:numFmt w:val="decimal"/>
      <w:lvlText w:val="%3)"/>
      <w:lvlJc w:val="left"/>
      <w:pPr>
        <w:ind w:left="2340" w:hanging="360"/>
      </w:pPr>
      <w:rPr>
        <w:rFonts w:cstheme="minorBidi"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A6500F"/>
    <w:multiLevelType w:val="hybridMultilevel"/>
    <w:tmpl w:val="06AEBA90"/>
    <w:lvl w:ilvl="0" w:tplc="8E0AA2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1325EF"/>
    <w:multiLevelType w:val="hybridMultilevel"/>
    <w:tmpl w:val="E406599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 w15:restartNumberingAfterBreak="0">
    <w:nsid w:val="06FB7F3C"/>
    <w:multiLevelType w:val="hybridMultilevel"/>
    <w:tmpl w:val="FA02E95E"/>
    <w:lvl w:ilvl="0" w:tplc="04150017">
      <w:start w:val="1"/>
      <w:numFmt w:val="lowerLetter"/>
      <w:lvlText w:val="%1)"/>
      <w:lvlJc w:val="left"/>
      <w:pPr>
        <w:ind w:left="1429" w:hanging="360"/>
      </w:pPr>
    </w:lvl>
    <w:lvl w:ilvl="1" w:tplc="04150017">
      <w:start w:val="1"/>
      <w:numFmt w:val="lowerLetter"/>
      <w:lvlText w:val="%2)"/>
      <w:lvlJc w:val="left"/>
      <w:pPr>
        <w:ind w:left="1494"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 w15:restartNumberingAfterBreak="0">
    <w:nsid w:val="07E46C28"/>
    <w:multiLevelType w:val="hybridMultilevel"/>
    <w:tmpl w:val="231C656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ED1CCB"/>
    <w:multiLevelType w:val="hybridMultilevel"/>
    <w:tmpl w:val="8C4832C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9246150"/>
    <w:multiLevelType w:val="hybridMultilevel"/>
    <w:tmpl w:val="25EC1046"/>
    <w:lvl w:ilvl="0" w:tplc="9D2C0646">
      <w:start w:val="1"/>
      <w:numFmt w:val="bullet"/>
      <w:lvlText w:val="-"/>
      <w:lvlJc w:val="left"/>
      <w:pPr>
        <w:ind w:left="1069" w:hanging="360"/>
      </w:pPr>
      <w:rPr>
        <w:rFont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7" w15:restartNumberingAfterBreak="0">
    <w:nsid w:val="098140AD"/>
    <w:multiLevelType w:val="hybridMultilevel"/>
    <w:tmpl w:val="4BEAE776"/>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15732C"/>
    <w:multiLevelType w:val="hybridMultilevel"/>
    <w:tmpl w:val="75A82A2A"/>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EA4493A"/>
    <w:multiLevelType w:val="hybridMultilevel"/>
    <w:tmpl w:val="E2B4D2E6"/>
    <w:lvl w:ilvl="0" w:tplc="04150011">
      <w:start w:val="1"/>
      <w:numFmt w:val="decimal"/>
      <w:lvlText w:val="%1)"/>
      <w:lvlJc w:val="left"/>
      <w:pPr>
        <w:ind w:left="720" w:hanging="360"/>
      </w:pPr>
    </w:lvl>
    <w:lvl w:ilvl="1" w:tplc="04150011">
      <w:start w:val="1"/>
      <w:numFmt w:val="decimal"/>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233A80"/>
    <w:multiLevelType w:val="hybridMultilevel"/>
    <w:tmpl w:val="0A409B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0D564C7"/>
    <w:multiLevelType w:val="hybridMultilevel"/>
    <w:tmpl w:val="D550DA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5365C11"/>
    <w:multiLevelType w:val="hybridMultilevel"/>
    <w:tmpl w:val="8FF65B1A"/>
    <w:lvl w:ilvl="0" w:tplc="04150017">
      <w:start w:val="1"/>
      <w:numFmt w:val="lowerLetter"/>
      <w:lvlText w:val="%1)"/>
      <w:lvlJc w:val="left"/>
      <w:pPr>
        <w:ind w:left="720" w:hanging="360"/>
      </w:pPr>
      <w:rPr>
        <w:rFonts w:hint="default"/>
      </w:rPr>
    </w:lvl>
    <w:lvl w:ilvl="1" w:tplc="5CCE9F9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3C5C7C"/>
    <w:multiLevelType w:val="hybridMultilevel"/>
    <w:tmpl w:val="0B620F7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BF0185"/>
    <w:multiLevelType w:val="hybridMultilevel"/>
    <w:tmpl w:val="90C2E8A6"/>
    <w:lvl w:ilvl="0" w:tplc="04150017">
      <w:start w:val="1"/>
      <w:numFmt w:val="lowerLetter"/>
      <w:lvlText w:val="%1)"/>
      <w:lvlJc w:val="left"/>
      <w:pPr>
        <w:ind w:left="360" w:hanging="360"/>
      </w:pPr>
    </w:lvl>
    <w:lvl w:ilvl="1" w:tplc="D792780A">
      <w:start w:val="1"/>
      <w:numFmt w:val="decimal"/>
      <w:lvlText w:val="%2)"/>
      <w:lvlJc w:val="left"/>
      <w:pPr>
        <w:ind w:left="1425" w:hanging="705"/>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EE3257A"/>
    <w:multiLevelType w:val="hybridMultilevel"/>
    <w:tmpl w:val="03C4E0FE"/>
    <w:lvl w:ilvl="0" w:tplc="8E0AA206">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6" w15:restartNumberingAfterBreak="0">
    <w:nsid w:val="1F6A4B63"/>
    <w:multiLevelType w:val="hybridMultilevel"/>
    <w:tmpl w:val="5B6A4638"/>
    <w:lvl w:ilvl="0" w:tplc="7D1E654C">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7" w15:restartNumberingAfterBreak="0">
    <w:nsid w:val="1F8A3301"/>
    <w:multiLevelType w:val="hybridMultilevel"/>
    <w:tmpl w:val="F71806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2710CFC"/>
    <w:multiLevelType w:val="hybridMultilevel"/>
    <w:tmpl w:val="A93AB984"/>
    <w:lvl w:ilvl="0" w:tplc="04150005">
      <w:start w:val="1"/>
      <w:numFmt w:val="bullet"/>
      <w:lvlText w:val=""/>
      <w:lvlJc w:val="left"/>
      <w:pPr>
        <w:ind w:left="1211" w:hanging="360"/>
      </w:pPr>
      <w:rPr>
        <w:rFonts w:ascii="Wingdings" w:hAnsi="Wingdings"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19" w15:restartNumberingAfterBreak="0">
    <w:nsid w:val="25086925"/>
    <w:multiLevelType w:val="hybridMultilevel"/>
    <w:tmpl w:val="DAB4BEB2"/>
    <w:lvl w:ilvl="0" w:tplc="8E0AA20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 w15:restartNumberingAfterBreak="0">
    <w:nsid w:val="25B418D5"/>
    <w:multiLevelType w:val="hybridMultilevel"/>
    <w:tmpl w:val="CD8C0C76"/>
    <w:lvl w:ilvl="0" w:tplc="04150017">
      <w:start w:val="1"/>
      <w:numFmt w:val="lowerLetter"/>
      <w:lvlText w:val="%1)"/>
      <w:lvlJc w:val="left"/>
      <w:pPr>
        <w:ind w:left="720" w:hanging="360"/>
      </w:pPr>
    </w:lvl>
    <w:lvl w:ilvl="1" w:tplc="7158C3A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6B40B9C"/>
    <w:multiLevelType w:val="hybridMultilevel"/>
    <w:tmpl w:val="2B2C948E"/>
    <w:lvl w:ilvl="0" w:tplc="C86ED4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76513C5"/>
    <w:multiLevelType w:val="hybridMultilevel"/>
    <w:tmpl w:val="4050CCF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3" w15:restartNumberingAfterBreak="0">
    <w:nsid w:val="2808016E"/>
    <w:multiLevelType w:val="hybridMultilevel"/>
    <w:tmpl w:val="521E9E30"/>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2812051E"/>
    <w:multiLevelType w:val="multilevel"/>
    <w:tmpl w:val="1BDAE83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29752D88"/>
    <w:multiLevelType w:val="multilevel"/>
    <w:tmpl w:val="10CA926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2A4F51D6"/>
    <w:multiLevelType w:val="hybridMultilevel"/>
    <w:tmpl w:val="6BA0647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2B2D1EDC"/>
    <w:multiLevelType w:val="hybridMultilevel"/>
    <w:tmpl w:val="4B16F7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B9C32D0"/>
    <w:multiLevelType w:val="hybridMultilevel"/>
    <w:tmpl w:val="A9DA96B4"/>
    <w:lvl w:ilvl="0" w:tplc="04150011">
      <w:start w:val="1"/>
      <w:numFmt w:val="decimal"/>
      <w:lvlText w:val="%1)"/>
      <w:lvlJc w:val="left"/>
      <w:pPr>
        <w:ind w:left="1069" w:hanging="360"/>
      </w:pPr>
    </w:lvl>
    <w:lvl w:ilvl="1" w:tplc="147ACA44">
      <w:start w:val="1"/>
      <w:numFmt w:val="lowerLetter"/>
      <w:lvlText w:val="%2)"/>
      <w:lvlJc w:val="left"/>
      <w:pPr>
        <w:ind w:left="2134" w:hanging="705"/>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9" w15:restartNumberingAfterBreak="0">
    <w:nsid w:val="2CDB0C19"/>
    <w:multiLevelType w:val="multilevel"/>
    <w:tmpl w:val="B426CE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15:restartNumberingAfterBreak="0">
    <w:nsid w:val="2DFB2B7B"/>
    <w:multiLevelType w:val="hybridMultilevel"/>
    <w:tmpl w:val="B5E8261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2E646A9D"/>
    <w:multiLevelType w:val="hybridMultilevel"/>
    <w:tmpl w:val="D0109BAE"/>
    <w:lvl w:ilvl="0" w:tplc="04150011">
      <w:start w:val="1"/>
      <w:numFmt w:val="decimal"/>
      <w:lvlText w:val="%1)"/>
      <w:lvlJc w:val="left"/>
      <w:pPr>
        <w:ind w:left="1069" w:hanging="360"/>
      </w:p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2" w15:restartNumberingAfterBreak="0">
    <w:nsid w:val="302B1D05"/>
    <w:multiLevelType w:val="hybridMultilevel"/>
    <w:tmpl w:val="F8EE6E9E"/>
    <w:lvl w:ilvl="0" w:tplc="7D1E654C">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3" w15:restartNumberingAfterBreak="0">
    <w:nsid w:val="309C187C"/>
    <w:multiLevelType w:val="hybridMultilevel"/>
    <w:tmpl w:val="5D98F04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8DE509C">
      <w:start w:val="1"/>
      <w:numFmt w:val="decimal"/>
      <w:lvlText w:val="%3)"/>
      <w:lvlJc w:val="left"/>
      <w:pPr>
        <w:ind w:left="121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27C0262"/>
    <w:multiLevelType w:val="hybridMultilevel"/>
    <w:tmpl w:val="56268B20"/>
    <w:lvl w:ilvl="0" w:tplc="04150011">
      <w:start w:val="1"/>
      <w:numFmt w:val="decimal"/>
      <w:lvlText w:val="%1)"/>
      <w:lvlJc w:val="left"/>
      <w:pPr>
        <w:ind w:left="1069" w:hanging="360"/>
      </w:p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5" w15:restartNumberingAfterBreak="0">
    <w:nsid w:val="32A1014F"/>
    <w:multiLevelType w:val="multilevel"/>
    <w:tmpl w:val="BE069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5715E2A"/>
    <w:multiLevelType w:val="hybridMultilevel"/>
    <w:tmpl w:val="CA7A5508"/>
    <w:lvl w:ilvl="0" w:tplc="04150017">
      <w:start w:val="1"/>
      <w:numFmt w:val="lowerLetter"/>
      <w:lvlText w:val="%1)"/>
      <w:lvlJc w:val="left"/>
      <w:pPr>
        <w:ind w:left="720" w:hanging="360"/>
      </w:pPr>
    </w:lvl>
    <w:lvl w:ilvl="1" w:tplc="890E733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5B93681"/>
    <w:multiLevelType w:val="hybridMultilevel"/>
    <w:tmpl w:val="4508C5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72429E1"/>
    <w:multiLevelType w:val="hybridMultilevel"/>
    <w:tmpl w:val="C4B85BBC"/>
    <w:lvl w:ilvl="0" w:tplc="485A1C56">
      <w:start w:val="1"/>
      <w:numFmt w:val="lowerLetter"/>
      <w:lvlText w:val="%1)"/>
      <w:lvlJc w:val="left"/>
      <w:pPr>
        <w:ind w:left="1428" w:hanging="360"/>
      </w:pPr>
      <w:rPr>
        <w:rFonts w:ascii="Times New Roman" w:hAnsi="Times New Roman" w:cs="Times New Roman"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9" w15:restartNumberingAfterBreak="0">
    <w:nsid w:val="37BF4EEF"/>
    <w:multiLevelType w:val="multilevel"/>
    <w:tmpl w:val="F09E674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39E30B58"/>
    <w:multiLevelType w:val="hybridMultilevel"/>
    <w:tmpl w:val="1E74CDB4"/>
    <w:lvl w:ilvl="0" w:tplc="173218F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1" w15:restartNumberingAfterBreak="0">
    <w:nsid w:val="402A4CB9"/>
    <w:multiLevelType w:val="hybridMultilevel"/>
    <w:tmpl w:val="23A83058"/>
    <w:lvl w:ilvl="0" w:tplc="F0CECB7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1AB749D"/>
    <w:multiLevelType w:val="hybridMultilevel"/>
    <w:tmpl w:val="E9AAA478"/>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24C2CCB"/>
    <w:multiLevelType w:val="hybridMultilevel"/>
    <w:tmpl w:val="320A214A"/>
    <w:lvl w:ilvl="0" w:tplc="04150005">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4" w15:restartNumberingAfterBreak="0">
    <w:nsid w:val="432B7DC7"/>
    <w:multiLevelType w:val="hybridMultilevel"/>
    <w:tmpl w:val="4976BD7E"/>
    <w:lvl w:ilvl="0" w:tplc="F9E43CAC">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386414F"/>
    <w:multiLevelType w:val="hybridMultilevel"/>
    <w:tmpl w:val="E130AC4A"/>
    <w:lvl w:ilvl="0" w:tplc="04150005">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6" w15:restartNumberingAfterBreak="0">
    <w:nsid w:val="459115B5"/>
    <w:multiLevelType w:val="hybridMultilevel"/>
    <w:tmpl w:val="F4A4EFA4"/>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7" w15:restartNumberingAfterBreak="0">
    <w:nsid w:val="461D174D"/>
    <w:multiLevelType w:val="hybridMultilevel"/>
    <w:tmpl w:val="1442A0F0"/>
    <w:lvl w:ilvl="0" w:tplc="04150011">
      <w:start w:val="1"/>
      <w:numFmt w:val="decimal"/>
      <w:lvlText w:val="%1)"/>
      <w:lvlJc w:val="left"/>
      <w:pPr>
        <w:ind w:left="360" w:hanging="360"/>
      </w:pPr>
    </w:lvl>
    <w:lvl w:ilvl="1" w:tplc="04150019" w:tentative="1">
      <w:start w:val="1"/>
      <w:numFmt w:val="lowerLetter"/>
      <w:lvlText w:val="%2."/>
      <w:lvlJc w:val="left"/>
      <w:pPr>
        <w:ind w:left="797" w:hanging="360"/>
      </w:pPr>
    </w:lvl>
    <w:lvl w:ilvl="2" w:tplc="0415001B" w:tentative="1">
      <w:start w:val="1"/>
      <w:numFmt w:val="lowerRoman"/>
      <w:lvlText w:val="%3."/>
      <w:lvlJc w:val="right"/>
      <w:pPr>
        <w:ind w:left="1517" w:hanging="180"/>
      </w:pPr>
    </w:lvl>
    <w:lvl w:ilvl="3" w:tplc="0415000F" w:tentative="1">
      <w:start w:val="1"/>
      <w:numFmt w:val="decimal"/>
      <w:lvlText w:val="%4."/>
      <w:lvlJc w:val="left"/>
      <w:pPr>
        <w:ind w:left="2237" w:hanging="360"/>
      </w:pPr>
    </w:lvl>
    <w:lvl w:ilvl="4" w:tplc="04150019" w:tentative="1">
      <w:start w:val="1"/>
      <w:numFmt w:val="lowerLetter"/>
      <w:lvlText w:val="%5."/>
      <w:lvlJc w:val="left"/>
      <w:pPr>
        <w:ind w:left="2957" w:hanging="360"/>
      </w:pPr>
    </w:lvl>
    <w:lvl w:ilvl="5" w:tplc="0415001B" w:tentative="1">
      <w:start w:val="1"/>
      <w:numFmt w:val="lowerRoman"/>
      <w:lvlText w:val="%6."/>
      <w:lvlJc w:val="right"/>
      <w:pPr>
        <w:ind w:left="3677" w:hanging="180"/>
      </w:pPr>
    </w:lvl>
    <w:lvl w:ilvl="6" w:tplc="0415000F" w:tentative="1">
      <w:start w:val="1"/>
      <w:numFmt w:val="decimal"/>
      <w:lvlText w:val="%7."/>
      <w:lvlJc w:val="left"/>
      <w:pPr>
        <w:ind w:left="4397" w:hanging="360"/>
      </w:pPr>
    </w:lvl>
    <w:lvl w:ilvl="7" w:tplc="04150019" w:tentative="1">
      <w:start w:val="1"/>
      <w:numFmt w:val="lowerLetter"/>
      <w:lvlText w:val="%8."/>
      <w:lvlJc w:val="left"/>
      <w:pPr>
        <w:ind w:left="5117" w:hanging="360"/>
      </w:pPr>
    </w:lvl>
    <w:lvl w:ilvl="8" w:tplc="0415001B" w:tentative="1">
      <w:start w:val="1"/>
      <w:numFmt w:val="lowerRoman"/>
      <w:lvlText w:val="%9."/>
      <w:lvlJc w:val="right"/>
      <w:pPr>
        <w:ind w:left="5837" w:hanging="180"/>
      </w:pPr>
    </w:lvl>
  </w:abstractNum>
  <w:abstractNum w:abstractNumId="48" w15:restartNumberingAfterBreak="0">
    <w:nsid w:val="46C110CA"/>
    <w:multiLevelType w:val="hybridMultilevel"/>
    <w:tmpl w:val="B0F08F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95B65C1"/>
    <w:multiLevelType w:val="hybridMultilevel"/>
    <w:tmpl w:val="F38A860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AF55F7B"/>
    <w:multiLevelType w:val="hybridMultilevel"/>
    <w:tmpl w:val="8C02906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1" w15:restartNumberingAfterBreak="0">
    <w:nsid w:val="4CA75EE2"/>
    <w:multiLevelType w:val="hybridMultilevel"/>
    <w:tmpl w:val="B7329DF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00C2713"/>
    <w:multiLevelType w:val="hybridMultilevel"/>
    <w:tmpl w:val="578277D4"/>
    <w:lvl w:ilvl="0" w:tplc="8E0AA2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2196020"/>
    <w:multiLevelType w:val="hybridMultilevel"/>
    <w:tmpl w:val="F33E1CC0"/>
    <w:lvl w:ilvl="0" w:tplc="9D2C0646">
      <w:start w:val="1"/>
      <w:numFmt w:val="bullet"/>
      <w:lvlText w:val="-"/>
      <w:lvlJc w:val="left"/>
      <w:pPr>
        <w:ind w:left="1069" w:hanging="360"/>
      </w:pPr>
      <w:rPr>
        <w:rFont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54" w15:restartNumberingAfterBreak="0">
    <w:nsid w:val="52683462"/>
    <w:multiLevelType w:val="hybridMultilevel"/>
    <w:tmpl w:val="11BA7E28"/>
    <w:lvl w:ilvl="0" w:tplc="04150011">
      <w:start w:val="1"/>
      <w:numFmt w:val="decimal"/>
      <w:lvlText w:val="%1)"/>
      <w:lvlJc w:val="left"/>
      <w:pPr>
        <w:ind w:left="1069" w:hanging="360"/>
      </w:pPr>
    </w:lvl>
    <w:lvl w:ilvl="1" w:tplc="04150017">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5" w15:restartNumberingAfterBreak="0">
    <w:nsid w:val="52EA1BFA"/>
    <w:multiLevelType w:val="hybridMultilevel"/>
    <w:tmpl w:val="DF1005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36340CB"/>
    <w:multiLevelType w:val="hybridMultilevel"/>
    <w:tmpl w:val="B95EDE4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549E08CD"/>
    <w:multiLevelType w:val="hybridMultilevel"/>
    <w:tmpl w:val="63784F0E"/>
    <w:lvl w:ilvl="0" w:tplc="54C2E8D4">
      <w:start w:val="1"/>
      <w:numFmt w:val="decimal"/>
      <w:lvlText w:val="%1)"/>
      <w:lvlJc w:val="center"/>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55B4294"/>
    <w:multiLevelType w:val="multilevel"/>
    <w:tmpl w:val="ED2EB9C0"/>
    <w:styleLink w:val="WWNum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9" w15:restartNumberingAfterBreak="0">
    <w:nsid w:val="57494DFB"/>
    <w:multiLevelType w:val="multilevel"/>
    <w:tmpl w:val="B6E4ED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0" w15:restartNumberingAfterBreak="0">
    <w:nsid w:val="59153150"/>
    <w:multiLevelType w:val="hybridMultilevel"/>
    <w:tmpl w:val="205CEB08"/>
    <w:lvl w:ilvl="0" w:tplc="0415000F">
      <w:start w:val="1"/>
      <w:numFmt w:val="decimal"/>
      <w:lvlText w:val="%1."/>
      <w:lvlJc w:val="left"/>
      <w:pPr>
        <w:ind w:left="1504" w:hanging="360"/>
      </w:pPr>
    </w:lvl>
    <w:lvl w:ilvl="1" w:tplc="04150019" w:tentative="1">
      <w:start w:val="1"/>
      <w:numFmt w:val="lowerLetter"/>
      <w:lvlText w:val="%2."/>
      <w:lvlJc w:val="left"/>
      <w:pPr>
        <w:ind w:left="2224" w:hanging="360"/>
      </w:pPr>
    </w:lvl>
    <w:lvl w:ilvl="2" w:tplc="0415001B" w:tentative="1">
      <w:start w:val="1"/>
      <w:numFmt w:val="lowerRoman"/>
      <w:lvlText w:val="%3."/>
      <w:lvlJc w:val="right"/>
      <w:pPr>
        <w:ind w:left="2944" w:hanging="180"/>
      </w:pPr>
    </w:lvl>
    <w:lvl w:ilvl="3" w:tplc="0415000F" w:tentative="1">
      <w:start w:val="1"/>
      <w:numFmt w:val="decimal"/>
      <w:lvlText w:val="%4."/>
      <w:lvlJc w:val="left"/>
      <w:pPr>
        <w:ind w:left="3664" w:hanging="360"/>
      </w:pPr>
    </w:lvl>
    <w:lvl w:ilvl="4" w:tplc="04150019" w:tentative="1">
      <w:start w:val="1"/>
      <w:numFmt w:val="lowerLetter"/>
      <w:lvlText w:val="%5."/>
      <w:lvlJc w:val="left"/>
      <w:pPr>
        <w:ind w:left="4384" w:hanging="360"/>
      </w:pPr>
    </w:lvl>
    <w:lvl w:ilvl="5" w:tplc="0415001B" w:tentative="1">
      <w:start w:val="1"/>
      <w:numFmt w:val="lowerRoman"/>
      <w:lvlText w:val="%6."/>
      <w:lvlJc w:val="right"/>
      <w:pPr>
        <w:ind w:left="5104" w:hanging="180"/>
      </w:pPr>
    </w:lvl>
    <w:lvl w:ilvl="6" w:tplc="0415000F" w:tentative="1">
      <w:start w:val="1"/>
      <w:numFmt w:val="decimal"/>
      <w:lvlText w:val="%7."/>
      <w:lvlJc w:val="left"/>
      <w:pPr>
        <w:ind w:left="5824" w:hanging="360"/>
      </w:pPr>
    </w:lvl>
    <w:lvl w:ilvl="7" w:tplc="04150019" w:tentative="1">
      <w:start w:val="1"/>
      <w:numFmt w:val="lowerLetter"/>
      <w:lvlText w:val="%8."/>
      <w:lvlJc w:val="left"/>
      <w:pPr>
        <w:ind w:left="6544" w:hanging="360"/>
      </w:pPr>
    </w:lvl>
    <w:lvl w:ilvl="8" w:tplc="0415001B" w:tentative="1">
      <w:start w:val="1"/>
      <w:numFmt w:val="lowerRoman"/>
      <w:lvlText w:val="%9."/>
      <w:lvlJc w:val="right"/>
      <w:pPr>
        <w:ind w:left="7264" w:hanging="180"/>
      </w:pPr>
    </w:lvl>
  </w:abstractNum>
  <w:abstractNum w:abstractNumId="61" w15:restartNumberingAfterBreak="0">
    <w:nsid w:val="59205B02"/>
    <w:multiLevelType w:val="hybridMultilevel"/>
    <w:tmpl w:val="5CD4AC40"/>
    <w:lvl w:ilvl="0" w:tplc="3154A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A535CC8"/>
    <w:multiLevelType w:val="hybridMultilevel"/>
    <w:tmpl w:val="4A284574"/>
    <w:lvl w:ilvl="0" w:tplc="04150011">
      <w:start w:val="1"/>
      <w:numFmt w:val="decimal"/>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63" w15:restartNumberingAfterBreak="0">
    <w:nsid w:val="5ABA644F"/>
    <w:multiLevelType w:val="hybridMultilevel"/>
    <w:tmpl w:val="12FC8F38"/>
    <w:lvl w:ilvl="0" w:tplc="8E0AA206">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4" w15:restartNumberingAfterBreak="0">
    <w:nsid w:val="5ACA31E5"/>
    <w:multiLevelType w:val="hybridMultilevel"/>
    <w:tmpl w:val="9146C0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B4F34DD"/>
    <w:multiLevelType w:val="hybridMultilevel"/>
    <w:tmpl w:val="56E87CC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5BF34B0F"/>
    <w:multiLevelType w:val="hybridMultilevel"/>
    <w:tmpl w:val="99F6FEDE"/>
    <w:lvl w:ilvl="0" w:tplc="04150011">
      <w:start w:val="1"/>
      <w:numFmt w:val="decimal"/>
      <w:lvlText w:val="%1)"/>
      <w:lvlJc w:val="left"/>
      <w:pPr>
        <w:ind w:left="501" w:hanging="360"/>
      </w:p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67" w15:restartNumberingAfterBreak="0">
    <w:nsid w:val="5C44556E"/>
    <w:multiLevelType w:val="hybridMultilevel"/>
    <w:tmpl w:val="3A8C89EA"/>
    <w:lvl w:ilvl="0" w:tplc="8E0AA20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8" w15:restartNumberingAfterBreak="0">
    <w:nsid w:val="5DA425D0"/>
    <w:multiLevelType w:val="hybridMultilevel"/>
    <w:tmpl w:val="CEA87E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FEA64B3"/>
    <w:multiLevelType w:val="hybridMultilevel"/>
    <w:tmpl w:val="02B094FC"/>
    <w:lvl w:ilvl="0" w:tplc="18DE509C">
      <w:start w:val="1"/>
      <w:numFmt w:val="decimal"/>
      <w:lvlText w:val="%1)"/>
      <w:lvlJc w:val="left"/>
      <w:pPr>
        <w:ind w:left="121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FF5003C"/>
    <w:multiLevelType w:val="multilevel"/>
    <w:tmpl w:val="3356F0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1" w15:restartNumberingAfterBreak="0">
    <w:nsid w:val="60126030"/>
    <w:multiLevelType w:val="hybridMultilevel"/>
    <w:tmpl w:val="A018675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2" w15:restartNumberingAfterBreak="0">
    <w:nsid w:val="60334B64"/>
    <w:multiLevelType w:val="hybridMultilevel"/>
    <w:tmpl w:val="94D2BE3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 w15:restartNumberingAfterBreak="0">
    <w:nsid w:val="61F96863"/>
    <w:multiLevelType w:val="hybridMultilevel"/>
    <w:tmpl w:val="A5CC2EA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3951583"/>
    <w:multiLevelType w:val="hybridMultilevel"/>
    <w:tmpl w:val="F41C5B58"/>
    <w:lvl w:ilvl="0" w:tplc="04150001">
      <w:start w:val="1"/>
      <w:numFmt w:val="bullet"/>
      <w:lvlText w:val=""/>
      <w:lvlJc w:val="left"/>
      <w:pPr>
        <w:ind w:left="1428" w:hanging="360"/>
      </w:pPr>
      <w:rPr>
        <w:rFonts w:ascii="Symbol" w:hAnsi="Symbol" w:hint="default"/>
      </w:rPr>
    </w:lvl>
    <w:lvl w:ilvl="1" w:tplc="3154AA72">
      <w:start w:val="1"/>
      <w:numFmt w:val="bullet"/>
      <w:lvlText w:val=""/>
      <w:lvlJc w:val="left"/>
      <w:pPr>
        <w:ind w:left="2148" w:hanging="360"/>
      </w:pPr>
      <w:rPr>
        <w:rFonts w:ascii="Symbol" w:hAnsi="Symbol"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5" w15:restartNumberingAfterBreak="0">
    <w:nsid w:val="65135442"/>
    <w:multiLevelType w:val="hybridMultilevel"/>
    <w:tmpl w:val="71F0A45A"/>
    <w:lvl w:ilvl="0" w:tplc="04150017">
      <w:start w:val="1"/>
      <w:numFmt w:val="lowerLetter"/>
      <w:lvlText w:val="%1)"/>
      <w:lvlJc w:val="left"/>
      <w:pPr>
        <w:ind w:left="2137" w:hanging="360"/>
      </w:pPr>
    </w:lvl>
    <w:lvl w:ilvl="1" w:tplc="04150017">
      <w:start w:val="1"/>
      <w:numFmt w:val="lowerLetter"/>
      <w:lvlText w:val="%2)"/>
      <w:lvlJc w:val="left"/>
      <w:pPr>
        <w:ind w:left="1494" w:hanging="360"/>
      </w:pPr>
    </w:lvl>
    <w:lvl w:ilvl="2" w:tplc="0415001B" w:tentative="1">
      <w:start w:val="1"/>
      <w:numFmt w:val="lowerRoman"/>
      <w:lvlText w:val="%3."/>
      <w:lvlJc w:val="right"/>
      <w:pPr>
        <w:ind w:left="3577" w:hanging="180"/>
      </w:pPr>
    </w:lvl>
    <w:lvl w:ilvl="3" w:tplc="0415000F" w:tentative="1">
      <w:start w:val="1"/>
      <w:numFmt w:val="decimal"/>
      <w:lvlText w:val="%4."/>
      <w:lvlJc w:val="left"/>
      <w:pPr>
        <w:ind w:left="4297" w:hanging="360"/>
      </w:pPr>
    </w:lvl>
    <w:lvl w:ilvl="4" w:tplc="04150019" w:tentative="1">
      <w:start w:val="1"/>
      <w:numFmt w:val="lowerLetter"/>
      <w:lvlText w:val="%5."/>
      <w:lvlJc w:val="left"/>
      <w:pPr>
        <w:ind w:left="5017" w:hanging="360"/>
      </w:pPr>
    </w:lvl>
    <w:lvl w:ilvl="5" w:tplc="0415001B" w:tentative="1">
      <w:start w:val="1"/>
      <w:numFmt w:val="lowerRoman"/>
      <w:lvlText w:val="%6."/>
      <w:lvlJc w:val="right"/>
      <w:pPr>
        <w:ind w:left="5737" w:hanging="180"/>
      </w:pPr>
    </w:lvl>
    <w:lvl w:ilvl="6" w:tplc="0415000F" w:tentative="1">
      <w:start w:val="1"/>
      <w:numFmt w:val="decimal"/>
      <w:lvlText w:val="%7."/>
      <w:lvlJc w:val="left"/>
      <w:pPr>
        <w:ind w:left="6457" w:hanging="360"/>
      </w:pPr>
    </w:lvl>
    <w:lvl w:ilvl="7" w:tplc="04150019" w:tentative="1">
      <w:start w:val="1"/>
      <w:numFmt w:val="lowerLetter"/>
      <w:lvlText w:val="%8."/>
      <w:lvlJc w:val="left"/>
      <w:pPr>
        <w:ind w:left="7177" w:hanging="360"/>
      </w:pPr>
    </w:lvl>
    <w:lvl w:ilvl="8" w:tplc="0415001B" w:tentative="1">
      <w:start w:val="1"/>
      <w:numFmt w:val="lowerRoman"/>
      <w:lvlText w:val="%9."/>
      <w:lvlJc w:val="right"/>
      <w:pPr>
        <w:ind w:left="7897" w:hanging="180"/>
      </w:pPr>
    </w:lvl>
  </w:abstractNum>
  <w:abstractNum w:abstractNumId="76" w15:restartNumberingAfterBreak="0">
    <w:nsid w:val="65BD46D1"/>
    <w:multiLevelType w:val="hybridMultilevel"/>
    <w:tmpl w:val="F9B2A7EE"/>
    <w:lvl w:ilvl="0" w:tplc="04150011">
      <w:start w:val="1"/>
      <w:numFmt w:val="decimal"/>
      <w:lvlText w:val="%1)"/>
      <w:lvlJc w:val="left"/>
      <w:pPr>
        <w:ind w:left="720" w:hanging="360"/>
      </w:pPr>
    </w:lvl>
    <w:lvl w:ilvl="1" w:tplc="04150011">
      <w:start w:val="1"/>
      <w:numFmt w:val="decimal"/>
      <w:lvlText w:val="%2)"/>
      <w:lvlJc w:val="left"/>
      <w:pPr>
        <w:ind w:left="927"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63D7CCE"/>
    <w:multiLevelType w:val="hybridMultilevel"/>
    <w:tmpl w:val="9F7825A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64E1108"/>
    <w:multiLevelType w:val="hybridMultilevel"/>
    <w:tmpl w:val="3D9028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68F5BD3"/>
    <w:multiLevelType w:val="hybridMultilevel"/>
    <w:tmpl w:val="D34A4F9A"/>
    <w:lvl w:ilvl="0" w:tplc="8E0AA20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0" w15:restartNumberingAfterBreak="0">
    <w:nsid w:val="69B2193F"/>
    <w:multiLevelType w:val="hybridMultilevel"/>
    <w:tmpl w:val="9CA846AE"/>
    <w:lvl w:ilvl="0" w:tplc="04150011">
      <w:start w:val="1"/>
      <w:numFmt w:val="decimal"/>
      <w:lvlText w:val="%1)"/>
      <w:lvlJc w:val="left"/>
      <w:pPr>
        <w:ind w:left="1429" w:hanging="360"/>
      </w:pPr>
    </w:lvl>
    <w:lvl w:ilvl="1" w:tplc="04150017">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1" w15:restartNumberingAfterBreak="0">
    <w:nsid w:val="6C6A7665"/>
    <w:multiLevelType w:val="multilevel"/>
    <w:tmpl w:val="7E7CC9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E086E84"/>
    <w:multiLevelType w:val="hybridMultilevel"/>
    <w:tmpl w:val="16229A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E6D0C2D"/>
    <w:multiLevelType w:val="hybridMultilevel"/>
    <w:tmpl w:val="8E68C5A2"/>
    <w:lvl w:ilvl="0" w:tplc="04150011">
      <w:start w:val="1"/>
      <w:numFmt w:val="decimal"/>
      <w:lvlText w:val="%1)"/>
      <w:lvlJc w:val="left"/>
      <w:pPr>
        <w:ind w:left="1429" w:hanging="360"/>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4" w15:restartNumberingAfterBreak="0">
    <w:nsid w:val="700C4B08"/>
    <w:multiLevelType w:val="hybridMultilevel"/>
    <w:tmpl w:val="94D2BE3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5" w15:restartNumberingAfterBreak="0">
    <w:nsid w:val="70DC679C"/>
    <w:multiLevelType w:val="hybridMultilevel"/>
    <w:tmpl w:val="12CA277A"/>
    <w:lvl w:ilvl="0" w:tplc="46742A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0F418CE"/>
    <w:multiLevelType w:val="hybridMultilevel"/>
    <w:tmpl w:val="45180472"/>
    <w:lvl w:ilvl="0" w:tplc="04150011">
      <w:start w:val="1"/>
      <w:numFmt w:val="decimal"/>
      <w:lvlText w:val="%1)"/>
      <w:lvlJc w:val="left"/>
      <w:pPr>
        <w:ind w:left="720" w:hanging="360"/>
      </w:pPr>
    </w:lvl>
    <w:lvl w:ilvl="1" w:tplc="04150011">
      <w:start w:val="1"/>
      <w:numFmt w:val="decimal"/>
      <w:lvlText w:val="%2)"/>
      <w:lvlJc w:val="left"/>
      <w:pPr>
        <w:ind w:left="1069"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15D5F9B"/>
    <w:multiLevelType w:val="hybridMultilevel"/>
    <w:tmpl w:val="6F380F44"/>
    <w:lvl w:ilvl="0" w:tplc="04150011">
      <w:start w:val="1"/>
      <w:numFmt w:val="decimal"/>
      <w:lvlText w:val="%1)"/>
      <w:lvlJc w:val="left"/>
      <w:pPr>
        <w:ind w:left="720" w:hanging="360"/>
      </w:pPr>
      <w:rPr>
        <w:rFonts w:hint="default"/>
        <w:sz w:val="24"/>
        <w:szCs w:val="24"/>
      </w:rPr>
    </w:lvl>
    <w:lvl w:ilvl="1" w:tplc="2E8C162C">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9657A4D"/>
    <w:multiLevelType w:val="hybridMultilevel"/>
    <w:tmpl w:val="73A29852"/>
    <w:lvl w:ilvl="0" w:tplc="18DE509C">
      <w:start w:val="1"/>
      <w:numFmt w:val="decimal"/>
      <w:lvlText w:val="%1)"/>
      <w:lvlJc w:val="left"/>
      <w:pPr>
        <w:ind w:left="121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A096D9E"/>
    <w:multiLevelType w:val="hybridMultilevel"/>
    <w:tmpl w:val="108E72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CD5504B"/>
    <w:multiLevelType w:val="hybridMultilevel"/>
    <w:tmpl w:val="27D68AD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15:restartNumberingAfterBreak="0">
    <w:nsid w:val="7EB528AA"/>
    <w:multiLevelType w:val="hybridMultilevel"/>
    <w:tmpl w:val="5540E2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FB51A7E"/>
    <w:multiLevelType w:val="multilevel"/>
    <w:tmpl w:val="F45CF3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45"/>
  </w:num>
  <w:num w:numId="2">
    <w:abstractNumId w:val="6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5"/>
  </w:num>
  <w:num w:numId="5">
    <w:abstractNumId w:val="73"/>
  </w:num>
  <w:num w:numId="6">
    <w:abstractNumId w:val="44"/>
  </w:num>
  <w:num w:numId="7">
    <w:abstractNumId w:val="58"/>
  </w:num>
  <w:num w:numId="8">
    <w:abstractNumId w:val="52"/>
  </w:num>
  <w:num w:numId="9">
    <w:abstractNumId w:val="0"/>
  </w:num>
  <w:num w:numId="10">
    <w:abstractNumId w:val="38"/>
  </w:num>
  <w:num w:numId="11">
    <w:abstractNumId w:val="90"/>
  </w:num>
  <w:num w:numId="12">
    <w:abstractNumId w:val="15"/>
  </w:num>
  <w:num w:numId="13">
    <w:abstractNumId w:val="65"/>
  </w:num>
  <w:num w:numId="14">
    <w:abstractNumId w:val="19"/>
  </w:num>
  <w:num w:numId="15">
    <w:abstractNumId w:val="67"/>
  </w:num>
  <w:num w:numId="16">
    <w:abstractNumId w:val="74"/>
  </w:num>
  <w:num w:numId="17">
    <w:abstractNumId w:val="23"/>
  </w:num>
  <w:num w:numId="18">
    <w:abstractNumId w:val="18"/>
  </w:num>
  <w:num w:numId="19">
    <w:abstractNumId w:val="62"/>
  </w:num>
  <w:num w:numId="20">
    <w:abstractNumId w:val="16"/>
  </w:num>
  <w:num w:numId="21">
    <w:abstractNumId w:val="46"/>
  </w:num>
  <w:num w:numId="22">
    <w:abstractNumId w:val="31"/>
  </w:num>
  <w:num w:numId="23">
    <w:abstractNumId w:val="28"/>
  </w:num>
  <w:num w:numId="24">
    <w:abstractNumId w:val="83"/>
  </w:num>
  <w:num w:numId="25">
    <w:abstractNumId w:val="80"/>
  </w:num>
  <w:num w:numId="26">
    <w:abstractNumId w:val="27"/>
  </w:num>
  <w:num w:numId="27">
    <w:abstractNumId w:val="78"/>
  </w:num>
  <w:num w:numId="28">
    <w:abstractNumId w:val="12"/>
  </w:num>
  <w:num w:numId="29">
    <w:abstractNumId w:val="40"/>
  </w:num>
  <w:num w:numId="30">
    <w:abstractNumId w:val="41"/>
  </w:num>
  <w:num w:numId="31">
    <w:abstractNumId w:val="61"/>
  </w:num>
  <w:num w:numId="32">
    <w:abstractNumId w:val="56"/>
  </w:num>
  <w:num w:numId="33">
    <w:abstractNumId w:val="14"/>
  </w:num>
  <w:num w:numId="34">
    <w:abstractNumId w:val="9"/>
  </w:num>
  <w:num w:numId="35">
    <w:abstractNumId w:val="30"/>
  </w:num>
  <w:num w:numId="36">
    <w:abstractNumId w:val="66"/>
  </w:num>
  <w:num w:numId="37">
    <w:abstractNumId w:val="8"/>
  </w:num>
  <w:num w:numId="38">
    <w:abstractNumId w:val="84"/>
  </w:num>
  <w:num w:numId="39">
    <w:abstractNumId w:val="20"/>
  </w:num>
  <w:num w:numId="40">
    <w:abstractNumId w:val="36"/>
  </w:num>
  <w:num w:numId="41">
    <w:abstractNumId w:val="6"/>
  </w:num>
  <w:num w:numId="42">
    <w:abstractNumId w:val="53"/>
  </w:num>
  <w:num w:numId="43">
    <w:abstractNumId w:val="10"/>
  </w:num>
  <w:num w:numId="44">
    <w:abstractNumId w:val="89"/>
  </w:num>
  <w:num w:numId="45">
    <w:abstractNumId w:val="76"/>
  </w:num>
  <w:num w:numId="46">
    <w:abstractNumId w:val="87"/>
  </w:num>
  <w:num w:numId="47">
    <w:abstractNumId w:val="17"/>
  </w:num>
  <w:num w:numId="48">
    <w:abstractNumId w:val="48"/>
  </w:num>
  <w:num w:numId="49">
    <w:abstractNumId w:val="63"/>
  </w:num>
  <w:num w:numId="50">
    <w:abstractNumId w:val="79"/>
  </w:num>
  <w:num w:numId="51">
    <w:abstractNumId w:val="1"/>
  </w:num>
  <w:num w:numId="52">
    <w:abstractNumId w:val="57"/>
  </w:num>
  <w:num w:numId="53">
    <w:abstractNumId w:val="86"/>
  </w:num>
  <w:num w:numId="54">
    <w:abstractNumId w:val="33"/>
  </w:num>
  <w:num w:numId="55">
    <w:abstractNumId w:val="50"/>
  </w:num>
  <w:num w:numId="56">
    <w:abstractNumId w:val="13"/>
  </w:num>
  <w:num w:numId="57">
    <w:abstractNumId w:val="75"/>
  </w:num>
  <w:num w:numId="58">
    <w:abstractNumId w:val="3"/>
  </w:num>
  <w:num w:numId="59">
    <w:abstractNumId w:val="88"/>
  </w:num>
  <w:num w:numId="60">
    <w:abstractNumId w:val="82"/>
  </w:num>
  <w:num w:numId="61">
    <w:abstractNumId w:val="47"/>
  </w:num>
  <w:num w:numId="62">
    <w:abstractNumId w:val="11"/>
  </w:num>
  <w:num w:numId="63">
    <w:abstractNumId w:val="71"/>
  </w:num>
  <w:num w:numId="64">
    <w:abstractNumId w:val="2"/>
  </w:num>
  <w:num w:numId="65">
    <w:abstractNumId w:val="37"/>
  </w:num>
  <w:num w:numId="66">
    <w:abstractNumId w:val="25"/>
  </w:num>
  <w:num w:numId="67">
    <w:abstractNumId w:val="81"/>
  </w:num>
  <w:num w:numId="68">
    <w:abstractNumId w:val="35"/>
  </w:num>
  <w:num w:numId="69">
    <w:abstractNumId w:val="70"/>
  </w:num>
  <w:num w:numId="70">
    <w:abstractNumId w:val="92"/>
  </w:num>
  <w:num w:numId="71">
    <w:abstractNumId w:val="39"/>
  </w:num>
  <w:num w:numId="72">
    <w:abstractNumId w:val="29"/>
  </w:num>
  <w:num w:numId="73">
    <w:abstractNumId w:val="24"/>
  </w:num>
  <w:num w:numId="74">
    <w:abstractNumId w:val="55"/>
  </w:num>
  <w:num w:numId="75">
    <w:abstractNumId w:val="64"/>
  </w:num>
  <w:num w:numId="76">
    <w:abstractNumId w:val="43"/>
  </w:num>
  <w:num w:numId="77">
    <w:abstractNumId w:val="5"/>
  </w:num>
  <w:num w:numId="78">
    <w:abstractNumId w:val="4"/>
  </w:num>
  <w:num w:numId="79">
    <w:abstractNumId w:val="49"/>
  </w:num>
  <w:num w:numId="80">
    <w:abstractNumId w:val="26"/>
  </w:num>
  <w:num w:numId="81">
    <w:abstractNumId w:val="91"/>
  </w:num>
  <w:num w:numId="82">
    <w:abstractNumId w:val="69"/>
  </w:num>
  <w:num w:numId="83">
    <w:abstractNumId w:val="21"/>
  </w:num>
  <w:num w:numId="84">
    <w:abstractNumId w:val="72"/>
  </w:num>
  <w:num w:numId="85">
    <w:abstractNumId w:val="59"/>
  </w:num>
  <w:num w:numId="8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7"/>
  </w:num>
  <w:num w:numId="117">
    <w:abstractNumId w:val="42"/>
  </w:num>
  <w:num w:numId="118">
    <w:abstractNumId w:val="77"/>
  </w:num>
  <w:num w:numId="119">
    <w:abstractNumId w:val="51"/>
  </w:num>
  <w:num w:numId="120">
    <w:abstractNumId w:val="68"/>
  </w:num>
  <w:num w:numId="121">
    <w:abstractNumId w:val="34"/>
  </w:num>
  <w:num w:numId="122">
    <w:abstractNumId w:val="54"/>
  </w:num>
  <w:num w:numId="123">
    <w:abstractNumId w:val="32"/>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69F"/>
    <w:rsid w:val="00000F28"/>
    <w:rsid w:val="00000FCF"/>
    <w:rsid w:val="0000209F"/>
    <w:rsid w:val="00005878"/>
    <w:rsid w:val="0000772F"/>
    <w:rsid w:val="0001421E"/>
    <w:rsid w:val="00017B30"/>
    <w:rsid w:val="00021AE5"/>
    <w:rsid w:val="00021DCE"/>
    <w:rsid w:val="00025299"/>
    <w:rsid w:val="000261CE"/>
    <w:rsid w:val="000279FD"/>
    <w:rsid w:val="00027CB2"/>
    <w:rsid w:val="000329A8"/>
    <w:rsid w:val="00034B8B"/>
    <w:rsid w:val="000360FE"/>
    <w:rsid w:val="00037BC1"/>
    <w:rsid w:val="00037D08"/>
    <w:rsid w:val="00037D94"/>
    <w:rsid w:val="0004331A"/>
    <w:rsid w:val="000434CC"/>
    <w:rsid w:val="00045BD1"/>
    <w:rsid w:val="00046B7B"/>
    <w:rsid w:val="00047397"/>
    <w:rsid w:val="00050B60"/>
    <w:rsid w:val="00052C7D"/>
    <w:rsid w:val="00054239"/>
    <w:rsid w:val="00054FAE"/>
    <w:rsid w:val="0005502F"/>
    <w:rsid w:val="0005659F"/>
    <w:rsid w:val="00056F1D"/>
    <w:rsid w:val="00061326"/>
    <w:rsid w:val="00061EE6"/>
    <w:rsid w:val="0006489B"/>
    <w:rsid w:val="00067865"/>
    <w:rsid w:val="000679E5"/>
    <w:rsid w:val="000744A3"/>
    <w:rsid w:val="00081096"/>
    <w:rsid w:val="000816DB"/>
    <w:rsid w:val="00087F99"/>
    <w:rsid w:val="00090204"/>
    <w:rsid w:val="000906A9"/>
    <w:rsid w:val="00090708"/>
    <w:rsid w:val="00090E14"/>
    <w:rsid w:val="0009443A"/>
    <w:rsid w:val="0009672A"/>
    <w:rsid w:val="00097771"/>
    <w:rsid w:val="00097CC3"/>
    <w:rsid w:val="000A5298"/>
    <w:rsid w:val="000A6156"/>
    <w:rsid w:val="000B0628"/>
    <w:rsid w:val="000B10F2"/>
    <w:rsid w:val="000B1DB4"/>
    <w:rsid w:val="000B1EB9"/>
    <w:rsid w:val="000B40A3"/>
    <w:rsid w:val="000B4D83"/>
    <w:rsid w:val="000B599A"/>
    <w:rsid w:val="000B59B7"/>
    <w:rsid w:val="000B6B1D"/>
    <w:rsid w:val="000B6BE7"/>
    <w:rsid w:val="000B7C3B"/>
    <w:rsid w:val="000C0344"/>
    <w:rsid w:val="000C16EE"/>
    <w:rsid w:val="000C28F9"/>
    <w:rsid w:val="000C359B"/>
    <w:rsid w:val="000C43F2"/>
    <w:rsid w:val="000C73BE"/>
    <w:rsid w:val="000D28C0"/>
    <w:rsid w:val="000D35CE"/>
    <w:rsid w:val="000D4648"/>
    <w:rsid w:val="000D54D8"/>
    <w:rsid w:val="000D55C1"/>
    <w:rsid w:val="000D7821"/>
    <w:rsid w:val="000D7825"/>
    <w:rsid w:val="000E0ADD"/>
    <w:rsid w:val="000E19DA"/>
    <w:rsid w:val="000E572A"/>
    <w:rsid w:val="000E75B3"/>
    <w:rsid w:val="000E7B2E"/>
    <w:rsid w:val="000F403B"/>
    <w:rsid w:val="000F4BF9"/>
    <w:rsid w:val="000F5B2B"/>
    <w:rsid w:val="000F74AC"/>
    <w:rsid w:val="000F7E1F"/>
    <w:rsid w:val="00100009"/>
    <w:rsid w:val="001005C4"/>
    <w:rsid w:val="001013C3"/>
    <w:rsid w:val="001045B9"/>
    <w:rsid w:val="00106A67"/>
    <w:rsid w:val="00106B6E"/>
    <w:rsid w:val="00111542"/>
    <w:rsid w:val="00111844"/>
    <w:rsid w:val="0011234F"/>
    <w:rsid w:val="00112CC4"/>
    <w:rsid w:val="00112FD6"/>
    <w:rsid w:val="00121CB9"/>
    <w:rsid w:val="00122D41"/>
    <w:rsid w:val="00125F77"/>
    <w:rsid w:val="00126289"/>
    <w:rsid w:val="00126808"/>
    <w:rsid w:val="00126D3F"/>
    <w:rsid w:val="00130867"/>
    <w:rsid w:val="00131914"/>
    <w:rsid w:val="00133086"/>
    <w:rsid w:val="001353DF"/>
    <w:rsid w:val="00135CC4"/>
    <w:rsid w:val="001404ED"/>
    <w:rsid w:val="00140A91"/>
    <w:rsid w:val="00141528"/>
    <w:rsid w:val="00142D32"/>
    <w:rsid w:val="00143A93"/>
    <w:rsid w:val="00145CAF"/>
    <w:rsid w:val="001474AE"/>
    <w:rsid w:val="001477C6"/>
    <w:rsid w:val="001517C5"/>
    <w:rsid w:val="00155F1B"/>
    <w:rsid w:val="00156B0A"/>
    <w:rsid w:val="001609B0"/>
    <w:rsid w:val="001622CE"/>
    <w:rsid w:val="00162652"/>
    <w:rsid w:val="001632EE"/>
    <w:rsid w:val="001639DA"/>
    <w:rsid w:val="00172681"/>
    <w:rsid w:val="0017352D"/>
    <w:rsid w:val="00173C6C"/>
    <w:rsid w:val="00176165"/>
    <w:rsid w:val="00176222"/>
    <w:rsid w:val="0017793E"/>
    <w:rsid w:val="001813C5"/>
    <w:rsid w:val="00181442"/>
    <w:rsid w:val="0018378A"/>
    <w:rsid w:val="00183C99"/>
    <w:rsid w:val="00183F24"/>
    <w:rsid w:val="001863AD"/>
    <w:rsid w:val="00187FC1"/>
    <w:rsid w:val="001910B7"/>
    <w:rsid w:val="0019385D"/>
    <w:rsid w:val="00194764"/>
    <w:rsid w:val="001A0045"/>
    <w:rsid w:val="001A081A"/>
    <w:rsid w:val="001A11D5"/>
    <w:rsid w:val="001A229D"/>
    <w:rsid w:val="001A69AC"/>
    <w:rsid w:val="001A6F72"/>
    <w:rsid w:val="001B228D"/>
    <w:rsid w:val="001B2735"/>
    <w:rsid w:val="001B34BB"/>
    <w:rsid w:val="001B589B"/>
    <w:rsid w:val="001B6288"/>
    <w:rsid w:val="001B68A3"/>
    <w:rsid w:val="001B78B4"/>
    <w:rsid w:val="001B795C"/>
    <w:rsid w:val="001C02FE"/>
    <w:rsid w:val="001C0C30"/>
    <w:rsid w:val="001C361D"/>
    <w:rsid w:val="001C36D7"/>
    <w:rsid w:val="001C4930"/>
    <w:rsid w:val="001C5D7F"/>
    <w:rsid w:val="001C6938"/>
    <w:rsid w:val="001C7C53"/>
    <w:rsid w:val="001D2C34"/>
    <w:rsid w:val="001D4133"/>
    <w:rsid w:val="001D4CA4"/>
    <w:rsid w:val="001E10FC"/>
    <w:rsid w:val="001E4A85"/>
    <w:rsid w:val="001E57DA"/>
    <w:rsid w:val="001E6089"/>
    <w:rsid w:val="001E6F06"/>
    <w:rsid w:val="001F125A"/>
    <w:rsid w:val="001F1A0E"/>
    <w:rsid w:val="001F311F"/>
    <w:rsid w:val="001F3943"/>
    <w:rsid w:val="001F5C69"/>
    <w:rsid w:val="001F6755"/>
    <w:rsid w:val="001F6B6E"/>
    <w:rsid w:val="001F7EE8"/>
    <w:rsid w:val="00200DF1"/>
    <w:rsid w:val="00201C50"/>
    <w:rsid w:val="00202259"/>
    <w:rsid w:val="00203C4A"/>
    <w:rsid w:val="00207BD8"/>
    <w:rsid w:val="002122A0"/>
    <w:rsid w:val="00214B8A"/>
    <w:rsid w:val="002162A0"/>
    <w:rsid w:val="0021795A"/>
    <w:rsid w:val="002209B5"/>
    <w:rsid w:val="00220E2D"/>
    <w:rsid w:val="00224C52"/>
    <w:rsid w:val="002312A9"/>
    <w:rsid w:val="00231A34"/>
    <w:rsid w:val="00233407"/>
    <w:rsid w:val="00235C39"/>
    <w:rsid w:val="00236738"/>
    <w:rsid w:val="00237557"/>
    <w:rsid w:val="0023781E"/>
    <w:rsid w:val="00237B74"/>
    <w:rsid w:val="00242131"/>
    <w:rsid w:val="00246840"/>
    <w:rsid w:val="00247416"/>
    <w:rsid w:val="00252AE5"/>
    <w:rsid w:val="00253F21"/>
    <w:rsid w:val="00254CC3"/>
    <w:rsid w:val="002574FA"/>
    <w:rsid w:val="00260F40"/>
    <w:rsid w:val="00261955"/>
    <w:rsid w:val="00263BDF"/>
    <w:rsid w:val="00263D01"/>
    <w:rsid w:val="00264FAF"/>
    <w:rsid w:val="00265DA4"/>
    <w:rsid w:val="00270D84"/>
    <w:rsid w:val="002732D1"/>
    <w:rsid w:val="00274EE8"/>
    <w:rsid w:val="00274FC3"/>
    <w:rsid w:val="002764F7"/>
    <w:rsid w:val="002765A8"/>
    <w:rsid w:val="0027661D"/>
    <w:rsid w:val="00282644"/>
    <w:rsid w:val="00283A1A"/>
    <w:rsid w:val="002851AF"/>
    <w:rsid w:val="0028573B"/>
    <w:rsid w:val="00290068"/>
    <w:rsid w:val="002900D1"/>
    <w:rsid w:val="002916EC"/>
    <w:rsid w:val="00292BCC"/>
    <w:rsid w:val="002A0567"/>
    <w:rsid w:val="002A35BE"/>
    <w:rsid w:val="002A641C"/>
    <w:rsid w:val="002A6A64"/>
    <w:rsid w:val="002B538D"/>
    <w:rsid w:val="002B62F3"/>
    <w:rsid w:val="002B69AC"/>
    <w:rsid w:val="002B6DD0"/>
    <w:rsid w:val="002B76CC"/>
    <w:rsid w:val="002B7EBB"/>
    <w:rsid w:val="002C1424"/>
    <w:rsid w:val="002C18A9"/>
    <w:rsid w:val="002C2B55"/>
    <w:rsid w:val="002C44EE"/>
    <w:rsid w:val="002C4F7F"/>
    <w:rsid w:val="002C5FBC"/>
    <w:rsid w:val="002D02B8"/>
    <w:rsid w:val="002D15F5"/>
    <w:rsid w:val="002D1E5C"/>
    <w:rsid w:val="002D327C"/>
    <w:rsid w:val="002D3AA6"/>
    <w:rsid w:val="002D5483"/>
    <w:rsid w:val="002E2488"/>
    <w:rsid w:val="002E44CA"/>
    <w:rsid w:val="002E5E89"/>
    <w:rsid w:val="002F08B8"/>
    <w:rsid w:val="002F13D4"/>
    <w:rsid w:val="002F5D06"/>
    <w:rsid w:val="002F6DE4"/>
    <w:rsid w:val="00300AD3"/>
    <w:rsid w:val="003036BF"/>
    <w:rsid w:val="00304CF1"/>
    <w:rsid w:val="00305A10"/>
    <w:rsid w:val="003072C0"/>
    <w:rsid w:val="003100F2"/>
    <w:rsid w:val="00316261"/>
    <w:rsid w:val="003165B1"/>
    <w:rsid w:val="00316A5E"/>
    <w:rsid w:val="00317DC0"/>
    <w:rsid w:val="003203B2"/>
    <w:rsid w:val="003210EF"/>
    <w:rsid w:val="0032743A"/>
    <w:rsid w:val="00330B19"/>
    <w:rsid w:val="0033314E"/>
    <w:rsid w:val="003334EB"/>
    <w:rsid w:val="00334535"/>
    <w:rsid w:val="00335E85"/>
    <w:rsid w:val="00345858"/>
    <w:rsid w:val="003461A3"/>
    <w:rsid w:val="00346384"/>
    <w:rsid w:val="00347208"/>
    <w:rsid w:val="00350A8E"/>
    <w:rsid w:val="00350E63"/>
    <w:rsid w:val="003510AA"/>
    <w:rsid w:val="00352E4F"/>
    <w:rsid w:val="00352E79"/>
    <w:rsid w:val="0035423B"/>
    <w:rsid w:val="0035494A"/>
    <w:rsid w:val="00354C7A"/>
    <w:rsid w:val="00356BF7"/>
    <w:rsid w:val="00357C6D"/>
    <w:rsid w:val="003612E8"/>
    <w:rsid w:val="00361B2A"/>
    <w:rsid w:val="00365927"/>
    <w:rsid w:val="00372E1A"/>
    <w:rsid w:val="0037461A"/>
    <w:rsid w:val="00374811"/>
    <w:rsid w:val="00374F03"/>
    <w:rsid w:val="00380443"/>
    <w:rsid w:val="003808EE"/>
    <w:rsid w:val="003809A4"/>
    <w:rsid w:val="00380A2E"/>
    <w:rsid w:val="00380DCE"/>
    <w:rsid w:val="003814EE"/>
    <w:rsid w:val="00382663"/>
    <w:rsid w:val="00382A6A"/>
    <w:rsid w:val="00382E73"/>
    <w:rsid w:val="003834ED"/>
    <w:rsid w:val="003840A1"/>
    <w:rsid w:val="00384283"/>
    <w:rsid w:val="00385DAA"/>
    <w:rsid w:val="00386243"/>
    <w:rsid w:val="0038685E"/>
    <w:rsid w:val="003874FB"/>
    <w:rsid w:val="003876AC"/>
    <w:rsid w:val="00387A7E"/>
    <w:rsid w:val="003908F1"/>
    <w:rsid w:val="00390900"/>
    <w:rsid w:val="0039146E"/>
    <w:rsid w:val="003935F1"/>
    <w:rsid w:val="003959A0"/>
    <w:rsid w:val="003A0AA0"/>
    <w:rsid w:val="003A3F33"/>
    <w:rsid w:val="003A44FC"/>
    <w:rsid w:val="003A532F"/>
    <w:rsid w:val="003A585B"/>
    <w:rsid w:val="003A5A43"/>
    <w:rsid w:val="003A682C"/>
    <w:rsid w:val="003B0742"/>
    <w:rsid w:val="003B1A0D"/>
    <w:rsid w:val="003B391E"/>
    <w:rsid w:val="003B5400"/>
    <w:rsid w:val="003B5C1F"/>
    <w:rsid w:val="003B685E"/>
    <w:rsid w:val="003B72EC"/>
    <w:rsid w:val="003C1723"/>
    <w:rsid w:val="003C24A3"/>
    <w:rsid w:val="003C2D36"/>
    <w:rsid w:val="003C562D"/>
    <w:rsid w:val="003C5CE4"/>
    <w:rsid w:val="003D1A2F"/>
    <w:rsid w:val="003D26B3"/>
    <w:rsid w:val="003D2D96"/>
    <w:rsid w:val="003D38B8"/>
    <w:rsid w:val="003D3DE2"/>
    <w:rsid w:val="003D4102"/>
    <w:rsid w:val="003D689B"/>
    <w:rsid w:val="003D6F22"/>
    <w:rsid w:val="003E0B61"/>
    <w:rsid w:val="003E2C03"/>
    <w:rsid w:val="003E4574"/>
    <w:rsid w:val="003E4D35"/>
    <w:rsid w:val="003F5801"/>
    <w:rsid w:val="003F6763"/>
    <w:rsid w:val="004023F1"/>
    <w:rsid w:val="0040309A"/>
    <w:rsid w:val="004042BC"/>
    <w:rsid w:val="004066B7"/>
    <w:rsid w:val="00406F47"/>
    <w:rsid w:val="00410EE1"/>
    <w:rsid w:val="00416F4E"/>
    <w:rsid w:val="004176ED"/>
    <w:rsid w:val="00417CB2"/>
    <w:rsid w:val="00420F76"/>
    <w:rsid w:val="00421359"/>
    <w:rsid w:val="00421A82"/>
    <w:rsid w:val="00422D66"/>
    <w:rsid w:val="0042502C"/>
    <w:rsid w:val="004259FB"/>
    <w:rsid w:val="0043060A"/>
    <w:rsid w:val="00431841"/>
    <w:rsid w:val="0043281B"/>
    <w:rsid w:val="0043538C"/>
    <w:rsid w:val="00442294"/>
    <w:rsid w:val="00442DC1"/>
    <w:rsid w:val="004431FA"/>
    <w:rsid w:val="004439B0"/>
    <w:rsid w:val="00444628"/>
    <w:rsid w:val="00445C36"/>
    <w:rsid w:val="004460DC"/>
    <w:rsid w:val="00446FBA"/>
    <w:rsid w:val="00447C5B"/>
    <w:rsid w:val="004500FF"/>
    <w:rsid w:val="004504A2"/>
    <w:rsid w:val="00450A1D"/>
    <w:rsid w:val="00456813"/>
    <w:rsid w:val="0045748A"/>
    <w:rsid w:val="00457534"/>
    <w:rsid w:val="00457A25"/>
    <w:rsid w:val="00462BF7"/>
    <w:rsid w:val="00467E18"/>
    <w:rsid w:val="00472AAC"/>
    <w:rsid w:val="00473A12"/>
    <w:rsid w:val="00473CF6"/>
    <w:rsid w:val="00474388"/>
    <w:rsid w:val="004759B8"/>
    <w:rsid w:val="00475D46"/>
    <w:rsid w:val="004762F2"/>
    <w:rsid w:val="00476358"/>
    <w:rsid w:val="004769E8"/>
    <w:rsid w:val="00476E74"/>
    <w:rsid w:val="0048113A"/>
    <w:rsid w:val="00482536"/>
    <w:rsid w:val="00484A57"/>
    <w:rsid w:val="004875D9"/>
    <w:rsid w:val="00487C36"/>
    <w:rsid w:val="0049030B"/>
    <w:rsid w:val="00491657"/>
    <w:rsid w:val="004934CF"/>
    <w:rsid w:val="00494A7C"/>
    <w:rsid w:val="004952E5"/>
    <w:rsid w:val="0049752C"/>
    <w:rsid w:val="004A2A98"/>
    <w:rsid w:val="004A2E3C"/>
    <w:rsid w:val="004A2FC8"/>
    <w:rsid w:val="004A3138"/>
    <w:rsid w:val="004A4FFF"/>
    <w:rsid w:val="004A5EF2"/>
    <w:rsid w:val="004A7465"/>
    <w:rsid w:val="004A7740"/>
    <w:rsid w:val="004B070B"/>
    <w:rsid w:val="004B0A28"/>
    <w:rsid w:val="004B0C13"/>
    <w:rsid w:val="004B1707"/>
    <w:rsid w:val="004B1C61"/>
    <w:rsid w:val="004B1F45"/>
    <w:rsid w:val="004B22BE"/>
    <w:rsid w:val="004B306C"/>
    <w:rsid w:val="004B4D93"/>
    <w:rsid w:val="004B4DE5"/>
    <w:rsid w:val="004B63CA"/>
    <w:rsid w:val="004B6B3A"/>
    <w:rsid w:val="004C33DE"/>
    <w:rsid w:val="004C3A67"/>
    <w:rsid w:val="004C3CCC"/>
    <w:rsid w:val="004C7C91"/>
    <w:rsid w:val="004D055F"/>
    <w:rsid w:val="004D1C0F"/>
    <w:rsid w:val="004E0D08"/>
    <w:rsid w:val="004E35F3"/>
    <w:rsid w:val="004E36C2"/>
    <w:rsid w:val="004E40DC"/>
    <w:rsid w:val="004E5AEB"/>
    <w:rsid w:val="004E6320"/>
    <w:rsid w:val="004F032B"/>
    <w:rsid w:val="004F0649"/>
    <w:rsid w:val="004F4B7F"/>
    <w:rsid w:val="004F55D0"/>
    <w:rsid w:val="004F5B00"/>
    <w:rsid w:val="004F6941"/>
    <w:rsid w:val="004F6945"/>
    <w:rsid w:val="004F797D"/>
    <w:rsid w:val="00504951"/>
    <w:rsid w:val="005057F6"/>
    <w:rsid w:val="00506211"/>
    <w:rsid w:val="005067DB"/>
    <w:rsid w:val="00506C38"/>
    <w:rsid w:val="005117B6"/>
    <w:rsid w:val="00515109"/>
    <w:rsid w:val="00515461"/>
    <w:rsid w:val="00515598"/>
    <w:rsid w:val="0052286E"/>
    <w:rsid w:val="00523352"/>
    <w:rsid w:val="00525487"/>
    <w:rsid w:val="005271EE"/>
    <w:rsid w:val="00532992"/>
    <w:rsid w:val="00534CCF"/>
    <w:rsid w:val="005353A6"/>
    <w:rsid w:val="00537E44"/>
    <w:rsid w:val="005410A9"/>
    <w:rsid w:val="00542DB4"/>
    <w:rsid w:val="005451BA"/>
    <w:rsid w:val="00545383"/>
    <w:rsid w:val="0054644B"/>
    <w:rsid w:val="0055029C"/>
    <w:rsid w:val="00550745"/>
    <w:rsid w:val="00551108"/>
    <w:rsid w:val="00551AE9"/>
    <w:rsid w:val="00554CCE"/>
    <w:rsid w:val="00556926"/>
    <w:rsid w:val="005570B2"/>
    <w:rsid w:val="00562087"/>
    <w:rsid w:val="00565544"/>
    <w:rsid w:val="0056611A"/>
    <w:rsid w:val="0057049F"/>
    <w:rsid w:val="00571690"/>
    <w:rsid w:val="00572CC4"/>
    <w:rsid w:val="005730B8"/>
    <w:rsid w:val="00573988"/>
    <w:rsid w:val="005743A0"/>
    <w:rsid w:val="00574D81"/>
    <w:rsid w:val="00575C0D"/>
    <w:rsid w:val="00580640"/>
    <w:rsid w:val="005816E8"/>
    <w:rsid w:val="00581951"/>
    <w:rsid w:val="00585791"/>
    <w:rsid w:val="00585C63"/>
    <w:rsid w:val="00586859"/>
    <w:rsid w:val="0059041A"/>
    <w:rsid w:val="0059099B"/>
    <w:rsid w:val="00591214"/>
    <w:rsid w:val="005968DD"/>
    <w:rsid w:val="005A0A10"/>
    <w:rsid w:val="005A0CE1"/>
    <w:rsid w:val="005A35A4"/>
    <w:rsid w:val="005A5434"/>
    <w:rsid w:val="005A5B91"/>
    <w:rsid w:val="005A69D2"/>
    <w:rsid w:val="005B51A9"/>
    <w:rsid w:val="005B720D"/>
    <w:rsid w:val="005C2BAD"/>
    <w:rsid w:val="005C5401"/>
    <w:rsid w:val="005C55BD"/>
    <w:rsid w:val="005C57C5"/>
    <w:rsid w:val="005C6171"/>
    <w:rsid w:val="005C7294"/>
    <w:rsid w:val="005C7392"/>
    <w:rsid w:val="005C744A"/>
    <w:rsid w:val="005D29AE"/>
    <w:rsid w:val="005D3F4D"/>
    <w:rsid w:val="005D4973"/>
    <w:rsid w:val="005D5456"/>
    <w:rsid w:val="005D74E5"/>
    <w:rsid w:val="005D7A67"/>
    <w:rsid w:val="005E1384"/>
    <w:rsid w:val="005E252F"/>
    <w:rsid w:val="005E27C8"/>
    <w:rsid w:val="005E365F"/>
    <w:rsid w:val="005E58DC"/>
    <w:rsid w:val="005E6790"/>
    <w:rsid w:val="005F4709"/>
    <w:rsid w:val="005F4968"/>
    <w:rsid w:val="005F5793"/>
    <w:rsid w:val="005F5EA1"/>
    <w:rsid w:val="005F63D0"/>
    <w:rsid w:val="00601A0F"/>
    <w:rsid w:val="00601E78"/>
    <w:rsid w:val="00603E2C"/>
    <w:rsid w:val="00606B23"/>
    <w:rsid w:val="00606E97"/>
    <w:rsid w:val="006073E4"/>
    <w:rsid w:val="00607F4E"/>
    <w:rsid w:val="00610290"/>
    <w:rsid w:val="00613319"/>
    <w:rsid w:val="00613730"/>
    <w:rsid w:val="006167F4"/>
    <w:rsid w:val="00617552"/>
    <w:rsid w:val="0061762E"/>
    <w:rsid w:val="0062147B"/>
    <w:rsid w:val="00623234"/>
    <w:rsid w:val="006243BA"/>
    <w:rsid w:val="00630B95"/>
    <w:rsid w:val="00634856"/>
    <w:rsid w:val="00636494"/>
    <w:rsid w:val="00640D9B"/>
    <w:rsid w:val="0064142A"/>
    <w:rsid w:val="00641F39"/>
    <w:rsid w:val="00651A92"/>
    <w:rsid w:val="0065238A"/>
    <w:rsid w:val="00652665"/>
    <w:rsid w:val="00660305"/>
    <w:rsid w:val="00660678"/>
    <w:rsid w:val="00663BC0"/>
    <w:rsid w:val="00664F7F"/>
    <w:rsid w:val="00666DE7"/>
    <w:rsid w:val="00666E01"/>
    <w:rsid w:val="00667265"/>
    <w:rsid w:val="006673FD"/>
    <w:rsid w:val="00671491"/>
    <w:rsid w:val="0067205B"/>
    <w:rsid w:val="006737E9"/>
    <w:rsid w:val="00673894"/>
    <w:rsid w:val="00680516"/>
    <w:rsid w:val="006831FB"/>
    <w:rsid w:val="00684D69"/>
    <w:rsid w:val="00686E60"/>
    <w:rsid w:val="00687457"/>
    <w:rsid w:val="00690573"/>
    <w:rsid w:val="00690EAA"/>
    <w:rsid w:val="00691408"/>
    <w:rsid w:val="006924E2"/>
    <w:rsid w:val="00693D7B"/>
    <w:rsid w:val="0069413B"/>
    <w:rsid w:val="00694852"/>
    <w:rsid w:val="00695D3F"/>
    <w:rsid w:val="00697A86"/>
    <w:rsid w:val="006A00EC"/>
    <w:rsid w:val="006A0100"/>
    <w:rsid w:val="006A0F3B"/>
    <w:rsid w:val="006A257F"/>
    <w:rsid w:val="006A40D5"/>
    <w:rsid w:val="006A452C"/>
    <w:rsid w:val="006A5F7C"/>
    <w:rsid w:val="006B0AAF"/>
    <w:rsid w:val="006B1A07"/>
    <w:rsid w:val="006B2F1A"/>
    <w:rsid w:val="006B4253"/>
    <w:rsid w:val="006B4C12"/>
    <w:rsid w:val="006B6AC9"/>
    <w:rsid w:val="006C04B2"/>
    <w:rsid w:val="006C093D"/>
    <w:rsid w:val="006C1A2C"/>
    <w:rsid w:val="006C39BF"/>
    <w:rsid w:val="006C4675"/>
    <w:rsid w:val="006C49A8"/>
    <w:rsid w:val="006C4AE7"/>
    <w:rsid w:val="006C4AF5"/>
    <w:rsid w:val="006C5E5C"/>
    <w:rsid w:val="006C6E38"/>
    <w:rsid w:val="006C78BF"/>
    <w:rsid w:val="006D159F"/>
    <w:rsid w:val="006D1BFE"/>
    <w:rsid w:val="006D27C9"/>
    <w:rsid w:val="006D3A97"/>
    <w:rsid w:val="006D4257"/>
    <w:rsid w:val="006D5506"/>
    <w:rsid w:val="006D5D90"/>
    <w:rsid w:val="006D63F1"/>
    <w:rsid w:val="006D7FC3"/>
    <w:rsid w:val="006E026F"/>
    <w:rsid w:val="006E0B55"/>
    <w:rsid w:val="006E46D6"/>
    <w:rsid w:val="006E4A07"/>
    <w:rsid w:val="006E4BDF"/>
    <w:rsid w:val="006E7807"/>
    <w:rsid w:val="006F22E4"/>
    <w:rsid w:val="006F5CDB"/>
    <w:rsid w:val="00700523"/>
    <w:rsid w:val="0070087C"/>
    <w:rsid w:val="00700EC9"/>
    <w:rsid w:val="00701816"/>
    <w:rsid w:val="00702068"/>
    <w:rsid w:val="007024CF"/>
    <w:rsid w:val="00703127"/>
    <w:rsid w:val="0070370C"/>
    <w:rsid w:val="007045A5"/>
    <w:rsid w:val="007045D4"/>
    <w:rsid w:val="00704AF1"/>
    <w:rsid w:val="00705E6E"/>
    <w:rsid w:val="00707F53"/>
    <w:rsid w:val="007101DE"/>
    <w:rsid w:val="0071365B"/>
    <w:rsid w:val="007139A7"/>
    <w:rsid w:val="0071746E"/>
    <w:rsid w:val="007174BD"/>
    <w:rsid w:val="00725143"/>
    <w:rsid w:val="00726AB5"/>
    <w:rsid w:val="0073074F"/>
    <w:rsid w:val="007307C4"/>
    <w:rsid w:val="0073141A"/>
    <w:rsid w:val="00731804"/>
    <w:rsid w:val="00732398"/>
    <w:rsid w:val="00732E3E"/>
    <w:rsid w:val="0073359F"/>
    <w:rsid w:val="007340B8"/>
    <w:rsid w:val="00734612"/>
    <w:rsid w:val="00734BB8"/>
    <w:rsid w:val="007350BB"/>
    <w:rsid w:val="00735C4C"/>
    <w:rsid w:val="00735D6D"/>
    <w:rsid w:val="00735E60"/>
    <w:rsid w:val="00737E35"/>
    <w:rsid w:val="00741499"/>
    <w:rsid w:val="00746F17"/>
    <w:rsid w:val="00747AFD"/>
    <w:rsid w:val="00747F69"/>
    <w:rsid w:val="0075369F"/>
    <w:rsid w:val="0075424C"/>
    <w:rsid w:val="00755380"/>
    <w:rsid w:val="00756521"/>
    <w:rsid w:val="007600DE"/>
    <w:rsid w:val="00760D0F"/>
    <w:rsid w:val="007713DB"/>
    <w:rsid w:val="007724B2"/>
    <w:rsid w:val="0078284A"/>
    <w:rsid w:val="00784111"/>
    <w:rsid w:val="0078578D"/>
    <w:rsid w:val="00785FE3"/>
    <w:rsid w:val="00790408"/>
    <w:rsid w:val="00792B08"/>
    <w:rsid w:val="00792CCD"/>
    <w:rsid w:val="00794DA9"/>
    <w:rsid w:val="0079514F"/>
    <w:rsid w:val="00796D86"/>
    <w:rsid w:val="007972A3"/>
    <w:rsid w:val="0079782F"/>
    <w:rsid w:val="007A04C0"/>
    <w:rsid w:val="007A15F2"/>
    <w:rsid w:val="007A257D"/>
    <w:rsid w:val="007A2CA6"/>
    <w:rsid w:val="007B2C49"/>
    <w:rsid w:val="007B6232"/>
    <w:rsid w:val="007B66CD"/>
    <w:rsid w:val="007C0B96"/>
    <w:rsid w:val="007C24AF"/>
    <w:rsid w:val="007C262D"/>
    <w:rsid w:val="007C282C"/>
    <w:rsid w:val="007C41F4"/>
    <w:rsid w:val="007D2D04"/>
    <w:rsid w:val="007D3C03"/>
    <w:rsid w:val="007D43FE"/>
    <w:rsid w:val="007D5160"/>
    <w:rsid w:val="007D61D7"/>
    <w:rsid w:val="007D71E4"/>
    <w:rsid w:val="007D764B"/>
    <w:rsid w:val="007D7EC9"/>
    <w:rsid w:val="007E0C57"/>
    <w:rsid w:val="007E35DF"/>
    <w:rsid w:val="007E5177"/>
    <w:rsid w:val="007E6CC7"/>
    <w:rsid w:val="007E6EB0"/>
    <w:rsid w:val="007E7F49"/>
    <w:rsid w:val="007F0700"/>
    <w:rsid w:val="007F252B"/>
    <w:rsid w:val="007F3950"/>
    <w:rsid w:val="007F3C72"/>
    <w:rsid w:val="007F4230"/>
    <w:rsid w:val="007F5622"/>
    <w:rsid w:val="007F6EDC"/>
    <w:rsid w:val="0080130A"/>
    <w:rsid w:val="0080148D"/>
    <w:rsid w:val="00801E61"/>
    <w:rsid w:val="00802A6C"/>
    <w:rsid w:val="00802C28"/>
    <w:rsid w:val="008031CB"/>
    <w:rsid w:val="008033A9"/>
    <w:rsid w:val="008076FD"/>
    <w:rsid w:val="00811EE9"/>
    <w:rsid w:val="0081263E"/>
    <w:rsid w:val="00813ED7"/>
    <w:rsid w:val="00814352"/>
    <w:rsid w:val="00814569"/>
    <w:rsid w:val="0081626A"/>
    <w:rsid w:val="008170C4"/>
    <w:rsid w:val="00817DD2"/>
    <w:rsid w:val="00820E62"/>
    <w:rsid w:val="00822F5A"/>
    <w:rsid w:val="00824C39"/>
    <w:rsid w:val="008256AF"/>
    <w:rsid w:val="00825D4F"/>
    <w:rsid w:val="00826363"/>
    <w:rsid w:val="00826D63"/>
    <w:rsid w:val="00832F9D"/>
    <w:rsid w:val="00834070"/>
    <w:rsid w:val="00834D5D"/>
    <w:rsid w:val="008371CF"/>
    <w:rsid w:val="008378B2"/>
    <w:rsid w:val="008400AE"/>
    <w:rsid w:val="00840A24"/>
    <w:rsid w:val="00840A3E"/>
    <w:rsid w:val="00841431"/>
    <w:rsid w:val="0084158B"/>
    <w:rsid w:val="008433A5"/>
    <w:rsid w:val="00843BA5"/>
    <w:rsid w:val="0084448C"/>
    <w:rsid w:val="008456E4"/>
    <w:rsid w:val="00846594"/>
    <w:rsid w:val="0085022A"/>
    <w:rsid w:val="00850F98"/>
    <w:rsid w:val="00854660"/>
    <w:rsid w:val="0085485B"/>
    <w:rsid w:val="00854B34"/>
    <w:rsid w:val="00856441"/>
    <w:rsid w:val="00856F26"/>
    <w:rsid w:val="00866EDD"/>
    <w:rsid w:val="008700F9"/>
    <w:rsid w:val="0087207E"/>
    <w:rsid w:val="00874BEA"/>
    <w:rsid w:val="00875862"/>
    <w:rsid w:val="00875EE4"/>
    <w:rsid w:val="008827AC"/>
    <w:rsid w:val="008832AE"/>
    <w:rsid w:val="008832C6"/>
    <w:rsid w:val="0088526F"/>
    <w:rsid w:val="0088795E"/>
    <w:rsid w:val="00890335"/>
    <w:rsid w:val="00890F04"/>
    <w:rsid w:val="0089194A"/>
    <w:rsid w:val="00891E2C"/>
    <w:rsid w:val="00893BFC"/>
    <w:rsid w:val="00894897"/>
    <w:rsid w:val="00896137"/>
    <w:rsid w:val="0089761D"/>
    <w:rsid w:val="008A1624"/>
    <w:rsid w:val="008A1DC9"/>
    <w:rsid w:val="008A3EA6"/>
    <w:rsid w:val="008A410F"/>
    <w:rsid w:val="008A5266"/>
    <w:rsid w:val="008A556A"/>
    <w:rsid w:val="008B148D"/>
    <w:rsid w:val="008B20D7"/>
    <w:rsid w:val="008B2403"/>
    <w:rsid w:val="008B53F9"/>
    <w:rsid w:val="008C23F6"/>
    <w:rsid w:val="008C2FDE"/>
    <w:rsid w:val="008C5949"/>
    <w:rsid w:val="008C6686"/>
    <w:rsid w:val="008D0469"/>
    <w:rsid w:val="008D05D9"/>
    <w:rsid w:val="008D07BD"/>
    <w:rsid w:val="008D6243"/>
    <w:rsid w:val="008D6D12"/>
    <w:rsid w:val="008E0785"/>
    <w:rsid w:val="008E0DC5"/>
    <w:rsid w:val="008E112A"/>
    <w:rsid w:val="008E2F84"/>
    <w:rsid w:val="008E3145"/>
    <w:rsid w:val="008E6072"/>
    <w:rsid w:val="008E64DB"/>
    <w:rsid w:val="008F05B6"/>
    <w:rsid w:val="008F17E4"/>
    <w:rsid w:val="008F220F"/>
    <w:rsid w:val="008F30A9"/>
    <w:rsid w:val="008F4EF1"/>
    <w:rsid w:val="008F5577"/>
    <w:rsid w:val="008F60E4"/>
    <w:rsid w:val="008F6890"/>
    <w:rsid w:val="00902C62"/>
    <w:rsid w:val="00903C91"/>
    <w:rsid w:val="009052EA"/>
    <w:rsid w:val="00906762"/>
    <w:rsid w:val="00910147"/>
    <w:rsid w:val="009103B0"/>
    <w:rsid w:val="009113E8"/>
    <w:rsid w:val="00912FDD"/>
    <w:rsid w:val="00913C96"/>
    <w:rsid w:val="00913FCE"/>
    <w:rsid w:val="00915EAE"/>
    <w:rsid w:val="009168A3"/>
    <w:rsid w:val="00917F09"/>
    <w:rsid w:val="009202C8"/>
    <w:rsid w:val="00921549"/>
    <w:rsid w:val="00921F18"/>
    <w:rsid w:val="0092379C"/>
    <w:rsid w:val="009256CB"/>
    <w:rsid w:val="0092595E"/>
    <w:rsid w:val="00935045"/>
    <w:rsid w:val="00940FDA"/>
    <w:rsid w:val="0094358A"/>
    <w:rsid w:val="00943802"/>
    <w:rsid w:val="00943832"/>
    <w:rsid w:val="00944DD8"/>
    <w:rsid w:val="00944EF2"/>
    <w:rsid w:val="00945213"/>
    <w:rsid w:val="009547E8"/>
    <w:rsid w:val="00954C25"/>
    <w:rsid w:val="00961E5C"/>
    <w:rsid w:val="00965428"/>
    <w:rsid w:val="00965F57"/>
    <w:rsid w:val="00966DC5"/>
    <w:rsid w:val="009700DD"/>
    <w:rsid w:val="00973CBD"/>
    <w:rsid w:val="0097701F"/>
    <w:rsid w:val="00977D9C"/>
    <w:rsid w:val="00980289"/>
    <w:rsid w:val="00981376"/>
    <w:rsid w:val="0098155E"/>
    <w:rsid w:val="0098186F"/>
    <w:rsid w:val="00983EEF"/>
    <w:rsid w:val="00991936"/>
    <w:rsid w:val="00992241"/>
    <w:rsid w:val="00996063"/>
    <w:rsid w:val="00996380"/>
    <w:rsid w:val="009A1903"/>
    <w:rsid w:val="009A3320"/>
    <w:rsid w:val="009A4F9F"/>
    <w:rsid w:val="009B0271"/>
    <w:rsid w:val="009B0E6C"/>
    <w:rsid w:val="009B1AB7"/>
    <w:rsid w:val="009B483F"/>
    <w:rsid w:val="009B4B77"/>
    <w:rsid w:val="009B4C84"/>
    <w:rsid w:val="009B71EA"/>
    <w:rsid w:val="009B7AC4"/>
    <w:rsid w:val="009C4D42"/>
    <w:rsid w:val="009C57A9"/>
    <w:rsid w:val="009C5E3F"/>
    <w:rsid w:val="009C6C28"/>
    <w:rsid w:val="009C7144"/>
    <w:rsid w:val="009D26B6"/>
    <w:rsid w:val="009D6492"/>
    <w:rsid w:val="009D7142"/>
    <w:rsid w:val="009E08DE"/>
    <w:rsid w:val="009E2899"/>
    <w:rsid w:val="009E2C68"/>
    <w:rsid w:val="009E36A0"/>
    <w:rsid w:val="009E3725"/>
    <w:rsid w:val="009E4794"/>
    <w:rsid w:val="009E494D"/>
    <w:rsid w:val="009F01D6"/>
    <w:rsid w:val="009F0BE1"/>
    <w:rsid w:val="009F1D96"/>
    <w:rsid w:val="009F2B2A"/>
    <w:rsid w:val="009F2E67"/>
    <w:rsid w:val="009F36CD"/>
    <w:rsid w:val="009F4C31"/>
    <w:rsid w:val="009F4D15"/>
    <w:rsid w:val="009F7FA8"/>
    <w:rsid w:val="00A0010B"/>
    <w:rsid w:val="00A0051D"/>
    <w:rsid w:val="00A10A60"/>
    <w:rsid w:val="00A12C0A"/>
    <w:rsid w:val="00A13707"/>
    <w:rsid w:val="00A15CF4"/>
    <w:rsid w:val="00A161A1"/>
    <w:rsid w:val="00A208BC"/>
    <w:rsid w:val="00A20FE8"/>
    <w:rsid w:val="00A214A3"/>
    <w:rsid w:val="00A234F6"/>
    <w:rsid w:val="00A23684"/>
    <w:rsid w:val="00A25609"/>
    <w:rsid w:val="00A26E4B"/>
    <w:rsid w:val="00A276BE"/>
    <w:rsid w:val="00A27E07"/>
    <w:rsid w:val="00A30F2A"/>
    <w:rsid w:val="00A32AA5"/>
    <w:rsid w:val="00A34BED"/>
    <w:rsid w:val="00A34D8D"/>
    <w:rsid w:val="00A355EB"/>
    <w:rsid w:val="00A35697"/>
    <w:rsid w:val="00A3591F"/>
    <w:rsid w:val="00A3623D"/>
    <w:rsid w:val="00A3651D"/>
    <w:rsid w:val="00A36653"/>
    <w:rsid w:val="00A37206"/>
    <w:rsid w:val="00A40702"/>
    <w:rsid w:val="00A41C1C"/>
    <w:rsid w:val="00A42D16"/>
    <w:rsid w:val="00A42FB5"/>
    <w:rsid w:val="00A43FD2"/>
    <w:rsid w:val="00A43FFB"/>
    <w:rsid w:val="00A44510"/>
    <w:rsid w:val="00A460BE"/>
    <w:rsid w:val="00A460E8"/>
    <w:rsid w:val="00A46C4F"/>
    <w:rsid w:val="00A51F89"/>
    <w:rsid w:val="00A52528"/>
    <w:rsid w:val="00A52AA4"/>
    <w:rsid w:val="00A54387"/>
    <w:rsid w:val="00A565BE"/>
    <w:rsid w:val="00A5767F"/>
    <w:rsid w:val="00A63EDB"/>
    <w:rsid w:val="00A65394"/>
    <w:rsid w:val="00A653D9"/>
    <w:rsid w:val="00A66C2C"/>
    <w:rsid w:val="00A66E62"/>
    <w:rsid w:val="00A672BC"/>
    <w:rsid w:val="00A67D79"/>
    <w:rsid w:val="00A706F8"/>
    <w:rsid w:val="00A72F8B"/>
    <w:rsid w:val="00A734B4"/>
    <w:rsid w:val="00A741AD"/>
    <w:rsid w:val="00A81AA1"/>
    <w:rsid w:val="00A81E54"/>
    <w:rsid w:val="00A834DA"/>
    <w:rsid w:val="00A8357E"/>
    <w:rsid w:val="00A91BC0"/>
    <w:rsid w:val="00A94543"/>
    <w:rsid w:val="00A9496B"/>
    <w:rsid w:val="00A94B77"/>
    <w:rsid w:val="00A956BE"/>
    <w:rsid w:val="00A95EF6"/>
    <w:rsid w:val="00A969E4"/>
    <w:rsid w:val="00A97C93"/>
    <w:rsid w:val="00A97D03"/>
    <w:rsid w:val="00AA0455"/>
    <w:rsid w:val="00AA4EB4"/>
    <w:rsid w:val="00AA531F"/>
    <w:rsid w:val="00AA6975"/>
    <w:rsid w:val="00AA7DA3"/>
    <w:rsid w:val="00AB132D"/>
    <w:rsid w:val="00AB2681"/>
    <w:rsid w:val="00AB317D"/>
    <w:rsid w:val="00AB5E4F"/>
    <w:rsid w:val="00AB5F81"/>
    <w:rsid w:val="00AB6174"/>
    <w:rsid w:val="00AB6DA2"/>
    <w:rsid w:val="00AB6EB3"/>
    <w:rsid w:val="00AB7EEF"/>
    <w:rsid w:val="00AC3206"/>
    <w:rsid w:val="00AC4154"/>
    <w:rsid w:val="00AC531D"/>
    <w:rsid w:val="00AC6014"/>
    <w:rsid w:val="00AC74FD"/>
    <w:rsid w:val="00AD3A0D"/>
    <w:rsid w:val="00AE0BF2"/>
    <w:rsid w:val="00AE2811"/>
    <w:rsid w:val="00AE29FC"/>
    <w:rsid w:val="00AE42BD"/>
    <w:rsid w:val="00AE42FA"/>
    <w:rsid w:val="00AE62C7"/>
    <w:rsid w:val="00AE64AA"/>
    <w:rsid w:val="00AE6C8E"/>
    <w:rsid w:val="00AF0554"/>
    <w:rsid w:val="00AF21A7"/>
    <w:rsid w:val="00AF42C4"/>
    <w:rsid w:val="00AF4EDC"/>
    <w:rsid w:val="00AF6771"/>
    <w:rsid w:val="00AF6922"/>
    <w:rsid w:val="00AF78C9"/>
    <w:rsid w:val="00AF7B89"/>
    <w:rsid w:val="00B03585"/>
    <w:rsid w:val="00B038E7"/>
    <w:rsid w:val="00B06167"/>
    <w:rsid w:val="00B105EE"/>
    <w:rsid w:val="00B10CE5"/>
    <w:rsid w:val="00B136FE"/>
    <w:rsid w:val="00B14C60"/>
    <w:rsid w:val="00B201E6"/>
    <w:rsid w:val="00B212B3"/>
    <w:rsid w:val="00B23ECD"/>
    <w:rsid w:val="00B261BF"/>
    <w:rsid w:val="00B27072"/>
    <w:rsid w:val="00B272A6"/>
    <w:rsid w:val="00B3143A"/>
    <w:rsid w:val="00B32F8B"/>
    <w:rsid w:val="00B34F1B"/>
    <w:rsid w:val="00B3515C"/>
    <w:rsid w:val="00B35783"/>
    <w:rsid w:val="00B36D65"/>
    <w:rsid w:val="00B40B02"/>
    <w:rsid w:val="00B42293"/>
    <w:rsid w:val="00B42C34"/>
    <w:rsid w:val="00B440FF"/>
    <w:rsid w:val="00B449BA"/>
    <w:rsid w:val="00B46C6F"/>
    <w:rsid w:val="00B5115D"/>
    <w:rsid w:val="00B51E08"/>
    <w:rsid w:val="00B521D0"/>
    <w:rsid w:val="00B5400B"/>
    <w:rsid w:val="00B54CDB"/>
    <w:rsid w:val="00B55AA2"/>
    <w:rsid w:val="00B56685"/>
    <w:rsid w:val="00B566F5"/>
    <w:rsid w:val="00B577E8"/>
    <w:rsid w:val="00B57F85"/>
    <w:rsid w:val="00B61238"/>
    <w:rsid w:val="00B61EE6"/>
    <w:rsid w:val="00B631C0"/>
    <w:rsid w:val="00B657EC"/>
    <w:rsid w:val="00B65C08"/>
    <w:rsid w:val="00B65FB9"/>
    <w:rsid w:val="00B66112"/>
    <w:rsid w:val="00B70E73"/>
    <w:rsid w:val="00B71258"/>
    <w:rsid w:val="00B72FEF"/>
    <w:rsid w:val="00B746EE"/>
    <w:rsid w:val="00B80744"/>
    <w:rsid w:val="00B8543A"/>
    <w:rsid w:val="00B85EE5"/>
    <w:rsid w:val="00B861DF"/>
    <w:rsid w:val="00B862FC"/>
    <w:rsid w:val="00B86FAA"/>
    <w:rsid w:val="00B86FC4"/>
    <w:rsid w:val="00B90A44"/>
    <w:rsid w:val="00B916ED"/>
    <w:rsid w:val="00B93A23"/>
    <w:rsid w:val="00B94AE3"/>
    <w:rsid w:val="00B95F18"/>
    <w:rsid w:val="00B96B46"/>
    <w:rsid w:val="00B96DB0"/>
    <w:rsid w:val="00B96F6C"/>
    <w:rsid w:val="00B977F0"/>
    <w:rsid w:val="00BA0472"/>
    <w:rsid w:val="00BA30A9"/>
    <w:rsid w:val="00BA4803"/>
    <w:rsid w:val="00BA57AA"/>
    <w:rsid w:val="00BA7562"/>
    <w:rsid w:val="00BB07B3"/>
    <w:rsid w:val="00BB13EF"/>
    <w:rsid w:val="00BB2EC5"/>
    <w:rsid w:val="00BB361C"/>
    <w:rsid w:val="00BB3DE9"/>
    <w:rsid w:val="00BB3FF7"/>
    <w:rsid w:val="00BB4185"/>
    <w:rsid w:val="00BB5BB2"/>
    <w:rsid w:val="00BC48D7"/>
    <w:rsid w:val="00BC644D"/>
    <w:rsid w:val="00BC65A6"/>
    <w:rsid w:val="00BD1A1E"/>
    <w:rsid w:val="00BD1C0C"/>
    <w:rsid w:val="00BD3A6B"/>
    <w:rsid w:val="00BD58C8"/>
    <w:rsid w:val="00BD5984"/>
    <w:rsid w:val="00BD7BD0"/>
    <w:rsid w:val="00BD7DFD"/>
    <w:rsid w:val="00BE06DE"/>
    <w:rsid w:val="00BE1102"/>
    <w:rsid w:val="00BE5BC7"/>
    <w:rsid w:val="00BE74FD"/>
    <w:rsid w:val="00BE78DF"/>
    <w:rsid w:val="00BE7CA6"/>
    <w:rsid w:val="00BE7CD5"/>
    <w:rsid w:val="00BF0D46"/>
    <w:rsid w:val="00BF22B9"/>
    <w:rsid w:val="00BF2824"/>
    <w:rsid w:val="00BF4269"/>
    <w:rsid w:val="00BF65C5"/>
    <w:rsid w:val="00C011A9"/>
    <w:rsid w:val="00C01F2A"/>
    <w:rsid w:val="00C03E36"/>
    <w:rsid w:val="00C04585"/>
    <w:rsid w:val="00C0531E"/>
    <w:rsid w:val="00C07542"/>
    <w:rsid w:val="00C07BE5"/>
    <w:rsid w:val="00C1027C"/>
    <w:rsid w:val="00C124E3"/>
    <w:rsid w:val="00C21A9A"/>
    <w:rsid w:val="00C22500"/>
    <w:rsid w:val="00C22539"/>
    <w:rsid w:val="00C235E9"/>
    <w:rsid w:val="00C23F47"/>
    <w:rsid w:val="00C25392"/>
    <w:rsid w:val="00C25C43"/>
    <w:rsid w:val="00C262DD"/>
    <w:rsid w:val="00C2742E"/>
    <w:rsid w:val="00C34F43"/>
    <w:rsid w:val="00C3557F"/>
    <w:rsid w:val="00C3578B"/>
    <w:rsid w:val="00C35ED1"/>
    <w:rsid w:val="00C36542"/>
    <w:rsid w:val="00C36EB2"/>
    <w:rsid w:val="00C404F9"/>
    <w:rsid w:val="00C40FF1"/>
    <w:rsid w:val="00C43FA6"/>
    <w:rsid w:val="00C44B40"/>
    <w:rsid w:val="00C46609"/>
    <w:rsid w:val="00C47B6E"/>
    <w:rsid w:val="00C5045C"/>
    <w:rsid w:val="00C554DC"/>
    <w:rsid w:val="00C56D8E"/>
    <w:rsid w:val="00C57B6F"/>
    <w:rsid w:val="00C6064B"/>
    <w:rsid w:val="00C61BBA"/>
    <w:rsid w:val="00C62906"/>
    <w:rsid w:val="00C65691"/>
    <w:rsid w:val="00C67B35"/>
    <w:rsid w:val="00C702B3"/>
    <w:rsid w:val="00C7077D"/>
    <w:rsid w:val="00C73F31"/>
    <w:rsid w:val="00C7591E"/>
    <w:rsid w:val="00C75A08"/>
    <w:rsid w:val="00C75EE7"/>
    <w:rsid w:val="00C855F7"/>
    <w:rsid w:val="00C87531"/>
    <w:rsid w:val="00C90588"/>
    <w:rsid w:val="00C91A6C"/>
    <w:rsid w:val="00C91C1D"/>
    <w:rsid w:val="00C93E13"/>
    <w:rsid w:val="00C93F78"/>
    <w:rsid w:val="00C955FB"/>
    <w:rsid w:val="00C9599D"/>
    <w:rsid w:val="00C96A3B"/>
    <w:rsid w:val="00CA0B79"/>
    <w:rsid w:val="00CA2B3B"/>
    <w:rsid w:val="00CA44BC"/>
    <w:rsid w:val="00CA4700"/>
    <w:rsid w:val="00CA7678"/>
    <w:rsid w:val="00CB0C6A"/>
    <w:rsid w:val="00CB1094"/>
    <w:rsid w:val="00CB54B9"/>
    <w:rsid w:val="00CC3941"/>
    <w:rsid w:val="00CC3E94"/>
    <w:rsid w:val="00CC675C"/>
    <w:rsid w:val="00CD1BCC"/>
    <w:rsid w:val="00CD37E3"/>
    <w:rsid w:val="00CD4454"/>
    <w:rsid w:val="00CD4A6A"/>
    <w:rsid w:val="00CD668F"/>
    <w:rsid w:val="00CE250F"/>
    <w:rsid w:val="00CE35E9"/>
    <w:rsid w:val="00CE4773"/>
    <w:rsid w:val="00CE4D82"/>
    <w:rsid w:val="00CE5977"/>
    <w:rsid w:val="00CE5C3D"/>
    <w:rsid w:val="00CF0810"/>
    <w:rsid w:val="00CF099A"/>
    <w:rsid w:val="00CF273A"/>
    <w:rsid w:val="00CF2BFC"/>
    <w:rsid w:val="00CF2CC1"/>
    <w:rsid w:val="00CF379D"/>
    <w:rsid w:val="00CF3E5B"/>
    <w:rsid w:val="00CF6FF1"/>
    <w:rsid w:val="00CF71F5"/>
    <w:rsid w:val="00D029B2"/>
    <w:rsid w:val="00D02B58"/>
    <w:rsid w:val="00D02DF8"/>
    <w:rsid w:val="00D03E8E"/>
    <w:rsid w:val="00D05D84"/>
    <w:rsid w:val="00D13D63"/>
    <w:rsid w:val="00D14270"/>
    <w:rsid w:val="00D15061"/>
    <w:rsid w:val="00D156B1"/>
    <w:rsid w:val="00D1629F"/>
    <w:rsid w:val="00D207F1"/>
    <w:rsid w:val="00D2412F"/>
    <w:rsid w:val="00D24D88"/>
    <w:rsid w:val="00D25E41"/>
    <w:rsid w:val="00D26DA8"/>
    <w:rsid w:val="00D40D3B"/>
    <w:rsid w:val="00D43B9B"/>
    <w:rsid w:val="00D44816"/>
    <w:rsid w:val="00D503DA"/>
    <w:rsid w:val="00D57A4D"/>
    <w:rsid w:val="00D61D30"/>
    <w:rsid w:val="00D628B4"/>
    <w:rsid w:val="00D6381C"/>
    <w:rsid w:val="00D63BB9"/>
    <w:rsid w:val="00D64C25"/>
    <w:rsid w:val="00D7079C"/>
    <w:rsid w:val="00D72E4B"/>
    <w:rsid w:val="00D73C43"/>
    <w:rsid w:val="00D74DE3"/>
    <w:rsid w:val="00D7645F"/>
    <w:rsid w:val="00D833B5"/>
    <w:rsid w:val="00D84A8C"/>
    <w:rsid w:val="00D85ADC"/>
    <w:rsid w:val="00D8719D"/>
    <w:rsid w:val="00D93A70"/>
    <w:rsid w:val="00D941E1"/>
    <w:rsid w:val="00D94FF7"/>
    <w:rsid w:val="00D9538C"/>
    <w:rsid w:val="00D965C6"/>
    <w:rsid w:val="00D96A67"/>
    <w:rsid w:val="00DA39F8"/>
    <w:rsid w:val="00DA3E0D"/>
    <w:rsid w:val="00DA4115"/>
    <w:rsid w:val="00DA495A"/>
    <w:rsid w:val="00DA5590"/>
    <w:rsid w:val="00DA73DC"/>
    <w:rsid w:val="00DB0885"/>
    <w:rsid w:val="00DB1B47"/>
    <w:rsid w:val="00DB213A"/>
    <w:rsid w:val="00DB5125"/>
    <w:rsid w:val="00DB57B8"/>
    <w:rsid w:val="00DB7499"/>
    <w:rsid w:val="00DB7B0B"/>
    <w:rsid w:val="00DC2B5E"/>
    <w:rsid w:val="00DC2EA3"/>
    <w:rsid w:val="00DC5C02"/>
    <w:rsid w:val="00DC6AED"/>
    <w:rsid w:val="00DD3659"/>
    <w:rsid w:val="00DD481E"/>
    <w:rsid w:val="00DD67D8"/>
    <w:rsid w:val="00DE0778"/>
    <w:rsid w:val="00DE484A"/>
    <w:rsid w:val="00DE6546"/>
    <w:rsid w:val="00DE674E"/>
    <w:rsid w:val="00DE7DA5"/>
    <w:rsid w:val="00DF05B7"/>
    <w:rsid w:val="00DF095E"/>
    <w:rsid w:val="00DF17DC"/>
    <w:rsid w:val="00DF50F1"/>
    <w:rsid w:val="00DF54F5"/>
    <w:rsid w:val="00DF7E04"/>
    <w:rsid w:val="00E01381"/>
    <w:rsid w:val="00E020AC"/>
    <w:rsid w:val="00E04CAF"/>
    <w:rsid w:val="00E0597E"/>
    <w:rsid w:val="00E06D43"/>
    <w:rsid w:val="00E07263"/>
    <w:rsid w:val="00E07803"/>
    <w:rsid w:val="00E10F08"/>
    <w:rsid w:val="00E167F0"/>
    <w:rsid w:val="00E17099"/>
    <w:rsid w:val="00E223A3"/>
    <w:rsid w:val="00E234D5"/>
    <w:rsid w:val="00E23D13"/>
    <w:rsid w:val="00E242C0"/>
    <w:rsid w:val="00E2583B"/>
    <w:rsid w:val="00E258C2"/>
    <w:rsid w:val="00E30120"/>
    <w:rsid w:val="00E302CA"/>
    <w:rsid w:val="00E3162A"/>
    <w:rsid w:val="00E32D7C"/>
    <w:rsid w:val="00E33FF2"/>
    <w:rsid w:val="00E4219D"/>
    <w:rsid w:val="00E42327"/>
    <w:rsid w:val="00E43ED6"/>
    <w:rsid w:val="00E532E0"/>
    <w:rsid w:val="00E53998"/>
    <w:rsid w:val="00E53F57"/>
    <w:rsid w:val="00E55970"/>
    <w:rsid w:val="00E60E80"/>
    <w:rsid w:val="00E63396"/>
    <w:rsid w:val="00E66037"/>
    <w:rsid w:val="00E66257"/>
    <w:rsid w:val="00E6677D"/>
    <w:rsid w:val="00E67EA9"/>
    <w:rsid w:val="00E70186"/>
    <w:rsid w:val="00E7069A"/>
    <w:rsid w:val="00E72436"/>
    <w:rsid w:val="00E7301A"/>
    <w:rsid w:val="00E743B7"/>
    <w:rsid w:val="00E7677F"/>
    <w:rsid w:val="00E772D0"/>
    <w:rsid w:val="00E77A77"/>
    <w:rsid w:val="00E81E95"/>
    <w:rsid w:val="00E8323A"/>
    <w:rsid w:val="00E83961"/>
    <w:rsid w:val="00E84BB3"/>
    <w:rsid w:val="00E85AE4"/>
    <w:rsid w:val="00E87F68"/>
    <w:rsid w:val="00E92B81"/>
    <w:rsid w:val="00E93E08"/>
    <w:rsid w:val="00E95CB2"/>
    <w:rsid w:val="00E96697"/>
    <w:rsid w:val="00EA0011"/>
    <w:rsid w:val="00EA03F4"/>
    <w:rsid w:val="00EA0B1D"/>
    <w:rsid w:val="00EA1343"/>
    <w:rsid w:val="00EA36FA"/>
    <w:rsid w:val="00EA5713"/>
    <w:rsid w:val="00EB2C7E"/>
    <w:rsid w:val="00EB4A93"/>
    <w:rsid w:val="00EB7314"/>
    <w:rsid w:val="00EC1382"/>
    <w:rsid w:val="00EC40A1"/>
    <w:rsid w:val="00ED055C"/>
    <w:rsid w:val="00ED0E51"/>
    <w:rsid w:val="00ED1DCA"/>
    <w:rsid w:val="00ED28A9"/>
    <w:rsid w:val="00ED3485"/>
    <w:rsid w:val="00ED3F66"/>
    <w:rsid w:val="00ED4930"/>
    <w:rsid w:val="00ED596E"/>
    <w:rsid w:val="00ED629F"/>
    <w:rsid w:val="00EE1039"/>
    <w:rsid w:val="00EE2A50"/>
    <w:rsid w:val="00EE4A04"/>
    <w:rsid w:val="00EF1656"/>
    <w:rsid w:val="00EF270A"/>
    <w:rsid w:val="00EF35FC"/>
    <w:rsid w:val="00EF66D4"/>
    <w:rsid w:val="00F02064"/>
    <w:rsid w:val="00F06D8C"/>
    <w:rsid w:val="00F10DDA"/>
    <w:rsid w:val="00F111FF"/>
    <w:rsid w:val="00F1306A"/>
    <w:rsid w:val="00F14F81"/>
    <w:rsid w:val="00F255C8"/>
    <w:rsid w:val="00F25923"/>
    <w:rsid w:val="00F25CC8"/>
    <w:rsid w:val="00F26970"/>
    <w:rsid w:val="00F279E9"/>
    <w:rsid w:val="00F34534"/>
    <w:rsid w:val="00F40880"/>
    <w:rsid w:val="00F42498"/>
    <w:rsid w:val="00F42780"/>
    <w:rsid w:val="00F4676A"/>
    <w:rsid w:val="00F47258"/>
    <w:rsid w:val="00F50727"/>
    <w:rsid w:val="00F52476"/>
    <w:rsid w:val="00F52842"/>
    <w:rsid w:val="00F5330F"/>
    <w:rsid w:val="00F537BD"/>
    <w:rsid w:val="00F54C90"/>
    <w:rsid w:val="00F559FB"/>
    <w:rsid w:val="00F56758"/>
    <w:rsid w:val="00F56B70"/>
    <w:rsid w:val="00F57740"/>
    <w:rsid w:val="00F62A1F"/>
    <w:rsid w:val="00F63B68"/>
    <w:rsid w:val="00F6447E"/>
    <w:rsid w:val="00F64648"/>
    <w:rsid w:val="00F65152"/>
    <w:rsid w:val="00F66993"/>
    <w:rsid w:val="00F67035"/>
    <w:rsid w:val="00F67A02"/>
    <w:rsid w:val="00F67DFC"/>
    <w:rsid w:val="00F706D2"/>
    <w:rsid w:val="00F70A08"/>
    <w:rsid w:val="00F7237A"/>
    <w:rsid w:val="00F736F8"/>
    <w:rsid w:val="00F769C7"/>
    <w:rsid w:val="00F76E19"/>
    <w:rsid w:val="00F815FC"/>
    <w:rsid w:val="00F86A3F"/>
    <w:rsid w:val="00F87A8F"/>
    <w:rsid w:val="00F901CA"/>
    <w:rsid w:val="00F91151"/>
    <w:rsid w:val="00F922F1"/>
    <w:rsid w:val="00F92791"/>
    <w:rsid w:val="00F93B0F"/>
    <w:rsid w:val="00F93E2A"/>
    <w:rsid w:val="00F94381"/>
    <w:rsid w:val="00F96499"/>
    <w:rsid w:val="00F97BFF"/>
    <w:rsid w:val="00FA01F0"/>
    <w:rsid w:val="00FA0636"/>
    <w:rsid w:val="00FA1E2A"/>
    <w:rsid w:val="00FA31C3"/>
    <w:rsid w:val="00FA565A"/>
    <w:rsid w:val="00FA5BAB"/>
    <w:rsid w:val="00FA64B0"/>
    <w:rsid w:val="00FA6BBB"/>
    <w:rsid w:val="00FB103D"/>
    <w:rsid w:val="00FB151C"/>
    <w:rsid w:val="00FB21A9"/>
    <w:rsid w:val="00FB38FE"/>
    <w:rsid w:val="00FB3F22"/>
    <w:rsid w:val="00FB401D"/>
    <w:rsid w:val="00FB7B50"/>
    <w:rsid w:val="00FC0480"/>
    <w:rsid w:val="00FC0D75"/>
    <w:rsid w:val="00FC1256"/>
    <w:rsid w:val="00FC315E"/>
    <w:rsid w:val="00FC3C4D"/>
    <w:rsid w:val="00FC6D17"/>
    <w:rsid w:val="00FC7365"/>
    <w:rsid w:val="00FE0B95"/>
    <w:rsid w:val="00FE2E8F"/>
    <w:rsid w:val="00FE376D"/>
    <w:rsid w:val="00FE4F71"/>
    <w:rsid w:val="00FE6B43"/>
    <w:rsid w:val="00FE7897"/>
    <w:rsid w:val="00FF2152"/>
    <w:rsid w:val="00FF2178"/>
    <w:rsid w:val="00FF2D07"/>
    <w:rsid w:val="00FF4CAB"/>
    <w:rsid w:val="00FF6743"/>
    <w:rsid w:val="00FF6B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DBCCD1-4BE9-42CF-81E0-3ADC8FAFC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C5C02"/>
  </w:style>
  <w:style w:type="paragraph" w:styleId="Nagwek1">
    <w:name w:val="heading 1"/>
    <w:basedOn w:val="Normalny"/>
    <w:next w:val="Normalny"/>
    <w:link w:val="Nagwek1Znak"/>
    <w:uiPriority w:val="9"/>
    <w:qFormat/>
    <w:rsid w:val="00875EE4"/>
    <w:pPr>
      <w:keepNext/>
      <w:keepLines/>
      <w:spacing w:before="240" w:after="0"/>
      <w:outlineLvl w:val="0"/>
    </w:pPr>
    <w:rPr>
      <w:rFonts w:ascii="Times New Roman" w:eastAsiaTheme="majorEastAsia" w:hAnsi="Times New Roman" w:cstheme="majorBidi"/>
      <w:b/>
      <w:sz w:val="24"/>
      <w:szCs w:val="32"/>
    </w:rPr>
  </w:style>
  <w:style w:type="paragraph" w:styleId="Nagwek2">
    <w:name w:val="heading 2"/>
    <w:basedOn w:val="Normalny"/>
    <w:next w:val="Normalny"/>
    <w:link w:val="Nagwek2Znak"/>
    <w:uiPriority w:val="9"/>
    <w:unhideWhenUsed/>
    <w:qFormat/>
    <w:rsid w:val="00875EE4"/>
    <w:pPr>
      <w:keepNext/>
      <w:keepLines/>
      <w:spacing w:before="40" w:after="0"/>
      <w:outlineLvl w:val="1"/>
    </w:pPr>
    <w:rPr>
      <w:rFonts w:ascii="Times New Roman" w:eastAsiaTheme="majorEastAsia" w:hAnsi="Times New Roman" w:cstheme="majorBidi"/>
      <w:b/>
      <w:sz w:val="24"/>
      <w:szCs w:val="26"/>
    </w:rPr>
  </w:style>
  <w:style w:type="paragraph" w:styleId="Nagwek3">
    <w:name w:val="heading 3"/>
    <w:basedOn w:val="Normalny"/>
    <w:next w:val="Normalny"/>
    <w:link w:val="Nagwek3Znak"/>
    <w:uiPriority w:val="9"/>
    <w:unhideWhenUsed/>
    <w:qFormat/>
    <w:rsid w:val="00133086"/>
    <w:pPr>
      <w:keepNext/>
      <w:keepLines/>
      <w:spacing w:before="40" w:after="0"/>
      <w:outlineLvl w:val="2"/>
    </w:pPr>
    <w:rPr>
      <w:rFonts w:ascii="Times New Roman" w:eastAsiaTheme="majorEastAsia" w:hAnsi="Times New Roman" w:cstheme="majorBidi"/>
      <w:b/>
      <w:i/>
      <w:color w:val="000000" w:themeColor="text1"/>
      <w:sz w:val="24"/>
      <w:szCs w:val="24"/>
    </w:rPr>
  </w:style>
  <w:style w:type="paragraph" w:styleId="Nagwek4">
    <w:name w:val="heading 4"/>
    <w:basedOn w:val="Normalny"/>
    <w:next w:val="Normalny"/>
    <w:link w:val="Nagwek4Znak"/>
    <w:uiPriority w:val="9"/>
    <w:unhideWhenUsed/>
    <w:qFormat/>
    <w:rsid w:val="00FE4F7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ust1">
    <w:name w:val="ust1"/>
    <w:basedOn w:val="Normalny"/>
    <w:rsid w:val="005E6790"/>
    <w:pPr>
      <w:overflowPunct w:val="0"/>
      <w:autoSpaceDE w:val="0"/>
      <w:autoSpaceDN w:val="0"/>
      <w:adjustRightInd w:val="0"/>
      <w:spacing w:after="80" w:line="240" w:lineRule="auto"/>
      <w:ind w:left="426" w:hanging="369"/>
      <w:jc w:val="both"/>
      <w:textAlignment w:val="baseline"/>
    </w:pPr>
    <w:rPr>
      <w:rFonts w:ascii="Times New Roman" w:eastAsia="Calibri" w:hAnsi="Times New Roman" w:cs="Times New Roman"/>
      <w:sz w:val="24"/>
      <w:szCs w:val="20"/>
      <w:lang w:eastAsia="pl-PL"/>
    </w:rPr>
  </w:style>
  <w:style w:type="paragraph" w:styleId="Akapitzlist">
    <w:name w:val="List Paragraph"/>
    <w:basedOn w:val="Normalny"/>
    <w:link w:val="AkapitzlistZnak"/>
    <w:uiPriority w:val="34"/>
    <w:qFormat/>
    <w:rsid w:val="00CD1BCC"/>
    <w:pPr>
      <w:ind w:left="720"/>
      <w:contextualSpacing/>
    </w:pPr>
  </w:style>
  <w:style w:type="character" w:styleId="Odwoaniedokomentarza">
    <w:name w:val="annotation reference"/>
    <w:basedOn w:val="Domylnaczcionkaakapitu"/>
    <w:uiPriority w:val="99"/>
    <w:unhideWhenUsed/>
    <w:qFormat/>
    <w:rsid w:val="00506C38"/>
    <w:rPr>
      <w:sz w:val="16"/>
      <w:szCs w:val="16"/>
    </w:rPr>
  </w:style>
  <w:style w:type="paragraph" w:styleId="Tekstkomentarza">
    <w:name w:val="annotation text"/>
    <w:basedOn w:val="Normalny"/>
    <w:link w:val="TekstkomentarzaZnak"/>
    <w:uiPriority w:val="99"/>
    <w:unhideWhenUsed/>
    <w:qFormat/>
    <w:rsid w:val="00506C38"/>
    <w:pPr>
      <w:spacing w:line="240" w:lineRule="auto"/>
    </w:pPr>
    <w:rPr>
      <w:sz w:val="20"/>
      <w:szCs w:val="20"/>
    </w:rPr>
  </w:style>
  <w:style w:type="character" w:customStyle="1" w:styleId="TekstkomentarzaZnak">
    <w:name w:val="Tekst komentarza Znak"/>
    <w:basedOn w:val="Domylnaczcionkaakapitu"/>
    <w:link w:val="Tekstkomentarza"/>
    <w:uiPriority w:val="99"/>
    <w:rsid w:val="00506C38"/>
    <w:rPr>
      <w:sz w:val="20"/>
      <w:szCs w:val="20"/>
    </w:rPr>
  </w:style>
  <w:style w:type="paragraph" w:styleId="Tematkomentarza">
    <w:name w:val="annotation subject"/>
    <w:basedOn w:val="Tekstkomentarza"/>
    <w:next w:val="Tekstkomentarza"/>
    <w:link w:val="TematkomentarzaZnak"/>
    <w:uiPriority w:val="99"/>
    <w:semiHidden/>
    <w:unhideWhenUsed/>
    <w:rsid w:val="00506C38"/>
    <w:rPr>
      <w:b/>
      <w:bCs/>
    </w:rPr>
  </w:style>
  <w:style w:type="character" w:customStyle="1" w:styleId="TematkomentarzaZnak">
    <w:name w:val="Temat komentarza Znak"/>
    <w:basedOn w:val="TekstkomentarzaZnak"/>
    <w:link w:val="Tematkomentarza"/>
    <w:uiPriority w:val="99"/>
    <w:semiHidden/>
    <w:rsid w:val="00506C38"/>
    <w:rPr>
      <w:b/>
      <w:bCs/>
      <w:sz w:val="20"/>
      <w:szCs w:val="20"/>
    </w:rPr>
  </w:style>
  <w:style w:type="paragraph" w:styleId="Tekstdymka">
    <w:name w:val="Balloon Text"/>
    <w:basedOn w:val="Normalny"/>
    <w:link w:val="TekstdymkaZnak"/>
    <w:uiPriority w:val="99"/>
    <w:semiHidden/>
    <w:unhideWhenUsed/>
    <w:rsid w:val="00506C3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6C38"/>
    <w:rPr>
      <w:rFonts w:ascii="Tahoma" w:hAnsi="Tahoma" w:cs="Tahoma"/>
      <w:sz w:val="16"/>
      <w:szCs w:val="16"/>
    </w:rPr>
  </w:style>
  <w:style w:type="table" w:customStyle="1" w:styleId="Tabela-Siatka1">
    <w:name w:val="Tabela - Siatka1"/>
    <w:basedOn w:val="Standardowy"/>
    <w:next w:val="Tabela-Siatka"/>
    <w:uiPriority w:val="59"/>
    <w:rsid w:val="00101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101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91014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910147"/>
    <w:rPr>
      <w:sz w:val="20"/>
      <w:szCs w:val="20"/>
    </w:rPr>
  </w:style>
  <w:style w:type="character" w:styleId="Odwoanieprzypisudolnego">
    <w:name w:val="footnote reference"/>
    <w:aliases w:val="przypisy dolne"/>
    <w:basedOn w:val="Domylnaczcionkaakapitu"/>
    <w:uiPriority w:val="99"/>
    <w:unhideWhenUsed/>
    <w:rsid w:val="00910147"/>
    <w:rPr>
      <w:vertAlign w:val="superscript"/>
    </w:rPr>
  </w:style>
  <w:style w:type="paragraph" w:styleId="Nagwek">
    <w:name w:val="header"/>
    <w:basedOn w:val="Normalny"/>
    <w:link w:val="NagwekZnak"/>
    <w:uiPriority w:val="99"/>
    <w:unhideWhenUsed/>
    <w:rsid w:val="007D76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764B"/>
  </w:style>
  <w:style w:type="paragraph" w:styleId="Stopka">
    <w:name w:val="footer"/>
    <w:basedOn w:val="Normalny"/>
    <w:link w:val="StopkaZnak"/>
    <w:uiPriority w:val="99"/>
    <w:unhideWhenUsed/>
    <w:rsid w:val="007D76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764B"/>
  </w:style>
  <w:style w:type="paragraph" w:customStyle="1" w:styleId="ARTartustawynprozporzdzenia">
    <w:name w:val="ART(§) – art. ustawy (§ np. rozporządzenia)"/>
    <w:uiPriority w:val="11"/>
    <w:qFormat/>
    <w:rsid w:val="006E46D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551108"/>
    <w:pPr>
      <w:spacing w:after="0" w:line="360" w:lineRule="auto"/>
      <w:ind w:left="1020" w:hanging="510"/>
      <w:jc w:val="both"/>
    </w:pPr>
    <w:rPr>
      <w:rFonts w:ascii="Times" w:eastAsiaTheme="minorEastAsia" w:hAnsi="Times" w:cs="Arial"/>
      <w:bCs/>
      <w:sz w:val="24"/>
      <w:szCs w:val="20"/>
      <w:lang w:eastAsia="pl-PL"/>
    </w:rPr>
  </w:style>
  <w:style w:type="character" w:styleId="Hipercze">
    <w:name w:val="Hyperlink"/>
    <w:basedOn w:val="Domylnaczcionkaakapitu"/>
    <w:uiPriority w:val="99"/>
    <w:unhideWhenUsed/>
    <w:rsid w:val="00416F4E"/>
    <w:rPr>
      <w:color w:val="0563C1" w:themeColor="hyperlink"/>
      <w:u w:val="single"/>
    </w:rPr>
  </w:style>
  <w:style w:type="character" w:customStyle="1" w:styleId="Ppogrubienie">
    <w:name w:val="_P_ – pogrubienie"/>
    <w:basedOn w:val="Domylnaczcionkaakapitu"/>
    <w:uiPriority w:val="1"/>
    <w:qFormat/>
    <w:rsid w:val="0011234F"/>
    <w:rPr>
      <w:b/>
    </w:rPr>
  </w:style>
  <w:style w:type="paragraph" w:styleId="Poprawka">
    <w:name w:val="Revision"/>
    <w:hidden/>
    <w:uiPriority w:val="99"/>
    <w:semiHidden/>
    <w:rsid w:val="00F67035"/>
    <w:pPr>
      <w:spacing w:after="0" w:line="240" w:lineRule="auto"/>
    </w:pPr>
  </w:style>
  <w:style w:type="paragraph" w:styleId="NormalnyWeb">
    <w:name w:val="Normal (Web)"/>
    <w:basedOn w:val="Normalny"/>
    <w:rsid w:val="007340B8"/>
    <w:pPr>
      <w:spacing w:before="150" w:after="0" w:line="240" w:lineRule="auto"/>
    </w:pPr>
    <w:rPr>
      <w:rFonts w:ascii="Arial" w:eastAsia="Times New Roman" w:hAnsi="Arial" w:cs="Arial"/>
      <w:color w:val="000000"/>
      <w:sz w:val="24"/>
      <w:szCs w:val="24"/>
      <w:lang w:eastAsia="pl-PL"/>
    </w:rPr>
  </w:style>
  <w:style w:type="character" w:styleId="Tekstzastpczy">
    <w:name w:val="Placeholder Text"/>
    <w:basedOn w:val="Domylnaczcionkaakapitu"/>
    <w:uiPriority w:val="99"/>
    <w:semiHidden/>
    <w:rsid w:val="00DA5590"/>
    <w:rPr>
      <w:color w:val="808080"/>
    </w:rPr>
  </w:style>
  <w:style w:type="paragraph" w:customStyle="1" w:styleId="Standard">
    <w:name w:val="Standard"/>
    <w:rsid w:val="00334535"/>
    <w:pPr>
      <w:suppressAutoHyphens/>
      <w:autoSpaceDN w:val="0"/>
      <w:spacing w:line="252" w:lineRule="auto"/>
    </w:pPr>
    <w:rPr>
      <w:rFonts w:ascii="Calibri" w:eastAsia="SimSun" w:hAnsi="Calibri" w:cs="Tahoma"/>
      <w:kern w:val="3"/>
    </w:rPr>
  </w:style>
  <w:style w:type="numbering" w:customStyle="1" w:styleId="WWNum20">
    <w:name w:val="WWNum20"/>
    <w:rsid w:val="00334535"/>
    <w:pPr>
      <w:numPr>
        <w:numId w:val="7"/>
      </w:numPr>
    </w:pPr>
  </w:style>
  <w:style w:type="paragraph" w:customStyle="1" w:styleId="ZARTzmartartykuempunktem">
    <w:name w:val="Z/ART(§) – zm. art. (§) artykułem (punktem)"/>
    <w:basedOn w:val="ARTartustawynprozporzdzenia"/>
    <w:uiPriority w:val="30"/>
    <w:qFormat/>
    <w:rsid w:val="0045748A"/>
    <w:pPr>
      <w:spacing w:before="0"/>
      <w:ind w:left="510"/>
    </w:pPr>
  </w:style>
  <w:style w:type="character" w:customStyle="1" w:styleId="Nagwek1Znak">
    <w:name w:val="Nagłówek 1 Znak"/>
    <w:basedOn w:val="Domylnaczcionkaakapitu"/>
    <w:link w:val="Nagwek1"/>
    <w:uiPriority w:val="9"/>
    <w:rsid w:val="00D05D84"/>
    <w:rPr>
      <w:rFonts w:ascii="Times New Roman" w:eastAsiaTheme="majorEastAsia" w:hAnsi="Times New Roman" w:cstheme="majorBidi"/>
      <w:b/>
      <w:sz w:val="24"/>
      <w:szCs w:val="32"/>
    </w:rPr>
  </w:style>
  <w:style w:type="character" w:customStyle="1" w:styleId="Nagwek2Znak">
    <w:name w:val="Nagłówek 2 Znak"/>
    <w:basedOn w:val="Domylnaczcionkaakapitu"/>
    <w:link w:val="Nagwek2"/>
    <w:uiPriority w:val="9"/>
    <w:rsid w:val="00D05D84"/>
    <w:rPr>
      <w:rFonts w:ascii="Times New Roman" w:eastAsiaTheme="majorEastAsia" w:hAnsi="Times New Roman" w:cstheme="majorBidi"/>
      <w:b/>
      <w:sz w:val="24"/>
      <w:szCs w:val="26"/>
    </w:rPr>
  </w:style>
  <w:style w:type="character" w:customStyle="1" w:styleId="Nagwek3Znak">
    <w:name w:val="Nagłówek 3 Znak"/>
    <w:basedOn w:val="Domylnaczcionkaakapitu"/>
    <w:link w:val="Nagwek3"/>
    <w:uiPriority w:val="9"/>
    <w:rsid w:val="00133086"/>
    <w:rPr>
      <w:rFonts w:ascii="Times New Roman" w:eastAsiaTheme="majorEastAsia" w:hAnsi="Times New Roman" w:cstheme="majorBidi"/>
      <w:b/>
      <w:i/>
      <w:color w:val="000000" w:themeColor="text1"/>
      <w:sz w:val="24"/>
      <w:szCs w:val="24"/>
    </w:rPr>
  </w:style>
  <w:style w:type="character" w:customStyle="1" w:styleId="Nagwek4Znak">
    <w:name w:val="Nagłówek 4 Znak"/>
    <w:basedOn w:val="Domylnaczcionkaakapitu"/>
    <w:link w:val="Nagwek4"/>
    <w:uiPriority w:val="9"/>
    <w:rsid w:val="00FE4F71"/>
    <w:rPr>
      <w:rFonts w:asciiTheme="majorHAnsi" w:eastAsiaTheme="majorEastAsia" w:hAnsiTheme="majorHAnsi" w:cstheme="majorBidi"/>
      <w:i/>
      <w:iCs/>
      <w:color w:val="2E74B5" w:themeColor="accent1" w:themeShade="BF"/>
    </w:rPr>
  </w:style>
  <w:style w:type="paragraph" w:styleId="Tekstprzypisukocowego">
    <w:name w:val="endnote text"/>
    <w:basedOn w:val="Normalny"/>
    <w:link w:val="TekstprzypisukocowegoZnak"/>
    <w:uiPriority w:val="99"/>
    <w:semiHidden/>
    <w:unhideWhenUsed/>
    <w:rsid w:val="00FE4F7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E4F71"/>
    <w:rPr>
      <w:sz w:val="20"/>
      <w:szCs w:val="20"/>
    </w:rPr>
  </w:style>
  <w:style w:type="character" w:styleId="Odwoanieprzypisukocowego">
    <w:name w:val="endnote reference"/>
    <w:basedOn w:val="Domylnaczcionkaakapitu"/>
    <w:uiPriority w:val="99"/>
    <w:semiHidden/>
    <w:unhideWhenUsed/>
    <w:rsid w:val="00FE4F71"/>
    <w:rPr>
      <w:vertAlign w:val="superscript"/>
    </w:rPr>
  </w:style>
  <w:style w:type="character" w:customStyle="1" w:styleId="AkapitzlistZnak">
    <w:name w:val="Akapit z listą Znak"/>
    <w:basedOn w:val="Domylnaczcionkaakapitu"/>
    <w:link w:val="Akapitzlist"/>
    <w:uiPriority w:val="34"/>
    <w:rsid w:val="00FE4F71"/>
  </w:style>
  <w:style w:type="paragraph" w:customStyle="1" w:styleId="ZUSTzmustartykuempunktem">
    <w:name w:val="Z/UST(§) – zm. ust. (§) artykułem (punktem)"/>
    <w:basedOn w:val="Normalny"/>
    <w:uiPriority w:val="30"/>
    <w:qFormat/>
    <w:rsid w:val="00FE4F71"/>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USTustnpkodeksu">
    <w:name w:val="UST(§) – ust. (§ np. kodeksu)"/>
    <w:basedOn w:val="Normalny"/>
    <w:uiPriority w:val="12"/>
    <w:qFormat/>
    <w:rsid w:val="00FE4F71"/>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Default">
    <w:name w:val="Default"/>
    <w:rsid w:val="00FE4F7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KTpunkt">
    <w:name w:val="PKT – punkt"/>
    <w:uiPriority w:val="13"/>
    <w:qFormat/>
    <w:rsid w:val="00FE4F71"/>
    <w:pPr>
      <w:spacing w:after="0" w:line="360" w:lineRule="auto"/>
      <w:ind w:left="510" w:hanging="510"/>
      <w:jc w:val="both"/>
    </w:pPr>
    <w:rPr>
      <w:rFonts w:ascii="Times" w:eastAsiaTheme="minorEastAsia" w:hAnsi="Times" w:cs="Arial"/>
      <w:bCs/>
      <w:sz w:val="24"/>
      <w:szCs w:val="20"/>
      <w:lang w:eastAsia="pl-PL"/>
    </w:rPr>
  </w:style>
  <w:style w:type="character" w:customStyle="1" w:styleId="st">
    <w:name w:val="st"/>
    <w:basedOn w:val="Domylnaczcionkaakapitu"/>
    <w:uiPriority w:val="99"/>
    <w:rsid w:val="00FE4F71"/>
  </w:style>
  <w:style w:type="paragraph" w:customStyle="1" w:styleId="TEKSTwTABELIWYRODKOWANYtekstwyrodkowanywpoziomie">
    <w:name w:val="TEKST_w_TABELI_WYŚRODKOWANY – tekst wyśrodkowany w poziomie"/>
    <w:basedOn w:val="Normalny"/>
    <w:uiPriority w:val="23"/>
    <w:qFormat/>
    <w:rsid w:val="00FE4F71"/>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LITwPKTzmlitwpktartykuempunktem">
    <w:name w:val="Z/LIT_w_PKT – zm. lit. w pkt artykułem (punktem)"/>
    <w:basedOn w:val="Normalny"/>
    <w:uiPriority w:val="32"/>
    <w:qFormat/>
    <w:rsid w:val="00FE4F71"/>
    <w:pPr>
      <w:spacing w:after="0" w:line="360" w:lineRule="auto"/>
      <w:ind w:left="1497" w:hanging="476"/>
      <w:jc w:val="both"/>
    </w:pPr>
    <w:rPr>
      <w:rFonts w:ascii="Times" w:eastAsiaTheme="minorEastAsia" w:hAnsi="Times" w:cs="Arial"/>
      <w:bCs/>
      <w:sz w:val="24"/>
      <w:szCs w:val="20"/>
      <w:lang w:eastAsia="pl-PL"/>
    </w:rPr>
  </w:style>
  <w:style w:type="paragraph" w:customStyle="1" w:styleId="ZTIRwPKTzmtirwpktartykuempunktem">
    <w:name w:val="Z/TIR_w_PKT – zm. tir. w pkt artykułem (punktem)"/>
    <w:basedOn w:val="Normalny"/>
    <w:uiPriority w:val="33"/>
    <w:qFormat/>
    <w:rsid w:val="00FE4F71"/>
    <w:pPr>
      <w:spacing w:after="0" w:line="360" w:lineRule="auto"/>
      <w:ind w:left="1894" w:hanging="397"/>
      <w:jc w:val="both"/>
    </w:pPr>
    <w:rPr>
      <w:rFonts w:ascii="Times" w:eastAsiaTheme="minorEastAsia" w:hAnsi="Times" w:cs="Arial"/>
      <w:bCs/>
      <w:sz w:val="24"/>
      <w:szCs w:val="20"/>
      <w:lang w:eastAsia="pl-PL"/>
    </w:rPr>
  </w:style>
  <w:style w:type="paragraph" w:customStyle="1" w:styleId="ZCZWSPLITwPKTzmczciwsplitwpktartykuempunktem">
    <w:name w:val="Z/CZ_WSP_LIT_w_PKT – zm. części wsp. lit. w pkt artykułem (punktem)"/>
    <w:basedOn w:val="Normalny"/>
    <w:next w:val="ZARTzmartartykuempunktem"/>
    <w:uiPriority w:val="35"/>
    <w:qFormat/>
    <w:rsid w:val="00FE4F71"/>
    <w:pPr>
      <w:spacing w:after="0" w:line="360" w:lineRule="auto"/>
      <w:ind w:left="1021"/>
      <w:jc w:val="both"/>
    </w:pPr>
    <w:rPr>
      <w:rFonts w:ascii="Times" w:eastAsiaTheme="minorEastAsia" w:hAnsi="Times" w:cs="Arial"/>
      <w:bCs/>
      <w:sz w:val="24"/>
      <w:szCs w:val="24"/>
      <w:lang w:eastAsia="pl-PL"/>
    </w:rPr>
  </w:style>
  <w:style w:type="paragraph" w:customStyle="1" w:styleId="CZWSPPKTczwsplnapunktw">
    <w:name w:val="CZ_WSP_PKT – część wspólna punktów"/>
    <w:basedOn w:val="PKTpunkt"/>
    <w:next w:val="USTustnpkodeksu"/>
    <w:uiPriority w:val="16"/>
    <w:qFormat/>
    <w:rsid w:val="00FE4F71"/>
    <w:pPr>
      <w:ind w:left="0" w:firstLine="0"/>
    </w:pPr>
  </w:style>
  <w:style w:type="character" w:customStyle="1" w:styleId="appliedfilter">
    <w:name w:val="applied_filter"/>
    <w:basedOn w:val="Domylnaczcionkaakapitu"/>
    <w:rsid w:val="00FE4F71"/>
  </w:style>
  <w:style w:type="paragraph" w:customStyle="1" w:styleId="CYTcytatnpprzysigi">
    <w:name w:val="CYT – cytat np. przysięgi"/>
    <w:basedOn w:val="USTustnpkodeksu"/>
    <w:next w:val="USTustnpkodeksu"/>
    <w:uiPriority w:val="18"/>
    <w:qFormat/>
    <w:rsid w:val="00FE4F71"/>
    <w:pPr>
      <w:ind w:left="510" w:right="510" w:firstLine="0"/>
      <w:mirrorIndents/>
    </w:pPr>
  </w:style>
  <w:style w:type="character" w:styleId="UyteHipercze">
    <w:name w:val="FollowedHyperlink"/>
    <w:basedOn w:val="Domylnaczcionkaakapitu"/>
    <w:uiPriority w:val="99"/>
    <w:semiHidden/>
    <w:unhideWhenUsed/>
    <w:rsid w:val="00FE4F71"/>
    <w:rPr>
      <w:color w:val="954F72" w:themeColor="followedHyperlink"/>
      <w:u w:val="single"/>
    </w:rPr>
  </w:style>
  <w:style w:type="paragraph" w:customStyle="1" w:styleId="Normalny1">
    <w:name w:val="Normalny1"/>
    <w:basedOn w:val="Normalny"/>
    <w:rsid w:val="00FE4F7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ytu">
    <w:name w:val="Title"/>
    <w:basedOn w:val="Normalny"/>
    <w:next w:val="Normalny"/>
    <w:link w:val="TytuZnak"/>
    <w:uiPriority w:val="10"/>
    <w:qFormat/>
    <w:rsid w:val="00FE4F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E4F71"/>
    <w:rPr>
      <w:rFonts w:asciiTheme="majorHAnsi" w:eastAsiaTheme="majorEastAsia" w:hAnsiTheme="majorHAnsi" w:cstheme="majorBidi"/>
      <w:spacing w:val="-10"/>
      <w:kern w:val="28"/>
      <w:sz w:val="56"/>
      <w:szCs w:val="56"/>
    </w:rPr>
  </w:style>
  <w:style w:type="paragraph" w:customStyle="1" w:styleId="ZLITUSTzmustliter">
    <w:name w:val="Z_LIT/UST(§) – zm. ust. (§) literą"/>
    <w:basedOn w:val="USTustnpkodeksu"/>
    <w:uiPriority w:val="46"/>
    <w:qFormat/>
    <w:rsid w:val="00FE4F71"/>
    <w:pPr>
      <w:ind w:left="987"/>
    </w:pPr>
    <w:rPr>
      <w:rFonts w:eastAsia="Times New Roman"/>
    </w:rPr>
  </w:style>
  <w:style w:type="paragraph" w:customStyle="1" w:styleId="ZLITPKTzmpktliter">
    <w:name w:val="Z_LIT/PKT – zm. pkt literą"/>
    <w:basedOn w:val="PKTpunkt"/>
    <w:uiPriority w:val="47"/>
    <w:qFormat/>
    <w:rsid w:val="008E3145"/>
    <w:pPr>
      <w:ind w:left="1497"/>
    </w:pPr>
  </w:style>
  <w:style w:type="paragraph" w:styleId="Bezodstpw">
    <w:name w:val="No Spacing"/>
    <w:uiPriority w:val="1"/>
    <w:qFormat/>
    <w:rsid w:val="009E3725"/>
    <w:pPr>
      <w:spacing w:after="0" w:line="240" w:lineRule="auto"/>
    </w:pPr>
  </w:style>
  <w:style w:type="paragraph" w:customStyle="1" w:styleId="ODNONIKtreodnonika">
    <w:name w:val="ODNOŚNIK – treść odnośnika"/>
    <w:uiPriority w:val="19"/>
    <w:qFormat/>
    <w:rsid w:val="005A5B91"/>
    <w:pPr>
      <w:spacing w:after="0" w:line="240" w:lineRule="auto"/>
      <w:ind w:left="284" w:hanging="284"/>
      <w:jc w:val="both"/>
    </w:pPr>
    <w:rPr>
      <w:rFonts w:ascii="Times New Roman" w:eastAsiaTheme="minorEastAsia" w:hAnsi="Times New Roman" w:cs="Arial"/>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30054">
      <w:bodyDiv w:val="1"/>
      <w:marLeft w:val="0"/>
      <w:marRight w:val="0"/>
      <w:marTop w:val="0"/>
      <w:marBottom w:val="0"/>
      <w:divBdr>
        <w:top w:val="none" w:sz="0" w:space="0" w:color="auto"/>
        <w:left w:val="none" w:sz="0" w:space="0" w:color="auto"/>
        <w:bottom w:val="none" w:sz="0" w:space="0" w:color="auto"/>
        <w:right w:val="none" w:sz="0" w:space="0" w:color="auto"/>
      </w:divBdr>
    </w:div>
    <w:div w:id="197008535">
      <w:bodyDiv w:val="1"/>
      <w:marLeft w:val="0"/>
      <w:marRight w:val="0"/>
      <w:marTop w:val="0"/>
      <w:marBottom w:val="0"/>
      <w:divBdr>
        <w:top w:val="none" w:sz="0" w:space="0" w:color="auto"/>
        <w:left w:val="none" w:sz="0" w:space="0" w:color="auto"/>
        <w:bottom w:val="none" w:sz="0" w:space="0" w:color="auto"/>
        <w:right w:val="none" w:sz="0" w:space="0" w:color="auto"/>
      </w:divBdr>
    </w:div>
    <w:div w:id="296110577">
      <w:bodyDiv w:val="1"/>
      <w:marLeft w:val="0"/>
      <w:marRight w:val="0"/>
      <w:marTop w:val="0"/>
      <w:marBottom w:val="0"/>
      <w:divBdr>
        <w:top w:val="none" w:sz="0" w:space="0" w:color="auto"/>
        <w:left w:val="none" w:sz="0" w:space="0" w:color="auto"/>
        <w:bottom w:val="none" w:sz="0" w:space="0" w:color="auto"/>
        <w:right w:val="none" w:sz="0" w:space="0" w:color="auto"/>
      </w:divBdr>
    </w:div>
    <w:div w:id="573703715">
      <w:bodyDiv w:val="1"/>
      <w:marLeft w:val="0"/>
      <w:marRight w:val="0"/>
      <w:marTop w:val="0"/>
      <w:marBottom w:val="0"/>
      <w:divBdr>
        <w:top w:val="none" w:sz="0" w:space="0" w:color="auto"/>
        <w:left w:val="none" w:sz="0" w:space="0" w:color="auto"/>
        <w:bottom w:val="none" w:sz="0" w:space="0" w:color="auto"/>
        <w:right w:val="none" w:sz="0" w:space="0" w:color="auto"/>
      </w:divBdr>
    </w:div>
    <w:div w:id="587613440">
      <w:bodyDiv w:val="1"/>
      <w:marLeft w:val="0"/>
      <w:marRight w:val="0"/>
      <w:marTop w:val="0"/>
      <w:marBottom w:val="0"/>
      <w:divBdr>
        <w:top w:val="none" w:sz="0" w:space="0" w:color="auto"/>
        <w:left w:val="none" w:sz="0" w:space="0" w:color="auto"/>
        <w:bottom w:val="none" w:sz="0" w:space="0" w:color="auto"/>
        <w:right w:val="none" w:sz="0" w:space="0" w:color="auto"/>
      </w:divBdr>
    </w:div>
    <w:div w:id="655301113">
      <w:bodyDiv w:val="1"/>
      <w:marLeft w:val="0"/>
      <w:marRight w:val="0"/>
      <w:marTop w:val="0"/>
      <w:marBottom w:val="0"/>
      <w:divBdr>
        <w:top w:val="none" w:sz="0" w:space="0" w:color="auto"/>
        <w:left w:val="none" w:sz="0" w:space="0" w:color="auto"/>
        <w:bottom w:val="none" w:sz="0" w:space="0" w:color="auto"/>
        <w:right w:val="none" w:sz="0" w:space="0" w:color="auto"/>
      </w:divBdr>
    </w:div>
    <w:div w:id="843059048">
      <w:bodyDiv w:val="1"/>
      <w:marLeft w:val="0"/>
      <w:marRight w:val="0"/>
      <w:marTop w:val="0"/>
      <w:marBottom w:val="0"/>
      <w:divBdr>
        <w:top w:val="none" w:sz="0" w:space="0" w:color="auto"/>
        <w:left w:val="none" w:sz="0" w:space="0" w:color="auto"/>
        <w:bottom w:val="none" w:sz="0" w:space="0" w:color="auto"/>
        <w:right w:val="none" w:sz="0" w:space="0" w:color="auto"/>
      </w:divBdr>
    </w:div>
    <w:div w:id="864682750">
      <w:bodyDiv w:val="1"/>
      <w:marLeft w:val="0"/>
      <w:marRight w:val="0"/>
      <w:marTop w:val="0"/>
      <w:marBottom w:val="0"/>
      <w:divBdr>
        <w:top w:val="none" w:sz="0" w:space="0" w:color="auto"/>
        <w:left w:val="none" w:sz="0" w:space="0" w:color="auto"/>
        <w:bottom w:val="none" w:sz="0" w:space="0" w:color="auto"/>
        <w:right w:val="none" w:sz="0" w:space="0" w:color="auto"/>
      </w:divBdr>
    </w:div>
    <w:div w:id="928083078">
      <w:bodyDiv w:val="1"/>
      <w:marLeft w:val="0"/>
      <w:marRight w:val="0"/>
      <w:marTop w:val="0"/>
      <w:marBottom w:val="0"/>
      <w:divBdr>
        <w:top w:val="none" w:sz="0" w:space="0" w:color="auto"/>
        <w:left w:val="none" w:sz="0" w:space="0" w:color="auto"/>
        <w:bottom w:val="none" w:sz="0" w:space="0" w:color="auto"/>
        <w:right w:val="none" w:sz="0" w:space="0" w:color="auto"/>
      </w:divBdr>
    </w:div>
    <w:div w:id="1299260780">
      <w:bodyDiv w:val="1"/>
      <w:marLeft w:val="0"/>
      <w:marRight w:val="0"/>
      <w:marTop w:val="0"/>
      <w:marBottom w:val="0"/>
      <w:divBdr>
        <w:top w:val="none" w:sz="0" w:space="0" w:color="auto"/>
        <w:left w:val="none" w:sz="0" w:space="0" w:color="auto"/>
        <w:bottom w:val="none" w:sz="0" w:space="0" w:color="auto"/>
        <w:right w:val="none" w:sz="0" w:space="0" w:color="auto"/>
      </w:divBdr>
    </w:div>
    <w:div w:id="1318921295">
      <w:bodyDiv w:val="1"/>
      <w:marLeft w:val="0"/>
      <w:marRight w:val="0"/>
      <w:marTop w:val="0"/>
      <w:marBottom w:val="0"/>
      <w:divBdr>
        <w:top w:val="none" w:sz="0" w:space="0" w:color="auto"/>
        <w:left w:val="none" w:sz="0" w:space="0" w:color="auto"/>
        <w:bottom w:val="none" w:sz="0" w:space="0" w:color="auto"/>
        <w:right w:val="none" w:sz="0" w:space="0" w:color="auto"/>
      </w:divBdr>
    </w:div>
    <w:div w:id="1572765516">
      <w:bodyDiv w:val="1"/>
      <w:marLeft w:val="0"/>
      <w:marRight w:val="0"/>
      <w:marTop w:val="0"/>
      <w:marBottom w:val="0"/>
      <w:divBdr>
        <w:top w:val="none" w:sz="0" w:space="0" w:color="auto"/>
        <w:left w:val="none" w:sz="0" w:space="0" w:color="auto"/>
        <w:bottom w:val="none" w:sz="0" w:space="0" w:color="auto"/>
        <w:right w:val="none" w:sz="0" w:space="0" w:color="auto"/>
      </w:divBdr>
    </w:div>
    <w:div w:id="1770462987">
      <w:bodyDiv w:val="1"/>
      <w:marLeft w:val="0"/>
      <w:marRight w:val="0"/>
      <w:marTop w:val="0"/>
      <w:marBottom w:val="0"/>
      <w:divBdr>
        <w:top w:val="none" w:sz="0" w:space="0" w:color="auto"/>
        <w:left w:val="none" w:sz="0" w:space="0" w:color="auto"/>
        <w:bottom w:val="none" w:sz="0" w:space="0" w:color="auto"/>
        <w:right w:val="none" w:sz="0" w:space="0" w:color="auto"/>
      </w:divBdr>
    </w:div>
    <w:div w:id="1789276536">
      <w:bodyDiv w:val="1"/>
      <w:marLeft w:val="0"/>
      <w:marRight w:val="0"/>
      <w:marTop w:val="0"/>
      <w:marBottom w:val="0"/>
      <w:divBdr>
        <w:top w:val="none" w:sz="0" w:space="0" w:color="auto"/>
        <w:left w:val="none" w:sz="0" w:space="0" w:color="auto"/>
        <w:bottom w:val="none" w:sz="0" w:space="0" w:color="auto"/>
        <w:right w:val="none" w:sz="0" w:space="0" w:color="auto"/>
      </w:divBdr>
    </w:div>
    <w:div w:id="1793402377">
      <w:bodyDiv w:val="1"/>
      <w:marLeft w:val="0"/>
      <w:marRight w:val="0"/>
      <w:marTop w:val="0"/>
      <w:marBottom w:val="0"/>
      <w:divBdr>
        <w:top w:val="none" w:sz="0" w:space="0" w:color="auto"/>
        <w:left w:val="none" w:sz="0" w:space="0" w:color="auto"/>
        <w:bottom w:val="none" w:sz="0" w:space="0" w:color="auto"/>
        <w:right w:val="none" w:sz="0" w:space="0" w:color="auto"/>
      </w:divBdr>
    </w:div>
    <w:div w:id="1799295970">
      <w:bodyDiv w:val="1"/>
      <w:marLeft w:val="0"/>
      <w:marRight w:val="0"/>
      <w:marTop w:val="0"/>
      <w:marBottom w:val="0"/>
      <w:divBdr>
        <w:top w:val="none" w:sz="0" w:space="0" w:color="auto"/>
        <w:left w:val="none" w:sz="0" w:space="0" w:color="auto"/>
        <w:bottom w:val="none" w:sz="0" w:space="0" w:color="auto"/>
        <w:right w:val="none" w:sz="0" w:space="0" w:color="auto"/>
      </w:divBdr>
    </w:div>
    <w:div w:id="1879664738">
      <w:bodyDiv w:val="1"/>
      <w:marLeft w:val="0"/>
      <w:marRight w:val="0"/>
      <w:marTop w:val="0"/>
      <w:marBottom w:val="0"/>
      <w:divBdr>
        <w:top w:val="none" w:sz="0" w:space="0" w:color="auto"/>
        <w:left w:val="none" w:sz="0" w:space="0" w:color="auto"/>
        <w:bottom w:val="none" w:sz="0" w:space="0" w:color="auto"/>
        <w:right w:val="none" w:sz="0" w:space="0" w:color="auto"/>
      </w:divBdr>
    </w:div>
    <w:div w:id="1945071876">
      <w:bodyDiv w:val="1"/>
      <w:marLeft w:val="0"/>
      <w:marRight w:val="0"/>
      <w:marTop w:val="0"/>
      <w:marBottom w:val="0"/>
      <w:divBdr>
        <w:top w:val="none" w:sz="0" w:space="0" w:color="auto"/>
        <w:left w:val="none" w:sz="0" w:space="0" w:color="auto"/>
        <w:bottom w:val="none" w:sz="0" w:space="0" w:color="auto"/>
        <w:right w:val="none" w:sz="0" w:space="0" w:color="auto"/>
      </w:divBdr>
    </w:div>
    <w:div w:id="200836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95173-BFF1-4867-8436-5CE2D62ED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296</Pages>
  <Words>101061</Words>
  <Characters>606368</Characters>
  <Application>Microsoft Office Word</Application>
  <DocSecurity>0</DocSecurity>
  <Lines>5053</Lines>
  <Paragraphs>1412</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706017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Migza-Rawska Aldona</dc:creator>
  <cp:lastModifiedBy>Grażyna D. Grabowska</cp:lastModifiedBy>
  <cp:revision>2</cp:revision>
  <cp:lastPrinted>2018-08-06T11:02:00Z</cp:lastPrinted>
  <dcterms:created xsi:type="dcterms:W3CDTF">2018-09-25T19:24:00Z</dcterms:created>
  <dcterms:modified xsi:type="dcterms:W3CDTF">2018-09-25T19:24:00Z</dcterms:modified>
</cp:coreProperties>
</file>