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D99" w:rsidRDefault="00C55D99" w:rsidP="00C55D99">
      <w:pPr>
        <w:jc w:val="right"/>
        <w:rPr>
          <w:rFonts w:ascii="Times New Roman" w:hAnsi="Times New Roman"/>
          <w:i/>
          <w:sz w:val="24"/>
          <w:szCs w:val="24"/>
        </w:rPr>
      </w:pPr>
      <w:bookmarkStart w:id="0" w:name="_GoBack"/>
      <w:bookmarkEnd w:id="0"/>
      <w:r>
        <w:rPr>
          <w:rFonts w:ascii="Times New Roman" w:hAnsi="Times New Roman"/>
          <w:i/>
          <w:sz w:val="24"/>
          <w:szCs w:val="24"/>
        </w:rPr>
        <w:t>Projekt</w:t>
      </w:r>
    </w:p>
    <w:p w:rsidR="00C55D99" w:rsidRDefault="00C55D99" w:rsidP="00C55D99">
      <w:pPr>
        <w:jc w:val="center"/>
        <w:rPr>
          <w:rFonts w:ascii="Times New Roman" w:hAnsi="Times New Roman"/>
          <w:sz w:val="24"/>
          <w:szCs w:val="24"/>
        </w:rPr>
      </w:pPr>
    </w:p>
    <w:p w:rsidR="00C55D99" w:rsidRDefault="00C55D99" w:rsidP="00C55D99">
      <w:pPr>
        <w:spacing w:after="0" w:line="360" w:lineRule="auto"/>
        <w:jc w:val="center"/>
        <w:rPr>
          <w:rFonts w:ascii="Times New Roman" w:hAnsi="Times New Roman"/>
          <w:sz w:val="24"/>
          <w:szCs w:val="24"/>
        </w:rPr>
      </w:pPr>
    </w:p>
    <w:p w:rsidR="00C55D99" w:rsidRDefault="00C55D99" w:rsidP="00C55D99">
      <w:pPr>
        <w:spacing w:after="0" w:line="360" w:lineRule="auto"/>
        <w:jc w:val="center"/>
        <w:rPr>
          <w:rFonts w:ascii="Times New Roman" w:hAnsi="Times New Roman"/>
          <w:b/>
          <w:sz w:val="24"/>
          <w:szCs w:val="24"/>
        </w:rPr>
      </w:pPr>
      <w:r>
        <w:rPr>
          <w:rFonts w:ascii="Times New Roman" w:hAnsi="Times New Roman"/>
          <w:b/>
          <w:sz w:val="24"/>
          <w:szCs w:val="24"/>
        </w:rPr>
        <w:t>USTAWA</w:t>
      </w:r>
    </w:p>
    <w:p w:rsidR="00C55D99" w:rsidRDefault="00C55D99" w:rsidP="00C55D99">
      <w:pPr>
        <w:spacing w:after="0" w:line="360" w:lineRule="auto"/>
        <w:jc w:val="center"/>
        <w:rPr>
          <w:rFonts w:ascii="Times New Roman" w:hAnsi="Times New Roman"/>
          <w:sz w:val="24"/>
          <w:szCs w:val="24"/>
        </w:rPr>
      </w:pPr>
      <w:r>
        <w:rPr>
          <w:rFonts w:ascii="Times New Roman" w:hAnsi="Times New Roman"/>
          <w:sz w:val="24"/>
          <w:szCs w:val="24"/>
        </w:rPr>
        <w:t>z dnia ………………………… 2018 r.</w:t>
      </w:r>
    </w:p>
    <w:p w:rsidR="00C55D99" w:rsidRDefault="00C55D99" w:rsidP="00C55D99">
      <w:pPr>
        <w:spacing w:after="0" w:line="360" w:lineRule="auto"/>
        <w:jc w:val="center"/>
        <w:rPr>
          <w:rFonts w:ascii="Times New Roman" w:hAnsi="Times New Roman"/>
          <w:b/>
          <w:sz w:val="24"/>
          <w:szCs w:val="24"/>
        </w:rPr>
      </w:pPr>
      <w:r>
        <w:rPr>
          <w:rFonts w:ascii="Times New Roman" w:hAnsi="Times New Roman"/>
          <w:b/>
          <w:sz w:val="24"/>
          <w:szCs w:val="24"/>
        </w:rPr>
        <w:t>o zmianie ustawy – Kodeks cywilny</w:t>
      </w:r>
    </w:p>
    <w:p w:rsidR="00C55D99" w:rsidRDefault="00C55D99" w:rsidP="00C55D99">
      <w:pPr>
        <w:spacing w:after="0" w:line="360" w:lineRule="auto"/>
        <w:jc w:val="center"/>
        <w:rPr>
          <w:rFonts w:ascii="Times New Roman" w:hAnsi="Times New Roman"/>
          <w:sz w:val="24"/>
          <w:szCs w:val="24"/>
        </w:rPr>
      </w:pPr>
    </w:p>
    <w:p w:rsidR="00C55D99" w:rsidRDefault="00C55D99" w:rsidP="00C55D99">
      <w:pPr>
        <w:spacing w:after="0" w:line="360" w:lineRule="auto"/>
        <w:jc w:val="center"/>
        <w:rPr>
          <w:rFonts w:ascii="Times New Roman" w:hAnsi="Times New Roman"/>
          <w:sz w:val="24"/>
          <w:szCs w:val="24"/>
        </w:rPr>
      </w:pPr>
    </w:p>
    <w:p w:rsidR="00C55D99" w:rsidRDefault="00C55D99" w:rsidP="00C55D99">
      <w:pPr>
        <w:spacing w:after="120" w:line="360" w:lineRule="auto"/>
        <w:ind w:firstLine="709"/>
        <w:jc w:val="both"/>
        <w:rPr>
          <w:rFonts w:ascii="Times New Roman" w:hAnsi="Times New Roman"/>
          <w:sz w:val="24"/>
          <w:szCs w:val="24"/>
        </w:rPr>
      </w:pPr>
      <w:r>
        <w:rPr>
          <w:rFonts w:ascii="Times New Roman" w:hAnsi="Times New Roman"/>
          <w:b/>
          <w:sz w:val="24"/>
          <w:szCs w:val="24"/>
        </w:rPr>
        <w:t>Art. 1.</w:t>
      </w:r>
      <w:r>
        <w:rPr>
          <w:rFonts w:ascii="Times New Roman" w:hAnsi="Times New Roman"/>
          <w:sz w:val="24"/>
          <w:szCs w:val="24"/>
        </w:rPr>
        <w:t xml:space="preserve"> W ustawie z dnia 23 kwietnia 1964 r. – Kodeks cywilny (Dz. U. z 2018 r. poz. 1025, 1104 i 1629) w art. 482 uchyla się § 2.</w:t>
      </w:r>
    </w:p>
    <w:p w:rsidR="00C55D99" w:rsidRDefault="00C55D99" w:rsidP="00C55D99">
      <w:pPr>
        <w:spacing w:after="120" w:line="360" w:lineRule="auto"/>
        <w:ind w:firstLine="708"/>
        <w:jc w:val="both"/>
        <w:rPr>
          <w:rFonts w:ascii="Times New Roman" w:hAnsi="Times New Roman"/>
          <w:b/>
          <w:sz w:val="24"/>
          <w:szCs w:val="24"/>
        </w:rPr>
      </w:pPr>
      <w:r>
        <w:rPr>
          <w:rFonts w:ascii="Times New Roman" w:hAnsi="Times New Roman"/>
          <w:b/>
          <w:sz w:val="24"/>
          <w:szCs w:val="24"/>
        </w:rPr>
        <w:t xml:space="preserve">Art. 2. </w:t>
      </w:r>
      <w:r>
        <w:rPr>
          <w:rFonts w:ascii="Times New Roman" w:hAnsi="Times New Roman"/>
          <w:sz w:val="24"/>
          <w:szCs w:val="24"/>
        </w:rPr>
        <w:t>Do odsetek należnych za okres kończący się przed dniem wejścia w życie niniejszej ustawy stosuje się przepisy dotychczasowe.</w:t>
      </w:r>
    </w:p>
    <w:p w:rsidR="00C55D99" w:rsidRDefault="00C55D99" w:rsidP="00C55D99">
      <w:pPr>
        <w:spacing w:after="120" w:line="360" w:lineRule="auto"/>
        <w:ind w:firstLine="708"/>
        <w:rPr>
          <w:rFonts w:ascii="Times New Roman" w:hAnsi="Times New Roman"/>
          <w:sz w:val="24"/>
          <w:szCs w:val="24"/>
        </w:rPr>
      </w:pPr>
      <w:r>
        <w:rPr>
          <w:rFonts w:ascii="Times New Roman" w:hAnsi="Times New Roman"/>
          <w:b/>
          <w:sz w:val="24"/>
          <w:szCs w:val="24"/>
        </w:rPr>
        <w:t>Art. 3.</w:t>
      </w:r>
      <w:r>
        <w:rPr>
          <w:rFonts w:ascii="Times New Roman" w:hAnsi="Times New Roman"/>
          <w:sz w:val="24"/>
          <w:szCs w:val="24"/>
        </w:rPr>
        <w:t xml:space="preserve"> Ustawa wchodzi w życie po upływie 30 dni od dnia ogłoszenia.</w:t>
      </w:r>
    </w:p>
    <w:p w:rsidR="00C55D99" w:rsidRDefault="00C55D99" w:rsidP="00C55D99"/>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C55D99" w:rsidRDefault="00C55D99" w:rsidP="001C533A">
      <w:pPr>
        <w:widowControl w:val="0"/>
        <w:autoSpaceDE w:val="0"/>
        <w:autoSpaceDN w:val="0"/>
        <w:adjustRightInd w:val="0"/>
        <w:spacing w:after="0" w:line="360" w:lineRule="auto"/>
        <w:jc w:val="center"/>
        <w:rPr>
          <w:rFonts w:ascii="Times New Roman" w:eastAsiaTheme="minorEastAsia" w:hAnsi="Times New Roman"/>
          <w:b/>
          <w:bCs/>
          <w:sz w:val="24"/>
          <w:szCs w:val="24"/>
          <w:lang w:eastAsia="pl-PL"/>
        </w:rPr>
      </w:pPr>
    </w:p>
    <w:p w:rsidR="001C533A" w:rsidRPr="00C5714C" w:rsidRDefault="001C533A" w:rsidP="001C533A">
      <w:pPr>
        <w:widowControl w:val="0"/>
        <w:autoSpaceDE w:val="0"/>
        <w:autoSpaceDN w:val="0"/>
        <w:adjustRightInd w:val="0"/>
        <w:spacing w:after="0" w:line="360" w:lineRule="auto"/>
        <w:jc w:val="center"/>
        <w:rPr>
          <w:rFonts w:ascii="Times New Roman" w:eastAsiaTheme="minorEastAsia" w:hAnsi="Times New Roman"/>
          <w:b/>
          <w:bCs/>
          <w:sz w:val="20"/>
          <w:szCs w:val="20"/>
          <w:lang w:eastAsia="pl-PL"/>
        </w:rPr>
      </w:pPr>
      <w:r>
        <w:rPr>
          <w:rFonts w:ascii="Times New Roman" w:eastAsiaTheme="minorEastAsia" w:hAnsi="Times New Roman"/>
          <w:b/>
          <w:bCs/>
          <w:sz w:val="24"/>
          <w:szCs w:val="24"/>
          <w:lang w:eastAsia="pl-PL"/>
        </w:rPr>
        <w:t>UZASADNIENIE</w:t>
      </w:r>
    </w:p>
    <w:p w:rsidR="001C533A" w:rsidRDefault="001C533A" w:rsidP="001C533A">
      <w:pPr>
        <w:widowControl w:val="0"/>
        <w:autoSpaceDE w:val="0"/>
        <w:autoSpaceDN w:val="0"/>
        <w:adjustRightInd w:val="0"/>
        <w:spacing w:after="0" w:line="360" w:lineRule="auto"/>
        <w:jc w:val="center"/>
        <w:rPr>
          <w:rFonts w:ascii="Times New Roman" w:eastAsiaTheme="minorEastAsia" w:hAnsi="Times New Roman"/>
          <w:b/>
          <w:bCs/>
          <w:sz w:val="20"/>
          <w:szCs w:val="20"/>
          <w:lang w:eastAsia="pl-PL"/>
        </w:rPr>
      </w:pPr>
    </w:p>
    <w:p w:rsidR="001C533A" w:rsidRPr="00C5714C" w:rsidRDefault="001C533A" w:rsidP="001C533A">
      <w:pPr>
        <w:widowControl w:val="0"/>
        <w:autoSpaceDE w:val="0"/>
        <w:autoSpaceDN w:val="0"/>
        <w:adjustRightInd w:val="0"/>
        <w:spacing w:after="0" w:line="360" w:lineRule="auto"/>
        <w:jc w:val="center"/>
        <w:rPr>
          <w:rFonts w:ascii="Times New Roman" w:eastAsiaTheme="minorEastAsia" w:hAnsi="Times New Roman"/>
          <w:b/>
          <w:bCs/>
          <w:sz w:val="20"/>
          <w:szCs w:val="20"/>
          <w:lang w:eastAsia="pl-PL"/>
        </w:rPr>
      </w:pPr>
    </w:p>
    <w:p w:rsidR="001C533A" w:rsidRDefault="001C533A" w:rsidP="001C533A">
      <w:pPr>
        <w:widowControl w:val="0"/>
        <w:autoSpaceDE w:val="0"/>
        <w:autoSpaceDN w:val="0"/>
        <w:adjustRightInd w:val="0"/>
        <w:spacing w:after="120" w:line="360" w:lineRule="auto"/>
        <w:ind w:firstLine="709"/>
        <w:jc w:val="both"/>
        <w:rPr>
          <w:rFonts w:ascii="Times New Roman" w:eastAsiaTheme="minorEastAsia" w:hAnsi="Times New Roman"/>
          <w:bCs/>
          <w:sz w:val="24"/>
          <w:szCs w:val="24"/>
          <w:lang w:eastAsia="pl-PL"/>
        </w:rPr>
      </w:pPr>
      <w:r>
        <w:rPr>
          <w:rFonts w:ascii="Times New Roman" w:eastAsiaTheme="minorEastAsia" w:hAnsi="Times New Roman"/>
          <w:bCs/>
          <w:sz w:val="24"/>
          <w:szCs w:val="24"/>
          <w:lang w:eastAsia="pl-PL"/>
        </w:rPr>
        <w:t>Celem za</w:t>
      </w:r>
      <w:r w:rsidRPr="00C5714C">
        <w:rPr>
          <w:rFonts w:ascii="Times New Roman" w:eastAsiaTheme="minorEastAsia" w:hAnsi="Times New Roman"/>
          <w:bCs/>
          <w:sz w:val="24"/>
          <w:szCs w:val="24"/>
          <w:lang w:eastAsia="pl-PL"/>
        </w:rPr>
        <w:t xml:space="preserve">proponowanego w projekcie ustawy rozwiązania </w:t>
      </w:r>
      <w:r>
        <w:rPr>
          <w:rFonts w:ascii="Times New Roman" w:eastAsiaTheme="minorEastAsia" w:hAnsi="Times New Roman"/>
          <w:bCs/>
          <w:sz w:val="24"/>
          <w:szCs w:val="24"/>
          <w:lang w:eastAsia="pl-PL"/>
        </w:rPr>
        <w:t xml:space="preserve">jest likwidacja nieuzasadnionego </w:t>
      </w:r>
      <w:r w:rsidRPr="002E404A">
        <w:rPr>
          <w:rFonts w:ascii="Times New Roman" w:eastAsiaTheme="minorEastAsia" w:hAnsi="Times New Roman"/>
          <w:bCs/>
          <w:sz w:val="24"/>
          <w:szCs w:val="24"/>
          <w:lang w:eastAsia="pl-PL"/>
        </w:rPr>
        <w:t>uprzywilejowania instytucji kredytowych w zakresie naliczania odsetek od zaległych odsetek na podstawie art. 482</w:t>
      </w:r>
      <w:r w:rsidRPr="00C5714C">
        <w:rPr>
          <w:rFonts w:ascii="Times New Roman" w:eastAsiaTheme="minorEastAsia" w:hAnsi="Times New Roman"/>
          <w:bCs/>
          <w:sz w:val="24"/>
          <w:szCs w:val="24"/>
          <w:lang w:eastAsia="pl-PL"/>
        </w:rPr>
        <w:t xml:space="preserve"> § 2 ustawy z dnia 23 kwietnia 1964 r. – Kodeks cywilny (Dz. U. z 201</w:t>
      </w:r>
      <w:r>
        <w:rPr>
          <w:rFonts w:ascii="Times New Roman" w:eastAsiaTheme="minorEastAsia" w:hAnsi="Times New Roman"/>
          <w:bCs/>
          <w:sz w:val="24"/>
          <w:szCs w:val="24"/>
          <w:lang w:eastAsia="pl-PL"/>
        </w:rPr>
        <w:t>8</w:t>
      </w:r>
      <w:r w:rsidRPr="00C5714C">
        <w:rPr>
          <w:rFonts w:ascii="Times New Roman" w:eastAsiaTheme="minorEastAsia" w:hAnsi="Times New Roman"/>
          <w:bCs/>
          <w:sz w:val="24"/>
          <w:szCs w:val="24"/>
          <w:lang w:eastAsia="pl-PL"/>
        </w:rPr>
        <w:t xml:space="preserve"> r. poz. </w:t>
      </w:r>
      <w:r>
        <w:rPr>
          <w:rFonts w:ascii="Times New Roman" w:eastAsiaTheme="minorEastAsia" w:hAnsi="Times New Roman"/>
          <w:bCs/>
          <w:sz w:val="24"/>
          <w:szCs w:val="24"/>
          <w:lang w:eastAsia="pl-PL"/>
        </w:rPr>
        <w:t>1025</w:t>
      </w:r>
      <w:r w:rsidRPr="00C5714C">
        <w:rPr>
          <w:rFonts w:ascii="Times New Roman" w:eastAsiaTheme="minorEastAsia" w:hAnsi="Times New Roman"/>
          <w:bCs/>
          <w:sz w:val="24"/>
          <w:szCs w:val="24"/>
          <w:lang w:eastAsia="pl-PL"/>
        </w:rPr>
        <w:t>, z późn. zm.), zwanej dalej „Kodeksem cywilnym”.</w:t>
      </w:r>
    </w:p>
    <w:p w:rsidR="001C533A" w:rsidRDefault="001C533A" w:rsidP="001C533A">
      <w:pPr>
        <w:widowControl w:val="0"/>
        <w:autoSpaceDE w:val="0"/>
        <w:autoSpaceDN w:val="0"/>
        <w:adjustRightInd w:val="0"/>
        <w:spacing w:after="0" w:line="360" w:lineRule="auto"/>
        <w:ind w:firstLine="709"/>
        <w:jc w:val="both"/>
        <w:rPr>
          <w:rFonts w:ascii="Times New Roman" w:eastAsiaTheme="minorEastAsia" w:hAnsi="Times New Roman"/>
          <w:bCs/>
          <w:sz w:val="24"/>
          <w:szCs w:val="24"/>
          <w:lang w:eastAsia="pl-PL"/>
        </w:rPr>
      </w:pPr>
    </w:p>
    <w:p w:rsidR="001C533A" w:rsidRDefault="001C533A" w:rsidP="001C533A">
      <w:pPr>
        <w:widowControl w:val="0"/>
        <w:tabs>
          <w:tab w:val="left" w:pos="426"/>
        </w:tabs>
        <w:autoSpaceDE w:val="0"/>
        <w:autoSpaceDN w:val="0"/>
        <w:adjustRightInd w:val="0"/>
        <w:spacing w:after="240" w:line="360" w:lineRule="auto"/>
        <w:ind w:left="425" w:hanging="425"/>
        <w:jc w:val="both"/>
        <w:rPr>
          <w:rFonts w:ascii="Times New Roman" w:eastAsiaTheme="minorEastAsia" w:hAnsi="Times New Roman"/>
          <w:b/>
          <w:bCs/>
          <w:sz w:val="24"/>
          <w:szCs w:val="24"/>
          <w:lang w:eastAsia="pl-PL"/>
        </w:rPr>
      </w:pPr>
      <w:r>
        <w:rPr>
          <w:rFonts w:ascii="Times New Roman" w:eastAsiaTheme="minorEastAsia" w:hAnsi="Times New Roman"/>
          <w:b/>
          <w:bCs/>
          <w:sz w:val="24"/>
          <w:szCs w:val="24"/>
          <w:lang w:eastAsia="pl-PL"/>
        </w:rPr>
        <w:t>I.</w:t>
      </w:r>
      <w:r>
        <w:rPr>
          <w:rFonts w:ascii="Times New Roman" w:eastAsiaTheme="minorEastAsia" w:hAnsi="Times New Roman"/>
          <w:b/>
          <w:bCs/>
          <w:sz w:val="24"/>
          <w:szCs w:val="24"/>
          <w:lang w:eastAsia="pl-PL"/>
        </w:rPr>
        <w:tab/>
      </w:r>
      <w:r w:rsidRPr="00C5714C">
        <w:rPr>
          <w:rFonts w:ascii="Times New Roman" w:eastAsiaTheme="minorEastAsia" w:hAnsi="Times New Roman"/>
          <w:b/>
          <w:bCs/>
          <w:sz w:val="24"/>
          <w:szCs w:val="24"/>
          <w:lang w:eastAsia="pl-PL"/>
        </w:rPr>
        <w:t xml:space="preserve">Obecny stan prawny </w:t>
      </w:r>
    </w:p>
    <w:p w:rsidR="001C533A" w:rsidRPr="00D704FC" w:rsidRDefault="001C533A" w:rsidP="001C533A">
      <w:pPr>
        <w:widowControl w:val="0"/>
        <w:tabs>
          <w:tab w:val="left" w:pos="709"/>
        </w:tabs>
        <w:autoSpaceDE w:val="0"/>
        <w:autoSpaceDN w:val="0"/>
        <w:adjustRightInd w:val="0"/>
        <w:spacing w:after="120" w:line="360" w:lineRule="auto"/>
        <w:ind w:left="709" w:hanging="425"/>
        <w:jc w:val="both"/>
        <w:rPr>
          <w:rFonts w:ascii="Times New Roman" w:eastAsiaTheme="minorEastAsia" w:hAnsi="Times New Roman"/>
          <w:bCs/>
          <w:sz w:val="24"/>
          <w:szCs w:val="24"/>
          <w:lang w:eastAsia="pl-PL"/>
        </w:rPr>
      </w:pPr>
      <w:r w:rsidRPr="00D704FC">
        <w:rPr>
          <w:rFonts w:ascii="Times New Roman" w:eastAsiaTheme="minorEastAsia" w:hAnsi="Times New Roman"/>
          <w:bCs/>
          <w:sz w:val="24"/>
          <w:szCs w:val="24"/>
          <w:lang w:eastAsia="pl-PL"/>
        </w:rPr>
        <w:t>1.</w:t>
      </w:r>
      <w:r>
        <w:rPr>
          <w:rFonts w:ascii="Times New Roman" w:eastAsiaTheme="minorEastAsia" w:hAnsi="Times New Roman"/>
          <w:bCs/>
          <w:sz w:val="24"/>
          <w:szCs w:val="24"/>
          <w:lang w:eastAsia="pl-PL"/>
        </w:rPr>
        <w:tab/>
      </w:r>
      <w:r w:rsidRPr="00D704FC">
        <w:rPr>
          <w:rFonts w:ascii="Times New Roman" w:eastAsiaTheme="minorEastAsia" w:hAnsi="Times New Roman"/>
          <w:bCs/>
          <w:sz w:val="24"/>
          <w:szCs w:val="24"/>
          <w:u w:val="single"/>
          <w:lang w:eastAsia="pl-PL"/>
        </w:rPr>
        <w:t>Zasady ogólne dotyczące naliczania odsetek od zaległych odsetek, tj. stosowania tzw. procentu składanego</w:t>
      </w:r>
    </w:p>
    <w:p w:rsidR="001C533A" w:rsidRPr="00C5714C" w:rsidRDefault="001C533A" w:rsidP="001C533A">
      <w:pPr>
        <w:widowControl w:val="0"/>
        <w:autoSpaceDE w:val="0"/>
        <w:autoSpaceDN w:val="0"/>
        <w:adjustRightInd w:val="0"/>
        <w:spacing w:after="120" w:line="360" w:lineRule="auto"/>
        <w:ind w:firstLine="708"/>
        <w:jc w:val="both"/>
        <w:rPr>
          <w:rFonts w:ascii="Times New Roman" w:eastAsiaTheme="minorEastAsia" w:hAnsi="Times New Roman"/>
          <w:bCs/>
          <w:sz w:val="24"/>
          <w:szCs w:val="24"/>
          <w:lang w:eastAsia="pl-PL"/>
        </w:rPr>
      </w:pPr>
      <w:r w:rsidRPr="00C5714C">
        <w:rPr>
          <w:rFonts w:ascii="Times New Roman" w:eastAsiaTheme="minorEastAsia" w:hAnsi="Times New Roman"/>
          <w:bCs/>
          <w:sz w:val="24"/>
          <w:szCs w:val="24"/>
          <w:lang w:eastAsia="pl-PL"/>
        </w:rPr>
        <w:t>Zgodnie z art. 482 § 1 Kodeksu cywilnego, od zaległych odsetek można żądać odsetek za opóźnienie dopiero od chwili wytoczenia o nie powództwa, chyba że po powstaniu zaległości strony zgodziły się na doliczenie zaległych odsetek do dłużnej sumy.</w:t>
      </w:r>
    </w:p>
    <w:p w:rsidR="001C533A" w:rsidRPr="00C5714C"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 xml:space="preserve">Kodeks cywilny ustanawia zatem zakaz umawiania się z góry o zapłatę odsetek od zaległych odsetek, czyli zakaz stosowania tzw. anatocyzmu. Celem zakazu anatocyzmu jest ochrona dłużnika przed nadmiernym obciążeniem finansowym, które wiązałoby się z opóźnieniem w wykonaniu przez niego świadczenia pieniężnego. Zakaz ten prowadzi do limitowania represyjnego charakteru odsetek za opóźnienie, poprzez wyłączenie zaległych odsetek z podstawy naliczania oprocentowania karnego. Orzecznictwo sądowe wskazuje, że zakaz anatocyzmu obejmuje zarówno </w:t>
      </w:r>
      <w:r w:rsidRPr="00C5714C">
        <w:rPr>
          <w:rFonts w:ascii="Times New Roman" w:eastAsiaTheme="minorEastAsia" w:hAnsi="Times New Roman"/>
          <w:bCs/>
          <w:sz w:val="24"/>
          <w:szCs w:val="24"/>
          <w:lang w:eastAsia="pl-PL"/>
        </w:rPr>
        <w:t>odsetki kapitałowe</w:t>
      </w:r>
      <w:r w:rsidRPr="00C5714C">
        <w:rPr>
          <w:rFonts w:ascii="Times New Roman" w:eastAsiaTheme="minorEastAsia" w:hAnsi="Times New Roman"/>
          <w:sz w:val="24"/>
          <w:szCs w:val="24"/>
          <w:lang w:eastAsia="pl-PL"/>
        </w:rPr>
        <w:t xml:space="preserve">, jak i </w:t>
      </w:r>
      <w:r w:rsidRPr="00C5714C">
        <w:rPr>
          <w:rFonts w:ascii="Times New Roman" w:eastAsiaTheme="minorEastAsia" w:hAnsi="Times New Roman"/>
          <w:bCs/>
          <w:sz w:val="24"/>
          <w:szCs w:val="24"/>
          <w:lang w:eastAsia="pl-PL"/>
        </w:rPr>
        <w:t>odsetki za opóźnienie</w:t>
      </w:r>
      <w:r w:rsidRPr="00C5714C">
        <w:rPr>
          <w:rFonts w:ascii="Times New Roman" w:eastAsiaTheme="minorEastAsia" w:hAnsi="Times New Roman"/>
          <w:bCs/>
          <w:sz w:val="24"/>
          <w:szCs w:val="24"/>
          <w:vertAlign w:val="superscript"/>
          <w:lang w:eastAsia="pl-PL"/>
        </w:rPr>
        <w:footnoteReference w:id="1"/>
      </w:r>
      <w:r w:rsidRPr="00C5714C">
        <w:rPr>
          <w:rFonts w:ascii="Times New Roman" w:eastAsiaTheme="minorEastAsia" w:hAnsi="Times New Roman"/>
          <w:sz w:val="24"/>
          <w:szCs w:val="24"/>
          <w:lang w:eastAsia="pl-PL"/>
        </w:rPr>
        <w:t>. Zaznaczyć należy, że odsetki można naliczać już w przypadku opóźnienia</w:t>
      </w:r>
      <w:r>
        <w:rPr>
          <w:rFonts w:ascii="Times New Roman" w:eastAsiaTheme="minorEastAsia" w:hAnsi="Times New Roman"/>
          <w:sz w:val="24"/>
          <w:szCs w:val="24"/>
          <w:lang w:eastAsia="pl-PL"/>
        </w:rPr>
        <w:t xml:space="preserve"> -</w:t>
      </w:r>
      <w:r w:rsidRPr="00C5714C">
        <w:rPr>
          <w:rFonts w:ascii="Times New Roman" w:eastAsiaTheme="minorEastAsia" w:hAnsi="Times New Roman"/>
          <w:sz w:val="24"/>
          <w:szCs w:val="24"/>
          <w:lang w:eastAsia="pl-PL"/>
        </w:rPr>
        <w:t xml:space="preserve"> nie musi zaistnieć zwłoka dłużnika. </w:t>
      </w:r>
    </w:p>
    <w:p w:rsidR="001C533A" w:rsidRPr="00C5714C" w:rsidRDefault="001C533A" w:rsidP="001C533A">
      <w:pPr>
        <w:spacing w:after="120" w:line="360" w:lineRule="auto"/>
        <w:ind w:firstLine="709"/>
        <w:jc w:val="both"/>
        <w:rPr>
          <w:rFonts w:ascii="Times New Roman" w:eastAsiaTheme="minorEastAsia" w:hAnsi="Times New Roman"/>
          <w:bCs/>
          <w:sz w:val="24"/>
          <w:szCs w:val="24"/>
          <w:lang w:eastAsia="pl-PL"/>
        </w:rPr>
      </w:pPr>
      <w:r w:rsidRPr="00C5714C">
        <w:rPr>
          <w:rFonts w:ascii="Times New Roman" w:eastAsiaTheme="minorEastAsia" w:hAnsi="Times New Roman"/>
          <w:sz w:val="24"/>
          <w:szCs w:val="24"/>
          <w:lang w:eastAsia="pl-PL"/>
        </w:rPr>
        <w:t>Przepisy Kodeksu cywilnego przewidują trzy wyjątki od zakazu anatocyzmu. Pierwszy dotyczy przypadku, gdy strony umówiły się, już po powstaniu odsetek, na ich kapitalizację. Drugi wyjątek dotyczy kapitalizacji dokonanej po wytoczeniu powództwa o zaległe odsetki. Trzeci wyjątek ma charakter podmiotowy i odnosi się do in</w:t>
      </w:r>
      <w:r>
        <w:rPr>
          <w:rFonts w:ascii="Times New Roman" w:eastAsiaTheme="minorEastAsia" w:hAnsi="Times New Roman"/>
          <w:sz w:val="24"/>
          <w:szCs w:val="24"/>
          <w:lang w:eastAsia="pl-PL"/>
        </w:rPr>
        <w:t xml:space="preserve">stytucji kredytowych. Zgodnie z </w:t>
      </w:r>
      <w:r w:rsidRPr="00C5714C">
        <w:rPr>
          <w:rFonts w:ascii="Times New Roman" w:eastAsiaTheme="minorEastAsia" w:hAnsi="Times New Roman"/>
          <w:sz w:val="24"/>
          <w:szCs w:val="24"/>
          <w:lang w:eastAsia="pl-PL"/>
        </w:rPr>
        <w:t xml:space="preserve">art. 482 § 2 Kodeksu cywilnego, dopuszczalne jest pobieranie odsetek od zaległych odsetek należnych od pożyczek długoterminowych udzielanych </w:t>
      </w:r>
      <w:r w:rsidRPr="00C5714C">
        <w:rPr>
          <w:rFonts w:ascii="Times New Roman" w:eastAsiaTheme="minorEastAsia" w:hAnsi="Times New Roman"/>
          <w:bCs/>
          <w:sz w:val="24"/>
          <w:szCs w:val="24"/>
          <w:lang w:eastAsia="pl-PL"/>
        </w:rPr>
        <w:t xml:space="preserve">przez </w:t>
      </w:r>
      <w:r w:rsidRPr="00C5714C">
        <w:rPr>
          <w:rFonts w:ascii="Times New Roman" w:eastAsiaTheme="minorEastAsia" w:hAnsi="Times New Roman"/>
          <w:bCs/>
          <w:sz w:val="24"/>
          <w:szCs w:val="24"/>
          <w:lang w:eastAsia="pl-PL"/>
        </w:rPr>
        <w:lastRenderedPageBreak/>
        <w:t>instytucje kredytowe.</w:t>
      </w:r>
      <w:r>
        <w:rPr>
          <w:rFonts w:ascii="Times New Roman" w:eastAsiaTheme="minorEastAsia" w:hAnsi="Times New Roman"/>
          <w:bCs/>
          <w:sz w:val="24"/>
          <w:szCs w:val="24"/>
          <w:lang w:eastAsia="pl-PL"/>
        </w:rPr>
        <w:t xml:space="preserve"> W przypadku pierwszych dwóch wyjątków warunkiem naliczania odsetek jest powstanie zaległości, a w przypadku trzeciego wyjątku dopuszczalny jest taki zapis już w umowie o pożyczkę długoterminową. Dłużnik instytucji kredytowej z tytułu umowy pożyczki długoterminowej nie jest zatem chroniony na zasadach ogólnych przed nadmierną restryktywnością odsetek za opóźnienie, sama zaś instytucja kredytowa jest w tym zakresie uprzywilejowana w obrocie prawnym. </w:t>
      </w:r>
    </w:p>
    <w:p w:rsidR="001C533A" w:rsidRPr="00C5714C" w:rsidRDefault="001C533A" w:rsidP="001C533A">
      <w:pPr>
        <w:spacing w:after="120" w:line="360" w:lineRule="auto"/>
        <w:ind w:firstLine="708"/>
        <w:jc w:val="both"/>
        <w:rPr>
          <w:rFonts w:ascii="Times New Roman" w:eastAsiaTheme="minorEastAsia" w:hAnsi="Times New Roman"/>
          <w:bCs/>
          <w:sz w:val="24"/>
          <w:szCs w:val="24"/>
          <w:lang w:eastAsia="pl-PL"/>
        </w:rPr>
      </w:pPr>
      <w:r w:rsidRPr="00C5714C">
        <w:rPr>
          <w:rFonts w:ascii="Times New Roman" w:eastAsiaTheme="minorEastAsia" w:hAnsi="Times New Roman"/>
          <w:bCs/>
          <w:sz w:val="24"/>
          <w:szCs w:val="24"/>
          <w:lang w:eastAsia="pl-PL"/>
        </w:rPr>
        <w:t>Wyjątek przewidziany dla instytucji kredytowych został wprowadzony w okresie funkcjonowania w Polsce gospodarki socjalistycznej. W momencie tworzenia tego przepisu pojęcie „instytucja kredytowa” odnosiło się do takich podmiotów</w:t>
      </w:r>
      <w:r>
        <w:rPr>
          <w:rFonts w:ascii="Times New Roman" w:eastAsiaTheme="minorEastAsia" w:hAnsi="Times New Roman"/>
          <w:bCs/>
          <w:sz w:val="24"/>
          <w:szCs w:val="24"/>
          <w:lang w:eastAsia="pl-PL"/>
        </w:rPr>
        <w:t>,</w:t>
      </w:r>
      <w:r w:rsidRPr="00C5714C">
        <w:rPr>
          <w:rFonts w:ascii="Times New Roman" w:eastAsiaTheme="minorEastAsia" w:hAnsi="Times New Roman"/>
          <w:bCs/>
          <w:sz w:val="24"/>
          <w:szCs w:val="24"/>
          <w:lang w:eastAsia="pl-PL"/>
        </w:rPr>
        <w:t xml:space="preserve"> jak: bank centralny, banki specjalne, branżowe, spółdzielnie kredytowe oraz kasy oszczędnościowe</w:t>
      </w:r>
      <w:r w:rsidRPr="00C5714C">
        <w:rPr>
          <w:rFonts w:ascii="Times New Roman" w:eastAsiaTheme="minorEastAsia" w:hAnsi="Times New Roman"/>
          <w:bCs/>
          <w:sz w:val="24"/>
          <w:szCs w:val="24"/>
          <w:vertAlign w:val="superscript"/>
          <w:lang w:eastAsia="pl-PL"/>
        </w:rPr>
        <w:footnoteReference w:id="2"/>
      </w:r>
      <w:r w:rsidRPr="00C5714C">
        <w:rPr>
          <w:rFonts w:ascii="Times New Roman" w:eastAsiaTheme="minorEastAsia" w:hAnsi="Times New Roman"/>
          <w:bCs/>
          <w:sz w:val="24"/>
          <w:szCs w:val="24"/>
          <w:lang w:eastAsia="pl-PL"/>
        </w:rPr>
        <w:t xml:space="preserve">. Jak wskazuje się w literaturze, podmioty te miały ścisły podział kompetencji w zakresie wykonywanych przez siebie zadań, a zadanie polegające na udzielaniu pożyczek długoterminowych było przydzielone do banków specjalnych. Żadna inna instytucja nie mogła udzielać tego rodzaju pożyczek. </w:t>
      </w:r>
    </w:p>
    <w:p w:rsidR="001C533A" w:rsidRPr="00C5714C" w:rsidRDefault="001C533A" w:rsidP="001C533A">
      <w:pPr>
        <w:spacing w:after="120" w:line="360" w:lineRule="auto"/>
        <w:ind w:firstLine="708"/>
        <w:jc w:val="both"/>
        <w:rPr>
          <w:rFonts w:ascii="Times New Roman" w:eastAsiaTheme="minorEastAsia" w:hAnsi="Times New Roman"/>
          <w:bCs/>
          <w:sz w:val="24"/>
          <w:szCs w:val="24"/>
          <w:lang w:eastAsia="pl-PL"/>
        </w:rPr>
      </w:pPr>
      <w:r w:rsidRPr="00C5714C">
        <w:rPr>
          <w:rFonts w:ascii="Times New Roman" w:eastAsiaTheme="minorEastAsia" w:hAnsi="Times New Roman"/>
          <w:bCs/>
          <w:sz w:val="24"/>
          <w:szCs w:val="24"/>
          <w:lang w:eastAsia="pl-PL"/>
        </w:rPr>
        <w:t xml:space="preserve">Treść art. 482 § 2 Kodeksu cywilnego nie była zmieniana od dnia wejścia w życie Kodeksu cywilnego, tj. od dnia 1 stycznia 1965 r. W związku ze zmianami ustrojowo-gospodarczymi, jakie zaszły w Polsce od tego czasu, literalne brzmienie tego przepisu przestało być adekwatne do otoczenia prawno-gospodarczego. W związku z powyższym, zaczęto ten przepis interpretować tak, aby dopasować go </w:t>
      </w:r>
      <w:r>
        <w:rPr>
          <w:rFonts w:ascii="Times New Roman" w:eastAsiaTheme="minorEastAsia" w:hAnsi="Times New Roman"/>
          <w:bCs/>
          <w:sz w:val="24"/>
          <w:szCs w:val="24"/>
          <w:lang w:eastAsia="pl-PL"/>
        </w:rPr>
        <w:t xml:space="preserve">do </w:t>
      </w:r>
      <w:r w:rsidRPr="00C5714C">
        <w:rPr>
          <w:rFonts w:ascii="Times New Roman" w:eastAsiaTheme="minorEastAsia" w:hAnsi="Times New Roman"/>
          <w:bCs/>
          <w:sz w:val="24"/>
          <w:szCs w:val="24"/>
          <w:lang w:eastAsia="pl-PL"/>
        </w:rPr>
        <w:t xml:space="preserve">zmian zachodzących przede wszystkim w obszarze prawa bankowego. </w:t>
      </w:r>
    </w:p>
    <w:p w:rsidR="001C533A" w:rsidRDefault="001C533A" w:rsidP="001C533A">
      <w:pPr>
        <w:spacing w:after="0" w:line="360" w:lineRule="auto"/>
        <w:ind w:firstLine="709"/>
        <w:jc w:val="both"/>
        <w:rPr>
          <w:rFonts w:ascii="Times New Roman" w:eastAsiaTheme="minorEastAsia" w:hAnsi="Times New Roman"/>
          <w:bCs/>
          <w:sz w:val="24"/>
          <w:szCs w:val="24"/>
          <w:lang w:eastAsia="pl-PL"/>
        </w:rPr>
      </w:pPr>
      <w:r w:rsidRPr="00C5714C">
        <w:rPr>
          <w:rFonts w:ascii="Times New Roman" w:eastAsiaTheme="minorEastAsia" w:hAnsi="Times New Roman"/>
          <w:bCs/>
          <w:sz w:val="24"/>
          <w:szCs w:val="24"/>
          <w:lang w:eastAsia="pl-PL"/>
        </w:rPr>
        <w:t>Analiza doktryny i orzecznictwa wskazuje, że w zasadzie wszystkie elementy normy z art. 482 § 2 Kodeksu cywilnego, tj. zakres podmiotowy tego przepisu, jak również pojęcie pożyczki długoterminowej, budzą wątpliwości interpretacyjne.</w:t>
      </w:r>
    </w:p>
    <w:p w:rsidR="001C533A" w:rsidRDefault="001C533A" w:rsidP="001C533A">
      <w:pPr>
        <w:spacing w:after="0" w:line="360" w:lineRule="auto"/>
        <w:ind w:firstLine="709"/>
        <w:jc w:val="both"/>
        <w:rPr>
          <w:rFonts w:ascii="Times New Roman" w:eastAsiaTheme="minorEastAsia" w:hAnsi="Times New Roman"/>
          <w:bCs/>
          <w:sz w:val="24"/>
          <w:szCs w:val="24"/>
          <w:lang w:eastAsia="pl-PL"/>
        </w:rPr>
      </w:pPr>
    </w:p>
    <w:p w:rsidR="001C533A" w:rsidRPr="00D704FC" w:rsidRDefault="001C533A" w:rsidP="001C533A">
      <w:pPr>
        <w:spacing w:after="120" w:line="360" w:lineRule="auto"/>
        <w:ind w:left="709" w:hanging="425"/>
        <w:jc w:val="both"/>
        <w:rPr>
          <w:rFonts w:ascii="Times New Roman" w:eastAsiaTheme="minorEastAsia" w:hAnsi="Times New Roman"/>
          <w:bCs/>
          <w:sz w:val="24"/>
          <w:szCs w:val="24"/>
          <w:u w:val="single"/>
          <w:lang w:eastAsia="pl-PL"/>
        </w:rPr>
      </w:pPr>
      <w:r w:rsidRPr="00D704FC">
        <w:rPr>
          <w:rFonts w:ascii="Times New Roman" w:eastAsiaTheme="minorEastAsia" w:hAnsi="Times New Roman"/>
          <w:bCs/>
          <w:sz w:val="24"/>
          <w:szCs w:val="24"/>
          <w:lang w:eastAsia="pl-PL"/>
        </w:rPr>
        <w:t>2.</w:t>
      </w:r>
      <w:r>
        <w:rPr>
          <w:rFonts w:ascii="Times New Roman" w:eastAsiaTheme="minorEastAsia" w:hAnsi="Times New Roman"/>
          <w:bCs/>
          <w:sz w:val="24"/>
          <w:szCs w:val="24"/>
          <w:lang w:eastAsia="pl-PL"/>
        </w:rPr>
        <w:tab/>
      </w:r>
      <w:r w:rsidRPr="00D704FC">
        <w:rPr>
          <w:rFonts w:ascii="Times New Roman" w:eastAsiaTheme="minorEastAsia" w:hAnsi="Times New Roman"/>
          <w:bCs/>
          <w:sz w:val="24"/>
          <w:szCs w:val="24"/>
          <w:u w:val="single"/>
          <w:lang w:eastAsia="pl-PL"/>
        </w:rPr>
        <w:t>Zakres podmiotowy art. 482 § 2 Kodeksu cywilnego</w:t>
      </w:r>
    </w:p>
    <w:p w:rsidR="001C533A" w:rsidRPr="00C5714C" w:rsidRDefault="001C533A" w:rsidP="001C533A">
      <w:pPr>
        <w:spacing w:after="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bCs/>
          <w:sz w:val="24"/>
          <w:szCs w:val="24"/>
          <w:lang w:eastAsia="pl-PL"/>
        </w:rPr>
        <w:t xml:space="preserve">Zakres instytucji wyłączonych spod zakazu anatocyzmu budzi wątpliwości interpretacyjne ze względu na zmiany podmiotowe, jakie zaszły w sektorze bankowym od lat sześćdziesiątych XX wieku do dnia dzisiejszego. </w:t>
      </w:r>
      <w:r w:rsidRPr="00C5714C">
        <w:rPr>
          <w:rFonts w:ascii="Times New Roman" w:eastAsiaTheme="minorEastAsia" w:hAnsi="Times New Roman"/>
          <w:sz w:val="24"/>
          <w:szCs w:val="24"/>
          <w:lang w:eastAsia="pl-PL"/>
        </w:rPr>
        <w:t>Poglądy doktryny nie są w tej materii jedno</w:t>
      </w:r>
      <w:r>
        <w:rPr>
          <w:rFonts w:ascii="Times New Roman" w:eastAsiaTheme="minorEastAsia" w:hAnsi="Times New Roman"/>
          <w:sz w:val="24"/>
          <w:szCs w:val="24"/>
          <w:lang w:eastAsia="pl-PL"/>
        </w:rPr>
        <w:t>lite.</w:t>
      </w:r>
      <w:r w:rsidRPr="00C5714C">
        <w:rPr>
          <w:rFonts w:ascii="Times New Roman" w:eastAsiaTheme="minorEastAsia" w:hAnsi="Times New Roman"/>
          <w:bCs/>
          <w:sz w:val="24"/>
          <w:szCs w:val="24"/>
          <w:lang w:eastAsia="pl-PL"/>
        </w:rPr>
        <w:t xml:space="preserve"> Z jednej st</w:t>
      </w:r>
      <w:r>
        <w:rPr>
          <w:rFonts w:ascii="Times New Roman" w:eastAsiaTheme="minorEastAsia" w:hAnsi="Times New Roman"/>
          <w:bCs/>
          <w:sz w:val="24"/>
          <w:szCs w:val="24"/>
          <w:lang w:eastAsia="pl-PL"/>
        </w:rPr>
        <w:t xml:space="preserve">rony, biorąc pod uwagę to, że w </w:t>
      </w:r>
      <w:r w:rsidRPr="00C5714C">
        <w:rPr>
          <w:rFonts w:ascii="Times New Roman" w:eastAsiaTheme="minorEastAsia" w:hAnsi="Times New Roman"/>
          <w:bCs/>
          <w:sz w:val="24"/>
          <w:szCs w:val="24"/>
          <w:lang w:eastAsia="pl-PL"/>
        </w:rPr>
        <w:t>momencie tworzenia tego przepisu odnosił się on tylko do banków, z uwagi na to, że żadna inna instytucja poza bankami specjalnymi nie mogła udzielać pożyczek długotermin</w:t>
      </w:r>
      <w:r>
        <w:rPr>
          <w:rFonts w:ascii="Times New Roman" w:eastAsiaTheme="minorEastAsia" w:hAnsi="Times New Roman"/>
          <w:bCs/>
          <w:sz w:val="24"/>
          <w:szCs w:val="24"/>
          <w:lang w:eastAsia="pl-PL"/>
        </w:rPr>
        <w:t xml:space="preserve">owych, to wykładnia literalna </w:t>
      </w:r>
      <w:r>
        <w:rPr>
          <w:rFonts w:ascii="Times New Roman" w:eastAsiaTheme="minorEastAsia" w:hAnsi="Times New Roman"/>
          <w:bCs/>
          <w:sz w:val="24"/>
          <w:szCs w:val="24"/>
          <w:lang w:eastAsia="pl-PL"/>
        </w:rPr>
        <w:lastRenderedPageBreak/>
        <w:t>i </w:t>
      </w:r>
      <w:r w:rsidRPr="00C5714C">
        <w:rPr>
          <w:rFonts w:ascii="Times New Roman" w:eastAsiaTheme="minorEastAsia" w:hAnsi="Times New Roman"/>
          <w:bCs/>
          <w:sz w:val="24"/>
          <w:szCs w:val="24"/>
          <w:lang w:eastAsia="pl-PL"/>
        </w:rPr>
        <w:t>historyczna wskazywać powinna ograniczenie tego przepisu również obecnie tylko do banków</w:t>
      </w:r>
      <w:r w:rsidRPr="00C5714C">
        <w:rPr>
          <w:rFonts w:ascii="Times New Roman" w:eastAsiaTheme="minorEastAsia" w:hAnsi="Times New Roman"/>
          <w:bCs/>
          <w:sz w:val="24"/>
          <w:szCs w:val="24"/>
          <w:vertAlign w:val="superscript"/>
          <w:lang w:eastAsia="pl-PL"/>
        </w:rPr>
        <w:footnoteReference w:id="3"/>
      </w:r>
      <w:r w:rsidRPr="00C5714C">
        <w:rPr>
          <w:rFonts w:ascii="Times New Roman" w:eastAsiaTheme="minorEastAsia" w:hAnsi="Times New Roman"/>
          <w:bCs/>
          <w:sz w:val="24"/>
          <w:szCs w:val="24"/>
          <w:lang w:eastAsia="pl-PL"/>
        </w:rPr>
        <w:t>. Jednakże, zgodnie z definicją instytucji kred</w:t>
      </w:r>
      <w:r>
        <w:rPr>
          <w:rFonts w:ascii="Times New Roman" w:eastAsiaTheme="minorEastAsia" w:hAnsi="Times New Roman"/>
          <w:bCs/>
          <w:sz w:val="24"/>
          <w:szCs w:val="24"/>
          <w:lang w:eastAsia="pl-PL"/>
        </w:rPr>
        <w:t>ytowej obowiązującą aktualnie w </w:t>
      </w:r>
      <w:r w:rsidRPr="00C5714C">
        <w:rPr>
          <w:rFonts w:ascii="Times New Roman" w:eastAsiaTheme="minorEastAsia" w:hAnsi="Times New Roman"/>
          <w:bCs/>
          <w:sz w:val="24"/>
          <w:szCs w:val="24"/>
          <w:lang w:eastAsia="pl-PL"/>
        </w:rPr>
        <w:t xml:space="preserve">prawie polskim, w zakresie podmiotowym </w:t>
      </w:r>
      <w:r>
        <w:rPr>
          <w:rFonts w:ascii="Times New Roman" w:eastAsiaTheme="minorEastAsia" w:hAnsi="Times New Roman"/>
          <w:bCs/>
          <w:sz w:val="24"/>
          <w:szCs w:val="24"/>
          <w:lang w:eastAsia="pl-PL"/>
        </w:rPr>
        <w:t xml:space="preserve">tego </w:t>
      </w:r>
      <w:r w:rsidRPr="00C5714C">
        <w:rPr>
          <w:rFonts w:ascii="Times New Roman" w:eastAsiaTheme="minorEastAsia" w:hAnsi="Times New Roman"/>
          <w:bCs/>
          <w:sz w:val="24"/>
          <w:szCs w:val="24"/>
          <w:lang w:eastAsia="pl-PL"/>
        </w:rPr>
        <w:t>pojęcia mieszczą się, oprócz banków, również spółdzielcze kasy oszczędnościowo-</w:t>
      </w:r>
      <w:r w:rsidRPr="00C5714C">
        <w:rPr>
          <w:rFonts w:ascii="Times New Roman" w:eastAsiaTheme="minorEastAsia" w:hAnsi="Times New Roman"/>
          <w:bCs/>
          <w:iCs/>
          <w:sz w:val="24"/>
          <w:szCs w:val="24"/>
          <w:lang w:eastAsia="pl-PL"/>
        </w:rPr>
        <w:t>kredytowe</w:t>
      </w:r>
      <w:r>
        <w:rPr>
          <w:rFonts w:ascii="Times New Roman" w:eastAsiaTheme="minorEastAsia" w:hAnsi="Times New Roman"/>
          <w:bCs/>
          <w:sz w:val="24"/>
          <w:szCs w:val="24"/>
          <w:lang w:eastAsia="pl-PL"/>
        </w:rPr>
        <w:t xml:space="preserve">. Pomimo tego, w </w:t>
      </w:r>
      <w:r w:rsidRPr="00C5714C">
        <w:rPr>
          <w:rFonts w:ascii="Times New Roman" w:eastAsiaTheme="minorEastAsia" w:hAnsi="Times New Roman"/>
          <w:bCs/>
          <w:sz w:val="24"/>
          <w:szCs w:val="24"/>
          <w:lang w:eastAsia="pl-PL"/>
        </w:rPr>
        <w:t xml:space="preserve">doktrynie uznaje się, że </w:t>
      </w:r>
      <w:r w:rsidRPr="00C5714C">
        <w:rPr>
          <w:rFonts w:ascii="Times New Roman" w:eastAsiaTheme="minorEastAsia" w:hAnsi="Times New Roman"/>
          <w:i/>
          <w:sz w:val="24"/>
          <w:szCs w:val="24"/>
          <w:lang w:eastAsia="pl-PL"/>
        </w:rPr>
        <w:t xml:space="preserve">ze względu na zasadę </w:t>
      </w:r>
      <w:r w:rsidRPr="00C5714C">
        <w:rPr>
          <w:rFonts w:ascii="Times New Roman" w:eastAsiaTheme="minorEastAsia" w:hAnsi="Times New Roman"/>
          <w:i/>
          <w:iCs/>
          <w:sz w:val="24"/>
          <w:szCs w:val="24"/>
          <w:lang w:eastAsia="pl-PL"/>
        </w:rPr>
        <w:t>exceptiones non sunt excendendae</w:t>
      </w:r>
      <w:r w:rsidRPr="00C5714C">
        <w:rPr>
          <w:rFonts w:ascii="Times New Roman" w:eastAsiaTheme="minorEastAsia" w:hAnsi="Times New Roman"/>
          <w:i/>
          <w:sz w:val="24"/>
          <w:szCs w:val="24"/>
          <w:lang w:eastAsia="pl-PL"/>
        </w:rPr>
        <w:t xml:space="preserve"> wydaje się niemożliwe, aby poza bankami pod pojęciem instytucji kredytowych można było ujmować inne jeszcze podmioty</w:t>
      </w:r>
      <w:r w:rsidRPr="00C5714C">
        <w:rPr>
          <w:rFonts w:ascii="Times New Roman" w:eastAsiaTheme="minorEastAsia" w:hAnsi="Times New Roman"/>
          <w:sz w:val="24"/>
          <w:szCs w:val="24"/>
          <w:vertAlign w:val="superscript"/>
          <w:lang w:eastAsia="pl-PL"/>
        </w:rPr>
        <w:footnoteReference w:id="4"/>
      </w:r>
      <w:r>
        <w:rPr>
          <w:rFonts w:ascii="Times New Roman" w:eastAsiaTheme="minorEastAsia" w:hAnsi="Times New Roman"/>
          <w:i/>
          <w:sz w:val="24"/>
          <w:szCs w:val="24"/>
          <w:lang w:eastAsia="pl-PL"/>
        </w:rPr>
        <w:t xml:space="preserve">, </w:t>
      </w:r>
      <w:r>
        <w:rPr>
          <w:rFonts w:ascii="Times New Roman" w:eastAsiaTheme="minorEastAsia" w:hAnsi="Times New Roman"/>
          <w:sz w:val="24"/>
          <w:szCs w:val="24"/>
          <w:lang w:eastAsia="pl-PL"/>
        </w:rPr>
        <w:t>i w praktyce odmawia się możliwości stosowania tego przepisu wobec spółdzielczych kas oszczędnościowo-kredytowych.</w:t>
      </w:r>
    </w:p>
    <w:p w:rsidR="001C533A" w:rsidRPr="00C5714C" w:rsidRDefault="001C533A" w:rsidP="001C533A">
      <w:pPr>
        <w:spacing w:after="0" w:line="360" w:lineRule="auto"/>
        <w:jc w:val="both"/>
        <w:rPr>
          <w:rFonts w:ascii="Times New Roman" w:eastAsiaTheme="minorEastAsia" w:hAnsi="Times New Roman"/>
          <w:b/>
          <w:sz w:val="24"/>
          <w:szCs w:val="24"/>
          <w:lang w:eastAsia="pl-PL"/>
        </w:rPr>
      </w:pPr>
    </w:p>
    <w:p w:rsidR="001C533A" w:rsidRPr="00D704FC" w:rsidRDefault="001C533A" w:rsidP="001C533A">
      <w:pPr>
        <w:spacing w:after="120" w:line="360" w:lineRule="auto"/>
        <w:ind w:left="709" w:hanging="425"/>
        <w:jc w:val="both"/>
        <w:rPr>
          <w:rFonts w:ascii="Times New Roman" w:eastAsiaTheme="minorEastAsia" w:hAnsi="Times New Roman"/>
          <w:sz w:val="24"/>
          <w:szCs w:val="24"/>
          <w:u w:val="single"/>
          <w:lang w:eastAsia="pl-PL"/>
        </w:rPr>
      </w:pPr>
      <w:r w:rsidRPr="00D704FC">
        <w:rPr>
          <w:rFonts w:ascii="Times New Roman" w:eastAsiaTheme="minorEastAsia" w:hAnsi="Times New Roman"/>
          <w:sz w:val="24"/>
          <w:szCs w:val="24"/>
          <w:lang w:eastAsia="pl-PL"/>
        </w:rPr>
        <w:t>3.</w:t>
      </w:r>
      <w:r w:rsidRPr="00D704FC">
        <w:rPr>
          <w:rFonts w:ascii="Times New Roman" w:eastAsiaTheme="minorEastAsia" w:hAnsi="Times New Roman"/>
          <w:sz w:val="24"/>
          <w:szCs w:val="24"/>
          <w:lang w:eastAsia="pl-PL"/>
        </w:rPr>
        <w:tab/>
      </w:r>
      <w:r w:rsidRPr="00D704FC">
        <w:rPr>
          <w:rFonts w:ascii="Times New Roman" w:eastAsiaTheme="minorEastAsia" w:hAnsi="Times New Roman"/>
          <w:sz w:val="24"/>
          <w:szCs w:val="24"/>
          <w:u w:val="single"/>
          <w:lang w:eastAsia="pl-PL"/>
        </w:rPr>
        <w:t>Zakres przedmiotowy art. 482 § 2 Kodeksu cywilnego</w:t>
      </w:r>
    </w:p>
    <w:p w:rsidR="001C533A" w:rsidRPr="00C5714C"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 xml:space="preserve">Zgodnie z </w:t>
      </w:r>
      <w:hyperlink r:id="rId7" w:history="1">
        <w:r w:rsidRPr="00C5714C">
          <w:rPr>
            <w:rFonts w:ascii="Times New Roman" w:eastAsiaTheme="minorEastAsia" w:hAnsi="Times New Roman"/>
            <w:sz w:val="24"/>
            <w:szCs w:val="24"/>
            <w:lang w:eastAsia="pl-PL"/>
          </w:rPr>
          <w:t>art. 482 § 2</w:t>
        </w:r>
      </w:hyperlink>
      <w:r w:rsidRPr="00C5714C">
        <w:rPr>
          <w:rFonts w:ascii="Times New Roman" w:eastAsiaTheme="minorEastAsia" w:hAnsi="Times New Roman"/>
          <w:sz w:val="24"/>
          <w:szCs w:val="24"/>
          <w:lang w:eastAsia="pl-PL"/>
        </w:rPr>
        <w:t xml:space="preserve"> Kodeksu cywilnego, zakaz anatocyzmu nie dotyczy pożyczek długoterminowych udzielanych przez instytucje kredytowe. W doktrynie wyrażana jest istotna wątpliwość, czy w obecnych warunkach gospodarczych pojęcie „pożyczka długoterminowa” należy ujmować ściśle, czy też można nim objąć również kredyt długoterminowy</w:t>
      </w:r>
      <w:hyperlink r:id="rId8" w:tooltip="Przypis nr 392" w:history="1"/>
      <w:r w:rsidRPr="00C5714C">
        <w:rPr>
          <w:rFonts w:ascii="Times New Roman" w:eastAsiaTheme="minorEastAsia" w:hAnsi="Times New Roman"/>
          <w:sz w:val="24"/>
          <w:szCs w:val="24"/>
          <w:lang w:eastAsia="pl-PL"/>
        </w:rPr>
        <w:t xml:space="preserve">. Poglądy doktryny są w tym zakresie podzielone. Część przedstawicieli doktryny uznaje, że z przyczyn natury historycznej możliwe do obrony jest ujęcie </w:t>
      </w:r>
      <w:r w:rsidRPr="00C5714C">
        <w:rPr>
          <w:rFonts w:ascii="Times New Roman" w:eastAsiaTheme="minorEastAsia" w:hAnsi="Times New Roman"/>
          <w:bCs/>
          <w:sz w:val="24"/>
          <w:szCs w:val="24"/>
          <w:lang w:eastAsia="pl-PL"/>
        </w:rPr>
        <w:t xml:space="preserve">szersze, przyjmujące, że </w:t>
      </w:r>
      <w:r w:rsidRPr="00C5714C">
        <w:rPr>
          <w:rFonts w:ascii="Times New Roman" w:eastAsiaTheme="minorEastAsia" w:hAnsi="Times New Roman"/>
          <w:sz w:val="24"/>
          <w:szCs w:val="24"/>
          <w:lang w:eastAsia="pl-PL"/>
        </w:rPr>
        <w:t xml:space="preserve">zwrot „pożyczka” odnosi się także do </w:t>
      </w:r>
      <w:r w:rsidRPr="00C5714C">
        <w:rPr>
          <w:rFonts w:ascii="Times New Roman" w:eastAsiaTheme="minorEastAsia" w:hAnsi="Times New Roman"/>
          <w:bCs/>
          <w:sz w:val="24"/>
          <w:szCs w:val="24"/>
          <w:lang w:eastAsia="pl-PL"/>
        </w:rPr>
        <w:t>kredytów</w:t>
      </w:r>
      <w:r w:rsidRPr="00C5714C">
        <w:rPr>
          <w:rFonts w:ascii="Times New Roman" w:eastAsiaTheme="minorEastAsia" w:hAnsi="Times New Roman"/>
          <w:sz w:val="24"/>
          <w:szCs w:val="24"/>
          <w:lang w:eastAsia="pl-PL"/>
        </w:rPr>
        <w:t xml:space="preserve"> udzielanych przez banki, niezależnie od rodzaju dłużnika</w:t>
      </w:r>
      <w:r w:rsidRPr="00C5714C">
        <w:rPr>
          <w:rFonts w:ascii="Times New Roman" w:eastAsiaTheme="minorEastAsia" w:hAnsi="Times New Roman"/>
          <w:sz w:val="24"/>
          <w:szCs w:val="24"/>
          <w:vertAlign w:val="superscript"/>
          <w:lang w:eastAsia="pl-PL"/>
        </w:rPr>
        <w:footnoteReference w:id="5"/>
      </w:r>
      <w:r w:rsidRPr="00C5714C">
        <w:rPr>
          <w:rFonts w:ascii="Times New Roman" w:eastAsiaTheme="minorEastAsia" w:hAnsi="Times New Roman"/>
          <w:sz w:val="24"/>
          <w:szCs w:val="24"/>
          <w:lang w:eastAsia="pl-PL"/>
        </w:rPr>
        <w:t>.</w:t>
      </w:r>
    </w:p>
    <w:p w:rsidR="001C533A" w:rsidRPr="00C5714C"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Część doktryny uznaje, że wyjątkiem nie są objęte umowy kredytowe, ale wyłącznie pożyczki długoterminowe</w:t>
      </w:r>
      <w:r w:rsidRPr="00C5714C">
        <w:rPr>
          <w:rFonts w:ascii="Times New Roman" w:eastAsiaTheme="minorEastAsia" w:hAnsi="Times New Roman"/>
          <w:sz w:val="24"/>
          <w:szCs w:val="24"/>
          <w:vertAlign w:val="superscript"/>
          <w:lang w:eastAsia="pl-PL"/>
        </w:rPr>
        <w:footnoteReference w:id="6"/>
      </w:r>
      <w:r w:rsidRPr="00C5714C">
        <w:rPr>
          <w:rFonts w:ascii="Times New Roman" w:eastAsiaTheme="minorEastAsia" w:hAnsi="Times New Roman"/>
          <w:sz w:val="24"/>
          <w:szCs w:val="24"/>
          <w:lang w:eastAsia="pl-PL"/>
        </w:rPr>
        <w:t>, tym bardziej</w:t>
      </w:r>
      <w:r>
        <w:rPr>
          <w:rFonts w:ascii="Times New Roman" w:eastAsiaTheme="minorEastAsia" w:hAnsi="Times New Roman"/>
          <w:sz w:val="24"/>
          <w:szCs w:val="24"/>
          <w:lang w:eastAsia="pl-PL"/>
        </w:rPr>
        <w:t>,</w:t>
      </w:r>
      <w:r w:rsidRPr="00C5714C">
        <w:rPr>
          <w:rFonts w:ascii="Times New Roman" w:eastAsiaTheme="minorEastAsia" w:hAnsi="Times New Roman"/>
          <w:sz w:val="24"/>
          <w:szCs w:val="24"/>
          <w:lang w:eastAsia="pl-PL"/>
        </w:rPr>
        <w:t xml:space="preserve"> że Prawo bankowe rozróżnia wskazane rodzaje umów. I chociaż przyzwala ono, aby do umowy pożyczki stosować przepisy odnoszące się do kredytów, to jednak w ściśle określonym zakresie, który nie dotyczy tego przypadku.</w:t>
      </w:r>
    </w:p>
    <w:p w:rsidR="001C533A" w:rsidRPr="00C5714C" w:rsidRDefault="001C533A" w:rsidP="001C533A">
      <w:pPr>
        <w:spacing w:after="120" w:line="360" w:lineRule="auto"/>
        <w:ind w:firstLine="708"/>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Przeważa jednak pogląd, w myśl którego pod pojęciem „pożyczek długoterminowych” należy rozumieć również kredyty. Pomimo tego, że jest on oparty na wykładni rozszerzającej wyjątek od zasady, co jest zabiegiem generalnie niedozwolonym w prawie, uznaje się, że</w:t>
      </w:r>
      <w:r>
        <w:rPr>
          <w:rFonts w:ascii="Times New Roman" w:eastAsiaTheme="minorEastAsia" w:hAnsi="Times New Roman"/>
          <w:sz w:val="24"/>
          <w:szCs w:val="24"/>
          <w:lang w:eastAsia="pl-PL"/>
        </w:rPr>
        <w:t>,</w:t>
      </w:r>
      <w:r w:rsidRPr="00C5714C">
        <w:rPr>
          <w:rFonts w:ascii="Times New Roman" w:eastAsiaTheme="minorEastAsia" w:hAnsi="Times New Roman"/>
          <w:sz w:val="24"/>
          <w:szCs w:val="24"/>
          <w:lang w:eastAsia="pl-PL"/>
        </w:rPr>
        <w:t xml:space="preserve"> zważywszy na podstawę aksjologiczną tego przepisu, konieczna jest interpretacja uwzględniająca zmiany ustrojowe i gospodarcze, jakie zaszły w naszym państwie.</w:t>
      </w:r>
    </w:p>
    <w:p w:rsidR="001C533A"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lastRenderedPageBreak/>
        <w:t>Kontrowersje budzi także wskazanie okresu, jaki jest właściwy dla uznania pożyczki za długookresową. Poglądy doktryny skłaniają się najczęściej do przyjęcia, że pożyczka długookresowa musi trwać co najmniej rok. Jednak brak jest jednoznacznej, wynikającej wprost z przepisów prawa cywilnego, podstawy do przyjęcia takiej tezy.</w:t>
      </w:r>
    </w:p>
    <w:p w:rsidR="001C533A" w:rsidRPr="00C5714C" w:rsidRDefault="001C533A" w:rsidP="001C533A">
      <w:pPr>
        <w:spacing w:after="0" w:line="360" w:lineRule="auto"/>
        <w:ind w:firstLine="708"/>
        <w:jc w:val="both"/>
        <w:rPr>
          <w:rFonts w:ascii="Times New Roman" w:eastAsiaTheme="minorEastAsia" w:hAnsi="Times New Roman"/>
          <w:sz w:val="24"/>
          <w:szCs w:val="24"/>
          <w:lang w:eastAsia="pl-PL"/>
        </w:rPr>
      </w:pPr>
      <w:r>
        <w:rPr>
          <w:rFonts w:ascii="Times New Roman" w:eastAsiaTheme="minorEastAsia" w:hAnsi="Times New Roman"/>
          <w:sz w:val="24"/>
          <w:szCs w:val="24"/>
          <w:lang w:eastAsia="pl-PL"/>
        </w:rPr>
        <w:t>Unormowania wprowadzone do Kodeksu cywilnego w latach 60. XX wieku, a zachowane w swym pierwotnym brzmieniu, stały się nieadekwatne względem siatki pojęciowej, jaką operuje obecne ustawodawstwo finansowe, a w szczególności ustawa – Prawo bankowe. Pomimo tego, że niektóre wątpliwości interpretacyjne dotyczące art. 482 § 2 Kodeksu cywilnego można rozwiązać opierając się na wykładni, orzecznictwie i doktrynie, nie zmienia to faktu, że przepis jest niejednoznaczny. Jest to sytuacja niekorzystna zarówno dla wierzycieli, jak i dłużników, gdyż rodzi dla nich ryzyko prawne.</w:t>
      </w:r>
    </w:p>
    <w:p w:rsidR="001C533A" w:rsidRPr="00C5714C" w:rsidRDefault="001C533A" w:rsidP="001C533A">
      <w:pPr>
        <w:spacing w:after="0" w:line="360" w:lineRule="auto"/>
        <w:jc w:val="both"/>
        <w:rPr>
          <w:rFonts w:ascii="Times New Roman" w:eastAsiaTheme="minorEastAsia" w:hAnsi="Times New Roman"/>
          <w:sz w:val="24"/>
          <w:szCs w:val="24"/>
          <w:lang w:eastAsia="pl-PL"/>
        </w:rPr>
      </w:pPr>
    </w:p>
    <w:p w:rsidR="001C533A" w:rsidRPr="00C5714C" w:rsidRDefault="001C533A" w:rsidP="001C533A">
      <w:pPr>
        <w:spacing w:after="120" w:line="360" w:lineRule="auto"/>
        <w:jc w:val="both"/>
        <w:rPr>
          <w:rFonts w:ascii="Times New Roman" w:eastAsiaTheme="minorEastAsia" w:hAnsi="Times New Roman"/>
          <w:b/>
          <w:sz w:val="24"/>
          <w:szCs w:val="24"/>
          <w:lang w:eastAsia="pl-PL"/>
        </w:rPr>
      </w:pPr>
      <w:r>
        <w:rPr>
          <w:rFonts w:ascii="Times New Roman" w:eastAsiaTheme="minorEastAsia" w:hAnsi="Times New Roman"/>
          <w:b/>
          <w:sz w:val="24"/>
          <w:szCs w:val="24"/>
          <w:lang w:eastAsia="pl-PL"/>
        </w:rPr>
        <w:t xml:space="preserve">II. Rozwiązanie zawarte w projekcie ustawy </w:t>
      </w:r>
    </w:p>
    <w:p w:rsidR="001C533A" w:rsidRPr="00C5714C"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Obecnie obowiązująca regulacja Kodeksu cywilnego w zakresie kapitalizacji odsetek budzi, jak wskazano powyżej, istotne wątpliwości. Podkreśla się, że podstawowym problemem obecnej regulacji jest nieuzasadnione uprzywilejowanie instytucji kredytowych</w:t>
      </w:r>
      <w:r>
        <w:rPr>
          <w:rFonts w:ascii="Times New Roman" w:eastAsiaTheme="minorEastAsia" w:hAnsi="Times New Roman"/>
          <w:sz w:val="24"/>
          <w:szCs w:val="24"/>
          <w:lang w:eastAsia="pl-PL"/>
        </w:rPr>
        <w:t>, które są niewątpliwie silniejszą stroną stosunku cywilnoprawnego, jakim jest umowa kredytu czy też pożyczki,</w:t>
      </w:r>
      <w:r w:rsidRPr="00C5714C">
        <w:rPr>
          <w:rFonts w:ascii="Times New Roman" w:eastAsiaTheme="minorEastAsia" w:hAnsi="Times New Roman"/>
          <w:sz w:val="24"/>
          <w:szCs w:val="24"/>
          <w:lang w:eastAsia="pl-PL"/>
        </w:rPr>
        <w:t xml:space="preserve"> kosztem dłużników</w:t>
      </w:r>
      <w:r>
        <w:rPr>
          <w:rFonts w:ascii="Times New Roman" w:eastAsiaTheme="minorEastAsia" w:hAnsi="Times New Roman"/>
          <w:sz w:val="24"/>
          <w:szCs w:val="24"/>
          <w:lang w:eastAsia="pl-PL"/>
        </w:rPr>
        <w:t xml:space="preserve">. </w:t>
      </w:r>
      <w:r w:rsidRPr="00C5714C">
        <w:rPr>
          <w:rFonts w:ascii="Times New Roman" w:eastAsiaTheme="minorEastAsia" w:hAnsi="Times New Roman"/>
          <w:sz w:val="24"/>
          <w:szCs w:val="24"/>
          <w:lang w:eastAsia="pl-PL"/>
        </w:rPr>
        <w:t>Przywilej ten całkowicie kłóci się z istotą zakazu anatocyzmu, która ma chronić dłużników przed powstaniem spirali zadłużenia</w:t>
      </w:r>
      <w:r>
        <w:rPr>
          <w:rFonts w:ascii="Times New Roman" w:eastAsiaTheme="minorEastAsia" w:hAnsi="Times New Roman"/>
          <w:sz w:val="24"/>
          <w:szCs w:val="24"/>
          <w:lang w:eastAsia="pl-PL"/>
        </w:rPr>
        <w:t xml:space="preserve">, natomiast wykorzystywanie przez instytucje kredytowe regulacji zawartej w art. 482 § 2 Kodeksu cywilnego do tego, aby naliczać odsetki od odsetek przed wytoczeniem o nie powództwa, skutkuje wzrostem zadłużenia po stronie klientów instytucji kredytowych. </w:t>
      </w:r>
      <w:r w:rsidRPr="00C5714C">
        <w:rPr>
          <w:rFonts w:ascii="Times New Roman" w:eastAsiaTheme="minorEastAsia" w:hAnsi="Times New Roman"/>
          <w:sz w:val="24"/>
          <w:szCs w:val="24"/>
          <w:lang w:eastAsia="pl-PL"/>
        </w:rPr>
        <w:t xml:space="preserve">Ponadto, przywilej instytucji kredytowych w tym zakresie nie ma żadnego oparcia ani w przepisach Konstytucji RP, ani też w prawie unijnym. Wręcz przeciwnie, może powstać wątpliwość, czy regulacja zawarta w art. 482 § 2 Kodeksu cywilnego nie narusza konstytucyjnej zasady równości w związku z zasadą ochrony konsumentów. W doktrynie spotkać się można z poglądami wskazującymi </w:t>
      </w:r>
      <w:r>
        <w:rPr>
          <w:rFonts w:ascii="Times New Roman" w:eastAsiaTheme="minorEastAsia" w:hAnsi="Times New Roman"/>
          <w:sz w:val="24"/>
          <w:szCs w:val="24"/>
          <w:lang w:eastAsia="pl-PL"/>
        </w:rPr>
        <w:t xml:space="preserve">wprost </w:t>
      </w:r>
      <w:r w:rsidRPr="00C5714C">
        <w:rPr>
          <w:rFonts w:ascii="Times New Roman" w:eastAsiaTheme="minorEastAsia" w:hAnsi="Times New Roman"/>
          <w:sz w:val="24"/>
          <w:szCs w:val="24"/>
          <w:lang w:eastAsia="pl-PL"/>
        </w:rPr>
        <w:t>na konieczność zmiany art. 482 Kodeksu cywilnego, poprzez wykreślenie jego § 2</w:t>
      </w:r>
      <w:r w:rsidRPr="00C5714C">
        <w:rPr>
          <w:rFonts w:ascii="Times New Roman" w:eastAsiaTheme="minorEastAsia" w:hAnsi="Times New Roman"/>
          <w:sz w:val="24"/>
          <w:szCs w:val="24"/>
          <w:vertAlign w:val="superscript"/>
          <w:lang w:eastAsia="pl-PL"/>
        </w:rPr>
        <w:footnoteReference w:id="7"/>
      </w:r>
      <w:r w:rsidRPr="00C5714C">
        <w:rPr>
          <w:rFonts w:ascii="Times New Roman" w:eastAsiaTheme="minorEastAsia" w:hAnsi="Times New Roman"/>
          <w:sz w:val="24"/>
          <w:szCs w:val="24"/>
          <w:lang w:eastAsia="pl-PL"/>
        </w:rPr>
        <w:t xml:space="preserve">. </w:t>
      </w:r>
    </w:p>
    <w:p w:rsidR="001C533A" w:rsidRDefault="001C533A" w:rsidP="001C533A">
      <w:pPr>
        <w:spacing w:after="120" w:line="360" w:lineRule="auto"/>
        <w:ind w:firstLine="709"/>
        <w:jc w:val="both"/>
        <w:rPr>
          <w:rFonts w:ascii="Times New Roman" w:eastAsiaTheme="minorEastAsia" w:hAnsi="Times New Roman"/>
          <w:sz w:val="24"/>
          <w:szCs w:val="24"/>
          <w:lang w:eastAsia="pl-PL"/>
        </w:rPr>
      </w:pPr>
      <w:r w:rsidRPr="00C5714C">
        <w:rPr>
          <w:rFonts w:ascii="Times New Roman" w:eastAsiaTheme="minorEastAsia" w:hAnsi="Times New Roman"/>
          <w:sz w:val="24"/>
          <w:szCs w:val="24"/>
          <w:lang w:eastAsia="pl-PL"/>
        </w:rPr>
        <w:t>W związku z licznymi wątpliwościami dotyczącymi zasadności utrzymywania w obecnym porządku prawnym normy wyrażonej w art. 482 § 2 Kodeksu cywilnego</w:t>
      </w:r>
      <w:r>
        <w:rPr>
          <w:rFonts w:ascii="Times New Roman" w:eastAsiaTheme="minorEastAsia" w:hAnsi="Times New Roman"/>
          <w:sz w:val="24"/>
          <w:szCs w:val="24"/>
          <w:lang w:eastAsia="pl-PL"/>
        </w:rPr>
        <w:t xml:space="preserve"> zasadne jest</w:t>
      </w:r>
      <w:r w:rsidRPr="00C5714C">
        <w:rPr>
          <w:rFonts w:ascii="Times New Roman" w:eastAsiaTheme="minorEastAsia" w:hAnsi="Times New Roman"/>
          <w:sz w:val="24"/>
          <w:szCs w:val="24"/>
          <w:lang w:eastAsia="pl-PL"/>
        </w:rPr>
        <w:t xml:space="preserve"> wprowadzenie zmiany polegającej na usunięciu z treści a</w:t>
      </w:r>
      <w:r>
        <w:rPr>
          <w:rFonts w:ascii="Times New Roman" w:eastAsiaTheme="minorEastAsia" w:hAnsi="Times New Roman"/>
          <w:sz w:val="24"/>
          <w:szCs w:val="24"/>
          <w:lang w:eastAsia="pl-PL"/>
        </w:rPr>
        <w:t xml:space="preserve">rt. 482 Kodeksu cywilnego § 2 </w:t>
      </w:r>
      <w:r>
        <w:rPr>
          <w:rFonts w:ascii="Times New Roman" w:eastAsiaTheme="minorEastAsia" w:hAnsi="Times New Roman"/>
          <w:sz w:val="24"/>
          <w:szCs w:val="24"/>
          <w:lang w:eastAsia="pl-PL"/>
        </w:rPr>
        <w:lastRenderedPageBreak/>
        <w:t>i </w:t>
      </w:r>
      <w:r w:rsidRPr="00C5714C">
        <w:rPr>
          <w:rFonts w:ascii="Times New Roman" w:eastAsiaTheme="minorEastAsia" w:hAnsi="Times New Roman"/>
          <w:sz w:val="24"/>
          <w:szCs w:val="24"/>
          <w:lang w:eastAsia="pl-PL"/>
        </w:rPr>
        <w:t xml:space="preserve">tym samym całkowitej likwidacji przywileju w zakresie kapitalizacji odsetek przyznanego instytucjom kredytowym. </w:t>
      </w:r>
    </w:p>
    <w:p w:rsidR="001C533A" w:rsidRDefault="001C533A" w:rsidP="001C533A">
      <w:pPr>
        <w:suppressAutoHyphens/>
        <w:autoSpaceDN w:val="0"/>
        <w:spacing w:after="120" w:line="360" w:lineRule="auto"/>
        <w:ind w:firstLine="709"/>
        <w:jc w:val="both"/>
        <w:textAlignment w:val="baseline"/>
        <w:rPr>
          <w:rFonts w:ascii="Times New Roman" w:eastAsia="SimSun" w:hAnsi="Times New Roman"/>
          <w:kern w:val="3"/>
          <w:sz w:val="24"/>
          <w:szCs w:val="24"/>
        </w:rPr>
      </w:pPr>
      <w:r w:rsidRPr="009C2FE1">
        <w:rPr>
          <w:rFonts w:ascii="Times New Roman" w:eastAsia="SimSun" w:hAnsi="Times New Roman"/>
          <w:kern w:val="3"/>
          <w:sz w:val="24"/>
          <w:szCs w:val="24"/>
        </w:rPr>
        <w:t xml:space="preserve">W myśl projektowanego art. </w:t>
      </w:r>
      <w:r>
        <w:rPr>
          <w:rFonts w:ascii="Times New Roman" w:eastAsia="SimSun" w:hAnsi="Times New Roman"/>
          <w:kern w:val="3"/>
          <w:sz w:val="24"/>
          <w:szCs w:val="24"/>
        </w:rPr>
        <w:t>3</w:t>
      </w:r>
      <w:r w:rsidRPr="009C2FE1">
        <w:rPr>
          <w:rFonts w:ascii="Times New Roman" w:eastAsia="SimSun" w:hAnsi="Times New Roman"/>
          <w:kern w:val="3"/>
          <w:sz w:val="24"/>
          <w:szCs w:val="24"/>
        </w:rPr>
        <w:t xml:space="preserve">, ustawa wchodzi w życie po upływie 30 dni od dnia jej ogłoszenia. Miesięczny okres </w:t>
      </w:r>
      <w:r w:rsidRPr="009C2FE1">
        <w:rPr>
          <w:rFonts w:ascii="Times New Roman" w:eastAsia="SimSun" w:hAnsi="Times New Roman"/>
          <w:i/>
          <w:kern w:val="3"/>
          <w:sz w:val="24"/>
          <w:szCs w:val="24"/>
        </w:rPr>
        <w:t>vacatio legis</w:t>
      </w:r>
      <w:r w:rsidRPr="009C2FE1">
        <w:rPr>
          <w:rFonts w:ascii="Times New Roman" w:eastAsia="SimSun" w:hAnsi="Times New Roman"/>
          <w:kern w:val="3"/>
          <w:sz w:val="24"/>
          <w:szCs w:val="24"/>
        </w:rPr>
        <w:t xml:space="preserve"> umożliwi instytucjom kredytowym przygotowanie się do stosowania wprowadzanych ustawą rozwiązań.</w:t>
      </w:r>
    </w:p>
    <w:p w:rsidR="001C533A" w:rsidRDefault="001C533A" w:rsidP="001C533A">
      <w:pPr>
        <w:suppressAutoHyphens/>
        <w:autoSpaceDN w:val="0"/>
        <w:spacing w:after="120" w:line="360" w:lineRule="auto"/>
        <w:ind w:firstLine="709"/>
        <w:jc w:val="both"/>
        <w:textAlignment w:val="baseline"/>
        <w:rPr>
          <w:rFonts w:ascii="Times New Roman" w:eastAsiaTheme="minorEastAsia" w:hAnsi="Times New Roman"/>
          <w:sz w:val="24"/>
          <w:szCs w:val="24"/>
          <w:lang w:eastAsia="pl-PL"/>
        </w:rPr>
      </w:pPr>
      <w:r>
        <w:rPr>
          <w:rFonts w:ascii="Times New Roman" w:eastAsia="SimSun" w:hAnsi="Times New Roman"/>
          <w:kern w:val="3"/>
          <w:sz w:val="24"/>
          <w:szCs w:val="24"/>
        </w:rPr>
        <w:t>Przepis przejściowy zawarty w projekcie ustawy</w:t>
      </w:r>
      <w:r w:rsidR="001E3C06">
        <w:rPr>
          <w:rFonts w:ascii="Times New Roman" w:eastAsia="SimSun" w:hAnsi="Times New Roman"/>
          <w:kern w:val="3"/>
          <w:sz w:val="24"/>
          <w:szCs w:val="24"/>
        </w:rPr>
        <w:t xml:space="preserve"> (art. 2)</w:t>
      </w:r>
      <w:r>
        <w:rPr>
          <w:rFonts w:ascii="Times New Roman" w:eastAsia="SimSun" w:hAnsi="Times New Roman"/>
          <w:kern w:val="3"/>
          <w:sz w:val="24"/>
          <w:szCs w:val="24"/>
        </w:rPr>
        <w:t xml:space="preserve"> ma na celu usunięcie wszelkich wątpliwości co do zakresu stosowania art. 482 w nowym brzmieniu. Zgodnie z brzmieniem tego przepisu, do odsetek należnych za okres kończący się przed dniem wejścia w życie projektowanej zmiany stosuje się przepisy dotychczasowe. Zatem, do tych odsetek zastosowanie znajdzie jeszcze art. 482 </w:t>
      </w:r>
      <w:r>
        <w:rPr>
          <w:rFonts w:ascii="Times New Roman" w:eastAsiaTheme="minorEastAsia" w:hAnsi="Times New Roman"/>
          <w:sz w:val="24"/>
          <w:szCs w:val="24"/>
          <w:lang w:eastAsia="pl-PL"/>
        </w:rPr>
        <w:t xml:space="preserve">§ 2 Kodeksu cywilnego, natomiast do odsetek należnych za okres kończący się po dniu wejścia w życie projektowanej zmiany zastosowanie znajdzie art. 482 Kodeksu cywilnego w nowym brzmieniu.  </w:t>
      </w:r>
    </w:p>
    <w:p w:rsidR="001C533A" w:rsidRDefault="001C533A" w:rsidP="001C533A">
      <w:pPr>
        <w:suppressAutoHyphens/>
        <w:autoSpaceDN w:val="0"/>
        <w:spacing w:after="120" w:line="360" w:lineRule="auto"/>
        <w:ind w:firstLine="709"/>
        <w:jc w:val="both"/>
        <w:textAlignment w:val="baseline"/>
        <w:rPr>
          <w:rFonts w:ascii="Times New Roman" w:eastAsia="SimSun" w:hAnsi="Times New Roman"/>
          <w:kern w:val="3"/>
          <w:sz w:val="24"/>
          <w:szCs w:val="24"/>
        </w:rPr>
      </w:pPr>
      <w:r>
        <w:rPr>
          <w:rFonts w:ascii="Times New Roman" w:eastAsia="SimSun" w:hAnsi="Times New Roman"/>
          <w:kern w:val="3"/>
          <w:sz w:val="24"/>
          <w:szCs w:val="24"/>
        </w:rPr>
        <w:t xml:space="preserve">Proponowana ustawa w sposób pozytywny wpłynie na sytuację pożyczkobiorców (kredytobiorców), którzy spłacają pożyczki długoterminowe. Skutkiem jej wprowadzenia będzie przeciwdziałanie zwiększeniu się zadłużenia klientów instytucji kredytowych i popadaniu w tzw. pętlę zadłużenia z tytułu możliwości umówienia się z góry o zapłatę odsetek od zaległych odsetek (tzw. procentu składanego), bez wnoszenia powództwa. Projektowana zmiana wpisuje się w szereg mechanizmów, takich jak np. upadłość konsumencka, umożliwiających osobom fizycznym stopniowe oddłużanie. </w:t>
      </w:r>
    </w:p>
    <w:p w:rsidR="001C533A" w:rsidRDefault="001C533A" w:rsidP="001C533A">
      <w:pPr>
        <w:widowControl w:val="0"/>
        <w:suppressAutoHyphens/>
        <w:autoSpaceDN w:val="0"/>
        <w:spacing w:after="120" w:line="360" w:lineRule="auto"/>
        <w:ind w:firstLine="709"/>
        <w:jc w:val="both"/>
        <w:textAlignment w:val="baseline"/>
        <w:rPr>
          <w:rFonts w:ascii="Times New Roman" w:hAnsi="Times New Roman"/>
          <w:sz w:val="24"/>
          <w:szCs w:val="24"/>
          <w:lang w:eastAsia="pl-PL"/>
        </w:rPr>
      </w:pPr>
      <w:r>
        <w:rPr>
          <w:rFonts w:ascii="Times New Roman" w:eastAsia="SimSun" w:hAnsi="Times New Roman"/>
          <w:kern w:val="3"/>
          <w:sz w:val="24"/>
          <w:szCs w:val="24"/>
        </w:rPr>
        <w:t>W</w:t>
      </w:r>
      <w:r w:rsidRPr="004639CE">
        <w:rPr>
          <w:rFonts w:ascii="Times New Roman" w:hAnsi="Times New Roman"/>
          <w:sz w:val="24"/>
          <w:szCs w:val="24"/>
          <w:lang w:eastAsia="pl-PL"/>
        </w:rPr>
        <w:t xml:space="preserve"> odniesieniu do </w:t>
      </w:r>
      <w:r>
        <w:rPr>
          <w:rFonts w:ascii="Times New Roman" w:hAnsi="Times New Roman"/>
          <w:sz w:val="24"/>
          <w:szCs w:val="24"/>
          <w:lang w:eastAsia="pl-PL"/>
        </w:rPr>
        <w:t xml:space="preserve">klientów instytucji kredytowych będących mikroprzedsiębiorcami, małymi </w:t>
      </w:r>
      <w:r w:rsidRPr="004639CE">
        <w:rPr>
          <w:rFonts w:ascii="Times New Roman" w:hAnsi="Times New Roman"/>
          <w:sz w:val="24"/>
          <w:szCs w:val="24"/>
          <w:lang w:eastAsia="pl-PL"/>
        </w:rPr>
        <w:t>i średnimi przedsiębiorcami</w:t>
      </w:r>
      <w:r>
        <w:rPr>
          <w:rFonts w:ascii="Times New Roman" w:hAnsi="Times New Roman"/>
          <w:sz w:val="24"/>
          <w:szCs w:val="24"/>
          <w:lang w:eastAsia="pl-PL"/>
        </w:rPr>
        <w:t>,</w:t>
      </w:r>
      <w:r w:rsidRPr="004639CE">
        <w:rPr>
          <w:rFonts w:ascii="Times New Roman" w:hAnsi="Times New Roman"/>
          <w:sz w:val="24"/>
          <w:szCs w:val="24"/>
          <w:lang w:eastAsia="pl-PL"/>
        </w:rPr>
        <w:t xml:space="preserve"> </w:t>
      </w:r>
      <w:r>
        <w:rPr>
          <w:rFonts w:ascii="Times New Roman" w:hAnsi="Times New Roman"/>
          <w:sz w:val="24"/>
          <w:szCs w:val="24"/>
          <w:lang w:eastAsia="pl-PL"/>
        </w:rPr>
        <w:t>projektowana regulacja odniesie pozytywne skutki w postaci zmiany zasad określania ich należności wobec tych instytucji. Należności tych  przedsiębiorców nie będą, tak jak dotychczas, powiększane o odsetki od zaległych odsetek, co pozytywnie wpłynie na rozwój tych podmiotów. Skutek ekonomiczno – gospodarczy projektowanej regulacji będzie zatem pozytywny, bowiem tak jak w przypadku osób fizycznych, projektowana regulacja pozwoli na oddłużanie się przedsiębiorstw, korzystnie wpływając na rozwój gospodarczy.</w:t>
      </w:r>
    </w:p>
    <w:p w:rsidR="001C533A" w:rsidRDefault="001C533A" w:rsidP="001C533A">
      <w:pPr>
        <w:widowControl w:val="0"/>
        <w:suppressAutoHyphens/>
        <w:autoSpaceDN w:val="0"/>
        <w:spacing w:after="120" w:line="360" w:lineRule="auto"/>
        <w:ind w:firstLine="709"/>
        <w:jc w:val="both"/>
        <w:textAlignment w:val="baseline"/>
        <w:rPr>
          <w:rFonts w:ascii="Times New Roman" w:hAnsi="Times New Roman"/>
          <w:sz w:val="24"/>
          <w:szCs w:val="24"/>
          <w:lang w:eastAsia="pl-PL"/>
        </w:rPr>
      </w:pPr>
      <w:r>
        <w:rPr>
          <w:rFonts w:ascii="Times New Roman" w:hAnsi="Times New Roman"/>
          <w:sz w:val="24"/>
          <w:szCs w:val="24"/>
          <w:lang w:eastAsia="pl-PL"/>
        </w:rPr>
        <w:t xml:space="preserve">Skutkiem wprowadzenia projektowanej regulacji dla sektora finansów publicznych będzie mógł być spadek przychodów Skarbu Państwa, bowiem spadek dochodów instytucji kredytowych (pomimo iż będzie on niewielki), w których Skarb Państwa ma większościowy udział, wpłynie także na spadek przychodów Skarbu Państwa. Z drugiej jednak strony, zmniejszenie zadłużenia zarówno osób fizycznych, jak i przedsiębiorców, wpłynie w sposób </w:t>
      </w:r>
      <w:r>
        <w:rPr>
          <w:rFonts w:ascii="Times New Roman" w:hAnsi="Times New Roman"/>
          <w:sz w:val="24"/>
          <w:szCs w:val="24"/>
          <w:lang w:eastAsia="pl-PL"/>
        </w:rPr>
        <w:lastRenderedPageBreak/>
        <w:t xml:space="preserve">pozytywny na sektor finansów publicznych poprzez takie czynniki, jak spadek wydatków na pomoc socjalną dla zadłużonych osób fizycznych czy wzrost inwestycji w sektorze przedsiębiorstw, a w konsekwencji wzrost dochodów tych podmiotów i co za tym idzie wzrost opodatkowania. </w:t>
      </w: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r>
        <w:rPr>
          <w:rFonts w:ascii="Times New Roman" w:hAnsi="Times New Roman"/>
          <w:sz w:val="24"/>
          <w:szCs w:val="24"/>
          <w:lang w:eastAsia="pl-PL"/>
        </w:rPr>
        <w:t xml:space="preserve">Jak wskazano wyżej, projektowana zmiana ustawy – Kodeks cywilny niewątpliwie wzmocni sytuację dłużników instytucji kredytowych kosztem tych instytucji jako wierzycieli. Należy jednak mieć na uwadze, że uchylenie § 2 art. 482 nie spowoduje, że instytucja kredytowa nie będzie mogła żądać odsetek od zaległych odsetek, będzie to natomiast warunkowane wcześniejszym wytoczeniem powództwa. Ponieważ w praktyce art. 482 § 2 Kodeksu cywilnego jest pobocznym źródłem dochodów instytucji kredytowych, przewiduje się, że skutki wprowadzenia projektowanej regulacji będą miały niewielki wpływ na ich wyniki finansowe. </w:t>
      </w: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r>
        <w:rPr>
          <w:rFonts w:ascii="Times New Roman" w:hAnsi="Times New Roman"/>
          <w:sz w:val="24"/>
          <w:szCs w:val="24"/>
          <w:lang w:eastAsia="pl-PL"/>
        </w:rPr>
        <w:t xml:space="preserve">Projekt ustawy został skonsultowany z Ministrem Finansów, Ministrem Sprawiedliwości, Narodowym Bankiem Polskim, Komisją Nadzoru Finansowego oraz Rzecznikiem Finansowym. W wyniku przeprowadzonych konsultacji do projektu dodano przepis przejściowy. Jednocześnie wszystkie wskazane wyżej organy wyraziły akceptację dla przedmiotowej inicjatywy ustawodawczej, zaznaczając, że projektowana regulacja pozytywnie wpłynie na sytuację klientów instytucji kredytowych. </w:t>
      </w: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r w:rsidRPr="00127548">
        <w:rPr>
          <w:rFonts w:ascii="Times New Roman" w:hAnsi="Times New Roman"/>
          <w:sz w:val="24"/>
          <w:szCs w:val="24"/>
          <w:lang w:eastAsia="pl-PL"/>
        </w:rPr>
        <w:t>Projekt ustawy nie zawiera przepisów technicznych, w związku z tym nie podlega procedurze notyfikacji zgodnie z rozporządzeniem Rady Ministrów z dnia 23 grudnia 2002 r. w sprawie sposobu funkcjonowania krajowego systemu notyfikacji norm i aktów prawnych (Dz. U. poz. 2039 oraz z 2004 r. poz. 597).</w:t>
      </w: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p>
    <w:p w:rsidR="001C533A" w:rsidRPr="00127548"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r w:rsidRPr="00127548">
        <w:rPr>
          <w:rFonts w:ascii="Times New Roman" w:hAnsi="Times New Roman"/>
          <w:sz w:val="24"/>
          <w:szCs w:val="24"/>
          <w:lang w:eastAsia="pl-PL"/>
        </w:rPr>
        <w:t>Projekt ustawy nie wymagał zasięgnięcia opinii, dokonania konsultacji albo uzgodnienia z organami i instytucjami Unii Europejskiej, w tym Europejskim Bankiem Centralnym.</w:t>
      </w:r>
    </w:p>
    <w:p w:rsidR="001C533A"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p>
    <w:p w:rsidR="001C533A" w:rsidRDefault="001C533A" w:rsidP="001C533A">
      <w:pPr>
        <w:suppressAutoHyphens/>
        <w:autoSpaceDN w:val="0"/>
        <w:spacing w:after="120" w:line="360" w:lineRule="auto"/>
        <w:ind w:firstLine="709"/>
        <w:jc w:val="both"/>
        <w:textAlignment w:val="baseline"/>
        <w:rPr>
          <w:rFonts w:ascii="Times New Roman" w:eastAsia="SimSun" w:hAnsi="Times New Roman"/>
          <w:kern w:val="3"/>
          <w:sz w:val="24"/>
          <w:szCs w:val="24"/>
        </w:rPr>
      </w:pPr>
      <w:r w:rsidRPr="004639CE">
        <w:rPr>
          <w:rFonts w:ascii="Times New Roman" w:eastAsia="SimSun" w:hAnsi="Times New Roman"/>
          <w:kern w:val="3"/>
          <w:sz w:val="24"/>
          <w:szCs w:val="24"/>
        </w:rPr>
        <w:t xml:space="preserve">Projekt </w:t>
      </w:r>
      <w:r>
        <w:rPr>
          <w:rFonts w:ascii="Times New Roman" w:eastAsia="SimSun" w:hAnsi="Times New Roman"/>
          <w:kern w:val="3"/>
          <w:sz w:val="24"/>
          <w:szCs w:val="24"/>
        </w:rPr>
        <w:t xml:space="preserve">ustawy </w:t>
      </w:r>
      <w:r w:rsidRPr="004639CE">
        <w:rPr>
          <w:rFonts w:ascii="Times New Roman" w:eastAsia="SimSun" w:hAnsi="Times New Roman"/>
          <w:kern w:val="3"/>
          <w:sz w:val="24"/>
          <w:szCs w:val="24"/>
        </w:rPr>
        <w:t>jest zgodny z prawem Unii Europejskiej.</w:t>
      </w:r>
      <w:r>
        <w:rPr>
          <w:rFonts w:ascii="Times New Roman" w:eastAsia="SimSun" w:hAnsi="Times New Roman"/>
          <w:kern w:val="3"/>
          <w:sz w:val="24"/>
          <w:szCs w:val="24"/>
        </w:rPr>
        <w:t xml:space="preserve"> </w:t>
      </w:r>
    </w:p>
    <w:p w:rsidR="001C533A" w:rsidRPr="00127548" w:rsidRDefault="001C533A" w:rsidP="001C533A">
      <w:pPr>
        <w:widowControl w:val="0"/>
        <w:suppressAutoHyphens/>
        <w:autoSpaceDN w:val="0"/>
        <w:spacing w:after="0" w:line="360" w:lineRule="auto"/>
        <w:ind w:firstLine="709"/>
        <w:jc w:val="both"/>
        <w:textAlignment w:val="baseline"/>
        <w:rPr>
          <w:rFonts w:ascii="Times New Roman" w:hAnsi="Times New Roman"/>
          <w:sz w:val="24"/>
          <w:szCs w:val="24"/>
          <w:lang w:eastAsia="pl-PL"/>
        </w:rPr>
      </w:pPr>
    </w:p>
    <w:p w:rsidR="001C533A" w:rsidRPr="00C5714C" w:rsidRDefault="001C533A" w:rsidP="001C533A">
      <w:pPr>
        <w:spacing w:after="0" w:line="360" w:lineRule="auto"/>
        <w:jc w:val="both"/>
        <w:rPr>
          <w:rFonts w:ascii="Times New Roman" w:eastAsiaTheme="minorEastAsia" w:hAnsi="Times New Roman"/>
          <w:sz w:val="24"/>
          <w:szCs w:val="24"/>
          <w:lang w:eastAsia="pl-PL"/>
        </w:rPr>
      </w:pPr>
    </w:p>
    <w:p w:rsidR="000D45AB" w:rsidRDefault="000D45AB"/>
    <w:sectPr w:rsidR="000D45AB" w:rsidSect="009064EF">
      <w:footerReference w:type="default" r:id="rId9"/>
      <w:pgSz w:w="11907" w:h="16840"/>
      <w:pgMar w:top="1417" w:right="1417" w:bottom="1417" w:left="1417" w:header="708" w:footer="708" w:gutter="0"/>
      <w:cols w:space="708"/>
      <w:noEndnote/>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1957" w:rsidRDefault="00671957" w:rsidP="001C533A">
      <w:pPr>
        <w:spacing w:after="0" w:line="240" w:lineRule="auto"/>
      </w:pPr>
      <w:r>
        <w:separator/>
      </w:r>
    </w:p>
  </w:endnote>
  <w:endnote w:type="continuationSeparator" w:id="0">
    <w:p w:rsidR="00671957" w:rsidRDefault="00671957" w:rsidP="001C5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SimSun">
    <w:altName w:val="??ˇ¦ˇěˇ¦¨§?"/>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55C2" w:rsidRPr="00413EE5" w:rsidRDefault="00AF51C9">
    <w:pPr>
      <w:pStyle w:val="Stopka"/>
      <w:jc w:val="right"/>
      <w:rPr>
        <w:rFonts w:ascii="Times New Roman" w:hAnsi="Times New Roman" w:cs="Times New Roman"/>
        <w:sz w:val="24"/>
        <w:szCs w:val="24"/>
      </w:rPr>
    </w:pPr>
    <w:r w:rsidRPr="00413EE5">
      <w:rPr>
        <w:rFonts w:ascii="Times New Roman" w:hAnsi="Times New Roman" w:cs="Times New Roman"/>
        <w:sz w:val="24"/>
        <w:szCs w:val="24"/>
      </w:rPr>
      <w:fldChar w:fldCharType="begin"/>
    </w:r>
    <w:r w:rsidRPr="00413EE5">
      <w:rPr>
        <w:rFonts w:ascii="Times New Roman" w:hAnsi="Times New Roman" w:cs="Times New Roman"/>
        <w:sz w:val="24"/>
        <w:szCs w:val="24"/>
      </w:rPr>
      <w:instrText>PAGE   \* MERGEFORMAT</w:instrText>
    </w:r>
    <w:r w:rsidRPr="00413EE5">
      <w:rPr>
        <w:rFonts w:ascii="Times New Roman" w:hAnsi="Times New Roman" w:cs="Times New Roman"/>
        <w:sz w:val="24"/>
        <w:szCs w:val="24"/>
      </w:rPr>
      <w:fldChar w:fldCharType="separate"/>
    </w:r>
    <w:r w:rsidR="00103CD8">
      <w:rPr>
        <w:rFonts w:ascii="Times New Roman" w:hAnsi="Times New Roman" w:cs="Times New Roman"/>
        <w:noProof/>
        <w:sz w:val="24"/>
        <w:szCs w:val="24"/>
      </w:rPr>
      <w:t>1</w:t>
    </w:r>
    <w:r w:rsidRPr="00413EE5">
      <w:rPr>
        <w:rFonts w:ascii="Times New Roman" w:hAnsi="Times New Roman" w:cs="Times New Roman"/>
        <w:sz w:val="24"/>
        <w:szCs w:val="24"/>
      </w:rPr>
      <w:fldChar w:fldCharType="end"/>
    </w:r>
  </w:p>
  <w:p w:rsidR="005655C2" w:rsidRDefault="005655C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1957" w:rsidRDefault="00671957" w:rsidP="001C533A">
      <w:pPr>
        <w:spacing w:after="0" w:line="240" w:lineRule="auto"/>
      </w:pPr>
      <w:r>
        <w:separator/>
      </w:r>
    </w:p>
  </w:footnote>
  <w:footnote w:type="continuationSeparator" w:id="0">
    <w:p w:rsidR="00671957" w:rsidRDefault="00671957" w:rsidP="001C533A">
      <w:pPr>
        <w:spacing w:after="0" w:line="240" w:lineRule="auto"/>
      </w:pPr>
      <w:r>
        <w:continuationSeparator/>
      </w:r>
    </w:p>
  </w:footnote>
  <w:footnote w:id="1">
    <w:p w:rsidR="00000000" w:rsidRDefault="001C533A" w:rsidP="001C533A">
      <w:pPr>
        <w:pStyle w:val="Tekstprzypisudolnego"/>
      </w:pPr>
      <w:r w:rsidRPr="007F0613">
        <w:rPr>
          <w:rStyle w:val="Odwoanieprzypisudolnego"/>
          <w:rFonts w:ascii="Times New Roman" w:hAnsi="Times New Roman"/>
        </w:rPr>
        <w:footnoteRef/>
      </w:r>
      <w:r w:rsidRPr="007F0613">
        <w:rPr>
          <w:rFonts w:ascii="Times New Roman" w:hAnsi="Times New Roman" w:cs="Times New Roman"/>
        </w:rPr>
        <w:t xml:space="preserve"> </w:t>
      </w:r>
      <w:r w:rsidRPr="00BB37C3">
        <w:rPr>
          <w:rFonts w:ascii="Times New Roman" w:hAnsi="Times New Roman" w:cs="Times New Roman"/>
        </w:rPr>
        <w:t>T</w:t>
      </w:r>
      <w:r w:rsidRPr="00BB37C3">
        <w:rPr>
          <w:rFonts w:ascii="Times New Roman" w:hAnsi="Times New Roman" w:cs="Times New Roman"/>
          <w:color w:val="auto"/>
        </w:rPr>
        <w:t>ak</w:t>
      </w:r>
      <w:r w:rsidRPr="0064157E">
        <w:rPr>
          <w:rFonts w:ascii="Times New Roman" w:hAnsi="Times New Roman" w:cs="Times New Roman"/>
          <w:color w:val="auto"/>
        </w:rPr>
        <w:t xml:space="preserve"> Sąd Apelacyjny w Poznaniu w wyroku z</w:t>
      </w:r>
      <w:r>
        <w:rPr>
          <w:rFonts w:ascii="Times New Roman" w:hAnsi="Times New Roman" w:cs="Times New Roman"/>
          <w:color w:val="auto"/>
        </w:rPr>
        <w:t xml:space="preserve"> dnia</w:t>
      </w:r>
      <w:r w:rsidRPr="0064157E">
        <w:rPr>
          <w:rFonts w:ascii="Times New Roman" w:hAnsi="Times New Roman" w:cs="Times New Roman"/>
          <w:color w:val="auto"/>
        </w:rPr>
        <w:t xml:space="preserve"> 4 marca 1992 r., </w:t>
      </w:r>
      <w:r>
        <w:rPr>
          <w:rFonts w:ascii="Times New Roman" w:hAnsi="Times New Roman" w:cs="Times New Roman"/>
          <w:color w:val="auto"/>
        </w:rPr>
        <w:t xml:space="preserve">sygn. </w:t>
      </w:r>
      <w:hyperlink r:id="rId1" w:history="1">
        <w:r w:rsidRPr="0064157E">
          <w:rPr>
            <w:rFonts w:ascii="Times New Roman" w:hAnsi="Times New Roman" w:cs="Times New Roman"/>
            <w:color w:val="auto"/>
          </w:rPr>
          <w:t>I ACR 57/92</w:t>
        </w:r>
      </w:hyperlink>
      <w:r>
        <w:rPr>
          <w:rFonts w:ascii="Times New Roman" w:hAnsi="Times New Roman" w:cs="Times New Roman"/>
          <w:color w:val="auto"/>
        </w:rPr>
        <w:t>, oraz Sąd Najwyższy w </w:t>
      </w:r>
      <w:r w:rsidRPr="0064157E">
        <w:rPr>
          <w:rFonts w:ascii="Times New Roman" w:hAnsi="Times New Roman" w:cs="Times New Roman"/>
          <w:color w:val="auto"/>
        </w:rPr>
        <w:t xml:space="preserve">postanowieniu z </w:t>
      </w:r>
      <w:r>
        <w:rPr>
          <w:rFonts w:ascii="Times New Roman" w:hAnsi="Times New Roman" w:cs="Times New Roman"/>
          <w:color w:val="auto"/>
        </w:rPr>
        <w:t xml:space="preserve">dnia </w:t>
      </w:r>
      <w:r w:rsidRPr="0064157E">
        <w:rPr>
          <w:rFonts w:ascii="Times New Roman" w:hAnsi="Times New Roman" w:cs="Times New Roman"/>
          <w:color w:val="auto"/>
        </w:rPr>
        <w:t xml:space="preserve">5 października 1994 r., </w:t>
      </w:r>
      <w:r>
        <w:rPr>
          <w:rFonts w:ascii="Times New Roman" w:hAnsi="Times New Roman" w:cs="Times New Roman"/>
          <w:color w:val="auto"/>
        </w:rPr>
        <w:t xml:space="preserve">sygn. </w:t>
      </w:r>
      <w:hyperlink r:id="rId2" w:history="1">
        <w:r w:rsidRPr="0064157E">
          <w:rPr>
            <w:rFonts w:ascii="Times New Roman" w:hAnsi="Times New Roman" w:cs="Times New Roman"/>
            <w:color w:val="auto"/>
          </w:rPr>
          <w:t>III CZP 128/94</w:t>
        </w:r>
      </w:hyperlink>
      <w:r>
        <w:rPr>
          <w:rFonts w:ascii="Times New Roman" w:hAnsi="Times New Roman" w:cs="Times New Roman"/>
          <w:color w:val="auto"/>
        </w:rPr>
        <w:t>,</w:t>
      </w:r>
      <w:r w:rsidRPr="0064157E">
        <w:rPr>
          <w:rFonts w:ascii="Times New Roman" w:hAnsi="Times New Roman" w:cs="Times New Roman"/>
          <w:color w:val="auto"/>
        </w:rPr>
        <w:t xml:space="preserve"> </w:t>
      </w:r>
      <w:r>
        <w:rPr>
          <w:rFonts w:ascii="Times New Roman" w:hAnsi="Times New Roman" w:cs="Times New Roman"/>
          <w:color w:val="auto"/>
        </w:rPr>
        <w:t xml:space="preserve">i </w:t>
      </w:r>
      <w:r w:rsidRPr="0064157E">
        <w:rPr>
          <w:rFonts w:ascii="Times New Roman" w:hAnsi="Times New Roman" w:cs="Times New Roman"/>
          <w:color w:val="auto"/>
        </w:rPr>
        <w:t xml:space="preserve">wyroku z </w:t>
      </w:r>
      <w:r>
        <w:rPr>
          <w:rFonts w:ascii="Times New Roman" w:hAnsi="Times New Roman" w:cs="Times New Roman"/>
          <w:color w:val="auto"/>
        </w:rPr>
        <w:t xml:space="preserve">dnia 1 października 1998 </w:t>
      </w:r>
      <w:r w:rsidRPr="0064157E">
        <w:rPr>
          <w:rFonts w:ascii="Times New Roman" w:hAnsi="Times New Roman" w:cs="Times New Roman"/>
          <w:color w:val="auto"/>
        </w:rPr>
        <w:t xml:space="preserve">r., </w:t>
      </w:r>
      <w:r>
        <w:rPr>
          <w:rFonts w:ascii="Times New Roman" w:hAnsi="Times New Roman" w:cs="Times New Roman"/>
          <w:color w:val="auto"/>
        </w:rPr>
        <w:t xml:space="preserve">sygn. </w:t>
      </w:r>
      <w:hyperlink r:id="rId3" w:history="1">
        <w:r w:rsidRPr="0064157E">
          <w:rPr>
            <w:rFonts w:ascii="Times New Roman" w:hAnsi="Times New Roman" w:cs="Times New Roman"/>
            <w:color w:val="auto"/>
          </w:rPr>
          <w:t>I CKN 782/97</w:t>
        </w:r>
      </w:hyperlink>
      <w:r>
        <w:rPr>
          <w:rFonts w:ascii="Times New Roman" w:hAnsi="Times New Roman" w:cs="Times New Roman"/>
          <w:color w:val="auto"/>
        </w:rPr>
        <w:t>.</w:t>
      </w:r>
    </w:p>
  </w:footnote>
  <w:footnote w:id="2">
    <w:p w:rsidR="00000000" w:rsidRDefault="001C533A" w:rsidP="001C533A">
      <w:pPr>
        <w:pStyle w:val="Tekstprzypisudolnego"/>
      </w:pPr>
      <w:r w:rsidRPr="00D704FC">
        <w:rPr>
          <w:rStyle w:val="Odwoanieprzypisudolnego"/>
          <w:rFonts w:ascii="Times New Roman" w:hAnsi="Times New Roman"/>
        </w:rPr>
        <w:footnoteRef/>
      </w:r>
      <w:r w:rsidRPr="0064157E">
        <w:t xml:space="preserve"> </w:t>
      </w:r>
      <w:r w:rsidRPr="0064157E">
        <w:rPr>
          <w:rFonts w:ascii="Times New Roman" w:hAnsi="Times New Roman" w:cs="Times New Roman"/>
        </w:rPr>
        <w:t>Przemysław Balcerowiak, Kapitalizacja odsetek a zakaz anatocyzmu, Acta Universitatis Wratis</w:t>
      </w:r>
      <w:r>
        <w:rPr>
          <w:rFonts w:ascii="Times New Roman" w:hAnsi="Times New Roman" w:cs="Times New Roman"/>
        </w:rPr>
        <w:t>laviensis, No </w:t>
      </w:r>
      <w:r w:rsidRPr="0064157E">
        <w:rPr>
          <w:rFonts w:ascii="Times New Roman" w:hAnsi="Times New Roman" w:cs="Times New Roman"/>
        </w:rPr>
        <w:t>3576, Wrocław 2014.</w:t>
      </w:r>
    </w:p>
  </w:footnote>
  <w:footnote w:id="3">
    <w:p w:rsidR="00000000" w:rsidRDefault="001C533A" w:rsidP="001C533A">
      <w:pPr>
        <w:pStyle w:val="Tekstprzypisudolnego"/>
      </w:pPr>
      <w:r w:rsidRPr="00D704FC">
        <w:rPr>
          <w:rStyle w:val="Odwoanieprzypisudolnego"/>
          <w:rFonts w:ascii="Times New Roman" w:hAnsi="Times New Roman"/>
        </w:rPr>
        <w:footnoteRef/>
      </w:r>
      <w:r w:rsidRPr="00D704FC">
        <w:rPr>
          <w:rFonts w:ascii="Times New Roman" w:hAnsi="Times New Roman" w:cs="Times New Roman"/>
        </w:rPr>
        <w:t xml:space="preserve"> </w:t>
      </w:r>
      <w:r>
        <w:rPr>
          <w:rFonts w:ascii="Times New Roman" w:hAnsi="Times New Roman" w:cs="Times New Roman"/>
          <w:color w:val="auto"/>
        </w:rPr>
        <w:t>Tamże.</w:t>
      </w:r>
    </w:p>
  </w:footnote>
  <w:footnote w:id="4">
    <w:p w:rsidR="00000000" w:rsidRDefault="001C533A" w:rsidP="001C533A">
      <w:pPr>
        <w:pStyle w:val="Tekstprzypisudolnego"/>
      </w:pPr>
      <w:r w:rsidRPr="00D704FC">
        <w:rPr>
          <w:rStyle w:val="Odwoanieprzypisudolnego"/>
          <w:rFonts w:ascii="Times New Roman" w:hAnsi="Times New Roman"/>
        </w:rPr>
        <w:footnoteRef/>
      </w:r>
      <w:r w:rsidRPr="00D704FC">
        <w:rPr>
          <w:rFonts w:ascii="Times New Roman" w:hAnsi="Times New Roman" w:cs="Times New Roman"/>
        </w:rPr>
        <w:t xml:space="preserve"> </w:t>
      </w:r>
      <w:r>
        <w:rPr>
          <w:rFonts w:ascii="Times New Roman" w:hAnsi="Times New Roman" w:cs="Times New Roman"/>
          <w:color w:val="auto"/>
        </w:rPr>
        <w:t>K. Zagrobelny</w:t>
      </w:r>
      <w:r w:rsidRPr="00BB37C3">
        <w:rPr>
          <w:rFonts w:ascii="Times New Roman" w:hAnsi="Times New Roman" w:cs="Times New Roman"/>
          <w:color w:val="auto"/>
        </w:rPr>
        <w:t xml:space="preserve"> </w:t>
      </w:r>
      <w:r>
        <w:rPr>
          <w:rFonts w:ascii="Times New Roman" w:hAnsi="Times New Roman" w:cs="Times New Roman"/>
          <w:color w:val="auto"/>
        </w:rPr>
        <w:t>(</w:t>
      </w:r>
      <w:r w:rsidRPr="00BB37C3">
        <w:rPr>
          <w:rFonts w:ascii="Times New Roman" w:hAnsi="Times New Roman" w:cs="Times New Roman"/>
          <w:color w:val="auto"/>
        </w:rPr>
        <w:t>w:</w:t>
      </w:r>
      <w:r>
        <w:rPr>
          <w:rFonts w:ascii="Times New Roman" w:hAnsi="Times New Roman" w:cs="Times New Roman"/>
          <w:color w:val="auto"/>
        </w:rPr>
        <w:t>)</w:t>
      </w:r>
      <w:r w:rsidRPr="00BB37C3">
        <w:rPr>
          <w:rFonts w:ascii="Times New Roman" w:hAnsi="Times New Roman" w:cs="Times New Roman"/>
          <w:color w:val="auto"/>
        </w:rPr>
        <w:t xml:space="preserve"> </w:t>
      </w:r>
      <w:r>
        <w:rPr>
          <w:rFonts w:ascii="Times New Roman" w:hAnsi="Times New Roman" w:cs="Times New Roman"/>
          <w:color w:val="auto"/>
        </w:rPr>
        <w:t xml:space="preserve">E. </w:t>
      </w:r>
      <w:r w:rsidRPr="00BB37C3">
        <w:rPr>
          <w:rFonts w:ascii="Times New Roman" w:hAnsi="Times New Roman" w:cs="Times New Roman"/>
          <w:color w:val="auto"/>
        </w:rPr>
        <w:t xml:space="preserve">Gniewek, </w:t>
      </w:r>
      <w:r>
        <w:rPr>
          <w:rFonts w:ascii="Times New Roman" w:hAnsi="Times New Roman" w:cs="Times New Roman"/>
          <w:color w:val="auto"/>
        </w:rPr>
        <w:t xml:space="preserve">P. </w:t>
      </w:r>
      <w:r w:rsidRPr="00BB37C3">
        <w:rPr>
          <w:rFonts w:ascii="Times New Roman" w:hAnsi="Times New Roman" w:cs="Times New Roman"/>
          <w:color w:val="auto"/>
        </w:rPr>
        <w:t>Machnikowski, Komentarz K</w:t>
      </w:r>
      <w:r>
        <w:rPr>
          <w:rFonts w:ascii="Times New Roman" w:hAnsi="Times New Roman" w:cs="Times New Roman"/>
          <w:color w:val="auto"/>
        </w:rPr>
        <w:t xml:space="preserve">odeks </w:t>
      </w:r>
      <w:r w:rsidRPr="00BB37C3">
        <w:rPr>
          <w:rFonts w:ascii="Times New Roman" w:hAnsi="Times New Roman" w:cs="Times New Roman"/>
          <w:color w:val="auto"/>
        </w:rPr>
        <w:t>C</w:t>
      </w:r>
      <w:r>
        <w:rPr>
          <w:rFonts w:ascii="Times New Roman" w:hAnsi="Times New Roman" w:cs="Times New Roman"/>
          <w:color w:val="auto"/>
        </w:rPr>
        <w:t>ywilny, Wydawnictwo CH BECK</w:t>
      </w:r>
      <w:r w:rsidRPr="00BB37C3">
        <w:rPr>
          <w:rFonts w:ascii="Times New Roman" w:hAnsi="Times New Roman" w:cs="Times New Roman"/>
          <w:color w:val="auto"/>
        </w:rPr>
        <w:t xml:space="preserve"> 2014.</w:t>
      </w:r>
    </w:p>
  </w:footnote>
  <w:footnote w:id="5">
    <w:p w:rsidR="00000000" w:rsidRDefault="001C533A" w:rsidP="001C533A">
      <w:pPr>
        <w:pStyle w:val="Tekstprzypisudolnego"/>
      </w:pPr>
      <w:r w:rsidRPr="00D704FC">
        <w:rPr>
          <w:rStyle w:val="Odwoanieprzypisudolnego"/>
          <w:rFonts w:ascii="Times New Roman" w:hAnsi="Times New Roman"/>
        </w:rPr>
        <w:footnoteRef/>
      </w:r>
      <w:r w:rsidRPr="00D704FC">
        <w:rPr>
          <w:rFonts w:ascii="Times New Roman" w:hAnsi="Times New Roman" w:cs="Times New Roman"/>
        </w:rPr>
        <w:t xml:space="preserve"> </w:t>
      </w:r>
      <w:r>
        <w:rPr>
          <w:rFonts w:ascii="Times New Roman" w:hAnsi="Times New Roman" w:cs="Times New Roman"/>
          <w:color w:val="auto"/>
        </w:rPr>
        <w:t>T. Dybowski, A. Pyrzyńska</w:t>
      </w:r>
      <w:r w:rsidRPr="00BB37C3">
        <w:rPr>
          <w:rFonts w:ascii="Times New Roman" w:hAnsi="Times New Roman" w:cs="Times New Roman"/>
          <w:color w:val="auto"/>
        </w:rPr>
        <w:t xml:space="preserve"> </w:t>
      </w:r>
      <w:r>
        <w:rPr>
          <w:rFonts w:ascii="Times New Roman" w:hAnsi="Times New Roman" w:cs="Times New Roman"/>
          <w:color w:val="auto"/>
        </w:rPr>
        <w:t>(</w:t>
      </w:r>
      <w:r w:rsidRPr="00BB37C3">
        <w:rPr>
          <w:rFonts w:ascii="Times New Roman" w:hAnsi="Times New Roman" w:cs="Times New Roman"/>
          <w:color w:val="auto"/>
        </w:rPr>
        <w:t>w:</w:t>
      </w:r>
      <w:r>
        <w:rPr>
          <w:rFonts w:ascii="Times New Roman" w:hAnsi="Times New Roman" w:cs="Times New Roman"/>
          <w:color w:val="auto"/>
        </w:rPr>
        <w:t>)</w:t>
      </w:r>
      <w:r w:rsidRPr="00BB37C3">
        <w:rPr>
          <w:rFonts w:ascii="Times New Roman" w:hAnsi="Times New Roman" w:cs="Times New Roman"/>
          <w:color w:val="auto"/>
        </w:rPr>
        <w:t xml:space="preserve"> System Pr</w:t>
      </w:r>
      <w:r>
        <w:rPr>
          <w:rFonts w:ascii="Times New Roman" w:hAnsi="Times New Roman" w:cs="Times New Roman"/>
          <w:color w:val="auto"/>
        </w:rPr>
        <w:t xml:space="preserve">awa </w:t>
      </w:r>
      <w:r w:rsidRPr="00BB37C3">
        <w:rPr>
          <w:rFonts w:ascii="Times New Roman" w:hAnsi="Times New Roman" w:cs="Times New Roman"/>
          <w:color w:val="auto"/>
        </w:rPr>
        <w:t>Pryw</w:t>
      </w:r>
      <w:r>
        <w:rPr>
          <w:rFonts w:ascii="Times New Roman" w:hAnsi="Times New Roman" w:cs="Times New Roman"/>
          <w:color w:val="auto"/>
        </w:rPr>
        <w:t>atnego</w:t>
      </w:r>
      <w:r w:rsidRPr="00BB37C3">
        <w:rPr>
          <w:rFonts w:ascii="Times New Roman" w:hAnsi="Times New Roman" w:cs="Times New Roman"/>
          <w:color w:val="auto"/>
        </w:rPr>
        <w:t xml:space="preserve">, t. 5, 2010, s. 261; M. </w:t>
      </w:r>
      <w:bookmarkStart w:id="1" w:name="highlightHit_0"/>
      <w:bookmarkEnd w:id="1"/>
      <w:r w:rsidRPr="00BB37C3">
        <w:rPr>
          <w:rFonts w:ascii="Times New Roman" w:hAnsi="Times New Roman" w:cs="Times New Roman"/>
          <w:color w:val="auto"/>
        </w:rPr>
        <w:t xml:space="preserve">Lemkowski, </w:t>
      </w:r>
      <w:bookmarkStart w:id="2" w:name="highlightHit_1"/>
      <w:bookmarkEnd w:id="2"/>
      <w:r w:rsidRPr="00BB37C3">
        <w:rPr>
          <w:rFonts w:ascii="Times New Roman" w:hAnsi="Times New Roman" w:cs="Times New Roman"/>
          <w:color w:val="auto"/>
        </w:rPr>
        <w:t xml:space="preserve">Odsetki, </w:t>
      </w:r>
      <w:r>
        <w:rPr>
          <w:rFonts w:ascii="Times New Roman" w:hAnsi="Times New Roman" w:cs="Times New Roman"/>
          <w:color w:val="auto"/>
        </w:rPr>
        <w:t xml:space="preserve">Wolters Kluwer 2007, </w:t>
      </w:r>
      <w:r w:rsidRPr="00BB37C3">
        <w:rPr>
          <w:rFonts w:ascii="Times New Roman" w:hAnsi="Times New Roman" w:cs="Times New Roman"/>
          <w:color w:val="auto"/>
        </w:rPr>
        <w:t>s. 383; M. Pałtynowicz, Konstrukcja prawna roszczenia o odsetki w polskim prawie cywilnym, Pr</w:t>
      </w:r>
      <w:r>
        <w:rPr>
          <w:rFonts w:ascii="Times New Roman" w:hAnsi="Times New Roman" w:cs="Times New Roman"/>
          <w:color w:val="auto"/>
        </w:rPr>
        <w:t xml:space="preserve">awo </w:t>
      </w:r>
      <w:r w:rsidRPr="00BB37C3">
        <w:rPr>
          <w:rFonts w:ascii="Times New Roman" w:hAnsi="Times New Roman" w:cs="Times New Roman"/>
          <w:color w:val="auto"/>
        </w:rPr>
        <w:t>Sp</w:t>
      </w:r>
      <w:r>
        <w:rPr>
          <w:rFonts w:ascii="Times New Roman" w:hAnsi="Times New Roman" w:cs="Times New Roman"/>
          <w:color w:val="auto"/>
        </w:rPr>
        <w:t>ółek</w:t>
      </w:r>
      <w:r w:rsidRPr="00BB37C3">
        <w:rPr>
          <w:rFonts w:ascii="Times New Roman" w:hAnsi="Times New Roman" w:cs="Times New Roman"/>
          <w:color w:val="auto"/>
        </w:rPr>
        <w:t xml:space="preserve"> 1998, Nr 4</w:t>
      </w:r>
      <w:r>
        <w:rPr>
          <w:rFonts w:ascii="Times New Roman" w:hAnsi="Times New Roman" w:cs="Times New Roman"/>
          <w:color w:val="auto"/>
        </w:rPr>
        <w:t>.</w:t>
      </w:r>
    </w:p>
  </w:footnote>
  <w:footnote w:id="6">
    <w:p w:rsidR="00000000" w:rsidRDefault="001C533A" w:rsidP="001C533A">
      <w:pPr>
        <w:pStyle w:val="Tekstprzypisudolnego"/>
      </w:pPr>
      <w:r w:rsidRPr="00D704FC">
        <w:rPr>
          <w:rStyle w:val="Odwoanieprzypisudolnego"/>
          <w:rFonts w:ascii="Times New Roman" w:hAnsi="Times New Roman"/>
        </w:rPr>
        <w:footnoteRef/>
      </w:r>
      <w:r>
        <w:t xml:space="preserve"> </w:t>
      </w:r>
      <w:r>
        <w:rPr>
          <w:rFonts w:ascii="Times New Roman" w:hAnsi="Times New Roman" w:cs="Times New Roman"/>
          <w:color w:val="auto"/>
        </w:rPr>
        <w:t>W</w:t>
      </w:r>
      <w:r w:rsidRPr="00BB37C3">
        <w:rPr>
          <w:rFonts w:ascii="Times New Roman" w:hAnsi="Times New Roman" w:cs="Times New Roman"/>
          <w:color w:val="auto"/>
        </w:rPr>
        <w:t>ątpliwości co do zrównania w omawianym zakresie umowy pożyczki i umowy kr</w:t>
      </w:r>
      <w:r>
        <w:rPr>
          <w:rFonts w:ascii="Times New Roman" w:hAnsi="Times New Roman" w:cs="Times New Roman"/>
          <w:color w:val="auto"/>
        </w:rPr>
        <w:t>edytu zgłasza także W. Popiołek</w:t>
      </w:r>
      <w:r w:rsidRPr="00BB37C3">
        <w:rPr>
          <w:rFonts w:ascii="Times New Roman" w:hAnsi="Times New Roman" w:cs="Times New Roman"/>
          <w:color w:val="auto"/>
        </w:rPr>
        <w:t xml:space="preserve"> </w:t>
      </w:r>
      <w:r>
        <w:rPr>
          <w:rFonts w:ascii="Times New Roman" w:hAnsi="Times New Roman" w:cs="Times New Roman"/>
          <w:color w:val="auto"/>
        </w:rPr>
        <w:t>(</w:t>
      </w:r>
      <w:r w:rsidRPr="00BB37C3">
        <w:rPr>
          <w:rFonts w:ascii="Times New Roman" w:hAnsi="Times New Roman" w:cs="Times New Roman"/>
          <w:color w:val="auto"/>
        </w:rPr>
        <w:t>w</w:t>
      </w:r>
      <w:r>
        <w:rPr>
          <w:rFonts w:ascii="Times New Roman" w:hAnsi="Times New Roman" w:cs="Times New Roman"/>
          <w:color w:val="auto"/>
        </w:rPr>
        <w:t>:)</w:t>
      </w:r>
      <w:r w:rsidRPr="00BB37C3">
        <w:rPr>
          <w:rFonts w:ascii="Times New Roman" w:hAnsi="Times New Roman" w:cs="Times New Roman"/>
          <w:color w:val="auto"/>
        </w:rPr>
        <w:t xml:space="preserve"> K. Pietrzykowski, K</w:t>
      </w:r>
      <w:r>
        <w:rPr>
          <w:rFonts w:ascii="Times New Roman" w:hAnsi="Times New Roman" w:cs="Times New Roman"/>
          <w:color w:val="auto"/>
        </w:rPr>
        <w:t xml:space="preserve">odeks </w:t>
      </w:r>
      <w:r w:rsidRPr="00BB37C3">
        <w:rPr>
          <w:rFonts w:ascii="Times New Roman" w:hAnsi="Times New Roman" w:cs="Times New Roman"/>
          <w:color w:val="auto"/>
        </w:rPr>
        <w:t>C</w:t>
      </w:r>
      <w:r>
        <w:rPr>
          <w:rFonts w:ascii="Times New Roman" w:hAnsi="Times New Roman" w:cs="Times New Roman"/>
          <w:color w:val="auto"/>
        </w:rPr>
        <w:t>ywilny</w:t>
      </w:r>
      <w:r w:rsidRPr="00BB37C3">
        <w:rPr>
          <w:rFonts w:ascii="Times New Roman" w:hAnsi="Times New Roman" w:cs="Times New Roman"/>
          <w:color w:val="auto"/>
        </w:rPr>
        <w:t xml:space="preserve">. Komentarz, t. 2, </w:t>
      </w:r>
      <w:r>
        <w:rPr>
          <w:rFonts w:ascii="Times New Roman" w:hAnsi="Times New Roman" w:cs="Times New Roman"/>
          <w:color w:val="auto"/>
        </w:rPr>
        <w:t>Warszawa 2005, s. 67.</w:t>
      </w:r>
    </w:p>
  </w:footnote>
  <w:footnote w:id="7">
    <w:p w:rsidR="00000000" w:rsidRDefault="001C533A" w:rsidP="001C533A">
      <w:pPr>
        <w:pStyle w:val="Tekstprzypisudolnego"/>
      </w:pPr>
      <w:r w:rsidRPr="00D704FC">
        <w:rPr>
          <w:rStyle w:val="Odwoanieprzypisudolnego"/>
          <w:rFonts w:ascii="Times New Roman" w:hAnsi="Times New Roman"/>
        </w:rPr>
        <w:footnoteRef/>
      </w:r>
      <w:r w:rsidRPr="00D704FC">
        <w:rPr>
          <w:rFonts w:ascii="Times New Roman" w:hAnsi="Times New Roman" w:cs="Times New Roman"/>
        </w:rPr>
        <w:t xml:space="preserve"> </w:t>
      </w:r>
      <w:r w:rsidRPr="0064157E">
        <w:rPr>
          <w:rFonts w:ascii="Times New Roman" w:hAnsi="Times New Roman" w:cs="Times New Roman"/>
        </w:rPr>
        <w:t>Przemysław Balcerowiak, Kapitalizacja odsetek a zakaz anatocyzmu, Acta Un</w:t>
      </w:r>
      <w:r>
        <w:rPr>
          <w:rFonts w:ascii="Times New Roman" w:hAnsi="Times New Roman" w:cs="Times New Roman"/>
        </w:rPr>
        <w:t>iversitatis Wratislaviensis, No </w:t>
      </w:r>
      <w:r w:rsidRPr="0064157E">
        <w:rPr>
          <w:rFonts w:ascii="Times New Roman" w:hAnsi="Times New Roman" w:cs="Times New Roman"/>
        </w:rPr>
        <w:t>3576, Wrocław 2014.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33A"/>
    <w:rsid w:val="00026940"/>
    <w:rsid w:val="000D45AB"/>
    <w:rsid w:val="00103CD8"/>
    <w:rsid w:val="00127548"/>
    <w:rsid w:val="001C533A"/>
    <w:rsid w:val="001E3C06"/>
    <w:rsid w:val="002E404A"/>
    <w:rsid w:val="00413EE5"/>
    <w:rsid w:val="004639CE"/>
    <w:rsid w:val="005655C2"/>
    <w:rsid w:val="0064157E"/>
    <w:rsid w:val="00671957"/>
    <w:rsid w:val="006926DF"/>
    <w:rsid w:val="00703E6D"/>
    <w:rsid w:val="007F0613"/>
    <w:rsid w:val="009064EF"/>
    <w:rsid w:val="009C2FE1"/>
    <w:rsid w:val="009D2FC6"/>
    <w:rsid w:val="009E09F9"/>
    <w:rsid w:val="00AF51C9"/>
    <w:rsid w:val="00BB37C3"/>
    <w:rsid w:val="00C55D99"/>
    <w:rsid w:val="00C5714C"/>
    <w:rsid w:val="00D704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4905CEA-F211-4D5B-85A0-B0E2AF55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C533A"/>
    <w:rPr>
      <w:rFonts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1C533A"/>
    <w:pPr>
      <w:widowControl w:val="0"/>
      <w:autoSpaceDE w:val="0"/>
      <w:autoSpaceDN w:val="0"/>
      <w:adjustRightInd w:val="0"/>
      <w:spacing w:after="0" w:line="240" w:lineRule="auto"/>
      <w:jc w:val="both"/>
    </w:pPr>
    <w:rPr>
      <w:rFonts w:ascii="Helvetica" w:eastAsiaTheme="minorEastAsia" w:hAnsi="Helvetica" w:cs="Helvetica"/>
      <w:color w:val="000000"/>
      <w:sz w:val="20"/>
      <w:szCs w:val="20"/>
      <w:lang w:eastAsia="pl-PL"/>
    </w:rPr>
  </w:style>
  <w:style w:type="character" w:customStyle="1" w:styleId="TekstprzypisudolnegoZnak">
    <w:name w:val="Tekst przypisu dolnego Znak"/>
    <w:basedOn w:val="Domylnaczcionkaakapitu"/>
    <w:link w:val="Tekstprzypisudolnego"/>
    <w:uiPriority w:val="99"/>
    <w:semiHidden/>
    <w:locked/>
    <w:rsid w:val="001C533A"/>
    <w:rPr>
      <w:rFonts w:ascii="Helvetica" w:eastAsiaTheme="minorEastAsia" w:hAnsi="Helvetica" w:cs="Helvetica"/>
      <w:color w:val="000000"/>
      <w:sz w:val="20"/>
      <w:szCs w:val="20"/>
      <w:lang w:val="x-none" w:eastAsia="pl-PL"/>
    </w:rPr>
  </w:style>
  <w:style w:type="character" w:styleId="Odwoanieprzypisudolnego">
    <w:name w:val="footnote reference"/>
    <w:basedOn w:val="Domylnaczcionkaakapitu"/>
    <w:uiPriority w:val="99"/>
    <w:semiHidden/>
    <w:unhideWhenUsed/>
    <w:rsid w:val="001C533A"/>
    <w:rPr>
      <w:rFonts w:cs="Times New Roman"/>
      <w:vertAlign w:val="superscript"/>
    </w:rPr>
  </w:style>
  <w:style w:type="paragraph" w:styleId="Stopka">
    <w:name w:val="footer"/>
    <w:basedOn w:val="Normalny"/>
    <w:link w:val="StopkaZnak"/>
    <w:uiPriority w:val="99"/>
    <w:unhideWhenUsed/>
    <w:rsid w:val="001C533A"/>
    <w:pPr>
      <w:widowControl w:val="0"/>
      <w:tabs>
        <w:tab w:val="center" w:pos="4536"/>
        <w:tab w:val="right" w:pos="9072"/>
      </w:tabs>
      <w:autoSpaceDE w:val="0"/>
      <w:autoSpaceDN w:val="0"/>
      <w:adjustRightInd w:val="0"/>
      <w:spacing w:after="0" w:line="240" w:lineRule="auto"/>
      <w:jc w:val="both"/>
    </w:pPr>
    <w:rPr>
      <w:rFonts w:ascii="Helvetica" w:eastAsiaTheme="minorEastAsia" w:hAnsi="Helvetica" w:cs="Helvetica"/>
      <w:color w:val="000000"/>
      <w:sz w:val="18"/>
      <w:szCs w:val="18"/>
      <w:lang w:eastAsia="pl-PL"/>
    </w:rPr>
  </w:style>
  <w:style w:type="character" w:customStyle="1" w:styleId="StopkaZnak">
    <w:name w:val="Stopka Znak"/>
    <w:basedOn w:val="Domylnaczcionkaakapitu"/>
    <w:link w:val="Stopka"/>
    <w:uiPriority w:val="99"/>
    <w:locked/>
    <w:rsid w:val="001C533A"/>
    <w:rPr>
      <w:rFonts w:ascii="Helvetica" w:eastAsiaTheme="minorEastAsia" w:hAnsi="Helvetica" w:cs="Helvetica"/>
      <w:color w:val="000000"/>
      <w:sz w:val="18"/>
      <w:szCs w:val="18"/>
      <w:lang w:val="x-none"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28313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full.seam?documentId=mjxw62zoge2tambvge3tcojogqxdklrrfyyq" TargetMode="External"/><Relationship Id="rId3" Type="http://schemas.openxmlformats.org/officeDocument/2006/relationships/settings" Target="settings.xml"/><Relationship Id="rId7" Type="http://schemas.openxmlformats.org/officeDocument/2006/relationships/hyperlink" Target="https://sip.legalis.pl/document-view.seam?documentId=mfrxilrsgm4tanjoobqxalrrgaytqmj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sip.legalis.pl/document-view.seam?documentId=mrswglrtgyytmna" TargetMode="External"/><Relationship Id="rId2" Type="http://schemas.openxmlformats.org/officeDocument/2006/relationships/hyperlink" Target="https://sip.legalis.pl/document-view.seam?documentId=mrswglrrhe2dmoi" TargetMode="External"/><Relationship Id="rId1" Type="http://schemas.openxmlformats.org/officeDocument/2006/relationships/hyperlink" Target="https://sip.legalis.pl/document-view.seam?documentId=mrswglrsgm3teo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8ACDB-852F-448F-86B4-BEA9CE68D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1966</Words>
  <Characters>11802</Characters>
  <Application>Microsoft Office Word</Application>
  <DocSecurity>0</DocSecurity>
  <Lines>98</Lines>
  <Paragraphs>27</Paragraphs>
  <ScaleCrop>false</ScaleCrop>
  <HeadingPairs>
    <vt:vector size="2" baseType="variant">
      <vt:variant>
        <vt:lpstr>Tytuł</vt:lpstr>
      </vt:variant>
      <vt:variant>
        <vt:i4>1</vt:i4>
      </vt:variant>
    </vt:vector>
  </HeadingPairs>
  <TitlesOfParts>
    <vt:vector size="1" baseType="lpstr">
      <vt:lpstr/>
    </vt:vector>
  </TitlesOfParts>
  <Company>Kancelaria Prezydenta RP</Company>
  <LinksUpToDate>false</LinksUpToDate>
  <CharactersWithSpaces>13741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Grażyna D. Grabowska</dc:creator>
  <cp:keywords/>
  <dc:description/>
  <cp:lastModifiedBy>Grażyna D. Grabowska</cp:lastModifiedBy>
  <cp:revision>2</cp:revision>
  <dcterms:created xsi:type="dcterms:W3CDTF">2018-10-02T09:34:00Z</dcterms:created>
  <dcterms:modified xsi:type="dcterms:W3CDTF">2018-10-02T09:34:00Z</dcterms:modified>
</cp:coreProperties>
</file>