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0F128E" w14:textId="35AC61CC" w:rsidR="00FB3248" w:rsidRPr="00816E15" w:rsidRDefault="00FB3248" w:rsidP="00CF5AAF">
      <w:pPr>
        <w:spacing w:after="240" w:line="360" w:lineRule="auto"/>
        <w:jc w:val="center"/>
        <w:rPr>
          <w:rFonts w:cs="Times New Roman"/>
          <w:szCs w:val="24"/>
          <w:lang w:val="pl"/>
        </w:rPr>
      </w:pPr>
      <w:bookmarkStart w:id="0" w:name="_GoBack"/>
      <w:bookmarkEnd w:id="0"/>
      <w:r w:rsidRPr="00816E15">
        <w:rPr>
          <w:rFonts w:cs="Times New Roman"/>
          <w:szCs w:val="24"/>
          <w:lang w:val="pl"/>
        </w:rPr>
        <w:t>UZASADNIENIE</w:t>
      </w:r>
    </w:p>
    <w:p w14:paraId="5747A667" w14:textId="287C4766" w:rsidR="00B710DB" w:rsidRPr="00816E15" w:rsidRDefault="00B710DB" w:rsidP="00CF5AAF">
      <w:pPr>
        <w:pStyle w:val="Akapitzlist"/>
        <w:numPr>
          <w:ilvl w:val="0"/>
          <w:numId w:val="1"/>
        </w:numPr>
        <w:spacing w:before="120" w:after="0" w:line="360" w:lineRule="auto"/>
        <w:ind w:left="360"/>
        <w:contextualSpacing w:val="0"/>
        <w:rPr>
          <w:rFonts w:cs="Times New Roman"/>
          <w:b/>
          <w:szCs w:val="24"/>
        </w:rPr>
      </w:pPr>
      <w:r w:rsidRPr="00816E15">
        <w:rPr>
          <w:rFonts w:cs="Times New Roman"/>
          <w:b/>
          <w:szCs w:val="24"/>
        </w:rPr>
        <w:t>Cel projektowanej regulacji</w:t>
      </w:r>
      <w:r w:rsidR="00DC7137" w:rsidRPr="00816E15">
        <w:rPr>
          <w:rFonts w:cs="Times New Roman"/>
          <w:b/>
          <w:szCs w:val="24"/>
        </w:rPr>
        <w:t xml:space="preserve"> </w:t>
      </w:r>
    </w:p>
    <w:p w14:paraId="67EE7BF0" w14:textId="75B4BBBB" w:rsidR="00C80A09" w:rsidRPr="00816E15" w:rsidRDefault="00662255" w:rsidP="00CF5AAF">
      <w:pPr>
        <w:spacing w:after="240" w:line="360" w:lineRule="auto"/>
        <w:jc w:val="both"/>
        <w:rPr>
          <w:szCs w:val="24"/>
        </w:rPr>
      </w:pPr>
      <w:r w:rsidRPr="00816E15">
        <w:rPr>
          <w:rFonts w:cs="Times New Roman"/>
          <w:noProof/>
          <w:szCs w:val="24"/>
        </w:rPr>
        <w:t xml:space="preserve">W ciągu ostatnich lat UE wdrożyła istotne reformy ram regulacyjnych dotyczących usług finansowych w celu zwiększenia odporności instytucji. </w:t>
      </w:r>
      <w:r w:rsidR="00D5586D" w:rsidRPr="00816E15">
        <w:rPr>
          <w:rFonts w:cs="Times New Roman"/>
          <w:szCs w:val="24"/>
        </w:rPr>
        <w:t xml:space="preserve">Ten pakiet reform </w:t>
      </w:r>
      <w:r w:rsidRPr="00816E15">
        <w:rPr>
          <w:rFonts w:cs="Times New Roman"/>
          <w:noProof/>
          <w:szCs w:val="24"/>
        </w:rPr>
        <w:t>obejmował w</w:t>
      </w:r>
      <w:r w:rsidR="00380F66" w:rsidRPr="00816E15">
        <w:rPr>
          <w:rFonts w:cs="Times New Roman"/>
          <w:noProof/>
          <w:szCs w:val="24"/>
        </w:rPr>
        <w:t> </w:t>
      </w:r>
      <w:r w:rsidRPr="00816E15">
        <w:rPr>
          <w:rFonts w:cs="Times New Roman"/>
          <w:noProof/>
          <w:szCs w:val="24"/>
        </w:rPr>
        <w:t>szczególności rozporządzenie</w:t>
      </w:r>
      <w:r w:rsidR="002B763E">
        <w:rPr>
          <w:rStyle w:val="Pogrubienie"/>
          <w:b w:val="0"/>
          <w:szCs w:val="24"/>
        </w:rPr>
        <w:t xml:space="preserve"> Parlamentu Europejskiego i R</w:t>
      </w:r>
      <w:r w:rsidR="00066BC7" w:rsidRPr="00816E15">
        <w:rPr>
          <w:rStyle w:val="Pogrubienie"/>
          <w:b w:val="0"/>
          <w:szCs w:val="24"/>
        </w:rPr>
        <w:t>ady (UE) nr 575/2013 z dnia 26 czerwca 2013 r. w sprawie wymogów ostrożnościowych dla instytucji kredytowych i firm inwestycyjnych, zmieniające rozporządzenie (UE) nr 648/2012</w:t>
      </w:r>
      <w:r w:rsidR="002D0B49" w:rsidRPr="00816E15">
        <w:rPr>
          <w:rStyle w:val="Pogrubienie"/>
          <w:b w:val="0"/>
          <w:szCs w:val="24"/>
        </w:rPr>
        <w:t xml:space="preserve"> (</w:t>
      </w:r>
      <w:r w:rsidR="002D0B49" w:rsidRPr="00816E15">
        <w:rPr>
          <w:iCs/>
          <w:szCs w:val="24"/>
        </w:rPr>
        <w:t>Dz.</w:t>
      </w:r>
      <w:r w:rsidR="005C401A" w:rsidRPr="00816E15">
        <w:rPr>
          <w:iCs/>
          <w:szCs w:val="24"/>
        </w:rPr>
        <w:t xml:space="preserve"> </w:t>
      </w:r>
      <w:r w:rsidR="002D0B49" w:rsidRPr="00816E15">
        <w:rPr>
          <w:iCs/>
          <w:szCs w:val="24"/>
        </w:rPr>
        <w:t>U</w:t>
      </w:r>
      <w:r w:rsidR="0063196F">
        <w:rPr>
          <w:iCs/>
          <w:szCs w:val="24"/>
        </w:rPr>
        <w:t>rz</w:t>
      </w:r>
      <w:r w:rsidR="002D0B49" w:rsidRPr="00816E15">
        <w:rPr>
          <w:iCs/>
          <w:szCs w:val="24"/>
        </w:rPr>
        <w:t>.</w:t>
      </w:r>
      <w:r w:rsidR="0063196F">
        <w:rPr>
          <w:iCs/>
          <w:szCs w:val="24"/>
        </w:rPr>
        <w:t xml:space="preserve"> UE</w:t>
      </w:r>
      <w:r w:rsidR="002D0B49" w:rsidRPr="00816E15">
        <w:rPr>
          <w:iCs/>
          <w:szCs w:val="24"/>
        </w:rPr>
        <w:t xml:space="preserve"> L 176 z 27.</w:t>
      </w:r>
      <w:r w:rsidR="00A94FF8" w:rsidRPr="00816E15">
        <w:rPr>
          <w:iCs/>
          <w:szCs w:val="24"/>
        </w:rPr>
        <w:t>0</w:t>
      </w:r>
      <w:r w:rsidR="002D0B49" w:rsidRPr="00816E15">
        <w:rPr>
          <w:iCs/>
          <w:szCs w:val="24"/>
        </w:rPr>
        <w:t>6.2013, str. 1), dale</w:t>
      </w:r>
      <w:r w:rsidR="00613EC9" w:rsidRPr="00816E15">
        <w:rPr>
          <w:iCs/>
          <w:szCs w:val="24"/>
        </w:rPr>
        <w:t>j</w:t>
      </w:r>
      <w:r w:rsidR="009C2088" w:rsidRPr="00816E15">
        <w:rPr>
          <w:rStyle w:val="Pogrubienie"/>
          <w:b w:val="0"/>
          <w:szCs w:val="24"/>
        </w:rPr>
        <w:t xml:space="preserve"> </w:t>
      </w:r>
      <w:r w:rsidR="00613EC9" w:rsidRPr="00816E15">
        <w:rPr>
          <w:rFonts w:cs="Times New Roman"/>
          <w:noProof/>
          <w:szCs w:val="24"/>
        </w:rPr>
        <w:t>„</w:t>
      </w:r>
      <w:r w:rsidRPr="00816E15">
        <w:rPr>
          <w:rFonts w:cs="Times New Roman"/>
          <w:noProof/>
          <w:szCs w:val="24"/>
        </w:rPr>
        <w:t>rozporządzenie w sprawie wymogów kapitałowych</w:t>
      </w:r>
      <w:r w:rsidR="00613EC9" w:rsidRPr="00816E15">
        <w:rPr>
          <w:rFonts w:cs="Times New Roman"/>
          <w:noProof/>
          <w:szCs w:val="24"/>
        </w:rPr>
        <w:t>”</w:t>
      </w:r>
      <w:r w:rsidR="0063196F">
        <w:rPr>
          <w:rFonts w:cs="Times New Roman"/>
          <w:noProof/>
          <w:szCs w:val="24"/>
        </w:rPr>
        <w:t>,</w:t>
      </w:r>
      <w:r w:rsidRPr="00816E15">
        <w:rPr>
          <w:rFonts w:cs="Times New Roman"/>
          <w:noProof/>
          <w:szCs w:val="24"/>
        </w:rPr>
        <w:t xml:space="preserve"> i dyrektywę </w:t>
      </w:r>
      <w:r w:rsidR="004D08E9" w:rsidRPr="00816E15">
        <w:rPr>
          <w:rStyle w:val="Pogrubienie"/>
          <w:b w:val="0"/>
          <w:szCs w:val="24"/>
        </w:rPr>
        <w:t>Parlamentu Europejskiego i Rady 2013/36/UE z dnia 26 czerwca 2013 r. w sprawie warunków dopuszczenia instytucji kredytowych do działalności oraz nadzoru ostrożnościowego nad instytucjami kredytowymi i firmami inwestycyjnymi, zmieniając</w:t>
      </w:r>
      <w:r w:rsidR="0063196F">
        <w:rPr>
          <w:rStyle w:val="Pogrubienie"/>
          <w:b w:val="0"/>
          <w:szCs w:val="24"/>
        </w:rPr>
        <w:t>ą</w:t>
      </w:r>
      <w:r w:rsidR="004D08E9" w:rsidRPr="00816E15">
        <w:rPr>
          <w:rStyle w:val="Pogrubienie"/>
          <w:b w:val="0"/>
          <w:szCs w:val="24"/>
        </w:rPr>
        <w:t xml:space="preserve"> d</w:t>
      </w:r>
      <w:r w:rsidR="0063196F">
        <w:rPr>
          <w:rStyle w:val="Pogrubienie"/>
          <w:b w:val="0"/>
          <w:szCs w:val="24"/>
        </w:rPr>
        <w:t>yrektywę 2002/87/WE i uchylającą</w:t>
      </w:r>
      <w:r w:rsidR="004D08E9" w:rsidRPr="00816E15">
        <w:rPr>
          <w:rStyle w:val="Pogrubienie"/>
          <w:b w:val="0"/>
          <w:szCs w:val="24"/>
        </w:rPr>
        <w:t xml:space="preserve"> dyrektywy 2006/48/WE oraz 2006/49/WE</w:t>
      </w:r>
      <w:r w:rsidR="002D0B49" w:rsidRPr="00816E15">
        <w:rPr>
          <w:rStyle w:val="Pogrubienie"/>
          <w:b w:val="0"/>
          <w:szCs w:val="24"/>
        </w:rPr>
        <w:t xml:space="preserve"> (</w:t>
      </w:r>
      <w:r w:rsidR="002D0B49" w:rsidRPr="00816E15">
        <w:rPr>
          <w:iCs/>
          <w:szCs w:val="24"/>
        </w:rPr>
        <w:t>Dz.</w:t>
      </w:r>
      <w:r w:rsidR="005C401A" w:rsidRPr="00816E15">
        <w:rPr>
          <w:iCs/>
          <w:szCs w:val="24"/>
        </w:rPr>
        <w:t xml:space="preserve"> </w:t>
      </w:r>
      <w:r w:rsidR="002D0B49" w:rsidRPr="00816E15">
        <w:rPr>
          <w:iCs/>
          <w:szCs w:val="24"/>
        </w:rPr>
        <w:t>U</w:t>
      </w:r>
      <w:r w:rsidR="0063196F">
        <w:rPr>
          <w:iCs/>
          <w:szCs w:val="24"/>
        </w:rPr>
        <w:t>rz</w:t>
      </w:r>
      <w:r w:rsidR="002D0B49" w:rsidRPr="00816E15">
        <w:rPr>
          <w:iCs/>
          <w:szCs w:val="24"/>
        </w:rPr>
        <w:t>.</w:t>
      </w:r>
      <w:r w:rsidR="0063196F">
        <w:rPr>
          <w:iCs/>
          <w:szCs w:val="24"/>
        </w:rPr>
        <w:t xml:space="preserve"> UE</w:t>
      </w:r>
      <w:r w:rsidR="002D0B49" w:rsidRPr="00816E15">
        <w:rPr>
          <w:iCs/>
          <w:szCs w:val="24"/>
        </w:rPr>
        <w:t xml:space="preserve"> L 176 z 27.</w:t>
      </w:r>
      <w:r w:rsidR="00A94FF8" w:rsidRPr="00816E15">
        <w:rPr>
          <w:iCs/>
          <w:szCs w:val="24"/>
        </w:rPr>
        <w:t>0</w:t>
      </w:r>
      <w:r w:rsidR="002D0B49" w:rsidRPr="00816E15">
        <w:rPr>
          <w:iCs/>
          <w:szCs w:val="24"/>
        </w:rPr>
        <w:t>6.2013, str. 338)</w:t>
      </w:r>
      <w:r w:rsidR="00613EC9" w:rsidRPr="00816E15">
        <w:rPr>
          <w:iCs/>
          <w:szCs w:val="24"/>
        </w:rPr>
        <w:t>,</w:t>
      </w:r>
      <w:r w:rsidR="00816E15">
        <w:rPr>
          <w:rFonts w:cs="Times New Roman"/>
          <w:noProof/>
          <w:szCs w:val="24"/>
        </w:rPr>
        <w:t xml:space="preserve"> </w:t>
      </w:r>
      <w:r w:rsidR="00613EC9" w:rsidRPr="00816E15">
        <w:rPr>
          <w:rFonts w:cs="Times New Roman"/>
          <w:noProof/>
          <w:szCs w:val="24"/>
        </w:rPr>
        <w:t>dalej „</w:t>
      </w:r>
      <w:r w:rsidRPr="00816E15">
        <w:rPr>
          <w:rFonts w:cs="Times New Roman"/>
          <w:noProof/>
          <w:szCs w:val="24"/>
        </w:rPr>
        <w:t>dyrektywa w sprawie wymogów kapitałowych</w:t>
      </w:r>
      <w:r w:rsidR="00613EC9" w:rsidRPr="00816E15">
        <w:rPr>
          <w:rFonts w:cs="Times New Roman"/>
          <w:noProof/>
          <w:szCs w:val="24"/>
        </w:rPr>
        <w:t>”</w:t>
      </w:r>
      <w:r w:rsidRPr="00816E15">
        <w:rPr>
          <w:rFonts w:cs="Times New Roman"/>
          <w:noProof/>
          <w:szCs w:val="24"/>
        </w:rPr>
        <w:t xml:space="preserve">, które zawierają wymogi ostrożnościowe i nadzorcze w odniesieniu do instytucji, jak również dyrektywę </w:t>
      </w:r>
      <w:r w:rsidR="00613EC9" w:rsidRPr="00816E15">
        <w:rPr>
          <w:rStyle w:val="Pogrubienie"/>
          <w:b w:val="0"/>
          <w:szCs w:val="24"/>
        </w:rPr>
        <w:t>Parlamentu Europejskiego i Rady 2014/59/UE z dnia 15 maja 2014 r. ustanawiając</w:t>
      </w:r>
      <w:r w:rsidR="0063196F">
        <w:rPr>
          <w:rStyle w:val="Pogrubienie"/>
          <w:b w:val="0"/>
          <w:szCs w:val="24"/>
        </w:rPr>
        <w:t>ą</w:t>
      </w:r>
      <w:r w:rsidR="00613EC9" w:rsidRPr="00816E15">
        <w:rPr>
          <w:rStyle w:val="Pogrubienie"/>
          <w:b w:val="0"/>
          <w:szCs w:val="24"/>
        </w:rPr>
        <w:t xml:space="preserve"> ramy na potrzeby prowadzenia działań naprawczych oraz restrukturyzacji i uporządkowanej likwidacji w odniesieniu do instytucji kredytowych i firm inwestycyjnych oraz zmieniając</w:t>
      </w:r>
      <w:r w:rsidR="0063196F">
        <w:rPr>
          <w:rStyle w:val="Pogrubienie"/>
          <w:b w:val="0"/>
          <w:szCs w:val="24"/>
        </w:rPr>
        <w:t>ą</w:t>
      </w:r>
      <w:r w:rsidR="00613EC9" w:rsidRPr="00816E15">
        <w:rPr>
          <w:rStyle w:val="Pogrubienie"/>
          <w:b w:val="0"/>
          <w:szCs w:val="24"/>
        </w:rPr>
        <w:t xml:space="preserve"> dyrektywę Rady 82/891/EWG i dyrektywy Parlamentu Europejskiego i Rady 2001/24/WE, 2002/47/WE, 2004/25/WE, 2005/56/WE, 2007/36/WE, 2011/35/UE, 2012/30/UE i 2013/36/EU oraz rozporządzenia Parlamentu Europejskiego i Rady (UE) nr 1093/2010 i (UE) nr 648/2012</w:t>
      </w:r>
      <w:r w:rsidR="00613EC9" w:rsidRPr="00816E15" w:rsidDel="00613EC9">
        <w:rPr>
          <w:rFonts w:cs="Times New Roman"/>
          <w:b/>
          <w:noProof/>
          <w:szCs w:val="24"/>
        </w:rPr>
        <w:t xml:space="preserve"> </w:t>
      </w:r>
      <w:r w:rsidR="00184806" w:rsidRPr="00816E15">
        <w:rPr>
          <w:rFonts w:cs="Times New Roman"/>
          <w:noProof/>
          <w:szCs w:val="24"/>
        </w:rPr>
        <w:t>(</w:t>
      </w:r>
      <w:r w:rsidR="00184806" w:rsidRPr="00816E15">
        <w:rPr>
          <w:iCs/>
          <w:szCs w:val="24"/>
        </w:rPr>
        <w:t>D</w:t>
      </w:r>
      <w:r w:rsidR="00613EC9" w:rsidRPr="00816E15">
        <w:rPr>
          <w:iCs/>
          <w:szCs w:val="24"/>
        </w:rPr>
        <w:t>z.</w:t>
      </w:r>
      <w:r w:rsidR="005C401A" w:rsidRPr="00816E15">
        <w:rPr>
          <w:iCs/>
          <w:szCs w:val="24"/>
        </w:rPr>
        <w:t xml:space="preserve"> </w:t>
      </w:r>
      <w:r w:rsidR="00613EC9" w:rsidRPr="00816E15">
        <w:rPr>
          <w:iCs/>
          <w:szCs w:val="24"/>
        </w:rPr>
        <w:t>U</w:t>
      </w:r>
      <w:r w:rsidR="0063196F">
        <w:rPr>
          <w:iCs/>
          <w:szCs w:val="24"/>
        </w:rPr>
        <w:t>rz</w:t>
      </w:r>
      <w:r w:rsidR="00613EC9" w:rsidRPr="00816E15">
        <w:rPr>
          <w:iCs/>
          <w:szCs w:val="24"/>
        </w:rPr>
        <w:t>.</w:t>
      </w:r>
      <w:r w:rsidR="0063196F">
        <w:rPr>
          <w:iCs/>
          <w:szCs w:val="24"/>
        </w:rPr>
        <w:t xml:space="preserve"> UE</w:t>
      </w:r>
      <w:r w:rsidR="00613EC9" w:rsidRPr="00816E15">
        <w:rPr>
          <w:iCs/>
          <w:szCs w:val="24"/>
        </w:rPr>
        <w:t xml:space="preserve"> L 173 z 12.</w:t>
      </w:r>
      <w:r w:rsidR="00A94FF8" w:rsidRPr="00816E15">
        <w:rPr>
          <w:iCs/>
          <w:szCs w:val="24"/>
        </w:rPr>
        <w:t>0</w:t>
      </w:r>
      <w:r w:rsidR="00613EC9" w:rsidRPr="00816E15">
        <w:rPr>
          <w:iCs/>
          <w:szCs w:val="24"/>
        </w:rPr>
        <w:t>6.2014, str. 190</w:t>
      </w:r>
      <w:r w:rsidR="002D0B49" w:rsidRPr="00816E15">
        <w:rPr>
          <w:iCs/>
          <w:szCs w:val="24"/>
        </w:rPr>
        <w:t>)</w:t>
      </w:r>
      <w:r w:rsidR="00184806" w:rsidRPr="00816E15">
        <w:rPr>
          <w:rFonts w:cs="Times New Roman"/>
          <w:noProof/>
          <w:szCs w:val="24"/>
        </w:rPr>
        <w:t>,</w:t>
      </w:r>
      <w:r w:rsidR="00A94FF8" w:rsidRPr="00816E15">
        <w:rPr>
          <w:rFonts w:cs="Times New Roman"/>
          <w:noProof/>
          <w:szCs w:val="24"/>
        </w:rPr>
        <w:t xml:space="preserve"> </w:t>
      </w:r>
      <w:r w:rsidR="00453D18" w:rsidRPr="00816E15">
        <w:rPr>
          <w:rFonts w:cs="Times New Roman"/>
          <w:noProof/>
          <w:szCs w:val="24"/>
        </w:rPr>
        <w:t>d</w:t>
      </w:r>
      <w:r w:rsidR="00682C17" w:rsidRPr="00816E15">
        <w:rPr>
          <w:rFonts w:cs="Times New Roman"/>
          <w:noProof/>
          <w:szCs w:val="24"/>
        </w:rPr>
        <w:t>a</w:t>
      </w:r>
      <w:r w:rsidR="00453D18" w:rsidRPr="00816E15">
        <w:rPr>
          <w:rFonts w:cs="Times New Roman"/>
          <w:noProof/>
          <w:szCs w:val="24"/>
        </w:rPr>
        <w:t xml:space="preserve">lej </w:t>
      </w:r>
      <w:r w:rsidR="00A64305" w:rsidRPr="00816E15">
        <w:rPr>
          <w:rFonts w:cs="Times New Roman"/>
          <w:noProof/>
          <w:szCs w:val="24"/>
        </w:rPr>
        <w:t>„</w:t>
      </w:r>
      <w:r w:rsidR="00937952" w:rsidRPr="00816E15">
        <w:rPr>
          <w:rFonts w:cs="Times New Roman"/>
          <w:noProof/>
          <w:szCs w:val="24"/>
        </w:rPr>
        <w:t xml:space="preserve">dyrektywa </w:t>
      </w:r>
      <w:r w:rsidR="00A64305" w:rsidRPr="00816E15">
        <w:rPr>
          <w:rFonts w:cs="Times New Roman"/>
          <w:noProof/>
          <w:szCs w:val="24"/>
        </w:rPr>
        <w:t>BRR”</w:t>
      </w:r>
      <w:r w:rsidR="00A94FF8" w:rsidRPr="00816E15">
        <w:rPr>
          <w:rFonts w:cs="Times New Roman"/>
          <w:noProof/>
          <w:szCs w:val="24"/>
        </w:rPr>
        <w:t>,</w:t>
      </w:r>
      <w:r w:rsidR="00816E15">
        <w:rPr>
          <w:rFonts w:cs="Times New Roman"/>
          <w:noProof/>
          <w:szCs w:val="24"/>
        </w:rPr>
        <w:t xml:space="preserve"> </w:t>
      </w:r>
      <w:r w:rsidRPr="00816E15">
        <w:rPr>
          <w:rFonts w:cs="Times New Roman"/>
          <w:noProof/>
          <w:szCs w:val="24"/>
        </w:rPr>
        <w:t xml:space="preserve">oraz </w:t>
      </w:r>
      <w:r w:rsidR="00613EC9" w:rsidRPr="00816E15">
        <w:rPr>
          <w:rFonts w:cs="Times New Roman"/>
          <w:noProof/>
          <w:szCs w:val="24"/>
        </w:rPr>
        <w:t xml:space="preserve">rozporządzenie </w:t>
      </w:r>
      <w:r w:rsidR="00613EC9" w:rsidRPr="00816E15">
        <w:rPr>
          <w:rStyle w:val="Pogrubienie"/>
          <w:b w:val="0"/>
          <w:szCs w:val="24"/>
        </w:rPr>
        <w:t>Parlamentu Europejskiego i Rady (UE) nr 806/2014 z dnia 15 lipca 2014 r. ustanawiające jednolite zasady i jednolitą procedurę restrukturyzacji i uporządkowanej likwidacji instytucji kredytowych i niektórych firm inwestycyjnych w ramach jednolitego mechanizmu restrukturyzacji i uporządkowanej likwidacji oraz jednolitego funduszu restrukturyzacji i uporządkowanej likwidacji oraz zmieniające rozporządzenie (UE) nr 1093/2010 (</w:t>
      </w:r>
      <w:r w:rsidR="00613EC9" w:rsidRPr="00816E15">
        <w:rPr>
          <w:iCs/>
          <w:szCs w:val="24"/>
        </w:rPr>
        <w:t>Dz.</w:t>
      </w:r>
      <w:r w:rsidR="003A0657" w:rsidRPr="00816E15">
        <w:rPr>
          <w:iCs/>
          <w:szCs w:val="24"/>
        </w:rPr>
        <w:t xml:space="preserve"> </w:t>
      </w:r>
      <w:r w:rsidR="00613EC9" w:rsidRPr="00816E15">
        <w:rPr>
          <w:iCs/>
          <w:szCs w:val="24"/>
        </w:rPr>
        <w:t>U</w:t>
      </w:r>
      <w:r w:rsidR="0063196F">
        <w:rPr>
          <w:iCs/>
          <w:szCs w:val="24"/>
        </w:rPr>
        <w:t>rz</w:t>
      </w:r>
      <w:r w:rsidR="00613EC9" w:rsidRPr="00816E15">
        <w:rPr>
          <w:iCs/>
          <w:szCs w:val="24"/>
        </w:rPr>
        <w:t>.</w:t>
      </w:r>
      <w:r w:rsidR="0063196F">
        <w:rPr>
          <w:iCs/>
          <w:szCs w:val="24"/>
        </w:rPr>
        <w:t xml:space="preserve"> UE</w:t>
      </w:r>
      <w:r w:rsidR="00613EC9" w:rsidRPr="00816E15">
        <w:rPr>
          <w:iCs/>
          <w:szCs w:val="24"/>
        </w:rPr>
        <w:t xml:space="preserve"> L 225 z 30.</w:t>
      </w:r>
      <w:r w:rsidR="00A94FF8" w:rsidRPr="00816E15">
        <w:rPr>
          <w:iCs/>
          <w:szCs w:val="24"/>
        </w:rPr>
        <w:t>0</w:t>
      </w:r>
      <w:r w:rsidR="00613EC9" w:rsidRPr="00816E15">
        <w:rPr>
          <w:iCs/>
          <w:szCs w:val="24"/>
        </w:rPr>
        <w:t xml:space="preserve">7.2014, str. 1). </w:t>
      </w:r>
      <w:r w:rsidR="00C80A09" w:rsidRPr="00816E15">
        <w:rPr>
          <w:iCs/>
          <w:szCs w:val="24"/>
        </w:rPr>
        <w:t>Z perspektywy pewności bezpieczeństwa obrotu, w szczególności dla klientów detalicznych</w:t>
      </w:r>
      <w:r w:rsidR="00822B1D" w:rsidRPr="00816E15">
        <w:rPr>
          <w:iCs/>
          <w:szCs w:val="24"/>
        </w:rPr>
        <w:t>,</w:t>
      </w:r>
      <w:r w:rsidR="00C80A09" w:rsidRPr="00816E15">
        <w:rPr>
          <w:iCs/>
          <w:szCs w:val="24"/>
        </w:rPr>
        <w:t xml:space="preserve"> kluczowe było wprowadzenie ochrony depozytów w ramach d</w:t>
      </w:r>
      <w:r w:rsidR="00C80A09" w:rsidRPr="00816E15">
        <w:rPr>
          <w:szCs w:val="24"/>
        </w:rPr>
        <w:t>yrektywy Parlamentu Europejskiego i Rady 2014/49/UE z dnia 16 kwietnia 2014 r. w sprawie systemów gwarancji depozytów (Dz. Urz. UE L 173 z 12.06.2014, str. 149, z późn. zm.), dalej „dyrektywa DGS”.</w:t>
      </w:r>
    </w:p>
    <w:p w14:paraId="718EE7C7" w14:textId="703A8991" w:rsidR="00175F31" w:rsidRPr="00816E15" w:rsidRDefault="00662255" w:rsidP="00CF5AAF">
      <w:pPr>
        <w:spacing w:after="240" w:line="360" w:lineRule="auto"/>
        <w:jc w:val="both"/>
        <w:rPr>
          <w:rFonts w:eastAsia="Times New Roman" w:cs="Times New Roman"/>
          <w:noProof/>
          <w:szCs w:val="24"/>
        </w:rPr>
      </w:pPr>
      <w:r w:rsidRPr="00816E15">
        <w:rPr>
          <w:rFonts w:cs="Times New Roman"/>
          <w:noProof/>
          <w:szCs w:val="24"/>
        </w:rPr>
        <w:t>Reformy te podjęto w odpowiedzi na kryzys finansowy, który miał miejsce w latach 2007</w:t>
      </w:r>
      <w:r w:rsidR="00CF5AAF" w:rsidRPr="00816E15">
        <w:rPr>
          <w:rFonts w:cs="Times New Roman"/>
          <w:noProof/>
          <w:szCs w:val="24"/>
        </w:rPr>
        <w:t xml:space="preserve"> i </w:t>
      </w:r>
      <w:r w:rsidRPr="00816E15">
        <w:rPr>
          <w:rFonts w:cs="Times New Roman"/>
          <w:noProof/>
          <w:szCs w:val="24"/>
        </w:rPr>
        <w:t xml:space="preserve">2008. Brak odpowiednich ram z zakresu zarządzania kryzysowego oraz restrukturyzacji </w:t>
      </w:r>
      <w:r w:rsidRPr="00816E15">
        <w:rPr>
          <w:rFonts w:cs="Times New Roman"/>
          <w:noProof/>
          <w:szCs w:val="24"/>
        </w:rPr>
        <w:lastRenderedPageBreak/>
        <w:t>i</w:t>
      </w:r>
      <w:r w:rsidR="00380F66" w:rsidRPr="00816E15">
        <w:rPr>
          <w:rFonts w:cs="Times New Roman"/>
          <w:noProof/>
          <w:szCs w:val="24"/>
        </w:rPr>
        <w:t> </w:t>
      </w:r>
      <w:r w:rsidRPr="00816E15">
        <w:rPr>
          <w:rFonts w:cs="Times New Roman"/>
          <w:noProof/>
          <w:szCs w:val="24"/>
        </w:rPr>
        <w:t>uporządkowanej likwidacji zmusił rządy na całym świecie do ratowania banków przed</w:t>
      </w:r>
      <w:r w:rsidR="00CF5AAF" w:rsidRPr="00816E15">
        <w:rPr>
          <w:rFonts w:cs="Times New Roman"/>
          <w:noProof/>
          <w:szCs w:val="24"/>
        </w:rPr>
        <w:t xml:space="preserve"> skutkami kryzysu finansowego. </w:t>
      </w:r>
      <w:r w:rsidRPr="00816E15">
        <w:rPr>
          <w:rFonts w:cs="Times New Roman"/>
          <w:noProof/>
          <w:szCs w:val="24"/>
        </w:rPr>
        <w:t>Późniejszy wpływ tych działań na finanse publiczne oraz niepożądane zachęty do obciążania społeczeństw kosztami upadłości banków uwy</w:t>
      </w:r>
      <w:r w:rsidR="00822B1D" w:rsidRPr="00816E15">
        <w:rPr>
          <w:rFonts w:cs="Times New Roman"/>
          <w:noProof/>
          <w:szCs w:val="24"/>
        </w:rPr>
        <w:t>datni</w:t>
      </w:r>
      <w:r w:rsidR="004B06AB" w:rsidRPr="00816E15">
        <w:rPr>
          <w:rFonts w:cs="Times New Roman"/>
          <w:noProof/>
          <w:szCs w:val="24"/>
        </w:rPr>
        <w:t>ł</w:t>
      </w:r>
      <w:r w:rsidR="00822B1D" w:rsidRPr="00816E15">
        <w:rPr>
          <w:rFonts w:cs="Times New Roman"/>
          <w:noProof/>
          <w:szCs w:val="24"/>
        </w:rPr>
        <w:t>y</w:t>
      </w:r>
      <w:r w:rsidR="004B06AB" w:rsidRPr="00816E15">
        <w:rPr>
          <w:rFonts w:cs="Times New Roman"/>
          <w:noProof/>
          <w:szCs w:val="24"/>
        </w:rPr>
        <w:t xml:space="preserve"> </w:t>
      </w:r>
      <w:r w:rsidRPr="00816E15">
        <w:rPr>
          <w:rFonts w:cs="Times New Roman"/>
          <w:noProof/>
          <w:szCs w:val="24"/>
        </w:rPr>
        <w:t xml:space="preserve">konieczność opracowania odmiennego podejścia do zarządzania kryzysami w sektorze bankowym oraz ochrony stabilności finansowej. </w:t>
      </w:r>
    </w:p>
    <w:p w14:paraId="2C0C2AF4" w14:textId="3DF63602" w:rsidR="009E38A5" w:rsidRPr="00816E15" w:rsidRDefault="00D5586D" w:rsidP="00CF5AAF">
      <w:pPr>
        <w:spacing w:line="360" w:lineRule="auto"/>
        <w:jc w:val="both"/>
        <w:rPr>
          <w:rFonts w:cs="Times New Roman"/>
          <w:szCs w:val="24"/>
        </w:rPr>
      </w:pPr>
      <w:r w:rsidRPr="00816E15">
        <w:rPr>
          <w:rFonts w:cs="Times New Roman"/>
          <w:szCs w:val="24"/>
        </w:rPr>
        <w:t>Niniejszy projekt ma na celu usprawnienie obecnych rozwiązań związanych z funkcjonowaniem przepisów dotyczących przymusowej restrukturyzacji oraz systemu gwarantowania depozytów zawartych w ustawie z dnia 10 czerwca 2016 r. o Bankowym Funduszu Gwarancyjnym, systemie gwarantowania depozytów oraz przymusowej restrukturyzacji (Dz. U. z</w:t>
      </w:r>
      <w:r w:rsidR="00822B1D" w:rsidRPr="00816E15">
        <w:rPr>
          <w:rFonts w:cs="Times New Roman"/>
          <w:szCs w:val="24"/>
        </w:rPr>
        <w:t xml:space="preserve"> </w:t>
      </w:r>
      <w:r w:rsidRPr="00816E15">
        <w:rPr>
          <w:rFonts w:cs="Times New Roman"/>
          <w:szCs w:val="24"/>
        </w:rPr>
        <w:t>2017</w:t>
      </w:r>
      <w:r w:rsidR="002F3F55">
        <w:rPr>
          <w:rFonts w:cs="Times New Roman"/>
          <w:szCs w:val="24"/>
        </w:rPr>
        <w:t xml:space="preserve"> </w:t>
      </w:r>
      <w:r w:rsidRPr="00816E15">
        <w:rPr>
          <w:rFonts w:cs="Times New Roman"/>
          <w:szCs w:val="24"/>
        </w:rPr>
        <w:t>r. poz. 1937</w:t>
      </w:r>
      <w:r w:rsidR="00822B1D" w:rsidRPr="00816E15">
        <w:rPr>
          <w:rFonts w:cs="Times New Roman"/>
          <w:szCs w:val="24"/>
        </w:rPr>
        <w:t>, z późn. zm.</w:t>
      </w:r>
      <w:r w:rsidRPr="00816E15">
        <w:rPr>
          <w:rFonts w:cs="Times New Roman"/>
          <w:szCs w:val="24"/>
        </w:rPr>
        <w:t>), dalej „ustawa o BFG”. W tym celu w ustawie o BFG wprowadza się szereg zmian dotyczących</w:t>
      </w:r>
      <w:r w:rsidR="000D2F37" w:rsidRPr="00816E15">
        <w:rPr>
          <w:rFonts w:cs="Times New Roman"/>
          <w:szCs w:val="24"/>
        </w:rPr>
        <w:t xml:space="preserve"> systemowego wyłączenia banków hipotecznych z </w:t>
      </w:r>
      <w:r w:rsidR="002115E6" w:rsidRPr="00816E15">
        <w:rPr>
          <w:rFonts w:cs="Times New Roman"/>
          <w:szCs w:val="24"/>
        </w:rPr>
        <w:t xml:space="preserve">niektórych </w:t>
      </w:r>
      <w:r w:rsidR="000D2F37" w:rsidRPr="00816E15">
        <w:rPr>
          <w:rFonts w:cs="Times New Roman"/>
          <w:szCs w:val="24"/>
        </w:rPr>
        <w:t>regulacji</w:t>
      </w:r>
      <w:r w:rsidR="002115E6" w:rsidRPr="00816E15">
        <w:rPr>
          <w:rFonts w:cs="Times New Roman"/>
          <w:szCs w:val="24"/>
        </w:rPr>
        <w:t xml:space="preserve"> tej ustawy</w:t>
      </w:r>
      <w:r w:rsidR="000D2F37" w:rsidRPr="00816E15">
        <w:rPr>
          <w:rFonts w:cs="Times New Roman"/>
          <w:szCs w:val="24"/>
        </w:rPr>
        <w:t xml:space="preserve">, </w:t>
      </w:r>
      <w:r w:rsidR="000D2F37" w:rsidRPr="00816E15">
        <w:rPr>
          <w:szCs w:val="24"/>
        </w:rPr>
        <w:t>usprawnienia restrukturyzacji banku zrzeszającego w postaci utworzenia instytucji pomostowej</w:t>
      </w:r>
      <w:r w:rsidR="00822B1D" w:rsidRPr="00816E15">
        <w:rPr>
          <w:szCs w:val="24"/>
        </w:rPr>
        <w:t>,</w:t>
      </w:r>
      <w:r w:rsidR="00816E15">
        <w:rPr>
          <w:szCs w:val="24"/>
        </w:rPr>
        <w:t xml:space="preserve"> </w:t>
      </w:r>
      <w:r w:rsidR="000D2F37" w:rsidRPr="00816E15">
        <w:rPr>
          <w:szCs w:val="24"/>
        </w:rPr>
        <w:t>funkcjonowania systemu gwarantowania depozytów i związanych z tym obowiązków, rozszerzeni</w:t>
      </w:r>
      <w:r w:rsidR="00822B1D" w:rsidRPr="00816E15">
        <w:rPr>
          <w:szCs w:val="24"/>
        </w:rPr>
        <w:t>a</w:t>
      </w:r>
      <w:r w:rsidR="000D2F37" w:rsidRPr="00816E15">
        <w:rPr>
          <w:szCs w:val="24"/>
        </w:rPr>
        <w:t xml:space="preserve"> wariantów zarządzania środkami finansowymi BFG,</w:t>
      </w:r>
      <w:r w:rsidRPr="00816E15">
        <w:rPr>
          <w:rFonts w:cs="Times New Roman"/>
          <w:szCs w:val="24"/>
        </w:rPr>
        <w:t xml:space="preserve"> zapewnienia możliwości krzyżowego wykorzystywania funduszy gwarancyjnych banków i kas, skorygowania przepisów w zakresie restrukturyzacji kas, rozszerzenia zakresu przejmowanych informacji o podmiocie przejmowanym, uregulowania kwestii dotyczących klauzul umownych, podziału obciążeń w ramach pomocy publicznej</w:t>
      </w:r>
      <w:r w:rsidR="00822B1D" w:rsidRPr="00816E15">
        <w:rPr>
          <w:rFonts w:cs="Times New Roman"/>
          <w:szCs w:val="24"/>
        </w:rPr>
        <w:t xml:space="preserve"> oraz </w:t>
      </w:r>
      <w:r w:rsidRPr="00816E15">
        <w:rPr>
          <w:rFonts w:cs="Times New Roman"/>
          <w:szCs w:val="24"/>
        </w:rPr>
        <w:t>zbycia wierzytelności bankowej z zachowaniem tajemnicy bankowej.</w:t>
      </w:r>
      <w:r w:rsidR="009E38A5" w:rsidRPr="00816E15">
        <w:rPr>
          <w:rFonts w:cs="Times New Roman"/>
          <w:szCs w:val="24"/>
        </w:rPr>
        <w:t xml:space="preserve"> </w:t>
      </w:r>
      <w:r w:rsidR="009E38A5" w:rsidRPr="00816E15">
        <w:rPr>
          <w:szCs w:val="24"/>
        </w:rPr>
        <w:t xml:space="preserve">Jednocześnie proponowane zmiany umożliwią bardziej precyzyjne dostosowanie przepisów krajowych do zaimplementowanych wcześniej rozwiązań zawartych w dyrektywie BRR i dyrektywie DGS </w:t>
      </w:r>
      <w:r w:rsidR="00822B1D" w:rsidRPr="00816E15">
        <w:rPr>
          <w:szCs w:val="24"/>
        </w:rPr>
        <w:t xml:space="preserve">i </w:t>
      </w:r>
      <w:r w:rsidR="009E38A5" w:rsidRPr="00816E15">
        <w:rPr>
          <w:szCs w:val="24"/>
        </w:rPr>
        <w:t>zapewni</w:t>
      </w:r>
      <w:r w:rsidR="00822B1D" w:rsidRPr="00816E15">
        <w:rPr>
          <w:szCs w:val="24"/>
        </w:rPr>
        <w:t xml:space="preserve">ą </w:t>
      </w:r>
      <w:r w:rsidR="009E38A5" w:rsidRPr="00816E15">
        <w:rPr>
          <w:szCs w:val="24"/>
        </w:rPr>
        <w:t>stosowani</w:t>
      </w:r>
      <w:r w:rsidR="00822B1D" w:rsidRPr="00816E15">
        <w:rPr>
          <w:szCs w:val="24"/>
        </w:rPr>
        <w:t>e</w:t>
      </w:r>
      <w:r w:rsidR="009E38A5" w:rsidRPr="00816E15">
        <w:rPr>
          <w:szCs w:val="24"/>
        </w:rPr>
        <w:t xml:space="preserve"> rozporządzenia w sprawie wymogów kapitałowych.</w:t>
      </w:r>
    </w:p>
    <w:p w14:paraId="5CAEA1BE" w14:textId="156B4BAF" w:rsidR="00D5586D" w:rsidRPr="00816E15" w:rsidRDefault="00D5586D" w:rsidP="00CF5AAF">
      <w:pPr>
        <w:spacing w:line="360" w:lineRule="auto"/>
        <w:jc w:val="both"/>
        <w:rPr>
          <w:rFonts w:cs="Times New Roman"/>
          <w:szCs w:val="24"/>
        </w:rPr>
      </w:pPr>
      <w:r w:rsidRPr="00816E15">
        <w:rPr>
          <w:rFonts w:cs="Times New Roman"/>
          <w:bCs/>
          <w:szCs w:val="24"/>
        </w:rPr>
        <w:t>Proponowana regulacja stanowi implementację</w:t>
      </w:r>
      <w:r w:rsidRPr="00816E15">
        <w:rPr>
          <w:rFonts w:cs="Times New Roman"/>
          <w:szCs w:val="24"/>
        </w:rPr>
        <w:t xml:space="preserve"> dyrektywy Parlamentu Europejskiego i Rady (UE)</w:t>
      </w:r>
      <w:r w:rsidR="00822B1D" w:rsidRPr="00816E15">
        <w:rPr>
          <w:rFonts w:cs="Times New Roman"/>
          <w:szCs w:val="24"/>
        </w:rPr>
        <w:t xml:space="preserve"> </w:t>
      </w:r>
      <w:r w:rsidRPr="00816E15">
        <w:rPr>
          <w:szCs w:val="24"/>
        </w:rPr>
        <w:t>2017/2399 z dnia 12 grudnia 2017 r.</w:t>
      </w:r>
      <w:r w:rsidR="00064849" w:rsidRPr="00816E15">
        <w:rPr>
          <w:szCs w:val="24"/>
        </w:rPr>
        <w:t xml:space="preserve"> </w:t>
      </w:r>
      <w:r w:rsidRPr="00816E15">
        <w:rPr>
          <w:rFonts w:cs="Times New Roman"/>
          <w:szCs w:val="24"/>
        </w:rPr>
        <w:t>zmieniającej dyrektywę Parlamentu i Rady 2014/59/UE w odniesieniu do stopnia uprzywilejowania niezabezpieczonych instrumentów dłużnych w hierarchii roszczeń w postępowaniu upadłościowym</w:t>
      </w:r>
      <w:r w:rsidR="00822B1D" w:rsidRPr="00816E15">
        <w:rPr>
          <w:rFonts w:cs="Times New Roman"/>
          <w:szCs w:val="24"/>
        </w:rPr>
        <w:t xml:space="preserve"> </w:t>
      </w:r>
      <w:r w:rsidRPr="00816E15">
        <w:rPr>
          <w:szCs w:val="24"/>
        </w:rPr>
        <w:t>(</w:t>
      </w:r>
      <w:r w:rsidR="00CF5AAF" w:rsidRPr="00816E15">
        <w:rPr>
          <w:iCs/>
          <w:szCs w:val="24"/>
        </w:rPr>
        <w:t>OJ L 345</w:t>
      </w:r>
      <w:r w:rsidR="002F3F55">
        <w:rPr>
          <w:iCs/>
          <w:szCs w:val="24"/>
        </w:rPr>
        <w:t xml:space="preserve"> z</w:t>
      </w:r>
      <w:r w:rsidR="00CF5AAF" w:rsidRPr="00816E15">
        <w:rPr>
          <w:iCs/>
          <w:szCs w:val="24"/>
        </w:rPr>
        <w:t xml:space="preserve"> 27.12.2017, str. </w:t>
      </w:r>
      <w:r w:rsidRPr="00816E15">
        <w:rPr>
          <w:iCs/>
          <w:szCs w:val="24"/>
        </w:rPr>
        <w:t>96)</w:t>
      </w:r>
      <w:r w:rsidR="004D44B5" w:rsidRPr="00816E15">
        <w:rPr>
          <w:iCs/>
          <w:szCs w:val="24"/>
        </w:rPr>
        <w:t>, dalej „dyrektywa BCH”</w:t>
      </w:r>
      <w:r w:rsidRPr="00816E15">
        <w:rPr>
          <w:rFonts w:cs="Times New Roman"/>
          <w:szCs w:val="24"/>
        </w:rPr>
        <w:t>.</w:t>
      </w:r>
      <w:r w:rsidR="00205905" w:rsidRPr="00816E15">
        <w:rPr>
          <w:rFonts w:cs="Times New Roman"/>
          <w:szCs w:val="24"/>
        </w:rPr>
        <w:t xml:space="preserve"> </w:t>
      </w:r>
      <w:r w:rsidRPr="00816E15">
        <w:rPr>
          <w:rFonts w:cs="Times New Roman"/>
          <w:szCs w:val="24"/>
        </w:rPr>
        <w:t xml:space="preserve">Wprowadzenie dodatkowej kategorii wierzytelności z tytułu długu nieuprzywilejowanego w ramach postępowania upadłościowego ma </w:t>
      </w:r>
      <w:r w:rsidR="00822B1D" w:rsidRPr="00816E15">
        <w:rPr>
          <w:rFonts w:cs="Times New Roman"/>
          <w:szCs w:val="24"/>
        </w:rPr>
        <w:t xml:space="preserve">także </w:t>
      </w:r>
      <w:r w:rsidRPr="00816E15">
        <w:rPr>
          <w:rFonts w:cs="Times New Roman"/>
          <w:szCs w:val="24"/>
        </w:rPr>
        <w:t>na celu usprawnienie procesu przymusowej restrukturyzacji</w:t>
      </w:r>
      <w:r w:rsidR="00822B1D" w:rsidRPr="00816E15">
        <w:rPr>
          <w:rFonts w:cs="Times New Roman"/>
          <w:szCs w:val="24"/>
        </w:rPr>
        <w:t>,</w:t>
      </w:r>
      <w:r w:rsidRPr="00816E15">
        <w:rPr>
          <w:rFonts w:cs="Times New Roman"/>
          <w:szCs w:val="24"/>
        </w:rPr>
        <w:t xml:space="preserve"> w szczególności w aspekcie ewentualnego przeprowadzania procesu umorzenia lub konwersji zobowiązań (bail-in).</w:t>
      </w:r>
      <w:r w:rsidR="009E38A5" w:rsidRPr="00816E15">
        <w:rPr>
          <w:rFonts w:cs="Times New Roman"/>
          <w:szCs w:val="24"/>
        </w:rPr>
        <w:t xml:space="preserve"> </w:t>
      </w:r>
    </w:p>
    <w:p w14:paraId="3D055A4C" w14:textId="504330EB" w:rsidR="00D5586D" w:rsidRPr="00816E15" w:rsidRDefault="009E38A5" w:rsidP="00CF5AAF">
      <w:pPr>
        <w:suppressAutoHyphens/>
        <w:autoSpaceDE w:val="0"/>
        <w:autoSpaceDN w:val="0"/>
        <w:adjustRightInd w:val="0"/>
        <w:spacing w:before="120" w:after="0" w:line="360" w:lineRule="auto"/>
        <w:jc w:val="both"/>
        <w:rPr>
          <w:rFonts w:cs="Times New Roman"/>
          <w:szCs w:val="24"/>
        </w:rPr>
      </w:pPr>
      <w:r w:rsidRPr="00816E15">
        <w:rPr>
          <w:rFonts w:eastAsia="Times New Roman" w:cs="Times New Roman"/>
          <w:bCs/>
          <w:szCs w:val="24"/>
          <w:lang w:eastAsia="pl-PL"/>
        </w:rPr>
        <w:t>Celem projektowanej ustawy</w:t>
      </w:r>
      <w:r w:rsidR="00D5586D" w:rsidRPr="00816E15">
        <w:rPr>
          <w:rFonts w:eastAsia="Times New Roman" w:cs="Times New Roman"/>
          <w:bCs/>
          <w:szCs w:val="24"/>
          <w:lang w:eastAsia="pl-PL"/>
        </w:rPr>
        <w:t xml:space="preserve"> jest</w:t>
      </w:r>
      <w:r w:rsidRPr="00816E15">
        <w:rPr>
          <w:rFonts w:eastAsia="Times New Roman" w:cs="Times New Roman"/>
          <w:bCs/>
          <w:szCs w:val="24"/>
          <w:lang w:eastAsia="pl-PL"/>
        </w:rPr>
        <w:t xml:space="preserve"> również</w:t>
      </w:r>
      <w:r w:rsidR="00D5586D" w:rsidRPr="00816E15">
        <w:rPr>
          <w:rFonts w:eastAsia="Times New Roman" w:cs="Times New Roman"/>
          <w:bCs/>
          <w:szCs w:val="24"/>
          <w:lang w:eastAsia="pl-PL"/>
        </w:rPr>
        <w:t xml:space="preserve"> realizacja zobowiązań Rzeczypospolitej Polskiej wobec Komisji Europejskiej związanych z p</w:t>
      </w:r>
      <w:r w:rsidR="00D5586D" w:rsidRPr="00816E15">
        <w:rPr>
          <w:rFonts w:cs="Times New Roman"/>
          <w:szCs w:val="24"/>
        </w:rPr>
        <w:t>rogram</w:t>
      </w:r>
      <w:r w:rsidR="004B06AB" w:rsidRPr="00816E15">
        <w:rPr>
          <w:rFonts w:cs="Times New Roman"/>
          <w:szCs w:val="24"/>
        </w:rPr>
        <w:t>em</w:t>
      </w:r>
      <w:r w:rsidR="00D5586D" w:rsidRPr="00816E15">
        <w:rPr>
          <w:rFonts w:cs="Times New Roman"/>
          <w:szCs w:val="24"/>
        </w:rPr>
        <w:t xml:space="preserve"> pomocow</w:t>
      </w:r>
      <w:r w:rsidR="004B06AB" w:rsidRPr="00816E15">
        <w:rPr>
          <w:rFonts w:cs="Times New Roman"/>
          <w:szCs w:val="24"/>
        </w:rPr>
        <w:t>ym</w:t>
      </w:r>
      <w:r w:rsidR="00D5586D" w:rsidRPr="00816E15">
        <w:rPr>
          <w:rFonts w:cs="Times New Roman"/>
          <w:szCs w:val="24"/>
        </w:rPr>
        <w:t xml:space="preserve"> dla spółdzielczych kas oszczędnościowo-kredytowych zatwierdzonego decyzją z dnia 18 lutego 2014 r. SA.37245</w:t>
      </w:r>
      <w:r w:rsidR="00822B1D" w:rsidRPr="00816E15">
        <w:rPr>
          <w:rFonts w:cs="Times New Roman"/>
          <w:szCs w:val="24"/>
        </w:rPr>
        <w:t xml:space="preserve"> </w:t>
      </w:r>
      <w:r w:rsidR="00D5586D" w:rsidRPr="00816E15">
        <w:rPr>
          <w:rFonts w:cs="Times New Roman"/>
          <w:szCs w:val="24"/>
        </w:rPr>
        <w:t xml:space="preserve">(2013/N), obecnie obowiązującego na mocy decyzji przedłużającej z dnia 2 sierpnia 2017 r. SA.48256 (2017/N) w zw. z </w:t>
      </w:r>
      <w:r w:rsidR="00D5586D" w:rsidRPr="00816E15">
        <w:rPr>
          <w:rFonts w:cs="Times New Roman"/>
          <w:bCs/>
          <w:color w:val="000000"/>
          <w:szCs w:val="24"/>
        </w:rPr>
        <w:t>Komunikatem Komisji Europejskiej w sprawie stosowania od dnia 1 sierpnia 2013 r. reguł pomocy państwa w odniesieniu do środków wsparcia na rzecz banków w kontekście kryzysu finansowego</w:t>
      </w:r>
      <w:r w:rsidR="002E7DC1" w:rsidRPr="00816E15">
        <w:rPr>
          <w:rFonts w:cs="Times New Roman"/>
          <w:szCs w:val="24"/>
        </w:rPr>
        <w:t xml:space="preserve"> („komunikat </w:t>
      </w:r>
      <w:r w:rsidR="00CF5AAF" w:rsidRPr="00816E15">
        <w:rPr>
          <w:rFonts w:cs="Times New Roman"/>
          <w:szCs w:val="24"/>
        </w:rPr>
        <w:t>bankowy”, Dz. U</w:t>
      </w:r>
      <w:r w:rsidR="002F3F55">
        <w:rPr>
          <w:rFonts w:cs="Times New Roman"/>
          <w:szCs w:val="24"/>
        </w:rPr>
        <w:t>rz</w:t>
      </w:r>
      <w:r w:rsidR="00CF5AAF" w:rsidRPr="00816E15">
        <w:rPr>
          <w:rFonts w:cs="Times New Roman"/>
          <w:szCs w:val="24"/>
        </w:rPr>
        <w:t>. UE C z dnia 30 </w:t>
      </w:r>
      <w:r w:rsidR="002E7DC1" w:rsidRPr="00816E15">
        <w:rPr>
          <w:rFonts w:cs="Times New Roman"/>
          <w:szCs w:val="24"/>
        </w:rPr>
        <w:t>lipca 2013 r. Nr 216, s. 1), dalej „komunikat bankowy”</w:t>
      </w:r>
      <w:r w:rsidR="005C401A" w:rsidRPr="00816E15">
        <w:rPr>
          <w:rFonts w:cs="Times New Roman"/>
          <w:szCs w:val="24"/>
        </w:rPr>
        <w:t>,</w:t>
      </w:r>
      <w:r w:rsidR="002E7DC1" w:rsidRPr="00816E15">
        <w:rPr>
          <w:rFonts w:cs="Times New Roman"/>
          <w:szCs w:val="24"/>
        </w:rPr>
        <w:t xml:space="preserve"> oraz w komunikacie Komisji w sprawie przywrócenia rentowności i oceny środków restrukturyzacyjnych stosowanych w sektorze finansowym w dobie kryzysu zgodnie z regułami pomocy państwa 2009/C 195/04 </w:t>
      </w:r>
      <w:r w:rsidR="005C401A" w:rsidRPr="00816E15">
        <w:rPr>
          <w:rFonts w:cs="Times New Roman"/>
          <w:szCs w:val="24"/>
        </w:rPr>
        <w:t>(</w:t>
      </w:r>
      <w:r w:rsidR="002E7DC1" w:rsidRPr="00816E15">
        <w:rPr>
          <w:rFonts w:cs="Times New Roman"/>
          <w:szCs w:val="24"/>
        </w:rPr>
        <w:t>Dz. U. UE C 195 z dnia 19 sierpnia 2009 r. Nr 195, s. 9)</w:t>
      </w:r>
      <w:r w:rsidR="005C401A" w:rsidRPr="00816E15">
        <w:rPr>
          <w:rFonts w:cs="Times New Roman"/>
          <w:szCs w:val="24"/>
        </w:rPr>
        <w:t xml:space="preserve">, dalej „komunikat w sprawie restrukturyzacji”. </w:t>
      </w:r>
    </w:p>
    <w:p w14:paraId="37AB9D71" w14:textId="1DAF80CF" w:rsidR="00B710DB" w:rsidRPr="00816E15" w:rsidRDefault="00B710DB" w:rsidP="00CF5AAF">
      <w:pPr>
        <w:spacing w:line="360" w:lineRule="auto"/>
        <w:jc w:val="both"/>
        <w:rPr>
          <w:rFonts w:cs="Times New Roman"/>
          <w:szCs w:val="24"/>
          <w:lang w:val="pl"/>
        </w:rPr>
      </w:pPr>
      <w:r w:rsidRPr="00816E15">
        <w:rPr>
          <w:rFonts w:cs="Times New Roman"/>
          <w:b/>
          <w:szCs w:val="24"/>
        </w:rPr>
        <w:t>2. Szczegółowe rozwiązania zawarte w projekcie</w:t>
      </w:r>
    </w:p>
    <w:p w14:paraId="032A7419" w14:textId="749EA818" w:rsidR="005D2D32" w:rsidRPr="00816E15" w:rsidRDefault="005D2D32" w:rsidP="00CF5AAF">
      <w:pPr>
        <w:spacing w:after="160" w:line="360" w:lineRule="auto"/>
        <w:rPr>
          <w:rFonts w:cs="Times New Roman"/>
          <w:b/>
          <w:szCs w:val="24"/>
        </w:rPr>
      </w:pPr>
      <w:r w:rsidRPr="00816E15">
        <w:rPr>
          <w:rFonts w:cs="Times New Roman"/>
          <w:b/>
          <w:szCs w:val="24"/>
        </w:rPr>
        <w:t>1</w:t>
      </w:r>
      <w:r w:rsidR="00460582" w:rsidRPr="00816E15">
        <w:rPr>
          <w:rFonts w:cs="Times New Roman"/>
          <w:b/>
          <w:szCs w:val="24"/>
        </w:rPr>
        <w:t xml:space="preserve">) </w:t>
      </w:r>
      <w:r w:rsidRPr="00816E15">
        <w:rPr>
          <w:rFonts w:cs="Times New Roman"/>
          <w:b/>
          <w:szCs w:val="24"/>
        </w:rPr>
        <w:t xml:space="preserve">Zmiany w ustawie o </w:t>
      </w:r>
      <w:r w:rsidR="00460582" w:rsidRPr="00816E15">
        <w:rPr>
          <w:rFonts w:cs="Times New Roman"/>
          <w:b/>
          <w:szCs w:val="24"/>
        </w:rPr>
        <w:t xml:space="preserve">BFG </w:t>
      </w:r>
    </w:p>
    <w:p w14:paraId="3EDA8CFD" w14:textId="0445239F" w:rsidR="00FC01E3" w:rsidRPr="00816E15" w:rsidRDefault="00FC01E3" w:rsidP="00CF5AAF">
      <w:pPr>
        <w:spacing w:after="160" w:line="360" w:lineRule="auto"/>
        <w:jc w:val="both"/>
        <w:rPr>
          <w:szCs w:val="24"/>
        </w:rPr>
      </w:pPr>
      <w:r w:rsidRPr="00816E15">
        <w:rPr>
          <w:szCs w:val="24"/>
        </w:rPr>
        <w:t xml:space="preserve">W dodawanym w </w:t>
      </w:r>
      <w:r w:rsidRPr="00816E15">
        <w:rPr>
          <w:b/>
          <w:szCs w:val="24"/>
        </w:rPr>
        <w:t>art. 1 ust. 3</w:t>
      </w:r>
      <w:r w:rsidRPr="00816E15">
        <w:rPr>
          <w:szCs w:val="24"/>
        </w:rPr>
        <w:t xml:space="preserve"> wyłącza się stosowanie niektórych przepisów ustawy o BFG w odniesieniu do banków hipotecznych. Zgodnie z przepisami ustawy z dnia 29 sierpnia 1997 r. o listach zastawnych i bankach hipotecznych </w:t>
      </w:r>
      <w:r w:rsidR="002115E6" w:rsidRPr="00816E15">
        <w:rPr>
          <w:szCs w:val="24"/>
        </w:rPr>
        <w:t xml:space="preserve">(Dz. U. </w:t>
      </w:r>
      <w:r w:rsidR="00205905" w:rsidRPr="00816E15">
        <w:rPr>
          <w:szCs w:val="24"/>
        </w:rPr>
        <w:t>z 2016 r. poz. 1771</w:t>
      </w:r>
      <w:r w:rsidR="002115E6" w:rsidRPr="00816E15">
        <w:rPr>
          <w:szCs w:val="24"/>
        </w:rPr>
        <w:t xml:space="preserve">) </w:t>
      </w:r>
      <w:r w:rsidRPr="00816E15">
        <w:rPr>
          <w:szCs w:val="24"/>
        </w:rPr>
        <w:t xml:space="preserve">podmioty te nie przyjmują środków, które podlegałyby ochronie gwarancyjnej w rozumieniu ustawy o BFG. Z uwagi na nieprowadzenie co do zasady działalności depozytowej, w przypadku upadłości banku hipotecznego nie wystąpi przypadek wypłaty środków gwarantowanych. W związku z tym brak jest uzasadnienia, aby banki te ponosiły obciążenia finansowe i administracyjne wynikające z uczestniczenia w obowiązkowym systemie gwarantowania depozytów. Wyłączenia dotyczą stosowania przepisów </w:t>
      </w:r>
      <w:r w:rsidR="00A965A3" w:rsidRPr="00816E15">
        <w:rPr>
          <w:szCs w:val="24"/>
        </w:rPr>
        <w:t>d</w:t>
      </w:r>
      <w:r w:rsidRPr="00816E15">
        <w:rPr>
          <w:szCs w:val="24"/>
        </w:rPr>
        <w:t>ziału II (m.in. utrzymywanie systemu wyliczania, działania w związku ze spełnieniem warunku gwarancji)</w:t>
      </w:r>
      <w:r w:rsidR="002115E6" w:rsidRPr="00816E15">
        <w:rPr>
          <w:szCs w:val="24"/>
        </w:rPr>
        <w:t>,</w:t>
      </w:r>
      <w:r w:rsidRPr="00816E15">
        <w:rPr>
          <w:szCs w:val="24"/>
        </w:rPr>
        <w:t xml:space="preserve"> </w:t>
      </w:r>
      <w:r w:rsidR="00A965A3" w:rsidRPr="00816E15">
        <w:rPr>
          <w:szCs w:val="24"/>
        </w:rPr>
        <w:t>d</w:t>
      </w:r>
      <w:r w:rsidRPr="00816E15">
        <w:rPr>
          <w:szCs w:val="24"/>
        </w:rPr>
        <w:t xml:space="preserve">ziału V </w:t>
      </w:r>
      <w:r w:rsidR="00A965A3" w:rsidRPr="00816E15">
        <w:rPr>
          <w:szCs w:val="24"/>
        </w:rPr>
        <w:t>r</w:t>
      </w:r>
      <w:r w:rsidRPr="00816E15">
        <w:rPr>
          <w:szCs w:val="24"/>
        </w:rPr>
        <w:t>ozdział</w:t>
      </w:r>
      <w:r w:rsidR="00A965A3" w:rsidRPr="00816E15">
        <w:rPr>
          <w:szCs w:val="24"/>
        </w:rPr>
        <w:t>u</w:t>
      </w:r>
      <w:r w:rsidRPr="00816E15">
        <w:rPr>
          <w:szCs w:val="24"/>
        </w:rPr>
        <w:t xml:space="preserve"> 2 </w:t>
      </w:r>
      <w:r w:rsidR="00A965A3" w:rsidRPr="00816E15">
        <w:rPr>
          <w:szCs w:val="24"/>
        </w:rPr>
        <w:t>o</w:t>
      </w:r>
      <w:r w:rsidRPr="00816E15">
        <w:rPr>
          <w:szCs w:val="24"/>
        </w:rPr>
        <w:t>ddział</w:t>
      </w:r>
      <w:r w:rsidR="00A965A3" w:rsidRPr="00816E15">
        <w:rPr>
          <w:szCs w:val="24"/>
        </w:rPr>
        <w:t>u</w:t>
      </w:r>
      <w:r w:rsidRPr="00816E15">
        <w:rPr>
          <w:szCs w:val="24"/>
        </w:rPr>
        <w:t xml:space="preserve"> 1 (wnoszenie składek na finansowanie obowiązkowego systemu gwarantowania depozytów)</w:t>
      </w:r>
      <w:r w:rsidR="002115E6" w:rsidRPr="00816E15">
        <w:rPr>
          <w:szCs w:val="24"/>
        </w:rPr>
        <w:t xml:space="preserve">, </w:t>
      </w:r>
      <w:r w:rsidRPr="00816E15">
        <w:rPr>
          <w:szCs w:val="24"/>
        </w:rPr>
        <w:t>art. 318</w:t>
      </w:r>
      <w:r w:rsidR="00F84432" w:rsidRPr="00816E15">
        <w:rPr>
          <w:szCs w:val="24"/>
        </w:rPr>
        <w:t xml:space="preserve"> i art. </w:t>
      </w:r>
      <w:r w:rsidRPr="00816E15">
        <w:rPr>
          <w:szCs w:val="24"/>
        </w:rPr>
        <w:t>319, art. 330 ust. 3 pkt 1</w:t>
      </w:r>
      <w:r w:rsidR="00A965A3" w:rsidRPr="00816E15">
        <w:rPr>
          <w:szCs w:val="24"/>
        </w:rPr>
        <w:t xml:space="preserve"> oraz </w:t>
      </w:r>
      <w:r w:rsidRPr="00816E15">
        <w:rPr>
          <w:szCs w:val="24"/>
        </w:rPr>
        <w:t xml:space="preserve">art. 331 (obowiązki informacyjne względem deponentów oraz BFG) oraz </w:t>
      </w:r>
      <w:r w:rsidR="00A965A3" w:rsidRPr="00816E15">
        <w:rPr>
          <w:szCs w:val="24"/>
        </w:rPr>
        <w:t>d</w:t>
      </w:r>
      <w:r w:rsidRPr="00816E15">
        <w:rPr>
          <w:szCs w:val="24"/>
        </w:rPr>
        <w:t xml:space="preserve">ziału IX </w:t>
      </w:r>
      <w:r w:rsidR="00A965A3" w:rsidRPr="00816E15">
        <w:rPr>
          <w:szCs w:val="24"/>
        </w:rPr>
        <w:t>r</w:t>
      </w:r>
      <w:r w:rsidRPr="00816E15">
        <w:rPr>
          <w:szCs w:val="24"/>
        </w:rPr>
        <w:t>ozdział</w:t>
      </w:r>
      <w:r w:rsidR="00A965A3" w:rsidRPr="00816E15">
        <w:rPr>
          <w:szCs w:val="24"/>
        </w:rPr>
        <w:t>u</w:t>
      </w:r>
      <w:r w:rsidRPr="00816E15">
        <w:rPr>
          <w:szCs w:val="24"/>
        </w:rPr>
        <w:t xml:space="preserve"> 1 (utrzymywanie funduszy ochrony środków gwarantowanych).</w:t>
      </w:r>
    </w:p>
    <w:p w14:paraId="705ADBBC" w14:textId="061791F7" w:rsidR="00352EAE" w:rsidRPr="00816E15" w:rsidRDefault="00A82B2E" w:rsidP="00CF5AAF">
      <w:pPr>
        <w:spacing w:line="360" w:lineRule="auto"/>
        <w:jc w:val="both"/>
        <w:rPr>
          <w:w w:val="105"/>
          <w:szCs w:val="24"/>
        </w:rPr>
      </w:pPr>
      <w:r w:rsidRPr="00816E15">
        <w:rPr>
          <w:w w:val="105"/>
          <w:szCs w:val="24"/>
        </w:rPr>
        <w:t xml:space="preserve">W </w:t>
      </w:r>
      <w:r w:rsidRPr="00816E15">
        <w:rPr>
          <w:b/>
          <w:w w:val="105"/>
          <w:szCs w:val="24"/>
        </w:rPr>
        <w:t>art. 2 pkt 2a</w:t>
      </w:r>
      <w:r w:rsidR="00352EAE" w:rsidRPr="00816E15">
        <w:rPr>
          <w:b/>
          <w:w w:val="105"/>
          <w:szCs w:val="24"/>
        </w:rPr>
        <w:t xml:space="preserve"> </w:t>
      </w:r>
      <w:r w:rsidR="00352EAE" w:rsidRPr="00816E15">
        <w:rPr>
          <w:w w:val="105"/>
          <w:szCs w:val="24"/>
        </w:rPr>
        <w:t xml:space="preserve">wprowadzana definicja </w:t>
      </w:r>
      <w:r w:rsidR="002115E6" w:rsidRPr="00816E15">
        <w:rPr>
          <w:w w:val="105"/>
          <w:szCs w:val="24"/>
        </w:rPr>
        <w:t xml:space="preserve">banku zrzeszającego </w:t>
      </w:r>
      <w:r w:rsidR="00352EAE" w:rsidRPr="00816E15">
        <w:rPr>
          <w:w w:val="105"/>
          <w:szCs w:val="24"/>
        </w:rPr>
        <w:t>wynika z faktu, że w dalszej części ustawy następuje odwołanie do definicji banku zrzeszającego (zob. art. 121, art. 160</w:t>
      </w:r>
      <w:r w:rsidR="00A965A3" w:rsidRPr="00816E15">
        <w:rPr>
          <w:w w:val="105"/>
          <w:szCs w:val="24"/>
        </w:rPr>
        <w:t xml:space="preserve"> i </w:t>
      </w:r>
      <w:r w:rsidR="00352EAE" w:rsidRPr="00816E15">
        <w:rPr>
          <w:w w:val="105"/>
          <w:szCs w:val="24"/>
        </w:rPr>
        <w:t xml:space="preserve">art. 181). W obecnym brzmieniu ustawy o BFG nie zdefiniowano, w jaki sposób należy rozumieć termin „bank zrzeszający”. W celu wyeliminowania wątpliwości interpretacyjnych przewiduje się zdefiniowanie </w:t>
      </w:r>
      <w:r w:rsidR="002115E6" w:rsidRPr="00816E15">
        <w:rPr>
          <w:w w:val="105"/>
          <w:szCs w:val="24"/>
        </w:rPr>
        <w:t xml:space="preserve">tego </w:t>
      </w:r>
      <w:r w:rsidR="00352EAE" w:rsidRPr="00816E15">
        <w:rPr>
          <w:w w:val="105"/>
          <w:szCs w:val="24"/>
        </w:rPr>
        <w:t xml:space="preserve">pojęcia. </w:t>
      </w:r>
    </w:p>
    <w:p w14:paraId="279AF03E" w14:textId="3CB897FD" w:rsidR="001E717B" w:rsidRPr="00816E15" w:rsidRDefault="00352EAE" w:rsidP="00CF5AAF">
      <w:pPr>
        <w:spacing w:line="360" w:lineRule="auto"/>
        <w:jc w:val="both"/>
        <w:rPr>
          <w:w w:val="105"/>
          <w:szCs w:val="24"/>
        </w:rPr>
      </w:pPr>
      <w:r w:rsidRPr="00816E15">
        <w:rPr>
          <w:w w:val="105"/>
          <w:szCs w:val="24"/>
        </w:rPr>
        <w:t xml:space="preserve">W </w:t>
      </w:r>
      <w:r w:rsidRPr="00816E15">
        <w:rPr>
          <w:b/>
          <w:w w:val="105"/>
          <w:szCs w:val="24"/>
        </w:rPr>
        <w:t>art. 2 pkt 41 lit</w:t>
      </w:r>
      <w:r w:rsidR="002F3F55">
        <w:rPr>
          <w:b/>
          <w:w w:val="105"/>
          <w:szCs w:val="24"/>
        </w:rPr>
        <w:t>.</w:t>
      </w:r>
      <w:r w:rsidRPr="00816E15">
        <w:rPr>
          <w:b/>
          <w:w w:val="105"/>
          <w:szCs w:val="24"/>
        </w:rPr>
        <w:t xml:space="preserve"> a </w:t>
      </w:r>
      <w:r w:rsidRPr="00816E15">
        <w:rPr>
          <w:w w:val="105"/>
          <w:szCs w:val="24"/>
        </w:rPr>
        <w:t xml:space="preserve">wprowadza się definicyjne wyłączenie banku hipotecznego z podmiotu objętego systemem gwarantowania. </w:t>
      </w:r>
      <w:r w:rsidR="001E717B" w:rsidRPr="00816E15">
        <w:rPr>
          <w:rFonts w:eastAsia="MS Mincho"/>
          <w:szCs w:val="24"/>
        </w:rPr>
        <w:t>Bank hipoteczny</w:t>
      </w:r>
      <w:r w:rsidR="002115E6" w:rsidRPr="00816E15">
        <w:rPr>
          <w:rFonts w:eastAsia="MS Mincho"/>
          <w:szCs w:val="24"/>
        </w:rPr>
        <w:t>,</w:t>
      </w:r>
      <w:r w:rsidR="001E717B" w:rsidRPr="00816E15">
        <w:rPr>
          <w:rFonts w:eastAsia="MS Mincho"/>
          <w:szCs w:val="24"/>
        </w:rPr>
        <w:t xml:space="preserve"> zgodnie z przepisami szczególnymi</w:t>
      </w:r>
      <w:r w:rsidR="002115E6" w:rsidRPr="00816E15">
        <w:rPr>
          <w:rFonts w:eastAsia="MS Mincho"/>
          <w:szCs w:val="24"/>
        </w:rPr>
        <w:t>,</w:t>
      </w:r>
      <w:r w:rsidR="001E717B" w:rsidRPr="00816E15">
        <w:rPr>
          <w:rFonts w:eastAsia="MS Mincho"/>
          <w:szCs w:val="24"/>
        </w:rPr>
        <w:t xml:space="preserve"> tj. art. 15 ustawy o listach zastawnych i bankach hipotecznych, nie przyjmuje depozytów. </w:t>
      </w:r>
      <w:r w:rsidR="001E717B" w:rsidRPr="00816E15">
        <w:rPr>
          <w:szCs w:val="24"/>
        </w:rPr>
        <w:t>Dzięki wyłączeniu banki hipoteczne nie musiałyby wykonywać obowiązku utrzymywania systemu wyliczania</w:t>
      </w:r>
      <w:r w:rsidR="002115E6" w:rsidRPr="00816E15">
        <w:rPr>
          <w:szCs w:val="24"/>
        </w:rPr>
        <w:t xml:space="preserve">, o którym mowa w </w:t>
      </w:r>
      <w:r w:rsidR="001E717B" w:rsidRPr="00816E15">
        <w:rPr>
          <w:szCs w:val="24"/>
        </w:rPr>
        <w:t>art. 28 ustawy o BFG, a także funduszu środków gwarantowanych, o którym mowa w</w:t>
      </w:r>
      <w:r w:rsidR="00816E15">
        <w:rPr>
          <w:szCs w:val="24"/>
        </w:rPr>
        <w:t xml:space="preserve"> </w:t>
      </w:r>
      <w:r w:rsidR="001E717B" w:rsidRPr="00816E15">
        <w:rPr>
          <w:szCs w:val="24"/>
        </w:rPr>
        <w:t>art. 369 ustawy o BFG.</w:t>
      </w:r>
    </w:p>
    <w:p w14:paraId="2B3E03AA" w14:textId="10AB9EFA" w:rsidR="00EA5F71" w:rsidRPr="00816E15" w:rsidRDefault="00EA5F71" w:rsidP="00CF5AAF">
      <w:pPr>
        <w:spacing w:after="160" w:line="360" w:lineRule="auto"/>
        <w:jc w:val="both"/>
        <w:rPr>
          <w:szCs w:val="24"/>
        </w:rPr>
      </w:pPr>
      <w:r w:rsidRPr="00816E15">
        <w:rPr>
          <w:szCs w:val="24"/>
        </w:rPr>
        <w:t xml:space="preserve">Korekta w definicji ,,podmiotu znaczącego” dokonywana w </w:t>
      </w:r>
      <w:r w:rsidRPr="00816E15">
        <w:rPr>
          <w:b/>
          <w:szCs w:val="24"/>
        </w:rPr>
        <w:t>art. 2 pkt 47 lit. a</w:t>
      </w:r>
      <w:r w:rsidRPr="00816E15">
        <w:rPr>
          <w:szCs w:val="24"/>
        </w:rPr>
        <w:t xml:space="preserve"> i</w:t>
      </w:r>
      <w:r w:rsidRPr="00816E15">
        <w:rPr>
          <w:b/>
          <w:szCs w:val="24"/>
        </w:rPr>
        <w:t xml:space="preserve"> b</w:t>
      </w:r>
      <w:r w:rsidRPr="00816E15">
        <w:rPr>
          <w:szCs w:val="24"/>
        </w:rPr>
        <w:t xml:space="preserve"> ma na celu zapewnienie, aby ocena danego podmiotu jako znaczącego była oparta na możliwie najbardziej aktualnych danych. Obecnie brzmienie tych przepisów przewiduje, że znaczący charakter podmiotu ustala się</w:t>
      </w:r>
      <w:r w:rsidR="002F3F55">
        <w:rPr>
          <w:szCs w:val="24"/>
        </w:rPr>
        <w:t>,</w:t>
      </w:r>
      <w:r w:rsidRPr="00816E15">
        <w:rPr>
          <w:szCs w:val="24"/>
        </w:rPr>
        <w:t xml:space="preserve"> biorąc pod uwagę kwotę wyrażoną w złotych, której równowartość w euro ustala się według średniego kursu z ostatniego dnia roboczego roku poprzedniego ogłoszonego przez Narodowy Bank Polski. Po zmianie </w:t>
      </w:r>
      <w:r w:rsidR="003C7177" w:rsidRPr="00816E15">
        <w:rPr>
          <w:szCs w:val="24"/>
        </w:rPr>
        <w:t>równowartości</w:t>
      </w:r>
      <w:r w:rsidRPr="00816E15">
        <w:rPr>
          <w:szCs w:val="24"/>
        </w:rPr>
        <w:t xml:space="preserve"> w złotych będzie ustalana w oparciu o średni kurs ogłoszony przez Narodowy Bank Polski na dzień sporządzenia</w:t>
      </w:r>
      <w:r w:rsidR="00816E15">
        <w:rPr>
          <w:szCs w:val="24"/>
        </w:rPr>
        <w:t xml:space="preserve"> </w:t>
      </w:r>
      <w:r w:rsidRPr="00816E15">
        <w:rPr>
          <w:szCs w:val="24"/>
        </w:rPr>
        <w:t>sprawozdania</w:t>
      </w:r>
      <w:r w:rsidR="008A0F92" w:rsidRPr="00816E15">
        <w:rPr>
          <w:szCs w:val="24"/>
        </w:rPr>
        <w:t xml:space="preserve"> finansowego</w:t>
      </w:r>
      <w:r w:rsidRPr="00816E15">
        <w:rPr>
          <w:szCs w:val="24"/>
        </w:rPr>
        <w:t>.</w:t>
      </w:r>
    </w:p>
    <w:p w14:paraId="5F214EB9" w14:textId="22FE9D09" w:rsidR="00911A54" w:rsidRPr="00816E15" w:rsidRDefault="00911A54" w:rsidP="00CF5AAF">
      <w:pPr>
        <w:spacing w:line="360" w:lineRule="auto"/>
        <w:jc w:val="both"/>
        <w:rPr>
          <w:w w:val="105"/>
          <w:szCs w:val="24"/>
        </w:rPr>
      </w:pPr>
      <w:r w:rsidRPr="00816E15">
        <w:rPr>
          <w:w w:val="105"/>
          <w:szCs w:val="24"/>
        </w:rPr>
        <w:t xml:space="preserve">W </w:t>
      </w:r>
      <w:r w:rsidRPr="00816E15">
        <w:rPr>
          <w:b/>
          <w:w w:val="105"/>
          <w:szCs w:val="24"/>
        </w:rPr>
        <w:t>art. 2 pkt 57 lit</w:t>
      </w:r>
      <w:r w:rsidR="002F3F55">
        <w:rPr>
          <w:b/>
          <w:w w:val="105"/>
          <w:szCs w:val="24"/>
        </w:rPr>
        <w:t>.</w:t>
      </w:r>
      <w:r w:rsidRPr="00816E15">
        <w:rPr>
          <w:b/>
          <w:w w:val="105"/>
          <w:szCs w:val="24"/>
        </w:rPr>
        <w:t xml:space="preserve"> a </w:t>
      </w:r>
      <w:r w:rsidR="00FC01E3" w:rsidRPr="00816E15">
        <w:rPr>
          <w:szCs w:val="24"/>
        </w:rPr>
        <w:t>banki hipoteczne wyłącza się z katalogu podmiotów, wobec których może nastąpić spełnienie warunku gwarancji, gdyż tego rodzaju zdarzenie może dotyczyć wyłącznie podmiotów przyjmujących środki podlegające ochronie gwarancyjnej BFG.</w:t>
      </w:r>
    </w:p>
    <w:p w14:paraId="56678F79" w14:textId="1CDB2F4C" w:rsidR="00BD76B1" w:rsidRPr="00816E15" w:rsidRDefault="00EA5F71" w:rsidP="00CF5AAF">
      <w:pPr>
        <w:spacing w:line="360" w:lineRule="auto"/>
        <w:jc w:val="both"/>
        <w:rPr>
          <w:szCs w:val="24"/>
        </w:rPr>
      </w:pPr>
      <w:r w:rsidRPr="00816E15">
        <w:rPr>
          <w:szCs w:val="24"/>
        </w:rPr>
        <w:t xml:space="preserve">W ramach dodawanego w </w:t>
      </w:r>
      <w:r w:rsidRPr="00816E15">
        <w:rPr>
          <w:b/>
          <w:szCs w:val="24"/>
        </w:rPr>
        <w:t>art. 2 pkt 91</w:t>
      </w:r>
      <w:r w:rsidRPr="00816E15">
        <w:rPr>
          <w:szCs w:val="24"/>
        </w:rPr>
        <w:t xml:space="preserve"> uzupełnia się katalog definicji stosowanych w ustawie o BFG o „zobowiązanie zabezpieczone”, które zostało zdefiniowane w dyrektywie BRR. </w:t>
      </w:r>
      <w:r w:rsidR="00BD76B1" w:rsidRPr="00816E15">
        <w:rPr>
          <w:szCs w:val="24"/>
        </w:rPr>
        <w:t xml:space="preserve">Mając na uwadze, że aktualnie </w:t>
      </w:r>
      <w:r w:rsidR="002115E6" w:rsidRPr="00816E15">
        <w:rPr>
          <w:szCs w:val="24"/>
        </w:rPr>
        <w:t xml:space="preserve">w </w:t>
      </w:r>
      <w:r w:rsidR="00BD76B1" w:rsidRPr="00816E15">
        <w:rPr>
          <w:szCs w:val="24"/>
        </w:rPr>
        <w:t>ustaw</w:t>
      </w:r>
      <w:r w:rsidR="002115E6" w:rsidRPr="00816E15">
        <w:rPr>
          <w:szCs w:val="24"/>
        </w:rPr>
        <w:t xml:space="preserve">ie </w:t>
      </w:r>
      <w:r w:rsidR="00BD76B1" w:rsidRPr="00816E15">
        <w:rPr>
          <w:szCs w:val="24"/>
        </w:rPr>
        <w:t xml:space="preserve">o BFG nie zostało wskazane </w:t>
      </w:r>
      <w:r w:rsidR="002115E6" w:rsidRPr="00816E15">
        <w:rPr>
          <w:szCs w:val="24"/>
        </w:rPr>
        <w:t xml:space="preserve">wprost </w:t>
      </w:r>
      <w:r w:rsidR="00BD76B1" w:rsidRPr="00816E15">
        <w:rPr>
          <w:szCs w:val="24"/>
        </w:rPr>
        <w:t>pojęcie zobowiązania zabezpieczonego</w:t>
      </w:r>
      <w:r w:rsidR="002F3F55">
        <w:rPr>
          <w:szCs w:val="24"/>
        </w:rPr>
        <w:t>,</w:t>
      </w:r>
      <w:r w:rsidR="00BD76B1" w:rsidRPr="00816E15">
        <w:rPr>
          <w:szCs w:val="24"/>
        </w:rPr>
        <w:t xml:space="preserve"> należy stwierdzić, że wprowadzenie definicji</w:t>
      </w:r>
      <w:r w:rsidR="007C44AC" w:rsidRPr="00816E15">
        <w:rPr>
          <w:szCs w:val="24"/>
        </w:rPr>
        <w:t xml:space="preserve"> </w:t>
      </w:r>
      <w:r w:rsidR="00BD76B1" w:rsidRPr="00816E15">
        <w:rPr>
          <w:szCs w:val="24"/>
        </w:rPr>
        <w:t>będzie miało charakter porządkujący na gruncie wykładni językowej</w:t>
      </w:r>
      <w:r w:rsidR="00D228F0" w:rsidRPr="00816E15">
        <w:rPr>
          <w:szCs w:val="24"/>
        </w:rPr>
        <w:t>, w szczególności ograniczy wątpliwości interpretacyjne dotyczące rozumienia instytucji zobowiązań zabezpieczonych</w:t>
      </w:r>
      <w:r w:rsidR="002115E6" w:rsidRPr="00816E15">
        <w:rPr>
          <w:szCs w:val="24"/>
        </w:rPr>
        <w:t>,</w:t>
      </w:r>
      <w:r w:rsidR="00D228F0" w:rsidRPr="00816E15">
        <w:rPr>
          <w:szCs w:val="24"/>
        </w:rPr>
        <w:t xml:space="preserve"> zwłaszcza w kontekście art. 206 ustawy o BFG. Pojęcie to obejmuje transakcje sprzedaży instrumentów finansowych ze zobowiązaniem do ich odkupu oraz transakcje kupna instrumentów finansowych ze zobowiązaniem do ich odsprzedaży, tj. repo, reverse-repo, sell buy back i buy sell back.</w:t>
      </w:r>
      <w:r w:rsidR="0087186F" w:rsidRPr="00816E15">
        <w:rPr>
          <w:szCs w:val="24"/>
        </w:rPr>
        <w:t xml:space="preserve"> Katalog zabezpieczeń obejmuje formy zastawu i hipoteki.</w:t>
      </w:r>
      <w:r w:rsidR="00D228F0" w:rsidRPr="00816E15">
        <w:rPr>
          <w:szCs w:val="24"/>
        </w:rPr>
        <w:t xml:space="preserve"> Jednocześnie za zobowiązania zabezpieczone uznaje się tylko takie zobowiązania, w przypadku których zabezpieczenie jest ustanowione na aktywach podmiotu</w:t>
      </w:r>
      <w:r w:rsidR="007C44AC" w:rsidRPr="00816E15">
        <w:rPr>
          <w:szCs w:val="24"/>
        </w:rPr>
        <w:t xml:space="preserve"> </w:t>
      </w:r>
      <w:r w:rsidR="00280324">
        <w:rPr>
          <w:szCs w:val="24"/>
        </w:rPr>
        <w:t>–</w:t>
      </w:r>
      <w:r w:rsidR="007C44AC" w:rsidRPr="00816E15">
        <w:rPr>
          <w:szCs w:val="24"/>
        </w:rPr>
        <w:t xml:space="preserve"> </w:t>
      </w:r>
      <w:r w:rsidR="00D228F0" w:rsidRPr="00816E15">
        <w:rPr>
          <w:szCs w:val="24"/>
        </w:rPr>
        <w:t>dłużnika.</w:t>
      </w:r>
    </w:p>
    <w:p w14:paraId="16CB4877" w14:textId="5855E5F7" w:rsidR="005A6E42" w:rsidRPr="00816E15" w:rsidRDefault="005A6E42" w:rsidP="00CF5AAF">
      <w:pPr>
        <w:spacing w:after="160" w:line="360" w:lineRule="auto"/>
        <w:jc w:val="both"/>
        <w:rPr>
          <w:szCs w:val="24"/>
        </w:rPr>
      </w:pPr>
      <w:r w:rsidRPr="00816E15">
        <w:rPr>
          <w:szCs w:val="24"/>
        </w:rPr>
        <w:t xml:space="preserve">W związku z wyłączeniem banków hipotecznych z katalogu podmiotów objętych systemem gwarantowania w </w:t>
      </w:r>
      <w:r w:rsidRPr="00816E15">
        <w:rPr>
          <w:b/>
          <w:szCs w:val="24"/>
        </w:rPr>
        <w:t>art. 5 ust. 1 pkt 6</w:t>
      </w:r>
      <w:r w:rsidRPr="00816E15">
        <w:rPr>
          <w:szCs w:val="24"/>
        </w:rPr>
        <w:t xml:space="preserve"> niezbędne jest wskazanie tych banków jako odrębnej kategorii podmiotów, w odniesieniu do których Fundusz realizuje zadania określone w tym przepisie. Analogiczny, dostosowawczy charakter, mają zmiany dokonywane w </w:t>
      </w:r>
      <w:r w:rsidR="00816E15" w:rsidRPr="00816E15">
        <w:rPr>
          <w:b/>
          <w:szCs w:val="24"/>
        </w:rPr>
        <w:t>art. 325 ust. </w:t>
      </w:r>
      <w:r w:rsidRPr="00816E15">
        <w:rPr>
          <w:b/>
          <w:szCs w:val="24"/>
        </w:rPr>
        <w:t>1</w:t>
      </w:r>
      <w:r w:rsidRPr="00816E15">
        <w:rPr>
          <w:szCs w:val="24"/>
        </w:rPr>
        <w:t xml:space="preserve"> i </w:t>
      </w:r>
      <w:r w:rsidRPr="00816E15">
        <w:rPr>
          <w:b/>
          <w:szCs w:val="24"/>
        </w:rPr>
        <w:t>2</w:t>
      </w:r>
      <w:r w:rsidRPr="00816E15">
        <w:rPr>
          <w:szCs w:val="24"/>
        </w:rPr>
        <w:t xml:space="preserve">, </w:t>
      </w:r>
      <w:r w:rsidRPr="00816E15">
        <w:rPr>
          <w:b/>
          <w:szCs w:val="24"/>
        </w:rPr>
        <w:t>art. 326 ust. 1</w:t>
      </w:r>
      <w:r w:rsidRPr="00816E15">
        <w:rPr>
          <w:szCs w:val="24"/>
        </w:rPr>
        <w:t xml:space="preserve"> oraz </w:t>
      </w:r>
      <w:r w:rsidRPr="00816E15">
        <w:rPr>
          <w:b/>
          <w:szCs w:val="24"/>
        </w:rPr>
        <w:t>art. 330 ust. 3</w:t>
      </w:r>
      <w:r w:rsidRPr="00816E15">
        <w:rPr>
          <w:szCs w:val="24"/>
        </w:rPr>
        <w:t>.</w:t>
      </w:r>
    </w:p>
    <w:p w14:paraId="0FA7C158" w14:textId="270AB957" w:rsidR="005A6E42" w:rsidRPr="00816E15" w:rsidRDefault="005A6E42" w:rsidP="00CF5AAF">
      <w:pPr>
        <w:spacing w:after="160" w:line="360" w:lineRule="auto"/>
        <w:jc w:val="both"/>
        <w:rPr>
          <w:szCs w:val="24"/>
        </w:rPr>
      </w:pPr>
      <w:r w:rsidRPr="00816E15">
        <w:rPr>
          <w:szCs w:val="24"/>
        </w:rPr>
        <w:t xml:space="preserve">Zmiana w </w:t>
      </w:r>
      <w:r w:rsidRPr="00816E15">
        <w:rPr>
          <w:b/>
          <w:szCs w:val="24"/>
        </w:rPr>
        <w:t>art. 5 ust. 2 pkt 3</w:t>
      </w:r>
      <w:r w:rsidR="00816E15">
        <w:rPr>
          <w:szCs w:val="24"/>
        </w:rPr>
        <w:t xml:space="preserve"> </w:t>
      </w:r>
      <w:r w:rsidRPr="00816E15">
        <w:rPr>
          <w:szCs w:val="24"/>
        </w:rPr>
        <w:t>jest związana z realizacją zadań Funduszu w zakresie procesów restrukturyzacji podmiotów sektora</w:t>
      </w:r>
      <w:r w:rsidR="00B12896" w:rsidRPr="00816E15">
        <w:rPr>
          <w:szCs w:val="24"/>
        </w:rPr>
        <w:t xml:space="preserve"> spółdzielczych kas oszczędnościowo kredytowych, dalej „</w:t>
      </w:r>
      <w:r w:rsidRPr="00816E15">
        <w:rPr>
          <w:szCs w:val="24"/>
        </w:rPr>
        <w:t>SKOK</w:t>
      </w:r>
      <w:r w:rsidR="00B12896" w:rsidRPr="00816E15">
        <w:rPr>
          <w:szCs w:val="24"/>
        </w:rPr>
        <w:t>, kasy”</w:t>
      </w:r>
      <w:r w:rsidRPr="00816E15">
        <w:rPr>
          <w:szCs w:val="24"/>
        </w:rPr>
        <w:t xml:space="preserve">, w ramach których stosowanym mechanizmem są przejęcia, w kontekście unijnych zasad pomocy publicznej w związku z Programem pomocowym uporządkowanej likwidacji kas. </w:t>
      </w:r>
      <w:r w:rsidR="00C207BB" w:rsidRPr="00816E15">
        <w:rPr>
          <w:szCs w:val="24"/>
        </w:rPr>
        <w:t xml:space="preserve">Obecnie </w:t>
      </w:r>
      <w:r w:rsidR="00E8443D" w:rsidRPr="00816E15">
        <w:rPr>
          <w:szCs w:val="24"/>
        </w:rPr>
        <w:t xml:space="preserve">z przepisu wynika, że </w:t>
      </w:r>
      <w:r w:rsidRPr="00816E15">
        <w:rPr>
          <w:szCs w:val="24"/>
        </w:rPr>
        <w:t>wsparcie finansowe jest udzielane podmiotom przejmującym kasy, przejmującym prawa majątkowe lub zobowiązania kasy albo nabywcom przedsiębiorstwa kasy w likwidacji, jego zorganizowanej części lub wybranych praw majątkowych</w:t>
      </w:r>
      <w:r w:rsidR="00E8443D" w:rsidRPr="00816E15">
        <w:rPr>
          <w:szCs w:val="24"/>
        </w:rPr>
        <w:t>. Po zmianie przepis określi,</w:t>
      </w:r>
      <w:r w:rsidR="00426B29" w:rsidRPr="00816E15">
        <w:rPr>
          <w:szCs w:val="24"/>
        </w:rPr>
        <w:t xml:space="preserve"> że wsparcie będzie udzielane na rzecz działalności kasy</w:t>
      </w:r>
      <w:r w:rsidR="00524551" w:rsidRPr="00816E15">
        <w:rPr>
          <w:szCs w:val="24"/>
        </w:rPr>
        <w:t>,</w:t>
      </w:r>
      <w:r w:rsidR="00426B29" w:rsidRPr="00816E15">
        <w:rPr>
          <w:szCs w:val="24"/>
        </w:rPr>
        <w:t xml:space="preserve"> tj. według kryterium celowościowego,</w:t>
      </w:r>
      <w:r w:rsidR="00816E15">
        <w:rPr>
          <w:szCs w:val="24"/>
        </w:rPr>
        <w:t xml:space="preserve"> </w:t>
      </w:r>
      <w:r w:rsidRPr="00816E15">
        <w:rPr>
          <w:szCs w:val="24"/>
        </w:rPr>
        <w:t xml:space="preserve">w przypadku </w:t>
      </w:r>
      <w:r w:rsidR="00426B29" w:rsidRPr="00816E15">
        <w:rPr>
          <w:szCs w:val="24"/>
        </w:rPr>
        <w:t>jej</w:t>
      </w:r>
      <w:r w:rsidRPr="00816E15">
        <w:rPr>
          <w:szCs w:val="24"/>
        </w:rPr>
        <w:t xml:space="preserve"> przejęcia, przejęcia</w:t>
      </w:r>
      <w:r w:rsidR="00816E15">
        <w:rPr>
          <w:szCs w:val="24"/>
        </w:rPr>
        <w:t xml:space="preserve"> </w:t>
      </w:r>
      <w:r w:rsidRPr="00816E15">
        <w:rPr>
          <w:szCs w:val="24"/>
        </w:rPr>
        <w:t>wybranych praw majątkowych lub wybranych zobowiązań lub w przypadku nabycia przedsiębiorstwa kas</w:t>
      </w:r>
      <w:r w:rsidR="004B06AB" w:rsidRPr="00816E15">
        <w:rPr>
          <w:szCs w:val="24"/>
        </w:rPr>
        <w:t>y</w:t>
      </w:r>
      <w:r w:rsidRPr="00816E15">
        <w:rPr>
          <w:szCs w:val="24"/>
        </w:rPr>
        <w:t xml:space="preserve"> w likwidacji, jego zorganizowanej części lub wybranych praw majątkowych. Na tym tle zmiana w </w:t>
      </w:r>
      <w:r w:rsidRPr="00816E15">
        <w:rPr>
          <w:b/>
          <w:szCs w:val="24"/>
        </w:rPr>
        <w:t>art. 5 ust. 2 pkt 4</w:t>
      </w:r>
      <w:r w:rsidRPr="00816E15">
        <w:rPr>
          <w:szCs w:val="24"/>
        </w:rPr>
        <w:t xml:space="preserve"> ma charakter dostosowujący</w:t>
      </w:r>
      <w:r w:rsidR="00426B29" w:rsidRPr="00816E15">
        <w:rPr>
          <w:szCs w:val="24"/>
        </w:rPr>
        <w:t xml:space="preserve"> zasady udzielania pomocy dla podmiotu, który ma kłopoty finansowe</w:t>
      </w:r>
      <w:r w:rsidRPr="00816E15">
        <w:rPr>
          <w:szCs w:val="24"/>
        </w:rPr>
        <w:t>.</w:t>
      </w:r>
      <w:r w:rsidR="00426B29" w:rsidRPr="00816E15">
        <w:rPr>
          <w:szCs w:val="24"/>
        </w:rPr>
        <w:t xml:space="preserve"> Wprowadzone rozwiązanie umożliwi obrót środkami pomocowymi na konkretny cel</w:t>
      </w:r>
      <w:r w:rsidR="00524551" w:rsidRPr="00816E15">
        <w:rPr>
          <w:szCs w:val="24"/>
        </w:rPr>
        <w:t>,</w:t>
      </w:r>
      <w:r w:rsidR="00426B29" w:rsidRPr="00816E15">
        <w:rPr>
          <w:szCs w:val="24"/>
        </w:rPr>
        <w:t xml:space="preserve"> wyłączając ryzyko prawne związane ze zmianą statusu kasy przejmowanej w rejestrze </w:t>
      </w:r>
      <w:r w:rsidR="005C31F2" w:rsidRPr="00816E15">
        <w:rPr>
          <w:szCs w:val="24"/>
        </w:rPr>
        <w:t>przedsiębiorców</w:t>
      </w:r>
      <w:r w:rsidR="00426B29" w:rsidRPr="00816E15">
        <w:rPr>
          <w:szCs w:val="24"/>
        </w:rPr>
        <w:t>.</w:t>
      </w:r>
      <w:r w:rsidRPr="00816E15">
        <w:rPr>
          <w:szCs w:val="24"/>
        </w:rPr>
        <w:t xml:space="preserve"> Skoro za podmiot, któremu Fundusz udzielił wsparcia</w:t>
      </w:r>
      <w:r w:rsidR="0096645E" w:rsidRPr="00816E15">
        <w:rPr>
          <w:szCs w:val="24"/>
        </w:rPr>
        <w:t>,</w:t>
      </w:r>
      <w:r w:rsidRPr="00816E15">
        <w:rPr>
          <w:szCs w:val="24"/>
        </w:rPr>
        <w:t xml:space="preserve"> nie będzie uważany podmiot przejmujący</w:t>
      </w:r>
      <w:r w:rsidR="0096645E" w:rsidRPr="00816E15">
        <w:rPr>
          <w:szCs w:val="24"/>
        </w:rPr>
        <w:t>,</w:t>
      </w:r>
      <w:r w:rsidRPr="00816E15">
        <w:rPr>
          <w:szCs w:val="24"/>
        </w:rPr>
        <w:t xml:space="preserve"> konieczne jest wskazanie, że do zadań Funduszu należy monitorowanie dodatkowo także sytuacji podmiotu przejmującego (tj. kasy, banku krajowego lub instytucji kredytowej).</w:t>
      </w:r>
    </w:p>
    <w:p w14:paraId="232F1DED" w14:textId="5389534D" w:rsidR="00DD08EF" w:rsidRPr="00816E15" w:rsidRDefault="00DD08EF" w:rsidP="00CF5AAF">
      <w:pPr>
        <w:spacing w:after="160" w:line="360" w:lineRule="auto"/>
        <w:jc w:val="both"/>
        <w:rPr>
          <w:szCs w:val="24"/>
        </w:rPr>
      </w:pPr>
      <w:r w:rsidRPr="00816E15">
        <w:rPr>
          <w:szCs w:val="24"/>
        </w:rPr>
        <w:t xml:space="preserve">Zmiany w </w:t>
      </w:r>
      <w:r w:rsidRPr="00816E15">
        <w:rPr>
          <w:b/>
          <w:szCs w:val="24"/>
        </w:rPr>
        <w:t>art. 17 ust. 2 pkt 1</w:t>
      </w:r>
      <w:r w:rsidRPr="00816E15">
        <w:rPr>
          <w:szCs w:val="24"/>
        </w:rPr>
        <w:t xml:space="preserve"> i </w:t>
      </w:r>
      <w:r w:rsidRPr="00816E15">
        <w:rPr>
          <w:b/>
          <w:szCs w:val="24"/>
        </w:rPr>
        <w:t>art. 18 ust. 2 pkt 1</w:t>
      </w:r>
      <w:r w:rsidRPr="00816E15">
        <w:rPr>
          <w:szCs w:val="24"/>
        </w:rPr>
        <w:t xml:space="preserve"> mają charakter korygujący i doprecyzowujący. Celem </w:t>
      </w:r>
      <w:r w:rsidR="00E8443D" w:rsidRPr="00816E15">
        <w:rPr>
          <w:szCs w:val="24"/>
        </w:rPr>
        <w:t xml:space="preserve">zmiany </w:t>
      </w:r>
      <w:r w:rsidRPr="00816E15">
        <w:rPr>
          <w:szCs w:val="24"/>
        </w:rPr>
        <w:t xml:space="preserve">jest wyeliminowanie ewentualnych wątpliwości </w:t>
      </w:r>
      <w:r w:rsidR="00E8443D" w:rsidRPr="00816E15">
        <w:rPr>
          <w:szCs w:val="24"/>
        </w:rPr>
        <w:t xml:space="preserve">co do tego, </w:t>
      </w:r>
      <w:r w:rsidRPr="00816E15">
        <w:rPr>
          <w:szCs w:val="24"/>
        </w:rPr>
        <w:t xml:space="preserve">które środki i wpłacone do jakich podmiotów są wyłączone spod ochrony gwarancyjnej. Dotychczasowe brzmienie ww. przepisów mogło sugerować, że ochroną gwarancyjną nie są objęte środki wpłacone tytułem udziałów, wpisowego i wkładów członkowskich do wszystkich podmiotów działających w formie spółdzielni, również </w:t>
      </w:r>
      <w:r w:rsidR="00E8443D" w:rsidRPr="00816E15">
        <w:rPr>
          <w:szCs w:val="24"/>
        </w:rPr>
        <w:t xml:space="preserve">będących </w:t>
      </w:r>
      <w:r w:rsidRPr="00816E15">
        <w:rPr>
          <w:szCs w:val="24"/>
        </w:rPr>
        <w:t>klient</w:t>
      </w:r>
      <w:r w:rsidR="00E8443D" w:rsidRPr="00816E15">
        <w:rPr>
          <w:szCs w:val="24"/>
        </w:rPr>
        <w:t xml:space="preserve">ami </w:t>
      </w:r>
      <w:r w:rsidRPr="00816E15">
        <w:rPr>
          <w:szCs w:val="24"/>
        </w:rPr>
        <w:t>banków (np. spółdzielni mieszkaniowych będących deponentami banku, od których bank</w:t>
      </w:r>
      <w:r w:rsidR="00E8443D" w:rsidRPr="00816E15">
        <w:rPr>
          <w:szCs w:val="24"/>
        </w:rPr>
        <w:t>,</w:t>
      </w:r>
      <w:r w:rsidRPr="00816E15">
        <w:rPr>
          <w:szCs w:val="24"/>
        </w:rPr>
        <w:t xml:space="preserve"> jako podmiot zewnętrzny, musiałby pozyskiwać dodatkowe informacje). Natomiast zgodnie z implementowanym art. 5 ust. 1 dyrektywy </w:t>
      </w:r>
      <w:r w:rsidR="00E15A8A" w:rsidRPr="00816E15">
        <w:rPr>
          <w:szCs w:val="24"/>
        </w:rPr>
        <w:t>DGS</w:t>
      </w:r>
      <w:r w:rsidRPr="00816E15">
        <w:rPr>
          <w:szCs w:val="24"/>
        </w:rPr>
        <w:t xml:space="preserve"> wyłączone z ochrony gwarancyjnej powinny być fundusze własne banków spółdzielczych, a nie klientów banków, jakimi są np. spółdzielnie mieszkaniowe.</w:t>
      </w:r>
    </w:p>
    <w:p w14:paraId="3BD7C79B" w14:textId="0A886906" w:rsidR="000E73F7" w:rsidRPr="00816E15" w:rsidRDefault="000E73F7" w:rsidP="00CF5AAF">
      <w:pPr>
        <w:spacing w:after="160" w:line="360" w:lineRule="auto"/>
        <w:jc w:val="both"/>
        <w:rPr>
          <w:szCs w:val="24"/>
        </w:rPr>
      </w:pPr>
      <w:r w:rsidRPr="00816E15">
        <w:rPr>
          <w:szCs w:val="24"/>
        </w:rPr>
        <w:t xml:space="preserve">W </w:t>
      </w:r>
      <w:r w:rsidRPr="00816E15">
        <w:rPr>
          <w:b/>
          <w:szCs w:val="24"/>
        </w:rPr>
        <w:t>art. 19 ust. 2</w:t>
      </w:r>
      <w:r w:rsidRPr="00816E15">
        <w:rPr>
          <w:szCs w:val="24"/>
        </w:rPr>
        <w:t xml:space="preserve"> w celu wyeliminowania ewentualnych wątpliwości interpretacyjnych związanych z rozumieniem dnia, na jaki nalicza się stan odsetek w ramach wartości środków objętych ochroną gwarancyjną</w:t>
      </w:r>
      <w:r w:rsidR="00E8443D" w:rsidRPr="00816E15">
        <w:rPr>
          <w:szCs w:val="24"/>
        </w:rPr>
        <w:t>,</w:t>
      </w:r>
      <w:r w:rsidRPr="00816E15">
        <w:rPr>
          <w:szCs w:val="24"/>
        </w:rPr>
        <w:t xml:space="preserve"> </w:t>
      </w:r>
      <w:r w:rsidR="00E8443D" w:rsidRPr="00816E15">
        <w:rPr>
          <w:szCs w:val="24"/>
        </w:rPr>
        <w:t>doprecyzowano</w:t>
      </w:r>
      <w:r w:rsidRPr="00816E15">
        <w:rPr>
          <w:szCs w:val="24"/>
        </w:rPr>
        <w:t xml:space="preserve">, że odsetki nalicza się ,,na początek dnia spełnienia warunku gwarancji”. Tak zmodyfikowane brzmienie jest zgodne z dotychczas stosowanymi zasadami obliczania odsetek na potrzeby procesu wypłat środków gwarantowanych i nie powoduje jakiejkolwiek zmiany w kwestii naliczania odsetek objętych ochroną gwarancyjną. Ma jedynie charakter doprecyzowujący. </w:t>
      </w:r>
    </w:p>
    <w:p w14:paraId="4F99538C" w14:textId="5485B579" w:rsidR="000E73F7" w:rsidRPr="00816E15" w:rsidRDefault="000E73F7" w:rsidP="00CF5AAF">
      <w:pPr>
        <w:spacing w:after="160" w:line="360" w:lineRule="auto"/>
        <w:jc w:val="both"/>
        <w:rPr>
          <w:szCs w:val="24"/>
        </w:rPr>
      </w:pPr>
      <w:r w:rsidRPr="00816E15">
        <w:rPr>
          <w:szCs w:val="24"/>
        </w:rPr>
        <w:t xml:space="preserve">W </w:t>
      </w:r>
      <w:r w:rsidRPr="00816E15">
        <w:rPr>
          <w:b/>
          <w:szCs w:val="24"/>
        </w:rPr>
        <w:t>art. 20 pkt 6</w:t>
      </w:r>
      <w:r w:rsidRPr="00816E15">
        <w:rPr>
          <w:szCs w:val="24"/>
        </w:rPr>
        <w:t xml:space="preserve"> uzupełnia się katalog deponentów o ,,rady rodziców”, </w:t>
      </w:r>
      <w:r w:rsidR="00E8443D" w:rsidRPr="00816E15">
        <w:rPr>
          <w:szCs w:val="24"/>
        </w:rPr>
        <w:t xml:space="preserve">co </w:t>
      </w:r>
      <w:r w:rsidRPr="00816E15">
        <w:rPr>
          <w:rFonts w:eastAsia="Times New Roman" w:cs="Times New Roman"/>
          <w:bCs/>
          <w:color w:val="000000"/>
          <w:szCs w:val="24"/>
          <w:lang w:eastAsia="pl-PL"/>
        </w:rPr>
        <w:t>pozostaj</w:t>
      </w:r>
      <w:r w:rsidR="00E8443D" w:rsidRPr="00816E15">
        <w:rPr>
          <w:rFonts w:eastAsia="Times New Roman" w:cs="Times New Roman"/>
          <w:bCs/>
          <w:color w:val="000000"/>
          <w:szCs w:val="24"/>
          <w:lang w:eastAsia="pl-PL"/>
        </w:rPr>
        <w:t xml:space="preserve">e </w:t>
      </w:r>
      <w:r w:rsidRPr="00816E15">
        <w:rPr>
          <w:rFonts w:eastAsia="Times New Roman" w:cs="Times New Roman"/>
          <w:bCs/>
          <w:color w:val="000000"/>
          <w:szCs w:val="24"/>
          <w:lang w:eastAsia="pl-PL"/>
        </w:rPr>
        <w:t xml:space="preserve">w związku ze zmianą w art. 49 ust. 3 ustawy </w:t>
      </w:r>
      <w:r w:rsidR="00E8443D" w:rsidRPr="00816E15">
        <w:rPr>
          <w:rFonts w:eastAsia="Times New Roman" w:cs="Times New Roman"/>
          <w:bCs/>
          <w:color w:val="000000"/>
          <w:szCs w:val="24"/>
          <w:lang w:eastAsia="pl-PL"/>
        </w:rPr>
        <w:t xml:space="preserve">z dnia – </w:t>
      </w:r>
      <w:r w:rsidRPr="00816E15">
        <w:rPr>
          <w:rFonts w:eastAsia="Times New Roman" w:cs="Times New Roman"/>
          <w:bCs/>
          <w:color w:val="000000"/>
          <w:szCs w:val="24"/>
          <w:lang w:eastAsia="pl-PL"/>
        </w:rPr>
        <w:t xml:space="preserve">Prawo </w:t>
      </w:r>
      <w:r w:rsidR="00E8443D" w:rsidRPr="00816E15">
        <w:rPr>
          <w:rFonts w:eastAsia="Times New Roman" w:cs="Times New Roman"/>
          <w:bCs/>
          <w:color w:val="000000"/>
          <w:szCs w:val="24"/>
          <w:lang w:eastAsia="pl-PL"/>
        </w:rPr>
        <w:t>b</w:t>
      </w:r>
      <w:r w:rsidRPr="00816E15">
        <w:rPr>
          <w:rFonts w:eastAsia="Times New Roman" w:cs="Times New Roman"/>
          <w:bCs/>
          <w:color w:val="000000"/>
          <w:szCs w:val="24"/>
          <w:lang w:eastAsia="pl-PL"/>
        </w:rPr>
        <w:t>ankowe</w:t>
      </w:r>
      <w:r w:rsidR="00E8443D" w:rsidRPr="00816E15">
        <w:rPr>
          <w:rFonts w:eastAsia="Times New Roman" w:cs="Times New Roman"/>
          <w:bCs/>
          <w:color w:val="000000"/>
          <w:szCs w:val="24"/>
          <w:lang w:eastAsia="pl-PL"/>
        </w:rPr>
        <w:t xml:space="preserve"> (Dz. U.</w:t>
      </w:r>
      <w:r w:rsidR="008A0F92" w:rsidRPr="00816E15">
        <w:rPr>
          <w:rFonts w:eastAsia="Times New Roman" w:cs="Times New Roman"/>
          <w:bCs/>
          <w:color w:val="000000"/>
          <w:szCs w:val="24"/>
          <w:lang w:eastAsia="pl-PL"/>
        </w:rPr>
        <w:t xml:space="preserve"> z 2017 r. poz. 1876, z późn. zm.</w:t>
      </w:r>
      <w:r w:rsidR="00E8443D" w:rsidRPr="00816E15">
        <w:rPr>
          <w:rFonts w:eastAsia="Times New Roman" w:cs="Times New Roman"/>
          <w:bCs/>
          <w:color w:val="000000"/>
          <w:szCs w:val="24"/>
          <w:lang w:eastAsia="pl-PL"/>
        </w:rPr>
        <w:t>)</w:t>
      </w:r>
      <w:r w:rsidRPr="00816E15">
        <w:rPr>
          <w:szCs w:val="24"/>
        </w:rPr>
        <w:t xml:space="preserve">. Zgodnie z art. 84 ust. 7 ustawy z dnia 14 grudnia 2016 r. </w:t>
      </w:r>
      <w:r w:rsidR="00E8443D" w:rsidRPr="00816E15">
        <w:rPr>
          <w:szCs w:val="24"/>
        </w:rPr>
        <w:t xml:space="preserve">– </w:t>
      </w:r>
      <w:r w:rsidRPr="00816E15">
        <w:rPr>
          <w:szCs w:val="24"/>
        </w:rPr>
        <w:t xml:space="preserve">Prawo oświatowe </w:t>
      </w:r>
      <w:r w:rsidR="00E8443D" w:rsidRPr="00816E15">
        <w:rPr>
          <w:szCs w:val="24"/>
        </w:rPr>
        <w:t>(Dz. U.</w:t>
      </w:r>
      <w:r w:rsidR="008A0F92" w:rsidRPr="00816E15">
        <w:rPr>
          <w:szCs w:val="24"/>
        </w:rPr>
        <w:t xml:space="preserve"> </w:t>
      </w:r>
      <w:r w:rsidR="002F3F55">
        <w:rPr>
          <w:szCs w:val="24"/>
        </w:rPr>
        <w:t xml:space="preserve">z </w:t>
      </w:r>
      <w:r w:rsidR="008A0F92" w:rsidRPr="00816E15">
        <w:rPr>
          <w:szCs w:val="24"/>
        </w:rPr>
        <w:t>2017 r. poz.</w:t>
      </w:r>
      <w:r w:rsidR="00816E15">
        <w:rPr>
          <w:szCs w:val="24"/>
        </w:rPr>
        <w:t xml:space="preserve"> </w:t>
      </w:r>
      <w:r w:rsidR="002F3F55">
        <w:rPr>
          <w:szCs w:val="24"/>
        </w:rPr>
        <w:t>59</w:t>
      </w:r>
      <w:r w:rsidR="008A0F92" w:rsidRPr="00816E15">
        <w:rPr>
          <w:szCs w:val="24"/>
        </w:rPr>
        <w:t>, z póź</w:t>
      </w:r>
      <w:r w:rsidR="003C7177" w:rsidRPr="00816E15">
        <w:rPr>
          <w:szCs w:val="24"/>
        </w:rPr>
        <w:t>n</w:t>
      </w:r>
      <w:r w:rsidR="008A0F92" w:rsidRPr="00816E15">
        <w:rPr>
          <w:szCs w:val="24"/>
        </w:rPr>
        <w:t xml:space="preserve"> zm.</w:t>
      </w:r>
      <w:r w:rsidR="00E8443D" w:rsidRPr="00816E15">
        <w:rPr>
          <w:szCs w:val="24"/>
        </w:rPr>
        <w:t xml:space="preserve">) </w:t>
      </w:r>
      <w:r w:rsidRPr="00816E15">
        <w:rPr>
          <w:szCs w:val="24"/>
        </w:rPr>
        <w:t>fundusze gromadzone przez radę rodziców mogą być przechowywane na odrębnym rachunku bankowym rady rodziców, któr</w:t>
      </w:r>
      <w:r w:rsidR="00B678C3" w:rsidRPr="00816E15">
        <w:rPr>
          <w:szCs w:val="24"/>
        </w:rPr>
        <w:t>e</w:t>
      </w:r>
      <w:r w:rsidR="00E8443D" w:rsidRPr="00816E15">
        <w:rPr>
          <w:szCs w:val="24"/>
        </w:rPr>
        <w:t xml:space="preserve"> </w:t>
      </w:r>
      <w:r w:rsidRPr="00816E15">
        <w:rPr>
          <w:szCs w:val="24"/>
        </w:rPr>
        <w:t xml:space="preserve">w obecnym kształcie </w:t>
      </w:r>
      <w:r w:rsidRPr="00816E15">
        <w:rPr>
          <w:color w:val="000000"/>
          <w:w w:val="105"/>
          <w:szCs w:val="24"/>
        </w:rPr>
        <w:t>funkcjonuj</w:t>
      </w:r>
      <w:r w:rsidR="00E8443D" w:rsidRPr="00816E15">
        <w:rPr>
          <w:color w:val="000000"/>
          <w:w w:val="105"/>
          <w:szCs w:val="24"/>
        </w:rPr>
        <w:t>e</w:t>
      </w:r>
      <w:r w:rsidRPr="00816E15">
        <w:rPr>
          <w:color w:val="000000"/>
          <w:w w:val="105"/>
          <w:szCs w:val="24"/>
        </w:rPr>
        <w:t xml:space="preserve"> w ramach </w:t>
      </w:r>
      <w:r w:rsidRPr="00816E15">
        <w:rPr>
          <w:szCs w:val="24"/>
        </w:rPr>
        <w:t>stosunków umownych</w:t>
      </w:r>
      <w:r w:rsidR="00E8443D" w:rsidRPr="00816E15">
        <w:rPr>
          <w:szCs w:val="24"/>
        </w:rPr>
        <w:t>,</w:t>
      </w:r>
      <w:r w:rsidRPr="00816E15">
        <w:rPr>
          <w:szCs w:val="24"/>
        </w:rPr>
        <w:t xml:space="preserve"> np. jako szczególny typ</w:t>
      </w:r>
      <w:r w:rsidR="00B678C3" w:rsidRPr="00816E15">
        <w:rPr>
          <w:szCs w:val="24"/>
        </w:rPr>
        <w:t xml:space="preserve"> rachunków</w:t>
      </w:r>
      <w:r w:rsidRPr="00816E15">
        <w:rPr>
          <w:szCs w:val="24"/>
        </w:rPr>
        <w:t xml:space="preserve"> szkolnych kas oszczędnościowych. Do założenia i likwidacji rachunku oraz dysponowania funduszami na tym rachunku są uprawnione osoby posiadające pisemne upoważnienie udzielone przez radę rodziców. Jednocześnie</w:t>
      </w:r>
      <w:r w:rsidR="00E8443D" w:rsidRPr="00816E15">
        <w:rPr>
          <w:szCs w:val="24"/>
        </w:rPr>
        <w:t>,</w:t>
      </w:r>
      <w:r w:rsidRPr="00816E15">
        <w:rPr>
          <w:szCs w:val="24"/>
        </w:rPr>
        <w:t xml:space="preserve"> w świetle obowiązujących przepisów oraz orzecznictwa dotyczących ustroju rady rodziców</w:t>
      </w:r>
      <w:r w:rsidR="00E8443D" w:rsidRPr="00816E15">
        <w:rPr>
          <w:szCs w:val="24"/>
        </w:rPr>
        <w:t>,</w:t>
      </w:r>
      <w:r w:rsidRPr="00816E15">
        <w:rPr>
          <w:szCs w:val="24"/>
        </w:rPr>
        <w:t xml:space="preserve"> status rady rodziców nie pozwala na zakwalifikowanie rady rodziców do którejkolwiek z kategorii deponentów określonych w art. 20 pkt 1</w:t>
      </w:r>
      <w:r w:rsidR="00280324">
        <w:rPr>
          <w:szCs w:val="24"/>
        </w:rPr>
        <w:t>–</w:t>
      </w:r>
      <w:r w:rsidRPr="00816E15">
        <w:rPr>
          <w:szCs w:val="24"/>
        </w:rPr>
        <w:t>5, co powoduje, że środki na rachunkach bankowych prowadzonych dla rad rodziców nie są objęte ochroną gwarancyjną BFG. Uzupełnienie katalogu deponentów ma na celu zapewnienie takiej ochrony.</w:t>
      </w:r>
    </w:p>
    <w:p w14:paraId="0EB4839B" w14:textId="46003DDA" w:rsidR="005D2D32" w:rsidRPr="00816E15" w:rsidRDefault="005D2D32" w:rsidP="00CF5AAF">
      <w:pPr>
        <w:spacing w:line="360" w:lineRule="auto"/>
        <w:jc w:val="both"/>
        <w:rPr>
          <w:rFonts w:cs="Times New Roman"/>
          <w:szCs w:val="24"/>
          <w:lang w:val="pl"/>
        </w:rPr>
      </w:pPr>
      <w:r w:rsidRPr="00816E15">
        <w:rPr>
          <w:rFonts w:cs="Times New Roman"/>
          <w:szCs w:val="24"/>
          <w:lang w:val="pl"/>
        </w:rPr>
        <w:t xml:space="preserve">W </w:t>
      </w:r>
      <w:r w:rsidRPr="00816E15">
        <w:rPr>
          <w:rFonts w:cs="Times New Roman"/>
          <w:b/>
          <w:szCs w:val="24"/>
          <w:lang w:val="pl"/>
        </w:rPr>
        <w:t>art.</w:t>
      </w:r>
      <w:r w:rsidRPr="00816E15">
        <w:rPr>
          <w:rFonts w:cs="Times New Roman"/>
          <w:szCs w:val="24"/>
          <w:lang w:val="pl"/>
        </w:rPr>
        <w:t xml:space="preserve"> </w:t>
      </w:r>
      <w:r w:rsidRPr="00816E15">
        <w:rPr>
          <w:rFonts w:cs="Times New Roman"/>
          <w:b/>
          <w:szCs w:val="24"/>
          <w:lang w:val="pl"/>
        </w:rPr>
        <w:t>56 ust. 6</w:t>
      </w:r>
      <w:r w:rsidRPr="00816E15">
        <w:rPr>
          <w:rFonts w:cs="Times New Roman"/>
          <w:szCs w:val="24"/>
          <w:lang w:val="pl"/>
        </w:rPr>
        <w:t xml:space="preserve"> </w:t>
      </w:r>
      <w:r w:rsidR="00F269BC" w:rsidRPr="00816E15">
        <w:rPr>
          <w:rFonts w:cs="Times New Roman"/>
          <w:szCs w:val="24"/>
          <w:lang w:val="pl"/>
        </w:rPr>
        <w:t xml:space="preserve">i </w:t>
      </w:r>
      <w:r w:rsidR="00F269BC" w:rsidRPr="00816E15">
        <w:rPr>
          <w:rFonts w:cs="Times New Roman"/>
          <w:b/>
          <w:szCs w:val="24"/>
          <w:lang w:val="pl"/>
        </w:rPr>
        <w:t>art. 57 ust. 6</w:t>
      </w:r>
      <w:r w:rsidR="00D2554B" w:rsidRPr="00816E15">
        <w:rPr>
          <w:rFonts w:cs="Times New Roman"/>
          <w:b/>
          <w:szCs w:val="24"/>
          <w:lang w:val="pl"/>
        </w:rPr>
        <w:t xml:space="preserve"> </w:t>
      </w:r>
      <w:r w:rsidR="00F269BC" w:rsidRPr="00816E15">
        <w:rPr>
          <w:rFonts w:cs="Times New Roman"/>
          <w:szCs w:val="24"/>
          <w:lang w:val="pl"/>
        </w:rPr>
        <w:t>skorygowano błędne odesłania</w:t>
      </w:r>
      <w:r w:rsidR="003C7177" w:rsidRPr="00816E15">
        <w:rPr>
          <w:rFonts w:cs="Times New Roman"/>
          <w:szCs w:val="24"/>
          <w:lang w:val="pl"/>
        </w:rPr>
        <w:t xml:space="preserve">. </w:t>
      </w:r>
      <w:r w:rsidR="00E8443D" w:rsidRPr="00816E15">
        <w:rPr>
          <w:rFonts w:cs="Times New Roman"/>
          <w:szCs w:val="24"/>
          <w:lang w:val="pl"/>
        </w:rPr>
        <w:t xml:space="preserve">Po zmianie z </w:t>
      </w:r>
      <w:r w:rsidR="00F269BC" w:rsidRPr="00816E15">
        <w:rPr>
          <w:rFonts w:cs="Times New Roman"/>
          <w:szCs w:val="24"/>
          <w:lang w:val="pl"/>
        </w:rPr>
        <w:t>art. 56 ust. 6</w:t>
      </w:r>
      <w:r w:rsidR="001022D4" w:rsidRPr="00816E15">
        <w:rPr>
          <w:rFonts w:cs="Times New Roman"/>
          <w:szCs w:val="24"/>
          <w:lang w:val="pl"/>
        </w:rPr>
        <w:t xml:space="preserve"> </w:t>
      </w:r>
      <w:r w:rsidR="00E8443D" w:rsidRPr="00816E15">
        <w:rPr>
          <w:rFonts w:cs="Times New Roman"/>
          <w:szCs w:val="24"/>
          <w:lang w:val="pl"/>
        </w:rPr>
        <w:t xml:space="preserve">będzie wynikało w sposób jednoznaczny, że w przypadku </w:t>
      </w:r>
      <w:r w:rsidRPr="00816E15">
        <w:rPr>
          <w:rFonts w:cs="Times New Roman"/>
          <w:szCs w:val="24"/>
          <w:lang w:val="pl"/>
        </w:rPr>
        <w:t>gdy w</w:t>
      </w:r>
      <w:r w:rsidR="00F269BC" w:rsidRPr="00816E15">
        <w:rPr>
          <w:rFonts w:cs="Times New Roman"/>
          <w:szCs w:val="24"/>
          <w:lang w:val="pl"/>
        </w:rPr>
        <w:t xml:space="preserve"> związku z brakiem </w:t>
      </w:r>
      <w:r w:rsidR="00217DE7" w:rsidRPr="00816E15">
        <w:rPr>
          <w:rFonts w:cs="Times New Roman"/>
          <w:szCs w:val="24"/>
          <w:lang w:val="pl"/>
        </w:rPr>
        <w:t>środków w</w:t>
      </w:r>
      <w:r w:rsidR="00F269BC" w:rsidRPr="00816E15">
        <w:rPr>
          <w:rFonts w:cs="Times New Roman"/>
          <w:szCs w:val="24"/>
          <w:lang w:val="pl"/>
        </w:rPr>
        <w:t xml:space="preserve"> </w:t>
      </w:r>
      <w:r w:rsidRPr="00816E15">
        <w:rPr>
          <w:rFonts w:cs="Times New Roman"/>
          <w:szCs w:val="24"/>
          <w:lang w:val="pl"/>
        </w:rPr>
        <w:t>funduszu gwarancyjnym banków na wypłatę środków gwarantowanych deponentom banku</w:t>
      </w:r>
      <w:r w:rsidR="00217DE7" w:rsidRPr="00816E15">
        <w:rPr>
          <w:rFonts w:cs="Times New Roman"/>
          <w:szCs w:val="24"/>
          <w:lang w:val="pl"/>
        </w:rPr>
        <w:t>, w ramach art. 56 ust. 5</w:t>
      </w:r>
      <w:r w:rsidR="00016149" w:rsidRPr="00816E15">
        <w:rPr>
          <w:rFonts w:cs="Times New Roman"/>
          <w:szCs w:val="24"/>
          <w:lang w:val="pl"/>
        </w:rPr>
        <w:t>,</w:t>
      </w:r>
      <w:r w:rsidRPr="00816E15">
        <w:rPr>
          <w:rFonts w:cs="Times New Roman"/>
          <w:szCs w:val="24"/>
          <w:lang w:val="pl"/>
        </w:rPr>
        <w:t xml:space="preserve"> </w:t>
      </w:r>
      <w:r w:rsidR="00217DE7" w:rsidRPr="00816E15">
        <w:rPr>
          <w:rFonts w:cs="Times New Roman"/>
          <w:szCs w:val="24"/>
          <w:lang w:val="pl"/>
        </w:rPr>
        <w:t>Rada Funduszu pod</w:t>
      </w:r>
      <w:r w:rsidR="00E8443D" w:rsidRPr="00816E15">
        <w:rPr>
          <w:rFonts w:cs="Times New Roman"/>
          <w:szCs w:val="24"/>
          <w:lang w:val="pl"/>
        </w:rPr>
        <w:t>ejmuje</w:t>
      </w:r>
      <w:r w:rsidR="00816E15">
        <w:rPr>
          <w:rFonts w:cs="Times New Roman"/>
          <w:szCs w:val="24"/>
          <w:lang w:val="pl"/>
        </w:rPr>
        <w:t xml:space="preserve"> </w:t>
      </w:r>
      <w:r w:rsidR="00217DE7" w:rsidRPr="00816E15">
        <w:rPr>
          <w:rFonts w:cs="Times New Roman"/>
          <w:szCs w:val="24"/>
          <w:lang w:val="pl"/>
        </w:rPr>
        <w:t xml:space="preserve">decyzję o </w:t>
      </w:r>
      <w:r w:rsidRPr="00816E15">
        <w:rPr>
          <w:rFonts w:cs="Times New Roman"/>
          <w:szCs w:val="24"/>
          <w:lang w:val="pl"/>
        </w:rPr>
        <w:t>sięgnięci</w:t>
      </w:r>
      <w:r w:rsidR="00217DE7" w:rsidRPr="00816E15">
        <w:rPr>
          <w:rFonts w:cs="Times New Roman"/>
          <w:szCs w:val="24"/>
          <w:lang w:val="pl"/>
        </w:rPr>
        <w:t>u</w:t>
      </w:r>
      <w:r w:rsidRPr="00816E15">
        <w:rPr>
          <w:rFonts w:cs="Times New Roman"/>
          <w:szCs w:val="24"/>
          <w:lang w:val="pl"/>
        </w:rPr>
        <w:t xml:space="preserve"> do</w:t>
      </w:r>
      <w:r w:rsidR="00F269BC" w:rsidRPr="00816E15">
        <w:rPr>
          <w:rFonts w:cs="Times New Roman"/>
          <w:szCs w:val="24"/>
          <w:lang w:val="pl"/>
        </w:rPr>
        <w:t xml:space="preserve"> zasobów zgromadzonych na</w:t>
      </w:r>
      <w:r w:rsidRPr="00816E15">
        <w:rPr>
          <w:rFonts w:cs="Times New Roman"/>
          <w:szCs w:val="24"/>
          <w:lang w:val="pl"/>
        </w:rPr>
        <w:t xml:space="preserve"> funduszu gwarancyjn</w:t>
      </w:r>
      <w:r w:rsidR="00F269BC" w:rsidRPr="00816E15">
        <w:rPr>
          <w:rFonts w:cs="Times New Roman"/>
          <w:szCs w:val="24"/>
          <w:lang w:val="pl"/>
        </w:rPr>
        <w:t>ym</w:t>
      </w:r>
      <w:r w:rsidRPr="00816E15">
        <w:rPr>
          <w:rFonts w:cs="Times New Roman"/>
          <w:szCs w:val="24"/>
          <w:lang w:val="pl"/>
        </w:rPr>
        <w:t xml:space="preserve"> kas</w:t>
      </w:r>
      <w:r w:rsidR="002F3F55">
        <w:rPr>
          <w:rFonts w:cs="Times New Roman"/>
          <w:szCs w:val="24"/>
          <w:lang w:val="pl"/>
        </w:rPr>
        <w:t>, w</w:t>
      </w:r>
      <w:r w:rsidRPr="00816E15">
        <w:rPr>
          <w:rFonts w:cs="Times New Roman"/>
          <w:szCs w:val="24"/>
          <w:lang w:val="pl"/>
        </w:rPr>
        <w:t xml:space="preserve">tedy Fundusz może wezwać kasy do </w:t>
      </w:r>
      <w:r w:rsidR="00016149" w:rsidRPr="00816E15">
        <w:rPr>
          <w:rFonts w:cs="Times New Roman"/>
          <w:szCs w:val="24"/>
          <w:lang w:val="pl"/>
        </w:rPr>
        <w:t xml:space="preserve">dokonania </w:t>
      </w:r>
      <w:r w:rsidRPr="00816E15">
        <w:rPr>
          <w:rFonts w:cs="Times New Roman"/>
          <w:szCs w:val="24"/>
          <w:lang w:val="pl"/>
        </w:rPr>
        <w:t xml:space="preserve">wpłaty </w:t>
      </w:r>
      <w:r w:rsidR="00217DE7" w:rsidRPr="00816E15">
        <w:rPr>
          <w:rFonts w:cs="Times New Roman"/>
          <w:szCs w:val="24"/>
          <w:lang w:val="pl"/>
        </w:rPr>
        <w:t xml:space="preserve">na fundusz gwarancyjny kas </w:t>
      </w:r>
      <w:r w:rsidRPr="00816E15">
        <w:rPr>
          <w:rFonts w:cs="Times New Roman"/>
          <w:szCs w:val="24"/>
          <w:lang w:val="pl"/>
        </w:rPr>
        <w:t>środków z tytułu zobowiązań do zapłaty</w:t>
      </w:r>
      <w:r w:rsidR="00016149" w:rsidRPr="00816E15">
        <w:rPr>
          <w:rFonts w:cs="Times New Roman"/>
          <w:szCs w:val="24"/>
          <w:lang w:val="pl"/>
        </w:rPr>
        <w:t xml:space="preserve">, co ma na celu zapewnienie zachowania proporcji określonej w art. </w:t>
      </w:r>
      <w:r w:rsidR="0007634A" w:rsidRPr="00816E15">
        <w:rPr>
          <w:rFonts w:cs="Times New Roman"/>
          <w:szCs w:val="24"/>
          <w:lang w:val="pl"/>
        </w:rPr>
        <w:t xml:space="preserve">303 ust. 2 </w:t>
      </w:r>
      <w:r w:rsidR="00016149" w:rsidRPr="00816E15">
        <w:rPr>
          <w:rFonts w:cs="Times New Roman"/>
          <w:szCs w:val="24"/>
          <w:lang w:val="pl"/>
        </w:rPr>
        <w:t>tak, aby zobowiązania do zapłaty nie stanowiły więcej niż 30% funduszu gwarancyjnego kas</w:t>
      </w:r>
      <w:r w:rsidRPr="00816E15">
        <w:rPr>
          <w:rFonts w:cs="Times New Roman"/>
          <w:szCs w:val="24"/>
          <w:lang w:val="pl"/>
        </w:rPr>
        <w:t>. Analogiczn</w:t>
      </w:r>
      <w:r w:rsidR="00016149" w:rsidRPr="00816E15">
        <w:rPr>
          <w:rFonts w:cs="Times New Roman"/>
          <w:szCs w:val="24"/>
          <w:lang w:val="pl"/>
        </w:rPr>
        <w:t>y</w:t>
      </w:r>
      <w:r w:rsidR="002B3CEB" w:rsidRPr="00816E15">
        <w:rPr>
          <w:rFonts w:cs="Times New Roman"/>
          <w:szCs w:val="24"/>
          <w:lang w:val="pl"/>
        </w:rPr>
        <w:t xml:space="preserve"> mechanizm</w:t>
      </w:r>
      <w:r w:rsidRPr="00816E15">
        <w:rPr>
          <w:rFonts w:cs="Times New Roman"/>
          <w:szCs w:val="24"/>
          <w:lang w:val="pl"/>
        </w:rPr>
        <w:t xml:space="preserve"> przewidzian</w:t>
      </w:r>
      <w:r w:rsidR="00016149" w:rsidRPr="00816E15">
        <w:rPr>
          <w:rFonts w:cs="Times New Roman"/>
          <w:szCs w:val="24"/>
          <w:lang w:val="pl"/>
        </w:rPr>
        <w:t>o</w:t>
      </w:r>
      <w:r w:rsidRPr="00816E15">
        <w:rPr>
          <w:rFonts w:cs="Times New Roman"/>
          <w:szCs w:val="24"/>
          <w:lang w:val="pl"/>
        </w:rPr>
        <w:t xml:space="preserve"> w art. 57 ust. 6 w przypadku wypłat dla deponentów kas. Przepisy </w:t>
      </w:r>
      <w:r w:rsidR="00016149" w:rsidRPr="00816E15">
        <w:rPr>
          <w:rFonts w:cs="Times New Roman"/>
          <w:szCs w:val="24"/>
          <w:lang w:val="pl"/>
        </w:rPr>
        <w:t>art. 5</w:t>
      </w:r>
      <w:r w:rsidR="0007634A" w:rsidRPr="00816E15">
        <w:rPr>
          <w:rFonts w:cs="Times New Roman"/>
          <w:szCs w:val="24"/>
          <w:lang w:val="pl"/>
        </w:rPr>
        <w:t>6 ust. 6 i art. 57 ust. 6</w:t>
      </w:r>
      <w:r w:rsidR="00016149" w:rsidRPr="00816E15">
        <w:rPr>
          <w:rFonts w:cs="Times New Roman"/>
          <w:szCs w:val="24"/>
          <w:lang w:val="pl"/>
        </w:rPr>
        <w:t xml:space="preserve"> </w:t>
      </w:r>
      <w:r w:rsidRPr="00816E15">
        <w:rPr>
          <w:rFonts w:cs="Times New Roman"/>
          <w:szCs w:val="24"/>
          <w:lang w:val="pl"/>
        </w:rPr>
        <w:t xml:space="preserve">powinny więc odsyłać ,,krzyżowo”, tj. w przypadku wypłat dla deponentów banków – do </w:t>
      </w:r>
      <w:r w:rsidR="00016149" w:rsidRPr="00816E15">
        <w:rPr>
          <w:rFonts w:cs="Times New Roman"/>
          <w:szCs w:val="24"/>
          <w:lang w:val="pl"/>
        </w:rPr>
        <w:t>fundusz</w:t>
      </w:r>
      <w:r w:rsidR="002B3CEB" w:rsidRPr="00816E15">
        <w:rPr>
          <w:rFonts w:cs="Times New Roman"/>
          <w:szCs w:val="24"/>
          <w:lang w:val="pl"/>
        </w:rPr>
        <w:t>u</w:t>
      </w:r>
      <w:r w:rsidR="00016149" w:rsidRPr="00816E15">
        <w:rPr>
          <w:rFonts w:cs="Times New Roman"/>
          <w:szCs w:val="24"/>
          <w:lang w:val="pl"/>
        </w:rPr>
        <w:t xml:space="preserve"> gwarancyjnego kas i </w:t>
      </w:r>
      <w:r w:rsidR="002B3CEB" w:rsidRPr="00816E15">
        <w:rPr>
          <w:rFonts w:cs="Times New Roman"/>
          <w:szCs w:val="24"/>
          <w:lang w:val="pl"/>
        </w:rPr>
        <w:t xml:space="preserve">w związku z tym </w:t>
      </w:r>
      <w:r w:rsidRPr="00816E15">
        <w:rPr>
          <w:rFonts w:cs="Times New Roman"/>
          <w:szCs w:val="24"/>
          <w:lang w:val="pl"/>
        </w:rPr>
        <w:t xml:space="preserve">zobowiązań do zapłaty kas (art. 305 ust. 3), natomiast w przypadku deponentów kas – do </w:t>
      </w:r>
      <w:r w:rsidR="002B3CEB" w:rsidRPr="00816E15">
        <w:rPr>
          <w:rFonts w:cs="Times New Roman"/>
          <w:szCs w:val="24"/>
          <w:lang w:val="pl"/>
        </w:rPr>
        <w:t>funduszu gwarancyjnego banków i</w:t>
      </w:r>
      <w:r w:rsidR="00380F66" w:rsidRPr="00816E15">
        <w:rPr>
          <w:rFonts w:cs="Times New Roman"/>
          <w:szCs w:val="24"/>
          <w:lang w:val="pl"/>
        </w:rPr>
        <w:t> </w:t>
      </w:r>
      <w:r w:rsidR="002B3CEB" w:rsidRPr="00816E15">
        <w:rPr>
          <w:rFonts w:cs="Times New Roman"/>
          <w:szCs w:val="24"/>
          <w:lang w:val="pl"/>
        </w:rPr>
        <w:t xml:space="preserve">w związku z tym </w:t>
      </w:r>
      <w:r w:rsidRPr="00816E15">
        <w:rPr>
          <w:rFonts w:cs="Times New Roman"/>
          <w:szCs w:val="24"/>
          <w:lang w:val="pl"/>
        </w:rPr>
        <w:t xml:space="preserve">zobowiązań do zapłaty banków (art. 305 ust. 2). </w:t>
      </w:r>
      <w:r w:rsidR="009E3470" w:rsidRPr="00816E15">
        <w:rPr>
          <w:rFonts w:cs="Times New Roman"/>
          <w:szCs w:val="24"/>
          <w:lang w:val="pl"/>
        </w:rPr>
        <w:t>Korekty</w:t>
      </w:r>
      <w:r w:rsidR="002B3CEB" w:rsidRPr="00816E15">
        <w:rPr>
          <w:rFonts w:cs="Times New Roman"/>
          <w:szCs w:val="24"/>
          <w:lang w:val="pl"/>
        </w:rPr>
        <w:t xml:space="preserve"> w </w:t>
      </w:r>
      <w:r w:rsidRPr="00816E15">
        <w:rPr>
          <w:rFonts w:cs="Times New Roman"/>
          <w:szCs w:val="24"/>
          <w:lang w:val="pl"/>
        </w:rPr>
        <w:t>art. 56 ust. 6 i</w:t>
      </w:r>
      <w:r w:rsidR="00380F66" w:rsidRPr="00816E15">
        <w:rPr>
          <w:rFonts w:cs="Times New Roman"/>
          <w:szCs w:val="24"/>
          <w:lang w:val="pl"/>
        </w:rPr>
        <w:t> </w:t>
      </w:r>
      <w:r w:rsidRPr="00816E15">
        <w:rPr>
          <w:rFonts w:cs="Times New Roman"/>
          <w:szCs w:val="24"/>
          <w:lang w:val="pl"/>
        </w:rPr>
        <w:t xml:space="preserve">art. 57 ust. 6 </w:t>
      </w:r>
      <w:r w:rsidR="009E3470" w:rsidRPr="00816E15">
        <w:rPr>
          <w:rFonts w:cs="Times New Roman"/>
          <w:szCs w:val="24"/>
          <w:lang w:val="pl"/>
        </w:rPr>
        <w:t>są niezbędne</w:t>
      </w:r>
      <w:r w:rsidR="002B3CEB" w:rsidRPr="00816E15">
        <w:rPr>
          <w:rFonts w:cs="Times New Roman"/>
          <w:szCs w:val="24"/>
          <w:lang w:val="pl"/>
        </w:rPr>
        <w:t xml:space="preserve">, ponieważ </w:t>
      </w:r>
      <w:r w:rsidRPr="00816E15">
        <w:rPr>
          <w:rFonts w:cs="Times New Roman"/>
          <w:szCs w:val="24"/>
          <w:lang w:val="pl"/>
        </w:rPr>
        <w:t xml:space="preserve">w obecnym brzmieniu </w:t>
      </w:r>
      <w:r w:rsidR="002B3CEB" w:rsidRPr="00816E15">
        <w:rPr>
          <w:rFonts w:cs="Times New Roman"/>
          <w:szCs w:val="24"/>
          <w:lang w:val="pl"/>
        </w:rPr>
        <w:t xml:space="preserve">przepisy te </w:t>
      </w:r>
      <w:r w:rsidRPr="00816E15">
        <w:rPr>
          <w:rFonts w:cs="Times New Roman"/>
          <w:szCs w:val="24"/>
          <w:lang w:val="pl"/>
        </w:rPr>
        <w:t xml:space="preserve">nie spełniają </w:t>
      </w:r>
      <w:r w:rsidR="002B3CEB" w:rsidRPr="00816E15">
        <w:rPr>
          <w:rFonts w:cs="Times New Roman"/>
          <w:szCs w:val="24"/>
          <w:lang w:val="pl"/>
        </w:rPr>
        <w:t>zamierzonego</w:t>
      </w:r>
      <w:r w:rsidRPr="00816E15">
        <w:rPr>
          <w:rFonts w:cs="Times New Roman"/>
          <w:szCs w:val="24"/>
          <w:lang w:val="pl"/>
        </w:rPr>
        <w:t xml:space="preserve"> celu</w:t>
      </w:r>
      <w:r w:rsidR="002B3CEB" w:rsidRPr="00816E15">
        <w:rPr>
          <w:rFonts w:cs="Times New Roman"/>
          <w:szCs w:val="24"/>
          <w:lang w:val="pl"/>
        </w:rPr>
        <w:t xml:space="preserve"> i</w:t>
      </w:r>
      <w:r w:rsidRPr="00816E15">
        <w:rPr>
          <w:rFonts w:cs="Times New Roman"/>
          <w:szCs w:val="24"/>
          <w:lang w:val="pl"/>
        </w:rPr>
        <w:t xml:space="preserve"> de facto stanowią</w:t>
      </w:r>
      <w:r w:rsidR="002B3CEB" w:rsidRPr="00816E15">
        <w:rPr>
          <w:rFonts w:cs="Times New Roman"/>
          <w:szCs w:val="24"/>
          <w:lang w:val="pl"/>
        </w:rPr>
        <w:t xml:space="preserve"> jedynie</w:t>
      </w:r>
      <w:r w:rsidRPr="00816E15">
        <w:rPr>
          <w:rFonts w:cs="Times New Roman"/>
          <w:szCs w:val="24"/>
          <w:lang w:val="pl"/>
        </w:rPr>
        <w:t xml:space="preserve"> powtórzenie przepisów odpowiednio art. 56 ust. 1 i art. 57 ust. 1.</w:t>
      </w:r>
    </w:p>
    <w:p w14:paraId="2618F0A4" w14:textId="1251B2AF" w:rsidR="00C10623" w:rsidRPr="00816E15" w:rsidRDefault="00362014" w:rsidP="00CF5AAF">
      <w:pPr>
        <w:spacing w:line="360" w:lineRule="auto"/>
        <w:jc w:val="both"/>
        <w:rPr>
          <w:w w:val="105"/>
          <w:szCs w:val="24"/>
        </w:rPr>
      </w:pPr>
      <w:r w:rsidRPr="00816E15">
        <w:rPr>
          <w:rFonts w:cs="Times New Roman"/>
          <w:szCs w:val="24"/>
          <w:lang w:val="pl"/>
        </w:rPr>
        <w:t xml:space="preserve">Wprowadzenie </w:t>
      </w:r>
      <w:r w:rsidRPr="00816E15">
        <w:rPr>
          <w:rFonts w:cs="Times New Roman"/>
          <w:b/>
          <w:szCs w:val="24"/>
          <w:lang w:val="pl"/>
        </w:rPr>
        <w:t>ust. 3</w:t>
      </w:r>
      <w:r w:rsidRPr="00816E15">
        <w:rPr>
          <w:rFonts w:cs="Times New Roman"/>
          <w:szCs w:val="24"/>
          <w:lang w:val="pl"/>
        </w:rPr>
        <w:t xml:space="preserve"> w </w:t>
      </w:r>
      <w:r w:rsidRPr="00816E15">
        <w:rPr>
          <w:b/>
          <w:szCs w:val="24"/>
        </w:rPr>
        <w:t xml:space="preserve">art. 73 </w:t>
      </w:r>
      <w:r w:rsidRPr="00816E15">
        <w:rPr>
          <w:szCs w:val="24"/>
        </w:rPr>
        <w:t>oraz</w:t>
      </w:r>
      <w:r w:rsidRPr="00816E15">
        <w:rPr>
          <w:b/>
          <w:szCs w:val="24"/>
        </w:rPr>
        <w:t xml:space="preserve"> ust. 2a w art. 97</w:t>
      </w:r>
      <w:r w:rsidR="002F3F55" w:rsidRPr="002F3F55">
        <w:rPr>
          <w:szCs w:val="24"/>
        </w:rPr>
        <w:t>,</w:t>
      </w:r>
      <w:r w:rsidRPr="002F3F55">
        <w:rPr>
          <w:szCs w:val="24"/>
        </w:rPr>
        <w:t xml:space="preserve"> </w:t>
      </w:r>
      <w:r w:rsidRPr="00816E15">
        <w:rPr>
          <w:szCs w:val="24"/>
        </w:rPr>
        <w:t>a także korespondujące zmiany w</w:t>
      </w:r>
      <w:r w:rsidR="00816E15" w:rsidRPr="00816E15">
        <w:rPr>
          <w:b/>
          <w:szCs w:val="24"/>
        </w:rPr>
        <w:t xml:space="preserve"> art. </w:t>
      </w:r>
      <w:r w:rsidRPr="00816E15">
        <w:rPr>
          <w:b/>
          <w:szCs w:val="24"/>
        </w:rPr>
        <w:t xml:space="preserve">91 ust. 1, 4, 6 i 7, </w:t>
      </w:r>
      <w:r w:rsidRPr="00816E15">
        <w:rPr>
          <w:szCs w:val="24"/>
        </w:rPr>
        <w:t>w</w:t>
      </w:r>
      <w:r w:rsidRPr="00816E15">
        <w:rPr>
          <w:b/>
          <w:szCs w:val="24"/>
        </w:rPr>
        <w:t xml:space="preserve"> art. 92 ust. 1 </w:t>
      </w:r>
      <w:r w:rsidRPr="00816E15">
        <w:rPr>
          <w:szCs w:val="24"/>
        </w:rPr>
        <w:t>oraz w</w:t>
      </w:r>
      <w:r w:rsidRPr="00816E15">
        <w:rPr>
          <w:b/>
          <w:szCs w:val="24"/>
        </w:rPr>
        <w:t xml:space="preserve"> art. 97 ust. 13 </w:t>
      </w:r>
      <w:r w:rsidR="00C10623" w:rsidRPr="00816E15">
        <w:rPr>
          <w:w w:val="105"/>
          <w:szCs w:val="24"/>
        </w:rPr>
        <w:t>ma</w:t>
      </w:r>
      <w:r w:rsidRPr="00816E15">
        <w:rPr>
          <w:w w:val="105"/>
          <w:szCs w:val="24"/>
        </w:rPr>
        <w:t>ją</w:t>
      </w:r>
      <w:r w:rsidR="00C10623" w:rsidRPr="00816E15">
        <w:rPr>
          <w:w w:val="105"/>
          <w:szCs w:val="24"/>
        </w:rPr>
        <w:t xml:space="preserve"> na celu usprawnienie oraz przyspieszenie procesu przyjmowania i aktualizacji planów przymusowej restrukturyzacji. Wprowadzenie </w:t>
      </w:r>
      <w:r w:rsidRPr="00816E15">
        <w:rPr>
          <w:w w:val="105"/>
          <w:szCs w:val="24"/>
        </w:rPr>
        <w:t>trzydziesto</w:t>
      </w:r>
      <w:r w:rsidR="00C10623" w:rsidRPr="00816E15">
        <w:rPr>
          <w:w w:val="105"/>
          <w:szCs w:val="24"/>
        </w:rPr>
        <w:t xml:space="preserve">dniowego terminu na sporządzenie opinii przez Komisję Nadzoru Finansowego pozwala na przyjmowanie i aktualizację planów przymusowej restrukturyzacji bez obawy naruszenia ustawowych terminów. </w:t>
      </w:r>
    </w:p>
    <w:p w14:paraId="7C75B38D" w14:textId="40377C29" w:rsidR="004B3B89" w:rsidRPr="00816E15" w:rsidRDefault="00AD5188" w:rsidP="00CF5AAF">
      <w:pPr>
        <w:spacing w:line="360" w:lineRule="auto"/>
        <w:jc w:val="both"/>
        <w:rPr>
          <w:color w:val="000000"/>
          <w:szCs w:val="24"/>
          <w:lang w:eastAsia="pl-PL"/>
        </w:rPr>
      </w:pPr>
      <w:r w:rsidRPr="00816E15">
        <w:rPr>
          <w:w w:val="105"/>
          <w:szCs w:val="24"/>
        </w:rPr>
        <w:t xml:space="preserve">Zmiana w </w:t>
      </w:r>
      <w:r w:rsidRPr="00816E15">
        <w:rPr>
          <w:b/>
          <w:w w:val="105"/>
          <w:szCs w:val="24"/>
        </w:rPr>
        <w:t xml:space="preserve">art. 77 ust. 7 </w:t>
      </w:r>
      <w:r w:rsidRPr="00816E15">
        <w:rPr>
          <w:w w:val="105"/>
          <w:szCs w:val="24"/>
        </w:rPr>
        <w:t xml:space="preserve">ma na celu zapewnić Funduszowi </w:t>
      </w:r>
      <w:r w:rsidR="00121C0B" w:rsidRPr="00816E15">
        <w:rPr>
          <w:w w:val="105"/>
          <w:szCs w:val="24"/>
        </w:rPr>
        <w:t xml:space="preserve">możliwość </w:t>
      </w:r>
      <w:r w:rsidRPr="00816E15">
        <w:rPr>
          <w:color w:val="000000"/>
          <w:w w:val="105"/>
          <w:szCs w:val="24"/>
        </w:rPr>
        <w:t>przystąpienia do procedury przyjęcia grupowego planu przymusowej restrukturyzacji w drodze tzw. wspólnej decyzji</w:t>
      </w:r>
      <w:r w:rsidR="002F3F55">
        <w:rPr>
          <w:color w:val="000000"/>
          <w:w w:val="105"/>
          <w:szCs w:val="24"/>
        </w:rPr>
        <w:t>,</w:t>
      </w:r>
      <w:r w:rsidRPr="00816E15">
        <w:rPr>
          <w:color w:val="000000"/>
          <w:w w:val="105"/>
          <w:szCs w:val="24"/>
        </w:rPr>
        <w:t xml:space="preserve"> w sytuacji</w:t>
      </w:r>
      <w:r w:rsidR="00121C0B" w:rsidRPr="00816E15">
        <w:rPr>
          <w:color w:val="000000"/>
          <w:w w:val="105"/>
          <w:szCs w:val="24"/>
        </w:rPr>
        <w:t xml:space="preserve"> </w:t>
      </w:r>
      <w:r w:rsidRPr="00816E15">
        <w:rPr>
          <w:color w:val="000000"/>
          <w:w w:val="105"/>
          <w:szCs w:val="24"/>
        </w:rPr>
        <w:t>gdy podmiotem zależnym jest podmiot będący podmiotem znaczącym. W konsekwencji proponowanych zmian Fundusz będzie miał także możliwoś</w:t>
      </w:r>
      <w:r w:rsidR="00121C0B" w:rsidRPr="00816E15">
        <w:rPr>
          <w:color w:val="000000"/>
          <w:w w:val="105"/>
          <w:szCs w:val="24"/>
        </w:rPr>
        <w:t xml:space="preserve">ć </w:t>
      </w:r>
      <w:r w:rsidRPr="00816E15">
        <w:rPr>
          <w:color w:val="000000"/>
          <w:w w:val="105"/>
          <w:szCs w:val="24"/>
        </w:rPr>
        <w:t xml:space="preserve">opracowania indywidualnego planu przymusowej restrukturyzacji dla zależnego podmiotu krajowego będącego podmiotem znaczącym, niezależnie od procedury określonej w art. 77 ust. 2. </w:t>
      </w:r>
      <w:r w:rsidR="008A2582" w:rsidRPr="00816E15">
        <w:rPr>
          <w:color w:val="000000"/>
          <w:szCs w:val="24"/>
          <w:lang w:eastAsia="pl-PL"/>
        </w:rPr>
        <w:t>O</w:t>
      </w:r>
      <w:r w:rsidRPr="00816E15">
        <w:rPr>
          <w:color w:val="000000"/>
          <w:szCs w:val="24"/>
          <w:lang w:eastAsia="pl-PL"/>
        </w:rPr>
        <w:t xml:space="preserve">becne brzmienie tego przepisu wyklucza </w:t>
      </w:r>
      <w:r w:rsidR="008A2582" w:rsidRPr="00816E15">
        <w:rPr>
          <w:color w:val="000000"/>
          <w:szCs w:val="24"/>
          <w:lang w:eastAsia="pl-PL"/>
        </w:rPr>
        <w:t xml:space="preserve">bowiem </w:t>
      </w:r>
      <w:r w:rsidRPr="00816E15">
        <w:rPr>
          <w:color w:val="000000"/>
          <w:szCs w:val="24"/>
          <w:lang w:eastAsia="pl-PL"/>
        </w:rPr>
        <w:t>możliwość przystąpienia Funduszu do wspólnej decyzji</w:t>
      </w:r>
      <w:r w:rsidR="002F3F55">
        <w:rPr>
          <w:color w:val="000000"/>
          <w:szCs w:val="24"/>
          <w:lang w:eastAsia="pl-PL"/>
        </w:rPr>
        <w:t>,</w:t>
      </w:r>
      <w:r w:rsidRPr="00816E15">
        <w:rPr>
          <w:color w:val="000000"/>
          <w:szCs w:val="24"/>
          <w:lang w:eastAsia="pl-PL"/>
        </w:rPr>
        <w:t xml:space="preserve"> w przypadku gdy podmiot krajowy wchodzący w skład grupy jest podmiotem znaczącym</w:t>
      </w:r>
      <w:r w:rsidR="00F4113A" w:rsidRPr="00816E15">
        <w:rPr>
          <w:color w:val="000000"/>
          <w:szCs w:val="24"/>
          <w:lang w:eastAsia="pl-PL"/>
        </w:rPr>
        <w:t>.</w:t>
      </w:r>
      <w:r w:rsidRPr="00816E15">
        <w:rPr>
          <w:color w:val="000000"/>
          <w:szCs w:val="24"/>
          <w:lang w:eastAsia="pl-PL"/>
        </w:rPr>
        <w:t xml:space="preserve"> </w:t>
      </w:r>
    </w:p>
    <w:p w14:paraId="398445A6" w14:textId="4D345FD0" w:rsidR="004F745B" w:rsidRPr="00816E15" w:rsidRDefault="009F0A88" w:rsidP="00CF5AAF">
      <w:pPr>
        <w:spacing w:line="360" w:lineRule="auto"/>
        <w:jc w:val="both"/>
        <w:rPr>
          <w:szCs w:val="24"/>
        </w:rPr>
      </w:pPr>
      <w:r w:rsidRPr="00816E15">
        <w:rPr>
          <w:w w:val="105"/>
          <w:szCs w:val="24"/>
        </w:rPr>
        <w:t>Dodanie</w:t>
      </w:r>
      <w:r w:rsidR="004B3C28" w:rsidRPr="00816E15">
        <w:rPr>
          <w:w w:val="105"/>
          <w:szCs w:val="24"/>
        </w:rPr>
        <w:t xml:space="preserve"> w </w:t>
      </w:r>
      <w:r w:rsidR="004B3C28" w:rsidRPr="00816E15">
        <w:rPr>
          <w:b/>
          <w:w w:val="105"/>
          <w:szCs w:val="24"/>
        </w:rPr>
        <w:t xml:space="preserve">art. 79 ust. 1a </w:t>
      </w:r>
      <w:r w:rsidR="004B3C28" w:rsidRPr="00816E15">
        <w:rPr>
          <w:w w:val="105"/>
          <w:szCs w:val="24"/>
        </w:rPr>
        <w:t>(podobne zmiany w art. 95 ust. 6a, art. 335 ust. 1a</w:t>
      </w:r>
      <w:r w:rsidR="00740FC7" w:rsidRPr="00816E15">
        <w:rPr>
          <w:w w:val="105"/>
          <w:szCs w:val="24"/>
        </w:rPr>
        <w:t xml:space="preserve"> i 2a</w:t>
      </w:r>
      <w:r w:rsidR="00816E15" w:rsidRPr="00816E15">
        <w:rPr>
          <w:w w:val="105"/>
          <w:szCs w:val="24"/>
        </w:rPr>
        <w:t>, art. 336 ust. </w:t>
      </w:r>
      <w:r w:rsidR="004B3B89" w:rsidRPr="00816E15">
        <w:rPr>
          <w:w w:val="105"/>
          <w:szCs w:val="24"/>
        </w:rPr>
        <w:t>3</w:t>
      </w:r>
      <w:r w:rsidR="0048127A" w:rsidRPr="00816E15">
        <w:rPr>
          <w:w w:val="105"/>
          <w:szCs w:val="24"/>
        </w:rPr>
        <w:t xml:space="preserve"> oraz </w:t>
      </w:r>
      <w:r w:rsidR="004B3C28" w:rsidRPr="00816E15">
        <w:rPr>
          <w:w w:val="105"/>
          <w:szCs w:val="24"/>
        </w:rPr>
        <w:t>art. 338</w:t>
      </w:r>
      <w:r w:rsidR="00622C80" w:rsidRPr="00816E15">
        <w:rPr>
          <w:w w:val="105"/>
          <w:szCs w:val="24"/>
        </w:rPr>
        <w:t xml:space="preserve"> ust. 1a</w:t>
      </w:r>
      <w:r w:rsidR="004B3C28" w:rsidRPr="00816E15">
        <w:rPr>
          <w:w w:val="105"/>
          <w:szCs w:val="24"/>
        </w:rPr>
        <w:t>)</w:t>
      </w:r>
      <w:r w:rsidR="004B3C28" w:rsidRPr="00816E15">
        <w:rPr>
          <w:b/>
          <w:w w:val="105"/>
          <w:szCs w:val="24"/>
        </w:rPr>
        <w:t xml:space="preserve"> </w:t>
      </w:r>
      <w:r w:rsidR="004B3C28" w:rsidRPr="00816E15">
        <w:rPr>
          <w:w w:val="105"/>
          <w:szCs w:val="24"/>
        </w:rPr>
        <w:t xml:space="preserve">ma na celu </w:t>
      </w:r>
      <w:r w:rsidR="004B06AB" w:rsidRPr="00816E15">
        <w:rPr>
          <w:w w:val="105"/>
          <w:szCs w:val="24"/>
        </w:rPr>
        <w:t>uzupełnienie implementacji</w:t>
      </w:r>
      <w:r w:rsidR="004B3C28" w:rsidRPr="00816E15">
        <w:rPr>
          <w:w w:val="105"/>
          <w:szCs w:val="24"/>
        </w:rPr>
        <w:t xml:space="preserve"> art</w:t>
      </w:r>
      <w:r w:rsidR="00622C80" w:rsidRPr="00816E15">
        <w:rPr>
          <w:w w:val="105"/>
          <w:szCs w:val="24"/>
        </w:rPr>
        <w:t xml:space="preserve">. 111 ust. 2 </w:t>
      </w:r>
      <w:r w:rsidR="00723542">
        <w:rPr>
          <w:w w:val="105"/>
          <w:szCs w:val="24"/>
        </w:rPr>
        <w:t>lit.</w:t>
      </w:r>
      <w:r w:rsidR="00622C80" w:rsidRPr="00816E15">
        <w:rPr>
          <w:w w:val="105"/>
          <w:szCs w:val="24"/>
        </w:rPr>
        <w:t xml:space="preserve"> f dyrektywy BRR</w:t>
      </w:r>
      <w:r w:rsidR="008A2582" w:rsidRPr="00816E15">
        <w:rPr>
          <w:w w:val="105"/>
          <w:szCs w:val="24"/>
        </w:rPr>
        <w:t xml:space="preserve"> </w:t>
      </w:r>
      <w:r w:rsidR="00B47EB8" w:rsidRPr="00816E15">
        <w:rPr>
          <w:w w:val="105"/>
          <w:szCs w:val="24"/>
        </w:rPr>
        <w:t>przez zapewnienie możliwości nałożenia przez Fundusz kary pieniężnej w wysokości dwukrotności uzyskanych korzyści, w</w:t>
      </w:r>
      <w:r w:rsidR="004B3C28" w:rsidRPr="00816E15">
        <w:rPr>
          <w:w w:val="105"/>
          <w:szCs w:val="24"/>
        </w:rPr>
        <w:t xml:space="preserve"> przypadku </w:t>
      </w:r>
      <w:r w:rsidR="004B3C28" w:rsidRPr="00816E15">
        <w:rPr>
          <w:szCs w:val="24"/>
        </w:rPr>
        <w:t>nieprzekazania informacji lub niewykonania obowiązków</w:t>
      </w:r>
      <w:r w:rsidR="00F020B5" w:rsidRPr="00816E15">
        <w:rPr>
          <w:szCs w:val="24"/>
        </w:rPr>
        <w:t xml:space="preserve"> przez </w:t>
      </w:r>
      <w:r w:rsidR="00D77785" w:rsidRPr="00816E15">
        <w:rPr>
          <w:szCs w:val="24"/>
        </w:rPr>
        <w:t>podmiot krajowy, o któ</w:t>
      </w:r>
      <w:r w:rsidR="004B3C28" w:rsidRPr="00816E15">
        <w:rPr>
          <w:szCs w:val="24"/>
        </w:rPr>
        <w:t>rych mowa w ust. 1</w:t>
      </w:r>
      <w:r w:rsidR="008A2582" w:rsidRPr="00816E15">
        <w:rPr>
          <w:szCs w:val="24"/>
        </w:rPr>
        <w:t xml:space="preserve"> tego artykułu</w:t>
      </w:r>
      <w:r w:rsidR="009E4894" w:rsidRPr="00816E15">
        <w:rPr>
          <w:szCs w:val="24"/>
        </w:rPr>
        <w:t xml:space="preserve">. </w:t>
      </w:r>
      <w:r w:rsidR="004B3C28" w:rsidRPr="00816E15">
        <w:rPr>
          <w:szCs w:val="24"/>
        </w:rPr>
        <w:t xml:space="preserve">Warunkiem zastosowania sankcji </w:t>
      </w:r>
      <w:r w:rsidR="008A2582" w:rsidRPr="00816E15">
        <w:rPr>
          <w:szCs w:val="24"/>
        </w:rPr>
        <w:t xml:space="preserve">będzie </w:t>
      </w:r>
      <w:r w:rsidR="00B47EB8" w:rsidRPr="00816E15">
        <w:rPr>
          <w:szCs w:val="24"/>
        </w:rPr>
        <w:t>ustaleni</w:t>
      </w:r>
      <w:r w:rsidR="008A2582" w:rsidRPr="00816E15">
        <w:rPr>
          <w:szCs w:val="24"/>
        </w:rPr>
        <w:t>e</w:t>
      </w:r>
      <w:r w:rsidR="00B47EB8" w:rsidRPr="00816E15">
        <w:rPr>
          <w:szCs w:val="24"/>
        </w:rPr>
        <w:t xml:space="preserve"> kwoty korzyści</w:t>
      </w:r>
      <w:r w:rsidR="008A2582" w:rsidRPr="00816E15">
        <w:rPr>
          <w:szCs w:val="24"/>
        </w:rPr>
        <w:t xml:space="preserve"> p</w:t>
      </w:r>
      <w:r w:rsidR="00B47EB8" w:rsidRPr="00816E15">
        <w:rPr>
          <w:szCs w:val="24"/>
        </w:rPr>
        <w:t>rzez</w:t>
      </w:r>
      <w:r w:rsidR="009E4894" w:rsidRPr="00816E15">
        <w:rPr>
          <w:szCs w:val="24"/>
        </w:rPr>
        <w:t xml:space="preserve"> </w:t>
      </w:r>
      <w:r w:rsidR="008A2582" w:rsidRPr="00816E15">
        <w:rPr>
          <w:szCs w:val="24"/>
        </w:rPr>
        <w:t xml:space="preserve">zastosowanie </w:t>
      </w:r>
      <w:r w:rsidR="009E4894" w:rsidRPr="00816E15">
        <w:rPr>
          <w:szCs w:val="24"/>
        </w:rPr>
        <w:t>adekwatn</w:t>
      </w:r>
      <w:r w:rsidR="008A2582" w:rsidRPr="00816E15">
        <w:rPr>
          <w:szCs w:val="24"/>
        </w:rPr>
        <w:t xml:space="preserve">ych </w:t>
      </w:r>
      <w:r w:rsidR="009E4894" w:rsidRPr="00816E15">
        <w:rPr>
          <w:szCs w:val="24"/>
        </w:rPr>
        <w:t>narzędzi</w:t>
      </w:r>
      <w:r w:rsidR="008A2582" w:rsidRPr="00816E15">
        <w:rPr>
          <w:szCs w:val="24"/>
        </w:rPr>
        <w:t xml:space="preserve">, np. </w:t>
      </w:r>
      <w:r w:rsidR="004F745B" w:rsidRPr="00816E15">
        <w:rPr>
          <w:szCs w:val="24"/>
        </w:rPr>
        <w:t>metody analizy finansowej.</w:t>
      </w:r>
      <w:r w:rsidR="00F32681" w:rsidRPr="00816E15">
        <w:rPr>
          <w:szCs w:val="24"/>
        </w:rPr>
        <w:t xml:space="preserve"> </w:t>
      </w:r>
      <w:r w:rsidR="0002613B" w:rsidRPr="00816E15">
        <w:rPr>
          <w:szCs w:val="24"/>
        </w:rPr>
        <w:t>Określenie</w:t>
      </w:r>
      <w:r w:rsidR="00483706" w:rsidRPr="00816E15">
        <w:rPr>
          <w:szCs w:val="24"/>
        </w:rPr>
        <w:t xml:space="preserve"> wysokości kary </w:t>
      </w:r>
      <w:r w:rsidR="0002613B" w:rsidRPr="00816E15">
        <w:rPr>
          <w:szCs w:val="24"/>
        </w:rPr>
        <w:t xml:space="preserve">pieniężnej </w:t>
      </w:r>
      <w:r w:rsidR="00483706" w:rsidRPr="00816E15">
        <w:rPr>
          <w:szCs w:val="24"/>
        </w:rPr>
        <w:t xml:space="preserve">będzie następowało na zasadach i w trybie przewidzianych w dziale IVa ustawy z </w:t>
      </w:r>
      <w:r w:rsidR="00825EEE" w:rsidRPr="00816E15">
        <w:rPr>
          <w:szCs w:val="24"/>
        </w:rPr>
        <w:t xml:space="preserve">dnia </w:t>
      </w:r>
      <w:r w:rsidR="00483706" w:rsidRPr="00816E15">
        <w:rPr>
          <w:szCs w:val="24"/>
        </w:rPr>
        <w:t>14</w:t>
      </w:r>
      <w:r w:rsidR="00816E15" w:rsidRPr="00816E15">
        <w:rPr>
          <w:szCs w:val="24"/>
        </w:rPr>
        <w:t> </w:t>
      </w:r>
      <w:r w:rsidR="00483706" w:rsidRPr="00816E15">
        <w:rPr>
          <w:szCs w:val="24"/>
        </w:rPr>
        <w:t>czerwca 1960 r. – Kodeks postępowania administracyjnego (Dz.</w:t>
      </w:r>
      <w:r w:rsidR="00825EEE" w:rsidRPr="00816E15">
        <w:rPr>
          <w:szCs w:val="24"/>
        </w:rPr>
        <w:t xml:space="preserve"> </w:t>
      </w:r>
      <w:r w:rsidR="00483706" w:rsidRPr="00816E15">
        <w:rPr>
          <w:szCs w:val="24"/>
        </w:rPr>
        <w:t>U. z 201</w:t>
      </w:r>
      <w:r w:rsidR="0002613B" w:rsidRPr="00816E15">
        <w:rPr>
          <w:szCs w:val="24"/>
        </w:rPr>
        <w:t>7</w:t>
      </w:r>
      <w:r w:rsidR="00483706" w:rsidRPr="00816E15">
        <w:rPr>
          <w:szCs w:val="24"/>
        </w:rPr>
        <w:t xml:space="preserve"> r. poz. </w:t>
      </w:r>
      <w:r w:rsidR="0002613B" w:rsidRPr="00816E15">
        <w:rPr>
          <w:szCs w:val="24"/>
        </w:rPr>
        <w:t>1257</w:t>
      </w:r>
      <w:r w:rsidR="00825EEE" w:rsidRPr="00816E15">
        <w:rPr>
          <w:szCs w:val="24"/>
        </w:rPr>
        <w:t xml:space="preserve">, </w:t>
      </w:r>
      <w:r w:rsidR="00483706" w:rsidRPr="00816E15">
        <w:rPr>
          <w:szCs w:val="24"/>
        </w:rPr>
        <w:t>z</w:t>
      </w:r>
      <w:r w:rsidR="00825EEE" w:rsidRPr="00816E15">
        <w:rPr>
          <w:szCs w:val="24"/>
        </w:rPr>
        <w:t xml:space="preserve"> późn. </w:t>
      </w:r>
      <w:r w:rsidR="00483706" w:rsidRPr="00816E15">
        <w:rPr>
          <w:szCs w:val="24"/>
        </w:rPr>
        <w:t>zm.</w:t>
      </w:r>
      <w:r w:rsidR="00825EEE" w:rsidRPr="00816E15">
        <w:rPr>
          <w:szCs w:val="24"/>
        </w:rPr>
        <w:t>)</w:t>
      </w:r>
      <w:r w:rsidR="00483706" w:rsidRPr="00816E15">
        <w:rPr>
          <w:szCs w:val="24"/>
        </w:rPr>
        <w:t>.</w:t>
      </w:r>
    </w:p>
    <w:p w14:paraId="21ABC890" w14:textId="57DCE171" w:rsidR="00C10623" w:rsidRPr="00816E15" w:rsidRDefault="00C10623" w:rsidP="00CF5AAF">
      <w:pPr>
        <w:spacing w:line="360" w:lineRule="auto"/>
        <w:jc w:val="both"/>
        <w:rPr>
          <w:w w:val="105"/>
          <w:szCs w:val="24"/>
        </w:rPr>
      </w:pPr>
      <w:r w:rsidRPr="00816E15">
        <w:rPr>
          <w:szCs w:val="24"/>
        </w:rPr>
        <w:t xml:space="preserve">Zmiana w </w:t>
      </w:r>
      <w:r w:rsidRPr="00816E15">
        <w:rPr>
          <w:b/>
          <w:szCs w:val="24"/>
        </w:rPr>
        <w:t xml:space="preserve">art. 86 ust. </w:t>
      </w:r>
      <w:r w:rsidR="00362014" w:rsidRPr="00816E15">
        <w:rPr>
          <w:b/>
          <w:szCs w:val="24"/>
        </w:rPr>
        <w:t>2</w:t>
      </w:r>
      <w:r w:rsidRPr="00816E15">
        <w:rPr>
          <w:b/>
          <w:szCs w:val="24"/>
        </w:rPr>
        <w:t xml:space="preserve"> </w:t>
      </w:r>
      <w:r w:rsidRPr="00816E15">
        <w:rPr>
          <w:szCs w:val="24"/>
        </w:rPr>
        <w:t>ma na celu</w:t>
      </w:r>
      <w:r w:rsidRPr="00816E15">
        <w:rPr>
          <w:w w:val="105"/>
          <w:szCs w:val="24"/>
        </w:rPr>
        <w:t xml:space="preserve"> zapewnienie w pełni prawidłowej </w:t>
      </w:r>
      <w:r w:rsidR="00816E15" w:rsidRPr="00816E15">
        <w:rPr>
          <w:w w:val="105"/>
          <w:szCs w:val="24"/>
        </w:rPr>
        <w:t>implementacji art. </w:t>
      </w:r>
      <w:r w:rsidRPr="00816E15">
        <w:rPr>
          <w:w w:val="105"/>
          <w:szCs w:val="24"/>
        </w:rPr>
        <w:t xml:space="preserve">13 ust. 1 </w:t>
      </w:r>
      <w:r w:rsidR="00FA4E7A" w:rsidRPr="00816E15">
        <w:rPr>
          <w:w w:val="105"/>
          <w:szCs w:val="24"/>
        </w:rPr>
        <w:t xml:space="preserve">dyrektywy </w:t>
      </w:r>
      <w:r w:rsidRPr="00816E15">
        <w:rPr>
          <w:w w:val="105"/>
          <w:szCs w:val="24"/>
        </w:rPr>
        <w:t xml:space="preserve">BRR i doprecyzowanie zakresu informacji przekazywanych innym organom (katalog podmiotowy bez zmian) oraz zwiększenie transparentności przepisu. Zgodnie z art. 13 ust. 1 </w:t>
      </w:r>
      <w:r w:rsidR="00FA4E7A" w:rsidRPr="00816E15">
        <w:rPr>
          <w:w w:val="105"/>
          <w:szCs w:val="24"/>
        </w:rPr>
        <w:t xml:space="preserve">dyrektywy </w:t>
      </w:r>
      <w:r w:rsidRPr="00816E15">
        <w:rPr>
          <w:w w:val="105"/>
          <w:szCs w:val="24"/>
        </w:rPr>
        <w:t>BRR: „Unijne jednostki dominujące przedkładają grupowemu organowi ds. restrukturyzacji i uporządkowanej likwidacji informacje, które mogą być wymagane zgodnie z art. 11. Informacje te dotyczą unijnej jednostki dominującej oraz w wymaganym stopniu każdego z podmiotów powiązanych,</w:t>
      </w:r>
      <w:r w:rsidRPr="00816E15">
        <w:rPr>
          <w:b/>
          <w:w w:val="105"/>
          <w:szCs w:val="24"/>
        </w:rPr>
        <w:t xml:space="preserve"> </w:t>
      </w:r>
      <w:r w:rsidRPr="00816E15">
        <w:rPr>
          <w:w w:val="105"/>
          <w:szCs w:val="24"/>
        </w:rPr>
        <w:t>w tym podmiotów, o których mowa w art. 1 ust. 1 lit c) i d)</w:t>
      </w:r>
      <w:r w:rsidR="00937952" w:rsidRPr="00816E15">
        <w:rPr>
          <w:w w:val="105"/>
          <w:szCs w:val="24"/>
        </w:rPr>
        <w:t xml:space="preserve">”. </w:t>
      </w:r>
      <w:r w:rsidR="00362014" w:rsidRPr="00816E15">
        <w:rPr>
          <w:w w:val="105"/>
          <w:szCs w:val="24"/>
        </w:rPr>
        <w:t>Dotychczas przepis pozwalał na przekazywanie jedynie informacji bezpośrednio dotyczących podmiotu dominującego. Dodatkowo</w:t>
      </w:r>
      <w:r w:rsidR="003C7177" w:rsidRPr="00816E15">
        <w:rPr>
          <w:w w:val="105"/>
          <w:szCs w:val="24"/>
        </w:rPr>
        <w:t xml:space="preserve"> </w:t>
      </w:r>
      <w:r w:rsidR="00362014" w:rsidRPr="00816E15">
        <w:rPr>
          <w:w w:val="105"/>
          <w:szCs w:val="24"/>
        </w:rPr>
        <w:t>zmiana w</w:t>
      </w:r>
      <w:r w:rsidR="00A01BD3" w:rsidRPr="00816E15">
        <w:rPr>
          <w:w w:val="105"/>
          <w:szCs w:val="24"/>
        </w:rPr>
        <w:t>e wprowadzeniu do wyliczenia w</w:t>
      </w:r>
      <w:r w:rsidR="00362014" w:rsidRPr="00816E15">
        <w:rPr>
          <w:w w:val="105"/>
          <w:szCs w:val="24"/>
        </w:rPr>
        <w:t xml:space="preserve"> </w:t>
      </w:r>
      <w:r w:rsidR="00362014" w:rsidRPr="00816E15">
        <w:rPr>
          <w:b/>
          <w:w w:val="105"/>
          <w:szCs w:val="24"/>
        </w:rPr>
        <w:t>art. 86 ust. 2</w:t>
      </w:r>
      <w:r w:rsidR="00362014" w:rsidRPr="00816E15">
        <w:rPr>
          <w:w w:val="105"/>
          <w:szCs w:val="24"/>
        </w:rPr>
        <w:t xml:space="preserve"> wprowadza korektę legislacyjną przez </w:t>
      </w:r>
      <w:r w:rsidR="00362014" w:rsidRPr="00816E15">
        <w:rPr>
          <w:szCs w:val="24"/>
        </w:rPr>
        <w:t>zastąpienie wyrazami „w tym” wyrazu „także”.</w:t>
      </w:r>
    </w:p>
    <w:p w14:paraId="4F1894F2" w14:textId="272D88F4" w:rsidR="00086F64" w:rsidRPr="00816E15" w:rsidRDefault="00161114" w:rsidP="00CF5AAF">
      <w:pPr>
        <w:spacing w:line="360" w:lineRule="auto"/>
        <w:jc w:val="both"/>
        <w:rPr>
          <w:rFonts w:cs="Times New Roman"/>
          <w:szCs w:val="24"/>
        </w:rPr>
      </w:pPr>
      <w:r w:rsidRPr="00816E15">
        <w:rPr>
          <w:rFonts w:cs="Times New Roman"/>
          <w:szCs w:val="24"/>
        </w:rPr>
        <w:t>W</w:t>
      </w:r>
      <w:r w:rsidR="00362014" w:rsidRPr="00816E15">
        <w:rPr>
          <w:rFonts w:cs="Times New Roman"/>
          <w:szCs w:val="24"/>
        </w:rPr>
        <w:t xml:space="preserve"> </w:t>
      </w:r>
      <w:r w:rsidR="00362014" w:rsidRPr="00816E15">
        <w:rPr>
          <w:rFonts w:cs="Times New Roman"/>
          <w:b/>
          <w:szCs w:val="24"/>
        </w:rPr>
        <w:t>art. 91</w:t>
      </w:r>
      <w:r w:rsidR="005B08EC" w:rsidRPr="00816E15">
        <w:rPr>
          <w:rFonts w:cs="Times New Roman"/>
          <w:b/>
          <w:szCs w:val="24"/>
        </w:rPr>
        <w:t xml:space="preserve"> ust. 2 </w:t>
      </w:r>
      <w:r w:rsidRPr="00816E15">
        <w:rPr>
          <w:rFonts w:cs="Times New Roman"/>
          <w:szCs w:val="24"/>
        </w:rPr>
        <w:t xml:space="preserve">zmiana ma na celu </w:t>
      </w:r>
      <w:r w:rsidR="00362014" w:rsidRPr="00816E15">
        <w:rPr>
          <w:rFonts w:cs="Times New Roman"/>
          <w:szCs w:val="24"/>
        </w:rPr>
        <w:t>skorygowanie odwołania.</w:t>
      </w:r>
      <w:r w:rsidR="00816E15" w:rsidRPr="00816E15">
        <w:rPr>
          <w:rFonts w:cs="Times New Roman"/>
          <w:szCs w:val="24"/>
        </w:rPr>
        <w:t xml:space="preserve"> Wcześniejsze odwołanie do art. </w:t>
      </w:r>
      <w:r w:rsidR="00362014" w:rsidRPr="00816E15">
        <w:rPr>
          <w:rFonts w:cs="Times New Roman"/>
          <w:szCs w:val="24"/>
        </w:rPr>
        <w:t>74 ust. 1 było błędne, bowiem przepis powinien odnosić się do sytuacji, w której podmiot krajowy posiada istotny oddział w innym państwie członkowskim.</w:t>
      </w:r>
    </w:p>
    <w:p w14:paraId="3B5293B9" w14:textId="1F836F37" w:rsidR="00937952" w:rsidRPr="00816E15" w:rsidRDefault="00086F64" w:rsidP="00CF5AAF">
      <w:pPr>
        <w:spacing w:line="360" w:lineRule="auto"/>
        <w:jc w:val="both"/>
        <w:rPr>
          <w:rFonts w:cs="Times New Roman"/>
          <w:b/>
          <w:szCs w:val="24"/>
        </w:rPr>
      </w:pPr>
      <w:r w:rsidRPr="00816E15">
        <w:rPr>
          <w:rFonts w:cs="Times New Roman"/>
          <w:szCs w:val="24"/>
          <w:lang w:val="pl"/>
        </w:rPr>
        <w:t xml:space="preserve">Zmiany w </w:t>
      </w:r>
      <w:r w:rsidRPr="00816E15">
        <w:rPr>
          <w:rFonts w:cs="Times New Roman"/>
          <w:b/>
          <w:szCs w:val="24"/>
          <w:lang w:val="pl"/>
        </w:rPr>
        <w:t xml:space="preserve">art. </w:t>
      </w:r>
      <w:r w:rsidRPr="00816E15">
        <w:rPr>
          <w:b/>
          <w:szCs w:val="24"/>
        </w:rPr>
        <w:t>91 ust. 1, 4, 6 i 7</w:t>
      </w:r>
      <w:r w:rsidR="00937952" w:rsidRPr="00816E15">
        <w:rPr>
          <w:b/>
          <w:szCs w:val="24"/>
        </w:rPr>
        <w:t xml:space="preserve"> </w:t>
      </w:r>
      <w:r w:rsidR="00937952" w:rsidRPr="00816E15">
        <w:rPr>
          <w:szCs w:val="24"/>
        </w:rPr>
        <w:t xml:space="preserve">oraz </w:t>
      </w:r>
      <w:r w:rsidRPr="00816E15">
        <w:rPr>
          <w:b/>
          <w:szCs w:val="24"/>
        </w:rPr>
        <w:t xml:space="preserve">art. 92 ust. 1 </w:t>
      </w:r>
      <w:r w:rsidRPr="00816E15">
        <w:rPr>
          <w:szCs w:val="24"/>
        </w:rPr>
        <w:t>związane są z wprowadzaniem w art. 73 ust. 3 terminu mającego na celu</w:t>
      </w:r>
      <w:r w:rsidRPr="00816E15">
        <w:rPr>
          <w:w w:val="105"/>
          <w:szCs w:val="24"/>
        </w:rPr>
        <w:t xml:space="preserve"> usprawnienie oraz przyspieszenie procesu przyjmowania i aktualizacji planów przymusowej restrukturyzacji</w:t>
      </w:r>
      <w:r w:rsidR="00937952" w:rsidRPr="00816E15">
        <w:rPr>
          <w:w w:val="105"/>
          <w:szCs w:val="24"/>
        </w:rPr>
        <w:t>:</w:t>
      </w:r>
      <w:r w:rsidR="00816E15">
        <w:rPr>
          <w:w w:val="105"/>
          <w:szCs w:val="24"/>
        </w:rPr>
        <w:t xml:space="preserve"> </w:t>
      </w:r>
    </w:p>
    <w:p w14:paraId="53FE491A" w14:textId="0F4CBB86" w:rsidR="00D37313" w:rsidRPr="00816E15" w:rsidRDefault="00937952" w:rsidP="00CF5AAF">
      <w:pPr>
        <w:pStyle w:val="Akapitzlist"/>
        <w:numPr>
          <w:ilvl w:val="0"/>
          <w:numId w:val="21"/>
        </w:numPr>
        <w:spacing w:line="360" w:lineRule="auto"/>
        <w:jc w:val="both"/>
        <w:rPr>
          <w:rFonts w:cs="Times New Roman"/>
          <w:b/>
          <w:szCs w:val="24"/>
        </w:rPr>
      </w:pPr>
      <w:r w:rsidRPr="00816E15">
        <w:rPr>
          <w:rFonts w:cs="Times New Roman"/>
          <w:szCs w:val="24"/>
        </w:rPr>
        <w:t xml:space="preserve">w </w:t>
      </w:r>
      <w:r w:rsidR="00161114" w:rsidRPr="00816E15">
        <w:rPr>
          <w:rFonts w:cs="Times New Roman"/>
          <w:szCs w:val="24"/>
        </w:rPr>
        <w:t>art. 91 ust. 1</w:t>
      </w:r>
      <w:r w:rsidRPr="00816E15">
        <w:rPr>
          <w:rFonts w:cs="Times New Roman"/>
          <w:szCs w:val="24"/>
        </w:rPr>
        <w:t xml:space="preserve"> </w:t>
      </w:r>
      <w:r w:rsidR="00161114" w:rsidRPr="00816E15">
        <w:rPr>
          <w:rFonts w:cs="Times New Roman"/>
          <w:szCs w:val="24"/>
        </w:rPr>
        <w:t>wprowadz</w:t>
      </w:r>
      <w:r w:rsidRPr="00816E15">
        <w:rPr>
          <w:rFonts w:cs="Times New Roman"/>
          <w:szCs w:val="24"/>
        </w:rPr>
        <w:t xml:space="preserve">ono </w:t>
      </w:r>
      <w:r w:rsidR="00161114" w:rsidRPr="00816E15">
        <w:rPr>
          <w:rFonts w:cs="Times New Roman"/>
          <w:szCs w:val="24"/>
        </w:rPr>
        <w:t>ram</w:t>
      </w:r>
      <w:r w:rsidRPr="00816E15">
        <w:rPr>
          <w:rFonts w:cs="Times New Roman"/>
          <w:szCs w:val="24"/>
        </w:rPr>
        <w:t>y</w:t>
      </w:r>
      <w:r w:rsidR="00161114" w:rsidRPr="00816E15">
        <w:rPr>
          <w:rFonts w:cs="Times New Roman"/>
          <w:szCs w:val="24"/>
        </w:rPr>
        <w:t xml:space="preserve"> czasow</w:t>
      </w:r>
      <w:r w:rsidRPr="00816E15">
        <w:rPr>
          <w:rFonts w:cs="Times New Roman"/>
          <w:szCs w:val="24"/>
        </w:rPr>
        <w:t>e</w:t>
      </w:r>
      <w:r w:rsidR="00161114" w:rsidRPr="00816E15">
        <w:rPr>
          <w:rFonts w:cs="Times New Roman"/>
          <w:szCs w:val="24"/>
        </w:rPr>
        <w:t xml:space="preserve"> na wyrażanie opinii przez nadzór w ramach oceny wykonalności planów po istotnej zmianie organizacyjnej lub prawnej,</w:t>
      </w:r>
    </w:p>
    <w:p w14:paraId="3A19CA74" w14:textId="0DC2C924" w:rsidR="00D37313" w:rsidRPr="00816E15" w:rsidRDefault="00937952" w:rsidP="00CF5AAF">
      <w:pPr>
        <w:pStyle w:val="Akapitzlist"/>
        <w:numPr>
          <w:ilvl w:val="0"/>
          <w:numId w:val="21"/>
        </w:numPr>
        <w:spacing w:line="360" w:lineRule="auto"/>
        <w:jc w:val="both"/>
        <w:rPr>
          <w:rFonts w:cs="Times New Roman"/>
          <w:szCs w:val="24"/>
        </w:rPr>
      </w:pPr>
      <w:r w:rsidRPr="00816E15">
        <w:rPr>
          <w:rFonts w:cs="Times New Roman"/>
          <w:szCs w:val="24"/>
        </w:rPr>
        <w:t xml:space="preserve">w </w:t>
      </w:r>
      <w:r w:rsidR="00161114" w:rsidRPr="00816E15">
        <w:rPr>
          <w:rFonts w:cs="Times New Roman"/>
          <w:szCs w:val="24"/>
        </w:rPr>
        <w:t xml:space="preserve">art. 91 ust. 4 </w:t>
      </w:r>
      <w:r w:rsidR="00161114" w:rsidRPr="00816E15">
        <w:rPr>
          <w:rFonts w:cs="Times New Roman"/>
          <w:b/>
          <w:szCs w:val="24"/>
        </w:rPr>
        <w:t xml:space="preserve">– </w:t>
      </w:r>
      <w:r w:rsidR="00161114" w:rsidRPr="00816E15">
        <w:rPr>
          <w:rFonts w:cs="Times New Roman"/>
          <w:szCs w:val="24"/>
        </w:rPr>
        <w:t xml:space="preserve">podobnie jak w art. 91 ust. 2 </w:t>
      </w:r>
      <w:r w:rsidRPr="00816E15">
        <w:rPr>
          <w:rFonts w:cs="Times New Roman"/>
          <w:szCs w:val="24"/>
        </w:rPr>
        <w:t xml:space="preserve">– </w:t>
      </w:r>
      <w:r w:rsidR="00161114" w:rsidRPr="00816E15">
        <w:rPr>
          <w:rFonts w:cs="Times New Roman"/>
          <w:szCs w:val="24"/>
        </w:rPr>
        <w:t>skorygowan</w:t>
      </w:r>
      <w:r w:rsidRPr="00816E15">
        <w:rPr>
          <w:rFonts w:cs="Times New Roman"/>
          <w:szCs w:val="24"/>
        </w:rPr>
        <w:t xml:space="preserve">o </w:t>
      </w:r>
      <w:r w:rsidR="00161114" w:rsidRPr="00816E15">
        <w:rPr>
          <w:rFonts w:cs="Times New Roman"/>
          <w:szCs w:val="24"/>
        </w:rPr>
        <w:t>błędne odesłani</w:t>
      </w:r>
      <w:r w:rsidRPr="00816E15">
        <w:rPr>
          <w:rFonts w:cs="Times New Roman"/>
          <w:szCs w:val="24"/>
        </w:rPr>
        <w:t xml:space="preserve">e </w:t>
      </w:r>
      <w:r w:rsidR="00161114" w:rsidRPr="00816E15">
        <w:rPr>
          <w:rFonts w:cs="Times New Roman"/>
          <w:szCs w:val="24"/>
        </w:rPr>
        <w:t>do art. 74 ust. 1 na odesłanie do art. 73 ust. 2,</w:t>
      </w:r>
    </w:p>
    <w:p w14:paraId="2099F1A5" w14:textId="52934403" w:rsidR="00D37313" w:rsidRPr="00816E15" w:rsidRDefault="00937952" w:rsidP="00CF5AAF">
      <w:pPr>
        <w:pStyle w:val="Akapitzlist"/>
        <w:numPr>
          <w:ilvl w:val="0"/>
          <w:numId w:val="21"/>
        </w:numPr>
        <w:spacing w:line="360" w:lineRule="auto"/>
        <w:jc w:val="both"/>
        <w:rPr>
          <w:rFonts w:cs="Times New Roman"/>
          <w:b/>
          <w:szCs w:val="24"/>
        </w:rPr>
      </w:pPr>
      <w:r w:rsidRPr="00816E15">
        <w:rPr>
          <w:rFonts w:cs="Times New Roman"/>
          <w:szCs w:val="24"/>
        </w:rPr>
        <w:t xml:space="preserve">w </w:t>
      </w:r>
      <w:r w:rsidR="00161114" w:rsidRPr="00816E15">
        <w:rPr>
          <w:rFonts w:cs="Times New Roman"/>
          <w:szCs w:val="24"/>
        </w:rPr>
        <w:t>art. 91 ust. 6 i 7</w:t>
      </w:r>
      <w:r w:rsidRPr="00816E15">
        <w:rPr>
          <w:rFonts w:cs="Times New Roman"/>
          <w:szCs w:val="24"/>
        </w:rPr>
        <w:t xml:space="preserve"> </w:t>
      </w:r>
      <w:r w:rsidRPr="00816E15">
        <w:rPr>
          <w:rFonts w:cs="Times New Roman"/>
          <w:b/>
          <w:szCs w:val="24"/>
        </w:rPr>
        <w:t>–</w:t>
      </w:r>
      <w:r w:rsidR="00161114" w:rsidRPr="00816E15">
        <w:rPr>
          <w:rFonts w:cs="Times New Roman"/>
          <w:b/>
          <w:szCs w:val="24"/>
        </w:rPr>
        <w:t xml:space="preserve"> </w:t>
      </w:r>
      <w:r w:rsidR="00161114" w:rsidRPr="00816E15">
        <w:rPr>
          <w:rFonts w:cs="Times New Roman"/>
          <w:szCs w:val="24"/>
        </w:rPr>
        <w:t>wprowadz</w:t>
      </w:r>
      <w:r w:rsidRPr="00816E15">
        <w:rPr>
          <w:rFonts w:cs="Times New Roman"/>
          <w:szCs w:val="24"/>
        </w:rPr>
        <w:t xml:space="preserve">ono </w:t>
      </w:r>
      <w:r w:rsidR="00161114" w:rsidRPr="00816E15">
        <w:rPr>
          <w:rFonts w:cs="Times New Roman"/>
          <w:szCs w:val="24"/>
        </w:rPr>
        <w:t>ram</w:t>
      </w:r>
      <w:r w:rsidRPr="00816E15">
        <w:rPr>
          <w:rFonts w:cs="Times New Roman"/>
          <w:szCs w:val="24"/>
        </w:rPr>
        <w:t>y</w:t>
      </w:r>
      <w:r w:rsidR="00816E15">
        <w:rPr>
          <w:rFonts w:cs="Times New Roman"/>
          <w:szCs w:val="24"/>
        </w:rPr>
        <w:t xml:space="preserve"> </w:t>
      </w:r>
      <w:r w:rsidR="00161114" w:rsidRPr="00816E15">
        <w:rPr>
          <w:rFonts w:cs="Times New Roman"/>
          <w:szCs w:val="24"/>
        </w:rPr>
        <w:t>czasow</w:t>
      </w:r>
      <w:r w:rsidRPr="00816E15">
        <w:rPr>
          <w:rFonts w:cs="Times New Roman"/>
          <w:szCs w:val="24"/>
        </w:rPr>
        <w:t>e</w:t>
      </w:r>
      <w:r w:rsidR="00161114" w:rsidRPr="00816E15">
        <w:rPr>
          <w:rFonts w:cs="Times New Roman"/>
          <w:szCs w:val="24"/>
        </w:rPr>
        <w:t xml:space="preserve"> na wyraż</w:t>
      </w:r>
      <w:r w:rsidRPr="00816E15">
        <w:rPr>
          <w:rFonts w:cs="Times New Roman"/>
          <w:szCs w:val="24"/>
        </w:rPr>
        <w:t>e</w:t>
      </w:r>
      <w:r w:rsidR="00161114" w:rsidRPr="00816E15">
        <w:rPr>
          <w:rFonts w:cs="Times New Roman"/>
          <w:szCs w:val="24"/>
        </w:rPr>
        <w:t xml:space="preserve">nie opinii przez </w:t>
      </w:r>
      <w:r w:rsidRPr="00816E15">
        <w:rPr>
          <w:rFonts w:cs="Times New Roman"/>
          <w:szCs w:val="24"/>
        </w:rPr>
        <w:t>Komisję Nadzoru Finansowego</w:t>
      </w:r>
      <w:r w:rsidR="00816E15">
        <w:rPr>
          <w:rFonts w:cs="Times New Roman"/>
          <w:szCs w:val="24"/>
        </w:rPr>
        <w:t xml:space="preserve"> </w:t>
      </w:r>
      <w:r w:rsidR="00161114" w:rsidRPr="00816E15">
        <w:rPr>
          <w:rFonts w:cs="Times New Roman"/>
          <w:szCs w:val="24"/>
        </w:rPr>
        <w:t>w ramach oceny planu</w:t>
      </w:r>
      <w:r w:rsidR="00FA4E7A" w:rsidRPr="00816E15">
        <w:rPr>
          <w:rFonts w:cs="Times New Roman"/>
          <w:szCs w:val="24"/>
        </w:rPr>
        <w:t xml:space="preserve"> w celu usunięcia okoliczności uniemożliwiających lub utrudniających przeprowadzenie</w:t>
      </w:r>
      <w:r w:rsidR="00161114" w:rsidRPr="00816E15">
        <w:rPr>
          <w:rFonts w:cs="Times New Roman"/>
          <w:szCs w:val="24"/>
        </w:rPr>
        <w:t xml:space="preserve"> przymusow</w:t>
      </w:r>
      <w:r w:rsidR="00FA4E7A" w:rsidRPr="00816E15">
        <w:rPr>
          <w:rFonts w:cs="Times New Roman"/>
          <w:szCs w:val="24"/>
        </w:rPr>
        <w:t>ej</w:t>
      </w:r>
      <w:r w:rsidR="00161114" w:rsidRPr="00816E15">
        <w:rPr>
          <w:rFonts w:cs="Times New Roman"/>
          <w:szCs w:val="24"/>
        </w:rPr>
        <w:t xml:space="preserve"> restrukturyzacj</w:t>
      </w:r>
      <w:r w:rsidR="00FA4E7A" w:rsidRPr="00816E15">
        <w:rPr>
          <w:rFonts w:cs="Times New Roman"/>
          <w:szCs w:val="24"/>
        </w:rPr>
        <w:t>i</w:t>
      </w:r>
      <w:r w:rsidR="00161114" w:rsidRPr="00816E15">
        <w:rPr>
          <w:rFonts w:cs="Times New Roman"/>
          <w:szCs w:val="24"/>
        </w:rPr>
        <w:t>, również w sytuacji sformułowania przez podmiot planu niewystarczającego,</w:t>
      </w:r>
    </w:p>
    <w:p w14:paraId="0D27BAC1" w14:textId="24EF1A2F" w:rsidR="00161114" w:rsidRPr="00816E15" w:rsidRDefault="00937952" w:rsidP="00CF5AAF">
      <w:pPr>
        <w:pStyle w:val="Akapitzlist"/>
        <w:numPr>
          <w:ilvl w:val="0"/>
          <w:numId w:val="21"/>
        </w:numPr>
        <w:spacing w:line="360" w:lineRule="auto"/>
        <w:jc w:val="both"/>
        <w:rPr>
          <w:rFonts w:cs="Times New Roman"/>
          <w:b/>
          <w:szCs w:val="24"/>
        </w:rPr>
      </w:pPr>
      <w:r w:rsidRPr="00816E15">
        <w:rPr>
          <w:rFonts w:cs="Times New Roman"/>
          <w:szCs w:val="24"/>
        </w:rPr>
        <w:t xml:space="preserve">w </w:t>
      </w:r>
      <w:r w:rsidR="00161114" w:rsidRPr="00816E15">
        <w:rPr>
          <w:rFonts w:cs="Times New Roman"/>
          <w:szCs w:val="24"/>
        </w:rPr>
        <w:t>art. 92 ust. 1</w:t>
      </w:r>
      <w:r w:rsidRPr="00816E15">
        <w:rPr>
          <w:rFonts w:cs="Times New Roman"/>
          <w:szCs w:val="24"/>
        </w:rPr>
        <w:t xml:space="preserve"> </w:t>
      </w:r>
      <w:r w:rsidR="000F673C" w:rsidRPr="00816E15">
        <w:rPr>
          <w:rFonts w:cs="Times New Roman"/>
          <w:szCs w:val="24"/>
        </w:rPr>
        <w:t>wprowadz</w:t>
      </w:r>
      <w:r w:rsidRPr="00816E15">
        <w:rPr>
          <w:rFonts w:cs="Times New Roman"/>
          <w:szCs w:val="24"/>
        </w:rPr>
        <w:t>ono</w:t>
      </w:r>
      <w:r w:rsidR="000F673C" w:rsidRPr="00816E15">
        <w:rPr>
          <w:rFonts w:cs="Times New Roman"/>
          <w:szCs w:val="24"/>
        </w:rPr>
        <w:t xml:space="preserve"> ram</w:t>
      </w:r>
      <w:r w:rsidRPr="00816E15">
        <w:rPr>
          <w:rFonts w:cs="Times New Roman"/>
          <w:szCs w:val="24"/>
        </w:rPr>
        <w:t>y</w:t>
      </w:r>
      <w:r w:rsidR="000F673C" w:rsidRPr="00816E15">
        <w:rPr>
          <w:rFonts w:cs="Times New Roman"/>
          <w:szCs w:val="24"/>
        </w:rPr>
        <w:t xml:space="preserve"> czasow</w:t>
      </w:r>
      <w:r w:rsidRPr="00816E15">
        <w:rPr>
          <w:rFonts w:cs="Times New Roman"/>
          <w:szCs w:val="24"/>
        </w:rPr>
        <w:t>e</w:t>
      </w:r>
      <w:r w:rsidR="003C7177" w:rsidRPr="00816E15">
        <w:rPr>
          <w:rFonts w:cs="Times New Roman"/>
          <w:szCs w:val="24"/>
        </w:rPr>
        <w:t xml:space="preserve"> </w:t>
      </w:r>
      <w:r w:rsidR="000F673C" w:rsidRPr="00816E15">
        <w:rPr>
          <w:rFonts w:cs="Times New Roman"/>
          <w:szCs w:val="24"/>
        </w:rPr>
        <w:t>na wyraż</w:t>
      </w:r>
      <w:r w:rsidRPr="00816E15">
        <w:rPr>
          <w:rFonts w:cs="Times New Roman"/>
          <w:szCs w:val="24"/>
        </w:rPr>
        <w:t>e</w:t>
      </w:r>
      <w:r w:rsidR="000F673C" w:rsidRPr="00816E15">
        <w:rPr>
          <w:rFonts w:cs="Times New Roman"/>
          <w:szCs w:val="24"/>
        </w:rPr>
        <w:t xml:space="preserve">nie opinii przez </w:t>
      </w:r>
      <w:r w:rsidRPr="00816E15">
        <w:rPr>
          <w:rFonts w:cs="Times New Roman"/>
          <w:szCs w:val="24"/>
        </w:rPr>
        <w:t xml:space="preserve">Komisję Nadzoru Finansowego </w:t>
      </w:r>
      <w:r w:rsidR="000F673C" w:rsidRPr="00816E15">
        <w:rPr>
          <w:rFonts w:cs="Times New Roman"/>
          <w:szCs w:val="24"/>
        </w:rPr>
        <w:t>w ramach oceny wykonalności grupowych planów w ramach kolegiów przymusowej restrukturyzacji.</w:t>
      </w:r>
    </w:p>
    <w:p w14:paraId="78B82500" w14:textId="6AAAE389" w:rsidR="009F0A88" w:rsidRPr="00816E15" w:rsidRDefault="009F0A88" w:rsidP="00CF5AAF">
      <w:pPr>
        <w:spacing w:line="360" w:lineRule="auto"/>
        <w:jc w:val="both"/>
        <w:rPr>
          <w:szCs w:val="24"/>
        </w:rPr>
      </w:pPr>
      <w:r w:rsidRPr="00816E15">
        <w:rPr>
          <w:w w:val="105"/>
          <w:szCs w:val="24"/>
        </w:rPr>
        <w:t xml:space="preserve">Dodanie w </w:t>
      </w:r>
      <w:r w:rsidRPr="00816E15">
        <w:rPr>
          <w:b/>
          <w:w w:val="105"/>
          <w:szCs w:val="24"/>
        </w:rPr>
        <w:t xml:space="preserve">art. 95 ust. 6a </w:t>
      </w:r>
      <w:r w:rsidRPr="00816E15">
        <w:rPr>
          <w:w w:val="105"/>
          <w:szCs w:val="24"/>
        </w:rPr>
        <w:t>(podobne zmiany w art. 79 ust. 1a, art. 335 ust. 1a</w:t>
      </w:r>
      <w:r w:rsidR="00740FC7" w:rsidRPr="00816E15">
        <w:rPr>
          <w:w w:val="105"/>
          <w:szCs w:val="24"/>
        </w:rPr>
        <w:t xml:space="preserve"> i 2a</w:t>
      </w:r>
      <w:r w:rsidR="004B3B89" w:rsidRPr="00816E15">
        <w:rPr>
          <w:w w:val="105"/>
          <w:szCs w:val="24"/>
        </w:rPr>
        <w:t>, art. 336 ust. 3</w:t>
      </w:r>
      <w:r w:rsidR="00F101C7" w:rsidRPr="00816E15">
        <w:rPr>
          <w:w w:val="105"/>
          <w:szCs w:val="24"/>
        </w:rPr>
        <w:t xml:space="preserve"> </w:t>
      </w:r>
      <w:r w:rsidR="0048127A" w:rsidRPr="00816E15">
        <w:rPr>
          <w:w w:val="105"/>
          <w:szCs w:val="24"/>
        </w:rPr>
        <w:t xml:space="preserve">oraz </w:t>
      </w:r>
      <w:r w:rsidRPr="00816E15">
        <w:rPr>
          <w:w w:val="105"/>
          <w:szCs w:val="24"/>
        </w:rPr>
        <w:t>art. 338</w:t>
      </w:r>
      <w:r w:rsidR="00622C80" w:rsidRPr="00816E15">
        <w:rPr>
          <w:w w:val="105"/>
          <w:szCs w:val="24"/>
        </w:rPr>
        <w:t xml:space="preserve"> ust. 1a</w:t>
      </w:r>
      <w:r w:rsidRPr="00816E15">
        <w:rPr>
          <w:w w:val="105"/>
          <w:szCs w:val="24"/>
        </w:rPr>
        <w:t>)</w:t>
      </w:r>
      <w:r w:rsidRPr="00816E15">
        <w:rPr>
          <w:b/>
          <w:w w:val="105"/>
          <w:szCs w:val="24"/>
        </w:rPr>
        <w:t xml:space="preserve"> </w:t>
      </w:r>
      <w:r w:rsidRPr="00816E15">
        <w:rPr>
          <w:w w:val="105"/>
          <w:szCs w:val="24"/>
        </w:rPr>
        <w:t xml:space="preserve">ma na celu implementację art. 111 ust. 2 </w:t>
      </w:r>
      <w:r w:rsidR="002F3F55">
        <w:rPr>
          <w:w w:val="105"/>
          <w:szCs w:val="24"/>
        </w:rPr>
        <w:t>lit.</w:t>
      </w:r>
      <w:r w:rsidRPr="00816E15">
        <w:rPr>
          <w:w w:val="105"/>
          <w:szCs w:val="24"/>
        </w:rPr>
        <w:t xml:space="preserve"> f</w:t>
      </w:r>
      <w:r w:rsidR="00622C80" w:rsidRPr="00816E15">
        <w:rPr>
          <w:w w:val="105"/>
          <w:szCs w:val="24"/>
        </w:rPr>
        <w:t xml:space="preserve"> dyrektywy BRR</w:t>
      </w:r>
      <w:r w:rsidRPr="00816E15">
        <w:rPr>
          <w:w w:val="105"/>
          <w:szCs w:val="24"/>
        </w:rPr>
        <w:t>, przez zapewnienie możliwości nałożenia przez Fundusz kary pieniężnej w wysokości dwukrotności uzyskanych korzyści w przypadku</w:t>
      </w:r>
      <w:r w:rsidR="009E4894" w:rsidRPr="00816E15">
        <w:rPr>
          <w:w w:val="105"/>
          <w:szCs w:val="24"/>
        </w:rPr>
        <w:t xml:space="preserve"> </w:t>
      </w:r>
      <w:r w:rsidR="00C16F7D" w:rsidRPr="00816E15">
        <w:rPr>
          <w:w w:val="105"/>
          <w:szCs w:val="24"/>
        </w:rPr>
        <w:t xml:space="preserve">przedstawienia </w:t>
      </w:r>
      <w:r w:rsidR="009E4894" w:rsidRPr="00816E15">
        <w:rPr>
          <w:w w:val="105"/>
          <w:szCs w:val="24"/>
        </w:rPr>
        <w:t>przez podmiot</w:t>
      </w:r>
      <w:r w:rsidR="00C16F7D" w:rsidRPr="00816E15">
        <w:rPr>
          <w:w w:val="105"/>
          <w:szCs w:val="24"/>
        </w:rPr>
        <w:t xml:space="preserve"> </w:t>
      </w:r>
      <w:r w:rsidR="009E4894" w:rsidRPr="00816E15">
        <w:rPr>
          <w:w w:val="105"/>
          <w:szCs w:val="24"/>
        </w:rPr>
        <w:t xml:space="preserve">niewystarczających propozycji </w:t>
      </w:r>
      <w:r w:rsidR="009E4894" w:rsidRPr="00816E15">
        <w:rPr>
          <w:szCs w:val="24"/>
        </w:rPr>
        <w:t>usunięcia okoliczności uniemożliwiających lub utrudniających przeprowadzenie przymusowej restrukturyzacji</w:t>
      </w:r>
      <w:r w:rsidR="009E4894" w:rsidRPr="00816E15">
        <w:rPr>
          <w:w w:val="105"/>
          <w:szCs w:val="24"/>
        </w:rPr>
        <w:t>.</w:t>
      </w:r>
      <w:r w:rsidRPr="00816E15">
        <w:rPr>
          <w:szCs w:val="24"/>
        </w:rPr>
        <w:t xml:space="preserve"> Warunkiem zastosowania sankcji </w:t>
      </w:r>
      <w:r w:rsidR="00C16F7D" w:rsidRPr="00816E15">
        <w:rPr>
          <w:szCs w:val="24"/>
        </w:rPr>
        <w:t xml:space="preserve">będzie </w:t>
      </w:r>
      <w:r w:rsidRPr="00816E15">
        <w:rPr>
          <w:szCs w:val="24"/>
        </w:rPr>
        <w:t xml:space="preserve">możliwość ustalenia kwoty korzyści </w:t>
      </w:r>
      <w:r w:rsidR="009E4894" w:rsidRPr="00816E15">
        <w:rPr>
          <w:szCs w:val="24"/>
        </w:rPr>
        <w:t xml:space="preserve">przez </w:t>
      </w:r>
      <w:r w:rsidR="00C16F7D" w:rsidRPr="00816E15">
        <w:rPr>
          <w:szCs w:val="24"/>
        </w:rPr>
        <w:t xml:space="preserve">zastosowanie </w:t>
      </w:r>
      <w:r w:rsidR="009E4894" w:rsidRPr="00816E15">
        <w:rPr>
          <w:szCs w:val="24"/>
        </w:rPr>
        <w:t>adekwatn</w:t>
      </w:r>
      <w:r w:rsidR="00C16F7D" w:rsidRPr="00816E15">
        <w:rPr>
          <w:szCs w:val="24"/>
        </w:rPr>
        <w:t xml:space="preserve">ych </w:t>
      </w:r>
      <w:r w:rsidR="009E4894" w:rsidRPr="00816E15">
        <w:rPr>
          <w:szCs w:val="24"/>
        </w:rPr>
        <w:t>narzędzi</w:t>
      </w:r>
      <w:r w:rsidR="00C16F7D" w:rsidRPr="00816E15">
        <w:rPr>
          <w:szCs w:val="24"/>
        </w:rPr>
        <w:t xml:space="preserve">, np. </w:t>
      </w:r>
      <w:r w:rsidR="009E4894" w:rsidRPr="00816E15">
        <w:rPr>
          <w:szCs w:val="24"/>
        </w:rPr>
        <w:t xml:space="preserve">analizy finansowej czy </w:t>
      </w:r>
      <w:r w:rsidR="00C16F7D" w:rsidRPr="00816E15">
        <w:rPr>
          <w:szCs w:val="24"/>
        </w:rPr>
        <w:t xml:space="preserve">ustalenia </w:t>
      </w:r>
      <w:r w:rsidR="009E4894" w:rsidRPr="00816E15">
        <w:rPr>
          <w:szCs w:val="24"/>
        </w:rPr>
        <w:t>stan</w:t>
      </w:r>
      <w:r w:rsidR="00C16F7D" w:rsidRPr="00816E15">
        <w:rPr>
          <w:szCs w:val="24"/>
        </w:rPr>
        <w:t>u</w:t>
      </w:r>
      <w:r w:rsidR="009E4894" w:rsidRPr="00816E15">
        <w:rPr>
          <w:szCs w:val="24"/>
        </w:rPr>
        <w:t xml:space="preserve"> realizacji przez podmiot </w:t>
      </w:r>
      <w:r w:rsidR="00C16F7D" w:rsidRPr="00816E15">
        <w:rPr>
          <w:szCs w:val="24"/>
        </w:rPr>
        <w:t xml:space="preserve">zaleceń </w:t>
      </w:r>
      <w:r w:rsidR="009E4894" w:rsidRPr="00816E15">
        <w:rPr>
          <w:szCs w:val="24"/>
        </w:rPr>
        <w:t>Fundusz</w:t>
      </w:r>
      <w:r w:rsidR="00C16F7D" w:rsidRPr="00816E15">
        <w:rPr>
          <w:szCs w:val="24"/>
        </w:rPr>
        <w:t>u.</w:t>
      </w:r>
      <w:r w:rsidR="000939EC" w:rsidRPr="00816E15">
        <w:rPr>
          <w:szCs w:val="24"/>
        </w:rPr>
        <w:t xml:space="preserve"> Określenie wysokości kary pieniężnej będzie następowało na zasadach i w trybie przewidzianych w dziale IVa </w:t>
      </w:r>
      <w:r w:rsidR="006B317F" w:rsidRPr="00816E15">
        <w:rPr>
          <w:szCs w:val="24"/>
        </w:rPr>
        <w:t>Kodeksu postępowania administracyjnego</w:t>
      </w:r>
      <w:r w:rsidR="000D0806" w:rsidRPr="00816E15">
        <w:rPr>
          <w:szCs w:val="24"/>
        </w:rPr>
        <w:t>.</w:t>
      </w:r>
    </w:p>
    <w:p w14:paraId="6A85B6B0" w14:textId="38E32980" w:rsidR="00161114" w:rsidRPr="00816E15" w:rsidRDefault="005B08EC" w:rsidP="00CF5AAF">
      <w:pPr>
        <w:spacing w:line="360" w:lineRule="auto"/>
        <w:jc w:val="both"/>
        <w:rPr>
          <w:rFonts w:eastAsia="Times New Roman" w:cs="Times New Roman"/>
          <w:bCs/>
          <w:color w:val="FF0000"/>
          <w:szCs w:val="24"/>
          <w:lang w:eastAsia="pl-PL"/>
        </w:rPr>
      </w:pPr>
      <w:r w:rsidRPr="00816E15">
        <w:rPr>
          <w:rFonts w:eastAsia="Times New Roman" w:cs="Times New Roman"/>
          <w:bCs/>
          <w:szCs w:val="24"/>
          <w:lang w:eastAsia="pl-PL"/>
        </w:rPr>
        <w:t xml:space="preserve">W </w:t>
      </w:r>
      <w:r w:rsidRPr="00816E15">
        <w:rPr>
          <w:rFonts w:eastAsia="Times New Roman" w:cs="Times New Roman"/>
          <w:b/>
          <w:bCs/>
          <w:szCs w:val="24"/>
          <w:lang w:eastAsia="pl-PL"/>
        </w:rPr>
        <w:t xml:space="preserve">art. 97 ust. 2a </w:t>
      </w:r>
      <w:r w:rsidR="00161114" w:rsidRPr="00816E15">
        <w:rPr>
          <w:rFonts w:eastAsia="Times New Roman" w:cs="Times New Roman"/>
          <w:bCs/>
          <w:szCs w:val="24"/>
          <w:lang w:eastAsia="pl-PL"/>
        </w:rPr>
        <w:t xml:space="preserve">wprowadza się związany z art. 73 ust. 3 termin mający na celu usprawnienie procesu </w:t>
      </w:r>
      <w:r w:rsidR="00161114" w:rsidRPr="00816E15">
        <w:rPr>
          <w:szCs w:val="24"/>
        </w:rPr>
        <w:t>określania wysokości minimalnego poziomu funduszy własnych i zobowiązań podlegających umorzeniu lub konwersji dla podmiotu objętego wymogiem.</w:t>
      </w:r>
    </w:p>
    <w:p w14:paraId="433E21F9" w14:textId="48C59CD2" w:rsidR="00362014" w:rsidRPr="00816E15" w:rsidRDefault="00531982" w:rsidP="00CF5AAF">
      <w:pPr>
        <w:pStyle w:val="Tekstpodstawowy3"/>
        <w:shd w:val="clear" w:color="auto" w:fill="auto"/>
        <w:spacing w:after="240" w:line="360" w:lineRule="auto"/>
        <w:ind w:right="2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Przepis </w:t>
      </w:r>
      <w:r w:rsidRPr="00816E15">
        <w:rPr>
          <w:rFonts w:ascii="Times New Roman" w:hAnsi="Times New Roman" w:cs="Times New Roman"/>
          <w:b/>
          <w:sz w:val="24"/>
          <w:szCs w:val="24"/>
        </w:rPr>
        <w:t>a</w:t>
      </w:r>
      <w:r w:rsidR="005D2D32" w:rsidRPr="00816E15">
        <w:rPr>
          <w:rFonts w:ascii="Times New Roman" w:hAnsi="Times New Roman" w:cs="Times New Roman"/>
          <w:b/>
          <w:sz w:val="24"/>
          <w:szCs w:val="24"/>
        </w:rPr>
        <w:t>rt. 97 ust. 12</w:t>
      </w:r>
      <w:r w:rsidR="005D2D32" w:rsidRPr="00816E15">
        <w:rPr>
          <w:rFonts w:ascii="Times New Roman" w:hAnsi="Times New Roman" w:cs="Times New Roman"/>
          <w:sz w:val="24"/>
          <w:szCs w:val="24"/>
        </w:rPr>
        <w:t xml:space="preserve"> implementuje art. 45 ust. 13 i 14 </w:t>
      </w:r>
      <w:r w:rsidR="007F67CA" w:rsidRPr="00816E15">
        <w:rPr>
          <w:rFonts w:ascii="Times New Roman" w:hAnsi="Times New Roman" w:cs="Times New Roman"/>
          <w:sz w:val="24"/>
          <w:szCs w:val="24"/>
        </w:rPr>
        <w:t xml:space="preserve">dyrektywy </w:t>
      </w:r>
      <w:r w:rsidR="005D2D32" w:rsidRPr="00816E15">
        <w:rPr>
          <w:rFonts w:ascii="Times New Roman" w:hAnsi="Times New Roman" w:cs="Times New Roman"/>
          <w:sz w:val="24"/>
          <w:szCs w:val="24"/>
        </w:rPr>
        <w:t xml:space="preserve">BRR. Obecne brzmienie wskazuje na możliwość wyrażenia przez </w:t>
      </w:r>
      <w:r w:rsidR="005B6694" w:rsidRPr="00816E15">
        <w:rPr>
          <w:rFonts w:ascii="Times New Roman" w:hAnsi="Times New Roman" w:cs="Times New Roman"/>
          <w:sz w:val="24"/>
          <w:szCs w:val="24"/>
        </w:rPr>
        <w:t>Fundusz</w:t>
      </w:r>
      <w:r w:rsidR="00816E15">
        <w:rPr>
          <w:rFonts w:ascii="Times New Roman" w:hAnsi="Times New Roman" w:cs="Times New Roman"/>
          <w:sz w:val="24"/>
          <w:szCs w:val="24"/>
        </w:rPr>
        <w:t xml:space="preserve"> </w:t>
      </w:r>
      <w:r w:rsidR="005D2D32" w:rsidRPr="00816E15">
        <w:rPr>
          <w:rFonts w:ascii="Times New Roman" w:hAnsi="Times New Roman" w:cs="Times New Roman"/>
          <w:sz w:val="24"/>
          <w:szCs w:val="24"/>
        </w:rPr>
        <w:t xml:space="preserve">zgody na zaliczenie do utrzymywanego </w:t>
      </w:r>
      <w:r w:rsidR="00E23759" w:rsidRPr="00816E15">
        <w:rPr>
          <w:rFonts w:ascii="Times New Roman" w:hAnsi="Times New Roman" w:cs="Times New Roman"/>
          <w:sz w:val="24"/>
          <w:szCs w:val="24"/>
        </w:rPr>
        <w:t xml:space="preserve">przez banki </w:t>
      </w:r>
      <w:r w:rsidR="005D2D32" w:rsidRPr="00816E15">
        <w:rPr>
          <w:rFonts w:ascii="Times New Roman" w:hAnsi="Times New Roman" w:cs="Times New Roman"/>
          <w:sz w:val="24"/>
          <w:szCs w:val="24"/>
        </w:rPr>
        <w:t>minimalnego poziomu funduszy własnych i zobowiązań kwalifikowanych</w:t>
      </w:r>
      <w:r w:rsidR="00E23759" w:rsidRPr="00816E15">
        <w:rPr>
          <w:rFonts w:ascii="Times New Roman" w:hAnsi="Times New Roman" w:cs="Times New Roman"/>
          <w:sz w:val="24"/>
          <w:szCs w:val="24"/>
        </w:rPr>
        <w:t xml:space="preserve"> (MREL) instrumentów,</w:t>
      </w:r>
      <w:r w:rsidR="005D2D32" w:rsidRPr="00816E15">
        <w:rPr>
          <w:rFonts w:ascii="Times New Roman" w:hAnsi="Times New Roman" w:cs="Times New Roman"/>
          <w:sz w:val="24"/>
          <w:szCs w:val="24"/>
        </w:rPr>
        <w:t xml:space="preserve"> których warunki emisji zawierają klauzule wskazujące na możliwość umorzenia lub konwersji oraz ich podporządkowanie</w:t>
      </w:r>
      <w:r w:rsidR="00E23759" w:rsidRPr="00816E15">
        <w:rPr>
          <w:rFonts w:ascii="Times New Roman" w:hAnsi="Times New Roman" w:cs="Times New Roman"/>
          <w:sz w:val="24"/>
          <w:szCs w:val="24"/>
        </w:rPr>
        <w:t xml:space="preserve"> w hierarchii wierzytelności</w:t>
      </w:r>
      <w:r w:rsidR="005D2D32" w:rsidRPr="00816E15">
        <w:rPr>
          <w:rFonts w:ascii="Times New Roman" w:hAnsi="Times New Roman" w:cs="Times New Roman"/>
          <w:sz w:val="24"/>
          <w:szCs w:val="24"/>
        </w:rPr>
        <w:t>.</w:t>
      </w:r>
      <w:r w:rsidR="00362014" w:rsidRPr="00816E15">
        <w:rPr>
          <w:rFonts w:ascii="Times New Roman" w:hAnsi="Times New Roman" w:cs="Times New Roman"/>
          <w:sz w:val="24"/>
          <w:szCs w:val="24"/>
        </w:rPr>
        <w:t xml:space="preserve"> </w:t>
      </w:r>
      <w:r w:rsidR="00362014" w:rsidRPr="00816E15">
        <w:rPr>
          <w:rFonts w:ascii="Times New Roman" w:hAnsi="Times New Roman" w:cs="Times New Roman"/>
          <w:bCs/>
          <w:sz w:val="24"/>
          <w:szCs w:val="24"/>
        </w:rPr>
        <w:t>Zgodnie z art. 45 ust. 13 BRRD</w:t>
      </w:r>
      <w:r w:rsidR="00937952" w:rsidRPr="00816E15">
        <w:rPr>
          <w:rFonts w:ascii="Times New Roman" w:hAnsi="Times New Roman" w:cs="Times New Roman"/>
          <w:bCs/>
          <w:sz w:val="24"/>
          <w:szCs w:val="24"/>
        </w:rPr>
        <w:t xml:space="preserve">, </w:t>
      </w:r>
      <w:r w:rsidR="00362014" w:rsidRPr="00816E15">
        <w:rPr>
          <w:rFonts w:ascii="Times New Roman" w:hAnsi="Times New Roman" w:cs="Times New Roman"/>
          <w:bCs/>
          <w:sz w:val="24"/>
          <w:szCs w:val="24"/>
        </w:rPr>
        <w:t>decyzje w</w:t>
      </w:r>
      <w:r w:rsidR="00937952" w:rsidRPr="00816E15">
        <w:rPr>
          <w:rFonts w:ascii="Times New Roman" w:hAnsi="Times New Roman" w:cs="Times New Roman"/>
          <w:bCs/>
          <w:sz w:val="24"/>
          <w:szCs w:val="24"/>
        </w:rPr>
        <w:t xml:space="preserve"> </w:t>
      </w:r>
      <w:r w:rsidR="00362014" w:rsidRPr="00816E15">
        <w:rPr>
          <w:rFonts w:ascii="Times New Roman" w:hAnsi="Times New Roman" w:cs="Times New Roman"/>
          <w:bCs/>
          <w:sz w:val="24"/>
          <w:szCs w:val="24"/>
        </w:rPr>
        <w:t>s</w:t>
      </w:r>
      <w:r w:rsidR="00937952" w:rsidRPr="00816E15">
        <w:rPr>
          <w:rFonts w:ascii="Times New Roman" w:hAnsi="Times New Roman" w:cs="Times New Roman"/>
          <w:bCs/>
          <w:sz w:val="24"/>
          <w:szCs w:val="24"/>
        </w:rPr>
        <w:t xml:space="preserve">prawie </w:t>
      </w:r>
      <w:r w:rsidR="00362014" w:rsidRPr="00816E15">
        <w:rPr>
          <w:rFonts w:ascii="Times New Roman" w:hAnsi="Times New Roman" w:cs="Times New Roman"/>
          <w:bCs/>
          <w:sz w:val="24"/>
          <w:szCs w:val="24"/>
        </w:rPr>
        <w:t>MREL mogą przewidywać, że minimalny wymóg w zakresie funduszy własnych i zobowiązań kwalifikowalnych jest częściowo spełniany za pośrednictwem umownych instrumentów umorzenia lub konwersji długu. Przepis ten należy interpretować w ten sposób, ż</w:t>
      </w:r>
      <w:r w:rsidR="00937952" w:rsidRPr="00816E15">
        <w:rPr>
          <w:rFonts w:ascii="Times New Roman" w:hAnsi="Times New Roman" w:cs="Times New Roman"/>
          <w:bCs/>
          <w:sz w:val="24"/>
          <w:szCs w:val="24"/>
        </w:rPr>
        <w:t>e</w:t>
      </w:r>
      <w:r w:rsidR="00362014" w:rsidRPr="00816E15">
        <w:rPr>
          <w:rFonts w:ascii="Times New Roman" w:hAnsi="Times New Roman" w:cs="Times New Roman"/>
          <w:bCs/>
          <w:sz w:val="24"/>
          <w:szCs w:val="24"/>
        </w:rPr>
        <w:t xml:space="preserve"> organ przymusowej restrukturyzacji w ramach określania MREL (vide art. 45 ust. 1 BRRD i art. 97 ust. 2 ustawy o BFG) ma kompetencję do nałożenia wymogu, o którym mowa w art. 45 ust. 13 BRRD. Stąd też</w:t>
      </w:r>
      <w:r w:rsidR="00937952" w:rsidRPr="00816E15">
        <w:rPr>
          <w:rFonts w:ascii="Times New Roman" w:hAnsi="Times New Roman" w:cs="Times New Roman"/>
          <w:bCs/>
          <w:sz w:val="24"/>
          <w:szCs w:val="24"/>
        </w:rPr>
        <w:t>,</w:t>
      </w:r>
      <w:r w:rsidR="00362014" w:rsidRPr="00816E15">
        <w:rPr>
          <w:rFonts w:ascii="Times New Roman" w:hAnsi="Times New Roman" w:cs="Times New Roman"/>
          <w:bCs/>
          <w:sz w:val="24"/>
          <w:szCs w:val="24"/>
        </w:rPr>
        <w:t xml:space="preserve"> w ramach procedury określenia MREL, Fundusz powinien móc wymagać od po</w:t>
      </w:r>
      <w:r w:rsidR="00937952" w:rsidRPr="00816E15">
        <w:rPr>
          <w:rFonts w:ascii="Times New Roman" w:hAnsi="Times New Roman" w:cs="Times New Roman"/>
          <w:bCs/>
          <w:sz w:val="24"/>
          <w:szCs w:val="24"/>
        </w:rPr>
        <w:t>d</w:t>
      </w:r>
      <w:r w:rsidR="00362014" w:rsidRPr="00816E15">
        <w:rPr>
          <w:rFonts w:ascii="Times New Roman" w:hAnsi="Times New Roman" w:cs="Times New Roman"/>
          <w:bCs/>
          <w:sz w:val="24"/>
          <w:szCs w:val="24"/>
        </w:rPr>
        <w:t>miotu (w ramach podejmowania decyzji o wysokości MREL), aby część tego obowiązku była spełniona przez zobowiązania wynikające z umów</w:t>
      </w:r>
      <w:r w:rsidR="00937952" w:rsidRPr="00816E15">
        <w:rPr>
          <w:rFonts w:ascii="Times New Roman" w:hAnsi="Times New Roman" w:cs="Times New Roman"/>
          <w:bCs/>
          <w:sz w:val="24"/>
          <w:szCs w:val="24"/>
        </w:rPr>
        <w:t>,</w:t>
      </w:r>
      <w:r w:rsidR="00816E15">
        <w:rPr>
          <w:rFonts w:ascii="Times New Roman" w:hAnsi="Times New Roman" w:cs="Times New Roman"/>
          <w:bCs/>
          <w:sz w:val="24"/>
          <w:szCs w:val="24"/>
        </w:rPr>
        <w:t xml:space="preserve"> </w:t>
      </w:r>
      <w:r w:rsidR="00362014" w:rsidRPr="00816E15">
        <w:rPr>
          <w:rFonts w:ascii="Times New Roman" w:hAnsi="Times New Roman" w:cs="Times New Roman"/>
          <w:bCs/>
          <w:sz w:val="24"/>
          <w:szCs w:val="24"/>
        </w:rPr>
        <w:t>spełniając</w:t>
      </w:r>
      <w:r w:rsidR="00F82F63" w:rsidRPr="00816E15">
        <w:rPr>
          <w:rFonts w:ascii="Times New Roman" w:hAnsi="Times New Roman" w:cs="Times New Roman"/>
          <w:bCs/>
          <w:sz w:val="24"/>
          <w:szCs w:val="24"/>
        </w:rPr>
        <w:t>ych</w:t>
      </w:r>
      <w:r w:rsidR="00362014" w:rsidRPr="00816E15">
        <w:rPr>
          <w:rFonts w:ascii="Times New Roman" w:hAnsi="Times New Roman" w:cs="Times New Roman"/>
          <w:bCs/>
          <w:sz w:val="24"/>
          <w:szCs w:val="24"/>
        </w:rPr>
        <w:t xml:space="preserve"> warunki określone w art. 97 ust. 12 ustawy o BFG. Art. 45 ust. 13 BRRD nie przewiduje zatem dodatkowych uprawnień dla podmiotów, ale kompetencję organu przymusowej restrukturyzacji do ograniczenia możliwości w zakresie sposobu spełnienia wymogu MREL. W konsekwencji prawidłowe jest użycie wyrazu „wymagać”, a nie „zezwolić”.</w:t>
      </w:r>
      <w:r w:rsidR="00362014" w:rsidRPr="00816E15">
        <w:rPr>
          <w:rFonts w:ascii="Times New Roman" w:hAnsi="Times New Roman" w:cs="Times New Roman"/>
          <w:sz w:val="24"/>
          <w:szCs w:val="24"/>
        </w:rPr>
        <w:t xml:space="preserve"> </w:t>
      </w:r>
    </w:p>
    <w:p w14:paraId="3E297E58" w14:textId="2B1DC5E9" w:rsidR="005D2D32" w:rsidRPr="00816E15" w:rsidRDefault="005D2D32" w:rsidP="00CF5AAF">
      <w:pPr>
        <w:pStyle w:val="Tekstpodstawowy3"/>
        <w:shd w:val="clear" w:color="auto" w:fill="auto"/>
        <w:spacing w:after="240" w:line="360" w:lineRule="auto"/>
        <w:ind w:right="20" w:firstLine="0"/>
        <w:jc w:val="both"/>
        <w:rPr>
          <w:rFonts w:ascii="Times New Roman" w:hAnsi="Times New Roman" w:cs="Times New Roman"/>
          <w:sz w:val="24"/>
          <w:szCs w:val="24"/>
        </w:rPr>
      </w:pPr>
      <w:r w:rsidRPr="00816E15">
        <w:rPr>
          <w:rFonts w:ascii="Times New Roman" w:hAnsi="Times New Roman" w:cs="Times New Roman"/>
          <w:sz w:val="24"/>
          <w:szCs w:val="24"/>
        </w:rPr>
        <w:t>Intencją prawodawcy unijnego było nadanie organom przymusowej restrukturyzacji możliwości żądania, aby instrumenty zaliczane do MREL spełniały dodatkowe warunki, w szczególności w zakresie podporządkowania. Wskazuje na to wprost motyw 5 preambuły do rozporządzenia delegowanego</w:t>
      </w:r>
      <w:r w:rsidR="00973FEB" w:rsidRPr="00816E15">
        <w:rPr>
          <w:rFonts w:ascii="Times New Roman" w:hAnsi="Times New Roman" w:cs="Times New Roman"/>
          <w:sz w:val="24"/>
          <w:szCs w:val="24"/>
        </w:rPr>
        <w:t xml:space="preserve"> Komisji (UE) 2016/1450</w:t>
      </w:r>
      <w:r w:rsidRPr="00816E15">
        <w:rPr>
          <w:rFonts w:ascii="Times New Roman" w:hAnsi="Times New Roman" w:cs="Times New Roman"/>
          <w:sz w:val="24"/>
          <w:szCs w:val="24"/>
        </w:rPr>
        <w:t xml:space="preserve"> z dnia 23</w:t>
      </w:r>
      <w:r w:rsidR="000C47FF" w:rsidRPr="00816E15">
        <w:rPr>
          <w:rFonts w:ascii="Times New Roman" w:hAnsi="Times New Roman" w:cs="Times New Roman"/>
          <w:sz w:val="24"/>
          <w:szCs w:val="24"/>
        </w:rPr>
        <w:t xml:space="preserve"> maja </w:t>
      </w:r>
      <w:r w:rsidRPr="00816E15">
        <w:rPr>
          <w:rFonts w:ascii="Times New Roman" w:hAnsi="Times New Roman" w:cs="Times New Roman"/>
          <w:sz w:val="24"/>
          <w:szCs w:val="24"/>
        </w:rPr>
        <w:t>2016 r</w:t>
      </w:r>
      <w:r w:rsidR="007F67CA" w:rsidRPr="00816E15">
        <w:rPr>
          <w:rFonts w:ascii="Times New Roman" w:hAnsi="Times New Roman" w:cs="Times New Roman"/>
          <w:sz w:val="24"/>
          <w:szCs w:val="24"/>
        </w:rPr>
        <w:t>.</w:t>
      </w:r>
      <w:r w:rsidR="00816E15">
        <w:rPr>
          <w:rFonts w:ascii="Times New Roman" w:hAnsi="Times New Roman" w:cs="Times New Roman"/>
          <w:sz w:val="24"/>
          <w:szCs w:val="24"/>
        </w:rPr>
        <w:t xml:space="preserve"> </w:t>
      </w:r>
      <w:r w:rsidRPr="00816E15">
        <w:rPr>
          <w:rFonts w:ascii="Times New Roman" w:hAnsi="Times New Roman" w:cs="Times New Roman"/>
          <w:sz w:val="24"/>
          <w:szCs w:val="24"/>
        </w:rPr>
        <w:t>uzupełniającego dyrektywę Parlamentu Europejskiego i</w:t>
      </w:r>
      <w:r w:rsidR="00380F66" w:rsidRPr="00816E15">
        <w:rPr>
          <w:rFonts w:ascii="Times New Roman" w:hAnsi="Times New Roman" w:cs="Times New Roman"/>
          <w:sz w:val="24"/>
          <w:szCs w:val="24"/>
        </w:rPr>
        <w:t> </w:t>
      </w:r>
      <w:r w:rsidRPr="00816E15">
        <w:rPr>
          <w:rFonts w:ascii="Times New Roman" w:hAnsi="Times New Roman" w:cs="Times New Roman"/>
          <w:sz w:val="24"/>
          <w:szCs w:val="24"/>
        </w:rPr>
        <w:t>Rady 2014/59/UE w odniesieniu do regulacyjnych standardów technicznych określających kryteria dotyczące metody ustalania wysokości minimalnego wymogu w zakresie funduszy własnych i zobowiązań kwalifikowalnych</w:t>
      </w:r>
      <w:r w:rsidR="004D44B5" w:rsidRPr="00816E15">
        <w:rPr>
          <w:rFonts w:ascii="Times New Roman" w:hAnsi="Times New Roman" w:cs="Times New Roman"/>
          <w:sz w:val="24"/>
          <w:szCs w:val="24"/>
        </w:rPr>
        <w:t xml:space="preserve"> (Dz. U</w:t>
      </w:r>
      <w:r w:rsidR="002F3F55">
        <w:rPr>
          <w:rFonts w:ascii="Times New Roman" w:hAnsi="Times New Roman" w:cs="Times New Roman"/>
          <w:sz w:val="24"/>
          <w:szCs w:val="24"/>
        </w:rPr>
        <w:t>rz</w:t>
      </w:r>
      <w:r w:rsidR="004D44B5" w:rsidRPr="00816E15">
        <w:rPr>
          <w:rFonts w:ascii="Times New Roman" w:hAnsi="Times New Roman" w:cs="Times New Roman"/>
          <w:sz w:val="24"/>
          <w:szCs w:val="24"/>
        </w:rPr>
        <w:t>.</w:t>
      </w:r>
      <w:r w:rsidR="002F3F55">
        <w:rPr>
          <w:rFonts w:ascii="Times New Roman" w:hAnsi="Times New Roman" w:cs="Times New Roman"/>
          <w:sz w:val="24"/>
          <w:szCs w:val="24"/>
        </w:rPr>
        <w:t xml:space="preserve"> UE</w:t>
      </w:r>
      <w:r w:rsidR="004D44B5" w:rsidRPr="00816E15">
        <w:rPr>
          <w:rFonts w:ascii="Times New Roman" w:hAnsi="Times New Roman" w:cs="Times New Roman"/>
          <w:sz w:val="24"/>
          <w:szCs w:val="24"/>
        </w:rPr>
        <w:t xml:space="preserve"> L 237 z 03.09.2016, str. 1)</w:t>
      </w:r>
      <w:r w:rsidR="00F82F63" w:rsidRPr="00816E15">
        <w:rPr>
          <w:rFonts w:ascii="Times New Roman" w:hAnsi="Times New Roman" w:cs="Times New Roman"/>
          <w:sz w:val="24"/>
          <w:szCs w:val="24"/>
        </w:rPr>
        <w:t>, zgodnie z którym w</w:t>
      </w:r>
      <w:r w:rsidRPr="00816E15">
        <w:rPr>
          <w:rFonts w:ascii="Times New Roman" w:hAnsi="Times New Roman" w:cs="Times New Roman"/>
          <w:sz w:val="24"/>
          <w:szCs w:val="24"/>
        </w:rPr>
        <w:t xml:space="preserve"> celu wyeliminowania przeszkód dla restrukturyzacji i uporządkowanej likwidacji organy d</w:t>
      </w:r>
      <w:r w:rsidR="00F82F63" w:rsidRPr="00816E15">
        <w:rPr>
          <w:rFonts w:ascii="Times New Roman" w:hAnsi="Times New Roman" w:cs="Times New Roman"/>
          <w:sz w:val="24"/>
          <w:szCs w:val="24"/>
        </w:rPr>
        <w:t xml:space="preserve">o </w:t>
      </w:r>
      <w:r w:rsidRPr="00816E15">
        <w:rPr>
          <w:rFonts w:ascii="Times New Roman" w:hAnsi="Times New Roman" w:cs="Times New Roman"/>
          <w:sz w:val="24"/>
          <w:szCs w:val="24"/>
        </w:rPr>
        <w:t>s</w:t>
      </w:r>
      <w:r w:rsidR="00F82F63" w:rsidRPr="00816E15">
        <w:rPr>
          <w:rFonts w:ascii="Times New Roman" w:hAnsi="Times New Roman" w:cs="Times New Roman"/>
          <w:sz w:val="24"/>
          <w:szCs w:val="24"/>
        </w:rPr>
        <w:t>praw</w:t>
      </w:r>
      <w:r w:rsidR="00816E15">
        <w:rPr>
          <w:rFonts w:ascii="Times New Roman" w:hAnsi="Times New Roman" w:cs="Times New Roman"/>
          <w:sz w:val="24"/>
          <w:szCs w:val="24"/>
        </w:rPr>
        <w:t xml:space="preserve"> </w:t>
      </w:r>
      <w:r w:rsidRPr="00816E15">
        <w:rPr>
          <w:rFonts w:ascii="Times New Roman" w:hAnsi="Times New Roman" w:cs="Times New Roman"/>
          <w:sz w:val="24"/>
          <w:szCs w:val="24"/>
        </w:rPr>
        <w:t xml:space="preserve">restrukturyzacji i uporządkowanej likwidacji mogą nałożyć wymóg, </w:t>
      </w:r>
      <w:r w:rsidR="00F82F63" w:rsidRPr="00816E15">
        <w:rPr>
          <w:rFonts w:ascii="Times New Roman" w:hAnsi="Times New Roman" w:cs="Times New Roman"/>
          <w:sz w:val="24"/>
          <w:szCs w:val="24"/>
        </w:rPr>
        <w:t>a</w:t>
      </w:r>
      <w:r w:rsidRPr="00816E15">
        <w:rPr>
          <w:rFonts w:ascii="Times New Roman" w:hAnsi="Times New Roman" w:cs="Times New Roman"/>
          <w:sz w:val="24"/>
          <w:szCs w:val="24"/>
        </w:rPr>
        <w:t>by część MREL, o której mowa w art. 45 ust. 1 dyrektywy 2014/59/UE, była spełniana przez podporządkowane umowne instrumenty umorzenia lub konwersji długu lub przez ustalen</w:t>
      </w:r>
      <w:r w:rsidR="002F3F55">
        <w:rPr>
          <w:rFonts w:ascii="Times New Roman" w:hAnsi="Times New Roman" w:cs="Times New Roman"/>
          <w:sz w:val="24"/>
          <w:szCs w:val="24"/>
        </w:rPr>
        <w:t>ie wyższych minimalnych wymogów</w:t>
      </w:r>
      <w:r w:rsidRPr="00816E15">
        <w:rPr>
          <w:rFonts w:ascii="Times New Roman" w:hAnsi="Times New Roman" w:cs="Times New Roman"/>
          <w:sz w:val="24"/>
          <w:szCs w:val="24"/>
        </w:rPr>
        <w:t xml:space="preserve"> bądź też przez alternatywne środki. Jeżeli ryzyko naruszenia zasady niepogarszania sytuacji wierzycieli jest wystarczająco niskie, nie jest konieczne wprowadzanie zmian do MREL</w:t>
      </w:r>
      <w:r w:rsidR="00F82F63" w:rsidRPr="00816E15">
        <w:rPr>
          <w:rFonts w:ascii="Times New Roman" w:hAnsi="Times New Roman" w:cs="Times New Roman"/>
          <w:sz w:val="24"/>
          <w:szCs w:val="24"/>
        </w:rPr>
        <w:t>.</w:t>
      </w:r>
    </w:p>
    <w:p w14:paraId="7FC912A5" w14:textId="500A90B3" w:rsidR="00086F64" w:rsidRPr="00816E15" w:rsidRDefault="005D2D32" w:rsidP="00CF5AAF">
      <w:pPr>
        <w:pStyle w:val="Tekstpodstawowy3"/>
        <w:shd w:val="clear" w:color="auto" w:fill="auto"/>
        <w:spacing w:after="60" w:line="360" w:lineRule="auto"/>
        <w:ind w:left="40" w:right="40" w:firstLine="0"/>
        <w:jc w:val="both"/>
        <w:rPr>
          <w:rFonts w:ascii="Times New Roman" w:hAnsi="Times New Roman" w:cs="Times New Roman"/>
          <w:sz w:val="24"/>
          <w:szCs w:val="24"/>
        </w:rPr>
      </w:pPr>
      <w:r w:rsidRPr="00816E15">
        <w:rPr>
          <w:rFonts w:ascii="Times New Roman" w:hAnsi="Times New Roman" w:cs="Times New Roman"/>
          <w:sz w:val="24"/>
          <w:szCs w:val="24"/>
        </w:rPr>
        <w:t>Dodatkowo należy wskazać, że art. 97 ust. 12 w obecnym brzmieniu posługuje się pojęciem „instrumentów finansowych</w:t>
      </w:r>
      <w:r w:rsidR="002F3F55">
        <w:rPr>
          <w:rFonts w:ascii="Times New Roman" w:hAnsi="Times New Roman" w:cs="Times New Roman"/>
          <w:sz w:val="24"/>
          <w:szCs w:val="24"/>
        </w:rPr>
        <w:t>”</w:t>
      </w:r>
      <w:r w:rsidRPr="00816E15">
        <w:rPr>
          <w:rFonts w:ascii="Times New Roman" w:hAnsi="Times New Roman" w:cs="Times New Roman"/>
          <w:sz w:val="24"/>
          <w:szCs w:val="24"/>
        </w:rPr>
        <w:t xml:space="preserve">, które zostało zdefiniowane w </w:t>
      </w:r>
      <w:r w:rsidR="004B06AB" w:rsidRPr="00816E15">
        <w:rPr>
          <w:rFonts w:ascii="Times New Roman" w:hAnsi="Times New Roman" w:cs="Times New Roman"/>
          <w:sz w:val="24"/>
          <w:szCs w:val="24"/>
        </w:rPr>
        <w:t>a</w:t>
      </w:r>
      <w:r w:rsidR="00F82F63" w:rsidRPr="00816E15">
        <w:rPr>
          <w:rFonts w:ascii="Times New Roman" w:hAnsi="Times New Roman" w:cs="Times New Roman"/>
          <w:sz w:val="24"/>
          <w:szCs w:val="24"/>
        </w:rPr>
        <w:t>rt.</w:t>
      </w:r>
      <w:r w:rsidRPr="00816E15">
        <w:rPr>
          <w:rFonts w:ascii="Times New Roman" w:hAnsi="Times New Roman" w:cs="Times New Roman"/>
          <w:sz w:val="24"/>
          <w:szCs w:val="24"/>
        </w:rPr>
        <w:t xml:space="preserve"> 2 pkt 23 ustawy </w:t>
      </w:r>
      <w:r w:rsidR="007F67CA" w:rsidRPr="00816E15">
        <w:rPr>
          <w:rFonts w:ascii="Times New Roman" w:hAnsi="Times New Roman" w:cs="Times New Roman"/>
          <w:sz w:val="24"/>
          <w:szCs w:val="24"/>
        </w:rPr>
        <w:t xml:space="preserve">o BFG </w:t>
      </w:r>
      <w:r w:rsidRPr="00816E15">
        <w:rPr>
          <w:rFonts w:ascii="Times New Roman" w:hAnsi="Times New Roman" w:cs="Times New Roman"/>
          <w:sz w:val="24"/>
          <w:szCs w:val="24"/>
        </w:rPr>
        <w:t xml:space="preserve">przez odwołanie do ustawy </w:t>
      </w:r>
      <w:r w:rsidR="007F67CA" w:rsidRPr="00816E15">
        <w:rPr>
          <w:rFonts w:ascii="Times New Roman" w:hAnsi="Times New Roman" w:cs="Times New Roman"/>
          <w:sz w:val="24"/>
          <w:szCs w:val="24"/>
        </w:rPr>
        <w:t xml:space="preserve">z dnia </w:t>
      </w:r>
      <w:r w:rsidR="005B1F5A" w:rsidRPr="00816E15">
        <w:rPr>
          <w:rFonts w:ascii="Times New Roman" w:hAnsi="Times New Roman" w:cs="Times New Roman"/>
          <w:sz w:val="24"/>
          <w:szCs w:val="24"/>
        </w:rPr>
        <w:t xml:space="preserve">29 lipca 2005 r. </w:t>
      </w:r>
      <w:r w:rsidRPr="00816E15">
        <w:rPr>
          <w:rFonts w:ascii="Times New Roman" w:hAnsi="Times New Roman" w:cs="Times New Roman"/>
          <w:sz w:val="24"/>
          <w:szCs w:val="24"/>
        </w:rPr>
        <w:t>o obrocie instrumentami finansowymi</w:t>
      </w:r>
      <w:r w:rsidR="007F67CA" w:rsidRPr="00816E15">
        <w:rPr>
          <w:rFonts w:ascii="Times New Roman" w:hAnsi="Times New Roman" w:cs="Times New Roman"/>
          <w:sz w:val="24"/>
          <w:szCs w:val="24"/>
        </w:rPr>
        <w:t xml:space="preserve"> (Dz. U</w:t>
      </w:r>
      <w:r w:rsidR="00CA7A4D" w:rsidRPr="00816E15">
        <w:rPr>
          <w:rFonts w:ascii="Times New Roman" w:hAnsi="Times New Roman" w:cs="Times New Roman"/>
          <w:sz w:val="24"/>
          <w:szCs w:val="24"/>
        </w:rPr>
        <w:t xml:space="preserve">. </w:t>
      </w:r>
      <w:r w:rsidR="00CA7A4D" w:rsidRPr="00816E15">
        <w:rPr>
          <w:rFonts w:ascii="Times New Roman" w:hAnsi="Times New Roman" w:cs="Times New Roman"/>
          <w:bCs/>
          <w:sz w:val="24"/>
          <w:szCs w:val="24"/>
        </w:rPr>
        <w:t>z</w:t>
      </w:r>
      <w:r w:rsidR="00380F66" w:rsidRPr="00816E15">
        <w:rPr>
          <w:rFonts w:ascii="Times New Roman" w:hAnsi="Times New Roman" w:cs="Times New Roman"/>
          <w:bCs/>
          <w:sz w:val="24"/>
          <w:szCs w:val="24"/>
        </w:rPr>
        <w:t> </w:t>
      </w:r>
      <w:r w:rsidR="00CA7A4D" w:rsidRPr="00816E15">
        <w:rPr>
          <w:rFonts w:ascii="Times New Roman" w:hAnsi="Times New Roman" w:cs="Times New Roman"/>
          <w:bCs/>
          <w:sz w:val="24"/>
          <w:szCs w:val="24"/>
        </w:rPr>
        <w:t>2017 r. poz. 1768</w:t>
      </w:r>
      <w:r w:rsidR="00EC7B06" w:rsidRPr="00816E15">
        <w:rPr>
          <w:rFonts w:ascii="Times New Roman" w:hAnsi="Times New Roman" w:cs="Times New Roman"/>
          <w:bCs/>
          <w:sz w:val="24"/>
          <w:szCs w:val="24"/>
        </w:rPr>
        <w:t>, z późn. zm.</w:t>
      </w:r>
      <w:r w:rsidR="007F67CA" w:rsidRPr="00816E15">
        <w:rPr>
          <w:rFonts w:ascii="Times New Roman" w:hAnsi="Times New Roman" w:cs="Times New Roman"/>
          <w:sz w:val="24"/>
          <w:szCs w:val="24"/>
        </w:rPr>
        <w:t>)</w:t>
      </w:r>
      <w:r w:rsidRPr="00816E15">
        <w:rPr>
          <w:rFonts w:ascii="Times New Roman" w:hAnsi="Times New Roman" w:cs="Times New Roman"/>
          <w:sz w:val="24"/>
          <w:szCs w:val="24"/>
        </w:rPr>
        <w:t>, co potencjalnie może ograniczać zakres regulacji w stosunku do</w:t>
      </w:r>
      <w:r w:rsidR="00380F66" w:rsidRPr="00816E15">
        <w:rPr>
          <w:rFonts w:ascii="Times New Roman" w:hAnsi="Times New Roman" w:cs="Times New Roman"/>
          <w:sz w:val="24"/>
          <w:szCs w:val="24"/>
        </w:rPr>
        <w:t> </w:t>
      </w:r>
      <w:r w:rsidRPr="00816E15">
        <w:rPr>
          <w:rFonts w:ascii="Times New Roman" w:hAnsi="Times New Roman" w:cs="Times New Roman"/>
          <w:sz w:val="24"/>
          <w:szCs w:val="24"/>
        </w:rPr>
        <w:t xml:space="preserve">implementowanego przepisu </w:t>
      </w:r>
      <w:r w:rsidR="00F82F63" w:rsidRPr="00816E15">
        <w:rPr>
          <w:rFonts w:ascii="Times New Roman" w:hAnsi="Times New Roman" w:cs="Times New Roman"/>
          <w:sz w:val="24"/>
          <w:szCs w:val="24"/>
        </w:rPr>
        <w:t xml:space="preserve">dyrektywy </w:t>
      </w:r>
      <w:r w:rsidRPr="00816E15">
        <w:rPr>
          <w:rFonts w:ascii="Times New Roman" w:hAnsi="Times New Roman" w:cs="Times New Roman"/>
          <w:sz w:val="24"/>
          <w:szCs w:val="24"/>
        </w:rPr>
        <w:t xml:space="preserve">BRR, który odnosi się do zobowiązań kwalifikowalnych, w tym depozytów długoterminowych składanych przez podmioty finansowe. Celem poprawki jest usunięcie wskazanych powyżej rozbieżności pomiędzy </w:t>
      </w:r>
      <w:r w:rsidR="004B06AB" w:rsidRPr="00816E15">
        <w:rPr>
          <w:rFonts w:ascii="Times New Roman" w:hAnsi="Times New Roman" w:cs="Times New Roman"/>
          <w:sz w:val="24"/>
          <w:szCs w:val="24"/>
        </w:rPr>
        <w:t>a</w:t>
      </w:r>
      <w:r w:rsidR="00F82F63" w:rsidRPr="00816E15">
        <w:rPr>
          <w:rFonts w:ascii="Times New Roman" w:hAnsi="Times New Roman" w:cs="Times New Roman"/>
          <w:sz w:val="24"/>
          <w:szCs w:val="24"/>
        </w:rPr>
        <w:t>rt.</w:t>
      </w:r>
      <w:r w:rsidRPr="00816E15">
        <w:rPr>
          <w:rFonts w:ascii="Times New Roman" w:hAnsi="Times New Roman" w:cs="Times New Roman"/>
          <w:sz w:val="24"/>
          <w:szCs w:val="24"/>
        </w:rPr>
        <w:t xml:space="preserve"> 97 ust. 12 a</w:t>
      </w:r>
      <w:r w:rsidR="00380F66" w:rsidRPr="00816E15">
        <w:rPr>
          <w:rFonts w:ascii="Times New Roman" w:hAnsi="Times New Roman" w:cs="Times New Roman"/>
          <w:sz w:val="24"/>
          <w:szCs w:val="24"/>
        </w:rPr>
        <w:t> </w:t>
      </w:r>
      <w:r w:rsidRPr="00816E15">
        <w:rPr>
          <w:rFonts w:ascii="Times New Roman" w:hAnsi="Times New Roman" w:cs="Times New Roman"/>
          <w:sz w:val="24"/>
          <w:szCs w:val="24"/>
        </w:rPr>
        <w:t xml:space="preserve">implementowanymi </w:t>
      </w:r>
      <w:r w:rsidR="007F67CA" w:rsidRPr="00816E15">
        <w:rPr>
          <w:rFonts w:ascii="Times New Roman" w:hAnsi="Times New Roman" w:cs="Times New Roman"/>
          <w:sz w:val="24"/>
          <w:szCs w:val="24"/>
        </w:rPr>
        <w:t xml:space="preserve">przepisami </w:t>
      </w:r>
      <w:r w:rsidRPr="00816E15">
        <w:rPr>
          <w:rFonts w:ascii="Times New Roman" w:hAnsi="Times New Roman" w:cs="Times New Roman"/>
          <w:sz w:val="24"/>
          <w:szCs w:val="24"/>
        </w:rPr>
        <w:t>art. 45 ust. 13 i 14 BRR.</w:t>
      </w:r>
    </w:p>
    <w:p w14:paraId="55AAA027" w14:textId="6D790840" w:rsidR="005F57E9" w:rsidRPr="00816E15" w:rsidRDefault="00086F64" w:rsidP="00CF5AAF">
      <w:pPr>
        <w:pStyle w:val="Tekstpodstawowy3"/>
        <w:shd w:val="clear" w:color="auto" w:fill="auto"/>
        <w:spacing w:before="240" w:after="60" w:line="360" w:lineRule="auto"/>
        <w:ind w:left="40" w:right="40" w:firstLine="0"/>
        <w:jc w:val="both"/>
        <w:rPr>
          <w:rFonts w:cs="Times New Roman"/>
          <w:b/>
          <w:sz w:val="24"/>
          <w:szCs w:val="24"/>
        </w:rPr>
      </w:pPr>
      <w:r w:rsidRPr="00816E15">
        <w:rPr>
          <w:rFonts w:ascii="Times New Roman" w:hAnsi="Times New Roman" w:cs="Times New Roman"/>
          <w:sz w:val="24"/>
          <w:szCs w:val="24"/>
          <w:lang w:val="pl"/>
        </w:rPr>
        <w:t xml:space="preserve">Zmiana w </w:t>
      </w:r>
      <w:r w:rsidRPr="00816E15">
        <w:rPr>
          <w:rFonts w:ascii="Times New Roman" w:hAnsi="Times New Roman" w:cs="Times New Roman"/>
          <w:b/>
          <w:sz w:val="24"/>
          <w:szCs w:val="24"/>
          <w:lang w:val="pl"/>
        </w:rPr>
        <w:t xml:space="preserve">art. </w:t>
      </w:r>
      <w:r w:rsidRPr="00816E15">
        <w:rPr>
          <w:rFonts w:ascii="Times New Roman" w:hAnsi="Times New Roman" w:cs="Times New Roman"/>
          <w:b/>
          <w:sz w:val="24"/>
          <w:szCs w:val="24"/>
        </w:rPr>
        <w:t xml:space="preserve">97 ust. 13 </w:t>
      </w:r>
      <w:r w:rsidRPr="00816E15">
        <w:rPr>
          <w:rFonts w:ascii="Times New Roman" w:hAnsi="Times New Roman" w:cs="Times New Roman"/>
          <w:sz w:val="24"/>
          <w:szCs w:val="24"/>
        </w:rPr>
        <w:t>związana jest z wprowadzaniem w art. 73 ust. 3 terminu mającego na celu</w:t>
      </w:r>
      <w:r w:rsidRPr="00816E15">
        <w:rPr>
          <w:rFonts w:ascii="Times New Roman" w:hAnsi="Times New Roman" w:cs="Times New Roman"/>
          <w:w w:val="105"/>
          <w:sz w:val="24"/>
          <w:szCs w:val="24"/>
        </w:rPr>
        <w:t xml:space="preserve"> usprawnienie oraz przyspieszenie procesu przyjmowania i aktualizacji planów przymusowej restrukturyzacji. Odpowiednie stosowanie przepisu ma stworzyć ramy czasowe </w:t>
      </w:r>
      <w:r w:rsidRPr="00816E15">
        <w:rPr>
          <w:rFonts w:ascii="Times New Roman" w:hAnsi="Times New Roman" w:cs="Times New Roman"/>
          <w:sz w:val="24"/>
          <w:szCs w:val="24"/>
        </w:rPr>
        <w:t>również dla</w:t>
      </w:r>
      <w:r w:rsidR="00816E15">
        <w:rPr>
          <w:rFonts w:ascii="Times New Roman" w:hAnsi="Times New Roman" w:cs="Times New Roman"/>
          <w:sz w:val="24"/>
          <w:szCs w:val="24"/>
        </w:rPr>
        <w:t xml:space="preserve"> </w:t>
      </w:r>
      <w:r w:rsidRPr="00816E15">
        <w:rPr>
          <w:rFonts w:ascii="Times New Roman" w:hAnsi="Times New Roman" w:cs="Times New Roman"/>
          <w:sz w:val="24"/>
          <w:szCs w:val="24"/>
        </w:rPr>
        <w:t>grupowych planów przymusowej</w:t>
      </w:r>
      <w:r w:rsidR="00152CCA" w:rsidRPr="00816E15">
        <w:rPr>
          <w:rFonts w:ascii="Times New Roman" w:hAnsi="Times New Roman" w:cs="Times New Roman"/>
          <w:sz w:val="24"/>
          <w:szCs w:val="24"/>
        </w:rPr>
        <w:t xml:space="preserve"> restrukturyzacji</w:t>
      </w:r>
      <w:r w:rsidRPr="00816E15">
        <w:rPr>
          <w:rFonts w:ascii="Times New Roman" w:hAnsi="Times New Roman" w:cs="Times New Roman"/>
          <w:sz w:val="24"/>
          <w:szCs w:val="24"/>
        </w:rPr>
        <w:t xml:space="preserve"> w zw</w:t>
      </w:r>
      <w:r w:rsidR="00CC339F" w:rsidRPr="00816E15">
        <w:rPr>
          <w:rFonts w:ascii="Times New Roman" w:hAnsi="Times New Roman" w:cs="Times New Roman"/>
          <w:sz w:val="24"/>
          <w:szCs w:val="24"/>
        </w:rPr>
        <w:t xml:space="preserve">iązku </w:t>
      </w:r>
      <w:r w:rsidRPr="00816E15">
        <w:rPr>
          <w:rFonts w:ascii="Times New Roman" w:hAnsi="Times New Roman" w:cs="Times New Roman"/>
          <w:sz w:val="24"/>
          <w:szCs w:val="24"/>
        </w:rPr>
        <w:t>z aktualizacją minimalnego poziomu funduszy własnych i zobowiązań podlegających umorzeniu lub konwersji.</w:t>
      </w:r>
    </w:p>
    <w:p w14:paraId="05AEA06B" w14:textId="121CC8CB" w:rsidR="001B4684" w:rsidRPr="00816E15" w:rsidRDefault="001E39C2" w:rsidP="00CF5AAF">
      <w:pPr>
        <w:pStyle w:val="Tekstpodstawowy3"/>
        <w:shd w:val="clear" w:color="auto" w:fill="auto"/>
        <w:spacing w:before="240" w:after="60" w:line="360" w:lineRule="auto"/>
        <w:ind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W art. 98 ust. 2 obowiązującej ustawy o BFG wskazuje się na kompetencje Funduszu i właściwych organów przymusowej restrukturyzacji dla podmiotów zależnych do określania </w:t>
      </w:r>
      <w:r w:rsidR="00C62069" w:rsidRPr="00816E15">
        <w:rPr>
          <w:rFonts w:ascii="Times New Roman" w:hAnsi="Times New Roman" w:cs="Times New Roman"/>
          <w:sz w:val="24"/>
          <w:szCs w:val="24"/>
        </w:rPr>
        <w:t xml:space="preserve">(po </w:t>
      </w:r>
      <w:r w:rsidR="001B4684" w:rsidRPr="00816E15">
        <w:rPr>
          <w:rFonts w:ascii="Times New Roman" w:hAnsi="Times New Roman" w:cs="Times New Roman"/>
          <w:sz w:val="24"/>
          <w:szCs w:val="24"/>
        </w:rPr>
        <w:t xml:space="preserve">zasięgnięciu opinii KNF) </w:t>
      </w:r>
      <w:r w:rsidRPr="00816E15">
        <w:rPr>
          <w:rFonts w:ascii="Times New Roman" w:hAnsi="Times New Roman" w:cs="Times New Roman"/>
          <w:sz w:val="24"/>
          <w:szCs w:val="24"/>
        </w:rPr>
        <w:t xml:space="preserve">w formie wspólnej decyzji minimalnego poziomu funduszy własnych i zobowiązań podlegających umorzeniu lub konwersji (MREL) </w:t>
      </w:r>
      <w:r w:rsidR="001B4684" w:rsidRPr="00816E15">
        <w:rPr>
          <w:rFonts w:ascii="Times New Roman" w:hAnsi="Times New Roman" w:cs="Times New Roman"/>
          <w:sz w:val="24"/>
          <w:szCs w:val="24"/>
        </w:rPr>
        <w:t>na poziomie skonsolidowanym</w:t>
      </w:r>
      <w:r w:rsidRPr="00816E15">
        <w:rPr>
          <w:rFonts w:ascii="Times New Roman" w:hAnsi="Times New Roman" w:cs="Times New Roman"/>
          <w:sz w:val="24"/>
          <w:szCs w:val="24"/>
        </w:rPr>
        <w:t>.</w:t>
      </w:r>
      <w:r w:rsidR="001B4684" w:rsidRPr="00816E15">
        <w:rPr>
          <w:rFonts w:ascii="Times New Roman" w:hAnsi="Times New Roman" w:cs="Times New Roman"/>
          <w:sz w:val="24"/>
          <w:szCs w:val="24"/>
        </w:rPr>
        <w:t xml:space="preserve"> </w:t>
      </w:r>
      <w:r w:rsidR="00C62069" w:rsidRPr="00816E15">
        <w:rPr>
          <w:rFonts w:ascii="Times New Roman" w:hAnsi="Times New Roman" w:cs="Times New Roman"/>
          <w:sz w:val="24"/>
          <w:szCs w:val="24"/>
        </w:rPr>
        <w:t xml:space="preserve">Jednocześnie zgodnie z </w:t>
      </w:r>
      <w:r w:rsidR="001B4684" w:rsidRPr="00816E15">
        <w:rPr>
          <w:rFonts w:ascii="Times New Roman" w:hAnsi="Times New Roman" w:cs="Times New Roman"/>
          <w:sz w:val="24"/>
          <w:szCs w:val="24"/>
        </w:rPr>
        <w:t xml:space="preserve">art. 97 ust. 12 ustawy o BFG </w:t>
      </w:r>
      <w:r w:rsidR="00671362" w:rsidRPr="00816E15">
        <w:rPr>
          <w:rFonts w:ascii="Times New Roman" w:hAnsi="Times New Roman" w:cs="Times New Roman"/>
          <w:sz w:val="24"/>
          <w:szCs w:val="24"/>
        </w:rPr>
        <w:t>Fundusz</w:t>
      </w:r>
      <w:r w:rsidR="00C62069" w:rsidRPr="00816E15">
        <w:rPr>
          <w:rFonts w:ascii="Times New Roman" w:hAnsi="Times New Roman" w:cs="Times New Roman"/>
          <w:sz w:val="24"/>
          <w:szCs w:val="24"/>
        </w:rPr>
        <w:t xml:space="preserve"> może wymagać </w:t>
      </w:r>
      <w:r w:rsidR="00671362" w:rsidRPr="00816E15">
        <w:rPr>
          <w:rFonts w:ascii="Times New Roman" w:hAnsi="Times New Roman" w:cs="Times New Roman"/>
          <w:sz w:val="24"/>
          <w:szCs w:val="24"/>
        </w:rPr>
        <w:t xml:space="preserve">(w ślad za projektowaną zmianą) </w:t>
      </w:r>
      <w:r w:rsidR="00C62069" w:rsidRPr="00816E15">
        <w:rPr>
          <w:rFonts w:ascii="Times New Roman" w:hAnsi="Times New Roman" w:cs="Times New Roman"/>
          <w:bCs/>
          <w:sz w:val="24"/>
          <w:szCs w:val="24"/>
        </w:rPr>
        <w:t xml:space="preserve">od podmiotu, w ramach podejmowania decyzji o wysokości MREL, aby część obowiązku dotyczącego MREL była spełniona przez zobowiązania wynikające z umów spełniających warunki określone w tym przepisie. </w:t>
      </w:r>
      <w:r w:rsidR="00A91C7F" w:rsidRPr="00816E15">
        <w:rPr>
          <w:rFonts w:ascii="Times New Roman" w:hAnsi="Times New Roman" w:cs="Times New Roman"/>
          <w:sz w:val="24"/>
          <w:szCs w:val="24"/>
        </w:rPr>
        <w:t xml:space="preserve">Dodanie w </w:t>
      </w:r>
      <w:r w:rsidR="00A91C7F" w:rsidRPr="00816E15">
        <w:rPr>
          <w:rFonts w:ascii="Times New Roman" w:hAnsi="Times New Roman" w:cs="Times New Roman"/>
          <w:b/>
          <w:sz w:val="24"/>
          <w:szCs w:val="24"/>
        </w:rPr>
        <w:t xml:space="preserve">art. 98 ust. 2 </w:t>
      </w:r>
      <w:r w:rsidR="00A91C7F" w:rsidRPr="00816E15">
        <w:rPr>
          <w:rFonts w:ascii="Times New Roman" w:hAnsi="Times New Roman" w:cs="Times New Roman"/>
          <w:sz w:val="24"/>
          <w:szCs w:val="24"/>
        </w:rPr>
        <w:t>zdania drugiego</w:t>
      </w:r>
      <w:r w:rsidR="0048127A" w:rsidRPr="00816E15">
        <w:rPr>
          <w:rFonts w:ascii="Times New Roman" w:hAnsi="Times New Roman" w:cs="Times New Roman"/>
          <w:sz w:val="24"/>
          <w:szCs w:val="24"/>
        </w:rPr>
        <w:t>,</w:t>
      </w:r>
      <w:r w:rsidR="00A91C7F" w:rsidRPr="00816E15">
        <w:rPr>
          <w:rFonts w:ascii="Times New Roman" w:hAnsi="Times New Roman" w:cs="Times New Roman"/>
          <w:sz w:val="24"/>
          <w:szCs w:val="24"/>
        </w:rPr>
        <w:t xml:space="preserve"> tj. odpowiedniego stosowania art. 97 ust. 12</w:t>
      </w:r>
      <w:r w:rsidR="0048127A" w:rsidRPr="00816E15">
        <w:rPr>
          <w:rFonts w:ascii="Times New Roman" w:hAnsi="Times New Roman" w:cs="Times New Roman"/>
          <w:sz w:val="24"/>
          <w:szCs w:val="24"/>
        </w:rPr>
        <w:t>,</w:t>
      </w:r>
      <w:r w:rsidR="00A91C7F" w:rsidRPr="00816E15">
        <w:rPr>
          <w:rFonts w:ascii="Times New Roman" w:hAnsi="Times New Roman" w:cs="Times New Roman"/>
          <w:sz w:val="24"/>
          <w:szCs w:val="24"/>
        </w:rPr>
        <w:t xml:space="preserve"> </w:t>
      </w:r>
      <w:bookmarkStart w:id="1" w:name="mip40278621"/>
      <w:bookmarkEnd w:id="1"/>
      <w:r w:rsidR="005F57E9" w:rsidRPr="00816E15">
        <w:rPr>
          <w:rFonts w:ascii="Times New Roman" w:eastAsia="Times New Roman" w:hAnsi="Times New Roman" w:cs="Times New Roman"/>
          <w:sz w:val="24"/>
          <w:szCs w:val="24"/>
          <w:lang w:eastAsia="pl-PL"/>
        </w:rPr>
        <w:t>ma na celu wprowadzenie kompetencji Funduszu</w:t>
      </w:r>
      <w:r w:rsidR="00671362" w:rsidRPr="00816E15">
        <w:rPr>
          <w:rFonts w:ascii="Times New Roman" w:eastAsia="Times New Roman" w:hAnsi="Times New Roman" w:cs="Times New Roman"/>
          <w:sz w:val="24"/>
          <w:szCs w:val="24"/>
          <w:lang w:eastAsia="pl-PL"/>
        </w:rPr>
        <w:t>, o której mowa w art. 97 ust. 12,</w:t>
      </w:r>
      <w:r w:rsidR="005F57E9" w:rsidRPr="00816E15">
        <w:rPr>
          <w:rFonts w:ascii="Times New Roman" w:eastAsia="Times New Roman" w:hAnsi="Times New Roman"/>
          <w:sz w:val="24"/>
          <w:szCs w:val="24"/>
          <w:lang w:eastAsia="pl-PL"/>
        </w:rPr>
        <w:t xml:space="preserve"> </w:t>
      </w:r>
      <w:r w:rsidR="00671362" w:rsidRPr="00816E15">
        <w:rPr>
          <w:rFonts w:ascii="Times New Roman" w:eastAsia="Times New Roman" w:hAnsi="Times New Roman"/>
          <w:sz w:val="24"/>
          <w:szCs w:val="24"/>
          <w:lang w:eastAsia="pl-PL"/>
        </w:rPr>
        <w:t>także w</w:t>
      </w:r>
      <w:r w:rsidR="005F57E9" w:rsidRPr="00816E15">
        <w:rPr>
          <w:rFonts w:ascii="Times New Roman" w:eastAsia="Times New Roman" w:hAnsi="Times New Roman"/>
          <w:sz w:val="24"/>
          <w:szCs w:val="24"/>
          <w:lang w:eastAsia="pl-PL"/>
        </w:rPr>
        <w:t xml:space="preserve"> </w:t>
      </w:r>
      <w:r w:rsidR="00671362" w:rsidRPr="00816E15">
        <w:rPr>
          <w:rFonts w:ascii="Times New Roman" w:eastAsia="Times New Roman" w:hAnsi="Times New Roman"/>
          <w:sz w:val="24"/>
          <w:szCs w:val="24"/>
          <w:lang w:eastAsia="pl-PL"/>
        </w:rPr>
        <w:t xml:space="preserve">ramach </w:t>
      </w:r>
      <w:r w:rsidR="005F57E9" w:rsidRPr="00816E15">
        <w:rPr>
          <w:rFonts w:ascii="Times New Roman" w:eastAsia="Times New Roman" w:hAnsi="Times New Roman"/>
          <w:sz w:val="24"/>
          <w:szCs w:val="24"/>
          <w:lang w:eastAsia="pl-PL"/>
        </w:rPr>
        <w:t xml:space="preserve">uczestniczenia </w:t>
      </w:r>
      <w:r w:rsidR="00671362" w:rsidRPr="00816E15">
        <w:rPr>
          <w:rFonts w:ascii="Times New Roman" w:eastAsia="Times New Roman" w:hAnsi="Times New Roman"/>
          <w:sz w:val="24"/>
          <w:szCs w:val="24"/>
          <w:lang w:eastAsia="pl-PL"/>
        </w:rPr>
        <w:t xml:space="preserve">przez Fundusz </w:t>
      </w:r>
      <w:r w:rsidR="005F57E9" w:rsidRPr="00816E15">
        <w:rPr>
          <w:rFonts w:ascii="Times New Roman" w:eastAsia="Times New Roman" w:hAnsi="Times New Roman"/>
          <w:sz w:val="24"/>
          <w:szCs w:val="24"/>
          <w:lang w:eastAsia="pl-PL"/>
        </w:rPr>
        <w:t>w wyznaczaniu</w:t>
      </w:r>
      <w:r w:rsidR="00816E15">
        <w:rPr>
          <w:rFonts w:ascii="Times New Roman" w:eastAsia="Times New Roman" w:hAnsi="Times New Roman"/>
          <w:sz w:val="24"/>
          <w:szCs w:val="24"/>
          <w:lang w:eastAsia="pl-PL"/>
        </w:rPr>
        <w:t xml:space="preserve"> </w:t>
      </w:r>
      <w:r w:rsidR="005F57E9" w:rsidRPr="00816E15">
        <w:rPr>
          <w:rFonts w:ascii="Times New Roman" w:eastAsia="Times New Roman" w:hAnsi="Times New Roman"/>
          <w:sz w:val="24"/>
          <w:szCs w:val="24"/>
          <w:lang w:eastAsia="pl-PL"/>
        </w:rPr>
        <w:t>wymogu MREL</w:t>
      </w:r>
      <w:r w:rsidR="00671362" w:rsidRPr="00816E15">
        <w:rPr>
          <w:rFonts w:ascii="Times New Roman" w:eastAsia="Times New Roman" w:hAnsi="Times New Roman"/>
          <w:sz w:val="24"/>
          <w:szCs w:val="24"/>
          <w:lang w:eastAsia="pl-PL"/>
        </w:rPr>
        <w:t xml:space="preserve"> </w:t>
      </w:r>
      <w:r w:rsidR="005F57E9" w:rsidRPr="00816E15">
        <w:rPr>
          <w:rFonts w:ascii="Times New Roman" w:eastAsia="Times New Roman" w:hAnsi="Times New Roman"/>
          <w:sz w:val="24"/>
          <w:szCs w:val="24"/>
          <w:lang w:eastAsia="pl-PL"/>
        </w:rPr>
        <w:t>w odniesieniu do krajowych spółek zależnych</w:t>
      </w:r>
      <w:r w:rsidR="0048127A" w:rsidRPr="00816E15">
        <w:rPr>
          <w:rFonts w:ascii="Times New Roman" w:eastAsia="Times New Roman" w:hAnsi="Times New Roman"/>
          <w:sz w:val="24"/>
          <w:szCs w:val="24"/>
          <w:lang w:eastAsia="pl-PL"/>
        </w:rPr>
        <w:t>,</w:t>
      </w:r>
      <w:r w:rsidR="005F57E9" w:rsidRPr="00816E15">
        <w:rPr>
          <w:rFonts w:ascii="Times New Roman" w:eastAsia="Times New Roman" w:hAnsi="Times New Roman"/>
          <w:sz w:val="24"/>
          <w:szCs w:val="24"/>
          <w:lang w:eastAsia="pl-PL"/>
        </w:rPr>
        <w:t xml:space="preserve"> w stosunku do których decyzja o wysokości MREL podejmowana </w:t>
      </w:r>
      <w:r w:rsidR="00D51FAD" w:rsidRPr="00816E15">
        <w:rPr>
          <w:rFonts w:ascii="Times New Roman" w:eastAsia="Times New Roman" w:hAnsi="Times New Roman"/>
          <w:sz w:val="24"/>
          <w:szCs w:val="24"/>
          <w:lang w:eastAsia="pl-PL"/>
        </w:rPr>
        <w:t>jest w formie wspólnej decyzji.</w:t>
      </w:r>
    </w:p>
    <w:p w14:paraId="42381964" w14:textId="1024CCAF" w:rsidR="005D2D32" w:rsidRPr="00816E15" w:rsidRDefault="00AC05DD" w:rsidP="00CF5AAF">
      <w:pPr>
        <w:pStyle w:val="Tekstpodstawowy3"/>
        <w:shd w:val="clear" w:color="auto" w:fill="auto"/>
        <w:spacing w:before="240" w:after="60" w:line="360" w:lineRule="auto"/>
        <w:ind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Zmiana </w:t>
      </w:r>
      <w:r w:rsidR="005D2D32" w:rsidRPr="00816E15">
        <w:rPr>
          <w:rFonts w:ascii="Times New Roman" w:hAnsi="Times New Roman" w:cs="Times New Roman"/>
          <w:b/>
          <w:sz w:val="24"/>
          <w:szCs w:val="24"/>
        </w:rPr>
        <w:t xml:space="preserve">art. 101 ust. 11 i 12 </w:t>
      </w:r>
      <w:r w:rsidR="005D2D32" w:rsidRPr="00816E15">
        <w:rPr>
          <w:rFonts w:ascii="Times New Roman" w:hAnsi="Times New Roman" w:cs="Times New Roman"/>
          <w:sz w:val="24"/>
          <w:szCs w:val="24"/>
        </w:rPr>
        <w:t>ma charakter legislacyjny. Zastosowanie spójnika „i” w</w:t>
      </w:r>
      <w:r w:rsidR="00380F66" w:rsidRPr="00816E15">
        <w:rPr>
          <w:rFonts w:ascii="Times New Roman" w:hAnsi="Times New Roman" w:cs="Times New Roman"/>
          <w:sz w:val="24"/>
          <w:szCs w:val="24"/>
        </w:rPr>
        <w:t> </w:t>
      </w:r>
      <w:r w:rsidR="005D2D32" w:rsidRPr="00816E15">
        <w:rPr>
          <w:rFonts w:ascii="Times New Roman" w:hAnsi="Times New Roman" w:cs="Times New Roman"/>
          <w:sz w:val="24"/>
          <w:szCs w:val="24"/>
        </w:rPr>
        <w:t xml:space="preserve">wyliczeniu ustępów art. 101 powoduje, że przepis ten może zostać zinterpretowany w ten sposób, że </w:t>
      </w:r>
      <w:r w:rsidR="005B6694" w:rsidRPr="00816E15">
        <w:rPr>
          <w:rFonts w:ascii="Times New Roman" w:hAnsi="Times New Roman" w:cs="Times New Roman"/>
          <w:sz w:val="24"/>
          <w:szCs w:val="24"/>
        </w:rPr>
        <w:t>Fundusz</w:t>
      </w:r>
      <w:r w:rsidR="00816E15">
        <w:rPr>
          <w:rFonts w:ascii="Times New Roman" w:hAnsi="Times New Roman" w:cs="Times New Roman"/>
          <w:sz w:val="24"/>
          <w:szCs w:val="24"/>
        </w:rPr>
        <w:t xml:space="preserve"> </w:t>
      </w:r>
      <w:r w:rsidR="005D2D32" w:rsidRPr="00816E15">
        <w:rPr>
          <w:rFonts w:ascii="Times New Roman" w:hAnsi="Times New Roman" w:cs="Times New Roman"/>
          <w:sz w:val="24"/>
          <w:szCs w:val="24"/>
        </w:rPr>
        <w:t xml:space="preserve">ma obowiązek poinformowania Komisji Nadzoru Finansowego jedynie o łącznym braku spełnienia przesłanek, określonych w art. 101 ust. 7 i 8 ustawy. W zakresie zmiany art. 101 ust. 12 należy wskazać, że co do zasady ustanawianie pełnomocników stanowi czynność o charakterze cywilnoprawnym, a ustawa </w:t>
      </w:r>
      <w:r w:rsidR="00CC339F" w:rsidRPr="00816E15">
        <w:rPr>
          <w:rFonts w:ascii="Times New Roman" w:hAnsi="Times New Roman" w:cs="Times New Roman"/>
          <w:sz w:val="24"/>
          <w:szCs w:val="24"/>
        </w:rPr>
        <w:t xml:space="preserve">o BFG </w:t>
      </w:r>
      <w:r w:rsidR="005D2D32" w:rsidRPr="00816E15">
        <w:rPr>
          <w:rFonts w:ascii="Times New Roman" w:hAnsi="Times New Roman" w:cs="Times New Roman"/>
          <w:sz w:val="24"/>
          <w:szCs w:val="24"/>
        </w:rPr>
        <w:t>przewiduje powołanie pełnomocnika w drodze decyzji jedynie w przypadku, o którym mowa w art. 214 ust. 1. Aktualne sformułowanie zawarte w art. 101 ust. 11 mogłoby prowadzić do uznania, że</w:t>
      </w:r>
      <w:r w:rsidR="00380F66" w:rsidRPr="00816E15">
        <w:rPr>
          <w:rFonts w:ascii="Times New Roman" w:hAnsi="Times New Roman" w:cs="Times New Roman"/>
          <w:sz w:val="24"/>
          <w:szCs w:val="24"/>
        </w:rPr>
        <w:t> </w:t>
      </w:r>
      <w:r w:rsidR="005D2D32" w:rsidRPr="00816E15">
        <w:rPr>
          <w:rFonts w:ascii="Times New Roman" w:hAnsi="Times New Roman" w:cs="Times New Roman"/>
          <w:sz w:val="24"/>
          <w:szCs w:val="24"/>
        </w:rPr>
        <w:t xml:space="preserve">możliwe byłoby wskazanie w niej </w:t>
      </w:r>
      <w:r w:rsidR="00CC339F" w:rsidRPr="00816E15">
        <w:rPr>
          <w:rFonts w:ascii="Times New Roman" w:hAnsi="Times New Roman" w:cs="Times New Roman"/>
          <w:sz w:val="24"/>
          <w:szCs w:val="24"/>
        </w:rPr>
        <w:t xml:space="preserve">pełnomocników </w:t>
      </w:r>
      <w:r w:rsidR="005D2D32" w:rsidRPr="00816E15">
        <w:rPr>
          <w:rFonts w:ascii="Times New Roman" w:hAnsi="Times New Roman" w:cs="Times New Roman"/>
          <w:sz w:val="24"/>
          <w:szCs w:val="24"/>
        </w:rPr>
        <w:t>ustanowionych na zasadach ogólnych.</w:t>
      </w:r>
    </w:p>
    <w:p w14:paraId="7625425E" w14:textId="405DFC31" w:rsidR="005C5FC4" w:rsidRPr="00816E15" w:rsidRDefault="00AC05DD" w:rsidP="00CF5AAF">
      <w:pPr>
        <w:pStyle w:val="Tekstpodstawowy3"/>
        <w:shd w:val="clear" w:color="auto" w:fill="auto"/>
        <w:spacing w:before="240" w:after="60" w:line="360" w:lineRule="auto"/>
        <w:ind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Zmiana </w:t>
      </w:r>
      <w:r w:rsidR="005D2D32" w:rsidRPr="00816E15">
        <w:rPr>
          <w:rFonts w:ascii="Times New Roman" w:hAnsi="Times New Roman" w:cs="Times New Roman"/>
          <w:b/>
          <w:sz w:val="24"/>
          <w:szCs w:val="24"/>
        </w:rPr>
        <w:t xml:space="preserve">art. 110 ust. 4 </w:t>
      </w:r>
      <w:r w:rsidR="005D2D32" w:rsidRPr="00816E15">
        <w:rPr>
          <w:rFonts w:ascii="Times New Roman" w:hAnsi="Times New Roman" w:cs="Times New Roman"/>
          <w:sz w:val="24"/>
          <w:szCs w:val="24"/>
        </w:rPr>
        <w:t>ma na celu umożliwi</w:t>
      </w:r>
      <w:r w:rsidR="007F67CA" w:rsidRPr="00816E15">
        <w:rPr>
          <w:rFonts w:ascii="Times New Roman" w:hAnsi="Times New Roman" w:cs="Times New Roman"/>
          <w:sz w:val="24"/>
          <w:szCs w:val="24"/>
        </w:rPr>
        <w:t xml:space="preserve">enie </w:t>
      </w:r>
      <w:r w:rsidR="005D2D32" w:rsidRPr="00816E15">
        <w:rPr>
          <w:rFonts w:ascii="Times New Roman" w:hAnsi="Times New Roman" w:cs="Times New Roman"/>
          <w:sz w:val="24"/>
          <w:szCs w:val="24"/>
        </w:rPr>
        <w:t>prowadzeni</w:t>
      </w:r>
      <w:r w:rsidR="007F67CA" w:rsidRPr="00816E15">
        <w:rPr>
          <w:rFonts w:ascii="Times New Roman" w:hAnsi="Times New Roman" w:cs="Times New Roman"/>
          <w:sz w:val="24"/>
          <w:szCs w:val="24"/>
        </w:rPr>
        <w:t>a</w:t>
      </w:r>
      <w:r w:rsidR="005D2D32" w:rsidRPr="00816E15">
        <w:rPr>
          <w:rFonts w:ascii="Times New Roman" w:hAnsi="Times New Roman" w:cs="Times New Roman"/>
          <w:sz w:val="24"/>
          <w:szCs w:val="24"/>
        </w:rPr>
        <w:t xml:space="preserve"> przymusowej restrukturyzacji bez wątpliwości interpretacyjnych w stosunku do banków spółdzielczych</w:t>
      </w:r>
      <w:r w:rsidR="00CC339F" w:rsidRPr="00816E15">
        <w:rPr>
          <w:rFonts w:ascii="Times New Roman" w:hAnsi="Times New Roman" w:cs="Times New Roman"/>
          <w:sz w:val="24"/>
          <w:szCs w:val="24"/>
        </w:rPr>
        <w:t xml:space="preserve"> – chodzi o </w:t>
      </w:r>
      <w:r w:rsidR="00C54261" w:rsidRPr="00816E15">
        <w:rPr>
          <w:rFonts w:ascii="Times New Roman" w:hAnsi="Times New Roman" w:cs="Times New Roman"/>
          <w:sz w:val="24"/>
          <w:szCs w:val="24"/>
        </w:rPr>
        <w:t>wyłączenie przepisów dotyczących uzyskiwania członkostwa przez złożenie deklaracji albo poprzez podpisanie statutu</w:t>
      </w:r>
      <w:r w:rsidR="005D2D32" w:rsidRPr="00816E15">
        <w:rPr>
          <w:rFonts w:ascii="Times New Roman" w:hAnsi="Times New Roman" w:cs="Times New Roman"/>
          <w:sz w:val="24"/>
          <w:szCs w:val="24"/>
        </w:rPr>
        <w:t>.</w:t>
      </w:r>
      <w:r w:rsidR="00C54261" w:rsidRPr="00816E15">
        <w:rPr>
          <w:rFonts w:ascii="Times New Roman" w:hAnsi="Times New Roman" w:cs="Times New Roman"/>
          <w:sz w:val="24"/>
          <w:szCs w:val="24"/>
        </w:rPr>
        <w:t xml:space="preserve"> Spółdzielcza forma banku z definicji preferuje połączenie z innym lokalnym bankiem jako formę zarządzania kryzysem. Forma prawna spółdzielni sprzyja takiemu rozwiązaniu wobec braku uprawnienia członków do aktywów netto. Jednocześnie istniejące spółdzielcze systemy solidarnościowe (systemy IPS) stanowią realne narzędzie prewencji i zarządzania kryzysowego. Celem takiego instrumentarium</w:t>
      </w:r>
      <w:r w:rsidR="00CC339F" w:rsidRPr="00816E15">
        <w:rPr>
          <w:rFonts w:ascii="Times New Roman" w:hAnsi="Times New Roman" w:cs="Times New Roman"/>
          <w:sz w:val="24"/>
          <w:szCs w:val="24"/>
        </w:rPr>
        <w:t>,</w:t>
      </w:r>
      <w:r w:rsidR="00C54261" w:rsidRPr="00816E15">
        <w:rPr>
          <w:rFonts w:ascii="Times New Roman" w:hAnsi="Times New Roman" w:cs="Times New Roman"/>
          <w:sz w:val="24"/>
          <w:szCs w:val="24"/>
        </w:rPr>
        <w:t xml:space="preserve"> jakim dysponują systemy IPS</w:t>
      </w:r>
      <w:r w:rsidR="00CC339F" w:rsidRPr="00816E15">
        <w:rPr>
          <w:rFonts w:ascii="Times New Roman" w:hAnsi="Times New Roman" w:cs="Times New Roman"/>
          <w:sz w:val="24"/>
          <w:szCs w:val="24"/>
        </w:rPr>
        <w:t>,</w:t>
      </w:r>
      <w:r w:rsidR="00C54261" w:rsidRPr="00816E15">
        <w:rPr>
          <w:rFonts w:ascii="Times New Roman" w:hAnsi="Times New Roman" w:cs="Times New Roman"/>
          <w:sz w:val="24"/>
          <w:szCs w:val="24"/>
        </w:rPr>
        <w:t xml:space="preserve"> i co także jest uwzględnione w</w:t>
      </w:r>
      <w:r w:rsidR="00205905" w:rsidRPr="00816E15">
        <w:rPr>
          <w:rFonts w:ascii="Times New Roman" w:hAnsi="Times New Roman" w:cs="Times New Roman"/>
          <w:sz w:val="24"/>
          <w:szCs w:val="24"/>
        </w:rPr>
        <w:t xml:space="preserve"> rozporządzeniu w sprawie wymogów kapitałowych</w:t>
      </w:r>
      <w:r w:rsidR="00CC339F" w:rsidRPr="00816E15">
        <w:rPr>
          <w:rFonts w:ascii="Times New Roman" w:hAnsi="Times New Roman" w:cs="Times New Roman"/>
          <w:sz w:val="24"/>
          <w:szCs w:val="24"/>
        </w:rPr>
        <w:t>,</w:t>
      </w:r>
      <w:r w:rsidR="00C54261" w:rsidRPr="00816E15">
        <w:rPr>
          <w:rFonts w:ascii="Times New Roman" w:hAnsi="Times New Roman" w:cs="Times New Roman"/>
          <w:sz w:val="24"/>
          <w:szCs w:val="24"/>
        </w:rPr>
        <w:t xml:space="preserve"> jest kontrola, pomoc i</w:t>
      </w:r>
      <w:r w:rsidR="00816E15">
        <w:rPr>
          <w:rFonts w:ascii="Times New Roman" w:hAnsi="Times New Roman" w:cs="Times New Roman"/>
          <w:sz w:val="24"/>
          <w:szCs w:val="24"/>
        </w:rPr>
        <w:t xml:space="preserve"> </w:t>
      </w:r>
      <w:r w:rsidR="00C54261" w:rsidRPr="00816E15">
        <w:rPr>
          <w:rFonts w:ascii="Times New Roman" w:hAnsi="Times New Roman" w:cs="Times New Roman"/>
          <w:sz w:val="24"/>
          <w:szCs w:val="24"/>
        </w:rPr>
        <w:t>eksperckie działania wobec banku bliskiego załamania, a w tym ewentualna restrukturyzacja,</w:t>
      </w:r>
      <w:r w:rsidR="00816E15">
        <w:rPr>
          <w:rFonts w:ascii="Times New Roman" w:hAnsi="Times New Roman" w:cs="Times New Roman"/>
          <w:sz w:val="24"/>
          <w:szCs w:val="24"/>
        </w:rPr>
        <w:t xml:space="preserve"> </w:t>
      </w:r>
      <w:r w:rsidR="00C54261" w:rsidRPr="00816E15">
        <w:rPr>
          <w:rFonts w:ascii="Times New Roman" w:hAnsi="Times New Roman" w:cs="Times New Roman"/>
          <w:sz w:val="24"/>
          <w:szCs w:val="24"/>
        </w:rPr>
        <w:t>dokapitalizowanie w celu dalszego funkcjonowania instytucji, ale wciąż jako elementu sektora spółdzielczego. Niemniej banki spółdzielcze nie są wyłączone z BRRD, a więc przepisy dot</w:t>
      </w:r>
      <w:r w:rsidR="00CC339F" w:rsidRPr="00816E15">
        <w:rPr>
          <w:rFonts w:ascii="Times New Roman" w:hAnsi="Times New Roman" w:cs="Times New Roman"/>
          <w:sz w:val="24"/>
          <w:szCs w:val="24"/>
        </w:rPr>
        <w:t xml:space="preserve">yczące </w:t>
      </w:r>
      <w:r w:rsidR="00C54261" w:rsidRPr="00816E15">
        <w:rPr>
          <w:rFonts w:ascii="Times New Roman" w:hAnsi="Times New Roman" w:cs="Times New Roman"/>
          <w:sz w:val="24"/>
          <w:szCs w:val="24"/>
        </w:rPr>
        <w:t>bail-in muszą się do nich stosować. Rozstrzygnięcie zastosowania właściwego instrumentarium materializuje się na gruncie stosowalności prawa, w tym możliwości technicznych</w:t>
      </w:r>
      <w:r w:rsidR="007D309B" w:rsidRPr="00816E15">
        <w:rPr>
          <w:rFonts w:ascii="Times New Roman" w:hAnsi="Times New Roman" w:cs="Times New Roman"/>
          <w:sz w:val="24"/>
          <w:szCs w:val="24"/>
        </w:rPr>
        <w:t xml:space="preserve">, które ostatecznie będą zależeć od </w:t>
      </w:r>
      <w:r w:rsidR="00C54261" w:rsidRPr="00816E15">
        <w:rPr>
          <w:rFonts w:ascii="Times New Roman" w:hAnsi="Times New Roman" w:cs="Times New Roman"/>
          <w:sz w:val="24"/>
          <w:szCs w:val="24"/>
        </w:rPr>
        <w:t>oceny BFG.</w:t>
      </w:r>
    </w:p>
    <w:p w14:paraId="7BDD6493" w14:textId="62784429" w:rsidR="005C5FC4" w:rsidRPr="00816E15" w:rsidRDefault="005C5FC4" w:rsidP="00CF5AAF">
      <w:pPr>
        <w:pStyle w:val="Tekstpodstawowy3"/>
        <w:shd w:val="clear" w:color="auto" w:fill="auto"/>
        <w:spacing w:before="240" w:after="60" w:line="360" w:lineRule="auto"/>
        <w:ind w:right="40" w:firstLine="0"/>
        <w:jc w:val="both"/>
        <w:rPr>
          <w:rFonts w:cs="Times New Roman"/>
          <w:sz w:val="24"/>
          <w:szCs w:val="24"/>
        </w:rPr>
      </w:pPr>
      <w:r w:rsidRPr="00816E15">
        <w:rPr>
          <w:rFonts w:ascii="Times New Roman" w:hAnsi="Times New Roman" w:cs="Times New Roman"/>
          <w:sz w:val="24"/>
          <w:szCs w:val="24"/>
        </w:rPr>
        <w:t xml:space="preserve">Zmiana w </w:t>
      </w:r>
      <w:r w:rsidRPr="00816E15">
        <w:rPr>
          <w:rFonts w:ascii="Times New Roman" w:hAnsi="Times New Roman" w:cs="Times New Roman"/>
          <w:b/>
          <w:sz w:val="24"/>
          <w:szCs w:val="24"/>
        </w:rPr>
        <w:t>art. 110 ust. 5</w:t>
      </w:r>
      <w:r w:rsidRPr="00816E15">
        <w:rPr>
          <w:rFonts w:ascii="Times New Roman" w:hAnsi="Times New Roman" w:cs="Times New Roman"/>
          <w:sz w:val="24"/>
          <w:szCs w:val="24"/>
        </w:rPr>
        <w:t xml:space="preserve"> ma charakter legislacyjny. W treści przepisu usunięto publikator oraz skróconą nazwę ustawy z dnia 7 grudnia 2000 r. o funkcjonowaniu banków spółdzielczych, ich zrzeszaniu się i bankach zrzeszających</w:t>
      </w:r>
      <w:r w:rsidR="00CC339F" w:rsidRPr="00816E15">
        <w:rPr>
          <w:rFonts w:ascii="Times New Roman" w:hAnsi="Times New Roman" w:cs="Times New Roman"/>
          <w:sz w:val="24"/>
          <w:szCs w:val="24"/>
        </w:rPr>
        <w:t xml:space="preserve"> (Dz. U.</w:t>
      </w:r>
      <w:r w:rsidR="00DB090F" w:rsidRPr="00816E15">
        <w:rPr>
          <w:rFonts w:ascii="Times New Roman" w:hAnsi="Times New Roman" w:cs="Times New Roman"/>
          <w:sz w:val="24"/>
          <w:szCs w:val="24"/>
        </w:rPr>
        <w:t xml:space="preserve"> z 2018 r. poz. 613</w:t>
      </w:r>
      <w:r w:rsidR="00CC339F" w:rsidRPr="00816E15">
        <w:rPr>
          <w:rFonts w:ascii="Times New Roman" w:hAnsi="Times New Roman" w:cs="Times New Roman"/>
          <w:sz w:val="24"/>
          <w:szCs w:val="24"/>
        </w:rPr>
        <w:t>)</w:t>
      </w:r>
      <w:r w:rsidRPr="00816E15">
        <w:rPr>
          <w:rFonts w:ascii="Times New Roman" w:hAnsi="Times New Roman" w:cs="Times New Roman"/>
          <w:sz w:val="24"/>
          <w:szCs w:val="24"/>
        </w:rPr>
        <w:t xml:space="preserve">, </w:t>
      </w:r>
      <w:r w:rsidR="00FB5AF0" w:rsidRPr="00816E15">
        <w:rPr>
          <w:rFonts w:ascii="Times New Roman" w:hAnsi="Times New Roman" w:cs="Times New Roman"/>
          <w:sz w:val="24"/>
          <w:szCs w:val="24"/>
        </w:rPr>
        <w:t>dalej „ustawa o funkcjonowaniu banków spółdzielczych, ich zrzeszaniu się i bankach zrzeszających”</w:t>
      </w:r>
      <w:r w:rsidR="002F3F55">
        <w:rPr>
          <w:rFonts w:ascii="Times New Roman" w:hAnsi="Times New Roman" w:cs="Times New Roman"/>
          <w:sz w:val="24"/>
          <w:szCs w:val="24"/>
        </w:rPr>
        <w:t>,</w:t>
      </w:r>
      <w:r w:rsidR="00FB5AF0" w:rsidRPr="00816E15">
        <w:rPr>
          <w:rFonts w:ascii="Times New Roman" w:hAnsi="Times New Roman" w:cs="Times New Roman"/>
          <w:sz w:val="24"/>
          <w:szCs w:val="24"/>
        </w:rPr>
        <w:t xml:space="preserve"> </w:t>
      </w:r>
      <w:r w:rsidRPr="00816E15">
        <w:rPr>
          <w:rFonts w:ascii="Times New Roman" w:hAnsi="Times New Roman" w:cs="Times New Roman"/>
          <w:sz w:val="24"/>
          <w:szCs w:val="24"/>
        </w:rPr>
        <w:t>ponieważ elementy te zostały wprowadzone w dodawanym w art. 2 pkt 2a (definicja banku zrzeszającego).</w:t>
      </w:r>
    </w:p>
    <w:p w14:paraId="16DAC28B" w14:textId="3ADBCA1D" w:rsidR="00D51FAD" w:rsidRPr="00816E15" w:rsidRDefault="00362014" w:rsidP="00CF5AAF">
      <w:pPr>
        <w:pStyle w:val="Tekstpodstawowy3"/>
        <w:shd w:val="clear" w:color="auto" w:fill="auto"/>
        <w:spacing w:before="240" w:line="360" w:lineRule="auto"/>
        <w:ind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Zmiana </w:t>
      </w:r>
      <w:r w:rsidRPr="00816E15">
        <w:rPr>
          <w:rFonts w:ascii="Times New Roman" w:hAnsi="Times New Roman" w:cs="Times New Roman"/>
          <w:b/>
          <w:sz w:val="24"/>
          <w:szCs w:val="24"/>
        </w:rPr>
        <w:t>art. 110 ust. 6</w:t>
      </w:r>
      <w:r w:rsidRPr="00816E15">
        <w:rPr>
          <w:rFonts w:ascii="Times New Roman" w:hAnsi="Times New Roman" w:cs="Times New Roman"/>
          <w:sz w:val="24"/>
          <w:szCs w:val="24"/>
        </w:rPr>
        <w:t xml:space="preserve"> (podobnie jak i zmiana </w:t>
      </w:r>
      <w:r w:rsidRPr="00816E15">
        <w:rPr>
          <w:rFonts w:ascii="Times New Roman" w:hAnsi="Times New Roman" w:cs="Times New Roman"/>
          <w:b/>
          <w:sz w:val="24"/>
          <w:szCs w:val="24"/>
        </w:rPr>
        <w:t>art. 203</w:t>
      </w:r>
      <w:r w:rsidRPr="00816E15">
        <w:rPr>
          <w:rFonts w:ascii="Times New Roman" w:hAnsi="Times New Roman" w:cs="Times New Roman"/>
          <w:sz w:val="24"/>
          <w:szCs w:val="24"/>
        </w:rPr>
        <w:t xml:space="preserve">) ma na celu wyeliminowanie ograniczeń w zakresie zastosowania instrumentów przymusowej restrukturyzacji. Obecne rozwiązanie (zamknięcie ksiąg rachunkowych i sporządzenie sprawozdania) wykluczają szybkie zastosowanie instrumentów przymusowej restrukturyzacji w przypadku zamiaru pokrycia strat podmiotu w restrukturyzacji z funduszy własnych. Wynika to z faktu, że proces zamknięcia ksiąg rachunkowych i sporządzenia sprawozdania finansowego jest czasochłonny. W rezultacie konieczność szybkiego przeprowadzania procesów przymusowej restrukturyzacji stoi w kolizji z opcją polegającą na zamknięciu ksiąg i sporządzeniu sprawozdania finansowego. Proponowana zmiana polega na rozdzieleniu procesu zamknięcia ksiąg rachunkowych i sporządzenia sprawozdania finansowego od procesów związanych z przeprowadzeniem przymusowej restrukturyzacji. Proponowana zmiana nie naruszy interesów podmiotu w restrukturyzacji. </w:t>
      </w:r>
      <w:r w:rsidR="008E2760" w:rsidRPr="00816E15">
        <w:rPr>
          <w:rFonts w:ascii="Times New Roman" w:hAnsi="Times New Roman" w:cs="Times New Roman"/>
          <w:sz w:val="24"/>
          <w:szCs w:val="24"/>
        </w:rPr>
        <w:t xml:space="preserve">W związku z tym </w:t>
      </w:r>
      <w:r w:rsidR="007E5DAD" w:rsidRPr="00816E15">
        <w:rPr>
          <w:rFonts w:ascii="Times New Roman" w:hAnsi="Times New Roman" w:cs="Times New Roman"/>
          <w:sz w:val="24"/>
          <w:szCs w:val="24"/>
        </w:rPr>
        <w:t>konieczne stało się wprowadzenie warunku</w:t>
      </w:r>
      <w:r w:rsidR="00252529" w:rsidRPr="00816E15">
        <w:rPr>
          <w:rFonts w:ascii="Times New Roman" w:hAnsi="Times New Roman" w:cs="Times New Roman"/>
          <w:sz w:val="24"/>
          <w:szCs w:val="24"/>
        </w:rPr>
        <w:t xml:space="preserve"> </w:t>
      </w:r>
      <w:r w:rsidR="004C293C" w:rsidRPr="00816E15">
        <w:rPr>
          <w:rFonts w:ascii="Times New Roman" w:hAnsi="Times New Roman" w:cs="Times New Roman"/>
          <w:sz w:val="24"/>
          <w:szCs w:val="24"/>
        </w:rPr>
        <w:t xml:space="preserve">zastosowania umorzenia lub konwersji instrumentów kapitałowych, które </w:t>
      </w:r>
      <w:r w:rsidR="008E2760" w:rsidRPr="00816E15">
        <w:rPr>
          <w:rFonts w:ascii="Times New Roman" w:hAnsi="Times New Roman" w:cs="Times New Roman"/>
          <w:sz w:val="24"/>
          <w:szCs w:val="24"/>
        </w:rPr>
        <w:t>będzie mogło nastąpić wyłącznie w przypadku</w:t>
      </w:r>
      <w:r w:rsidR="002F3F55">
        <w:rPr>
          <w:rFonts w:ascii="Times New Roman" w:hAnsi="Times New Roman" w:cs="Times New Roman"/>
          <w:sz w:val="24"/>
          <w:szCs w:val="24"/>
        </w:rPr>
        <w:t>,</w:t>
      </w:r>
      <w:r w:rsidR="008E2760" w:rsidRPr="00816E15">
        <w:rPr>
          <w:rFonts w:ascii="Times New Roman" w:hAnsi="Times New Roman" w:cs="Times New Roman"/>
          <w:sz w:val="24"/>
          <w:szCs w:val="24"/>
        </w:rPr>
        <w:t xml:space="preserve"> </w:t>
      </w:r>
      <w:r w:rsidR="004C293C" w:rsidRPr="00816E15">
        <w:rPr>
          <w:rFonts w:ascii="Times New Roman" w:hAnsi="Times New Roman" w:cs="Times New Roman"/>
          <w:sz w:val="24"/>
          <w:szCs w:val="24"/>
        </w:rPr>
        <w:t xml:space="preserve">gdy </w:t>
      </w:r>
      <w:r w:rsidR="00B53A81" w:rsidRPr="00816E15">
        <w:rPr>
          <w:rFonts w:ascii="Times New Roman" w:hAnsi="Times New Roman" w:cs="Times New Roman"/>
          <w:sz w:val="24"/>
          <w:szCs w:val="24"/>
        </w:rPr>
        <w:t>w wyniku zastosowania instrumentów przymusowej restrukturyzacji wierzyciele ponieśliby straty lub ich zobowiązania podlegałyby konwersji.</w:t>
      </w:r>
      <w:r w:rsidR="004C293C" w:rsidRPr="00816E15">
        <w:rPr>
          <w:rFonts w:ascii="Times New Roman" w:hAnsi="Times New Roman" w:cs="Times New Roman"/>
          <w:sz w:val="24"/>
          <w:szCs w:val="24"/>
        </w:rPr>
        <w:t xml:space="preserve"> </w:t>
      </w:r>
      <w:r w:rsidR="008E2760" w:rsidRPr="00816E15">
        <w:rPr>
          <w:rFonts w:ascii="Times New Roman" w:hAnsi="Times New Roman" w:cs="Times New Roman"/>
          <w:sz w:val="24"/>
          <w:szCs w:val="24"/>
        </w:rPr>
        <w:t xml:space="preserve">Ponadto </w:t>
      </w:r>
      <w:r w:rsidR="001C6C2A" w:rsidRPr="00816E15">
        <w:rPr>
          <w:rFonts w:ascii="Times New Roman" w:hAnsi="Times New Roman" w:cs="Times New Roman"/>
          <w:sz w:val="24"/>
          <w:szCs w:val="24"/>
        </w:rPr>
        <w:t>zrezygnowano z dotychczasowego zdania drugiego</w:t>
      </w:r>
      <w:r w:rsidR="008E2760" w:rsidRPr="00816E15">
        <w:rPr>
          <w:rFonts w:ascii="Times New Roman" w:hAnsi="Times New Roman" w:cs="Times New Roman"/>
          <w:sz w:val="24"/>
          <w:szCs w:val="24"/>
        </w:rPr>
        <w:t xml:space="preserve">, ponieważ nowe </w:t>
      </w:r>
      <w:r w:rsidR="002B6E02" w:rsidRPr="00816E15">
        <w:rPr>
          <w:rFonts w:ascii="Times New Roman" w:hAnsi="Times New Roman" w:cs="Times New Roman"/>
          <w:sz w:val="24"/>
          <w:szCs w:val="24"/>
        </w:rPr>
        <w:t xml:space="preserve">brzmienie </w:t>
      </w:r>
      <w:r w:rsidR="008E2760" w:rsidRPr="00816E15">
        <w:rPr>
          <w:rFonts w:ascii="Times New Roman" w:hAnsi="Times New Roman" w:cs="Times New Roman"/>
          <w:sz w:val="24"/>
          <w:szCs w:val="24"/>
        </w:rPr>
        <w:t xml:space="preserve">przepisu </w:t>
      </w:r>
      <w:r w:rsidR="00CA3667" w:rsidRPr="00816E15">
        <w:rPr>
          <w:rFonts w:ascii="Times New Roman" w:hAnsi="Times New Roman" w:cs="Times New Roman"/>
          <w:sz w:val="24"/>
          <w:szCs w:val="24"/>
        </w:rPr>
        <w:t>reguluje sytuację jednoczesnego lub uprzedniego umorzenia lub konwersji instrumentów kapitałowych</w:t>
      </w:r>
      <w:r w:rsidR="003B5C09" w:rsidRPr="00816E15">
        <w:rPr>
          <w:rFonts w:ascii="Times New Roman" w:hAnsi="Times New Roman" w:cs="Times New Roman"/>
          <w:sz w:val="24"/>
          <w:szCs w:val="24"/>
        </w:rPr>
        <w:t xml:space="preserve"> wraz z zastosowaniem instrumentu umorz</w:t>
      </w:r>
      <w:r w:rsidR="00B53A81" w:rsidRPr="00816E15">
        <w:rPr>
          <w:rFonts w:ascii="Times New Roman" w:hAnsi="Times New Roman" w:cs="Times New Roman"/>
          <w:sz w:val="24"/>
          <w:szCs w:val="24"/>
        </w:rPr>
        <w:t xml:space="preserve">enia lub konwersji zobowiązań, </w:t>
      </w:r>
      <w:r w:rsidR="008E2760" w:rsidRPr="00816E15">
        <w:rPr>
          <w:rFonts w:ascii="Times New Roman" w:hAnsi="Times New Roman" w:cs="Times New Roman"/>
          <w:sz w:val="24"/>
          <w:szCs w:val="24"/>
        </w:rPr>
        <w:t xml:space="preserve">w </w:t>
      </w:r>
      <w:r w:rsidR="00B53A81" w:rsidRPr="00816E15">
        <w:rPr>
          <w:rFonts w:ascii="Times New Roman" w:hAnsi="Times New Roman" w:cs="Times New Roman"/>
          <w:sz w:val="24"/>
          <w:szCs w:val="24"/>
        </w:rPr>
        <w:t>cel</w:t>
      </w:r>
      <w:r w:rsidR="008E2760" w:rsidRPr="00816E15">
        <w:rPr>
          <w:rFonts w:ascii="Times New Roman" w:hAnsi="Times New Roman" w:cs="Times New Roman"/>
          <w:sz w:val="24"/>
          <w:szCs w:val="24"/>
        </w:rPr>
        <w:t>u</w:t>
      </w:r>
      <w:r w:rsidR="00B53A81" w:rsidRPr="00816E15">
        <w:rPr>
          <w:rFonts w:ascii="Times New Roman" w:hAnsi="Times New Roman" w:cs="Times New Roman"/>
          <w:sz w:val="24"/>
          <w:szCs w:val="24"/>
        </w:rPr>
        <w:t xml:space="preserve"> pokrycia strat podmiotu.</w:t>
      </w:r>
      <w:r w:rsidR="00B00CB8" w:rsidRPr="00816E15">
        <w:rPr>
          <w:rFonts w:ascii="Times New Roman" w:hAnsi="Times New Roman" w:cs="Times New Roman"/>
          <w:sz w:val="24"/>
          <w:szCs w:val="24"/>
        </w:rPr>
        <w:t xml:space="preserve"> </w:t>
      </w:r>
      <w:r w:rsidR="00E71720" w:rsidRPr="00816E15">
        <w:rPr>
          <w:rFonts w:ascii="Times New Roman" w:hAnsi="Times New Roman" w:cs="Times New Roman"/>
          <w:sz w:val="24"/>
          <w:szCs w:val="24"/>
        </w:rPr>
        <w:t>P</w:t>
      </w:r>
      <w:r w:rsidR="00B00CB8" w:rsidRPr="00816E15">
        <w:rPr>
          <w:rFonts w:ascii="Times New Roman" w:hAnsi="Times New Roman" w:cs="Times New Roman"/>
          <w:sz w:val="24"/>
          <w:szCs w:val="24"/>
        </w:rPr>
        <w:t xml:space="preserve">rzepis </w:t>
      </w:r>
      <w:r w:rsidR="00E71720" w:rsidRPr="00816E15">
        <w:rPr>
          <w:rFonts w:ascii="Times New Roman" w:hAnsi="Times New Roman" w:cs="Times New Roman"/>
          <w:sz w:val="24"/>
          <w:szCs w:val="24"/>
        </w:rPr>
        <w:t xml:space="preserve">art. 110 ust. 6 </w:t>
      </w:r>
      <w:r w:rsidR="00B00CB8" w:rsidRPr="00816E15">
        <w:rPr>
          <w:rFonts w:ascii="Times New Roman" w:hAnsi="Times New Roman" w:cs="Times New Roman"/>
          <w:sz w:val="24"/>
          <w:szCs w:val="24"/>
        </w:rPr>
        <w:t xml:space="preserve">w proponowanym brzmieniu zapewnia </w:t>
      </w:r>
      <w:r w:rsidR="00E71720" w:rsidRPr="00816E15">
        <w:rPr>
          <w:rFonts w:ascii="Times New Roman" w:hAnsi="Times New Roman" w:cs="Times New Roman"/>
          <w:sz w:val="24"/>
          <w:szCs w:val="24"/>
        </w:rPr>
        <w:t xml:space="preserve">bardziej prawidłową </w:t>
      </w:r>
      <w:r w:rsidR="00B00CB8" w:rsidRPr="00816E15">
        <w:rPr>
          <w:rFonts w:ascii="Times New Roman" w:hAnsi="Times New Roman" w:cs="Times New Roman"/>
          <w:sz w:val="24"/>
          <w:szCs w:val="24"/>
        </w:rPr>
        <w:t>implementację art. 37 ust. 2 dyrektywy BRR.</w:t>
      </w:r>
    </w:p>
    <w:p w14:paraId="4D2B6F6B" w14:textId="1CE57F9F" w:rsidR="0098520A" w:rsidRPr="00816E15" w:rsidRDefault="00AC05DD" w:rsidP="00CF5AAF">
      <w:pPr>
        <w:pStyle w:val="Tekstpodstawowy3"/>
        <w:shd w:val="clear" w:color="auto" w:fill="auto"/>
        <w:spacing w:before="240" w:line="360" w:lineRule="auto"/>
        <w:ind w:right="40" w:firstLine="0"/>
        <w:jc w:val="both"/>
        <w:rPr>
          <w:rFonts w:cs="Times New Roman"/>
          <w:sz w:val="24"/>
          <w:szCs w:val="24"/>
        </w:rPr>
      </w:pPr>
      <w:r w:rsidRPr="00816E15">
        <w:rPr>
          <w:rFonts w:ascii="Times New Roman" w:hAnsi="Times New Roman" w:cs="Times New Roman"/>
          <w:sz w:val="24"/>
          <w:szCs w:val="24"/>
        </w:rPr>
        <w:t xml:space="preserve">Zmiana </w:t>
      </w:r>
      <w:r w:rsidR="005D2D32" w:rsidRPr="00816E15">
        <w:rPr>
          <w:rFonts w:ascii="Times New Roman" w:hAnsi="Times New Roman" w:cs="Times New Roman"/>
          <w:b/>
          <w:sz w:val="24"/>
          <w:szCs w:val="24"/>
        </w:rPr>
        <w:t xml:space="preserve">art. 112 ust. 3 </w:t>
      </w:r>
      <w:r w:rsidR="005D2D32" w:rsidRPr="00816E15">
        <w:rPr>
          <w:rFonts w:ascii="Times New Roman" w:hAnsi="Times New Roman" w:cs="Times New Roman"/>
          <w:sz w:val="24"/>
          <w:szCs w:val="24"/>
        </w:rPr>
        <w:t xml:space="preserve">ma na celu </w:t>
      </w:r>
      <w:r w:rsidR="00CC339F" w:rsidRPr="00816E15">
        <w:rPr>
          <w:rFonts w:ascii="Times New Roman" w:hAnsi="Times New Roman" w:cs="Times New Roman"/>
          <w:sz w:val="24"/>
          <w:szCs w:val="24"/>
        </w:rPr>
        <w:t xml:space="preserve">usunięcie </w:t>
      </w:r>
      <w:r w:rsidR="005D2D32" w:rsidRPr="00816E15">
        <w:rPr>
          <w:rFonts w:ascii="Times New Roman" w:hAnsi="Times New Roman" w:cs="Times New Roman"/>
          <w:sz w:val="24"/>
          <w:szCs w:val="24"/>
        </w:rPr>
        <w:t>wątpliwości interpretacyjnych dotyczących możliwości udzielenia wsparcia podmiotowi przejmującemu prawa udziałowe podmiotu w</w:t>
      </w:r>
      <w:r w:rsidR="00380F66" w:rsidRPr="00816E15">
        <w:rPr>
          <w:rFonts w:ascii="Times New Roman" w:hAnsi="Times New Roman" w:cs="Times New Roman"/>
          <w:sz w:val="24"/>
          <w:szCs w:val="24"/>
        </w:rPr>
        <w:t> </w:t>
      </w:r>
      <w:r w:rsidR="005D2D32" w:rsidRPr="00816E15">
        <w:rPr>
          <w:rFonts w:ascii="Times New Roman" w:hAnsi="Times New Roman" w:cs="Times New Roman"/>
          <w:sz w:val="24"/>
          <w:szCs w:val="24"/>
        </w:rPr>
        <w:t>restrukturyzacji</w:t>
      </w:r>
      <w:r w:rsidR="00C65D73" w:rsidRPr="00816E15">
        <w:rPr>
          <w:rFonts w:ascii="Times New Roman" w:hAnsi="Times New Roman" w:cs="Times New Roman"/>
          <w:sz w:val="24"/>
          <w:szCs w:val="24"/>
        </w:rPr>
        <w:t xml:space="preserve"> </w:t>
      </w:r>
      <w:r w:rsidR="00280324">
        <w:rPr>
          <w:rFonts w:ascii="Times New Roman" w:hAnsi="Times New Roman" w:cs="Times New Roman"/>
          <w:sz w:val="24"/>
          <w:szCs w:val="24"/>
        </w:rPr>
        <w:t>–</w:t>
      </w:r>
      <w:r w:rsidR="00C65D73" w:rsidRPr="00816E15">
        <w:rPr>
          <w:rFonts w:ascii="Times New Roman" w:hAnsi="Times New Roman" w:cs="Times New Roman"/>
          <w:sz w:val="24"/>
          <w:szCs w:val="24"/>
        </w:rPr>
        <w:t xml:space="preserve"> </w:t>
      </w:r>
      <w:r w:rsidR="00C65D73" w:rsidRPr="00816E15">
        <w:rPr>
          <w:rFonts w:ascii="Times New Roman" w:hAnsi="Times New Roman" w:cs="Times New Roman"/>
          <w:w w:val="105"/>
          <w:sz w:val="24"/>
          <w:szCs w:val="24"/>
        </w:rPr>
        <w:t>zarówno wartość zobowiązań</w:t>
      </w:r>
      <w:r w:rsidR="002F3F55">
        <w:rPr>
          <w:rFonts w:ascii="Times New Roman" w:hAnsi="Times New Roman" w:cs="Times New Roman"/>
          <w:w w:val="105"/>
          <w:sz w:val="24"/>
          <w:szCs w:val="24"/>
        </w:rPr>
        <w:t>,</w:t>
      </w:r>
      <w:r w:rsidR="00C65D73" w:rsidRPr="00816E15">
        <w:rPr>
          <w:rFonts w:ascii="Times New Roman" w:hAnsi="Times New Roman" w:cs="Times New Roman"/>
          <w:w w:val="105"/>
          <w:sz w:val="24"/>
          <w:szCs w:val="24"/>
        </w:rPr>
        <w:t xml:space="preserve"> jak </w:t>
      </w:r>
      <w:r w:rsidR="00CC339F" w:rsidRPr="00816E15">
        <w:rPr>
          <w:rFonts w:ascii="Times New Roman" w:hAnsi="Times New Roman" w:cs="Times New Roman"/>
          <w:w w:val="105"/>
          <w:sz w:val="24"/>
          <w:szCs w:val="24"/>
        </w:rPr>
        <w:t xml:space="preserve">i </w:t>
      </w:r>
      <w:r w:rsidR="00C65D73" w:rsidRPr="00816E15">
        <w:rPr>
          <w:rFonts w:ascii="Times New Roman" w:hAnsi="Times New Roman" w:cs="Times New Roman"/>
          <w:w w:val="105"/>
          <w:sz w:val="24"/>
          <w:szCs w:val="24"/>
        </w:rPr>
        <w:t>wartość praw majątkowych będzie określana na podstawie oszacowania</w:t>
      </w:r>
      <w:r w:rsidR="005D2D32" w:rsidRPr="00816E15">
        <w:rPr>
          <w:rFonts w:ascii="Times New Roman" w:hAnsi="Times New Roman" w:cs="Times New Roman"/>
          <w:sz w:val="24"/>
          <w:szCs w:val="24"/>
        </w:rPr>
        <w:t>. W przypadku wykorzystania instrumentu przymusowej restrukturyzacji w</w:t>
      </w:r>
      <w:r w:rsidR="00380F66" w:rsidRPr="00816E15">
        <w:rPr>
          <w:rFonts w:ascii="Times New Roman" w:hAnsi="Times New Roman" w:cs="Times New Roman"/>
          <w:sz w:val="24"/>
          <w:szCs w:val="24"/>
        </w:rPr>
        <w:t> </w:t>
      </w:r>
      <w:r w:rsidR="005D2D32" w:rsidRPr="00816E15">
        <w:rPr>
          <w:rFonts w:ascii="Times New Roman" w:hAnsi="Times New Roman" w:cs="Times New Roman"/>
          <w:sz w:val="24"/>
          <w:szCs w:val="24"/>
        </w:rPr>
        <w:t xml:space="preserve">postaci przejęcia praw udziałowych nie dochodzi do bezpośredniego przejęcia praw majątkowych i zobowiązań, w związku z czym określenie </w:t>
      </w:r>
      <w:r w:rsidR="00CC339F" w:rsidRPr="00816E15">
        <w:rPr>
          <w:rFonts w:ascii="Times New Roman" w:hAnsi="Times New Roman" w:cs="Times New Roman"/>
          <w:sz w:val="24"/>
          <w:szCs w:val="24"/>
        </w:rPr>
        <w:t>„</w:t>
      </w:r>
      <w:r w:rsidR="005D2D32" w:rsidRPr="00816E15">
        <w:rPr>
          <w:rFonts w:ascii="Times New Roman" w:hAnsi="Times New Roman" w:cs="Times New Roman"/>
          <w:sz w:val="24"/>
          <w:szCs w:val="24"/>
        </w:rPr>
        <w:t>przejmowane prawa majątkowe</w:t>
      </w:r>
      <w:r w:rsidR="00CC339F" w:rsidRPr="00816E15">
        <w:rPr>
          <w:rFonts w:ascii="Times New Roman" w:hAnsi="Times New Roman" w:cs="Times New Roman"/>
          <w:sz w:val="24"/>
          <w:szCs w:val="24"/>
        </w:rPr>
        <w:t>”</w:t>
      </w:r>
      <w:r w:rsidR="005D2D32" w:rsidRPr="00816E15">
        <w:rPr>
          <w:rFonts w:ascii="Times New Roman" w:hAnsi="Times New Roman" w:cs="Times New Roman"/>
          <w:sz w:val="24"/>
          <w:szCs w:val="24"/>
        </w:rPr>
        <w:t xml:space="preserve"> lub </w:t>
      </w:r>
      <w:r w:rsidR="00CC339F" w:rsidRPr="00816E15">
        <w:rPr>
          <w:rFonts w:ascii="Times New Roman" w:hAnsi="Times New Roman" w:cs="Times New Roman"/>
          <w:sz w:val="24"/>
          <w:szCs w:val="24"/>
        </w:rPr>
        <w:t>„</w:t>
      </w:r>
      <w:r w:rsidR="005D2D32" w:rsidRPr="00816E15">
        <w:rPr>
          <w:rFonts w:ascii="Times New Roman" w:hAnsi="Times New Roman" w:cs="Times New Roman"/>
          <w:sz w:val="24"/>
          <w:szCs w:val="24"/>
        </w:rPr>
        <w:t>przejmowane zobowiązania</w:t>
      </w:r>
      <w:r w:rsidR="00CC339F" w:rsidRPr="00816E15">
        <w:rPr>
          <w:rFonts w:ascii="Times New Roman" w:hAnsi="Times New Roman" w:cs="Times New Roman"/>
          <w:sz w:val="24"/>
          <w:szCs w:val="24"/>
        </w:rPr>
        <w:t>”</w:t>
      </w:r>
      <w:r w:rsidR="005D2D32" w:rsidRPr="00816E15">
        <w:rPr>
          <w:rFonts w:ascii="Times New Roman" w:hAnsi="Times New Roman" w:cs="Times New Roman"/>
          <w:sz w:val="24"/>
          <w:szCs w:val="24"/>
        </w:rPr>
        <w:t xml:space="preserve"> mogłoby sugerować, </w:t>
      </w:r>
      <w:r w:rsidR="00152CCA" w:rsidRPr="00816E15">
        <w:rPr>
          <w:rFonts w:ascii="Times New Roman" w:hAnsi="Times New Roman" w:cs="Times New Roman"/>
          <w:sz w:val="24"/>
          <w:szCs w:val="24"/>
        </w:rPr>
        <w:t>t</w:t>
      </w:r>
      <w:r w:rsidR="00CC339F" w:rsidRPr="00816E15">
        <w:rPr>
          <w:rFonts w:ascii="Times New Roman" w:hAnsi="Times New Roman" w:cs="Times New Roman"/>
          <w:sz w:val="24"/>
          <w:szCs w:val="24"/>
        </w:rPr>
        <w:t>e</w:t>
      </w:r>
      <w:r w:rsidR="005D2D32" w:rsidRPr="00816E15">
        <w:rPr>
          <w:rFonts w:ascii="Times New Roman" w:hAnsi="Times New Roman" w:cs="Times New Roman"/>
          <w:sz w:val="24"/>
          <w:szCs w:val="24"/>
        </w:rPr>
        <w:t>ż w przypadku przejęcia praw udziałowych udzielenie wsparcia określonego w tym artykule nie jest możliwe. Dodatkowa zmiana w pkt 2 dotyczy uszczegółowienia relacji pomiędzy dotacją określoną w tym punkcie a środkami przekazanymi zgodnie z art. 179</w:t>
      </w:r>
      <w:r w:rsidR="00816E15">
        <w:rPr>
          <w:rFonts w:ascii="Times New Roman" w:hAnsi="Times New Roman" w:cs="Times New Roman"/>
          <w:sz w:val="24"/>
          <w:szCs w:val="24"/>
        </w:rPr>
        <w:t xml:space="preserve"> </w:t>
      </w:r>
      <w:r w:rsidR="005D2D32" w:rsidRPr="00816E15">
        <w:rPr>
          <w:rFonts w:ascii="Times New Roman" w:hAnsi="Times New Roman" w:cs="Times New Roman"/>
          <w:sz w:val="24"/>
          <w:szCs w:val="24"/>
        </w:rPr>
        <w:t xml:space="preserve">lub </w:t>
      </w:r>
      <w:r w:rsidR="004B6CAC" w:rsidRPr="00816E15">
        <w:rPr>
          <w:rFonts w:ascii="Times New Roman" w:hAnsi="Times New Roman" w:cs="Times New Roman"/>
          <w:sz w:val="24"/>
          <w:szCs w:val="24"/>
        </w:rPr>
        <w:t xml:space="preserve">art. </w:t>
      </w:r>
      <w:r w:rsidR="005D2D32" w:rsidRPr="00816E15">
        <w:rPr>
          <w:rFonts w:ascii="Times New Roman" w:hAnsi="Times New Roman" w:cs="Times New Roman"/>
          <w:sz w:val="24"/>
          <w:szCs w:val="24"/>
        </w:rPr>
        <w:t>188 ust. 5.</w:t>
      </w:r>
    </w:p>
    <w:p w14:paraId="36E30E83" w14:textId="46105889" w:rsidR="0098520A" w:rsidRPr="00816E15" w:rsidRDefault="0098520A" w:rsidP="00CF5AAF">
      <w:pPr>
        <w:pStyle w:val="Tekstpodstawowy3"/>
        <w:shd w:val="clear" w:color="auto" w:fill="auto"/>
        <w:spacing w:before="240" w:line="360" w:lineRule="auto"/>
        <w:ind w:right="40" w:firstLine="0"/>
        <w:jc w:val="both"/>
        <w:rPr>
          <w:rFonts w:cs="Times New Roman"/>
          <w:w w:val="105"/>
          <w:sz w:val="24"/>
          <w:szCs w:val="24"/>
        </w:rPr>
      </w:pPr>
      <w:r w:rsidRPr="00816E15">
        <w:rPr>
          <w:rFonts w:ascii="Times New Roman" w:hAnsi="Times New Roman" w:cs="Times New Roman"/>
          <w:w w:val="105"/>
          <w:sz w:val="24"/>
          <w:szCs w:val="24"/>
        </w:rPr>
        <w:t xml:space="preserve">Zmiana w </w:t>
      </w:r>
      <w:r w:rsidRPr="00816E15">
        <w:rPr>
          <w:rFonts w:ascii="Times New Roman" w:hAnsi="Times New Roman" w:cs="Times New Roman"/>
          <w:b/>
          <w:w w:val="105"/>
          <w:sz w:val="24"/>
          <w:szCs w:val="24"/>
        </w:rPr>
        <w:t>art. 113 ust. 1 pkt 8</w:t>
      </w:r>
      <w:r w:rsidRPr="00816E15">
        <w:rPr>
          <w:rFonts w:ascii="Times New Roman" w:hAnsi="Times New Roman" w:cs="Times New Roman"/>
          <w:w w:val="105"/>
          <w:sz w:val="24"/>
          <w:szCs w:val="24"/>
        </w:rPr>
        <w:t xml:space="preserve"> rozszerza katalog wyłączeń ewentualnych tytułów wypłat od podmiotu w restrukturyzacji po zakończeniu pełnienia funkcji przez organy podmiotu w restrukturyzacji. Obecnie obowiązujące przepisy przewidują</w:t>
      </w:r>
      <w:r w:rsidR="002F3F55">
        <w:rPr>
          <w:rFonts w:ascii="Times New Roman" w:hAnsi="Times New Roman" w:cs="Times New Roman"/>
          <w:w w:val="105"/>
          <w:sz w:val="24"/>
          <w:szCs w:val="24"/>
        </w:rPr>
        <w:t>,</w:t>
      </w:r>
      <w:r w:rsidRPr="00816E15">
        <w:rPr>
          <w:rFonts w:ascii="Times New Roman" w:hAnsi="Times New Roman" w:cs="Times New Roman"/>
          <w:w w:val="105"/>
          <w:sz w:val="24"/>
          <w:szCs w:val="24"/>
        </w:rPr>
        <w:t xml:space="preserve"> iż w razie niewywiązywania się pracodawcy z obowiązku wypłaty odszkodowania umowa o zakazie konkurencji po ustaniu stosunku pracy nie przestaje obowiązywać przed upływem terminu, na jaki została zawarta, a pracownik zachowuje roszczenie o odszkodowanie. Brak jest celowościowego</w:t>
      </w:r>
      <w:r w:rsidR="00F0601F" w:rsidRPr="00816E15">
        <w:rPr>
          <w:rFonts w:ascii="Times New Roman" w:hAnsi="Times New Roman" w:cs="Times New Roman"/>
          <w:w w:val="105"/>
          <w:sz w:val="24"/>
          <w:szCs w:val="24"/>
        </w:rPr>
        <w:t xml:space="preserve"> (intencja stron zawierających umowę)</w:t>
      </w:r>
      <w:r w:rsidRPr="00816E15">
        <w:rPr>
          <w:rFonts w:ascii="Times New Roman" w:hAnsi="Times New Roman" w:cs="Times New Roman"/>
          <w:w w:val="105"/>
          <w:sz w:val="24"/>
          <w:szCs w:val="24"/>
        </w:rPr>
        <w:t xml:space="preserve"> uzasadnienia dla ochrony interesów pracodawcy </w:t>
      </w:r>
      <w:r w:rsidR="00DB090F" w:rsidRPr="00816E15">
        <w:rPr>
          <w:rFonts w:ascii="Times New Roman" w:hAnsi="Times New Roman" w:cs="Times New Roman"/>
          <w:w w:val="105"/>
          <w:sz w:val="24"/>
          <w:szCs w:val="24"/>
        </w:rPr>
        <w:t>związanego</w:t>
      </w:r>
      <w:r w:rsidR="002F3F55">
        <w:rPr>
          <w:rFonts w:ascii="Times New Roman" w:hAnsi="Times New Roman" w:cs="Times New Roman"/>
          <w:w w:val="105"/>
          <w:sz w:val="24"/>
          <w:szCs w:val="24"/>
        </w:rPr>
        <w:t xml:space="preserve"> z</w:t>
      </w:r>
      <w:r w:rsidR="00DB090F" w:rsidRPr="00816E15">
        <w:rPr>
          <w:rFonts w:ascii="Times New Roman" w:hAnsi="Times New Roman" w:cs="Times New Roman"/>
          <w:w w:val="105"/>
          <w:sz w:val="24"/>
          <w:szCs w:val="24"/>
        </w:rPr>
        <w:t xml:space="preserve"> umowami wyłączającymi konkurencję, w sytuacji przymusowej restrukturyzacji – reorganizacji przedsiębiorstwa. </w:t>
      </w:r>
      <w:r w:rsidR="00374026" w:rsidRPr="00816E15">
        <w:rPr>
          <w:rFonts w:ascii="Times New Roman" w:hAnsi="Times New Roman" w:cs="Times New Roman"/>
          <w:sz w:val="24"/>
          <w:szCs w:val="24"/>
        </w:rPr>
        <w:t xml:space="preserve">W </w:t>
      </w:r>
      <w:r w:rsidR="00C16F7D" w:rsidRPr="00816E15">
        <w:rPr>
          <w:rFonts w:ascii="Times New Roman" w:hAnsi="Times New Roman" w:cs="Times New Roman"/>
          <w:sz w:val="24"/>
          <w:szCs w:val="24"/>
        </w:rPr>
        <w:t xml:space="preserve">przypadku </w:t>
      </w:r>
      <w:r w:rsidR="00374026" w:rsidRPr="00816E15">
        <w:rPr>
          <w:rFonts w:ascii="Times New Roman" w:hAnsi="Times New Roman" w:cs="Times New Roman"/>
          <w:sz w:val="24"/>
          <w:szCs w:val="24"/>
        </w:rPr>
        <w:t>zastosowania instrumentów</w:t>
      </w:r>
      <w:r w:rsidR="00C16F7D" w:rsidRPr="00816E15">
        <w:rPr>
          <w:rFonts w:ascii="Times New Roman" w:hAnsi="Times New Roman" w:cs="Times New Roman"/>
          <w:sz w:val="24"/>
          <w:szCs w:val="24"/>
        </w:rPr>
        <w:t>, o których mowa w</w:t>
      </w:r>
      <w:r w:rsidR="00816E15">
        <w:rPr>
          <w:rFonts w:ascii="Times New Roman" w:hAnsi="Times New Roman" w:cs="Times New Roman"/>
          <w:sz w:val="24"/>
          <w:szCs w:val="24"/>
        </w:rPr>
        <w:t xml:space="preserve"> </w:t>
      </w:r>
      <w:r w:rsidR="00374026" w:rsidRPr="00816E15">
        <w:rPr>
          <w:rFonts w:ascii="Times New Roman" w:hAnsi="Times New Roman" w:cs="Times New Roman"/>
          <w:sz w:val="24"/>
          <w:szCs w:val="24"/>
        </w:rPr>
        <w:t>art. 101 ust. 1</w:t>
      </w:r>
      <w:r w:rsidR="00C16F7D" w:rsidRPr="00816E15">
        <w:rPr>
          <w:rFonts w:ascii="Times New Roman" w:hAnsi="Times New Roman" w:cs="Times New Roman"/>
          <w:sz w:val="24"/>
          <w:szCs w:val="24"/>
        </w:rPr>
        <w:t>,</w:t>
      </w:r>
      <w:r w:rsidR="00816E15">
        <w:rPr>
          <w:rFonts w:ascii="Times New Roman" w:hAnsi="Times New Roman" w:cs="Times New Roman"/>
          <w:sz w:val="24"/>
          <w:szCs w:val="24"/>
        </w:rPr>
        <w:t xml:space="preserve"> </w:t>
      </w:r>
      <w:r w:rsidR="00374026" w:rsidRPr="00816E15">
        <w:rPr>
          <w:rFonts w:ascii="Times New Roman" w:hAnsi="Times New Roman" w:cs="Times New Roman"/>
          <w:sz w:val="24"/>
          <w:szCs w:val="24"/>
        </w:rPr>
        <w:t>wraz z wygaśnięciem praw do wynagrodzeń i odszkodowań z tytułu umów o zakazie konkurencji</w:t>
      </w:r>
      <w:r w:rsidR="00C16F7D" w:rsidRPr="00816E15">
        <w:rPr>
          <w:rFonts w:ascii="Times New Roman" w:hAnsi="Times New Roman" w:cs="Times New Roman"/>
          <w:sz w:val="24"/>
          <w:szCs w:val="24"/>
        </w:rPr>
        <w:t xml:space="preserve"> </w:t>
      </w:r>
      <w:r w:rsidR="00374026" w:rsidRPr="00816E15">
        <w:rPr>
          <w:rFonts w:ascii="Times New Roman" w:hAnsi="Times New Roman" w:cs="Times New Roman"/>
          <w:sz w:val="24"/>
          <w:szCs w:val="24"/>
        </w:rPr>
        <w:t>wygasa obowiązek powst</w:t>
      </w:r>
      <w:r w:rsidR="00F84DF8" w:rsidRPr="00816E15">
        <w:rPr>
          <w:rFonts w:ascii="Times New Roman" w:hAnsi="Times New Roman" w:cs="Times New Roman"/>
          <w:sz w:val="24"/>
          <w:szCs w:val="24"/>
        </w:rPr>
        <w:t xml:space="preserve">rzymywania się od konkurencji. </w:t>
      </w:r>
      <w:r w:rsidR="00374026" w:rsidRPr="00816E15">
        <w:rPr>
          <w:rFonts w:ascii="Times New Roman" w:hAnsi="Times New Roman" w:cs="Times New Roman"/>
          <w:sz w:val="24"/>
          <w:szCs w:val="24"/>
        </w:rPr>
        <w:t>Z uwagi na swobodę kontraktową istnieje możliwość, szczególnie w sytuacji przejęcia przedsiębiorstwa</w:t>
      </w:r>
      <w:r w:rsidR="00F84DF8" w:rsidRPr="00816E15">
        <w:rPr>
          <w:rFonts w:ascii="Times New Roman" w:hAnsi="Times New Roman" w:cs="Times New Roman"/>
          <w:sz w:val="24"/>
          <w:szCs w:val="24"/>
        </w:rPr>
        <w:t>,</w:t>
      </w:r>
      <w:r w:rsidR="00816E15">
        <w:rPr>
          <w:rFonts w:ascii="Times New Roman" w:hAnsi="Times New Roman" w:cs="Times New Roman"/>
          <w:sz w:val="24"/>
          <w:szCs w:val="24"/>
        </w:rPr>
        <w:t xml:space="preserve"> </w:t>
      </w:r>
      <w:r w:rsidR="00374026" w:rsidRPr="00816E15">
        <w:rPr>
          <w:rFonts w:ascii="Times New Roman" w:hAnsi="Times New Roman" w:cs="Times New Roman"/>
          <w:sz w:val="24"/>
          <w:szCs w:val="24"/>
        </w:rPr>
        <w:t>zawarcia ponownej umowy o zakazie konkurencji z osobą wchodzącą w skład organów podmiotu albo zajmującą stanowisko kierownicze.</w:t>
      </w:r>
    </w:p>
    <w:p w14:paraId="6F007A56" w14:textId="19766CCC" w:rsidR="00F0601F" w:rsidRPr="00816E15" w:rsidRDefault="0098520A" w:rsidP="00CF5AAF">
      <w:pPr>
        <w:pStyle w:val="Tekstpodstawowy3"/>
        <w:shd w:val="clear" w:color="auto" w:fill="auto"/>
        <w:spacing w:before="240" w:line="360" w:lineRule="auto"/>
        <w:ind w:right="40" w:firstLine="0"/>
        <w:jc w:val="both"/>
        <w:rPr>
          <w:rFonts w:ascii="Times New Roman" w:hAnsi="Times New Roman" w:cs="Times New Roman"/>
          <w:sz w:val="24"/>
          <w:szCs w:val="24"/>
        </w:rPr>
      </w:pPr>
      <w:r w:rsidRPr="00816E15">
        <w:rPr>
          <w:rFonts w:ascii="Times New Roman" w:hAnsi="Times New Roman" w:cs="Times New Roman"/>
          <w:w w:val="105"/>
          <w:sz w:val="24"/>
          <w:szCs w:val="24"/>
        </w:rPr>
        <w:t>Projektowany przepis powinien wyeliminować ryzyko ewentualnych roszczeń członków zarządu i rady nadzorczej do odpraw, świadczeń pieniężnych o podobnym charakterze, odszkodowań z tytułu umów o zakazie konkurencji, wynagrodzeń za pełnienie wykonywanych funkcji</w:t>
      </w:r>
      <w:r w:rsidR="000B2E41" w:rsidRPr="00816E15">
        <w:rPr>
          <w:rFonts w:ascii="Times New Roman" w:hAnsi="Times New Roman" w:cs="Times New Roman"/>
          <w:w w:val="105"/>
          <w:sz w:val="24"/>
          <w:szCs w:val="24"/>
        </w:rPr>
        <w:t xml:space="preserve">, </w:t>
      </w:r>
      <w:r w:rsidRPr="00816E15">
        <w:rPr>
          <w:rFonts w:ascii="Times New Roman" w:hAnsi="Times New Roman" w:cs="Times New Roman"/>
          <w:w w:val="105"/>
          <w:sz w:val="24"/>
          <w:szCs w:val="24"/>
        </w:rPr>
        <w:t>m.in. z tytułu umów o pracę</w:t>
      </w:r>
      <w:r w:rsidR="000B2E41" w:rsidRPr="00816E15">
        <w:rPr>
          <w:rFonts w:ascii="Times New Roman" w:hAnsi="Times New Roman" w:cs="Times New Roman"/>
          <w:w w:val="105"/>
          <w:sz w:val="24"/>
          <w:szCs w:val="24"/>
        </w:rPr>
        <w:t xml:space="preserve"> lub </w:t>
      </w:r>
      <w:r w:rsidRPr="00816E15">
        <w:rPr>
          <w:rFonts w:ascii="Times New Roman" w:hAnsi="Times New Roman" w:cs="Times New Roman"/>
          <w:w w:val="105"/>
          <w:sz w:val="24"/>
          <w:szCs w:val="24"/>
        </w:rPr>
        <w:t xml:space="preserve">umów o charakterze cywilnoprawnym, </w:t>
      </w:r>
      <w:r w:rsidR="000B2E41" w:rsidRPr="00816E15">
        <w:rPr>
          <w:rFonts w:ascii="Times New Roman" w:hAnsi="Times New Roman" w:cs="Times New Roman"/>
          <w:w w:val="105"/>
          <w:sz w:val="24"/>
          <w:szCs w:val="24"/>
        </w:rPr>
        <w:t xml:space="preserve">a także </w:t>
      </w:r>
      <w:r w:rsidRPr="00816E15">
        <w:rPr>
          <w:rFonts w:ascii="Times New Roman" w:hAnsi="Times New Roman" w:cs="Times New Roman"/>
          <w:w w:val="105"/>
          <w:sz w:val="24"/>
          <w:szCs w:val="24"/>
        </w:rPr>
        <w:t xml:space="preserve">innych świadczeń należnych od podmiotu w restrukturyzacji, a </w:t>
      </w:r>
      <w:r w:rsidR="000B2E41" w:rsidRPr="00816E15">
        <w:rPr>
          <w:rFonts w:ascii="Times New Roman" w:hAnsi="Times New Roman" w:cs="Times New Roman"/>
          <w:w w:val="105"/>
          <w:sz w:val="24"/>
          <w:szCs w:val="24"/>
        </w:rPr>
        <w:t xml:space="preserve">ponadto roszczeń wynikających </w:t>
      </w:r>
      <w:r w:rsidRPr="00816E15">
        <w:rPr>
          <w:rFonts w:ascii="Times New Roman" w:hAnsi="Times New Roman" w:cs="Times New Roman"/>
          <w:w w:val="105"/>
          <w:sz w:val="24"/>
          <w:szCs w:val="24"/>
        </w:rPr>
        <w:t xml:space="preserve">z treści stosunku organizacyjnego istniejącego między spółką a członkiem </w:t>
      </w:r>
      <w:r w:rsidR="000B2E41" w:rsidRPr="00816E15">
        <w:rPr>
          <w:rFonts w:ascii="Times New Roman" w:hAnsi="Times New Roman" w:cs="Times New Roman"/>
          <w:w w:val="105"/>
          <w:sz w:val="24"/>
          <w:szCs w:val="24"/>
        </w:rPr>
        <w:t xml:space="preserve">zarządu lub </w:t>
      </w:r>
      <w:r w:rsidRPr="00816E15">
        <w:rPr>
          <w:rFonts w:ascii="Times New Roman" w:hAnsi="Times New Roman" w:cs="Times New Roman"/>
          <w:w w:val="105"/>
          <w:sz w:val="24"/>
          <w:szCs w:val="24"/>
        </w:rPr>
        <w:t>rady nadzorczej</w:t>
      </w:r>
      <w:r w:rsidR="000B2E41" w:rsidRPr="00816E15">
        <w:rPr>
          <w:rFonts w:ascii="Times New Roman" w:hAnsi="Times New Roman" w:cs="Times New Roman"/>
          <w:w w:val="105"/>
          <w:sz w:val="24"/>
          <w:szCs w:val="24"/>
        </w:rPr>
        <w:t xml:space="preserve">, </w:t>
      </w:r>
      <w:r w:rsidRPr="00816E15">
        <w:rPr>
          <w:rFonts w:ascii="Times New Roman" w:hAnsi="Times New Roman" w:cs="Times New Roman"/>
          <w:w w:val="105"/>
          <w:sz w:val="24"/>
          <w:szCs w:val="24"/>
        </w:rPr>
        <w:t>od momentu jego</w:t>
      </w:r>
      <w:r w:rsidR="002F3F55">
        <w:rPr>
          <w:rFonts w:ascii="Times New Roman" w:hAnsi="Times New Roman" w:cs="Times New Roman"/>
          <w:w w:val="105"/>
          <w:sz w:val="24"/>
          <w:szCs w:val="24"/>
        </w:rPr>
        <w:t xml:space="preserve"> powołania w skład tego organu </w:t>
      </w:r>
      <w:r w:rsidRPr="00816E15">
        <w:rPr>
          <w:rFonts w:ascii="Times New Roman" w:hAnsi="Times New Roman" w:cs="Times New Roman"/>
          <w:w w:val="105"/>
          <w:sz w:val="24"/>
          <w:szCs w:val="24"/>
        </w:rPr>
        <w:t>d</w:t>
      </w:r>
      <w:r w:rsidR="002F3F55">
        <w:rPr>
          <w:rFonts w:ascii="Times New Roman" w:hAnsi="Times New Roman" w:cs="Times New Roman"/>
          <w:w w:val="105"/>
          <w:sz w:val="24"/>
          <w:szCs w:val="24"/>
        </w:rPr>
        <w:t>o</w:t>
      </w:r>
      <w:r w:rsidRPr="00816E15">
        <w:rPr>
          <w:rFonts w:ascii="Times New Roman" w:hAnsi="Times New Roman" w:cs="Times New Roman"/>
          <w:w w:val="105"/>
          <w:sz w:val="24"/>
          <w:szCs w:val="24"/>
        </w:rPr>
        <w:t xml:space="preserve"> dnia wszczęcia przymusowej restrukturyzacji. </w:t>
      </w:r>
    </w:p>
    <w:p w14:paraId="540831C6" w14:textId="6998DD94" w:rsidR="0098520A" w:rsidRPr="00816E15" w:rsidRDefault="0098520A" w:rsidP="00CF5AAF">
      <w:pPr>
        <w:pStyle w:val="Tekstpodstawowy3"/>
        <w:shd w:val="clear" w:color="auto" w:fill="auto"/>
        <w:spacing w:before="240" w:line="360" w:lineRule="auto"/>
        <w:ind w:right="40" w:firstLine="0"/>
        <w:jc w:val="both"/>
        <w:rPr>
          <w:rFonts w:ascii="Times New Roman" w:hAnsi="Times New Roman" w:cs="Times New Roman"/>
          <w:w w:val="105"/>
          <w:sz w:val="24"/>
          <w:szCs w:val="24"/>
        </w:rPr>
      </w:pPr>
      <w:r w:rsidRPr="00816E15">
        <w:rPr>
          <w:rFonts w:ascii="Times New Roman" w:hAnsi="Times New Roman" w:cs="Times New Roman"/>
          <w:w w:val="105"/>
          <w:sz w:val="24"/>
          <w:szCs w:val="24"/>
        </w:rPr>
        <w:t xml:space="preserve">W przypadku </w:t>
      </w:r>
      <w:r w:rsidRPr="00816E15">
        <w:rPr>
          <w:rFonts w:ascii="Times New Roman" w:hAnsi="Times New Roman" w:cs="Times New Roman"/>
          <w:b/>
          <w:w w:val="105"/>
          <w:sz w:val="24"/>
          <w:szCs w:val="24"/>
        </w:rPr>
        <w:t>art. 113 ust. 1 pkt 9</w:t>
      </w:r>
      <w:r w:rsidRPr="00816E15">
        <w:rPr>
          <w:rFonts w:ascii="Times New Roman" w:hAnsi="Times New Roman" w:cs="Times New Roman"/>
          <w:w w:val="105"/>
          <w:sz w:val="24"/>
          <w:szCs w:val="24"/>
        </w:rPr>
        <w:t xml:space="preserve"> rozszerzono przepis o przypadek wygaśnięcia prawa do odszkodowania z tytułu umów o zakazie konkurencji po ustaniu stosunku pracy.</w:t>
      </w:r>
      <w:r w:rsidR="00026AFF" w:rsidRPr="00816E15">
        <w:rPr>
          <w:rFonts w:ascii="Times New Roman" w:hAnsi="Times New Roman" w:cs="Times New Roman"/>
          <w:w w:val="105"/>
          <w:sz w:val="24"/>
          <w:szCs w:val="24"/>
        </w:rPr>
        <w:t xml:space="preserve"> Przepis ma na celu zapewnienie wyeliminowani</w:t>
      </w:r>
      <w:r w:rsidR="002F3F55">
        <w:rPr>
          <w:rFonts w:ascii="Times New Roman" w:hAnsi="Times New Roman" w:cs="Times New Roman"/>
          <w:w w:val="105"/>
          <w:sz w:val="24"/>
          <w:szCs w:val="24"/>
        </w:rPr>
        <w:t>a</w:t>
      </w:r>
      <w:r w:rsidR="00026AFF" w:rsidRPr="00816E15">
        <w:rPr>
          <w:rFonts w:ascii="Times New Roman" w:hAnsi="Times New Roman" w:cs="Times New Roman"/>
          <w:w w:val="105"/>
          <w:sz w:val="24"/>
          <w:szCs w:val="24"/>
        </w:rPr>
        <w:t xml:space="preserve"> korzyści materialnych przez osoby, które nie wykazały się należytą starannością w pełnieniu funkcji menedżerskich.</w:t>
      </w:r>
    </w:p>
    <w:p w14:paraId="7728E31D" w14:textId="527015C8" w:rsidR="00CF2C65" w:rsidRPr="00816E15" w:rsidRDefault="00CF2C65" w:rsidP="00CF5AAF">
      <w:pPr>
        <w:pStyle w:val="Tekstpodstawowy3"/>
        <w:shd w:val="clear" w:color="auto" w:fill="auto"/>
        <w:spacing w:before="240" w:line="360" w:lineRule="auto"/>
        <w:ind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Zmiana w </w:t>
      </w:r>
      <w:r w:rsidRPr="00816E15">
        <w:rPr>
          <w:rFonts w:ascii="Times New Roman" w:hAnsi="Times New Roman" w:cs="Times New Roman"/>
          <w:b/>
          <w:sz w:val="24"/>
          <w:szCs w:val="24"/>
        </w:rPr>
        <w:t xml:space="preserve">art. 113 ust. 1 pkt 10 </w:t>
      </w:r>
      <w:r w:rsidRPr="00816E15">
        <w:rPr>
          <w:rFonts w:ascii="Times New Roman" w:hAnsi="Times New Roman" w:cs="Times New Roman"/>
          <w:sz w:val="24"/>
          <w:szCs w:val="24"/>
        </w:rPr>
        <w:t xml:space="preserve">ma celu doprecyzowanie stanu prawnego </w:t>
      </w:r>
      <w:r w:rsidRPr="00816E15">
        <w:rPr>
          <w:rFonts w:ascii="Times New Roman" w:hAnsi="Times New Roman"/>
          <w:sz w:val="24"/>
          <w:szCs w:val="24"/>
          <w:lang w:eastAsia="pl-PL"/>
        </w:rPr>
        <w:t xml:space="preserve">w zakresie wygasania obowiązku powstrzymywania się od działalności konkurencyjnej. </w:t>
      </w:r>
      <w:r w:rsidR="001B31AC" w:rsidRPr="00816E15">
        <w:rPr>
          <w:rFonts w:ascii="Times New Roman" w:hAnsi="Times New Roman"/>
          <w:iCs/>
          <w:color w:val="000000"/>
          <w:sz w:val="24"/>
          <w:szCs w:val="24"/>
        </w:rPr>
        <w:t>Wszczęcie przymusowej restrukturyzacji ma stanowić dookreślony termin, w ramach którego wygasa stosunek konkurencji immanentnie związany ze świadczeniami</w:t>
      </w:r>
      <w:r w:rsidR="002903D3" w:rsidRPr="00816E15">
        <w:rPr>
          <w:rFonts w:ascii="Times New Roman" w:hAnsi="Times New Roman"/>
          <w:iCs/>
          <w:color w:val="000000"/>
          <w:sz w:val="24"/>
          <w:szCs w:val="24"/>
        </w:rPr>
        <w:t>.</w:t>
      </w:r>
      <w:r w:rsidR="001B31AC" w:rsidRPr="00816E15">
        <w:rPr>
          <w:rFonts w:ascii="Times New Roman" w:hAnsi="Times New Roman"/>
          <w:iCs/>
          <w:color w:val="000000"/>
          <w:sz w:val="24"/>
          <w:szCs w:val="24"/>
        </w:rPr>
        <w:t xml:space="preserve"> </w:t>
      </w:r>
      <w:r w:rsidR="002903D3" w:rsidRPr="00816E15">
        <w:rPr>
          <w:rFonts w:ascii="Times New Roman" w:hAnsi="Times New Roman"/>
          <w:iCs/>
          <w:color w:val="000000"/>
          <w:sz w:val="24"/>
          <w:szCs w:val="24"/>
        </w:rPr>
        <w:t>Należy mieć na uwadze, że przepisy dot. zakazu konkurencji</w:t>
      </w:r>
      <w:r w:rsidR="002F3F55">
        <w:rPr>
          <w:rFonts w:ascii="Times New Roman" w:hAnsi="Times New Roman"/>
          <w:iCs/>
          <w:color w:val="000000"/>
          <w:sz w:val="24"/>
          <w:szCs w:val="24"/>
        </w:rPr>
        <w:t>,</w:t>
      </w:r>
      <w:r w:rsidR="002903D3" w:rsidRPr="00816E15">
        <w:rPr>
          <w:rFonts w:ascii="Times New Roman" w:hAnsi="Times New Roman"/>
          <w:iCs/>
          <w:color w:val="000000"/>
          <w:sz w:val="24"/>
          <w:szCs w:val="24"/>
        </w:rPr>
        <w:t xml:space="preserve"> tj.</w:t>
      </w:r>
      <w:r w:rsidRPr="00816E15">
        <w:rPr>
          <w:rFonts w:ascii="Times New Roman" w:hAnsi="Times New Roman"/>
          <w:sz w:val="24"/>
          <w:szCs w:val="24"/>
          <w:lang w:eastAsia="pl-PL"/>
        </w:rPr>
        <w:t xml:space="preserve"> art.</w:t>
      </w:r>
      <w:r w:rsidRPr="00816E15">
        <w:rPr>
          <w:rFonts w:ascii="Times New Roman" w:hAnsi="Times New Roman"/>
          <w:sz w:val="24"/>
          <w:szCs w:val="24"/>
        </w:rPr>
        <w:t xml:space="preserve"> </w:t>
      </w:r>
      <w:r w:rsidRPr="00816E15">
        <w:rPr>
          <w:rFonts w:ascii="Times New Roman" w:hAnsi="Times New Roman"/>
          <w:color w:val="000000"/>
          <w:sz w:val="24"/>
          <w:szCs w:val="24"/>
        </w:rPr>
        <w:t>101</w:t>
      </w:r>
      <w:r w:rsidRPr="00816E15">
        <w:rPr>
          <w:rFonts w:ascii="Times New Roman" w:hAnsi="Times New Roman"/>
          <w:color w:val="000000"/>
          <w:sz w:val="24"/>
          <w:szCs w:val="24"/>
          <w:vertAlign w:val="superscript"/>
        </w:rPr>
        <w:t xml:space="preserve">1 </w:t>
      </w:r>
      <w:r w:rsidRPr="00816E15">
        <w:rPr>
          <w:rFonts w:ascii="Times New Roman" w:hAnsi="Times New Roman"/>
          <w:color w:val="000000"/>
          <w:sz w:val="24"/>
          <w:szCs w:val="24"/>
        </w:rPr>
        <w:t>§ 2 Kodeksu pracy</w:t>
      </w:r>
      <w:r w:rsidR="002F3F55">
        <w:rPr>
          <w:rFonts w:ascii="Times New Roman" w:hAnsi="Times New Roman"/>
          <w:color w:val="000000"/>
          <w:sz w:val="24"/>
          <w:szCs w:val="24"/>
        </w:rPr>
        <w:t>,</w:t>
      </w:r>
      <w:r w:rsidRPr="00816E15">
        <w:rPr>
          <w:rFonts w:ascii="Times New Roman" w:hAnsi="Times New Roman"/>
          <w:color w:val="000000"/>
          <w:sz w:val="24"/>
          <w:szCs w:val="24"/>
        </w:rPr>
        <w:t xml:space="preserve"> wskazuje, że </w:t>
      </w:r>
      <w:r w:rsidR="002903D3" w:rsidRPr="00816E15">
        <w:rPr>
          <w:rFonts w:ascii="Times New Roman" w:hAnsi="Times New Roman"/>
          <w:color w:val="000000"/>
          <w:sz w:val="24"/>
          <w:szCs w:val="24"/>
        </w:rPr>
        <w:t>u</w:t>
      </w:r>
      <w:r w:rsidRPr="00816E15">
        <w:rPr>
          <w:rFonts w:ascii="Times New Roman" w:hAnsi="Times New Roman"/>
          <w:color w:val="000000"/>
          <w:sz w:val="24"/>
          <w:szCs w:val="24"/>
        </w:rPr>
        <w:t>staje</w:t>
      </w:r>
      <w:r w:rsidR="002903D3" w:rsidRPr="00816E15">
        <w:rPr>
          <w:rFonts w:ascii="Times New Roman" w:hAnsi="Times New Roman"/>
          <w:color w:val="000000"/>
          <w:sz w:val="24"/>
          <w:szCs w:val="24"/>
        </w:rPr>
        <w:t xml:space="preserve"> on</w:t>
      </w:r>
      <w:r w:rsidRPr="00816E15">
        <w:rPr>
          <w:rFonts w:ascii="Times New Roman" w:hAnsi="Times New Roman"/>
          <w:color w:val="000000"/>
          <w:sz w:val="24"/>
          <w:szCs w:val="24"/>
        </w:rPr>
        <w:t xml:space="preserve"> w</w:t>
      </w:r>
      <w:r w:rsidR="002903D3" w:rsidRPr="00816E15">
        <w:rPr>
          <w:rFonts w:ascii="Times New Roman" w:hAnsi="Times New Roman"/>
          <w:color w:val="000000"/>
          <w:sz w:val="24"/>
          <w:szCs w:val="24"/>
        </w:rPr>
        <w:t> </w:t>
      </w:r>
      <w:r w:rsidRPr="00816E15">
        <w:rPr>
          <w:rFonts w:ascii="Times New Roman" w:hAnsi="Times New Roman"/>
          <w:color w:val="000000"/>
          <w:sz w:val="24"/>
          <w:szCs w:val="24"/>
        </w:rPr>
        <w:t xml:space="preserve">przypadku </w:t>
      </w:r>
      <w:r w:rsidRPr="00816E15">
        <w:rPr>
          <w:rFonts w:ascii="Times New Roman" w:hAnsi="Times New Roman"/>
          <w:i/>
          <w:color w:val="000000"/>
          <w:sz w:val="24"/>
          <w:szCs w:val="24"/>
        </w:rPr>
        <w:t>niewywiązywania się przez pracodawcę z obowiązku wypłaty odszkodowania</w:t>
      </w:r>
      <w:r w:rsidRPr="00816E15">
        <w:rPr>
          <w:rFonts w:ascii="Times New Roman" w:hAnsi="Times New Roman"/>
          <w:color w:val="000000"/>
          <w:sz w:val="24"/>
          <w:szCs w:val="24"/>
        </w:rPr>
        <w:t xml:space="preserve"> czy w przypadku wystąpienia </w:t>
      </w:r>
      <w:r w:rsidRPr="00816E15">
        <w:rPr>
          <w:rFonts w:ascii="Times New Roman" w:hAnsi="Times New Roman"/>
          <w:i/>
          <w:iCs/>
          <w:color w:val="000000"/>
          <w:sz w:val="24"/>
          <w:szCs w:val="24"/>
        </w:rPr>
        <w:t xml:space="preserve">przyczyny uzasadniającej ustanie zakazu konkurencji. </w:t>
      </w:r>
      <w:r w:rsidR="001B31AC" w:rsidRPr="00816E15">
        <w:rPr>
          <w:rFonts w:ascii="Times New Roman" w:hAnsi="Times New Roman"/>
          <w:iCs/>
          <w:color w:val="000000"/>
          <w:sz w:val="24"/>
          <w:szCs w:val="24"/>
        </w:rPr>
        <w:t>Hipoteza projektowanego przepisu obejmuje dwa</w:t>
      </w:r>
      <w:r w:rsidRPr="00816E15">
        <w:rPr>
          <w:rFonts w:ascii="Times New Roman" w:hAnsi="Times New Roman"/>
          <w:iCs/>
          <w:color w:val="000000"/>
          <w:sz w:val="24"/>
          <w:szCs w:val="24"/>
        </w:rPr>
        <w:t xml:space="preserve"> stan</w:t>
      </w:r>
      <w:r w:rsidR="001B31AC" w:rsidRPr="00816E15">
        <w:rPr>
          <w:rFonts w:ascii="Times New Roman" w:hAnsi="Times New Roman"/>
          <w:iCs/>
          <w:color w:val="000000"/>
          <w:sz w:val="24"/>
          <w:szCs w:val="24"/>
        </w:rPr>
        <w:t>y</w:t>
      </w:r>
      <w:r w:rsidRPr="00816E15">
        <w:rPr>
          <w:rFonts w:ascii="Times New Roman" w:hAnsi="Times New Roman"/>
          <w:iCs/>
          <w:color w:val="000000"/>
          <w:sz w:val="24"/>
          <w:szCs w:val="24"/>
        </w:rPr>
        <w:t xml:space="preserve"> prawn</w:t>
      </w:r>
      <w:r w:rsidR="001B31AC" w:rsidRPr="00816E15">
        <w:rPr>
          <w:rFonts w:ascii="Times New Roman" w:hAnsi="Times New Roman"/>
          <w:iCs/>
          <w:color w:val="000000"/>
          <w:sz w:val="24"/>
          <w:szCs w:val="24"/>
        </w:rPr>
        <w:t>e</w:t>
      </w:r>
      <w:r w:rsidRPr="00816E15">
        <w:rPr>
          <w:rFonts w:ascii="Times New Roman" w:hAnsi="Times New Roman"/>
          <w:iCs/>
          <w:color w:val="000000"/>
          <w:sz w:val="24"/>
          <w:szCs w:val="24"/>
        </w:rPr>
        <w:t xml:space="preserve"> –</w:t>
      </w:r>
      <w:r w:rsidR="00816E15">
        <w:rPr>
          <w:rFonts w:ascii="Times New Roman" w:hAnsi="Times New Roman"/>
          <w:iCs/>
          <w:color w:val="000000"/>
          <w:sz w:val="24"/>
          <w:szCs w:val="24"/>
        </w:rPr>
        <w:t xml:space="preserve"> </w:t>
      </w:r>
      <w:r w:rsidR="001B31AC" w:rsidRPr="00816E15">
        <w:rPr>
          <w:rFonts w:ascii="Times New Roman" w:hAnsi="Times New Roman"/>
          <w:iCs/>
          <w:color w:val="000000"/>
          <w:sz w:val="24"/>
          <w:szCs w:val="24"/>
        </w:rPr>
        <w:t>sytuację</w:t>
      </w:r>
      <w:r w:rsidR="002F3F55">
        <w:rPr>
          <w:rFonts w:ascii="Times New Roman" w:hAnsi="Times New Roman"/>
          <w:iCs/>
          <w:color w:val="000000"/>
          <w:sz w:val="24"/>
          <w:szCs w:val="24"/>
        </w:rPr>
        <w:t>,</w:t>
      </w:r>
      <w:r w:rsidR="001B31AC" w:rsidRPr="00816E15">
        <w:rPr>
          <w:rFonts w:ascii="Times New Roman" w:hAnsi="Times New Roman"/>
          <w:iCs/>
          <w:color w:val="000000"/>
          <w:sz w:val="24"/>
          <w:szCs w:val="24"/>
        </w:rPr>
        <w:t xml:space="preserve"> kiedy </w:t>
      </w:r>
      <w:r w:rsidRPr="00816E15">
        <w:rPr>
          <w:rFonts w:ascii="Times New Roman" w:hAnsi="Times New Roman"/>
          <w:iCs/>
          <w:color w:val="000000"/>
          <w:sz w:val="24"/>
          <w:szCs w:val="24"/>
        </w:rPr>
        <w:t xml:space="preserve">pracownik nie może </w:t>
      </w:r>
      <w:r w:rsidR="001B31AC" w:rsidRPr="00816E15">
        <w:rPr>
          <w:rFonts w:ascii="Times New Roman" w:hAnsi="Times New Roman"/>
          <w:iCs/>
          <w:color w:val="000000"/>
          <w:sz w:val="24"/>
          <w:szCs w:val="24"/>
        </w:rPr>
        <w:t>podejmować</w:t>
      </w:r>
      <w:r w:rsidRPr="00816E15">
        <w:rPr>
          <w:rFonts w:ascii="Times New Roman" w:hAnsi="Times New Roman"/>
          <w:iCs/>
          <w:color w:val="000000"/>
          <w:sz w:val="24"/>
          <w:szCs w:val="24"/>
        </w:rPr>
        <w:t xml:space="preserve"> działalności konkurencyjnej w trakci</w:t>
      </w:r>
      <w:r w:rsidR="001B31AC" w:rsidRPr="00816E15">
        <w:rPr>
          <w:rFonts w:ascii="Times New Roman" w:hAnsi="Times New Roman"/>
          <w:iCs/>
          <w:color w:val="000000"/>
          <w:sz w:val="24"/>
          <w:szCs w:val="24"/>
        </w:rPr>
        <w:t>e stosunku pracy</w:t>
      </w:r>
      <w:r w:rsidR="002F3F55">
        <w:rPr>
          <w:rFonts w:ascii="Times New Roman" w:hAnsi="Times New Roman"/>
          <w:iCs/>
          <w:color w:val="000000"/>
          <w:sz w:val="24"/>
          <w:szCs w:val="24"/>
        </w:rPr>
        <w:t>,</w:t>
      </w:r>
      <w:r w:rsidR="001B31AC" w:rsidRPr="00816E15">
        <w:rPr>
          <w:rFonts w:ascii="Times New Roman" w:hAnsi="Times New Roman"/>
          <w:iCs/>
          <w:color w:val="000000"/>
          <w:sz w:val="24"/>
          <w:szCs w:val="24"/>
        </w:rPr>
        <w:t xml:space="preserve"> oraz w przypadek, w który doszło do</w:t>
      </w:r>
      <w:r w:rsidRPr="00816E15">
        <w:rPr>
          <w:rFonts w:ascii="Times New Roman" w:hAnsi="Times New Roman"/>
          <w:iCs/>
          <w:color w:val="000000"/>
          <w:sz w:val="24"/>
          <w:szCs w:val="24"/>
        </w:rPr>
        <w:t xml:space="preserve"> zawarcia odrębnej umowy dot. szczególnych ważnych informacji po ustaniu</w:t>
      </w:r>
      <w:r w:rsidR="001B31AC" w:rsidRPr="00816E15">
        <w:rPr>
          <w:rFonts w:ascii="Times New Roman" w:hAnsi="Times New Roman"/>
          <w:iCs/>
          <w:color w:val="000000"/>
          <w:sz w:val="24"/>
          <w:szCs w:val="24"/>
        </w:rPr>
        <w:t xml:space="preserve"> stosunku pracy.</w:t>
      </w:r>
      <w:r w:rsidR="002903D3" w:rsidRPr="00816E15">
        <w:rPr>
          <w:rFonts w:ascii="Times New Roman" w:hAnsi="Times New Roman"/>
          <w:iCs/>
          <w:color w:val="000000"/>
          <w:sz w:val="24"/>
          <w:szCs w:val="24"/>
        </w:rPr>
        <w:t xml:space="preserve"> Stanowi to materię tożsamą z regulacjami prawa pracy.</w:t>
      </w:r>
      <w:r w:rsidR="002F3F55">
        <w:rPr>
          <w:rFonts w:ascii="Times New Roman" w:hAnsi="Times New Roman"/>
          <w:iCs/>
          <w:color w:val="000000"/>
          <w:sz w:val="24"/>
          <w:szCs w:val="24"/>
        </w:rPr>
        <w:t xml:space="preserve"> W przypadku gdy</w:t>
      </w:r>
      <w:r w:rsidR="001B31AC" w:rsidRPr="00816E15">
        <w:rPr>
          <w:rFonts w:ascii="Times New Roman" w:hAnsi="Times New Roman"/>
          <w:iCs/>
          <w:color w:val="000000"/>
          <w:sz w:val="24"/>
          <w:szCs w:val="24"/>
        </w:rPr>
        <w:t xml:space="preserve"> pracownik otrzymał świadczenia za przyszły okres, w ramach którego zobowiązał się do nieprowadzenia działalności konkurencyjnej</w:t>
      </w:r>
      <w:r w:rsidR="002F3F55">
        <w:rPr>
          <w:rFonts w:ascii="Times New Roman" w:hAnsi="Times New Roman"/>
          <w:iCs/>
          <w:color w:val="000000"/>
          <w:sz w:val="24"/>
          <w:szCs w:val="24"/>
        </w:rPr>
        <w:t>,</w:t>
      </w:r>
      <w:r w:rsidR="001B31AC" w:rsidRPr="00816E15">
        <w:rPr>
          <w:rFonts w:ascii="Times New Roman" w:hAnsi="Times New Roman"/>
          <w:iCs/>
          <w:color w:val="000000"/>
          <w:sz w:val="24"/>
          <w:szCs w:val="24"/>
        </w:rPr>
        <w:t xml:space="preserve"> powinien on zwrócić uzyskane świadczenia </w:t>
      </w:r>
      <w:r w:rsidR="00C3075E" w:rsidRPr="00816E15">
        <w:rPr>
          <w:rFonts w:ascii="Times New Roman" w:hAnsi="Times New Roman"/>
          <w:iCs/>
          <w:color w:val="000000"/>
          <w:sz w:val="24"/>
          <w:szCs w:val="24"/>
        </w:rPr>
        <w:t xml:space="preserve">restrukturyzowanemu podmiotowi. </w:t>
      </w:r>
    </w:p>
    <w:p w14:paraId="1687251E" w14:textId="08E60D44" w:rsidR="007F0557" w:rsidRPr="00816E15" w:rsidRDefault="00F0601F" w:rsidP="00CF5AAF">
      <w:pPr>
        <w:pStyle w:val="Tekstpodstawowy3"/>
        <w:shd w:val="clear" w:color="auto" w:fill="auto"/>
        <w:spacing w:before="240" w:line="360" w:lineRule="auto"/>
        <w:ind w:right="40" w:firstLine="0"/>
        <w:jc w:val="both"/>
        <w:rPr>
          <w:rFonts w:ascii="Times New Roman" w:hAnsi="Times New Roman" w:cs="Times New Roman"/>
          <w:color w:val="000000"/>
          <w:w w:val="105"/>
          <w:sz w:val="24"/>
          <w:szCs w:val="24"/>
        </w:rPr>
      </w:pPr>
      <w:r w:rsidRPr="00816E15">
        <w:rPr>
          <w:rFonts w:ascii="Times New Roman" w:hAnsi="Times New Roman" w:cs="Times New Roman"/>
          <w:sz w:val="24"/>
          <w:szCs w:val="24"/>
        </w:rPr>
        <w:t xml:space="preserve">Zmiana w </w:t>
      </w:r>
      <w:r w:rsidR="0025206C" w:rsidRPr="00816E15">
        <w:rPr>
          <w:rFonts w:ascii="Times New Roman" w:hAnsi="Times New Roman" w:cs="Times New Roman"/>
          <w:b/>
          <w:sz w:val="24"/>
          <w:szCs w:val="24"/>
        </w:rPr>
        <w:t>a</w:t>
      </w:r>
      <w:r w:rsidRPr="00816E15">
        <w:rPr>
          <w:rFonts w:ascii="Times New Roman" w:hAnsi="Times New Roman" w:cs="Times New Roman"/>
          <w:b/>
          <w:sz w:val="24"/>
          <w:szCs w:val="24"/>
        </w:rPr>
        <w:t xml:space="preserve">rt. 121 pkt 6 </w:t>
      </w:r>
      <w:r w:rsidRPr="00816E15">
        <w:rPr>
          <w:rFonts w:ascii="Times New Roman" w:hAnsi="Times New Roman" w:cs="Times New Roman"/>
          <w:sz w:val="24"/>
          <w:szCs w:val="24"/>
        </w:rPr>
        <w:t>ma na celu</w:t>
      </w:r>
      <w:r w:rsidR="008E46C5" w:rsidRPr="00816E15">
        <w:rPr>
          <w:rFonts w:ascii="Times New Roman" w:hAnsi="Times New Roman" w:cs="Times New Roman"/>
          <w:sz w:val="24"/>
          <w:szCs w:val="24"/>
        </w:rPr>
        <w:t xml:space="preserve"> </w:t>
      </w:r>
      <w:r w:rsidR="000B2E41" w:rsidRPr="00816E15">
        <w:rPr>
          <w:rFonts w:ascii="Times New Roman" w:hAnsi="Times New Roman" w:cs="Times New Roman"/>
          <w:sz w:val="24"/>
          <w:szCs w:val="24"/>
        </w:rPr>
        <w:t>usunięcie</w:t>
      </w:r>
      <w:r w:rsidR="00816E15">
        <w:rPr>
          <w:rFonts w:ascii="Times New Roman" w:hAnsi="Times New Roman" w:cs="Times New Roman"/>
          <w:sz w:val="24"/>
          <w:szCs w:val="24"/>
        </w:rPr>
        <w:t xml:space="preserve"> </w:t>
      </w:r>
      <w:r w:rsidR="007F0557" w:rsidRPr="00816E15">
        <w:rPr>
          <w:rFonts w:ascii="Times New Roman" w:hAnsi="Times New Roman" w:cs="Times New Roman"/>
          <w:sz w:val="24"/>
          <w:szCs w:val="24"/>
        </w:rPr>
        <w:t xml:space="preserve">wątpliwości interpretacyjnych dotyczących zrzeszenia banków spółdzielczych z bankiem zrzeszającym w restrukturyzacji w ramach powiązań kapitałowych. </w:t>
      </w:r>
      <w:r w:rsidRPr="00816E15">
        <w:rPr>
          <w:rFonts w:ascii="Times New Roman" w:hAnsi="Times New Roman" w:cs="Times New Roman"/>
          <w:w w:val="105"/>
          <w:sz w:val="24"/>
          <w:szCs w:val="24"/>
        </w:rPr>
        <w:t xml:space="preserve">Zgodnie z art. 70 ust. 1 pkt 2 oraz art. 203 i art. 209 ust. 3 ustawy o BFG, </w:t>
      </w:r>
      <w:r w:rsidRPr="00816E15">
        <w:rPr>
          <w:rFonts w:ascii="Times New Roman" w:hAnsi="Times New Roman" w:cs="Times New Roman"/>
          <w:color w:val="000000"/>
          <w:w w:val="105"/>
          <w:sz w:val="24"/>
          <w:szCs w:val="24"/>
        </w:rPr>
        <w:t>Fundusz</w:t>
      </w:r>
      <w:r w:rsidR="000B2E41" w:rsidRPr="00816E15">
        <w:rPr>
          <w:rFonts w:ascii="Times New Roman" w:hAnsi="Times New Roman" w:cs="Times New Roman"/>
          <w:color w:val="000000"/>
          <w:w w:val="105"/>
          <w:sz w:val="24"/>
          <w:szCs w:val="24"/>
        </w:rPr>
        <w:t>,</w:t>
      </w:r>
      <w:r w:rsidRPr="00816E15">
        <w:rPr>
          <w:rFonts w:ascii="Times New Roman" w:hAnsi="Times New Roman" w:cs="Times New Roman"/>
          <w:color w:val="000000"/>
          <w:w w:val="105"/>
          <w:sz w:val="24"/>
          <w:szCs w:val="24"/>
        </w:rPr>
        <w:t xml:space="preserve"> w ramach przymusowej restrukturyzacji</w:t>
      </w:r>
      <w:r w:rsidR="000B2E41" w:rsidRPr="00816E15">
        <w:rPr>
          <w:rFonts w:ascii="Times New Roman" w:hAnsi="Times New Roman" w:cs="Times New Roman"/>
          <w:color w:val="000000"/>
          <w:w w:val="105"/>
          <w:sz w:val="24"/>
          <w:szCs w:val="24"/>
        </w:rPr>
        <w:t>,</w:t>
      </w:r>
      <w:r w:rsidRPr="00816E15">
        <w:rPr>
          <w:rFonts w:ascii="Times New Roman" w:hAnsi="Times New Roman" w:cs="Times New Roman"/>
          <w:color w:val="000000"/>
          <w:w w:val="105"/>
          <w:sz w:val="24"/>
          <w:szCs w:val="24"/>
        </w:rPr>
        <w:t xml:space="preserve"> może dokonać umorzenia instrumentów kapitałowych podmiotu w restrukturyzacji. W przypadku umorzenia akcji banku zrzeszającego może więc zaistnieć sytuacja, gdy na skutek tego umorzenia żaden z banków spółdzielczych </w:t>
      </w:r>
      <w:r w:rsidR="00280324">
        <w:rPr>
          <w:rFonts w:ascii="Times New Roman" w:hAnsi="Times New Roman" w:cs="Times New Roman"/>
          <w:color w:val="000000"/>
          <w:w w:val="105"/>
          <w:sz w:val="24"/>
          <w:szCs w:val="24"/>
        </w:rPr>
        <w:t>–</w:t>
      </w:r>
      <w:r w:rsidR="000B2E41" w:rsidRPr="00816E15">
        <w:rPr>
          <w:rFonts w:ascii="Times New Roman" w:hAnsi="Times New Roman" w:cs="Times New Roman"/>
          <w:color w:val="000000"/>
          <w:w w:val="105"/>
          <w:sz w:val="24"/>
          <w:szCs w:val="24"/>
        </w:rPr>
        <w:t xml:space="preserve"> </w:t>
      </w:r>
      <w:r w:rsidRPr="00816E15">
        <w:rPr>
          <w:rFonts w:ascii="Times New Roman" w:hAnsi="Times New Roman" w:cs="Times New Roman"/>
          <w:color w:val="000000"/>
          <w:w w:val="105"/>
          <w:sz w:val="24"/>
          <w:szCs w:val="24"/>
        </w:rPr>
        <w:t>dotychczasowych akcjonariuszy banku zrzeszającego, nie będzie już dłużej jego</w:t>
      </w:r>
      <w:r w:rsidR="00C46388" w:rsidRPr="00816E15">
        <w:rPr>
          <w:rFonts w:ascii="Times New Roman" w:hAnsi="Times New Roman" w:cs="Times New Roman"/>
          <w:color w:val="000000"/>
          <w:w w:val="105"/>
          <w:sz w:val="24"/>
          <w:szCs w:val="24"/>
        </w:rPr>
        <w:t xml:space="preserve"> </w:t>
      </w:r>
      <w:r w:rsidRPr="00816E15">
        <w:rPr>
          <w:rFonts w:ascii="Times New Roman" w:hAnsi="Times New Roman" w:cs="Times New Roman"/>
          <w:color w:val="000000"/>
          <w:w w:val="105"/>
          <w:sz w:val="24"/>
          <w:szCs w:val="24"/>
        </w:rPr>
        <w:t>akcjonariuszem</w:t>
      </w:r>
      <w:r w:rsidR="007F0557" w:rsidRPr="00816E15">
        <w:rPr>
          <w:rFonts w:ascii="Times New Roman" w:hAnsi="Times New Roman" w:cs="Times New Roman"/>
          <w:color w:val="000000"/>
          <w:w w:val="105"/>
          <w:sz w:val="24"/>
          <w:szCs w:val="24"/>
        </w:rPr>
        <w:t xml:space="preserve"> (nie będzie </w:t>
      </w:r>
      <w:r w:rsidRPr="00816E15">
        <w:rPr>
          <w:rFonts w:ascii="Times New Roman" w:hAnsi="Times New Roman" w:cs="Times New Roman"/>
          <w:color w:val="000000"/>
          <w:w w:val="105"/>
          <w:sz w:val="24"/>
          <w:szCs w:val="24"/>
        </w:rPr>
        <w:t>spełniany wymóg, o którym mowa w art. 16 ust. 1 ustawy o funkcjonowaniu banków spółdzielczych, aby banki spółdzielcze zrzeszone z bankiem zrzeszającym w restrukturyzacji nabyły lub posiadały co najmniej jedną akcję banku zrzeszającego</w:t>
      </w:r>
      <w:r w:rsidR="007F0557" w:rsidRPr="00816E15">
        <w:rPr>
          <w:rFonts w:ascii="Times New Roman" w:hAnsi="Times New Roman" w:cs="Times New Roman"/>
          <w:color w:val="000000"/>
          <w:w w:val="105"/>
          <w:sz w:val="24"/>
          <w:szCs w:val="24"/>
        </w:rPr>
        <w:t>)</w:t>
      </w:r>
      <w:r w:rsidRPr="00816E15">
        <w:rPr>
          <w:rFonts w:ascii="Times New Roman" w:hAnsi="Times New Roman" w:cs="Times New Roman"/>
          <w:color w:val="000000"/>
          <w:w w:val="105"/>
          <w:sz w:val="24"/>
          <w:szCs w:val="24"/>
        </w:rPr>
        <w:t xml:space="preserve">. </w:t>
      </w:r>
    </w:p>
    <w:p w14:paraId="1B624A57" w14:textId="1D5C12D3" w:rsidR="00F0601F" w:rsidRPr="00816E15" w:rsidRDefault="00F0601F" w:rsidP="00CF5AAF">
      <w:pPr>
        <w:pStyle w:val="Tekstpodstawowy3"/>
        <w:shd w:val="clear" w:color="auto" w:fill="auto"/>
        <w:spacing w:before="240" w:line="360" w:lineRule="auto"/>
        <w:ind w:right="40" w:firstLine="0"/>
        <w:jc w:val="both"/>
        <w:rPr>
          <w:color w:val="000000"/>
          <w:w w:val="105"/>
          <w:sz w:val="24"/>
          <w:szCs w:val="24"/>
        </w:rPr>
      </w:pPr>
      <w:r w:rsidRPr="00816E15">
        <w:rPr>
          <w:rFonts w:ascii="Times New Roman" w:hAnsi="Times New Roman" w:cs="Times New Roman"/>
          <w:color w:val="000000"/>
          <w:w w:val="105"/>
          <w:sz w:val="24"/>
          <w:szCs w:val="24"/>
        </w:rPr>
        <w:t xml:space="preserve">Ponadto </w:t>
      </w:r>
      <w:r w:rsidR="00AB45F0" w:rsidRPr="00816E15">
        <w:rPr>
          <w:rFonts w:ascii="Times New Roman" w:hAnsi="Times New Roman" w:cs="Times New Roman"/>
          <w:color w:val="000000"/>
          <w:w w:val="105"/>
          <w:sz w:val="24"/>
          <w:szCs w:val="24"/>
        </w:rPr>
        <w:t xml:space="preserve">gdy </w:t>
      </w:r>
      <w:r w:rsidRPr="00816E15">
        <w:rPr>
          <w:rFonts w:ascii="Times New Roman" w:hAnsi="Times New Roman" w:cs="Times New Roman"/>
          <w:color w:val="000000"/>
          <w:w w:val="105"/>
          <w:sz w:val="24"/>
          <w:szCs w:val="24"/>
        </w:rPr>
        <w:t>w przymusowej restrukturyzacji</w:t>
      </w:r>
      <w:r w:rsidR="00AB45F0" w:rsidRPr="00816E15">
        <w:rPr>
          <w:rFonts w:ascii="Times New Roman" w:hAnsi="Times New Roman" w:cs="Times New Roman"/>
          <w:color w:val="000000"/>
          <w:w w:val="105"/>
          <w:sz w:val="24"/>
          <w:szCs w:val="24"/>
        </w:rPr>
        <w:t xml:space="preserve"> </w:t>
      </w:r>
      <w:r w:rsidRPr="00816E15">
        <w:rPr>
          <w:rFonts w:ascii="Times New Roman" w:hAnsi="Times New Roman" w:cs="Times New Roman"/>
          <w:color w:val="000000"/>
          <w:w w:val="105"/>
          <w:sz w:val="24"/>
          <w:szCs w:val="24"/>
        </w:rPr>
        <w:t>na Fundusz przechodzą wszelkie uprawnienia organów podmiotu w restrukturyzacji, w tym walnego zgromadzenia akcjonariuszy (art. 113 ust. 1 pkt 1 ustawy o BFG), funkcja regulacji art. 2 pkt 2 ustawy o funkcjonowaniu banków spółdzielczych</w:t>
      </w:r>
      <w:r w:rsidR="00DB090F" w:rsidRPr="00816E15">
        <w:rPr>
          <w:rFonts w:ascii="Times New Roman" w:hAnsi="Times New Roman" w:cs="Times New Roman"/>
          <w:color w:val="000000"/>
          <w:w w:val="105"/>
          <w:sz w:val="24"/>
          <w:szCs w:val="24"/>
        </w:rPr>
        <w:t>, ich zrzeszaniu się i bankach zrzeszających</w:t>
      </w:r>
      <w:r w:rsidRPr="00816E15">
        <w:rPr>
          <w:rFonts w:ascii="Times New Roman" w:hAnsi="Times New Roman" w:cs="Times New Roman"/>
          <w:color w:val="000000"/>
          <w:w w:val="105"/>
          <w:sz w:val="24"/>
          <w:szCs w:val="24"/>
        </w:rPr>
        <w:t xml:space="preserve"> w zakresie dotyczącym tworzenia banku zrzeszającego przez banki spółdzielcze przestanie mieć znaczenie. </w:t>
      </w:r>
      <w:r w:rsidR="00AB45F0" w:rsidRPr="00816E15">
        <w:rPr>
          <w:rFonts w:ascii="Times New Roman" w:hAnsi="Times New Roman" w:cs="Times New Roman"/>
          <w:color w:val="000000"/>
          <w:w w:val="105"/>
          <w:sz w:val="24"/>
          <w:szCs w:val="24"/>
        </w:rPr>
        <w:t>Żaden</w:t>
      </w:r>
      <w:r w:rsidR="00816E15">
        <w:rPr>
          <w:rFonts w:ascii="Times New Roman" w:hAnsi="Times New Roman" w:cs="Times New Roman"/>
          <w:color w:val="000000"/>
          <w:w w:val="105"/>
          <w:sz w:val="24"/>
          <w:szCs w:val="24"/>
        </w:rPr>
        <w:t xml:space="preserve"> </w:t>
      </w:r>
      <w:r w:rsidRPr="00816E15">
        <w:rPr>
          <w:rFonts w:ascii="Times New Roman" w:hAnsi="Times New Roman" w:cs="Times New Roman"/>
          <w:color w:val="000000"/>
          <w:w w:val="105"/>
          <w:sz w:val="24"/>
          <w:szCs w:val="24"/>
        </w:rPr>
        <w:t>akcjonariusz banku zrzeszającego w restrukturyzacji nie będ</w:t>
      </w:r>
      <w:r w:rsidR="00AB45F0" w:rsidRPr="00816E15">
        <w:rPr>
          <w:rFonts w:ascii="Times New Roman" w:hAnsi="Times New Roman" w:cs="Times New Roman"/>
          <w:color w:val="000000"/>
          <w:w w:val="105"/>
          <w:sz w:val="24"/>
          <w:szCs w:val="24"/>
        </w:rPr>
        <w:t xml:space="preserve">zie </w:t>
      </w:r>
      <w:r w:rsidRPr="00816E15">
        <w:rPr>
          <w:rFonts w:ascii="Times New Roman" w:hAnsi="Times New Roman" w:cs="Times New Roman"/>
          <w:color w:val="000000"/>
          <w:w w:val="105"/>
          <w:sz w:val="24"/>
          <w:szCs w:val="24"/>
        </w:rPr>
        <w:t>bowiem m</w:t>
      </w:r>
      <w:r w:rsidR="00AB45F0" w:rsidRPr="00816E15">
        <w:rPr>
          <w:rFonts w:ascii="Times New Roman" w:hAnsi="Times New Roman" w:cs="Times New Roman"/>
          <w:color w:val="000000"/>
          <w:w w:val="105"/>
          <w:sz w:val="24"/>
          <w:szCs w:val="24"/>
        </w:rPr>
        <w:t>ó</w:t>
      </w:r>
      <w:r w:rsidRPr="00816E15">
        <w:rPr>
          <w:rFonts w:ascii="Times New Roman" w:hAnsi="Times New Roman" w:cs="Times New Roman"/>
          <w:color w:val="000000"/>
          <w:w w:val="105"/>
          <w:sz w:val="24"/>
          <w:szCs w:val="24"/>
        </w:rPr>
        <w:t>g</w:t>
      </w:r>
      <w:r w:rsidR="00AB45F0" w:rsidRPr="00816E15">
        <w:rPr>
          <w:rFonts w:ascii="Times New Roman" w:hAnsi="Times New Roman" w:cs="Times New Roman"/>
          <w:color w:val="000000"/>
          <w:w w:val="105"/>
          <w:sz w:val="24"/>
          <w:szCs w:val="24"/>
        </w:rPr>
        <w:t>ł</w:t>
      </w:r>
      <w:r w:rsidRPr="00816E15">
        <w:rPr>
          <w:rFonts w:ascii="Times New Roman" w:hAnsi="Times New Roman" w:cs="Times New Roman"/>
          <w:color w:val="000000"/>
          <w:w w:val="105"/>
          <w:sz w:val="24"/>
          <w:szCs w:val="24"/>
        </w:rPr>
        <w:t xml:space="preserve"> wykonywać prawa głosu ze swoich akcji. W konsekwencji nie będzie celowe egzekwowanie od banków spółdzielczych, których nadal łączyć będzie z bankiem zrzeszającym umowa zrzeszenia, obowiązku posiadania lub nabycia akcji banku zrzeszającego.</w:t>
      </w:r>
    </w:p>
    <w:p w14:paraId="16A2B08A" w14:textId="25F80D2D" w:rsidR="00F0601F" w:rsidRPr="00816E15" w:rsidRDefault="0070795E" w:rsidP="00CF5AAF">
      <w:pPr>
        <w:pStyle w:val="Tekstpodstawowy3"/>
        <w:shd w:val="clear" w:color="auto" w:fill="auto"/>
        <w:spacing w:before="240" w:line="360" w:lineRule="auto"/>
        <w:ind w:right="40" w:firstLine="0"/>
        <w:jc w:val="both"/>
        <w:rPr>
          <w:rFonts w:ascii="Times New Roman" w:hAnsi="Times New Roman" w:cs="Times New Roman"/>
          <w:color w:val="000000"/>
          <w:w w:val="105"/>
          <w:sz w:val="24"/>
          <w:szCs w:val="24"/>
        </w:rPr>
      </w:pPr>
      <w:r>
        <w:rPr>
          <w:rFonts w:ascii="Times New Roman" w:hAnsi="Times New Roman" w:cs="Times New Roman"/>
          <w:w w:val="105"/>
          <w:sz w:val="24"/>
          <w:szCs w:val="24"/>
        </w:rPr>
        <w:t>Dodatkowo</w:t>
      </w:r>
      <w:r w:rsidR="008E46C5" w:rsidRPr="00816E15">
        <w:rPr>
          <w:rFonts w:ascii="Times New Roman" w:hAnsi="Times New Roman" w:cs="Times New Roman"/>
          <w:b/>
          <w:w w:val="105"/>
          <w:sz w:val="24"/>
          <w:szCs w:val="24"/>
        </w:rPr>
        <w:t xml:space="preserve"> </w:t>
      </w:r>
      <w:r w:rsidR="008E46C5" w:rsidRPr="00816E15">
        <w:rPr>
          <w:rFonts w:ascii="Times New Roman" w:hAnsi="Times New Roman" w:cs="Times New Roman"/>
          <w:w w:val="105"/>
          <w:sz w:val="24"/>
          <w:szCs w:val="24"/>
        </w:rPr>
        <w:t>w przypadku restrukturyzacji banku zrzeszającego wyłączony zostaje art. 21 ustawy o</w:t>
      </w:r>
      <w:r w:rsidR="008E46C5" w:rsidRPr="00816E15">
        <w:rPr>
          <w:rFonts w:ascii="Times New Roman" w:hAnsi="Times New Roman" w:cs="Times New Roman"/>
          <w:sz w:val="24"/>
          <w:szCs w:val="24"/>
        </w:rPr>
        <w:t xml:space="preserve"> funkcjonowaniu banków spółdzielczych, ich zrzeszaniu się i bankach zrzeszających</w:t>
      </w:r>
      <w:r w:rsidR="008E46C5" w:rsidRPr="00816E15">
        <w:rPr>
          <w:rFonts w:ascii="Times New Roman" w:hAnsi="Times New Roman" w:cs="Times New Roman"/>
          <w:w w:val="105"/>
          <w:sz w:val="24"/>
          <w:szCs w:val="24"/>
        </w:rPr>
        <w:t>. Z uwagi na operacyjne i kierownicze działania podejmowane przez Fundusz nie jest niezbędne pozostawienie rady zrzeszenia jako organu opiniodawczo</w:t>
      </w:r>
      <w:r w:rsidR="00280324">
        <w:rPr>
          <w:rFonts w:ascii="Times New Roman" w:hAnsi="Times New Roman" w:cs="Times New Roman"/>
          <w:w w:val="105"/>
          <w:sz w:val="24"/>
          <w:szCs w:val="24"/>
        </w:rPr>
        <w:noBreakHyphen/>
      </w:r>
      <w:r w:rsidR="008E46C5" w:rsidRPr="00816E15">
        <w:rPr>
          <w:rFonts w:ascii="Times New Roman" w:hAnsi="Times New Roman" w:cs="Times New Roman"/>
          <w:w w:val="105"/>
          <w:sz w:val="24"/>
          <w:szCs w:val="24"/>
        </w:rPr>
        <w:t>doradczego.</w:t>
      </w:r>
      <w:r w:rsidR="00676FC0" w:rsidRPr="00816E15">
        <w:rPr>
          <w:rFonts w:ascii="Times New Roman" w:hAnsi="Times New Roman" w:cs="Times New Roman"/>
          <w:w w:val="105"/>
          <w:sz w:val="24"/>
          <w:szCs w:val="24"/>
        </w:rPr>
        <w:t xml:space="preserve"> Z chwilą wszczęcia przymusowej restrukturyzacji zarząd komisaryczny ulega rozwiązaniu, </w:t>
      </w:r>
      <w:r w:rsidR="003E7E66" w:rsidRPr="00816E15">
        <w:rPr>
          <w:rFonts w:ascii="Times New Roman" w:hAnsi="Times New Roman" w:cs="Times New Roman"/>
          <w:w w:val="105"/>
          <w:sz w:val="24"/>
          <w:szCs w:val="24"/>
        </w:rPr>
        <w:t xml:space="preserve">a </w:t>
      </w:r>
      <w:r w:rsidR="00676FC0" w:rsidRPr="00816E15">
        <w:rPr>
          <w:rFonts w:ascii="Times New Roman" w:hAnsi="Times New Roman" w:cs="Times New Roman"/>
          <w:sz w:val="24"/>
          <w:szCs w:val="24"/>
        </w:rPr>
        <w:t xml:space="preserve">kompetencje pozostałych organów podmiotu w restrukturyzacji zostają zawieszone. Termin </w:t>
      </w:r>
      <w:r w:rsidR="00F0601F" w:rsidRPr="00816E15">
        <w:rPr>
          <w:rFonts w:ascii="Times New Roman" w:hAnsi="Times New Roman" w:cs="Times New Roman"/>
          <w:color w:val="000000"/>
          <w:w w:val="105"/>
          <w:sz w:val="24"/>
          <w:szCs w:val="24"/>
        </w:rPr>
        <w:t>„organy podmiotu w restrukturyzacji” użyty w tym przepisie może być interpretowany wyłącznie jako „organy spółki akcyjnej” w rozumieniu</w:t>
      </w:r>
      <w:r w:rsidR="00DB090F" w:rsidRPr="00816E15">
        <w:rPr>
          <w:rFonts w:ascii="Times New Roman" w:hAnsi="Times New Roman" w:cs="Times New Roman"/>
          <w:color w:val="000000"/>
          <w:w w:val="105"/>
          <w:sz w:val="24"/>
          <w:szCs w:val="24"/>
        </w:rPr>
        <w:t xml:space="preserve"> </w:t>
      </w:r>
      <w:r w:rsidR="00F26978" w:rsidRPr="00816E15">
        <w:rPr>
          <w:rFonts w:ascii="Times New Roman" w:hAnsi="Times New Roman" w:cs="Times New Roman"/>
          <w:color w:val="000000"/>
          <w:w w:val="105"/>
          <w:sz w:val="24"/>
          <w:szCs w:val="24"/>
        </w:rPr>
        <w:t xml:space="preserve">ustawy z dnia </w:t>
      </w:r>
      <w:r w:rsidR="000238E0" w:rsidRPr="00816E15">
        <w:rPr>
          <w:rFonts w:ascii="Times New Roman" w:hAnsi="Times New Roman" w:cs="Times New Roman"/>
          <w:color w:val="000000"/>
          <w:w w:val="105"/>
          <w:sz w:val="24"/>
          <w:szCs w:val="24"/>
        </w:rPr>
        <w:t xml:space="preserve">15 września 2000 r. </w:t>
      </w:r>
      <w:r w:rsidR="00F84432" w:rsidRPr="00816E15">
        <w:rPr>
          <w:rFonts w:ascii="Times New Roman" w:hAnsi="Times New Roman" w:cs="Times New Roman"/>
          <w:color w:val="000000"/>
          <w:w w:val="105"/>
          <w:sz w:val="24"/>
          <w:szCs w:val="24"/>
        </w:rPr>
        <w:t>–</w:t>
      </w:r>
      <w:r w:rsidR="00F26978" w:rsidRPr="00816E15">
        <w:rPr>
          <w:rFonts w:ascii="Times New Roman" w:hAnsi="Times New Roman" w:cs="Times New Roman"/>
          <w:color w:val="000000"/>
          <w:w w:val="105"/>
          <w:sz w:val="24"/>
          <w:szCs w:val="24"/>
        </w:rPr>
        <w:t xml:space="preserve"> </w:t>
      </w:r>
      <w:r w:rsidR="00DB090F" w:rsidRPr="00816E15">
        <w:rPr>
          <w:rFonts w:ascii="Times New Roman" w:hAnsi="Times New Roman" w:cs="Times New Roman"/>
          <w:color w:val="000000"/>
          <w:w w:val="105"/>
          <w:sz w:val="24"/>
          <w:szCs w:val="24"/>
        </w:rPr>
        <w:t>Kodeks spółek handlowych (Dz. U. z 2017 r. poz. 1577</w:t>
      </w:r>
      <w:r w:rsidR="000238E0" w:rsidRPr="00816E15">
        <w:rPr>
          <w:rFonts w:ascii="Times New Roman" w:hAnsi="Times New Roman" w:cs="Times New Roman"/>
          <w:color w:val="000000"/>
          <w:w w:val="105"/>
          <w:sz w:val="24"/>
          <w:szCs w:val="24"/>
        </w:rPr>
        <w:t>, z późn. zm.</w:t>
      </w:r>
      <w:r w:rsidR="00DB090F" w:rsidRPr="00816E15">
        <w:rPr>
          <w:rFonts w:ascii="Times New Roman" w:hAnsi="Times New Roman" w:cs="Times New Roman"/>
          <w:color w:val="000000"/>
          <w:w w:val="105"/>
          <w:sz w:val="24"/>
          <w:szCs w:val="24"/>
        </w:rPr>
        <w:t>)</w:t>
      </w:r>
      <w:r w:rsidR="00513D31" w:rsidRPr="00816E15">
        <w:rPr>
          <w:rFonts w:ascii="Times New Roman" w:hAnsi="Times New Roman" w:cs="Times New Roman"/>
          <w:color w:val="000000"/>
          <w:w w:val="105"/>
          <w:sz w:val="24"/>
          <w:szCs w:val="24"/>
        </w:rPr>
        <w:t>,</w:t>
      </w:r>
      <w:r w:rsidR="00676FC0" w:rsidRPr="00816E15">
        <w:rPr>
          <w:rFonts w:ascii="Times New Roman" w:hAnsi="Times New Roman" w:cs="Times New Roman"/>
          <w:color w:val="000000"/>
          <w:w w:val="105"/>
          <w:sz w:val="24"/>
          <w:szCs w:val="24"/>
        </w:rPr>
        <w:t xml:space="preserve"> dlatego konieczne jest doprecyzowanie</w:t>
      </w:r>
      <w:r w:rsidR="00F0601F" w:rsidRPr="00816E15">
        <w:rPr>
          <w:rFonts w:ascii="Times New Roman" w:hAnsi="Times New Roman" w:cs="Times New Roman"/>
          <w:color w:val="000000"/>
          <w:w w:val="105"/>
          <w:sz w:val="24"/>
          <w:szCs w:val="24"/>
        </w:rPr>
        <w:t>.</w:t>
      </w:r>
    </w:p>
    <w:p w14:paraId="1F8414B8" w14:textId="421BEB0F" w:rsidR="000521A5" w:rsidRPr="00816E15" w:rsidRDefault="00061F3B" w:rsidP="00CF5AAF">
      <w:pPr>
        <w:pStyle w:val="Tekstpodstawowy3"/>
        <w:shd w:val="clear" w:color="auto" w:fill="auto"/>
        <w:spacing w:before="240" w:line="360" w:lineRule="auto"/>
        <w:ind w:right="40" w:firstLine="0"/>
        <w:jc w:val="both"/>
        <w:rPr>
          <w:rFonts w:ascii="Times New Roman" w:hAnsi="Times New Roman" w:cs="Times New Roman"/>
          <w:color w:val="000000"/>
          <w:w w:val="105"/>
          <w:sz w:val="24"/>
          <w:szCs w:val="24"/>
        </w:rPr>
      </w:pPr>
      <w:r w:rsidRPr="00816E15">
        <w:rPr>
          <w:rFonts w:ascii="Times New Roman" w:hAnsi="Times New Roman" w:cs="Times New Roman"/>
          <w:color w:val="000000"/>
          <w:w w:val="105"/>
          <w:sz w:val="24"/>
          <w:szCs w:val="24"/>
        </w:rPr>
        <w:t xml:space="preserve">W </w:t>
      </w:r>
      <w:r w:rsidRPr="00816E15">
        <w:rPr>
          <w:rFonts w:ascii="Times New Roman" w:hAnsi="Times New Roman" w:cs="Times New Roman"/>
          <w:b/>
          <w:color w:val="000000"/>
          <w:w w:val="105"/>
          <w:sz w:val="24"/>
          <w:szCs w:val="24"/>
        </w:rPr>
        <w:t>art. 122 ust. 1 pkt 3</w:t>
      </w:r>
      <w:r w:rsidRPr="00816E15">
        <w:rPr>
          <w:rFonts w:ascii="Times New Roman" w:hAnsi="Times New Roman" w:cs="Times New Roman"/>
          <w:color w:val="000000"/>
          <w:w w:val="105"/>
          <w:sz w:val="24"/>
          <w:szCs w:val="24"/>
        </w:rPr>
        <w:t xml:space="preserve"> </w:t>
      </w:r>
      <w:r w:rsidR="007009C5" w:rsidRPr="00816E15">
        <w:rPr>
          <w:rFonts w:ascii="Times New Roman" w:hAnsi="Times New Roman" w:cs="Times New Roman"/>
          <w:color w:val="000000"/>
          <w:w w:val="105"/>
          <w:sz w:val="24"/>
          <w:szCs w:val="24"/>
        </w:rPr>
        <w:t xml:space="preserve">dodaje się odwołanie do art. 230 ust. 5. Celem </w:t>
      </w:r>
      <w:r w:rsidR="003E7E66" w:rsidRPr="00816E15">
        <w:rPr>
          <w:rFonts w:ascii="Times New Roman" w:hAnsi="Times New Roman" w:cs="Times New Roman"/>
          <w:color w:val="000000"/>
          <w:w w:val="105"/>
          <w:sz w:val="24"/>
          <w:szCs w:val="24"/>
        </w:rPr>
        <w:t xml:space="preserve">zmiany </w:t>
      </w:r>
      <w:r w:rsidR="007009C5" w:rsidRPr="00816E15">
        <w:rPr>
          <w:rFonts w:ascii="Times New Roman" w:hAnsi="Times New Roman" w:cs="Times New Roman"/>
          <w:color w:val="000000"/>
          <w:w w:val="105"/>
          <w:sz w:val="24"/>
          <w:szCs w:val="24"/>
        </w:rPr>
        <w:t xml:space="preserve">jest </w:t>
      </w:r>
      <w:r w:rsidR="003E7E66" w:rsidRPr="00816E15">
        <w:rPr>
          <w:rFonts w:ascii="Times New Roman" w:hAnsi="Times New Roman" w:cs="Times New Roman"/>
          <w:color w:val="000000"/>
          <w:w w:val="105"/>
          <w:sz w:val="24"/>
          <w:szCs w:val="24"/>
        </w:rPr>
        <w:t>doprecyzowanie</w:t>
      </w:r>
      <w:r w:rsidR="007009C5" w:rsidRPr="00816E15">
        <w:rPr>
          <w:rFonts w:ascii="Times New Roman" w:hAnsi="Times New Roman" w:cs="Times New Roman"/>
          <w:color w:val="000000"/>
          <w:w w:val="105"/>
          <w:sz w:val="24"/>
          <w:szCs w:val="24"/>
        </w:rPr>
        <w:t>, że zakończenie</w:t>
      </w:r>
      <w:r w:rsidR="003E7E66" w:rsidRPr="00816E15">
        <w:rPr>
          <w:rFonts w:ascii="Times New Roman" w:hAnsi="Times New Roman" w:cs="Times New Roman"/>
          <w:color w:val="000000"/>
          <w:w w:val="105"/>
          <w:sz w:val="24"/>
          <w:szCs w:val="24"/>
        </w:rPr>
        <w:t>m</w:t>
      </w:r>
      <w:r w:rsidR="007009C5" w:rsidRPr="00816E15">
        <w:rPr>
          <w:rFonts w:ascii="Times New Roman" w:hAnsi="Times New Roman" w:cs="Times New Roman"/>
          <w:color w:val="000000"/>
          <w:w w:val="105"/>
          <w:sz w:val="24"/>
          <w:szCs w:val="24"/>
        </w:rPr>
        <w:t xml:space="preserve"> przymusowej restrukturyzacji jest likwidacja podmiotu rezydualnego przez Fundusz również w przypadku prawomocnego oddalenia przez sąd wniosku Funduszu o ogłoszenie upadłości, co może nastąpić </w:t>
      </w:r>
      <w:r w:rsidR="003E7E66" w:rsidRPr="00816E15">
        <w:rPr>
          <w:rFonts w:ascii="Times New Roman" w:hAnsi="Times New Roman" w:cs="Times New Roman"/>
          <w:color w:val="000000"/>
          <w:w w:val="105"/>
          <w:sz w:val="24"/>
          <w:szCs w:val="24"/>
        </w:rPr>
        <w:t xml:space="preserve">np. </w:t>
      </w:r>
      <w:r w:rsidR="007009C5" w:rsidRPr="00816E15">
        <w:rPr>
          <w:rFonts w:ascii="Times New Roman" w:hAnsi="Times New Roman" w:cs="Times New Roman"/>
          <w:color w:val="000000"/>
          <w:w w:val="105"/>
          <w:sz w:val="24"/>
          <w:szCs w:val="24"/>
        </w:rPr>
        <w:t xml:space="preserve">w przypadku </w:t>
      </w:r>
      <w:r w:rsidR="007009C5" w:rsidRPr="00816E15">
        <w:rPr>
          <w:rFonts w:ascii="Times New Roman" w:hAnsi="Times New Roman" w:cs="Times New Roman"/>
          <w:sz w:val="24"/>
          <w:szCs w:val="24"/>
        </w:rPr>
        <w:t>brak środków na pokrycie kosztów przymusowej restrukturyzacji.</w:t>
      </w:r>
    </w:p>
    <w:p w14:paraId="6BB8F4DF" w14:textId="7DFE686C" w:rsidR="00516283" w:rsidRPr="00816E15" w:rsidRDefault="0073439B" w:rsidP="00CF5AAF">
      <w:pPr>
        <w:spacing w:before="240" w:line="360" w:lineRule="auto"/>
        <w:jc w:val="both"/>
        <w:rPr>
          <w:rFonts w:cs="Times New Roman"/>
          <w:szCs w:val="24"/>
        </w:rPr>
      </w:pPr>
      <w:r w:rsidRPr="00816E15">
        <w:rPr>
          <w:rFonts w:cs="Times New Roman"/>
          <w:szCs w:val="24"/>
        </w:rPr>
        <w:t>Z</w:t>
      </w:r>
      <w:r w:rsidR="009578D2" w:rsidRPr="00816E15">
        <w:rPr>
          <w:rFonts w:cs="Times New Roman"/>
          <w:szCs w:val="24"/>
        </w:rPr>
        <w:t>miana</w:t>
      </w:r>
      <w:r w:rsidRPr="00816E15">
        <w:rPr>
          <w:rFonts w:cs="Times New Roman"/>
          <w:szCs w:val="24"/>
        </w:rPr>
        <w:t xml:space="preserve"> </w:t>
      </w:r>
      <w:r w:rsidRPr="00816E15">
        <w:rPr>
          <w:rFonts w:cs="Times New Roman"/>
          <w:b/>
          <w:szCs w:val="24"/>
        </w:rPr>
        <w:t xml:space="preserve">art. 123 i </w:t>
      </w:r>
      <w:r w:rsidR="003E7E66" w:rsidRPr="00816E15">
        <w:rPr>
          <w:rFonts w:cs="Times New Roman"/>
          <w:b/>
          <w:szCs w:val="24"/>
        </w:rPr>
        <w:t xml:space="preserve">art. </w:t>
      </w:r>
      <w:r w:rsidRPr="00816E15">
        <w:rPr>
          <w:rFonts w:cs="Times New Roman"/>
          <w:b/>
          <w:szCs w:val="24"/>
        </w:rPr>
        <w:t>124</w:t>
      </w:r>
      <w:r w:rsidR="009578D2" w:rsidRPr="00816E15">
        <w:rPr>
          <w:rFonts w:cs="Times New Roman"/>
          <w:b/>
          <w:szCs w:val="24"/>
        </w:rPr>
        <w:t xml:space="preserve"> </w:t>
      </w:r>
      <w:r w:rsidR="009578D2" w:rsidRPr="00816E15">
        <w:rPr>
          <w:rFonts w:cs="Times New Roman"/>
          <w:szCs w:val="24"/>
        </w:rPr>
        <w:t>ma na celu</w:t>
      </w:r>
      <w:r w:rsidRPr="00816E15">
        <w:rPr>
          <w:rFonts w:cs="Times New Roman"/>
          <w:szCs w:val="24"/>
        </w:rPr>
        <w:t xml:space="preserve"> </w:t>
      </w:r>
      <w:r w:rsidR="009578D2" w:rsidRPr="00816E15">
        <w:rPr>
          <w:rFonts w:cs="Times New Roman"/>
          <w:szCs w:val="24"/>
        </w:rPr>
        <w:t xml:space="preserve">doprecyzowanie przepisów dotyczących instrumentu przejęcia przedsiębiorstwa, </w:t>
      </w:r>
      <w:r w:rsidR="003E7E66" w:rsidRPr="00816E15">
        <w:rPr>
          <w:rFonts w:cs="Times New Roman"/>
          <w:szCs w:val="24"/>
        </w:rPr>
        <w:t xml:space="preserve">co </w:t>
      </w:r>
      <w:r w:rsidR="009578D2" w:rsidRPr="00816E15">
        <w:rPr>
          <w:rFonts w:cs="Times New Roman"/>
          <w:szCs w:val="24"/>
        </w:rPr>
        <w:t>zapewni skuteczność zastosowania tego instrumentu dla uniknięcia znaczących negatywnych skutków dla stabilności finansowej oraz osiągnięci</w:t>
      </w:r>
      <w:r w:rsidR="003E7E66" w:rsidRPr="00816E15">
        <w:rPr>
          <w:rFonts w:cs="Times New Roman"/>
          <w:szCs w:val="24"/>
        </w:rPr>
        <w:t>e</w:t>
      </w:r>
      <w:r w:rsidR="009578D2" w:rsidRPr="00816E15">
        <w:rPr>
          <w:rFonts w:cs="Times New Roman"/>
          <w:szCs w:val="24"/>
        </w:rPr>
        <w:t xml:space="preserve"> celów przymusowej restrukturyzacji.</w:t>
      </w:r>
      <w:r w:rsidR="007307FD" w:rsidRPr="00816E15">
        <w:rPr>
          <w:rFonts w:cs="Times New Roman"/>
          <w:szCs w:val="24"/>
        </w:rPr>
        <w:t xml:space="preserve"> </w:t>
      </w:r>
      <w:r w:rsidR="009578D2" w:rsidRPr="00816E15">
        <w:rPr>
          <w:rFonts w:cs="Times New Roman"/>
          <w:szCs w:val="24"/>
        </w:rPr>
        <w:t>Obowiązujące obecnie przepisy dotyczące przejęcia podmiotu w restrukturyzacji nie pozwalają na automatyczne</w:t>
      </w:r>
      <w:r w:rsidR="00F02923" w:rsidRPr="00816E15">
        <w:rPr>
          <w:rFonts w:cs="Times New Roman"/>
          <w:szCs w:val="24"/>
        </w:rPr>
        <w:t xml:space="preserve"> (z mocy prawa)</w:t>
      </w:r>
      <w:r w:rsidR="009578D2" w:rsidRPr="00816E15">
        <w:rPr>
          <w:rFonts w:cs="Times New Roman"/>
          <w:szCs w:val="24"/>
        </w:rPr>
        <w:t xml:space="preserve"> przejęcie pra</w:t>
      </w:r>
      <w:r w:rsidR="002F3F55">
        <w:rPr>
          <w:rFonts w:cs="Times New Roman"/>
          <w:szCs w:val="24"/>
        </w:rPr>
        <w:t>cowników przez nowego pracodawcę</w:t>
      </w:r>
      <w:r w:rsidR="009578D2" w:rsidRPr="00816E15">
        <w:rPr>
          <w:rFonts w:cs="Times New Roman"/>
          <w:szCs w:val="24"/>
        </w:rPr>
        <w:t>, na którego przejdzie zakład pracy podmiotu w</w:t>
      </w:r>
      <w:r w:rsidR="00380F66" w:rsidRPr="00816E15">
        <w:rPr>
          <w:rFonts w:cs="Times New Roman"/>
          <w:szCs w:val="24"/>
        </w:rPr>
        <w:t> </w:t>
      </w:r>
      <w:r w:rsidR="009578D2" w:rsidRPr="00816E15">
        <w:rPr>
          <w:rFonts w:cs="Times New Roman"/>
          <w:szCs w:val="24"/>
        </w:rPr>
        <w:t xml:space="preserve">restrukturyzacji. </w:t>
      </w:r>
      <w:r w:rsidR="00516283" w:rsidRPr="00816E15">
        <w:rPr>
          <w:rFonts w:cs="Arial"/>
          <w:bCs/>
          <w:szCs w:val="24"/>
          <w:lang w:eastAsia="pl-PL"/>
        </w:rPr>
        <w:t>Dotychczasowy przepis art. 124 ustawy o BFG</w:t>
      </w:r>
      <w:r w:rsidR="006468AC" w:rsidRPr="00816E15">
        <w:rPr>
          <w:rFonts w:cs="Arial"/>
          <w:bCs/>
          <w:szCs w:val="24"/>
          <w:lang w:eastAsia="pl-PL"/>
        </w:rPr>
        <w:t xml:space="preserve">, </w:t>
      </w:r>
      <w:r w:rsidR="00516283" w:rsidRPr="00816E15">
        <w:rPr>
          <w:rFonts w:cs="Arial"/>
          <w:bCs/>
          <w:szCs w:val="24"/>
          <w:lang w:eastAsia="pl-PL"/>
        </w:rPr>
        <w:t>wyłączając</w:t>
      </w:r>
      <w:r w:rsidR="006468AC" w:rsidRPr="00816E15">
        <w:rPr>
          <w:rFonts w:cs="Arial"/>
          <w:bCs/>
          <w:szCs w:val="24"/>
          <w:lang w:eastAsia="pl-PL"/>
        </w:rPr>
        <w:t>y</w:t>
      </w:r>
      <w:r w:rsidR="00516283" w:rsidRPr="00816E15">
        <w:rPr>
          <w:rFonts w:cs="Arial"/>
          <w:bCs/>
          <w:szCs w:val="24"/>
          <w:lang w:eastAsia="pl-PL"/>
        </w:rPr>
        <w:t xml:space="preserve"> art. 23</w:t>
      </w:r>
      <w:r w:rsidR="00516283" w:rsidRPr="00816E15">
        <w:rPr>
          <w:rFonts w:cs="Arial"/>
          <w:bCs/>
          <w:szCs w:val="24"/>
          <w:vertAlign w:val="superscript"/>
          <w:lang w:eastAsia="pl-PL"/>
        </w:rPr>
        <w:t>1</w:t>
      </w:r>
      <w:r w:rsidR="00516283" w:rsidRPr="00816E15">
        <w:rPr>
          <w:rFonts w:cs="Arial"/>
          <w:bCs/>
          <w:szCs w:val="24"/>
          <w:lang w:eastAsia="pl-PL"/>
        </w:rPr>
        <w:t xml:space="preserve"> § 1 Kodeksu pracy</w:t>
      </w:r>
      <w:r w:rsidR="006468AC" w:rsidRPr="00816E15">
        <w:rPr>
          <w:rFonts w:cs="Arial"/>
          <w:bCs/>
          <w:szCs w:val="24"/>
          <w:lang w:eastAsia="pl-PL"/>
        </w:rPr>
        <w:t xml:space="preserve">, </w:t>
      </w:r>
      <w:r w:rsidR="00516283" w:rsidRPr="00816E15">
        <w:rPr>
          <w:rFonts w:cs="Arial"/>
          <w:bCs/>
          <w:szCs w:val="24"/>
          <w:lang w:eastAsia="pl-PL"/>
        </w:rPr>
        <w:t>tego nie gwarant</w:t>
      </w:r>
      <w:r w:rsidR="006468AC" w:rsidRPr="00816E15">
        <w:rPr>
          <w:rFonts w:cs="Arial"/>
          <w:bCs/>
          <w:szCs w:val="24"/>
          <w:lang w:eastAsia="pl-PL"/>
        </w:rPr>
        <w:t xml:space="preserve">uje i </w:t>
      </w:r>
      <w:r w:rsidR="00516283" w:rsidRPr="00816E15">
        <w:rPr>
          <w:rFonts w:cs="Arial"/>
          <w:bCs/>
          <w:szCs w:val="24"/>
          <w:lang w:eastAsia="pl-PL"/>
        </w:rPr>
        <w:t>skutkuj</w:t>
      </w:r>
      <w:r w:rsidR="006468AC" w:rsidRPr="00816E15">
        <w:rPr>
          <w:rFonts w:cs="Arial"/>
          <w:bCs/>
          <w:szCs w:val="24"/>
          <w:lang w:eastAsia="pl-PL"/>
        </w:rPr>
        <w:t xml:space="preserve">e </w:t>
      </w:r>
      <w:r w:rsidR="00516283" w:rsidRPr="00816E15">
        <w:rPr>
          <w:rFonts w:cs="Arial"/>
          <w:bCs/>
          <w:szCs w:val="24"/>
          <w:lang w:eastAsia="pl-PL"/>
        </w:rPr>
        <w:t>tym, że pracownicy mog</w:t>
      </w:r>
      <w:r w:rsidR="006468AC" w:rsidRPr="00816E15">
        <w:rPr>
          <w:rFonts w:cs="Arial"/>
          <w:bCs/>
          <w:szCs w:val="24"/>
          <w:lang w:eastAsia="pl-PL"/>
        </w:rPr>
        <w:t xml:space="preserve">ą </w:t>
      </w:r>
      <w:r w:rsidR="00516283" w:rsidRPr="00816E15">
        <w:rPr>
          <w:rFonts w:cs="Arial"/>
          <w:bCs/>
          <w:szCs w:val="24"/>
          <w:lang w:eastAsia="pl-PL"/>
        </w:rPr>
        <w:t xml:space="preserve">pozostawać w podmiocie zagrożonym niewypłacalnością, który ostatecznie będzie zlikwidowany. Dla pracowników wiązać się to może de facto z koniecznością poszukiwania nowego zatrudnienia. </w:t>
      </w:r>
      <w:r w:rsidR="006468AC" w:rsidRPr="00816E15">
        <w:rPr>
          <w:rFonts w:cs="Arial"/>
          <w:bCs/>
          <w:szCs w:val="24"/>
          <w:lang w:eastAsia="pl-PL"/>
        </w:rPr>
        <w:t>M</w:t>
      </w:r>
      <w:r w:rsidR="009578D2" w:rsidRPr="00816E15">
        <w:rPr>
          <w:rFonts w:cs="Times New Roman"/>
          <w:szCs w:val="24"/>
        </w:rPr>
        <w:t xml:space="preserve">oże być to </w:t>
      </w:r>
      <w:r w:rsidR="006468AC" w:rsidRPr="00816E15">
        <w:rPr>
          <w:rFonts w:cs="Times New Roman"/>
          <w:szCs w:val="24"/>
        </w:rPr>
        <w:t xml:space="preserve">oczywiście </w:t>
      </w:r>
      <w:r w:rsidR="009578D2" w:rsidRPr="00816E15">
        <w:rPr>
          <w:rFonts w:cs="Times New Roman"/>
          <w:szCs w:val="24"/>
        </w:rPr>
        <w:t>niekorzystne z punktu widzenia ochrony praw pracowniczych, a ponadto</w:t>
      </w:r>
      <w:r w:rsidR="007307FD" w:rsidRPr="00816E15">
        <w:rPr>
          <w:rFonts w:cs="Times New Roman"/>
          <w:szCs w:val="24"/>
        </w:rPr>
        <w:t xml:space="preserve"> </w:t>
      </w:r>
      <w:r w:rsidR="009578D2" w:rsidRPr="00816E15">
        <w:rPr>
          <w:rFonts w:cs="Times New Roman"/>
          <w:szCs w:val="24"/>
        </w:rPr>
        <w:t>utrudni</w:t>
      </w:r>
      <w:r w:rsidR="00E96E9C" w:rsidRPr="00816E15">
        <w:rPr>
          <w:rFonts w:cs="Times New Roman"/>
          <w:szCs w:val="24"/>
        </w:rPr>
        <w:t>ć</w:t>
      </w:r>
      <w:r w:rsidR="009578D2" w:rsidRPr="00816E15">
        <w:rPr>
          <w:rFonts w:cs="Times New Roman"/>
          <w:szCs w:val="24"/>
        </w:rPr>
        <w:t xml:space="preserve"> postępowanie restrukturyzacyjne</w:t>
      </w:r>
      <w:r w:rsidR="00F02923" w:rsidRPr="00816E15">
        <w:rPr>
          <w:rFonts w:cs="Times New Roman"/>
          <w:szCs w:val="24"/>
        </w:rPr>
        <w:t xml:space="preserve"> (podmiot w</w:t>
      </w:r>
      <w:r w:rsidR="00380F66" w:rsidRPr="00816E15">
        <w:rPr>
          <w:rFonts w:cs="Times New Roman"/>
          <w:szCs w:val="24"/>
        </w:rPr>
        <w:t> </w:t>
      </w:r>
      <w:r w:rsidR="00F02923" w:rsidRPr="00816E15">
        <w:rPr>
          <w:rFonts w:cs="Times New Roman"/>
          <w:szCs w:val="24"/>
        </w:rPr>
        <w:t>restrukturyzacji będzie musiał podjąć czynności zmierzające do zakończenia dotychczasowych stosunków pracy z pracownikami w zakresie wynikającym z rzeczowej potrzeby)</w:t>
      </w:r>
      <w:r w:rsidR="009578D2" w:rsidRPr="00816E15">
        <w:rPr>
          <w:rFonts w:cs="Times New Roman"/>
          <w:szCs w:val="24"/>
        </w:rPr>
        <w:t xml:space="preserve">. </w:t>
      </w:r>
      <w:r w:rsidR="00516283" w:rsidRPr="00816E15">
        <w:rPr>
          <w:rFonts w:cs="Arial"/>
          <w:bCs/>
          <w:szCs w:val="24"/>
          <w:lang w:eastAsia="pl-PL"/>
        </w:rPr>
        <w:t xml:space="preserve">Nowelizacja art. 124 ustawy o BFG nie przewiduje już </w:t>
      </w:r>
      <w:r w:rsidR="006468AC" w:rsidRPr="00816E15">
        <w:rPr>
          <w:rFonts w:cs="Arial"/>
          <w:bCs/>
          <w:szCs w:val="24"/>
          <w:lang w:eastAsia="pl-PL"/>
        </w:rPr>
        <w:t xml:space="preserve">takiego </w:t>
      </w:r>
      <w:r w:rsidR="00516283" w:rsidRPr="00816E15">
        <w:rPr>
          <w:rFonts w:cs="Arial"/>
          <w:bCs/>
          <w:szCs w:val="24"/>
          <w:lang w:eastAsia="pl-PL"/>
        </w:rPr>
        <w:t xml:space="preserve">wyłączenia, co jest </w:t>
      </w:r>
      <w:r w:rsidR="006468AC" w:rsidRPr="00816E15">
        <w:rPr>
          <w:rFonts w:cs="Arial"/>
          <w:bCs/>
          <w:szCs w:val="24"/>
          <w:lang w:eastAsia="pl-PL"/>
        </w:rPr>
        <w:t xml:space="preserve">rozwiązaniem </w:t>
      </w:r>
      <w:r w:rsidR="00516283" w:rsidRPr="00816E15">
        <w:rPr>
          <w:rFonts w:cs="Arial"/>
          <w:bCs/>
          <w:szCs w:val="24"/>
          <w:lang w:eastAsia="pl-PL"/>
        </w:rPr>
        <w:t xml:space="preserve">oczywiście </w:t>
      </w:r>
      <w:r w:rsidR="006468AC" w:rsidRPr="00816E15">
        <w:rPr>
          <w:rFonts w:cs="Arial"/>
          <w:bCs/>
          <w:szCs w:val="24"/>
          <w:lang w:eastAsia="pl-PL"/>
        </w:rPr>
        <w:t>korzystnym</w:t>
      </w:r>
      <w:r w:rsidR="006468AC" w:rsidRPr="00816E15" w:rsidDel="006468AC">
        <w:rPr>
          <w:rFonts w:cs="Arial"/>
          <w:bCs/>
          <w:szCs w:val="24"/>
          <w:lang w:eastAsia="pl-PL"/>
        </w:rPr>
        <w:t xml:space="preserve"> </w:t>
      </w:r>
      <w:r w:rsidR="00516283" w:rsidRPr="00816E15">
        <w:rPr>
          <w:rFonts w:cs="Arial"/>
          <w:bCs/>
          <w:szCs w:val="24"/>
          <w:lang w:eastAsia="pl-PL"/>
        </w:rPr>
        <w:t>dla pracowników.</w:t>
      </w:r>
    </w:p>
    <w:p w14:paraId="13B2FDEA" w14:textId="3196FAFC" w:rsidR="009578D2" w:rsidRPr="00816E15" w:rsidRDefault="008F06CB" w:rsidP="00CF5AAF">
      <w:pPr>
        <w:spacing w:before="240" w:line="360" w:lineRule="auto"/>
        <w:jc w:val="both"/>
        <w:rPr>
          <w:rFonts w:cs="Times New Roman"/>
          <w:szCs w:val="24"/>
        </w:rPr>
      </w:pPr>
      <w:r w:rsidRPr="00816E15">
        <w:rPr>
          <w:rFonts w:cs="Times New Roman"/>
          <w:szCs w:val="24"/>
        </w:rPr>
        <w:t>C</w:t>
      </w:r>
      <w:r w:rsidR="00E96E9C" w:rsidRPr="00816E15">
        <w:rPr>
          <w:rFonts w:cs="Times New Roman"/>
          <w:szCs w:val="24"/>
        </w:rPr>
        <w:t>elem przymusowej restrukturyzacji jest m.in. utrzymanie stabilności finansowej</w:t>
      </w:r>
      <w:r w:rsidR="009A2DF2" w:rsidRPr="00816E15">
        <w:rPr>
          <w:rFonts w:cs="Times New Roman"/>
          <w:szCs w:val="24"/>
        </w:rPr>
        <w:t xml:space="preserve"> (płynności finansowej) przez zachowanie</w:t>
      </w:r>
      <w:r w:rsidR="00E96E9C" w:rsidRPr="00816E15">
        <w:rPr>
          <w:rFonts w:cs="Times New Roman"/>
          <w:szCs w:val="24"/>
        </w:rPr>
        <w:t xml:space="preserve"> możliwie najwęższego kręgu osób</w:t>
      </w:r>
      <w:r w:rsidR="009A2DF2" w:rsidRPr="00816E15">
        <w:rPr>
          <w:rFonts w:cs="Times New Roman"/>
          <w:szCs w:val="24"/>
        </w:rPr>
        <w:t xml:space="preserve"> dysponujących informacjami wrażliwymi </w:t>
      </w:r>
      <w:r w:rsidR="00E96E9C" w:rsidRPr="00816E15">
        <w:rPr>
          <w:rFonts w:cs="Times New Roman"/>
          <w:szCs w:val="24"/>
        </w:rPr>
        <w:t>i zapobie</w:t>
      </w:r>
      <w:r w:rsidR="009A2DF2" w:rsidRPr="00816E15">
        <w:rPr>
          <w:rFonts w:cs="Times New Roman"/>
          <w:szCs w:val="24"/>
        </w:rPr>
        <w:t>żenie</w:t>
      </w:r>
      <w:r w:rsidR="00E96E9C" w:rsidRPr="00816E15">
        <w:rPr>
          <w:rFonts w:cs="Times New Roman"/>
          <w:szCs w:val="24"/>
        </w:rPr>
        <w:t xml:space="preserve"> tzw. „</w:t>
      </w:r>
      <w:r w:rsidR="00513D31" w:rsidRPr="00816E15">
        <w:rPr>
          <w:rFonts w:cs="Times New Roman"/>
          <w:szCs w:val="24"/>
        </w:rPr>
        <w:t>szturmu na bank” – wystąpienia trudności z wycofaniem depozytów i rozprzestrzenienia się tej informacji zwiększającymi w sposób nadmiarowy wycofywanie depozytów</w:t>
      </w:r>
      <w:r w:rsidR="00E96E9C" w:rsidRPr="00816E15">
        <w:rPr>
          <w:rFonts w:cs="Times New Roman"/>
          <w:szCs w:val="24"/>
        </w:rPr>
        <w:t>.</w:t>
      </w:r>
    </w:p>
    <w:p w14:paraId="5F1490FF" w14:textId="0020F200" w:rsidR="009578D2" w:rsidRPr="00816E15" w:rsidRDefault="0015476F" w:rsidP="00CF5AAF">
      <w:pPr>
        <w:spacing w:line="360" w:lineRule="auto"/>
        <w:jc w:val="both"/>
        <w:rPr>
          <w:szCs w:val="24"/>
        </w:rPr>
      </w:pPr>
      <w:r w:rsidRPr="00816E15">
        <w:rPr>
          <w:rFonts w:eastAsia="Times New Roman" w:cs="Times New Roman"/>
          <w:szCs w:val="24"/>
          <w:lang w:eastAsia="pl-PL"/>
        </w:rPr>
        <w:t>Zachowanie ciągłości zatrudnienia pracowników może sprzyjać szybkości postępowania restrukturyzacyjnego oraz mieć istotne znaczenie przy przejęciu funkcji krytycznyc</w:t>
      </w:r>
      <w:r w:rsidR="009F0C31" w:rsidRPr="00816E15">
        <w:rPr>
          <w:rFonts w:eastAsia="Times New Roman" w:cs="Times New Roman"/>
          <w:szCs w:val="24"/>
          <w:lang w:eastAsia="pl-PL"/>
        </w:rPr>
        <w:t xml:space="preserve">h podmiotu w restrukturyzacji. </w:t>
      </w:r>
      <w:r w:rsidR="00387361" w:rsidRPr="00816E15">
        <w:rPr>
          <w:rFonts w:eastAsia="Times New Roman" w:cs="Times New Roman"/>
          <w:szCs w:val="24"/>
          <w:lang w:eastAsia="pl-PL"/>
        </w:rPr>
        <w:t>Zgodnie z</w:t>
      </w:r>
      <w:r w:rsidR="009237CF" w:rsidRPr="00816E15">
        <w:rPr>
          <w:rFonts w:eastAsia="Times New Roman" w:cs="Times New Roman"/>
          <w:szCs w:val="24"/>
          <w:lang w:eastAsia="pl-PL"/>
        </w:rPr>
        <w:t>e</w:t>
      </w:r>
      <w:r w:rsidR="00387361" w:rsidRPr="00816E15">
        <w:rPr>
          <w:rFonts w:eastAsia="Times New Roman" w:cs="Times New Roman"/>
          <w:szCs w:val="24"/>
          <w:lang w:eastAsia="pl-PL"/>
        </w:rPr>
        <w:t xml:space="preserve"> zmienianym </w:t>
      </w:r>
      <w:r w:rsidR="00387361" w:rsidRPr="00816E15">
        <w:rPr>
          <w:rFonts w:eastAsia="Times New Roman" w:cs="Times New Roman"/>
          <w:b/>
          <w:szCs w:val="24"/>
          <w:lang w:eastAsia="pl-PL"/>
        </w:rPr>
        <w:t xml:space="preserve">art. 123 </w:t>
      </w:r>
      <w:r w:rsidR="00387361" w:rsidRPr="00816E15">
        <w:rPr>
          <w:rFonts w:cs="Times New Roman"/>
          <w:szCs w:val="24"/>
        </w:rPr>
        <w:t>d</w:t>
      </w:r>
      <w:r w:rsidR="007307FD" w:rsidRPr="00816E15">
        <w:rPr>
          <w:rFonts w:cs="Times New Roman"/>
          <w:szCs w:val="24"/>
        </w:rPr>
        <w:t>o</w:t>
      </w:r>
      <w:r w:rsidR="009578D2" w:rsidRPr="00816E15">
        <w:rPr>
          <w:rFonts w:cs="Times New Roman"/>
          <w:szCs w:val="24"/>
        </w:rPr>
        <w:t xml:space="preserve"> przejścia zakładu pracy w</w:t>
      </w:r>
      <w:r w:rsidR="00380F66" w:rsidRPr="00816E15">
        <w:rPr>
          <w:rFonts w:cs="Times New Roman"/>
          <w:szCs w:val="24"/>
        </w:rPr>
        <w:t> </w:t>
      </w:r>
      <w:r w:rsidR="009578D2" w:rsidRPr="00816E15">
        <w:rPr>
          <w:rFonts w:cs="Times New Roman"/>
          <w:szCs w:val="24"/>
        </w:rPr>
        <w:t>przypadku zastosowania instrumentu przejęcia przedsiębiorstwa (a także instrumentu instytucji pomostowej lub wydzielenia praw majątkowych) powinien mieć zastosowanie art.</w:t>
      </w:r>
      <w:r w:rsidR="003A233F" w:rsidRPr="00816E15">
        <w:rPr>
          <w:rFonts w:cs="Times New Roman"/>
          <w:szCs w:val="24"/>
        </w:rPr>
        <w:t> </w:t>
      </w:r>
      <w:r w:rsidR="009578D2" w:rsidRPr="00816E15">
        <w:rPr>
          <w:rFonts w:cs="Times New Roman"/>
          <w:szCs w:val="24"/>
        </w:rPr>
        <w:t>23</w:t>
      </w:r>
      <w:r w:rsidR="009578D2" w:rsidRPr="00816E15">
        <w:rPr>
          <w:rFonts w:cs="Times New Roman"/>
          <w:szCs w:val="24"/>
          <w:vertAlign w:val="superscript"/>
        </w:rPr>
        <w:t xml:space="preserve">1 </w:t>
      </w:r>
      <w:r w:rsidR="009578D2" w:rsidRPr="00816E15">
        <w:rPr>
          <w:rFonts w:cs="Times New Roman"/>
          <w:szCs w:val="24"/>
        </w:rPr>
        <w:t xml:space="preserve">§ 1 </w:t>
      </w:r>
      <w:r w:rsidR="00ED3048" w:rsidRPr="00816E15">
        <w:rPr>
          <w:rFonts w:cs="Times New Roman"/>
          <w:szCs w:val="24"/>
        </w:rPr>
        <w:t xml:space="preserve">ustawy z dnia 26 czerwca 1974 r. </w:t>
      </w:r>
      <w:r w:rsidR="00F84432" w:rsidRPr="00816E15">
        <w:rPr>
          <w:rFonts w:cs="Times New Roman"/>
          <w:szCs w:val="24"/>
        </w:rPr>
        <w:t>–</w:t>
      </w:r>
      <w:r w:rsidR="00ED3048" w:rsidRPr="00816E15">
        <w:rPr>
          <w:rFonts w:cs="Times New Roman"/>
          <w:szCs w:val="24"/>
        </w:rPr>
        <w:t xml:space="preserve"> </w:t>
      </w:r>
      <w:r w:rsidR="009578D2" w:rsidRPr="00816E15">
        <w:rPr>
          <w:rFonts w:cs="Times New Roman"/>
          <w:szCs w:val="24"/>
        </w:rPr>
        <w:t xml:space="preserve">Kodeks pracy </w:t>
      </w:r>
      <w:r w:rsidR="00ED3048" w:rsidRPr="00816E15">
        <w:rPr>
          <w:rFonts w:cs="Times New Roman"/>
          <w:szCs w:val="24"/>
        </w:rPr>
        <w:t xml:space="preserve">(Dz. U. z 2018 r. poz. </w:t>
      </w:r>
      <w:r w:rsidR="000238E0" w:rsidRPr="00816E15">
        <w:rPr>
          <w:rFonts w:cs="Times New Roman"/>
          <w:szCs w:val="24"/>
        </w:rPr>
        <w:t xml:space="preserve">917, </w:t>
      </w:r>
      <w:r w:rsidR="00ED3048" w:rsidRPr="00816E15">
        <w:rPr>
          <w:rFonts w:cs="Times New Roman"/>
          <w:szCs w:val="24"/>
        </w:rPr>
        <w:t xml:space="preserve">z późn. zm.) </w:t>
      </w:r>
      <w:r w:rsidR="009578D2" w:rsidRPr="00816E15">
        <w:rPr>
          <w:rFonts w:cs="Times New Roman"/>
          <w:szCs w:val="24"/>
        </w:rPr>
        <w:t xml:space="preserve">stanowiący, że w </w:t>
      </w:r>
      <w:r w:rsidR="009578D2" w:rsidRPr="00816E15">
        <w:rPr>
          <w:rFonts w:eastAsia="Times New Roman" w:cs="Times New Roman"/>
          <w:szCs w:val="24"/>
          <w:lang w:eastAsia="pl-PL"/>
        </w:rPr>
        <w:t xml:space="preserve">razie przejścia zakładu pracy lub jego części na innego pracodawcę staje się on z mocy prawa stroną w dotychczasowych stosunkach pracy. </w:t>
      </w:r>
      <w:r w:rsidRPr="00816E15">
        <w:rPr>
          <w:rFonts w:eastAsia="Times New Roman" w:cs="Times New Roman"/>
          <w:szCs w:val="24"/>
          <w:lang w:eastAsia="pl-PL"/>
        </w:rPr>
        <w:t>W</w:t>
      </w:r>
      <w:r w:rsidR="009578D2" w:rsidRPr="00816E15">
        <w:rPr>
          <w:rFonts w:eastAsia="Times New Roman" w:cs="Times New Roman"/>
          <w:szCs w:val="24"/>
          <w:lang w:eastAsia="pl-PL"/>
        </w:rPr>
        <w:t>yłączeni</w:t>
      </w:r>
      <w:r w:rsidR="00362A27" w:rsidRPr="00816E15">
        <w:rPr>
          <w:rFonts w:eastAsia="Times New Roman" w:cs="Times New Roman"/>
          <w:szCs w:val="24"/>
          <w:lang w:eastAsia="pl-PL"/>
        </w:rPr>
        <w:t>e</w:t>
      </w:r>
      <w:r w:rsidR="009578D2" w:rsidRPr="00816E15">
        <w:rPr>
          <w:rFonts w:eastAsia="Times New Roman" w:cs="Times New Roman"/>
          <w:szCs w:val="24"/>
          <w:lang w:eastAsia="pl-PL"/>
        </w:rPr>
        <w:t xml:space="preserve"> stosowania art. </w:t>
      </w:r>
      <w:r w:rsidR="009578D2" w:rsidRPr="00816E15">
        <w:rPr>
          <w:rFonts w:cs="Times New Roman"/>
          <w:szCs w:val="24"/>
        </w:rPr>
        <w:t>23</w:t>
      </w:r>
      <w:r w:rsidR="009578D2" w:rsidRPr="00816E15">
        <w:rPr>
          <w:rFonts w:cs="Times New Roman"/>
          <w:szCs w:val="24"/>
          <w:vertAlign w:val="superscript"/>
        </w:rPr>
        <w:t xml:space="preserve">1 </w:t>
      </w:r>
      <w:r w:rsidR="009578D2" w:rsidRPr="00816E15">
        <w:rPr>
          <w:rFonts w:cs="Times New Roman"/>
          <w:szCs w:val="24"/>
        </w:rPr>
        <w:t xml:space="preserve">§ 2 Kodeksu pracy przewidującego </w:t>
      </w:r>
      <w:r w:rsidR="009578D2" w:rsidRPr="00816E15">
        <w:rPr>
          <w:rFonts w:eastAsia="Times New Roman" w:cs="Times New Roman"/>
          <w:szCs w:val="24"/>
          <w:lang w:eastAsia="pl-PL"/>
        </w:rPr>
        <w:t>odpowiedzialność solidarną za zobowiązania wynikające ze stosunku pracy, powstałe przed przejściem części zakładu pracy na innego pracodawcę</w:t>
      </w:r>
      <w:r w:rsidRPr="00816E15">
        <w:rPr>
          <w:rFonts w:eastAsia="Times New Roman" w:cs="Times New Roman"/>
          <w:szCs w:val="24"/>
          <w:lang w:eastAsia="pl-PL"/>
        </w:rPr>
        <w:t xml:space="preserve">, pozostaje w zgodzie </w:t>
      </w:r>
      <w:r w:rsidR="009578D2" w:rsidRPr="00816E15">
        <w:rPr>
          <w:rFonts w:cs="Times New Roman"/>
          <w:szCs w:val="24"/>
        </w:rPr>
        <w:t xml:space="preserve">z dotychczasową regulacją art. 123, podtrzymaną </w:t>
      </w:r>
      <w:r w:rsidR="0032441F" w:rsidRPr="00816E15">
        <w:rPr>
          <w:rFonts w:cs="Times New Roman"/>
          <w:szCs w:val="24"/>
        </w:rPr>
        <w:t xml:space="preserve">w </w:t>
      </w:r>
      <w:r w:rsidR="009578D2" w:rsidRPr="00816E15">
        <w:rPr>
          <w:rFonts w:cs="Times New Roman"/>
          <w:szCs w:val="24"/>
        </w:rPr>
        <w:t>proponowanym nowym brzmieniu</w:t>
      </w:r>
      <w:r w:rsidRPr="00816E15">
        <w:rPr>
          <w:rFonts w:cs="Times New Roman"/>
          <w:szCs w:val="24"/>
        </w:rPr>
        <w:t>.</w:t>
      </w:r>
    </w:p>
    <w:p w14:paraId="794451C4" w14:textId="68F27008" w:rsidR="009578D2" w:rsidRPr="00816E15" w:rsidRDefault="0015476F" w:rsidP="00CF5AAF">
      <w:pPr>
        <w:spacing w:line="360" w:lineRule="auto"/>
        <w:jc w:val="both"/>
        <w:rPr>
          <w:szCs w:val="24"/>
        </w:rPr>
      </w:pPr>
      <w:r w:rsidRPr="00816E15">
        <w:rPr>
          <w:rFonts w:cs="Times New Roman"/>
          <w:szCs w:val="24"/>
        </w:rPr>
        <w:t>Z</w:t>
      </w:r>
      <w:r w:rsidR="009578D2" w:rsidRPr="00816E15">
        <w:rPr>
          <w:rFonts w:cs="Times New Roman"/>
          <w:szCs w:val="24"/>
        </w:rPr>
        <w:t xml:space="preserve">miana </w:t>
      </w:r>
      <w:r w:rsidR="009578D2" w:rsidRPr="00816E15">
        <w:rPr>
          <w:rFonts w:cs="Times New Roman"/>
          <w:b/>
          <w:szCs w:val="24"/>
        </w:rPr>
        <w:t>art. 124</w:t>
      </w:r>
      <w:r w:rsidR="00F34A78" w:rsidRPr="00816E15">
        <w:rPr>
          <w:rFonts w:cs="Times New Roman"/>
          <w:b/>
          <w:szCs w:val="24"/>
        </w:rPr>
        <w:t xml:space="preserve"> ust. 1</w:t>
      </w:r>
      <w:r w:rsidR="009578D2" w:rsidRPr="00816E15">
        <w:rPr>
          <w:rFonts w:cs="Times New Roman"/>
          <w:szCs w:val="24"/>
        </w:rPr>
        <w:t xml:space="preserve"> polegająca na wykreśleniu pierwszego zdania</w:t>
      </w:r>
      <w:r w:rsidR="00F34A78" w:rsidRPr="00816E15">
        <w:rPr>
          <w:rFonts w:cs="Times New Roman"/>
          <w:szCs w:val="24"/>
        </w:rPr>
        <w:t xml:space="preserve"> </w:t>
      </w:r>
      <w:r w:rsidR="009578D2" w:rsidRPr="00816E15">
        <w:rPr>
          <w:rFonts w:cs="Times New Roman"/>
          <w:szCs w:val="24"/>
        </w:rPr>
        <w:t>jest konsekwencją opisanej wyżej propozycji zmiany art. 123.</w:t>
      </w:r>
      <w:r w:rsidR="00F34A78" w:rsidRPr="00816E15">
        <w:rPr>
          <w:rStyle w:val="alb-s"/>
          <w:szCs w:val="24"/>
        </w:rPr>
        <w:t xml:space="preserve"> </w:t>
      </w:r>
      <w:r w:rsidR="009578D2" w:rsidRPr="00816E15">
        <w:rPr>
          <w:rStyle w:val="alb-s"/>
          <w:szCs w:val="24"/>
        </w:rPr>
        <w:t>Odrębnym zagadnieniem</w:t>
      </w:r>
      <w:r w:rsidR="00F34A78" w:rsidRPr="00816E15">
        <w:rPr>
          <w:rStyle w:val="alb-s"/>
          <w:szCs w:val="24"/>
        </w:rPr>
        <w:t xml:space="preserve"> </w:t>
      </w:r>
      <w:r w:rsidR="009578D2" w:rsidRPr="00816E15">
        <w:rPr>
          <w:rStyle w:val="alb-s"/>
          <w:szCs w:val="24"/>
        </w:rPr>
        <w:t xml:space="preserve">jest przekazywanie informacji, o której mowa w art. </w:t>
      </w:r>
      <w:r w:rsidR="009578D2" w:rsidRPr="00816E15">
        <w:rPr>
          <w:szCs w:val="24"/>
        </w:rPr>
        <w:t>23</w:t>
      </w:r>
      <w:r w:rsidR="009578D2" w:rsidRPr="00816E15">
        <w:rPr>
          <w:szCs w:val="24"/>
          <w:vertAlign w:val="superscript"/>
        </w:rPr>
        <w:t>1</w:t>
      </w:r>
      <w:r w:rsidR="009578D2" w:rsidRPr="00816E15">
        <w:rPr>
          <w:rStyle w:val="alb-s"/>
          <w:szCs w:val="24"/>
        </w:rPr>
        <w:t>§ 3 Kodeksu pracy</w:t>
      </w:r>
      <w:r w:rsidR="00F34A78" w:rsidRPr="00816E15">
        <w:rPr>
          <w:rStyle w:val="alb-s"/>
          <w:szCs w:val="24"/>
        </w:rPr>
        <w:t>,</w:t>
      </w:r>
      <w:r w:rsidR="009578D2" w:rsidRPr="00816E15">
        <w:rPr>
          <w:rStyle w:val="alb-s"/>
          <w:szCs w:val="24"/>
        </w:rPr>
        <w:t xml:space="preserve"> dokonywane </w:t>
      </w:r>
      <w:r w:rsidR="008B666E" w:rsidRPr="00816E15">
        <w:rPr>
          <w:rStyle w:val="alb-s"/>
          <w:szCs w:val="24"/>
        </w:rPr>
        <w:t>niezwłocznie,</w:t>
      </w:r>
      <w:r w:rsidR="009578D2" w:rsidRPr="00816E15">
        <w:rPr>
          <w:rStyle w:val="alb-s"/>
          <w:szCs w:val="24"/>
        </w:rPr>
        <w:t xml:space="preserve"> najpóźniej na 2 dni przed przewidywanym terminem przejścia zakładu pracy lub jego części</w:t>
      </w:r>
      <w:r w:rsidR="00F34A78" w:rsidRPr="00816E15">
        <w:rPr>
          <w:rStyle w:val="alb-s"/>
          <w:szCs w:val="24"/>
        </w:rPr>
        <w:t xml:space="preserve">, </w:t>
      </w:r>
      <w:r w:rsidR="00F34A78" w:rsidRPr="00816E15">
        <w:rPr>
          <w:rStyle w:val="alb-s"/>
          <w:i/>
          <w:szCs w:val="24"/>
        </w:rPr>
        <w:t>per analogiam</w:t>
      </w:r>
      <w:r w:rsidR="00F34A78" w:rsidRPr="00816E15">
        <w:rPr>
          <w:rStyle w:val="alb-s"/>
          <w:szCs w:val="24"/>
        </w:rPr>
        <w:t xml:space="preserve"> stosowane wobec</w:t>
      </w:r>
      <w:r w:rsidR="009578D2" w:rsidRPr="00816E15">
        <w:rPr>
          <w:szCs w:val="24"/>
        </w:rPr>
        <w:t xml:space="preserve"> pracownik</w:t>
      </w:r>
      <w:r w:rsidR="00F34A78" w:rsidRPr="00816E15">
        <w:rPr>
          <w:szCs w:val="24"/>
        </w:rPr>
        <w:t>ów</w:t>
      </w:r>
      <w:r w:rsidR="009578D2" w:rsidRPr="00816E15">
        <w:rPr>
          <w:szCs w:val="24"/>
        </w:rPr>
        <w:t xml:space="preserve"> przejmowanej spółdzielczej kasy oszczędnościowo-kredytowej w przypadku przejęcia takiej kasy</w:t>
      </w:r>
      <w:r w:rsidR="0015285B" w:rsidRPr="00816E15">
        <w:rPr>
          <w:szCs w:val="24"/>
        </w:rPr>
        <w:t xml:space="preserve"> – </w:t>
      </w:r>
      <w:r w:rsidR="009578D2" w:rsidRPr="00816E15">
        <w:rPr>
          <w:szCs w:val="24"/>
        </w:rPr>
        <w:t>art. 74c pkt 15 ustawy z dnia 5 listopada 2009 r</w:t>
      </w:r>
      <w:r w:rsidR="002F3F55">
        <w:rPr>
          <w:szCs w:val="24"/>
        </w:rPr>
        <w:t>.</w:t>
      </w:r>
      <w:r w:rsidR="009578D2" w:rsidRPr="00816E15">
        <w:rPr>
          <w:szCs w:val="24"/>
        </w:rPr>
        <w:t xml:space="preserve"> o spółdzielczych kasach oszczędnościowo-kredytowych (Dz.</w:t>
      </w:r>
      <w:r w:rsidR="000238E0" w:rsidRPr="00816E15">
        <w:rPr>
          <w:szCs w:val="24"/>
        </w:rPr>
        <w:t xml:space="preserve"> </w:t>
      </w:r>
      <w:r w:rsidR="009578D2" w:rsidRPr="00816E15">
        <w:rPr>
          <w:szCs w:val="24"/>
        </w:rPr>
        <w:t xml:space="preserve">U. z </w:t>
      </w:r>
      <w:r w:rsidR="000B51C9" w:rsidRPr="00816E15">
        <w:rPr>
          <w:szCs w:val="24"/>
        </w:rPr>
        <w:t>2017 r. poz. 2065, z późn. zm.</w:t>
      </w:r>
      <w:r w:rsidR="009578D2" w:rsidRPr="00816E15">
        <w:rPr>
          <w:szCs w:val="24"/>
        </w:rPr>
        <w:t>)</w:t>
      </w:r>
      <w:r w:rsidR="00D1119F" w:rsidRPr="00816E15">
        <w:rPr>
          <w:szCs w:val="24"/>
        </w:rPr>
        <w:t xml:space="preserve">, dalej „ustawa o </w:t>
      </w:r>
      <w:r w:rsidR="00B12896" w:rsidRPr="00816E15">
        <w:rPr>
          <w:szCs w:val="24"/>
        </w:rPr>
        <w:t>spółdzielczych kasach oszczędnościowo kredytowych</w:t>
      </w:r>
      <w:r w:rsidR="00D1119F" w:rsidRPr="00816E15">
        <w:rPr>
          <w:szCs w:val="24"/>
        </w:rPr>
        <w:t>”</w:t>
      </w:r>
      <w:r w:rsidR="009578D2" w:rsidRPr="00816E15">
        <w:rPr>
          <w:szCs w:val="24"/>
        </w:rPr>
        <w:t>.</w:t>
      </w:r>
      <w:r w:rsidR="001A218E" w:rsidRPr="00816E15">
        <w:rPr>
          <w:szCs w:val="24"/>
        </w:rPr>
        <w:t xml:space="preserve"> Z</w:t>
      </w:r>
      <w:r w:rsidR="001A218E" w:rsidRPr="00816E15">
        <w:rPr>
          <w:rFonts w:eastAsia="Times New Roman" w:cs="Times New Roman"/>
          <w:szCs w:val="24"/>
          <w:lang w:eastAsia="pl-PL"/>
        </w:rPr>
        <w:t xml:space="preserve">miana terminu </w:t>
      </w:r>
      <w:r w:rsidR="00AB09EA" w:rsidRPr="00816E15">
        <w:rPr>
          <w:rFonts w:eastAsia="Times New Roman" w:cs="Times New Roman"/>
          <w:szCs w:val="24"/>
          <w:lang w:eastAsia="pl-PL"/>
        </w:rPr>
        <w:t xml:space="preserve">na przekazanie informacji zakładowym organizacjom związkowym o przejściu zakładu pracy </w:t>
      </w:r>
      <w:r w:rsidR="001A218E" w:rsidRPr="00816E15">
        <w:rPr>
          <w:rFonts w:eastAsia="Times New Roman" w:cs="Times New Roman"/>
          <w:szCs w:val="24"/>
          <w:lang w:eastAsia="pl-PL"/>
        </w:rPr>
        <w:t>nie wpływa na obowiązek podjęcia rokowań przez podmiot przejmujący</w:t>
      </w:r>
      <w:r w:rsidR="002F3F55">
        <w:rPr>
          <w:rFonts w:eastAsia="Times New Roman" w:cs="Times New Roman"/>
          <w:szCs w:val="24"/>
          <w:lang w:eastAsia="pl-PL"/>
        </w:rPr>
        <w:t>,</w:t>
      </w:r>
      <w:r w:rsidR="001A218E" w:rsidRPr="00816E15">
        <w:rPr>
          <w:rFonts w:eastAsia="Times New Roman" w:cs="Times New Roman"/>
          <w:szCs w:val="24"/>
          <w:lang w:eastAsia="pl-PL"/>
        </w:rPr>
        <w:t xml:space="preserve"> w sytuacji gdy podmiot </w:t>
      </w:r>
      <w:r w:rsidR="00877A28" w:rsidRPr="00816E15">
        <w:rPr>
          <w:rFonts w:eastAsia="Times New Roman" w:cs="Times New Roman"/>
          <w:szCs w:val="24"/>
          <w:lang w:eastAsia="pl-PL"/>
        </w:rPr>
        <w:t xml:space="preserve">ten </w:t>
      </w:r>
      <w:r w:rsidR="001A218E" w:rsidRPr="00816E15">
        <w:rPr>
          <w:rFonts w:eastAsia="Times New Roman" w:cs="Times New Roman"/>
          <w:szCs w:val="24"/>
          <w:lang w:eastAsia="pl-PL"/>
        </w:rPr>
        <w:t>zamierza podjąć działania dotyczące warunków zatrudnienia pracowników</w:t>
      </w:r>
      <w:r w:rsidR="00474947" w:rsidRPr="00816E15">
        <w:rPr>
          <w:rFonts w:eastAsia="Times New Roman" w:cs="Times New Roman"/>
          <w:szCs w:val="24"/>
          <w:lang w:eastAsia="pl-PL"/>
        </w:rPr>
        <w:t>.</w:t>
      </w:r>
      <w:r w:rsidR="008B666E" w:rsidRPr="00816E15">
        <w:rPr>
          <w:rFonts w:eastAsia="Times New Roman" w:cs="Times New Roman"/>
          <w:szCs w:val="24"/>
          <w:lang w:eastAsia="pl-PL"/>
        </w:rPr>
        <w:t xml:space="preserve"> </w:t>
      </w:r>
      <w:r w:rsidR="006468AC" w:rsidRPr="00816E15">
        <w:rPr>
          <w:rFonts w:eastAsia="Times New Roman" w:cs="Times New Roman"/>
          <w:szCs w:val="24"/>
          <w:lang w:eastAsia="pl-PL"/>
        </w:rPr>
        <w:t>O</w:t>
      </w:r>
      <w:r w:rsidR="008B666E" w:rsidRPr="00816E15">
        <w:rPr>
          <w:rFonts w:eastAsia="Times New Roman" w:cs="Times New Roman"/>
          <w:szCs w:val="24"/>
          <w:lang w:eastAsia="pl-PL"/>
        </w:rPr>
        <w:t xml:space="preserve">bowiązek dostarczenia </w:t>
      </w:r>
      <w:r w:rsidR="006468AC" w:rsidRPr="00816E15">
        <w:rPr>
          <w:rFonts w:eastAsia="Times New Roman" w:cs="Times New Roman"/>
          <w:szCs w:val="24"/>
          <w:lang w:eastAsia="pl-PL"/>
        </w:rPr>
        <w:t xml:space="preserve">tej informacji </w:t>
      </w:r>
      <w:r w:rsidR="008B666E" w:rsidRPr="00816E15">
        <w:rPr>
          <w:rFonts w:eastAsia="Times New Roman" w:cs="Times New Roman"/>
          <w:szCs w:val="24"/>
          <w:lang w:eastAsia="pl-PL"/>
        </w:rPr>
        <w:t>został nałożony zarówno na dotychczasowego jak i nowego pracodawcę</w:t>
      </w:r>
      <w:r w:rsidR="006468AC" w:rsidRPr="00816E15">
        <w:rPr>
          <w:rFonts w:eastAsia="Times New Roman" w:cs="Times New Roman"/>
          <w:szCs w:val="24"/>
          <w:lang w:eastAsia="pl-PL"/>
        </w:rPr>
        <w:t>, co wzmocni pewność zapoznania się z informacją przez pracownika</w:t>
      </w:r>
      <w:r w:rsidR="008B666E" w:rsidRPr="00816E15">
        <w:rPr>
          <w:rFonts w:eastAsia="Times New Roman" w:cs="Times New Roman"/>
          <w:szCs w:val="24"/>
          <w:lang w:eastAsia="pl-PL"/>
        </w:rPr>
        <w:t>.</w:t>
      </w:r>
      <w:r w:rsidR="00816E15">
        <w:rPr>
          <w:rFonts w:eastAsia="Times New Roman" w:cs="Times New Roman"/>
          <w:szCs w:val="24"/>
          <w:lang w:eastAsia="pl-PL"/>
        </w:rPr>
        <w:t xml:space="preserve"> </w:t>
      </w:r>
    </w:p>
    <w:p w14:paraId="13D0062D" w14:textId="37C0C7FC" w:rsidR="00516283" w:rsidRPr="00816E15" w:rsidRDefault="00516283" w:rsidP="00CF5AAF">
      <w:pPr>
        <w:spacing w:line="360" w:lineRule="auto"/>
        <w:jc w:val="both"/>
        <w:rPr>
          <w:szCs w:val="24"/>
        </w:rPr>
      </w:pPr>
      <w:r w:rsidRPr="00816E15">
        <w:rPr>
          <w:rFonts w:eastAsia="Times New Roman" w:cs="Times New Roman"/>
          <w:szCs w:val="24"/>
          <w:lang w:eastAsia="pl-PL"/>
        </w:rPr>
        <w:t xml:space="preserve">Sposób przekazania informacji </w:t>
      </w:r>
      <w:r w:rsidR="006468AC" w:rsidRPr="00816E15">
        <w:rPr>
          <w:rFonts w:eastAsia="Times New Roman" w:cs="Times New Roman"/>
          <w:szCs w:val="24"/>
          <w:lang w:eastAsia="pl-PL"/>
        </w:rPr>
        <w:t xml:space="preserve">będzie </w:t>
      </w:r>
      <w:r w:rsidRPr="00816E15">
        <w:rPr>
          <w:rFonts w:eastAsia="Times New Roman" w:cs="Times New Roman"/>
          <w:szCs w:val="24"/>
          <w:lang w:eastAsia="pl-PL"/>
        </w:rPr>
        <w:t xml:space="preserve">dostosowany do specyfiki organizacyjnej podmiotu. Jednocześnie </w:t>
      </w:r>
      <w:r w:rsidRPr="00816E15">
        <w:rPr>
          <w:szCs w:val="24"/>
        </w:rPr>
        <w:t xml:space="preserve">obowiązek </w:t>
      </w:r>
      <w:r w:rsidR="006468AC" w:rsidRPr="00816E15">
        <w:rPr>
          <w:szCs w:val="24"/>
        </w:rPr>
        <w:t xml:space="preserve">przekazania informacji </w:t>
      </w:r>
      <w:r w:rsidRPr="00816E15">
        <w:rPr>
          <w:szCs w:val="24"/>
        </w:rPr>
        <w:t>obciąża pracodawców w stosunku do każdego pracownika</w:t>
      </w:r>
      <w:r w:rsidR="006468AC" w:rsidRPr="00816E15">
        <w:rPr>
          <w:szCs w:val="24"/>
        </w:rPr>
        <w:t>. Z</w:t>
      </w:r>
      <w:r w:rsidRPr="00816E15">
        <w:rPr>
          <w:szCs w:val="24"/>
        </w:rPr>
        <w:t>osta</w:t>
      </w:r>
      <w:r w:rsidR="006468AC" w:rsidRPr="00816E15">
        <w:rPr>
          <w:szCs w:val="24"/>
        </w:rPr>
        <w:t xml:space="preserve">nie on </w:t>
      </w:r>
      <w:r w:rsidRPr="00816E15">
        <w:rPr>
          <w:szCs w:val="24"/>
        </w:rPr>
        <w:t xml:space="preserve">spełniony dopiero z chwilą, gdy pracownik mógł </w:t>
      </w:r>
      <w:r w:rsidR="006468AC" w:rsidRPr="00816E15">
        <w:rPr>
          <w:szCs w:val="24"/>
        </w:rPr>
        <w:t xml:space="preserve">faktycznie </w:t>
      </w:r>
      <w:r w:rsidRPr="00816E15">
        <w:rPr>
          <w:szCs w:val="24"/>
        </w:rPr>
        <w:t>zapoznać się z treścią zawiadomienia</w:t>
      </w:r>
      <w:r w:rsidRPr="00816E15">
        <w:rPr>
          <w:rFonts w:eastAsia="Times New Roman" w:cs="Times New Roman"/>
          <w:szCs w:val="24"/>
          <w:lang w:eastAsia="pl-PL"/>
        </w:rPr>
        <w:t xml:space="preserve"> (indywidualne zawiadomienie). W związku z postępującą cyfryzacją należy mieć na uwadze, że udostępnienie informacji </w:t>
      </w:r>
      <w:r w:rsidR="006468AC" w:rsidRPr="00816E15">
        <w:rPr>
          <w:rFonts w:eastAsia="Times New Roman" w:cs="Times New Roman"/>
          <w:szCs w:val="24"/>
          <w:lang w:eastAsia="pl-PL"/>
        </w:rPr>
        <w:t>(</w:t>
      </w:r>
      <w:r w:rsidRPr="00816E15">
        <w:rPr>
          <w:rFonts w:eastAsia="Times New Roman" w:cs="Times New Roman"/>
          <w:szCs w:val="24"/>
          <w:lang w:eastAsia="pl-PL"/>
        </w:rPr>
        <w:t xml:space="preserve">ogólnodostępny kanał </w:t>
      </w:r>
      <w:r w:rsidR="006468AC" w:rsidRPr="00816E15">
        <w:rPr>
          <w:rFonts w:eastAsia="Times New Roman" w:cs="Times New Roman"/>
          <w:szCs w:val="24"/>
          <w:lang w:eastAsia="pl-PL"/>
        </w:rPr>
        <w:t xml:space="preserve">informacyjny) </w:t>
      </w:r>
      <w:r w:rsidRPr="00816E15">
        <w:rPr>
          <w:rFonts w:eastAsia="Times New Roman" w:cs="Times New Roman"/>
          <w:szCs w:val="24"/>
          <w:lang w:eastAsia="pl-PL"/>
        </w:rPr>
        <w:t>powinn</w:t>
      </w:r>
      <w:r w:rsidR="006468AC" w:rsidRPr="00816E15">
        <w:rPr>
          <w:rFonts w:eastAsia="Times New Roman" w:cs="Times New Roman"/>
          <w:szCs w:val="24"/>
          <w:lang w:eastAsia="pl-PL"/>
        </w:rPr>
        <w:t>o</w:t>
      </w:r>
      <w:r w:rsidRPr="00816E15">
        <w:rPr>
          <w:rFonts w:eastAsia="Times New Roman" w:cs="Times New Roman"/>
          <w:szCs w:val="24"/>
          <w:lang w:eastAsia="pl-PL"/>
        </w:rPr>
        <w:t xml:space="preserve"> nosić znamiona faktycznej możliwości zapoznania się z informacją każdego pracownika w miejscu ogóln</w:t>
      </w:r>
      <w:r w:rsidR="006468AC" w:rsidRPr="00816E15">
        <w:rPr>
          <w:rFonts w:eastAsia="Times New Roman" w:cs="Times New Roman"/>
          <w:szCs w:val="24"/>
          <w:lang w:eastAsia="pl-PL"/>
        </w:rPr>
        <w:t>ie dla niego dostępny</w:t>
      </w:r>
      <w:r w:rsidRPr="00816E15">
        <w:rPr>
          <w:rFonts w:eastAsia="Times New Roman" w:cs="Times New Roman"/>
          <w:szCs w:val="24"/>
          <w:lang w:eastAsia="pl-PL"/>
        </w:rPr>
        <w:t>m</w:t>
      </w:r>
      <w:r w:rsidR="006468AC" w:rsidRPr="00816E15">
        <w:rPr>
          <w:rFonts w:eastAsia="Times New Roman" w:cs="Times New Roman"/>
          <w:szCs w:val="24"/>
          <w:lang w:eastAsia="pl-PL"/>
        </w:rPr>
        <w:t>.</w:t>
      </w:r>
      <w:r w:rsidR="00816E15">
        <w:rPr>
          <w:rFonts w:eastAsia="Times New Roman" w:cs="Times New Roman"/>
          <w:szCs w:val="24"/>
          <w:lang w:eastAsia="pl-PL"/>
        </w:rPr>
        <w:t xml:space="preserve"> </w:t>
      </w:r>
      <w:r w:rsidR="006468AC" w:rsidRPr="00816E15">
        <w:rPr>
          <w:rFonts w:eastAsia="Times New Roman" w:cs="Times New Roman"/>
          <w:szCs w:val="24"/>
          <w:lang w:eastAsia="pl-PL"/>
        </w:rPr>
        <w:t>M</w:t>
      </w:r>
      <w:r w:rsidRPr="00816E15">
        <w:rPr>
          <w:rFonts w:eastAsia="Times New Roman" w:cs="Times New Roman"/>
          <w:szCs w:val="24"/>
          <w:lang w:eastAsia="pl-PL"/>
        </w:rPr>
        <w:t xml:space="preserve">oże </w:t>
      </w:r>
      <w:r w:rsidR="006468AC" w:rsidRPr="00816E15">
        <w:rPr>
          <w:rFonts w:eastAsia="Times New Roman" w:cs="Times New Roman"/>
          <w:szCs w:val="24"/>
          <w:lang w:eastAsia="pl-PL"/>
        </w:rPr>
        <w:t xml:space="preserve">to </w:t>
      </w:r>
      <w:r w:rsidRPr="00816E15">
        <w:rPr>
          <w:rFonts w:eastAsia="Times New Roman" w:cs="Times New Roman"/>
          <w:szCs w:val="24"/>
          <w:lang w:eastAsia="pl-PL"/>
        </w:rPr>
        <w:t xml:space="preserve">polegać np. na zamieszczeniu </w:t>
      </w:r>
      <w:r w:rsidR="006468AC" w:rsidRPr="00816E15">
        <w:rPr>
          <w:rFonts w:eastAsia="Times New Roman" w:cs="Times New Roman"/>
          <w:szCs w:val="24"/>
          <w:lang w:eastAsia="pl-PL"/>
        </w:rPr>
        <w:t xml:space="preserve">widocznej </w:t>
      </w:r>
      <w:r w:rsidRPr="00816E15">
        <w:rPr>
          <w:rFonts w:eastAsia="Times New Roman" w:cs="Times New Roman"/>
          <w:szCs w:val="24"/>
          <w:lang w:eastAsia="pl-PL"/>
        </w:rPr>
        <w:t>informacji na elektronicznej tablicy w miejscu odznaczania przybycia pracownika do pracy, wewnętrznym systemie „intranet”</w:t>
      </w:r>
      <w:r w:rsidR="006468AC" w:rsidRPr="00816E15">
        <w:rPr>
          <w:rFonts w:eastAsia="Times New Roman" w:cs="Times New Roman"/>
          <w:szCs w:val="24"/>
          <w:lang w:eastAsia="pl-PL"/>
        </w:rPr>
        <w:t xml:space="preserve"> czy też powołania przez pracodawcę </w:t>
      </w:r>
      <w:r w:rsidRPr="00816E15">
        <w:rPr>
          <w:rFonts w:eastAsia="Times New Roman" w:cs="Times New Roman"/>
          <w:szCs w:val="24"/>
          <w:lang w:eastAsia="pl-PL"/>
        </w:rPr>
        <w:t>specjaln</w:t>
      </w:r>
      <w:r w:rsidR="006468AC" w:rsidRPr="00816E15">
        <w:rPr>
          <w:rFonts w:eastAsia="Times New Roman" w:cs="Times New Roman"/>
          <w:szCs w:val="24"/>
          <w:lang w:eastAsia="pl-PL"/>
        </w:rPr>
        <w:t>ego z</w:t>
      </w:r>
      <w:r w:rsidRPr="00816E15">
        <w:rPr>
          <w:rFonts w:eastAsia="Times New Roman" w:cs="Times New Roman"/>
          <w:szCs w:val="24"/>
          <w:lang w:eastAsia="pl-PL"/>
        </w:rPr>
        <w:t>espo</w:t>
      </w:r>
      <w:r w:rsidR="006468AC" w:rsidRPr="00816E15">
        <w:rPr>
          <w:rFonts w:eastAsia="Times New Roman" w:cs="Times New Roman"/>
          <w:szCs w:val="24"/>
          <w:lang w:eastAsia="pl-PL"/>
        </w:rPr>
        <w:t xml:space="preserve">łu </w:t>
      </w:r>
      <w:r w:rsidRPr="00816E15">
        <w:rPr>
          <w:rFonts w:eastAsia="Times New Roman" w:cs="Times New Roman"/>
          <w:szCs w:val="24"/>
          <w:lang w:eastAsia="pl-PL"/>
        </w:rPr>
        <w:t>informując</w:t>
      </w:r>
      <w:r w:rsidR="006468AC" w:rsidRPr="00816E15">
        <w:rPr>
          <w:rFonts w:eastAsia="Times New Roman" w:cs="Times New Roman"/>
          <w:szCs w:val="24"/>
          <w:lang w:eastAsia="pl-PL"/>
        </w:rPr>
        <w:t xml:space="preserve">ego </w:t>
      </w:r>
      <w:r w:rsidRPr="00816E15">
        <w:rPr>
          <w:rFonts w:eastAsia="Times New Roman" w:cs="Times New Roman"/>
          <w:szCs w:val="24"/>
          <w:lang w:eastAsia="pl-PL"/>
        </w:rPr>
        <w:t>pracowników nieobecnych. Pracodawca</w:t>
      </w:r>
      <w:r w:rsidR="006468AC" w:rsidRPr="00816E15">
        <w:rPr>
          <w:rFonts w:eastAsia="Times New Roman" w:cs="Times New Roman"/>
          <w:szCs w:val="24"/>
          <w:lang w:eastAsia="pl-PL"/>
        </w:rPr>
        <w:t>,</w:t>
      </w:r>
      <w:r w:rsidR="00816E15">
        <w:rPr>
          <w:rFonts w:eastAsia="Times New Roman" w:cs="Times New Roman"/>
          <w:szCs w:val="24"/>
          <w:lang w:eastAsia="pl-PL"/>
        </w:rPr>
        <w:t xml:space="preserve"> </w:t>
      </w:r>
      <w:r w:rsidRPr="00816E15">
        <w:rPr>
          <w:rFonts w:eastAsia="Times New Roman" w:cs="Times New Roman"/>
          <w:szCs w:val="24"/>
          <w:lang w:eastAsia="pl-PL"/>
        </w:rPr>
        <w:t>uwzględniając specyfikę czasu pracy, system zmianowy, zastępstwa, urlopy</w:t>
      </w:r>
      <w:r w:rsidR="006468AC" w:rsidRPr="00816E15">
        <w:rPr>
          <w:rFonts w:eastAsia="Times New Roman" w:cs="Times New Roman"/>
          <w:szCs w:val="24"/>
          <w:lang w:eastAsia="pl-PL"/>
        </w:rPr>
        <w:t xml:space="preserve"> czy </w:t>
      </w:r>
      <w:r w:rsidRPr="00816E15">
        <w:rPr>
          <w:rFonts w:eastAsia="Times New Roman" w:cs="Times New Roman"/>
          <w:szCs w:val="24"/>
          <w:lang w:eastAsia="pl-PL"/>
        </w:rPr>
        <w:t>choroby</w:t>
      </w:r>
      <w:r w:rsidR="002F3F55">
        <w:rPr>
          <w:rFonts w:eastAsia="Times New Roman" w:cs="Times New Roman"/>
          <w:szCs w:val="24"/>
          <w:lang w:eastAsia="pl-PL"/>
        </w:rPr>
        <w:t>,</w:t>
      </w:r>
      <w:r w:rsidRPr="00816E15">
        <w:rPr>
          <w:rFonts w:eastAsia="Times New Roman" w:cs="Times New Roman"/>
          <w:szCs w:val="24"/>
          <w:lang w:eastAsia="pl-PL"/>
        </w:rPr>
        <w:t xml:space="preserve"> powinien wykorzystać jak najszersze spektrum środków informacyjnych</w:t>
      </w:r>
      <w:r w:rsidR="006468AC" w:rsidRPr="00816E15">
        <w:rPr>
          <w:rFonts w:eastAsia="Times New Roman" w:cs="Times New Roman"/>
          <w:szCs w:val="24"/>
          <w:lang w:eastAsia="pl-PL"/>
        </w:rPr>
        <w:t>,</w:t>
      </w:r>
      <w:r w:rsidRPr="00816E15">
        <w:rPr>
          <w:rFonts w:eastAsia="Times New Roman" w:cs="Times New Roman"/>
          <w:szCs w:val="24"/>
          <w:lang w:eastAsia="pl-PL"/>
        </w:rPr>
        <w:t xml:space="preserve"> w tym przekazanie informacji za pomocą wiadomoś</w:t>
      </w:r>
      <w:r w:rsidR="006468AC" w:rsidRPr="00816E15">
        <w:rPr>
          <w:rFonts w:eastAsia="Times New Roman" w:cs="Times New Roman"/>
          <w:szCs w:val="24"/>
          <w:lang w:eastAsia="pl-PL"/>
        </w:rPr>
        <w:t>ci</w:t>
      </w:r>
      <w:r w:rsidRPr="00816E15">
        <w:rPr>
          <w:rFonts w:eastAsia="Times New Roman" w:cs="Times New Roman"/>
          <w:szCs w:val="24"/>
          <w:lang w:eastAsia="pl-PL"/>
        </w:rPr>
        <w:t xml:space="preserve"> tekstow</w:t>
      </w:r>
      <w:r w:rsidR="006468AC" w:rsidRPr="00816E15">
        <w:rPr>
          <w:rFonts w:eastAsia="Times New Roman" w:cs="Times New Roman"/>
          <w:szCs w:val="24"/>
          <w:lang w:eastAsia="pl-PL"/>
        </w:rPr>
        <w:t>ej</w:t>
      </w:r>
      <w:r w:rsidRPr="00816E15">
        <w:rPr>
          <w:rFonts w:eastAsia="Times New Roman" w:cs="Times New Roman"/>
          <w:szCs w:val="24"/>
          <w:lang w:eastAsia="pl-PL"/>
        </w:rPr>
        <w:t xml:space="preserve"> na telefony komórkowe</w:t>
      </w:r>
      <w:r w:rsidR="00483A2F" w:rsidRPr="00816E15">
        <w:rPr>
          <w:rFonts w:eastAsia="Times New Roman" w:cs="Times New Roman"/>
          <w:szCs w:val="24"/>
          <w:lang w:eastAsia="pl-PL"/>
        </w:rPr>
        <w:t xml:space="preserve"> czy też </w:t>
      </w:r>
      <w:r w:rsidR="008B666E" w:rsidRPr="00816E15">
        <w:rPr>
          <w:rFonts w:eastAsia="Times New Roman" w:cs="Times New Roman"/>
          <w:szCs w:val="24"/>
          <w:lang w:eastAsia="pl-PL"/>
        </w:rPr>
        <w:t xml:space="preserve">inny </w:t>
      </w:r>
      <w:r w:rsidR="006468AC" w:rsidRPr="00816E15">
        <w:rPr>
          <w:rFonts w:eastAsia="Times New Roman" w:cs="Times New Roman"/>
          <w:szCs w:val="24"/>
          <w:lang w:eastAsia="pl-PL"/>
        </w:rPr>
        <w:t xml:space="preserve">sposób </w:t>
      </w:r>
      <w:r w:rsidR="008B666E" w:rsidRPr="00816E15">
        <w:rPr>
          <w:rFonts w:eastAsia="Times New Roman" w:cs="Times New Roman"/>
          <w:szCs w:val="24"/>
          <w:lang w:eastAsia="pl-PL"/>
        </w:rPr>
        <w:t>uzgodniony z pracownikiem</w:t>
      </w:r>
      <w:r w:rsidR="006468AC" w:rsidRPr="00816E15">
        <w:rPr>
          <w:rFonts w:eastAsia="Times New Roman" w:cs="Times New Roman"/>
          <w:szCs w:val="24"/>
          <w:lang w:eastAsia="pl-PL"/>
        </w:rPr>
        <w:t xml:space="preserve"> (</w:t>
      </w:r>
      <w:r w:rsidR="00483A2F" w:rsidRPr="00816E15">
        <w:rPr>
          <w:rFonts w:eastAsia="Times New Roman" w:cs="Times New Roman"/>
          <w:szCs w:val="24"/>
          <w:lang w:eastAsia="pl-PL"/>
        </w:rPr>
        <w:t xml:space="preserve">np. </w:t>
      </w:r>
      <w:r w:rsidR="006468AC" w:rsidRPr="00816E15">
        <w:rPr>
          <w:rFonts w:eastAsia="Times New Roman" w:cs="Times New Roman"/>
          <w:szCs w:val="24"/>
          <w:lang w:eastAsia="pl-PL"/>
        </w:rPr>
        <w:t xml:space="preserve">elektroniczna </w:t>
      </w:r>
      <w:r w:rsidR="00483A2F" w:rsidRPr="00816E15">
        <w:rPr>
          <w:rFonts w:eastAsia="Times New Roman" w:cs="Times New Roman"/>
          <w:szCs w:val="24"/>
          <w:lang w:eastAsia="pl-PL"/>
        </w:rPr>
        <w:t>poczta prywatna</w:t>
      </w:r>
      <w:r w:rsidR="006468AC" w:rsidRPr="00816E15">
        <w:rPr>
          <w:rFonts w:eastAsia="Times New Roman" w:cs="Times New Roman"/>
          <w:szCs w:val="24"/>
          <w:lang w:eastAsia="pl-PL"/>
        </w:rPr>
        <w:t>)</w:t>
      </w:r>
      <w:r w:rsidRPr="00816E15">
        <w:rPr>
          <w:rFonts w:eastAsia="Times New Roman" w:cs="Times New Roman"/>
          <w:szCs w:val="24"/>
          <w:lang w:eastAsia="pl-PL"/>
        </w:rPr>
        <w:t>.</w:t>
      </w:r>
      <w:r w:rsidR="0006147A" w:rsidRPr="00816E15">
        <w:rPr>
          <w:rFonts w:eastAsia="Times New Roman" w:cs="Times New Roman"/>
          <w:szCs w:val="24"/>
          <w:lang w:eastAsia="pl-PL"/>
        </w:rPr>
        <w:t xml:space="preserve"> </w:t>
      </w:r>
      <w:r w:rsidR="0006147A" w:rsidRPr="00816E15">
        <w:rPr>
          <w:szCs w:val="24"/>
        </w:rPr>
        <w:t xml:space="preserve">W praktyce funkcjonowania firm istnieją bowiem zróżnicowane sposoby wzajemnej komunikacji między pracodawcą i pracownikiem. </w:t>
      </w:r>
    </w:p>
    <w:p w14:paraId="286E618F" w14:textId="1244CD71" w:rsidR="009A2DF2" w:rsidRPr="00816E15" w:rsidRDefault="00387361" w:rsidP="00CF5AAF">
      <w:pPr>
        <w:pStyle w:val="Teksttreci20"/>
        <w:shd w:val="clear" w:color="auto" w:fill="auto"/>
        <w:spacing w:line="360" w:lineRule="auto"/>
        <w:ind w:firstLine="0"/>
        <w:jc w:val="both"/>
        <w:rPr>
          <w:sz w:val="24"/>
          <w:szCs w:val="24"/>
        </w:rPr>
      </w:pPr>
      <w:r w:rsidRPr="00816E15">
        <w:rPr>
          <w:sz w:val="24"/>
          <w:szCs w:val="24"/>
        </w:rPr>
        <w:t>Wprowadzany</w:t>
      </w:r>
      <w:r w:rsidR="006D2B9D" w:rsidRPr="00816E15">
        <w:rPr>
          <w:sz w:val="24"/>
          <w:szCs w:val="24"/>
        </w:rPr>
        <w:t xml:space="preserve"> przepis w </w:t>
      </w:r>
      <w:r w:rsidR="006D2B9D" w:rsidRPr="00816E15">
        <w:rPr>
          <w:b/>
          <w:sz w:val="24"/>
          <w:szCs w:val="24"/>
        </w:rPr>
        <w:t>art. 124 ust. 2</w:t>
      </w:r>
      <w:r w:rsidR="006D2B9D" w:rsidRPr="00816E15">
        <w:rPr>
          <w:sz w:val="24"/>
          <w:szCs w:val="24"/>
        </w:rPr>
        <w:t xml:space="preserve"> </w:t>
      </w:r>
      <w:r w:rsidRPr="00816E15">
        <w:rPr>
          <w:sz w:val="24"/>
          <w:szCs w:val="24"/>
        </w:rPr>
        <w:t>ujednolica</w:t>
      </w:r>
      <w:r w:rsidR="006D2B9D" w:rsidRPr="00816E15">
        <w:rPr>
          <w:sz w:val="24"/>
          <w:szCs w:val="24"/>
        </w:rPr>
        <w:t xml:space="preserve"> </w:t>
      </w:r>
      <w:r w:rsidR="009578D2" w:rsidRPr="00816E15">
        <w:rPr>
          <w:sz w:val="24"/>
          <w:szCs w:val="24"/>
        </w:rPr>
        <w:t xml:space="preserve">termin </w:t>
      </w:r>
      <w:r w:rsidR="006D2B9D" w:rsidRPr="00816E15">
        <w:rPr>
          <w:sz w:val="24"/>
          <w:szCs w:val="24"/>
        </w:rPr>
        <w:t>(</w:t>
      </w:r>
      <w:r w:rsidR="008B666E" w:rsidRPr="00816E15">
        <w:rPr>
          <w:sz w:val="24"/>
          <w:szCs w:val="24"/>
        </w:rPr>
        <w:t xml:space="preserve">niezwłocznie, </w:t>
      </w:r>
      <w:r w:rsidR="006468AC" w:rsidRPr="00816E15">
        <w:rPr>
          <w:sz w:val="24"/>
          <w:szCs w:val="24"/>
        </w:rPr>
        <w:t xml:space="preserve">jednak </w:t>
      </w:r>
      <w:r w:rsidR="008B666E" w:rsidRPr="00816E15">
        <w:rPr>
          <w:sz w:val="24"/>
          <w:szCs w:val="24"/>
        </w:rPr>
        <w:t xml:space="preserve">termin </w:t>
      </w:r>
      <w:r w:rsidR="006D2B9D" w:rsidRPr="00816E15">
        <w:rPr>
          <w:sz w:val="24"/>
          <w:szCs w:val="24"/>
        </w:rPr>
        <w:t>nie krótszy niż 2 dni)</w:t>
      </w:r>
      <w:r w:rsidR="009578D2" w:rsidRPr="00816E15">
        <w:rPr>
          <w:sz w:val="24"/>
          <w:szCs w:val="24"/>
        </w:rPr>
        <w:t xml:space="preserve"> na przekazanie informacji o przejściu zakładu pracy podmiotu w restrukturyzacji na innego pracodawcę w</w:t>
      </w:r>
      <w:r w:rsidR="003A233F" w:rsidRPr="00816E15">
        <w:rPr>
          <w:sz w:val="24"/>
          <w:szCs w:val="24"/>
        </w:rPr>
        <w:t> </w:t>
      </w:r>
      <w:r w:rsidR="009578D2" w:rsidRPr="00816E15">
        <w:rPr>
          <w:sz w:val="24"/>
          <w:szCs w:val="24"/>
        </w:rPr>
        <w:t xml:space="preserve">wyniku zastosowania instrumentu przymusowej restrukturyzacji </w:t>
      </w:r>
      <w:r w:rsidR="00280324">
        <w:rPr>
          <w:sz w:val="24"/>
          <w:szCs w:val="24"/>
        </w:rPr>
        <w:t>–</w:t>
      </w:r>
      <w:r w:rsidR="009578D2" w:rsidRPr="00816E15">
        <w:rPr>
          <w:sz w:val="24"/>
          <w:szCs w:val="24"/>
        </w:rPr>
        <w:t xml:space="preserve"> zarówno pracownikom zatrudnionym w zakładzie pracy</w:t>
      </w:r>
      <w:r w:rsidR="009237CF" w:rsidRPr="00816E15">
        <w:rPr>
          <w:sz w:val="24"/>
          <w:szCs w:val="24"/>
        </w:rPr>
        <w:t>,</w:t>
      </w:r>
      <w:r w:rsidR="009578D2" w:rsidRPr="00816E15">
        <w:rPr>
          <w:sz w:val="24"/>
          <w:szCs w:val="24"/>
        </w:rPr>
        <w:t xml:space="preserve"> w którym działają organizacje związkowe</w:t>
      </w:r>
      <w:r w:rsidR="009237CF" w:rsidRPr="00816E15">
        <w:rPr>
          <w:sz w:val="24"/>
          <w:szCs w:val="24"/>
        </w:rPr>
        <w:t>,</w:t>
      </w:r>
      <w:r w:rsidR="006D2B9D" w:rsidRPr="00816E15">
        <w:rPr>
          <w:sz w:val="24"/>
          <w:szCs w:val="24"/>
        </w:rPr>
        <w:t xml:space="preserve"> </w:t>
      </w:r>
      <w:r w:rsidR="009578D2" w:rsidRPr="00816E15">
        <w:rPr>
          <w:sz w:val="24"/>
          <w:szCs w:val="24"/>
        </w:rPr>
        <w:t>jak i w takim, w</w:t>
      </w:r>
      <w:r w:rsidR="003A233F" w:rsidRPr="00816E15">
        <w:rPr>
          <w:sz w:val="24"/>
          <w:szCs w:val="24"/>
        </w:rPr>
        <w:t> </w:t>
      </w:r>
      <w:r w:rsidR="009578D2" w:rsidRPr="00816E15">
        <w:rPr>
          <w:sz w:val="24"/>
          <w:szCs w:val="24"/>
        </w:rPr>
        <w:t>którym organizacje te nie działają</w:t>
      </w:r>
      <w:r w:rsidR="006D2B9D" w:rsidRPr="00816E15">
        <w:rPr>
          <w:sz w:val="24"/>
          <w:szCs w:val="24"/>
        </w:rPr>
        <w:t>.</w:t>
      </w:r>
      <w:r w:rsidR="008B666E" w:rsidRPr="00816E15">
        <w:rPr>
          <w:sz w:val="24"/>
          <w:szCs w:val="24"/>
        </w:rPr>
        <w:t xml:space="preserve"> </w:t>
      </w:r>
      <w:r w:rsidR="006468AC" w:rsidRPr="00816E15">
        <w:rPr>
          <w:sz w:val="24"/>
          <w:szCs w:val="24"/>
          <w:lang w:eastAsia="pl-PL"/>
        </w:rPr>
        <w:t>O</w:t>
      </w:r>
      <w:r w:rsidR="008B666E" w:rsidRPr="00816E15">
        <w:rPr>
          <w:sz w:val="24"/>
          <w:szCs w:val="24"/>
          <w:lang w:eastAsia="pl-PL"/>
        </w:rPr>
        <w:t>bowiązek jej dostarczenia został nałożony zarówno na dotychczasowego</w:t>
      </w:r>
      <w:r w:rsidR="002F3F55">
        <w:rPr>
          <w:sz w:val="24"/>
          <w:szCs w:val="24"/>
          <w:lang w:eastAsia="pl-PL"/>
        </w:rPr>
        <w:t>,</w:t>
      </w:r>
      <w:r w:rsidR="008B666E" w:rsidRPr="00816E15">
        <w:rPr>
          <w:sz w:val="24"/>
          <w:szCs w:val="24"/>
          <w:lang w:eastAsia="pl-PL"/>
        </w:rPr>
        <w:t xml:space="preserve"> jak i nowego pracodawcę</w:t>
      </w:r>
      <w:r w:rsidR="006468AC" w:rsidRPr="00816E15">
        <w:rPr>
          <w:sz w:val="24"/>
          <w:szCs w:val="24"/>
          <w:lang w:eastAsia="pl-PL"/>
        </w:rPr>
        <w:t>, w celu wzmocnienia pewności zapoznania się z informacją przez pracownika</w:t>
      </w:r>
      <w:r w:rsidR="008B666E" w:rsidRPr="00816E15">
        <w:rPr>
          <w:sz w:val="24"/>
          <w:szCs w:val="24"/>
          <w:lang w:eastAsia="pl-PL"/>
        </w:rPr>
        <w:t>.</w:t>
      </w:r>
      <w:r w:rsidR="006D2B9D" w:rsidRPr="00816E15">
        <w:rPr>
          <w:sz w:val="24"/>
          <w:szCs w:val="24"/>
        </w:rPr>
        <w:t xml:space="preserve"> Pozostawienie dłuższego terminu mogłoby </w:t>
      </w:r>
      <w:r w:rsidR="009578D2" w:rsidRPr="00816E15">
        <w:rPr>
          <w:sz w:val="24"/>
          <w:szCs w:val="24"/>
        </w:rPr>
        <w:t xml:space="preserve">doprowadzić podmiot </w:t>
      </w:r>
      <w:r w:rsidR="00877A28" w:rsidRPr="00816E15">
        <w:rPr>
          <w:sz w:val="24"/>
          <w:szCs w:val="24"/>
        </w:rPr>
        <w:t xml:space="preserve">w restrukturyzacji </w:t>
      </w:r>
      <w:r w:rsidR="009578D2" w:rsidRPr="00816E15">
        <w:rPr>
          <w:sz w:val="24"/>
          <w:szCs w:val="24"/>
        </w:rPr>
        <w:t>do likwidacji</w:t>
      </w:r>
      <w:r w:rsidR="000238E0" w:rsidRPr="00816E15">
        <w:rPr>
          <w:sz w:val="24"/>
          <w:szCs w:val="24"/>
        </w:rPr>
        <w:t xml:space="preserve"> i </w:t>
      </w:r>
      <w:r w:rsidR="009578D2" w:rsidRPr="00816E15">
        <w:rPr>
          <w:sz w:val="24"/>
          <w:szCs w:val="24"/>
        </w:rPr>
        <w:t>utraty miejsc pracy</w:t>
      </w:r>
      <w:r w:rsidR="00DD0AA3" w:rsidRPr="00816E15">
        <w:rPr>
          <w:sz w:val="24"/>
          <w:szCs w:val="24"/>
        </w:rPr>
        <w:t xml:space="preserve"> w terminie kilku dni, szczególnie z uwagi na zjawisko „szturmu na bank”</w:t>
      </w:r>
      <w:r w:rsidR="000238E0" w:rsidRPr="00816E15">
        <w:rPr>
          <w:sz w:val="24"/>
          <w:szCs w:val="24"/>
        </w:rPr>
        <w:t xml:space="preserve"> (lawinowej wypłaty depozytów, która może spowodować utratę płynności finansowej)</w:t>
      </w:r>
      <w:r w:rsidR="009578D2" w:rsidRPr="00816E15">
        <w:rPr>
          <w:sz w:val="24"/>
          <w:szCs w:val="24"/>
        </w:rPr>
        <w:t>.</w:t>
      </w:r>
      <w:r w:rsidR="00DD0AA3" w:rsidRPr="00816E15">
        <w:rPr>
          <w:sz w:val="24"/>
          <w:szCs w:val="24"/>
        </w:rPr>
        <w:t xml:space="preserve"> Dodatkowo należy mieć na uwadze, że umożliwienie przymusowej restrukturyzacji będzie realizować koncepcję „społecznej odpowiedzialności biznesu” w zakresie ochrony otoczenia klientowskiego (konsumenckiego) i </w:t>
      </w:r>
      <w:r w:rsidR="00F80B83" w:rsidRPr="00816E15">
        <w:rPr>
          <w:sz w:val="24"/>
          <w:szCs w:val="24"/>
        </w:rPr>
        <w:t>powiązanych instytucji finansowych.</w:t>
      </w:r>
      <w:r w:rsidR="009578D2" w:rsidRPr="00816E15">
        <w:rPr>
          <w:sz w:val="24"/>
          <w:szCs w:val="24"/>
        </w:rPr>
        <w:t xml:space="preserve"> </w:t>
      </w:r>
      <w:r w:rsidR="009A2DF2" w:rsidRPr="00816E15">
        <w:rPr>
          <w:sz w:val="24"/>
          <w:szCs w:val="24"/>
        </w:rPr>
        <w:t>Informacja o zamiarze przeprowadzenia restrukturyzacji nie może być przekazana do</w:t>
      </w:r>
      <w:r w:rsidR="003A233F" w:rsidRPr="00816E15">
        <w:rPr>
          <w:sz w:val="24"/>
          <w:szCs w:val="24"/>
        </w:rPr>
        <w:t> </w:t>
      </w:r>
      <w:r w:rsidR="009A2DF2" w:rsidRPr="00816E15">
        <w:rPr>
          <w:sz w:val="24"/>
          <w:szCs w:val="24"/>
        </w:rPr>
        <w:t>wiadomości publicznej przed wydaniem decyzji o wszczęciu przymusowej restrukturyzacji. Sam podmiot</w:t>
      </w:r>
      <w:r w:rsidR="009237CF" w:rsidRPr="00816E15">
        <w:rPr>
          <w:sz w:val="24"/>
          <w:szCs w:val="24"/>
        </w:rPr>
        <w:t>,</w:t>
      </w:r>
      <w:r w:rsidR="009A2DF2" w:rsidRPr="00816E15">
        <w:rPr>
          <w:sz w:val="24"/>
          <w:szCs w:val="24"/>
        </w:rPr>
        <w:t xml:space="preserve"> wobec którego wszczęto przymusową restrukturyzację</w:t>
      </w:r>
      <w:r w:rsidR="009237CF" w:rsidRPr="00816E15">
        <w:rPr>
          <w:sz w:val="24"/>
          <w:szCs w:val="24"/>
        </w:rPr>
        <w:t>,</w:t>
      </w:r>
      <w:r w:rsidR="009A2DF2" w:rsidRPr="00816E15">
        <w:rPr>
          <w:sz w:val="24"/>
          <w:szCs w:val="24"/>
        </w:rPr>
        <w:t xml:space="preserve"> uzyskuje taką informację dopiero z chwilą doręczenia mu decyzji o wszczęciu przymusowej restrukturyzacji. </w:t>
      </w:r>
      <w:r w:rsidR="00AB09EA" w:rsidRPr="00816E15">
        <w:rPr>
          <w:sz w:val="24"/>
          <w:szCs w:val="24"/>
        </w:rPr>
        <w:t xml:space="preserve">Możliwe będzie poinformowanie </w:t>
      </w:r>
      <w:r w:rsidR="00DD0AA3" w:rsidRPr="00816E15">
        <w:rPr>
          <w:sz w:val="24"/>
          <w:szCs w:val="24"/>
        </w:rPr>
        <w:t xml:space="preserve">zakładowej lub międzyzakładowej </w:t>
      </w:r>
      <w:r w:rsidR="00AB09EA" w:rsidRPr="00816E15">
        <w:rPr>
          <w:sz w:val="24"/>
          <w:szCs w:val="24"/>
        </w:rPr>
        <w:t xml:space="preserve">organizacji związkowej </w:t>
      </w:r>
      <w:r w:rsidR="00AB09EA" w:rsidRPr="00816E15">
        <w:rPr>
          <w:sz w:val="24"/>
          <w:szCs w:val="24"/>
          <w:lang w:eastAsia="pl-PL"/>
        </w:rPr>
        <w:t xml:space="preserve">o przejściu zakładu pracy przez przekazanie tej informacji </w:t>
      </w:r>
      <w:r w:rsidR="00AB09EA" w:rsidRPr="00816E15">
        <w:rPr>
          <w:sz w:val="24"/>
          <w:szCs w:val="24"/>
        </w:rPr>
        <w:t>na adres poczty elektronicznej (efektywna, rozpowszechniona komunikacja) przewodniczącego organizacji związkowej. Przepis ten będzie miał szczególnie istotne znaczenie w</w:t>
      </w:r>
      <w:r w:rsidR="00816E15">
        <w:rPr>
          <w:sz w:val="24"/>
          <w:szCs w:val="24"/>
        </w:rPr>
        <w:t xml:space="preserve"> </w:t>
      </w:r>
      <w:r w:rsidR="009A2DF2" w:rsidRPr="00816E15">
        <w:rPr>
          <w:sz w:val="24"/>
          <w:szCs w:val="24"/>
        </w:rPr>
        <w:t>przypadku</w:t>
      </w:r>
      <w:r w:rsidR="002F3F55">
        <w:rPr>
          <w:sz w:val="24"/>
          <w:szCs w:val="24"/>
        </w:rPr>
        <w:t>,</w:t>
      </w:r>
      <w:r w:rsidR="009A2DF2" w:rsidRPr="00816E15">
        <w:rPr>
          <w:sz w:val="24"/>
          <w:szCs w:val="24"/>
        </w:rPr>
        <w:t xml:space="preserve"> gdy przewodniczącym</w:t>
      </w:r>
      <w:r w:rsidR="00816E15">
        <w:rPr>
          <w:sz w:val="24"/>
          <w:szCs w:val="24"/>
        </w:rPr>
        <w:t xml:space="preserve"> </w:t>
      </w:r>
      <w:r w:rsidR="009A2DF2" w:rsidRPr="00816E15">
        <w:rPr>
          <w:sz w:val="24"/>
          <w:szCs w:val="24"/>
        </w:rPr>
        <w:t>organizacji związkowej nie jest pracownik podmiotu</w:t>
      </w:r>
      <w:r w:rsidR="009237CF" w:rsidRPr="00816E15">
        <w:rPr>
          <w:sz w:val="24"/>
          <w:szCs w:val="24"/>
        </w:rPr>
        <w:t>,</w:t>
      </w:r>
      <w:r w:rsidR="009A2DF2" w:rsidRPr="00816E15">
        <w:rPr>
          <w:sz w:val="24"/>
          <w:szCs w:val="24"/>
        </w:rPr>
        <w:t xml:space="preserve"> wobec którego zastosowano przymusową restrukturyzację</w:t>
      </w:r>
      <w:r w:rsidR="00350847" w:rsidRPr="00816E15">
        <w:rPr>
          <w:sz w:val="24"/>
          <w:szCs w:val="24"/>
        </w:rPr>
        <w:t xml:space="preserve">. </w:t>
      </w:r>
      <w:r w:rsidR="009A2DF2" w:rsidRPr="00816E15">
        <w:rPr>
          <w:sz w:val="24"/>
          <w:szCs w:val="24"/>
        </w:rPr>
        <w:t>Proponowany przepis art. 124 ust. 2 wskazuje również</w:t>
      </w:r>
      <w:r w:rsidR="00350847" w:rsidRPr="00816E15">
        <w:rPr>
          <w:sz w:val="24"/>
          <w:szCs w:val="24"/>
        </w:rPr>
        <w:t xml:space="preserve">, że organizacja związkowa może zostać poinformowana przez każdy </w:t>
      </w:r>
      <w:r w:rsidR="009A2DF2" w:rsidRPr="00816E15">
        <w:rPr>
          <w:sz w:val="24"/>
          <w:szCs w:val="24"/>
        </w:rPr>
        <w:t xml:space="preserve">inny dostępny dla tej organizacji kanał komunikacji. Powyższe ma umożliwić jak najszybsze zapoznanie się z jej treścią i skontaktowanie z pracownikami oraz Funduszem. </w:t>
      </w:r>
      <w:r w:rsidR="009A2DF2" w:rsidRPr="00816E15">
        <w:rPr>
          <w:sz w:val="24"/>
          <w:szCs w:val="24"/>
          <w:lang w:eastAsia="pl-PL"/>
        </w:rPr>
        <w:t>Niezależnie od</w:t>
      </w:r>
      <w:r w:rsidR="003A233F" w:rsidRPr="00816E15">
        <w:rPr>
          <w:sz w:val="24"/>
          <w:szCs w:val="24"/>
          <w:lang w:eastAsia="pl-PL"/>
        </w:rPr>
        <w:t> </w:t>
      </w:r>
      <w:r w:rsidR="009A2DF2" w:rsidRPr="00816E15">
        <w:rPr>
          <w:sz w:val="24"/>
          <w:szCs w:val="24"/>
          <w:lang w:eastAsia="pl-PL"/>
        </w:rPr>
        <w:t xml:space="preserve">powyższego, informacja </w:t>
      </w:r>
      <w:r w:rsidR="00350847" w:rsidRPr="00816E15">
        <w:rPr>
          <w:sz w:val="24"/>
          <w:szCs w:val="24"/>
          <w:lang w:eastAsia="pl-PL"/>
        </w:rPr>
        <w:t xml:space="preserve">zostanie </w:t>
      </w:r>
      <w:r w:rsidR="009A2DF2" w:rsidRPr="00816E15">
        <w:rPr>
          <w:sz w:val="24"/>
          <w:szCs w:val="24"/>
          <w:lang w:eastAsia="pl-PL"/>
        </w:rPr>
        <w:t>przekazana pracownikom w sposób określony w</w:t>
      </w:r>
      <w:r w:rsidR="003A233F" w:rsidRPr="00816E15">
        <w:rPr>
          <w:sz w:val="24"/>
          <w:szCs w:val="24"/>
          <w:lang w:eastAsia="pl-PL"/>
        </w:rPr>
        <w:t> </w:t>
      </w:r>
      <w:r w:rsidR="009A2DF2" w:rsidRPr="00816E15">
        <w:rPr>
          <w:sz w:val="24"/>
          <w:szCs w:val="24"/>
          <w:lang w:eastAsia="pl-PL"/>
        </w:rPr>
        <w:t>zaproponowanym nowym brzmieniu art.</w:t>
      </w:r>
      <w:r w:rsidR="00816E15">
        <w:rPr>
          <w:sz w:val="24"/>
          <w:szCs w:val="24"/>
          <w:lang w:eastAsia="pl-PL"/>
        </w:rPr>
        <w:t xml:space="preserve"> </w:t>
      </w:r>
      <w:r w:rsidR="009A2DF2" w:rsidRPr="00816E15">
        <w:rPr>
          <w:sz w:val="24"/>
          <w:szCs w:val="24"/>
          <w:lang w:eastAsia="pl-PL"/>
        </w:rPr>
        <w:t xml:space="preserve">124 ust. 1. </w:t>
      </w:r>
    </w:p>
    <w:p w14:paraId="37373F7C" w14:textId="2EBFE07B" w:rsidR="00035253" w:rsidRPr="00816E15" w:rsidRDefault="007E4B21" w:rsidP="00CF5AAF">
      <w:pPr>
        <w:spacing w:line="360" w:lineRule="auto"/>
        <w:jc w:val="both"/>
        <w:rPr>
          <w:rFonts w:cs="Times New Roman"/>
          <w:szCs w:val="24"/>
        </w:rPr>
      </w:pPr>
      <w:r w:rsidRPr="00816E15">
        <w:rPr>
          <w:rFonts w:cs="Times New Roman"/>
          <w:szCs w:val="24"/>
        </w:rPr>
        <w:t>Projektowan</w:t>
      </w:r>
      <w:r w:rsidR="00035253" w:rsidRPr="00816E15">
        <w:rPr>
          <w:rFonts w:cs="Times New Roman"/>
          <w:szCs w:val="24"/>
        </w:rPr>
        <w:t>y</w:t>
      </w:r>
      <w:r w:rsidRPr="00816E15">
        <w:rPr>
          <w:rFonts w:cs="Times New Roman"/>
          <w:szCs w:val="24"/>
        </w:rPr>
        <w:t xml:space="preserve"> art. 124 ust. 1 i 2</w:t>
      </w:r>
      <w:r w:rsidR="00035253" w:rsidRPr="00816E15">
        <w:rPr>
          <w:rFonts w:cs="Times New Roman"/>
          <w:szCs w:val="24"/>
        </w:rPr>
        <w:t xml:space="preserve"> ma umożliwić przeprowadzenie tzw. „weekendowej restrukturyzacji”</w:t>
      </w:r>
      <w:r w:rsidR="00CF777A" w:rsidRPr="00816E15">
        <w:rPr>
          <w:rFonts w:cs="Times New Roman"/>
          <w:szCs w:val="24"/>
        </w:rPr>
        <w:t>. Proces ten</w:t>
      </w:r>
      <w:r w:rsidR="00035253" w:rsidRPr="00816E15">
        <w:rPr>
          <w:rFonts w:cs="Times New Roman"/>
          <w:szCs w:val="24"/>
        </w:rPr>
        <w:t xml:space="preserve"> powinien przebiegać szybko i sprawnie, aby nie dopuścić do zachwiania stabilności finansowej na rynku. </w:t>
      </w:r>
      <w:r w:rsidR="009373E8" w:rsidRPr="00816E15">
        <w:rPr>
          <w:rFonts w:cs="Times New Roman"/>
          <w:szCs w:val="24"/>
        </w:rPr>
        <w:t>Przepisy Kodeksu pracy nie zawierają regulacji w zakresie sposobu liczenia terminów</w:t>
      </w:r>
      <w:r w:rsidR="00877A28" w:rsidRPr="00816E15">
        <w:rPr>
          <w:rFonts w:cs="Times New Roman"/>
          <w:szCs w:val="24"/>
        </w:rPr>
        <w:t>,</w:t>
      </w:r>
      <w:r w:rsidR="009373E8" w:rsidRPr="00816E15">
        <w:rPr>
          <w:rFonts w:cs="Times New Roman"/>
          <w:szCs w:val="24"/>
        </w:rPr>
        <w:t xml:space="preserve"> </w:t>
      </w:r>
      <w:r w:rsidR="00877A28" w:rsidRPr="00816E15">
        <w:rPr>
          <w:rFonts w:cs="Times New Roman"/>
          <w:szCs w:val="24"/>
        </w:rPr>
        <w:t xml:space="preserve">z </w:t>
      </w:r>
      <w:r w:rsidR="009373E8" w:rsidRPr="00816E15">
        <w:rPr>
          <w:rFonts w:cs="Times New Roman"/>
          <w:szCs w:val="24"/>
        </w:rPr>
        <w:t>wyjątkiem liczenia terminów wypowiedzeń. Zasady dotyczące obliczania upływu terminów w prawie pracy wynikają zatem z Kodeksu cywilnego, z odmiennościami charakterystycznymi dla specyfiki stosunku pracy, która pozwoliła na wykształcenie pewnych reguł odmiennych potwierdzonych orzecznictwem Sądu Najwyższego (por. w szczególności wyrok SN z dnia 19 grudnia 1996 r., sygn. akt I PKN 47/96).</w:t>
      </w:r>
      <w:r w:rsidR="00035253" w:rsidRPr="00816E15">
        <w:rPr>
          <w:rFonts w:cs="Times New Roman"/>
          <w:szCs w:val="24"/>
        </w:rPr>
        <w:t xml:space="preserve"> </w:t>
      </w:r>
      <w:r w:rsidR="00DB0917" w:rsidRPr="00816E15">
        <w:rPr>
          <w:rFonts w:cs="Times New Roman"/>
          <w:szCs w:val="24"/>
        </w:rPr>
        <w:t>A</w:t>
      </w:r>
      <w:r w:rsidR="00DB0917" w:rsidRPr="00816E15">
        <w:rPr>
          <w:szCs w:val="24"/>
        </w:rPr>
        <w:t>rt. 115 k.c. dotyczy wyłącznie czynności, jaka ma być podjęta w wyznaczonym terminie</w:t>
      </w:r>
      <w:r w:rsidR="00EB1992" w:rsidRPr="00816E15">
        <w:rPr>
          <w:szCs w:val="24"/>
        </w:rPr>
        <w:t xml:space="preserve"> (koniec terminu wykonania czynności)</w:t>
      </w:r>
      <w:r w:rsidR="00DB0917" w:rsidRPr="00816E15">
        <w:rPr>
          <w:szCs w:val="24"/>
        </w:rPr>
        <w:t xml:space="preserve">. </w:t>
      </w:r>
      <w:r w:rsidR="00EB1992" w:rsidRPr="00816E15">
        <w:rPr>
          <w:szCs w:val="24"/>
        </w:rPr>
        <w:t>Przepis m</w:t>
      </w:r>
      <w:r w:rsidR="00DB0917" w:rsidRPr="00816E15">
        <w:rPr>
          <w:szCs w:val="24"/>
        </w:rPr>
        <w:t>a zatem zastosowanie tylko do terminów, które zakreślają ramy czasowe wykonania jakiejś czynności</w:t>
      </w:r>
      <w:r w:rsidR="002B4B83" w:rsidRPr="00816E15">
        <w:rPr>
          <w:szCs w:val="24"/>
        </w:rPr>
        <w:t xml:space="preserve">, a </w:t>
      </w:r>
      <w:r w:rsidR="002B4B83" w:rsidRPr="00816E15">
        <w:rPr>
          <w:rFonts w:eastAsia="Times New Roman" w:cs="Times New Roman"/>
          <w:szCs w:val="24"/>
          <w:lang w:eastAsia="pl-PL"/>
        </w:rPr>
        <w:t>nie znajduje natomiast zastosowania w przypadkach, w których mamy do czynienia z czasowym ograniczeniem stosunków prawnych</w:t>
      </w:r>
      <w:r w:rsidR="00DB0917" w:rsidRPr="00816E15">
        <w:rPr>
          <w:szCs w:val="24"/>
        </w:rPr>
        <w:t xml:space="preserve">. </w:t>
      </w:r>
    </w:p>
    <w:p w14:paraId="482E36BB" w14:textId="5910AA8C" w:rsidR="009373E8" w:rsidRPr="00816E15" w:rsidRDefault="00DB13EA" w:rsidP="00CF5AAF">
      <w:pPr>
        <w:spacing w:line="360" w:lineRule="auto"/>
        <w:jc w:val="both"/>
        <w:rPr>
          <w:rFonts w:cs="Times New Roman"/>
          <w:szCs w:val="24"/>
        </w:rPr>
      </w:pPr>
      <w:r w:rsidRPr="00816E15">
        <w:rPr>
          <w:rFonts w:cs="Times New Roman"/>
          <w:szCs w:val="24"/>
        </w:rPr>
        <w:t>Informacja o zagrożeniu upadłością</w:t>
      </w:r>
      <w:r w:rsidR="00816E15">
        <w:rPr>
          <w:rFonts w:cs="Times New Roman"/>
          <w:szCs w:val="24"/>
        </w:rPr>
        <w:t xml:space="preserve"> </w:t>
      </w:r>
      <w:r w:rsidRPr="00816E15">
        <w:rPr>
          <w:rFonts w:cs="Times New Roman"/>
          <w:szCs w:val="24"/>
        </w:rPr>
        <w:t>podmiotu może wywołać panikę wśród jego klientów i istotnie przyczynić się do pogorszenia jego sytuacji, w tym przez lawinową wypłatę depozytów, która może spowodować utratę płynności finansowej (tzw. „</w:t>
      </w:r>
      <w:r w:rsidR="00513D31" w:rsidRPr="00816E15">
        <w:rPr>
          <w:rFonts w:cs="Times New Roman"/>
          <w:szCs w:val="24"/>
        </w:rPr>
        <w:t>szturmu na bank</w:t>
      </w:r>
      <w:r w:rsidRPr="00816E15">
        <w:rPr>
          <w:rFonts w:cs="Times New Roman"/>
          <w:szCs w:val="24"/>
        </w:rPr>
        <w:t xml:space="preserve">”). </w:t>
      </w:r>
      <w:r w:rsidR="00516283" w:rsidRPr="00816E15">
        <w:rPr>
          <w:rFonts w:cs="Arial"/>
          <w:bCs/>
          <w:szCs w:val="24"/>
          <w:lang w:eastAsia="pl-PL"/>
        </w:rPr>
        <w:t>Restrukturyzacja w trybie „weekendowym”, tj. w okresie</w:t>
      </w:r>
      <w:r w:rsidR="002F3F55">
        <w:rPr>
          <w:rFonts w:cs="Arial"/>
          <w:bCs/>
          <w:szCs w:val="24"/>
          <w:lang w:eastAsia="pl-PL"/>
        </w:rPr>
        <w:t>,</w:t>
      </w:r>
      <w:r w:rsidR="00516283" w:rsidRPr="00816E15">
        <w:rPr>
          <w:rFonts w:cs="Arial"/>
          <w:bCs/>
          <w:szCs w:val="24"/>
          <w:lang w:eastAsia="pl-PL"/>
        </w:rPr>
        <w:t xml:space="preserve"> gdy rynek finansowy funkcjonuje tylko w sposób ograniczony, jest najmniej narażona na niepowodzenie</w:t>
      </w:r>
      <w:r w:rsidR="009445A1">
        <w:rPr>
          <w:rFonts w:cs="Arial"/>
          <w:bCs/>
          <w:szCs w:val="24"/>
          <w:lang w:eastAsia="pl-PL"/>
        </w:rPr>
        <w:t>.</w:t>
      </w:r>
      <w:r w:rsidR="00516283" w:rsidRPr="00816E15">
        <w:rPr>
          <w:rFonts w:cs="Times New Roman"/>
          <w:szCs w:val="24"/>
        </w:rPr>
        <w:t xml:space="preserve"> </w:t>
      </w:r>
      <w:r w:rsidRPr="00816E15">
        <w:rPr>
          <w:rFonts w:cs="Times New Roman"/>
          <w:szCs w:val="24"/>
        </w:rPr>
        <w:t xml:space="preserve">Z tego względu ważne jest przeprowadzenie przymusowej restrukturyzacji szybko i utrzymanie możliwie najwęższego kręgu osób, które mają wiedzę o planowanym procesie. Służą temu m.in. także przepisy ograniczające uprawnienia podmiotu w restrukturyzacji do informacji o wszczętym postępowaniu administracyjnym w przedmiocie </w:t>
      </w:r>
      <w:r w:rsidR="00877A28" w:rsidRPr="00816E15">
        <w:rPr>
          <w:rFonts w:cs="Times New Roman"/>
          <w:szCs w:val="24"/>
        </w:rPr>
        <w:t>przymusowej restrukturyzacji</w:t>
      </w:r>
      <w:r w:rsidRPr="00816E15">
        <w:rPr>
          <w:rFonts w:cs="Times New Roman"/>
          <w:szCs w:val="24"/>
        </w:rPr>
        <w:t>. Specyfika przymusowej restrukturyzacji wymaga więc, aby termin na przekazanie informacji organizacjom związkowym, jak i pracownikom był krótszy, niż określa to art. 23</w:t>
      </w:r>
      <w:r w:rsidRPr="00816E15">
        <w:rPr>
          <w:rFonts w:cs="Times New Roman"/>
          <w:szCs w:val="24"/>
          <w:vertAlign w:val="superscript"/>
        </w:rPr>
        <w:t>1</w:t>
      </w:r>
      <w:r w:rsidRPr="00816E15">
        <w:rPr>
          <w:rFonts w:cs="Times New Roman"/>
          <w:szCs w:val="24"/>
        </w:rPr>
        <w:t>§ 3 Kodeksu pracy. Pozostawienie terminu 30 dni na przekazanie informacji o przewidywanym terminie przejęcia podmiotu, który jest zagrożony upadłością, może uniemożliwić przeprowadzenie przymusowej restrukturyzacji i doprowadzić taki podmiot do likwidacji i do utraty miejsc pracy. Doświadczenia praktyczne wielu krajów i konieczność ograniczonego w czasie przerwania działalności podmiotu w restrukturyzacji podczas procesu przymusowej restrukturyzacji wskazują, że w zdecydowanej większości proces ten powinien odbywać się w dni wolne od pracy. Jednakże pracownicy podmiotu w restrukturyzacji zobowiązani będą, zgodnie z obowiązującymi przepisami prawa pracy, świadczyć pracę w tym okresie i będą mieli możliwość zapoznania się z informacją o przejęciu przedsiębiorstwa.</w:t>
      </w:r>
      <w:r w:rsidR="009237CF" w:rsidRPr="00816E15">
        <w:rPr>
          <w:rFonts w:cs="Times New Roman"/>
          <w:szCs w:val="24"/>
        </w:rPr>
        <w:t xml:space="preserve"> Warto też podkreślić, że przekazanie informacji o przejściu zakładu pracy nie ma wpływu na </w:t>
      </w:r>
      <w:r w:rsidR="0085305A" w:rsidRPr="00816E15">
        <w:rPr>
          <w:rFonts w:cs="Times New Roman"/>
          <w:szCs w:val="24"/>
        </w:rPr>
        <w:t xml:space="preserve">zatrudnienie oraz na warunki pracy i płacy pracowników w związku z </w:t>
      </w:r>
      <w:r w:rsidR="009237CF" w:rsidRPr="00816E15">
        <w:rPr>
          <w:rFonts w:cs="Times New Roman"/>
          <w:szCs w:val="24"/>
        </w:rPr>
        <w:t>wprowadzan</w:t>
      </w:r>
      <w:r w:rsidR="0085305A" w:rsidRPr="00816E15">
        <w:rPr>
          <w:rFonts w:cs="Times New Roman"/>
          <w:szCs w:val="24"/>
        </w:rPr>
        <w:t xml:space="preserve">ą zasadą </w:t>
      </w:r>
      <w:r w:rsidR="009237CF" w:rsidRPr="00816E15">
        <w:rPr>
          <w:rFonts w:cs="Times New Roman"/>
          <w:szCs w:val="24"/>
        </w:rPr>
        <w:t>automatyczn</w:t>
      </w:r>
      <w:r w:rsidR="0085305A" w:rsidRPr="00816E15">
        <w:rPr>
          <w:rFonts w:cs="Times New Roman"/>
          <w:szCs w:val="24"/>
        </w:rPr>
        <w:t>ego p</w:t>
      </w:r>
      <w:r w:rsidR="009237CF" w:rsidRPr="00816E15">
        <w:rPr>
          <w:rFonts w:cs="Times New Roman"/>
          <w:szCs w:val="24"/>
        </w:rPr>
        <w:t>rzejęci</w:t>
      </w:r>
      <w:r w:rsidR="0085305A" w:rsidRPr="00816E15">
        <w:rPr>
          <w:rFonts w:cs="Times New Roman"/>
          <w:szCs w:val="24"/>
        </w:rPr>
        <w:t xml:space="preserve">a </w:t>
      </w:r>
      <w:r w:rsidR="005311FB" w:rsidRPr="00816E15">
        <w:rPr>
          <w:rFonts w:cs="Times New Roman"/>
          <w:szCs w:val="24"/>
        </w:rPr>
        <w:t xml:space="preserve">pracowników </w:t>
      </w:r>
      <w:r w:rsidR="009237CF" w:rsidRPr="00816E15">
        <w:rPr>
          <w:rFonts w:cs="Times New Roman"/>
          <w:szCs w:val="24"/>
        </w:rPr>
        <w:t>przez nowy podmiot</w:t>
      </w:r>
      <w:r w:rsidR="005311FB" w:rsidRPr="00816E15">
        <w:rPr>
          <w:rFonts w:cs="Times New Roman"/>
          <w:szCs w:val="24"/>
        </w:rPr>
        <w:t xml:space="preserve"> (art. 23</w:t>
      </w:r>
      <w:r w:rsidR="005311FB" w:rsidRPr="00816E15">
        <w:rPr>
          <w:rFonts w:cs="Times New Roman"/>
          <w:szCs w:val="24"/>
          <w:vertAlign w:val="superscript"/>
        </w:rPr>
        <w:t xml:space="preserve">1 </w:t>
      </w:r>
      <w:r w:rsidR="005311FB" w:rsidRPr="00816E15">
        <w:rPr>
          <w:rFonts w:cs="Times New Roman"/>
          <w:szCs w:val="24"/>
        </w:rPr>
        <w:t xml:space="preserve">§ 1 </w:t>
      </w:r>
      <w:r w:rsidR="00877A28" w:rsidRPr="00816E15">
        <w:rPr>
          <w:rFonts w:cs="Times New Roman"/>
          <w:szCs w:val="24"/>
        </w:rPr>
        <w:t>Kodeksu pracy</w:t>
      </w:r>
      <w:r w:rsidR="005311FB" w:rsidRPr="00816E15">
        <w:rPr>
          <w:rFonts w:cs="Times New Roman"/>
          <w:szCs w:val="24"/>
        </w:rPr>
        <w:t>).</w:t>
      </w:r>
      <w:r w:rsidR="0085305A" w:rsidRPr="00816E15">
        <w:rPr>
          <w:rFonts w:cs="Times New Roman"/>
          <w:szCs w:val="24"/>
        </w:rPr>
        <w:t xml:space="preserve"> Ponadto, zgodnie z </w:t>
      </w:r>
      <w:r w:rsidR="002F3F55">
        <w:rPr>
          <w:rFonts w:cs="Times New Roman"/>
          <w:szCs w:val="24"/>
        </w:rPr>
        <w:t xml:space="preserve">art. </w:t>
      </w:r>
      <w:r w:rsidR="0085305A" w:rsidRPr="00816E15">
        <w:rPr>
          <w:rFonts w:cs="Times New Roman"/>
          <w:szCs w:val="24"/>
        </w:rPr>
        <w:t>23</w:t>
      </w:r>
      <w:r w:rsidR="0085305A" w:rsidRPr="00816E15">
        <w:rPr>
          <w:rFonts w:cs="Times New Roman"/>
          <w:szCs w:val="24"/>
          <w:vertAlign w:val="superscript"/>
        </w:rPr>
        <w:t xml:space="preserve">1 </w:t>
      </w:r>
      <w:r w:rsidR="0085305A" w:rsidRPr="00816E15">
        <w:rPr>
          <w:rFonts w:cs="Times New Roman"/>
          <w:szCs w:val="24"/>
        </w:rPr>
        <w:t xml:space="preserve">§ 4 </w:t>
      </w:r>
      <w:r w:rsidR="00877A28" w:rsidRPr="00816E15">
        <w:rPr>
          <w:rFonts w:cs="Times New Roman"/>
          <w:szCs w:val="24"/>
        </w:rPr>
        <w:t xml:space="preserve">Kodeksu pracy, </w:t>
      </w:r>
      <w:r w:rsidR="0085305A" w:rsidRPr="00816E15">
        <w:rPr>
          <w:rFonts w:cs="Times New Roman"/>
          <w:szCs w:val="24"/>
        </w:rPr>
        <w:t>pracownik</w:t>
      </w:r>
      <w:r w:rsidR="00877A28" w:rsidRPr="00816E15">
        <w:rPr>
          <w:rFonts w:cs="Times New Roman"/>
          <w:szCs w:val="24"/>
        </w:rPr>
        <w:t>,</w:t>
      </w:r>
      <w:r w:rsidR="00816E15">
        <w:rPr>
          <w:rFonts w:cs="Times New Roman"/>
          <w:szCs w:val="24"/>
        </w:rPr>
        <w:t xml:space="preserve"> </w:t>
      </w:r>
      <w:r w:rsidR="0085305A" w:rsidRPr="00816E15">
        <w:rPr>
          <w:rFonts w:cs="Times New Roman"/>
          <w:szCs w:val="24"/>
        </w:rPr>
        <w:t>w terminie 2 miesięcy od przejścia zakładu pracy, może</w:t>
      </w:r>
      <w:r w:rsidR="00877A28" w:rsidRPr="00816E15">
        <w:rPr>
          <w:rFonts w:cs="Times New Roman"/>
          <w:szCs w:val="24"/>
        </w:rPr>
        <w:t>,</w:t>
      </w:r>
      <w:r w:rsidR="0085305A" w:rsidRPr="00816E15">
        <w:rPr>
          <w:rFonts w:cs="Times New Roman"/>
          <w:szCs w:val="24"/>
        </w:rPr>
        <w:t xml:space="preserve"> bez wypowiedzenia, za siedmiodniowym uprzedzeniem, rozwiązać stosunek pracy. </w:t>
      </w:r>
    </w:p>
    <w:p w14:paraId="549C7F8B" w14:textId="10AE9E1A" w:rsidR="00387361" w:rsidRPr="00816E15" w:rsidRDefault="009A2DF2" w:rsidP="00CF5AAF">
      <w:pPr>
        <w:spacing w:line="360" w:lineRule="auto"/>
        <w:jc w:val="both"/>
        <w:rPr>
          <w:rFonts w:cs="Times New Roman"/>
          <w:szCs w:val="24"/>
        </w:rPr>
      </w:pPr>
      <w:r w:rsidRPr="00816E15">
        <w:rPr>
          <w:rFonts w:cs="Times New Roman"/>
          <w:szCs w:val="24"/>
        </w:rPr>
        <w:t xml:space="preserve">Zaproponowany </w:t>
      </w:r>
      <w:r w:rsidR="0070795E">
        <w:rPr>
          <w:rFonts w:cs="Times New Roman"/>
          <w:b/>
          <w:szCs w:val="24"/>
        </w:rPr>
        <w:t>art. 124 ust. 3</w:t>
      </w:r>
      <w:r w:rsidR="009578D2" w:rsidRPr="00816E15">
        <w:rPr>
          <w:rFonts w:cs="Times New Roman"/>
          <w:b/>
          <w:szCs w:val="24"/>
        </w:rPr>
        <w:t xml:space="preserve"> </w:t>
      </w:r>
      <w:r w:rsidR="009578D2" w:rsidRPr="00816E15">
        <w:rPr>
          <w:rFonts w:cs="Times New Roman"/>
          <w:szCs w:val="24"/>
        </w:rPr>
        <w:t>nie zawiera nowych regulacji i jest powtórzeniem dotychczasowego brzmienia art. 124 ust. 2 ustawy, który stanowi</w:t>
      </w:r>
      <w:r w:rsidR="0032441F" w:rsidRPr="00816E15">
        <w:rPr>
          <w:rFonts w:cs="Times New Roman"/>
          <w:szCs w:val="24"/>
        </w:rPr>
        <w:t>,</w:t>
      </w:r>
      <w:r w:rsidR="009578D2" w:rsidRPr="00816E15">
        <w:rPr>
          <w:rFonts w:cs="Times New Roman"/>
          <w:szCs w:val="24"/>
        </w:rPr>
        <w:t xml:space="preserve"> że w przypadku wszczęcia przymusowej restrukturyzacji podmiot w restrukturyzacji będzie mógł skorzystać z ułatwień, o których mowa w art. 41</w:t>
      </w:r>
      <w:r w:rsidR="009578D2" w:rsidRPr="00816E15">
        <w:rPr>
          <w:rFonts w:cs="Times New Roman"/>
          <w:szCs w:val="24"/>
          <w:vertAlign w:val="superscript"/>
        </w:rPr>
        <w:t>1</w:t>
      </w:r>
      <w:r w:rsidR="009578D2" w:rsidRPr="00816E15">
        <w:rPr>
          <w:rFonts w:cs="Times New Roman"/>
          <w:szCs w:val="24"/>
        </w:rPr>
        <w:t> Kodeksu pracy w zakresie wypowiadania i rozwiązywania umów o</w:t>
      </w:r>
      <w:r w:rsidR="003A233F" w:rsidRPr="00816E15">
        <w:rPr>
          <w:rFonts w:cs="Times New Roman"/>
          <w:szCs w:val="24"/>
        </w:rPr>
        <w:t> </w:t>
      </w:r>
      <w:r w:rsidR="009578D2" w:rsidRPr="00816E15">
        <w:rPr>
          <w:rFonts w:cs="Times New Roman"/>
          <w:szCs w:val="24"/>
        </w:rPr>
        <w:t>pracę, polegających na zniesieniu szczególnej ochrony stosunku pracy przewidzianej zarówno w przepisach Kodeksu pracy</w:t>
      </w:r>
      <w:r w:rsidR="002F3F55">
        <w:rPr>
          <w:rFonts w:cs="Times New Roman"/>
          <w:szCs w:val="24"/>
        </w:rPr>
        <w:t>,</w:t>
      </w:r>
      <w:r w:rsidR="009578D2" w:rsidRPr="00816E15">
        <w:rPr>
          <w:rFonts w:cs="Times New Roman"/>
          <w:szCs w:val="24"/>
        </w:rPr>
        <w:t xml:space="preserve"> jak i w przepisach szczególnych.</w:t>
      </w:r>
      <w:r w:rsidR="00513D31" w:rsidRPr="00816E15">
        <w:rPr>
          <w:rFonts w:cs="Times New Roman"/>
          <w:szCs w:val="24"/>
        </w:rPr>
        <w:t xml:space="preserve"> Zmiana ma charakter legislacyjny – przesunięcie dotychczasowego ust. 2 do ust. </w:t>
      </w:r>
      <w:r w:rsidR="009445A1">
        <w:rPr>
          <w:rFonts w:cs="Times New Roman"/>
          <w:szCs w:val="24"/>
        </w:rPr>
        <w:t>3</w:t>
      </w:r>
      <w:r w:rsidR="00513D31" w:rsidRPr="00816E15">
        <w:rPr>
          <w:rFonts w:cs="Times New Roman"/>
          <w:szCs w:val="24"/>
        </w:rPr>
        <w:t>.</w:t>
      </w:r>
    </w:p>
    <w:p w14:paraId="4D8EB1F1" w14:textId="58AFEAC8" w:rsidR="00A74D90" w:rsidRPr="00816E15" w:rsidRDefault="00387361" w:rsidP="00CF5AAF">
      <w:pPr>
        <w:spacing w:line="360" w:lineRule="auto"/>
        <w:jc w:val="both"/>
        <w:rPr>
          <w:rFonts w:cs="Times New Roman"/>
          <w:szCs w:val="24"/>
        </w:rPr>
      </w:pPr>
      <w:r w:rsidRPr="00816E15">
        <w:rPr>
          <w:rFonts w:cs="Times New Roman"/>
          <w:szCs w:val="24"/>
        </w:rPr>
        <w:t xml:space="preserve">Proponowana zmiana </w:t>
      </w:r>
      <w:r w:rsidR="00942A43" w:rsidRPr="00816E15">
        <w:rPr>
          <w:rFonts w:cs="Times New Roman"/>
          <w:szCs w:val="24"/>
        </w:rPr>
        <w:t>jest zgodna</w:t>
      </w:r>
      <w:r w:rsidRPr="00816E15">
        <w:rPr>
          <w:rFonts w:cs="Times New Roman"/>
          <w:szCs w:val="24"/>
        </w:rPr>
        <w:t xml:space="preserve"> z przepisami dyrektywy Rady 2001/23/WE z dnia 12 marca 2001 r. w sprawie zbliżania ustawodawstw Państw Członkowskich odnoszących się do</w:t>
      </w:r>
      <w:r w:rsidR="003A233F" w:rsidRPr="00816E15">
        <w:rPr>
          <w:rFonts w:cs="Times New Roman"/>
          <w:szCs w:val="24"/>
        </w:rPr>
        <w:t> </w:t>
      </w:r>
      <w:r w:rsidRPr="00816E15">
        <w:rPr>
          <w:rFonts w:cs="Times New Roman"/>
          <w:szCs w:val="24"/>
        </w:rPr>
        <w:t>ochrony praw pracowniczych w przypadku przejęcia przedsiębiorstw, zakładów lub części przedsiębiorstw lub zakładów (Dz. Urz. UE L 82 z 22.</w:t>
      </w:r>
      <w:r w:rsidR="006E576F" w:rsidRPr="00816E15">
        <w:rPr>
          <w:rFonts w:cs="Times New Roman"/>
          <w:szCs w:val="24"/>
        </w:rPr>
        <w:t>0</w:t>
      </w:r>
      <w:r w:rsidRPr="00816E15">
        <w:rPr>
          <w:rFonts w:cs="Times New Roman"/>
          <w:szCs w:val="24"/>
        </w:rPr>
        <w:t xml:space="preserve">3.2001, str. 16), </w:t>
      </w:r>
      <w:r w:rsidR="00373779" w:rsidRPr="00816E15">
        <w:rPr>
          <w:rFonts w:cs="Times New Roman"/>
          <w:szCs w:val="24"/>
        </w:rPr>
        <w:t xml:space="preserve">ponieważ </w:t>
      </w:r>
      <w:r w:rsidR="00816E15">
        <w:rPr>
          <w:rFonts w:cs="Times New Roman"/>
          <w:szCs w:val="24"/>
        </w:rPr>
        <w:t>art. 7 ust. </w:t>
      </w:r>
      <w:r w:rsidRPr="00816E15">
        <w:rPr>
          <w:rFonts w:cs="Times New Roman"/>
          <w:szCs w:val="24"/>
        </w:rPr>
        <w:t xml:space="preserve">1 </w:t>
      </w:r>
      <w:r w:rsidR="000238E0" w:rsidRPr="00816E15">
        <w:rPr>
          <w:rFonts w:cs="Times New Roman"/>
          <w:szCs w:val="24"/>
        </w:rPr>
        <w:t xml:space="preserve">tej </w:t>
      </w:r>
      <w:r w:rsidRPr="00816E15">
        <w:rPr>
          <w:rFonts w:cs="Times New Roman"/>
          <w:szCs w:val="24"/>
        </w:rPr>
        <w:t xml:space="preserve">dyrektywy przewiduje jedynie obowiązek poinformowania przedstawicieli pracowników o przejęciu, przez zbywającego </w:t>
      </w:r>
      <w:r w:rsidR="0032441F" w:rsidRPr="00816E15">
        <w:rPr>
          <w:rFonts w:cs="Times New Roman"/>
          <w:szCs w:val="24"/>
        </w:rPr>
        <w:t xml:space="preserve">– </w:t>
      </w:r>
      <w:r w:rsidRPr="00816E15">
        <w:rPr>
          <w:rFonts w:cs="Times New Roman"/>
          <w:szCs w:val="24"/>
        </w:rPr>
        <w:t>we właściwym czasie, przed przejęciem, a przez przejmującego – we właściwym czasie, ale w każdym przypadku, zanim jego pracownicy bezpośrednio odczują skutki przejęcia w warunkach pracy i zatrudnienia</w:t>
      </w:r>
      <w:r w:rsidRPr="00816E15">
        <w:rPr>
          <w:rStyle w:val="Odwoanieprzypisudolnego"/>
          <w:rFonts w:cs="Times New Roman"/>
          <w:szCs w:val="24"/>
        </w:rPr>
        <w:footnoteReference w:id="1"/>
      </w:r>
      <w:r w:rsidR="002F3F55" w:rsidRPr="002F3F55">
        <w:rPr>
          <w:rFonts w:cs="Times New Roman"/>
          <w:szCs w:val="24"/>
          <w:vertAlign w:val="superscript"/>
        </w:rPr>
        <w:t>)</w:t>
      </w:r>
      <w:r w:rsidRPr="00816E15">
        <w:rPr>
          <w:rFonts w:cs="Times New Roman"/>
          <w:szCs w:val="24"/>
        </w:rPr>
        <w:t>.</w:t>
      </w:r>
    </w:p>
    <w:p w14:paraId="66EBE3A8" w14:textId="74B4D72E" w:rsidR="0077469C" w:rsidRPr="00816E15" w:rsidRDefault="0077469C" w:rsidP="00CF5AAF">
      <w:pPr>
        <w:spacing w:line="360" w:lineRule="auto"/>
        <w:jc w:val="both"/>
        <w:rPr>
          <w:rFonts w:cs="Times New Roman"/>
          <w:szCs w:val="24"/>
        </w:rPr>
      </w:pPr>
      <w:r w:rsidRPr="00816E15">
        <w:rPr>
          <w:szCs w:val="24"/>
        </w:rPr>
        <w:t xml:space="preserve">Zmiana w </w:t>
      </w:r>
      <w:r w:rsidRPr="00816E15">
        <w:rPr>
          <w:b/>
          <w:szCs w:val="24"/>
        </w:rPr>
        <w:t>art. 125</w:t>
      </w:r>
      <w:r w:rsidRPr="00816E15">
        <w:rPr>
          <w:szCs w:val="24"/>
        </w:rPr>
        <w:t xml:space="preserve"> ma na celu doprecyzowanie ochrony praw pracowniczych</w:t>
      </w:r>
      <w:r w:rsidR="002F3F55">
        <w:rPr>
          <w:szCs w:val="24"/>
        </w:rPr>
        <w:t>,</w:t>
      </w:r>
      <w:r w:rsidRPr="00816E15">
        <w:rPr>
          <w:szCs w:val="24"/>
        </w:rPr>
        <w:t xml:space="preserve"> w </w:t>
      </w:r>
      <w:r w:rsidR="000238E0" w:rsidRPr="00816E15">
        <w:rPr>
          <w:szCs w:val="24"/>
        </w:rPr>
        <w:t>przypadku</w:t>
      </w:r>
      <w:r w:rsidR="00816E15">
        <w:rPr>
          <w:szCs w:val="24"/>
        </w:rPr>
        <w:t xml:space="preserve"> </w:t>
      </w:r>
      <w:r w:rsidRPr="00816E15">
        <w:rPr>
          <w:szCs w:val="24"/>
        </w:rPr>
        <w:t xml:space="preserve">gdy członkiem zarządu lub rady nadzorczej jest przedstawiciel pracowników. Bezpośrednia reprezentacja praw pracowniczych na najwyższym </w:t>
      </w:r>
      <w:r w:rsidR="000238E0" w:rsidRPr="00816E15">
        <w:rPr>
          <w:szCs w:val="24"/>
        </w:rPr>
        <w:t xml:space="preserve">stopniu </w:t>
      </w:r>
      <w:r w:rsidRPr="00816E15">
        <w:rPr>
          <w:szCs w:val="24"/>
        </w:rPr>
        <w:t>decyzyjn</w:t>
      </w:r>
      <w:r w:rsidR="000238E0" w:rsidRPr="00816E15">
        <w:rPr>
          <w:szCs w:val="24"/>
        </w:rPr>
        <w:t xml:space="preserve">ym </w:t>
      </w:r>
      <w:r w:rsidRPr="00816E15">
        <w:rPr>
          <w:szCs w:val="24"/>
        </w:rPr>
        <w:t xml:space="preserve">może przyczynić się do usprawnienia procesu konsultacji przymusowej restrukturyzacji. </w:t>
      </w:r>
      <w:r w:rsidR="00CC32E1" w:rsidRPr="00816E15">
        <w:rPr>
          <w:szCs w:val="24"/>
        </w:rPr>
        <w:t xml:space="preserve">Jednocześnie </w:t>
      </w:r>
      <w:r w:rsidR="000238E0" w:rsidRPr="00816E15">
        <w:rPr>
          <w:szCs w:val="24"/>
        </w:rPr>
        <w:t xml:space="preserve">przewidziano </w:t>
      </w:r>
      <w:r w:rsidR="00CC32E1" w:rsidRPr="00816E15">
        <w:rPr>
          <w:szCs w:val="24"/>
        </w:rPr>
        <w:t xml:space="preserve">możliwość poinformowania pracowników przez Fundusz o działaniach podmiotu w ramach restrukturyzacji – </w:t>
      </w:r>
      <w:r w:rsidR="000238E0" w:rsidRPr="00816E15">
        <w:rPr>
          <w:szCs w:val="24"/>
        </w:rPr>
        <w:t xml:space="preserve">może to </w:t>
      </w:r>
      <w:r w:rsidR="00CC32E1" w:rsidRPr="00816E15">
        <w:rPr>
          <w:szCs w:val="24"/>
        </w:rPr>
        <w:t xml:space="preserve">przygotować pracowników na sytuację konieczności przejścia zakładu pracy. </w:t>
      </w:r>
      <w:r w:rsidRPr="00816E15">
        <w:rPr>
          <w:szCs w:val="24"/>
        </w:rPr>
        <w:t>Poprawka stanowi implementację art. 34 ust. 6 dyrektywy BRR.</w:t>
      </w:r>
    </w:p>
    <w:p w14:paraId="134CD136" w14:textId="451F52A9" w:rsidR="00387361" w:rsidRPr="00816E15" w:rsidRDefault="00A74D90" w:rsidP="00CF5AAF">
      <w:pPr>
        <w:spacing w:line="360" w:lineRule="auto"/>
        <w:jc w:val="both"/>
        <w:rPr>
          <w:w w:val="105"/>
          <w:szCs w:val="24"/>
        </w:rPr>
      </w:pPr>
      <w:r w:rsidRPr="00816E15">
        <w:rPr>
          <w:rFonts w:cs="Times New Roman"/>
          <w:szCs w:val="24"/>
        </w:rPr>
        <w:t xml:space="preserve">Zmiana w </w:t>
      </w:r>
      <w:r w:rsidRPr="00816E15">
        <w:rPr>
          <w:rFonts w:cs="Times New Roman"/>
          <w:b/>
          <w:szCs w:val="24"/>
        </w:rPr>
        <w:t xml:space="preserve">art. 129 </w:t>
      </w:r>
      <w:r w:rsidRPr="00816E15">
        <w:rPr>
          <w:rFonts w:cs="Times New Roman"/>
          <w:szCs w:val="24"/>
        </w:rPr>
        <w:t xml:space="preserve">ma na celu wyeliminowanie wątpliwości interpretacyjnych </w:t>
      </w:r>
      <w:r w:rsidR="00373779" w:rsidRPr="00816E15">
        <w:rPr>
          <w:rFonts w:cs="Times New Roman"/>
          <w:szCs w:val="24"/>
        </w:rPr>
        <w:t xml:space="preserve">przez </w:t>
      </w:r>
      <w:r w:rsidRPr="00816E15">
        <w:rPr>
          <w:rFonts w:cs="Times New Roman"/>
          <w:szCs w:val="24"/>
        </w:rPr>
        <w:t>wyposażeni</w:t>
      </w:r>
      <w:r w:rsidR="00373779" w:rsidRPr="00816E15">
        <w:rPr>
          <w:rFonts w:cs="Times New Roman"/>
          <w:szCs w:val="24"/>
        </w:rPr>
        <w:t>e</w:t>
      </w:r>
      <w:r w:rsidRPr="00816E15">
        <w:rPr>
          <w:rFonts w:cs="Times New Roman"/>
          <w:szCs w:val="24"/>
        </w:rPr>
        <w:t xml:space="preserve"> Fundusz</w:t>
      </w:r>
      <w:r w:rsidR="00373779" w:rsidRPr="00816E15">
        <w:rPr>
          <w:rFonts w:cs="Times New Roman"/>
          <w:szCs w:val="24"/>
        </w:rPr>
        <w:t>u</w:t>
      </w:r>
      <w:r w:rsidRPr="00816E15">
        <w:rPr>
          <w:rFonts w:cs="Times New Roman"/>
          <w:szCs w:val="24"/>
        </w:rPr>
        <w:t xml:space="preserve"> w kompetencje do </w:t>
      </w:r>
      <w:r w:rsidRPr="00816E15">
        <w:rPr>
          <w:w w:val="105"/>
          <w:szCs w:val="24"/>
        </w:rPr>
        <w:t xml:space="preserve">uczestnictwa w kolegiach przymusowej restrukturyzacji utworzonych przez właściwe organy przymusowej restrukturyzacji dla grupy, do której należy istotny oddział działający na terytorium RP. </w:t>
      </w:r>
    </w:p>
    <w:p w14:paraId="72712A2D" w14:textId="15F4158D" w:rsidR="0023243C" w:rsidRPr="00816E15" w:rsidRDefault="00704996" w:rsidP="00CF5AAF">
      <w:pPr>
        <w:spacing w:line="360" w:lineRule="auto"/>
        <w:jc w:val="both"/>
        <w:rPr>
          <w:rFonts w:cs="Times New Roman"/>
          <w:szCs w:val="24"/>
        </w:rPr>
      </w:pPr>
      <w:r w:rsidRPr="00816E15">
        <w:rPr>
          <w:rFonts w:cs="Times New Roman"/>
          <w:szCs w:val="24"/>
        </w:rPr>
        <w:t xml:space="preserve">Dodanie w </w:t>
      </w:r>
      <w:r w:rsidRPr="00816E15">
        <w:rPr>
          <w:rFonts w:cs="Times New Roman"/>
          <w:b/>
          <w:szCs w:val="24"/>
        </w:rPr>
        <w:t xml:space="preserve">art. 134 ust. 5a </w:t>
      </w:r>
      <w:r w:rsidRPr="00816E15">
        <w:rPr>
          <w:rFonts w:cs="Times New Roman"/>
          <w:szCs w:val="24"/>
        </w:rPr>
        <w:t>zapewni uzgodnieni</w:t>
      </w:r>
      <w:r w:rsidR="00905C23" w:rsidRPr="00816E15">
        <w:rPr>
          <w:rFonts w:cs="Times New Roman"/>
          <w:szCs w:val="24"/>
        </w:rPr>
        <w:t>e</w:t>
      </w:r>
      <w:r w:rsidRPr="00816E15">
        <w:rPr>
          <w:rFonts w:cs="Times New Roman"/>
          <w:szCs w:val="24"/>
        </w:rPr>
        <w:t xml:space="preserve"> schematu przymusowej restrukturyzacji w ramach restrukturyzacji grup w przypadku gdy właściwy organ przymusowej restrukturyzacji nie wyraził zgody</w:t>
      </w:r>
      <w:r w:rsidR="00D77785" w:rsidRPr="00816E15">
        <w:rPr>
          <w:rFonts w:cs="Times New Roman"/>
          <w:szCs w:val="24"/>
        </w:rPr>
        <w:t xml:space="preserve"> w zakresie przyjęcia schematu </w:t>
      </w:r>
      <w:r w:rsidR="005C31F2" w:rsidRPr="00816E15">
        <w:rPr>
          <w:rFonts w:cs="Times New Roman"/>
          <w:szCs w:val="24"/>
        </w:rPr>
        <w:t>przymusowej</w:t>
      </w:r>
      <w:r w:rsidR="00D77785" w:rsidRPr="00816E15">
        <w:rPr>
          <w:rFonts w:cs="Times New Roman"/>
          <w:szCs w:val="24"/>
        </w:rPr>
        <w:t xml:space="preserve"> restrukturyzacji</w:t>
      </w:r>
      <w:r w:rsidR="009445A1">
        <w:rPr>
          <w:rFonts w:cs="Times New Roman"/>
          <w:szCs w:val="24"/>
        </w:rPr>
        <w:t>.</w:t>
      </w:r>
      <w:r w:rsidR="00D77785" w:rsidRPr="00816E15">
        <w:rPr>
          <w:rFonts w:cs="Times New Roman"/>
          <w:szCs w:val="24"/>
        </w:rPr>
        <w:t xml:space="preserve"> </w:t>
      </w:r>
      <w:r w:rsidRPr="00816E15">
        <w:rPr>
          <w:rFonts w:cs="Times New Roman"/>
          <w:szCs w:val="24"/>
        </w:rPr>
        <w:t xml:space="preserve">Fundusz wraz z pozostałym organami przymusowej restrukturyzacji będzie mógł przyjąć </w:t>
      </w:r>
      <w:r w:rsidR="00905C23" w:rsidRPr="00816E15">
        <w:rPr>
          <w:rFonts w:cs="Times New Roman"/>
          <w:szCs w:val="24"/>
        </w:rPr>
        <w:t xml:space="preserve">taki </w:t>
      </w:r>
      <w:r w:rsidRPr="00816E15">
        <w:rPr>
          <w:rFonts w:cs="Times New Roman"/>
          <w:szCs w:val="24"/>
        </w:rPr>
        <w:t>schemat w formie wspólnej decyzji</w:t>
      </w:r>
      <w:r w:rsidR="005E5B3C" w:rsidRPr="00816E15">
        <w:rPr>
          <w:rFonts w:cs="Times New Roman"/>
          <w:szCs w:val="24"/>
        </w:rPr>
        <w:t xml:space="preserve">, </w:t>
      </w:r>
      <w:r w:rsidR="00905C23" w:rsidRPr="00816E15">
        <w:rPr>
          <w:rFonts w:cs="Times New Roman"/>
          <w:szCs w:val="24"/>
        </w:rPr>
        <w:t xml:space="preserve">w </w:t>
      </w:r>
      <w:r w:rsidR="005E5B3C" w:rsidRPr="00816E15">
        <w:rPr>
          <w:rFonts w:cs="Times New Roman"/>
          <w:szCs w:val="24"/>
        </w:rPr>
        <w:t>cel</w:t>
      </w:r>
      <w:r w:rsidR="00905C23" w:rsidRPr="00816E15">
        <w:rPr>
          <w:rFonts w:cs="Times New Roman"/>
          <w:szCs w:val="24"/>
        </w:rPr>
        <w:t xml:space="preserve">u zapewnienia </w:t>
      </w:r>
      <w:r w:rsidR="005E5B3C" w:rsidRPr="00816E15">
        <w:rPr>
          <w:rFonts w:cs="Times New Roman"/>
          <w:szCs w:val="24"/>
        </w:rPr>
        <w:t>właściwego postępowania wobec podmiotu krajowego</w:t>
      </w:r>
      <w:r w:rsidRPr="00816E15">
        <w:rPr>
          <w:rFonts w:cs="Times New Roman"/>
          <w:szCs w:val="24"/>
        </w:rPr>
        <w:t xml:space="preserve">. Zmiana uzupełnia brzmienie art. 134 ust. 5a doprecyzowując wyjątkowy przypadek nieuzgodnienia planu przymusowej restrukturyzacji. Wprowadzenie odstępstwa od pełnego konsensu umożliwia dalsze procedowanie, zapewniając że schemat zostanie przyjęty w </w:t>
      </w:r>
      <w:r w:rsidR="005E5B3C" w:rsidRPr="00816E15">
        <w:rPr>
          <w:rFonts w:cs="Times New Roman"/>
          <w:szCs w:val="24"/>
        </w:rPr>
        <w:t xml:space="preserve">uzgodnieniu </w:t>
      </w:r>
      <w:r w:rsidRPr="00816E15">
        <w:rPr>
          <w:rFonts w:cs="Times New Roman"/>
          <w:szCs w:val="24"/>
        </w:rPr>
        <w:t xml:space="preserve">z </w:t>
      </w:r>
      <w:r w:rsidR="005E5B3C" w:rsidRPr="00816E15">
        <w:rPr>
          <w:rFonts w:cs="Times New Roman"/>
          <w:szCs w:val="24"/>
        </w:rPr>
        <w:t>pozostałymi podmiotami. W art. 134 ust. 6 przewidziano postępowanie zgodne z art. 133 ust. 10 i 11 również w przypadku braku uzgodnienia</w:t>
      </w:r>
      <w:r w:rsidR="00D77785" w:rsidRPr="00816E15">
        <w:rPr>
          <w:rFonts w:cs="Times New Roman"/>
          <w:szCs w:val="24"/>
        </w:rPr>
        <w:t xml:space="preserve"> schematu przymusowej restrukturyzacji,</w:t>
      </w:r>
      <w:r w:rsidR="005E5B3C" w:rsidRPr="00816E15">
        <w:rPr>
          <w:rFonts w:cs="Times New Roman"/>
          <w:szCs w:val="24"/>
        </w:rPr>
        <w:t xml:space="preserve"> zgodnie z procedurą awaryjną</w:t>
      </w:r>
      <w:r w:rsidR="00905C23" w:rsidRPr="00816E15">
        <w:rPr>
          <w:rFonts w:cs="Times New Roman"/>
          <w:szCs w:val="24"/>
        </w:rPr>
        <w:t xml:space="preserve">, o której mowa w </w:t>
      </w:r>
      <w:r w:rsidR="005E5B3C" w:rsidRPr="00816E15">
        <w:rPr>
          <w:rFonts w:cs="Times New Roman"/>
          <w:szCs w:val="24"/>
        </w:rPr>
        <w:t>art. 134 ust. 5a.</w:t>
      </w:r>
    </w:p>
    <w:p w14:paraId="3B7070ED" w14:textId="05D1C2FB" w:rsidR="005D2D32" w:rsidRPr="00816E15" w:rsidRDefault="009F0C31" w:rsidP="00CF5AAF">
      <w:pPr>
        <w:pStyle w:val="Tekstpodstawowy3"/>
        <w:shd w:val="clear" w:color="auto" w:fill="auto"/>
        <w:spacing w:before="240" w:after="60" w:line="360" w:lineRule="auto"/>
        <w:ind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Zmiana </w:t>
      </w:r>
      <w:r w:rsidR="005D2D32" w:rsidRPr="00816E15">
        <w:rPr>
          <w:rFonts w:ascii="Times New Roman" w:hAnsi="Times New Roman" w:cs="Times New Roman"/>
          <w:b/>
          <w:sz w:val="24"/>
          <w:szCs w:val="24"/>
        </w:rPr>
        <w:t>art. 141</w:t>
      </w:r>
      <w:r w:rsidR="005D2D32" w:rsidRPr="00816E15">
        <w:rPr>
          <w:rFonts w:ascii="Times New Roman" w:hAnsi="Times New Roman" w:cs="Times New Roman"/>
          <w:sz w:val="24"/>
          <w:szCs w:val="24"/>
        </w:rPr>
        <w:t xml:space="preserve"> </w:t>
      </w:r>
      <w:r w:rsidR="004F114E" w:rsidRPr="00816E15">
        <w:rPr>
          <w:rFonts w:ascii="Times New Roman" w:hAnsi="Times New Roman" w:cs="Times New Roman"/>
          <w:sz w:val="24"/>
          <w:szCs w:val="24"/>
        </w:rPr>
        <w:t xml:space="preserve">polega na </w:t>
      </w:r>
      <w:r w:rsidR="005D2D32" w:rsidRPr="00816E15">
        <w:rPr>
          <w:rFonts w:ascii="Times New Roman" w:hAnsi="Times New Roman" w:cs="Times New Roman"/>
          <w:sz w:val="24"/>
          <w:szCs w:val="24"/>
        </w:rPr>
        <w:t>doprecyzow</w:t>
      </w:r>
      <w:r w:rsidR="004F114E" w:rsidRPr="00816E15">
        <w:rPr>
          <w:rFonts w:ascii="Times New Roman" w:hAnsi="Times New Roman" w:cs="Times New Roman"/>
          <w:sz w:val="24"/>
          <w:szCs w:val="24"/>
        </w:rPr>
        <w:t>aniu</w:t>
      </w:r>
      <w:r w:rsidR="00362014" w:rsidRPr="00816E15">
        <w:rPr>
          <w:rFonts w:ascii="Times New Roman" w:hAnsi="Times New Roman" w:cs="Times New Roman"/>
          <w:sz w:val="24"/>
          <w:szCs w:val="24"/>
        </w:rPr>
        <w:t xml:space="preserve"> terminu, na </w:t>
      </w:r>
      <w:r w:rsidR="00373779" w:rsidRPr="00816E15">
        <w:rPr>
          <w:rFonts w:ascii="Times New Roman" w:hAnsi="Times New Roman" w:cs="Times New Roman"/>
          <w:sz w:val="24"/>
          <w:szCs w:val="24"/>
        </w:rPr>
        <w:t xml:space="preserve">który </w:t>
      </w:r>
      <w:r w:rsidR="00362014" w:rsidRPr="00816E15">
        <w:rPr>
          <w:rFonts w:ascii="Times New Roman" w:hAnsi="Times New Roman" w:cs="Times New Roman"/>
          <w:sz w:val="24"/>
          <w:szCs w:val="24"/>
        </w:rPr>
        <w:t>możliwe jest zamknięcie ksiąg rachunkowych podmiotu w restrukturyzacji, statusu sprawozdania finansowego tego podmiotu sporządzonego na dzień zamknięcia ksiąg rachunkowych oraz możliwości podziału zysków lub pokrywania strat ujętych w tym sprawozdaniu finansowym.</w:t>
      </w:r>
      <w:r w:rsidR="00816E15">
        <w:rPr>
          <w:rFonts w:ascii="Times New Roman" w:hAnsi="Times New Roman" w:cs="Times New Roman"/>
          <w:sz w:val="24"/>
          <w:szCs w:val="24"/>
        </w:rPr>
        <w:t xml:space="preserve"> </w:t>
      </w:r>
      <w:r w:rsidR="005D2D32" w:rsidRPr="00816E15">
        <w:rPr>
          <w:rFonts w:ascii="Times New Roman" w:hAnsi="Times New Roman" w:cs="Times New Roman"/>
          <w:sz w:val="24"/>
          <w:szCs w:val="24"/>
        </w:rPr>
        <w:t>Fundusz może dokonać takiego zamknięcia na wybrany dzień, w tym również na dzień poprzedzający dzień wszczęcia przymusowej restrukturyzacji, co nie wynikało wprost z obowiązującego dotychczas przepisu art. 141.</w:t>
      </w:r>
    </w:p>
    <w:p w14:paraId="5AADDE97" w14:textId="02BED911" w:rsidR="00F9534D" w:rsidRPr="00816E15" w:rsidRDefault="002807DA" w:rsidP="00CF5AAF">
      <w:pPr>
        <w:pStyle w:val="Tekstpodstawowy3"/>
        <w:shd w:val="clear" w:color="auto" w:fill="auto"/>
        <w:spacing w:before="240" w:after="60" w:line="360" w:lineRule="auto"/>
        <w:ind w:left="40"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Dodanie w </w:t>
      </w:r>
      <w:r w:rsidRPr="00816E15">
        <w:rPr>
          <w:rFonts w:ascii="Times New Roman" w:hAnsi="Times New Roman" w:cs="Times New Roman"/>
          <w:b/>
          <w:sz w:val="24"/>
          <w:szCs w:val="24"/>
        </w:rPr>
        <w:t>art. 153 ust. 1a</w:t>
      </w:r>
      <w:r w:rsidR="00F9534D" w:rsidRPr="00816E15">
        <w:rPr>
          <w:rFonts w:ascii="Times New Roman" w:hAnsi="Times New Roman" w:cs="Times New Roman"/>
          <w:sz w:val="24"/>
          <w:szCs w:val="24"/>
        </w:rPr>
        <w:t xml:space="preserve"> stanowi uzupełnienie art. 153 ust. 1 w zw. z art. 154 </w:t>
      </w:r>
      <w:r w:rsidR="00905C23" w:rsidRPr="00816E15">
        <w:rPr>
          <w:rFonts w:ascii="Times New Roman" w:hAnsi="Times New Roman" w:cs="Times New Roman"/>
          <w:sz w:val="24"/>
          <w:szCs w:val="24"/>
        </w:rPr>
        <w:t xml:space="preserve">przez </w:t>
      </w:r>
      <w:r w:rsidR="00F9534D" w:rsidRPr="00816E15">
        <w:rPr>
          <w:rFonts w:ascii="Times New Roman" w:hAnsi="Times New Roman" w:cs="Times New Roman"/>
          <w:sz w:val="24"/>
          <w:szCs w:val="24"/>
        </w:rPr>
        <w:t>sformułowani</w:t>
      </w:r>
      <w:r w:rsidR="00905C23" w:rsidRPr="00816E15">
        <w:rPr>
          <w:rFonts w:ascii="Times New Roman" w:hAnsi="Times New Roman" w:cs="Times New Roman"/>
          <w:sz w:val="24"/>
          <w:szCs w:val="24"/>
        </w:rPr>
        <w:t xml:space="preserve">e </w:t>
      </w:r>
      <w:r w:rsidR="00F9534D" w:rsidRPr="00816E15">
        <w:rPr>
          <w:rFonts w:ascii="Times New Roman" w:hAnsi="Times New Roman" w:cs="Times New Roman"/>
          <w:sz w:val="24"/>
          <w:szCs w:val="24"/>
        </w:rPr>
        <w:t xml:space="preserve">dyrektyw interpretacyjnych </w:t>
      </w:r>
      <w:r w:rsidR="00DA256E" w:rsidRPr="00816E15">
        <w:rPr>
          <w:rFonts w:ascii="Times New Roman" w:hAnsi="Times New Roman" w:cs="Times New Roman"/>
          <w:sz w:val="24"/>
          <w:szCs w:val="24"/>
        </w:rPr>
        <w:t xml:space="preserve">odnośnie do </w:t>
      </w:r>
      <w:r w:rsidR="00F9534D" w:rsidRPr="00816E15">
        <w:rPr>
          <w:rFonts w:ascii="Times New Roman" w:hAnsi="Times New Roman" w:cs="Times New Roman"/>
          <w:sz w:val="24"/>
          <w:szCs w:val="24"/>
        </w:rPr>
        <w:t>kompetencji i pośrednio miary należytej staranności osoby, której powierza się funkcj</w:t>
      </w:r>
      <w:r w:rsidR="00905C23" w:rsidRPr="00816E15">
        <w:rPr>
          <w:rFonts w:ascii="Times New Roman" w:hAnsi="Times New Roman" w:cs="Times New Roman"/>
          <w:sz w:val="24"/>
          <w:szCs w:val="24"/>
        </w:rPr>
        <w:t>ę</w:t>
      </w:r>
      <w:r w:rsidR="00F9534D" w:rsidRPr="00816E15">
        <w:rPr>
          <w:rFonts w:ascii="Times New Roman" w:hAnsi="Times New Roman" w:cs="Times New Roman"/>
          <w:sz w:val="24"/>
          <w:szCs w:val="24"/>
        </w:rPr>
        <w:t xml:space="preserve"> administratora podmiotu w restrukturyzacji. Powinna ona posiadać niezbędne kwalifikacj</w:t>
      </w:r>
      <w:r w:rsidR="00BB171C" w:rsidRPr="00816E15">
        <w:rPr>
          <w:rFonts w:ascii="Times New Roman" w:hAnsi="Times New Roman" w:cs="Times New Roman"/>
          <w:sz w:val="24"/>
          <w:szCs w:val="24"/>
        </w:rPr>
        <w:t>e</w:t>
      </w:r>
      <w:r w:rsidR="00F9534D" w:rsidRPr="00816E15">
        <w:rPr>
          <w:rFonts w:ascii="Times New Roman" w:hAnsi="Times New Roman" w:cs="Times New Roman"/>
          <w:sz w:val="24"/>
          <w:szCs w:val="24"/>
        </w:rPr>
        <w:t>, umiejętności</w:t>
      </w:r>
      <w:r w:rsidR="00BB171C" w:rsidRPr="00816E15">
        <w:rPr>
          <w:rFonts w:ascii="Times New Roman" w:hAnsi="Times New Roman" w:cs="Times New Roman"/>
          <w:sz w:val="24"/>
          <w:szCs w:val="24"/>
        </w:rPr>
        <w:t xml:space="preserve"> i </w:t>
      </w:r>
      <w:r w:rsidR="00F9534D" w:rsidRPr="00816E15">
        <w:rPr>
          <w:rFonts w:ascii="Times New Roman" w:hAnsi="Times New Roman" w:cs="Times New Roman"/>
          <w:sz w:val="24"/>
          <w:szCs w:val="24"/>
        </w:rPr>
        <w:t>wiedzę</w:t>
      </w:r>
      <w:r w:rsidR="00BB171C" w:rsidRPr="00816E15">
        <w:rPr>
          <w:rFonts w:ascii="Times New Roman" w:hAnsi="Times New Roman" w:cs="Times New Roman"/>
          <w:sz w:val="24"/>
          <w:szCs w:val="24"/>
        </w:rPr>
        <w:t>,</w:t>
      </w:r>
      <w:r w:rsidR="00816E15">
        <w:rPr>
          <w:rFonts w:ascii="Times New Roman" w:hAnsi="Times New Roman" w:cs="Times New Roman"/>
          <w:sz w:val="24"/>
          <w:szCs w:val="24"/>
        </w:rPr>
        <w:t xml:space="preserve"> </w:t>
      </w:r>
      <w:r w:rsidR="00BB171C" w:rsidRPr="00816E15">
        <w:rPr>
          <w:rFonts w:ascii="Times New Roman" w:hAnsi="Times New Roman" w:cs="Times New Roman"/>
          <w:sz w:val="24"/>
          <w:szCs w:val="24"/>
        </w:rPr>
        <w:t xml:space="preserve">związane z wykorzystaniem instrumentów przymusowej restrukturyzacji, niezbędne </w:t>
      </w:r>
      <w:r w:rsidR="00F9534D" w:rsidRPr="00816E15">
        <w:rPr>
          <w:rFonts w:ascii="Times New Roman" w:hAnsi="Times New Roman" w:cs="Times New Roman"/>
          <w:sz w:val="24"/>
          <w:szCs w:val="24"/>
        </w:rPr>
        <w:t>do realizacji celów przymusowej restrukturyzacji, w szczególności w zakresie podwyższenia kapitału, zmiany struktury własnościowej podmiotu w restrukturyzacji lub jego przejęci</w:t>
      </w:r>
      <w:r w:rsidR="00BB171C" w:rsidRPr="00816E15">
        <w:rPr>
          <w:rFonts w:ascii="Times New Roman" w:hAnsi="Times New Roman" w:cs="Times New Roman"/>
          <w:sz w:val="24"/>
          <w:szCs w:val="24"/>
        </w:rPr>
        <w:t>a</w:t>
      </w:r>
      <w:r w:rsidR="00F9534D" w:rsidRPr="00816E15">
        <w:rPr>
          <w:rFonts w:ascii="Times New Roman" w:hAnsi="Times New Roman" w:cs="Times New Roman"/>
          <w:sz w:val="24"/>
          <w:szCs w:val="24"/>
        </w:rPr>
        <w:t xml:space="preserve"> przez inny stabilny finansowo i organizacyjnie podmiot. Poprawka stanowi implementację art. 35 ust. 1 dyrektywy BRR.</w:t>
      </w:r>
    </w:p>
    <w:p w14:paraId="60A88AAC" w14:textId="18646C61" w:rsidR="003A233F" w:rsidRPr="00816E15" w:rsidRDefault="00F2485D" w:rsidP="00CF5AAF">
      <w:pPr>
        <w:pStyle w:val="Tekstpodstawowy3"/>
        <w:shd w:val="clear" w:color="auto" w:fill="auto"/>
        <w:spacing w:before="240" w:after="60" w:line="360" w:lineRule="auto"/>
        <w:ind w:left="40"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Zmiana w </w:t>
      </w:r>
      <w:r w:rsidRPr="00816E15">
        <w:rPr>
          <w:rFonts w:ascii="Times New Roman" w:hAnsi="Times New Roman" w:cs="Times New Roman"/>
          <w:b/>
          <w:sz w:val="24"/>
          <w:szCs w:val="24"/>
        </w:rPr>
        <w:t xml:space="preserve">art. 172 ust. 1 </w:t>
      </w:r>
      <w:r w:rsidRPr="00816E15">
        <w:rPr>
          <w:rFonts w:ascii="Times New Roman" w:hAnsi="Times New Roman" w:cs="Times New Roman"/>
          <w:sz w:val="24"/>
          <w:szCs w:val="24"/>
        </w:rPr>
        <w:t>ma charakter legislacyjny</w:t>
      </w:r>
      <w:r w:rsidR="005F422A" w:rsidRPr="00816E15">
        <w:rPr>
          <w:rFonts w:ascii="Times New Roman" w:hAnsi="Times New Roman" w:cs="Times New Roman"/>
          <w:sz w:val="24"/>
          <w:szCs w:val="24"/>
        </w:rPr>
        <w:t>, wynikający z wprowadzenia w art. 124 ust. 3 odwołania do Kodeksu cywilnego</w:t>
      </w:r>
      <w:r w:rsidR="00BB171C" w:rsidRPr="00816E15">
        <w:rPr>
          <w:rFonts w:ascii="Times New Roman" w:hAnsi="Times New Roman" w:cs="Times New Roman"/>
          <w:sz w:val="24"/>
          <w:szCs w:val="24"/>
        </w:rPr>
        <w:t xml:space="preserve">. </w:t>
      </w:r>
    </w:p>
    <w:p w14:paraId="6D294D51" w14:textId="43DEB8BB" w:rsidR="00C46388" w:rsidRPr="00816E15" w:rsidRDefault="00C46388" w:rsidP="00CF5AAF">
      <w:pPr>
        <w:pStyle w:val="Tekstpodstawowy3"/>
        <w:shd w:val="clear" w:color="auto" w:fill="auto"/>
        <w:spacing w:before="240" w:after="60" w:line="360" w:lineRule="auto"/>
        <w:ind w:left="40"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W </w:t>
      </w:r>
      <w:r w:rsidRPr="00816E15">
        <w:rPr>
          <w:rFonts w:ascii="Times New Roman" w:hAnsi="Times New Roman" w:cs="Times New Roman"/>
          <w:b/>
          <w:sz w:val="24"/>
          <w:szCs w:val="24"/>
        </w:rPr>
        <w:t>art. 174 ust. 3</w:t>
      </w:r>
      <w:r w:rsidRPr="00816E15">
        <w:rPr>
          <w:rFonts w:ascii="Times New Roman" w:hAnsi="Times New Roman" w:cs="Times New Roman"/>
          <w:sz w:val="24"/>
          <w:szCs w:val="24"/>
        </w:rPr>
        <w:t xml:space="preserve"> dokonano modyfikacji terminu</w:t>
      </w:r>
      <w:r w:rsidR="00373779" w:rsidRPr="00816E15">
        <w:rPr>
          <w:rFonts w:ascii="Times New Roman" w:hAnsi="Times New Roman" w:cs="Times New Roman"/>
          <w:sz w:val="24"/>
          <w:szCs w:val="24"/>
        </w:rPr>
        <w:t>,</w:t>
      </w:r>
      <w:r w:rsidRPr="00816E15">
        <w:rPr>
          <w:rFonts w:ascii="Times New Roman" w:hAnsi="Times New Roman" w:cs="Times New Roman"/>
          <w:sz w:val="24"/>
          <w:szCs w:val="24"/>
        </w:rPr>
        <w:t xml:space="preserve"> w jakim Komisja Nadzoru Finansowego powinna udzielić niezbędnego zezwolenia podmiotowi przejmującego określoną działalność w </w:t>
      </w:r>
      <w:r w:rsidR="00373779" w:rsidRPr="00816E15">
        <w:rPr>
          <w:rFonts w:ascii="Times New Roman" w:hAnsi="Times New Roman" w:cs="Times New Roman"/>
          <w:sz w:val="24"/>
          <w:szCs w:val="24"/>
        </w:rPr>
        <w:t xml:space="preserve">związku z </w:t>
      </w:r>
      <w:r w:rsidR="00A67823" w:rsidRPr="00816E15">
        <w:rPr>
          <w:rFonts w:ascii="Times New Roman" w:hAnsi="Times New Roman" w:cs="Times New Roman"/>
          <w:sz w:val="24"/>
          <w:szCs w:val="24"/>
        </w:rPr>
        <w:t>proces</w:t>
      </w:r>
      <w:r w:rsidR="00373779" w:rsidRPr="00816E15">
        <w:rPr>
          <w:rFonts w:ascii="Times New Roman" w:hAnsi="Times New Roman" w:cs="Times New Roman"/>
          <w:sz w:val="24"/>
          <w:szCs w:val="24"/>
        </w:rPr>
        <w:t xml:space="preserve">em </w:t>
      </w:r>
      <w:r w:rsidRPr="00816E15">
        <w:rPr>
          <w:rFonts w:ascii="Times New Roman" w:hAnsi="Times New Roman" w:cs="Times New Roman"/>
          <w:sz w:val="24"/>
          <w:szCs w:val="24"/>
        </w:rPr>
        <w:t>przymusowej restrukturyzacji. Mając na uwadze, że termin</w:t>
      </w:r>
      <w:r w:rsidR="00373779" w:rsidRPr="00816E15">
        <w:rPr>
          <w:rFonts w:ascii="Times New Roman" w:hAnsi="Times New Roman" w:cs="Times New Roman"/>
          <w:sz w:val="24"/>
          <w:szCs w:val="24"/>
        </w:rPr>
        <w:t>,</w:t>
      </w:r>
      <w:r w:rsidRPr="00816E15">
        <w:rPr>
          <w:rFonts w:ascii="Times New Roman" w:hAnsi="Times New Roman" w:cs="Times New Roman"/>
          <w:sz w:val="24"/>
          <w:szCs w:val="24"/>
        </w:rPr>
        <w:t xml:space="preserve"> który „nie opóźni procesu przejęcia w stopniu ograniczającym lub uniemożliwiającym osiągnięcie celów przymusowej restrukturyzacji”</w:t>
      </w:r>
      <w:r w:rsidR="00373779" w:rsidRPr="00816E15">
        <w:rPr>
          <w:rFonts w:ascii="Times New Roman" w:hAnsi="Times New Roman" w:cs="Times New Roman"/>
          <w:sz w:val="24"/>
          <w:szCs w:val="24"/>
        </w:rPr>
        <w:t>,</w:t>
      </w:r>
      <w:r w:rsidRPr="00816E15">
        <w:rPr>
          <w:rFonts w:ascii="Times New Roman" w:hAnsi="Times New Roman" w:cs="Times New Roman"/>
          <w:sz w:val="24"/>
          <w:szCs w:val="24"/>
        </w:rPr>
        <w:t xml:space="preserve"> jest terminem niedookreślonym, konieczne jest</w:t>
      </w:r>
      <w:r w:rsidR="00A67823" w:rsidRPr="00816E15">
        <w:rPr>
          <w:rFonts w:ascii="Times New Roman" w:hAnsi="Times New Roman" w:cs="Times New Roman"/>
          <w:sz w:val="24"/>
          <w:szCs w:val="24"/>
        </w:rPr>
        <w:t xml:space="preserve"> zagwarantowanie szybkiego </w:t>
      </w:r>
      <w:r w:rsidR="003217EC" w:rsidRPr="00816E15">
        <w:rPr>
          <w:rFonts w:ascii="Times New Roman" w:hAnsi="Times New Roman" w:cs="Times New Roman"/>
          <w:sz w:val="24"/>
          <w:szCs w:val="24"/>
        </w:rPr>
        <w:t>podjęcia</w:t>
      </w:r>
      <w:r w:rsidR="00A67823" w:rsidRPr="00816E15">
        <w:rPr>
          <w:rFonts w:ascii="Times New Roman" w:hAnsi="Times New Roman" w:cs="Times New Roman"/>
          <w:sz w:val="24"/>
          <w:szCs w:val="24"/>
        </w:rPr>
        <w:t xml:space="preserve"> decyzji </w:t>
      </w:r>
      <w:r w:rsidR="00397CE6" w:rsidRPr="00816E15">
        <w:rPr>
          <w:rFonts w:ascii="Times New Roman" w:hAnsi="Times New Roman" w:cs="Times New Roman"/>
          <w:sz w:val="24"/>
          <w:szCs w:val="24"/>
        </w:rPr>
        <w:t xml:space="preserve">w tej kwestii </w:t>
      </w:r>
      <w:r w:rsidR="00A67823" w:rsidRPr="00816E15">
        <w:rPr>
          <w:rFonts w:ascii="Times New Roman" w:hAnsi="Times New Roman" w:cs="Times New Roman"/>
          <w:sz w:val="24"/>
          <w:szCs w:val="24"/>
        </w:rPr>
        <w:t>przez</w:t>
      </w:r>
      <w:r w:rsidRPr="00816E15">
        <w:rPr>
          <w:rFonts w:ascii="Times New Roman" w:hAnsi="Times New Roman" w:cs="Times New Roman"/>
          <w:sz w:val="24"/>
          <w:szCs w:val="24"/>
        </w:rPr>
        <w:t xml:space="preserve"> wskazanie precyzyjnego terminu. </w:t>
      </w:r>
      <w:r w:rsidR="00A67823" w:rsidRPr="00816E15">
        <w:rPr>
          <w:rFonts w:ascii="Times New Roman" w:hAnsi="Times New Roman" w:cs="Times New Roman"/>
          <w:sz w:val="24"/>
          <w:szCs w:val="24"/>
        </w:rPr>
        <w:t xml:space="preserve">Analogiczna zmiana została przewidziana w </w:t>
      </w:r>
      <w:r w:rsidR="00A67823" w:rsidRPr="00816E15">
        <w:rPr>
          <w:rFonts w:ascii="Times New Roman" w:hAnsi="Times New Roman" w:cs="Times New Roman"/>
          <w:b/>
          <w:sz w:val="24"/>
          <w:szCs w:val="24"/>
        </w:rPr>
        <w:t>art. 185 ust. 4</w:t>
      </w:r>
      <w:r w:rsidR="00A67823" w:rsidRPr="00816E15">
        <w:rPr>
          <w:rFonts w:ascii="Times New Roman" w:hAnsi="Times New Roman" w:cs="Times New Roman"/>
          <w:sz w:val="24"/>
          <w:szCs w:val="24"/>
        </w:rPr>
        <w:t>.</w:t>
      </w:r>
      <w:r w:rsidR="002D2B69" w:rsidRPr="00816E15">
        <w:rPr>
          <w:rFonts w:ascii="Times New Roman" w:hAnsi="Times New Roman" w:cs="Times New Roman"/>
          <w:sz w:val="24"/>
          <w:szCs w:val="24"/>
        </w:rPr>
        <w:t xml:space="preserve"> </w:t>
      </w:r>
    </w:p>
    <w:p w14:paraId="760BBBCF" w14:textId="1AC0DB27" w:rsidR="00D557B7" w:rsidRPr="00816E15" w:rsidRDefault="005D2D32" w:rsidP="00CF5AAF">
      <w:pPr>
        <w:pStyle w:val="Tekstpodstawowy3"/>
        <w:shd w:val="clear" w:color="auto" w:fill="auto"/>
        <w:spacing w:before="240" w:after="60" w:line="360" w:lineRule="auto"/>
        <w:ind w:left="40" w:right="40" w:firstLine="0"/>
        <w:jc w:val="both"/>
        <w:rPr>
          <w:rFonts w:cs="Times New Roman"/>
          <w:color w:val="FF0000"/>
          <w:sz w:val="24"/>
          <w:szCs w:val="24"/>
        </w:rPr>
      </w:pPr>
      <w:r w:rsidRPr="00816E15">
        <w:rPr>
          <w:rFonts w:ascii="Times New Roman" w:hAnsi="Times New Roman" w:cs="Times New Roman"/>
          <w:sz w:val="24"/>
          <w:szCs w:val="24"/>
        </w:rPr>
        <w:t xml:space="preserve">Według </w:t>
      </w:r>
      <w:r w:rsidR="004F114E" w:rsidRPr="00816E15">
        <w:rPr>
          <w:rFonts w:ascii="Times New Roman" w:hAnsi="Times New Roman" w:cs="Times New Roman"/>
          <w:sz w:val="24"/>
          <w:szCs w:val="24"/>
        </w:rPr>
        <w:t>zmienianego</w:t>
      </w:r>
      <w:r w:rsidRPr="00816E15">
        <w:rPr>
          <w:rFonts w:ascii="Times New Roman" w:hAnsi="Times New Roman" w:cs="Times New Roman"/>
          <w:sz w:val="24"/>
          <w:szCs w:val="24"/>
        </w:rPr>
        <w:t xml:space="preserve"> </w:t>
      </w:r>
      <w:r w:rsidRPr="00816E15">
        <w:rPr>
          <w:rFonts w:ascii="Times New Roman" w:hAnsi="Times New Roman" w:cs="Times New Roman"/>
          <w:b/>
          <w:sz w:val="24"/>
          <w:szCs w:val="24"/>
        </w:rPr>
        <w:t>art. 177 ust. 1</w:t>
      </w:r>
      <w:r w:rsidRPr="00816E15">
        <w:rPr>
          <w:rFonts w:ascii="Times New Roman" w:hAnsi="Times New Roman" w:cs="Times New Roman"/>
          <w:sz w:val="24"/>
          <w:szCs w:val="24"/>
        </w:rPr>
        <w:t xml:space="preserve"> </w:t>
      </w:r>
      <w:r w:rsidR="000B4019" w:rsidRPr="00816E15">
        <w:rPr>
          <w:rFonts w:ascii="Times New Roman" w:hAnsi="Times New Roman" w:cs="Times New Roman"/>
          <w:sz w:val="24"/>
          <w:szCs w:val="24"/>
        </w:rPr>
        <w:t xml:space="preserve">instrument </w:t>
      </w:r>
      <w:r w:rsidRPr="00816E15">
        <w:rPr>
          <w:rFonts w:ascii="Times New Roman" w:hAnsi="Times New Roman" w:cs="Times New Roman"/>
          <w:sz w:val="24"/>
          <w:szCs w:val="24"/>
        </w:rPr>
        <w:t>przejęcia zdematerializowanych praw udziałowych</w:t>
      </w:r>
      <w:r w:rsidR="00816E15">
        <w:rPr>
          <w:rFonts w:ascii="Times New Roman" w:hAnsi="Times New Roman" w:cs="Times New Roman"/>
          <w:sz w:val="24"/>
          <w:szCs w:val="24"/>
        </w:rPr>
        <w:t xml:space="preserve"> </w:t>
      </w:r>
      <w:r w:rsidRPr="00816E15">
        <w:rPr>
          <w:rFonts w:ascii="Times New Roman" w:hAnsi="Times New Roman" w:cs="Times New Roman"/>
          <w:sz w:val="24"/>
          <w:szCs w:val="24"/>
        </w:rPr>
        <w:t xml:space="preserve">ma zmierzać do umożliwienia przejęcia przez podmiot przejmujący praw udziałowych w rozumieniu art. 2 pkt 48, wyemitowanych przez podmiot w restrukturyzacji, a nie praw udziałowych należących do podmiotu w restrukturyzacji. Jeżeli prawa są zapisane na rachunkach osób uprawnionych z tych praw, a nie znajdują się na rachunku papierów wartościowych podmiotu w restrukturyzacji, podmiot powinien móc je przejąć. Proponowany </w:t>
      </w:r>
      <w:r w:rsidR="004F114E" w:rsidRPr="00816E15">
        <w:rPr>
          <w:rFonts w:ascii="Times New Roman" w:hAnsi="Times New Roman" w:cs="Times New Roman"/>
          <w:sz w:val="24"/>
          <w:szCs w:val="24"/>
        </w:rPr>
        <w:t xml:space="preserve">przepis wyeliminuje </w:t>
      </w:r>
      <w:r w:rsidRPr="00816E15">
        <w:rPr>
          <w:rFonts w:ascii="Times New Roman" w:hAnsi="Times New Roman" w:cs="Times New Roman"/>
          <w:sz w:val="24"/>
          <w:szCs w:val="24"/>
        </w:rPr>
        <w:t>wątpliwości interpretacyjne.</w:t>
      </w:r>
      <w:r w:rsidR="00362014" w:rsidRPr="00816E15">
        <w:rPr>
          <w:rFonts w:ascii="Times New Roman" w:hAnsi="Times New Roman" w:cs="Times New Roman"/>
          <w:sz w:val="24"/>
          <w:szCs w:val="24"/>
        </w:rPr>
        <w:t xml:space="preserve"> Proponowana poprawka</w:t>
      </w:r>
      <w:r w:rsidR="00816E15">
        <w:rPr>
          <w:rFonts w:ascii="Times New Roman" w:hAnsi="Times New Roman" w:cs="Times New Roman"/>
          <w:sz w:val="24"/>
          <w:szCs w:val="24"/>
        </w:rPr>
        <w:t xml:space="preserve"> </w:t>
      </w:r>
      <w:r w:rsidR="00362014" w:rsidRPr="00816E15">
        <w:rPr>
          <w:rFonts w:ascii="Times New Roman" w:hAnsi="Times New Roman" w:cs="Times New Roman"/>
          <w:bCs/>
          <w:sz w:val="24"/>
          <w:szCs w:val="24"/>
        </w:rPr>
        <w:t xml:space="preserve">uwzględnia również sytuację, w której prawa udziałowe wyemitowane przez podmiot w restrukturyzacji znajdować się będą na rachunkach zbiorczych. Dodatkowo art. 177 w swoim obecnym brzmieniu odnosił się wyłącznie do akcji, pomijał </w:t>
      </w:r>
      <w:r w:rsidR="00373779" w:rsidRPr="00816E15">
        <w:rPr>
          <w:rFonts w:ascii="Times New Roman" w:hAnsi="Times New Roman" w:cs="Times New Roman"/>
          <w:bCs/>
          <w:sz w:val="24"/>
          <w:szCs w:val="24"/>
        </w:rPr>
        <w:t xml:space="preserve">natomiast </w:t>
      </w:r>
      <w:r w:rsidR="00362014" w:rsidRPr="00816E15">
        <w:rPr>
          <w:rFonts w:ascii="Times New Roman" w:hAnsi="Times New Roman" w:cs="Times New Roman"/>
          <w:bCs/>
          <w:sz w:val="24"/>
          <w:szCs w:val="24"/>
        </w:rPr>
        <w:t xml:space="preserve">inne papiery wartościowe będące prawami udziałowymi w rozumieniu art. 2 pkt 48 ustawy o BFG. W związku z tym korekta w </w:t>
      </w:r>
      <w:r w:rsidR="00362014" w:rsidRPr="00816E15">
        <w:rPr>
          <w:rFonts w:ascii="Times New Roman" w:hAnsi="Times New Roman" w:cs="Times New Roman"/>
          <w:b/>
          <w:bCs/>
          <w:sz w:val="24"/>
          <w:szCs w:val="24"/>
        </w:rPr>
        <w:t>art. 177 ust. 2 i 4</w:t>
      </w:r>
      <w:r w:rsidR="00362014" w:rsidRPr="00816E15">
        <w:rPr>
          <w:rFonts w:ascii="Times New Roman" w:hAnsi="Times New Roman" w:cs="Times New Roman"/>
          <w:bCs/>
          <w:sz w:val="24"/>
          <w:szCs w:val="24"/>
        </w:rPr>
        <w:t xml:space="preserve"> polega na zastąpieniu wyrazów „akcji” na „prawa udziałowe”.</w:t>
      </w:r>
      <w:r w:rsidR="00362014" w:rsidRPr="00816E15">
        <w:rPr>
          <w:rFonts w:ascii="Times New Roman" w:hAnsi="Times New Roman" w:cs="Times New Roman"/>
          <w:bCs/>
          <w:i/>
          <w:sz w:val="24"/>
          <w:szCs w:val="24"/>
        </w:rPr>
        <w:t xml:space="preserve"> </w:t>
      </w:r>
      <w:r w:rsidR="00362014" w:rsidRPr="00816E15">
        <w:rPr>
          <w:rFonts w:ascii="Times New Roman" w:hAnsi="Times New Roman" w:cs="Times New Roman"/>
          <w:bCs/>
          <w:sz w:val="24"/>
          <w:szCs w:val="24"/>
        </w:rPr>
        <w:t xml:space="preserve">Ponadto dyspozycje, o których mowa w </w:t>
      </w:r>
      <w:r w:rsidR="00362014" w:rsidRPr="00816E15">
        <w:rPr>
          <w:rFonts w:ascii="Times New Roman" w:hAnsi="Times New Roman" w:cs="Times New Roman"/>
          <w:b/>
          <w:bCs/>
          <w:sz w:val="24"/>
          <w:szCs w:val="24"/>
        </w:rPr>
        <w:t>art. 177 ust. 2</w:t>
      </w:r>
      <w:r w:rsidR="00362014" w:rsidRPr="00816E15">
        <w:rPr>
          <w:rFonts w:ascii="Times New Roman" w:hAnsi="Times New Roman" w:cs="Times New Roman"/>
          <w:bCs/>
          <w:sz w:val="24"/>
          <w:szCs w:val="24"/>
        </w:rPr>
        <w:t>, to zlecenia rozrachunku wprowadzane przez podmiot pośredniczący do systemu rozrachunku papierów wartościowych prowadzonego przez Krajowy Depozyt. Rozporządzenie Ministra Finansów</w:t>
      </w:r>
      <w:r w:rsidR="00373779" w:rsidRPr="00816E15">
        <w:rPr>
          <w:rFonts w:ascii="Times New Roman" w:hAnsi="Times New Roman" w:cs="Times New Roman"/>
          <w:bCs/>
          <w:sz w:val="24"/>
          <w:szCs w:val="24"/>
        </w:rPr>
        <w:t xml:space="preserve"> z dnia </w:t>
      </w:r>
      <w:r w:rsidR="00B21614" w:rsidRPr="00816E15">
        <w:rPr>
          <w:rFonts w:ascii="Times New Roman" w:hAnsi="Times New Roman" w:cs="Times New Roman"/>
          <w:bCs/>
          <w:sz w:val="24"/>
          <w:szCs w:val="24"/>
        </w:rPr>
        <w:t>30 maja 2018 r</w:t>
      </w:r>
      <w:r w:rsidR="004D44B5" w:rsidRPr="00816E15">
        <w:rPr>
          <w:rFonts w:ascii="Times New Roman" w:hAnsi="Times New Roman" w:cs="Times New Roman"/>
          <w:bCs/>
          <w:sz w:val="24"/>
          <w:szCs w:val="24"/>
        </w:rPr>
        <w:t xml:space="preserve">. w sprawie trybu i warunków postępowania firm inwestycyjnych, banków, o których mowa w art. 70 ust. 2 ustawy o obrocie instrumentami finansowymi, oraz banków powierniczych (Dz. U. poz. </w:t>
      </w:r>
      <w:r w:rsidR="00B21614" w:rsidRPr="00816E15">
        <w:rPr>
          <w:rFonts w:ascii="Times New Roman" w:hAnsi="Times New Roman" w:cs="Times New Roman"/>
          <w:bCs/>
          <w:sz w:val="24"/>
          <w:szCs w:val="24"/>
        </w:rPr>
        <w:t>1112</w:t>
      </w:r>
      <w:r w:rsidR="004D44B5" w:rsidRPr="00816E15">
        <w:rPr>
          <w:rFonts w:ascii="Times New Roman" w:hAnsi="Times New Roman" w:cs="Times New Roman"/>
          <w:bCs/>
          <w:sz w:val="24"/>
          <w:szCs w:val="24"/>
        </w:rPr>
        <w:t>)</w:t>
      </w:r>
      <w:r w:rsidR="00362014" w:rsidRPr="00816E15">
        <w:rPr>
          <w:rFonts w:ascii="Times New Roman" w:hAnsi="Times New Roman" w:cs="Times New Roman"/>
          <w:bCs/>
          <w:sz w:val="24"/>
          <w:szCs w:val="24"/>
        </w:rPr>
        <w:t>, do którego odsyła obecnie przepis art. 177 ust.</w:t>
      </w:r>
      <w:r w:rsidR="00373779" w:rsidRPr="00816E15">
        <w:rPr>
          <w:rFonts w:ascii="Times New Roman" w:hAnsi="Times New Roman" w:cs="Times New Roman"/>
          <w:bCs/>
          <w:sz w:val="24"/>
          <w:szCs w:val="24"/>
        </w:rPr>
        <w:t xml:space="preserve"> </w:t>
      </w:r>
      <w:r w:rsidR="00362014" w:rsidRPr="00816E15">
        <w:rPr>
          <w:rFonts w:ascii="Times New Roman" w:hAnsi="Times New Roman" w:cs="Times New Roman"/>
          <w:bCs/>
          <w:sz w:val="24"/>
          <w:szCs w:val="24"/>
        </w:rPr>
        <w:t>2</w:t>
      </w:r>
      <w:r w:rsidR="00373779" w:rsidRPr="00816E15">
        <w:rPr>
          <w:rFonts w:ascii="Times New Roman" w:hAnsi="Times New Roman" w:cs="Times New Roman"/>
          <w:bCs/>
          <w:sz w:val="24"/>
          <w:szCs w:val="24"/>
        </w:rPr>
        <w:t>,</w:t>
      </w:r>
      <w:r w:rsidR="00362014" w:rsidRPr="00816E15">
        <w:rPr>
          <w:rFonts w:ascii="Times New Roman" w:hAnsi="Times New Roman" w:cs="Times New Roman"/>
          <w:bCs/>
          <w:sz w:val="24"/>
          <w:szCs w:val="24"/>
        </w:rPr>
        <w:t xml:space="preserve"> nie zawiera wymogów odnoszących się do formy lub treści albo sposobu lub terminu przekazywania zleceń rozrachunku do tego systemu. Wymogi w tym zakresie są zawarte w regulacjach wydawanych przez Krajowy Depozyt</w:t>
      </w:r>
      <w:r w:rsidR="00373779" w:rsidRPr="00816E15">
        <w:rPr>
          <w:rFonts w:ascii="Times New Roman" w:hAnsi="Times New Roman" w:cs="Times New Roman"/>
          <w:bCs/>
          <w:sz w:val="24"/>
          <w:szCs w:val="24"/>
        </w:rPr>
        <w:t xml:space="preserve"> Papierów Wartościowych</w:t>
      </w:r>
      <w:r w:rsidR="00362014" w:rsidRPr="00816E15">
        <w:rPr>
          <w:rFonts w:ascii="Times New Roman" w:hAnsi="Times New Roman" w:cs="Times New Roman"/>
          <w:bCs/>
          <w:sz w:val="24"/>
          <w:szCs w:val="24"/>
        </w:rPr>
        <w:t xml:space="preserve">, które stanowią wzorzec umowy w rozumieniu art. 384 </w:t>
      </w:r>
      <w:r w:rsidR="00373779" w:rsidRPr="00816E15">
        <w:rPr>
          <w:rFonts w:ascii="Times New Roman" w:hAnsi="Times New Roman" w:cs="Times New Roman"/>
          <w:bCs/>
          <w:sz w:val="24"/>
          <w:szCs w:val="24"/>
        </w:rPr>
        <w:t>K</w:t>
      </w:r>
      <w:r w:rsidR="00362014" w:rsidRPr="00816E15">
        <w:rPr>
          <w:rFonts w:ascii="Times New Roman" w:hAnsi="Times New Roman" w:cs="Times New Roman"/>
          <w:bCs/>
          <w:sz w:val="24"/>
          <w:szCs w:val="24"/>
        </w:rPr>
        <w:t xml:space="preserve">odeksu cywilnego stosowany w stosunkach pomiędzy Krajowym Depozytem </w:t>
      </w:r>
      <w:r w:rsidR="00373779" w:rsidRPr="00816E15">
        <w:rPr>
          <w:rFonts w:ascii="Times New Roman" w:hAnsi="Times New Roman" w:cs="Times New Roman"/>
          <w:bCs/>
          <w:sz w:val="24"/>
          <w:szCs w:val="24"/>
        </w:rPr>
        <w:t xml:space="preserve">Papierów Wartościowych </w:t>
      </w:r>
      <w:r w:rsidR="00362014" w:rsidRPr="00816E15">
        <w:rPr>
          <w:rFonts w:ascii="Times New Roman" w:hAnsi="Times New Roman" w:cs="Times New Roman"/>
          <w:bCs/>
          <w:sz w:val="24"/>
          <w:szCs w:val="24"/>
        </w:rPr>
        <w:t>i jego uczestnikami. W związku z tym proponowana jest korekta odesłania. Wykreślona została także ostatnia część ust. 4</w:t>
      </w:r>
      <w:r w:rsidR="00373779" w:rsidRPr="00816E15">
        <w:rPr>
          <w:rFonts w:ascii="Times New Roman" w:hAnsi="Times New Roman" w:cs="Times New Roman"/>
          <w:bCs/>
          <w:sz w:val="24"/>
          <w:szCs w:val="24"/>
        </w:rPr>
        <w:t xml:space="preserve"> (</w:t>
      </w:r>
      <w:r w:rsidR="00362014" w:rsidRPr="00816E15">
        <w:rPr>
          <w:rFonts w:ascii="Times New Roman" w:hAnsi="Times New Roman" w:cs="Times New Roman"/>
          <w:bCs/>
          <w:sz w:val="24"/>
          <w:szCs w:val="24"/>
        </w:rPr>
        <w:t>„w zamian za zapłatę ceny ustalonej zgodnie z art. 174</w:t>
      </w:r>
      <w:r w:rsidR="00816E15">
        <w:rPr>
          <w:rFonts w:ascii="Times New Roman" w:hAnsi="Times New Roman" w:cs="Times New Roman"/>
          <w:bCs/>
          <w:sz w:val="24"/>
          <w:szCs w:val="24"/>
        </w:rPr>
        <w:t xml:space="preserve"> </w:t>
      </w:r>
      <w:r w:rsidR="00362014" w:rsidRPr="00816E15">
        <w:rPr>
          <w:rFonts w:ascii="Times New Roman" w:hAnsi="Times New Roman" w:cs="Times New Roman"/>
          <w:bCs/>
          <w:sz w:val="24"/>
          <w:szCs w:val="24"/>
        </w:rPr>
        <w:t>ust. 5”</w:t>
      </w:r>
      <w:r w:rsidR="00373779" w:rsidRPr="00816E15">
        <w:rPr>
          <w:rFonts w:ascii="Times New Roman" w:hAnsi="Times New Roman" w:cs="Times New Roman"/>
          <w:bCs/>
          <w:sz w:val="24"/>
          <w:szCs w:val="24"/>
        </w:rPr>
        <w:t>)</w:t>
      </w:r>
      <w:r w:rsidR="00362014" w:rsidRPr="00816E15">
        <w:rPr>
          <w:rFonts w:ascii="Times New Roman" w:hAnsi="Times New Roman" w:cs="Times New Roman"/>
          <w:bCs/>
          <w:sz w:val="24"/>
          <w:szCs w:val="24"/>
        </w:rPr>
        <w:t>. P</w:t>
      </w:r>
      <w:r w:rsidR="00816E15">
        <w:rPr>
          <w:rFonts w:ascii="Times New Roman" w:hAnsi="Times New Roman" w:cs="Times New Roman"/>
          <w:bCs/>
          <w:sz w:val="24"/>
          <w:szCs w:val="24"/>
        </w:rPr>
        <w:t>rzepisy art. </w:t>
      </w:r>
      <w:r w:rsidR="00362014" w:rsidRPr="00816E15">
        <w:rPr>
          <w:rFonts w:ascii="Times New Roman" w:hAnsi="Times New Roman" w:cs="Times New Roman"/>
          <w:bCs/>
          <w:sz w:val="24"/>
          <w:szCs w:val="24"/>
        </w:rPr>
        <w:t>177 ust.</w:t>
      </w:r>
      <w:r w:rsidR="00F66709" w:rsidRPr="00816E15">
        <w:rPr>
          <w:rFonts w:ascii="Times New Roman" w:hAnsi="Times New Roman" w:cs="Times New Roman"/>
          <w:bCs/>
          <w:sz w:val="24"/>
          <w:szCs w:val="24"/>
        </w:rPr>
        <w:t xml:space="preserve"> </w:t>
      </w:r>
      <w:r w:rsidR="00362014" w:rsidRPr="00816E15">
        <w:rPr>
          <w:rFonts w:ascii="Times New Roman" w:hAnsi="Times New Roman" w:cs="Times New Roman"/>
          <w:bCs/>
          <w:sz w:val="24"/>
          <w:szCs w:val="24"/>
        </w:rPr>
        <w:t>1</w:t>
      </w:r>
      <w:r w:rsidR="00F84432" w:rsidRPr="00816E15">
        <w:rPr>
          <w:rFonts w:ascii="Times New Roman" w:hAnsi="Times New Roman" w:cs="Times New Roman"/>
          <w:bCs/>
          <w:sz w:val="24"/>
          <w:szCs w:val="24"/>
        </w:rPr>
        <w:t>–</w:t>
      </w:r>
      <w:r w:rsidR="00362014" w:rsidRPr="00816E15">
        <w:rPr>
          <w:rFonts w:ascii="Times New Roman" w:hAnsi="Times New Roman" w:cs="Times New Roman"/>
          <w:bCs/>
          <w:sz w:val="24"/>
          <w:szCs w:val="24"/>
        </w:rPr>
        <w:t>4 są wzorowane na przepisie § 4 rozporządze</w:t>
      </w:r>
      <w:r w:rsidR="00816E15">
        <w:rPr>
          <w:rFonts w:ascii="Times New Roman" w:hAnsi="Times New Roman" w:cs="Times New Roman"/>
          <w:bCs/>
          <w:sz w:val="24"/>
          <w:szCs w:val="24"/>
        </w:rPr>
        <w:t>nia Ministra Finansów z dnia 14 </w:t>
      </w:r>
      <w:r w:rsidR="00362014" w:rsidRPr="00816E15">
        <w:rPr>
          <w:rFonts w:ascii="Times New Roman" w:hAnsi="Times New Roman" w:cs="Times New Roman"/>
          <w:bCs/>
          <w:sz w:val="24"/>
          <w:szCs w:val="24"/>
        </w:rPr>
        <w:t>listopada 2005 r. w sprawie nabywania akcji spółki publicznej w drodze przymusowego wykupu</w:t>
      </w:r>
      <w:r w:rsidR="00373779" w:rsidRPr="00816E15">
        <w:rPr>
          <w:rFonts w:ascii="Times New Roman" w:hAnsi="Times New Roman" w:cs="Times New Roman"/>
          <w:bCs/>
          <w:sz w:val="24"/>
          <w:szCs w:val="24"/>
        </w:rPr>
        <w:t xml:space="preserve"> (Dz. U. </w:t>
      </w:r>
      <w:r w:rsidR="004D44B5" w:rsidRPr="00816E15">
        <w:rPr>
          <w:rFonts w:ascii="Times New Roman" w:hAnsi="Times New Roman" w:cs="Times New Roman"/>
          <w:bCs/>
          <w:sz w:val="24"/>
          <w:szCs w:val="24"/>
        </w:rPr>
        <w:t>poz. 1948</w:t>
      </w:r>
      <w:r w:rsidR="00373779" w:rsidRPr="00816E15">
        <w:rPr>
          <w:rFonts w:ascii="Times New Roman" w:hAnsi="Times New Roman" w:cs="Times New Roman"/>
          <w:bCs/>
          <w:sz w:val="24"/>
          <w:szCs w:val="24"/>
        </w:rPr>
        <w:t>)</w:t>
      </w:r>
      <w:r w:rsidR="00362014" w:rsidRPr="00816E15">
        <w:rPr>
          <w:rFonts w:ascii="Times New Roman" w:hAnsi="Times New Roman" w:cs="Times New Roman"/>
          <w:bCs/>
          <w:sz w:val="24"/>
          <w:szCs w:val="24"/>
        </w:rPr>
        <w:t>. W § 4 ust.</w:t>
      </w:r>
      <w:r w:rsidR="00373779" w:rsidRPr="00816E15">
        <w:rPr>
          <w:rFonts w:ascii="Times New Roman" w:hAnsi="Times New Roman" w:cs="Times New Roman"/>
          <w:bCs/>
          <w:sz w:val="24"/>
          <w:szCs w:val="24"/>
        </w:rPr>
        <w:t xml:space="preserve"> </w:t>
      </w:r>
      <w:r w:rsidR="00362014" w:rsidRPr="00816E15">
        <w:rPr>
          <w:rFonts w:ascii="Times New Roman" w:hAnsi="Times New Roman" w:cs="Times New Roman"/>
          <w:bCs/>
          <w:sz w:val="24"/>
          <w:szCs w:val="24"/>
        </w:rPr>
        <w:t xml:space="preserve">4 tego rozporządzenia wskazuje się, że przymusowy wykup akcji zdematerializowanych następuje przez dokonanie zapisu tych akcji na rachunku papierów wartościowych wykupującego, w zamian za zapłatę ceny wykupu. To zastrzeżenie wskazuje, że rozrachunek przymusowego wykupu przeprowadzany przez Krajowy Depozyt </w:t>
      </w:r>
      <w:r w:rsidR="00373779" w:rsidRPr="00816E15">
        <w:rPr>
          <w:rFonts w:ascii="Times New Roman" w:hAnsi="Times New Roman" w:cs="Times New Roman"/>
          <w:bCs/>
          <w:sz w:val="24"/>
          <w:szCs w:val="24"/>
        </w:rPr>
        <w:t xml:space="preserve">Papierów Wartościowych </w:t>
      </w:r>
      <w:r w:rsidR="00362014" w:rsidRPr="00816E15">
        <w:rPr>
          <w:rFonts w:ascii="Times New Roman" w:hAnsi="Times New Roman" w:cs="Times New Roman"/>
          <w:bCs/>
          <w:sz w:val="24"/>
          <w:szCs w:val="24"/>
        </w:rPr>
        <w:t>powinien</w:t>
      </w:r>
      <w:r w:rsidR="00816E15">
        <w:rPr>
          <w:rFonts w:ascii="Times New Roman" w:hAnsi="Times New Roman" w:cs="Times New Roman"/>
          <w:bCs/>
          <w:sz w:val="24"/>
          <w:szCs w:val="24"/>
        </w:rPr>
        <w:t xml:space="preserve"> </w:t>
      </w:r>
      <w:r w:rsidR="00362014" w:rsidRPr="00816E15">
        <w:rPr>
          <w:rFonts w:ascii="Times New Roman" w:hAnsi="Times New Roman" w:cs="Times New Roman"/>
          <w:bCs/>
          <w:sz w:val="24"/>
          <w:szCs w:val="24"/>
        </w:rPr>
        <w:t>zostać zrealizowany na zasadzie delivery vs. payment,</w:t>
      </w:r>
      <w:r w:rsidR="00362014" w:rsidRPr="00816E15">
        <w:rPr>
          <w:rFonts w:ascii="Times New Roman" w:hAnsi="Times New Roman" w:cs="Times New Roman"/>
          <w:bCs/>
          <w:i/>
          <w:sz w:val="24"/>
          <w:szCs w:val="24"/>
        </w:rPr>
        <w:t xml:space="preserve"> </w:t>
      </w:r>
      <w:r w:rsidR="00373779" w:rsidRPr="00816E15">
        <w:rPr>
          <w:rFonts w:ascii="Times New Roman" w:hAnsi="Times New Roman" w:cs="Times New Roman"/>
          <w:bCs/>
          <w:sz w:val="24"/>
          <w:szCs w:val="24"/>
        </w:rPr>
        <w:t>tzn.,</w:t>
      </w:r>
      <w:r w:rsidR="00816E15">
        <w:rPr>
          <w:rFonts w:ascii="Times New Roman" w:hAnsi="Times New Roman" w:cs="Times New Roman"/>
          <w:bCs/>
          <w:sz w:val="24"/>
          <w:szCs w:val="24"/>
        </w:rPr>
        <w:t xml:space="preserve"> </w:t>
      </w:r>
      <w:r w:rsidR="00362014" w:rsidRPr="00816E15">
        <w:rPr>
          <w:rFonts w:ascii="Times New Roman" w:hAnsi="Times New Roman" w:cs="Times New Roman"/>
          <w:bCs/>
          <w:sz w:val="24"/>
          <w:szCs w:val="24"/>
        </w:rPr>
        <w:t>że zapisanie wykupywanych akcji na rachunku papierów wartościowych wykupującego powinno nastąpić jednocześnie z obciążeniem go ceną wykupu i uznaniem nią wykupywanych akcjonariuszy. Z art. 174 ust.</w:t>
      </w:r>
      <w:r w:rsidR="00373779" w:rsidRPr="00816E15">
        <w:rPr>
          <w:rFonts w:ascii="Times New Roman" w:hAnsi="Times New Roman" w:cs="Times New Roman"/>
          <w:bCs/>
          <w:sz w:val="24"/>
          <w:szCs w:val="24"/>
        </w:rPr>
        <w:t xml:space="preserve"> </w:t>
      </w:r>
      <w:r w:rsidR="00362014" w:rsidRPr="00816E15">
        <w:rPr>
          <w:rFonts w:ascii="Times New Roman" w:hAnsi="Times New Roman" w:cs="Times New Roman"/>
          <w:bCs/>
          <w:sz w:val="24"/>
          <w:szCs w:val="24"/>
        </w:rPr>
        <w:t>5 wynika co prawda, że przejęcie przez podmiot przejmujący praw udziałowych podmiotu w restrukturyzacji następuje na zasadzie odpłatnej, jednak wynagrodzenie z tego tytułu nie musi stanowić świadczenia pieniężnego. Jeżeli wynagrodzenie to nie będzie miało formy pieniężnej, jego zapłata nie będzie mogła nastąpić za pośrednictwem Krajowego Depozytu</w:t>
      </w:r>
      <w:r w:rsidR="00373779" w:rsidRPr="00816E15">
        <w:rPr>
          <w:rFonts w:ascii="Times New Roman" w:hAnsi="Times New Roman" w:cs="Times New Roman"/>
          <w:bCs/>
          <w:sz w:val="24"/>
          <w:szCs w:val="24"/>
        </w:rPr>
        <w:t xml:space="preserve"> Papierów Wartościowych</w:t>
      </w:r>
      <w:r w:rsidR="00362014" w:rsidRPr="00816E15">
        <w:rPr>
          <w:rFonts w:ascii="Times New Roman" w:hAnsi="Times New Roman" w:cs="Times New Roman"/>
          <w:bCs/>
          <w:sz w:val="24"/>
          <w:szCs w:val="24"/>
        </w:rPr>
        <w:t>.</w:t>
      </w:r>
      <w:r w:rsidR="0060588A" w:rsidRPr="00816E15">
        <w:rPr>
          <w:rFonts w:ascii="Times New Roman" w:hAnsi="Times New Roman" w:cs="Times New Roman"/>
          <w:bCs/>
          <w:sz w:val="24"/>
          <w:szCs w:val="24"/>
        </w:rPr>
        <w:t xml:space="preserve"> </w:t>
      </w:r>
    </w:p>
    <w:p w14:paraId="502C0121" w14:textId="792FAA67" w:rsidR="006603FF" w:rsidRPr="00816E15" w:rsidRDefault="00F66709" w:rsidP="00CF5AAF">
      <w:pPr>
        <w:pStyle w:val="Tekstpodstawowy3"/>
        <w:shd w:val="clear" w:color="auto" w:fill="auto"/>
        <w:spacing w:before="240" w:after="60" w:line="360" w:lineRule="auto"/>
        <w:ind w:left="40" w:right="40" w:firstLine="0"/>
        <w:jc w:val="both"/>
        <w:rPr>
          <w:rFonts w:cs="Times New Roman"/>
          <w:sz w:val="24"/>
          <w:szCs w:val="24"/>
        </w:rPr>
      </w:pPr>
      <w:r w:rsidRPr="00816E15">
        <w:rPr>
          <w:rFonts w:ascii="Times New Roman" w:hAnsi="Times New Roman" w:cs="Times New Roman"/>
          <w:bCs/>
          <w:sz w:val="24"/>
          <w:szCs w:val="24"/>
        </w:rPr>
        <w:t xml:space="preserve">Zmiana w </w:t>
      </w:r>
      <w:r w:rsidRPr="00816E15">
        <w:rPr>
          <w:rFonts w:ascii="Times New Roman" w:hAnsi="Times New Roman" w:cs="Times New Roman"/>
          <w:b/>
          <w:bCs/>
          <w:sz w:val="24"/>
          <w:szCs w:val="24"/>
        </w:rPr>
        <w:t xml:space="preserve">art. 177 ust. 3 </w:t>
      </w:r>
      <w:r w:rsidR="006603FF" w:rsidRPr="00816E15">
        <w:rPr>
          <w:rFonts w:ascii="Times New Roman" w:hAnsi="Times New Roman" w:cs="Times New Roman"/>
          <w:bCs/>
          <w:sz w:val="24"/>
          <w:szCs w:val="24"/>
        </w:rPr>
        <w:t>ma na celu umożliwi</w:t>
      </w:r>
      <w:r w:rsidR="007061CE" w:rsidRPr="00816E15">
        <w:rPr>
          <w:rFonts w:ascii="Times New Roman" w:hAnsi="Times New Roman" w:cs="Times New Roman"/>
          <w:bCs/>
          <w:sz w:val="24"/>
          <w:szCs w:val="24"/>
        </w:rPr>
        <w:t>enie</w:t>
      </w:r>
      <w:r w:rsidR="006603FF" w:rsidRPr="00816E15">
        <w:rPr>
          <w:rFonts w:ascii="Times New Roman" w:hAnsi="Times New Roman" w:cs="Times New Roman"/>
          <w:bCs/>
          <w:sz w:val="24"/>
          <w:szCs w:val="24"/>
        </w:rPr>
        <w:t xml:space="preserve"> </w:t>
      </w:r>
      <w:r w:rsidR="006603FF" w:rsidRPr="00816E15">
        <w:rPr>
          <w:rFonts w:ascii="Times New Roman" w:hAnsi="Times New Roman" w:cs="Times New Roman"/>
          <w:sz w:val="24"/>
          <w:szCs w:val="24"/>
        </w:rPr>
        <w:t>przeniesienia zdematerializowanych praw udziałowych na konto depozytowe podmiotu pośredniczącego w terminie umożliwiającym przeprowadzenie właściwego rozrachunku, w ramach którego</w:t>
      </w:r>
      <w:r w:rsidR="007061CE" w:rsidRPr="00816E15">
        <w:rPr>
          <w:rFonts w:ascii="Times New Roman" w:hAnsi="Times New Roman" w:cs="Times New Roman"/>
          <w:sz w:val="24"/>
          <w:szCs w:val="24"/>
        </w:rPr>
        <w:t xml:space="preserve">, </w:t>
      </w:r>
      <w:r w:rsidR="006603FF" w:rsidRPr="00816E15">
        <w:rPr>
          <w:rFonts w:ascii="Times New Roman" w:hAnsi="Times New Roman" w:cs="Times New Roman"/>
          <w:sz w:val="24"/>
          <w:szCs w:val="24"/>
        </w:rPr>
        <w:t xml:space="preserve">wraz </w:t>
      </w:r>
      <w:r w:rsidR="00A80D5E" w:rsidRPr="00816E15">
        <w:rPr>
          <w:rFonts w:ascii="Times New Roman" w:hAnsi="Times New Roman" w:cs="Times New Roman"/>
          <w:sz w:val="24"/>
          <w:szCs w:val="24"/>
        </w:rPr>
        <w:t xml:space="preserve">z </w:t>
      </w:r>
      <w:r w:rsidR="006603FF" w:rsidRPr="00816E15">
        <w:rPr>
          <w:rFonts w:ascii="Times New Roman" w:hAnsi="Times New Roman" w:cs="Times New Roman"/>
          <w:sz w:val="24"/>
          <w:szCs w:val="24"/>
        </w:rPr>
        <w:t>przeniesieniem praw udziałowych na konto depozytowe podmiotu pośredniczącego, podmiot ten zostanie obciążony odpowiednią kwotą wynagrodzenia</w:t>
      </w:r>
      <w:r w:rsidR="007061CE" w:rsidRPr="00816E15">
        <w:rPr>
          <w:rFonts w:ascii="Times New Roman" w:hAnsi="Times New Roman" w:cs="Times New Roman"/>
          <w:sz w:val="24"/>
          <w:szCs w:val="24"/>
        </w:rPr>
        <w:t xml:space="preserve">. Kwota ta </w:t>
      </w:r>
      <w:r w:rsidR="006603FF" w:rsidRPr="00816E15">
        <w:rPr>
          <w:rFonts w:ascii="Times New Roman" w:hAnsi="Times New Roman" w:cs="Times New Roman"/>
          <w:sz w:val="24"/>
          <w:szCs w:val="24"/>
        </w:rPr>
        <w:t xml:space="preserve">zostanie </w:t>
      </w:r>
      <w:r w:rsidR="007061CE" w:rsidRPr="00816E15">
        <w:rPr>
          <w:rFonts w:ascii="Times New Roman" w:hAnsi="Times New Roman" w:cs="Times New Roman"/>
          <w:sz w:val="24"/>
          <w:szCs w:val="24"/>
        </w:rPr>
        <w:t xml:space="preserve">następnie </w:t>
      </w:r>
      <w:r w:rsidR="006603FF" w:rsidRPr="00816E15">
        <w:rPr>
          <w:rFonts w:ascii="Times New Roman" w:hAnsi="Times New Roman" w:cs="Times New Roman"/>
          <w:sz w:val="24"/>
          <w:szCs w:val="24"/>
        </w:rPr>
        <w:t>rozdystrybuowana przez KDPW pomiędzy uczestników KDPW prowadzących rachunki, na których te prawa udziałowe zostały wcześniej zablokowane</w:t>
      </w:r>
      <w:r w:rsidR="007061CE" w:rsidRPr="00816E15">
        <w:rPr>
          <w:rFonts w:ascii="Times New Roman" w:hAnsi="Times New Roman" w:cs="Times New Roman"/>
          <w:sz w:val="24"/>
          <w:szCs w:val="24"/>
        </w:rPr>
        <w:t>. U</w:t>
      </w:r>
      <w:r w:rsidR="006603FF" w:rsidRPr="00816E15">
        <w:rPr>
          <w:rFonts w:ascii="Times New Roman" w:hAnsi="Times New Roman" w:cs="Times New Roman"/>
          <w:sz w:val="24"/>
          <w:szCs w:val="24"/>
        </w:rPr>
        <w:t xml:space="preserve">czestnicy ci powinni odpowiednio rozdzielić otrzymane kwoty pomiędzy posiadaczy rachunków. </w:t>
      </w:r>
    </w:p>
    <w:p w14:paraId="2FE06D46" w14:textId="293EDBC5" w:rsidR="00EC7597" w:rsidRPr="00816E15" w:rsidRDefault="006603FF" w:rsidP="00CF5AAF">
      <w:pPr>
        <w:pStyle w:val="Tekstpodstawowy3"/>
        <w:shd w:val="clear" w:color="auto" w:fill="auto"/>
        <w:spacing w:before="240" w:after="60" w:line="360" w:lineRule="auto"/>
        <w:ind w:right="40" w:firstLine="0"/>
        <w:jc w:val="both"/>
        <w:rPr>
          <w:sz w:val="24"/>
          <w:szCs w:val="24"/>
        </w:rPr>
      </w:pPr>
      <w:r w:rsidRPr="00816E15">
        <w:rPr>
          <w:rFonts w:ascii="Times New Roman" w:hAnsi="Times New Roman" w:cs="Times New Roman"/>
          <w:sz w:val="24"/>
          <w:szCs w:val="24"/>
        </w:rPr>
        <w:t xml:space="preserve">Zgodnie z art. 177 ust. 3 pkt 1 KDPW powinien otrzymać od </w:t>
      </w:r>
      <w:r w:rsidR="00C76A5E" w:rsidRPr="00816E15">
        <w:rPr>
          <w:rFonts w:ascii="Times New Roman" w:hAnsi="Times New Roman" w:cs="Times New Roman"/>
          <w:sz w:val="24"/>
          <w:szCs w:val="24"/>
        </w:rPr>
        <w:t xml:space="preserve">Funduszu </w:t>
      </w:r>
      <w:r w:rsidRPr="00816E15">
        <w:rPr>
          <w:rFonts w:ascii="Times New Roman" w:hAnsi="Times New Roman" w:cs="Times New Roman"/>
          <w:sz w:val="24"/>
          <w:szCs w:val="24"/>
        </w:rPr>
        <w:t xml:space="preserve">informację o wysokości wynagrodzenia pieniężnego przypadającego </w:t>
      </w:r>
      <w:r w:rsidR="00C76A5E" w:rsidRPr="00816E15">
        <w:rPr>
          <w:rFonts w:ascii="Times New Roman" w:hAnsi="Times New Roman" w:cs="Times New Roman"/>
          <w:sz w:val="24"/>
          <w:szCs w:val="24"/>
        </w:rPr>
        <w:t>n</w:t>
      </w:r>
      <w:r w:rsidRPr="00816E15">
        <w:rPr>
          <w:rFonts w:ascii="Times New Roman" w:hAnsi="Times New Roman" w:cs="Times New Roman"/>
          <w:sz w:val="24"/>
          <w:szCs w:val="24"/>
        </w:rPr>
        <w:t xml:space="preserve">a każdy przejmowany papier wartościowy, co pozwoli zweryfikować prawidłowość kwoty wskazanej </w:t>
      </w:r>
      <w:r w:rsidR="00C76A5E" w:rsidRPr="00816E15">
        <w:rPr>
          <w:rFonts w:ascii="Times New Roman" w:hAnsi="Times New Roman" w:cs="Times New Roman"/>
          <w:sz w:val="24"/>
          <w:szCs w:val="24"/>
        </w:rPr>
        <w:t xml:space="preserve">w dyspozycji </w:t>
      </w:r>
      <w:r w:rsidRPr="00816E15">
        <w:rPr>
          <w:rFonts w:ascii="Times New Roman" w:hAnsi="Times New Roman" w:cs="Times New Roman"/>
          <w:sz w:val="24"/>
          <w:szCs w:val="24"/>
        </w:rPr>
        <w:t xml:space="preserve">przez podmiot pośredniczący. Zgodnie z art. 177 ust. 3 pkt 2 rozrachunek umożliwiający przejęcie praw udziałowych przez podmiot przejmujący nie powinien nastąpić przed zapłatą przez ten </w:t>
      </w:r>
      <w:r w:rsidR="00A70329" w:rsidRPr="00816E15">
        <w:rPr>
          <w:rFonts w:ascii="Times New Roman" w:hAnsi="Times New Roman" w:cs="Times New Roman"/>
          <w:sz w:val="24"/>
          <w:szCs w:val="24"/>
        </w:rPr>
        <w:t xml:space="preserve">podmiot </w:t>
      </w:r>
      <w:r w:rsidRPr="00816E15">
        <w:rPr>
          <w:rFonts w:ascii="Times New Roman" w:hAnsi="Times New Roman" w:cs="Times New Roman"/>
          <w:sz w:val="24"/>
          <w:szCs w:val="24"/>
        </w:rPr>
        <w:t>ewentualnej niepieniężnej części wynagrodzenia, o którym mowa w art. 174 ust.</w:t>
      </w:r>
      <w:r w:rsidR="00A70329" w:rsidRPr="00816E15">
        <w:rPr>
          <w:rFonts w:ascii="Times New Roman" w:hAnsi="Times New Roman" w:cs="Times New Roman"/>
          <w:sz w:val="24"/>
          <w:szCs w:val="24"/>
        </w:rPr>
        <w:t xml:space="preserve"> </w:t>
      </w:r>
      <w:r w:rsidRPr="00816E15">
        <w:rPr>
          <w:rFonts w:ascii="Times New Roman" w:hAnsi="Times New Roman" w:cs="Times New Roman"/>
          <w:sz w:val="24"/>
          <w:szCs w:val="24"/>
        </w:rPr>
        <w:t xml:space="preserve">5, a więc należy uwarunkować jego przeprowadzenie przez KDPW od uprzedniego otrzymania od </w:t>
      </w:r>
      <w:r w:rsidR="00C76A5E" w:rsidRPr="00816E15">
        <w:rPr>
          <w:rFonts w:ascii="Times New Roman" w:hAnsi="Times New Roman" w:cs="Times New Roman"/>
          <w:sz w:val="24"/>
          <w:szCs w:val="24"/>
        </w:rPr>
        <w:t xml:space="preserve">Funduszu </w:t>
      </w:r>
      <w:r w:rsidRPr="00816E15">
        <w:rPr>
          <w:rFonts w:ascii="Times New Roman" w:hAnsi="Times New Roman" w:cs="Times New Roman"/>
          <w:sz w:val="24"/>
          <w:szCs w:val="24"/>
        </w:rPr>
        <w:t xml:space="preserve">potwierdzenia zapłaty tej części wynagrodzenia. W związku z powyższym nie zaistnieje potrzeba dodatkowego potwierdzania zapłaty tego wynagrodzenia podmiotowi pośredniczącemu, ponieważ podmiot ten nie będzie pośredniczył w realizacji zapłaty wynagrodzenia w części mającej postać niepieniężną. Podmiot pośredniczący powinien </w:t>
      </w:r>
      <w:r w:rsidR="00C76A5E" w:rsidRPr="00816E15">
        <w:rPr>
          <w:rFonts w:ascii="Times New Roman" w:hAnsi="Times New Roman" w:cs="Times New Roman"/>
          <w:sz w:val="24"/>
          <w:szCs w:val="24"/>
        </w:rPr>
        <w:t>zatem</w:t>
      </w:r>
      <w:r w:rsidR="00816E15">
        <w:rPr>
          <w:rFonts w:ascii="Times New Roman" w:hAnsi="Times New Roman" w:cs="Times New Roman"/>
          <w:sz w:val="24"/>
          <w:szCs w:val="24"/>
        </w:rPr>
        <w:t xml:space="preserve"> </w:t>
      </w:r>
      <w:r w:rsidRPr="00816E15">
        <w:rPr>
          <w:rFonts w:ascii="Times New Roman" w:hAnsi="Times New Roman" w:cs="Times New Roman"/>
          <w:sz w:val="24"/>
          <w:szCs w:val="24"/>
        </w:rPr>
        <w:t>wraz z zapisaniem przejmowanych praw udziałowych na</w:t>
      </w:r>
      <w:r w:rsidR="00816E15">
        <w:rPr>
          <w:rFonts w:ascii="Times New Roman" w:hAnsi="Times New Roman" w:cs="Times New Roman"/>
          <w:sz w:val="24"/>
          <w:szCs w:val="24"/>
        </w:rPr>
        <w:t xml:space="preserve"> </w:t>
      </w:r>
      <w:r w:rsidRPr="00816E15">
        <w:rPr>
          <w:rFonts w:ascii="Times New Roman" w:hAnsi="Times New Roman" w:cs="Times New Roman"/>
          <w:sz w:val="24"/>
          <w:szCs w:val="24"/>
        </w:rPr>
        <w:t>rachunku podmiotu przejmującego obciążyć podmiot przejmujący kwotą, któr</w:t>
      </w:r>
      <w:r w:rsidR="00A70329" w:rsidRPr="00816E15">
        <w:rPr>
          <w:rFonts w:ascii="Times New Roman" w:hAnsi="Times New Roman" w:cs="Times New Roman"/>
          <w:sz w:val="24"/>
          <w:szCs w:val="24"/>
        </w:rPr>
        <w:t>ą</w:t>
      </w:r>
      <w:r w:rsidRPr="00816E15">
        <w:rPr>
          <w:rFonts w:ascii="Times New Roman" w:hAnsi="Times New Roman" w:cs="Times New Roman"/>
          <w:sz w:val="24"/>
          <w:szCs w:val="24"/>
        </w:rPr>
        <w:t xml:space="preserve"> w ramach tego rozrachunku został sam obciążony przez KDPW.</w:t>
      </w:r>
    </w:p>
    <w:p w14:paraId="672F65DE" w14:textId="6FE95CE0" w:rsidR="005D2D32" w:rsidRPr="00816E15" w:rsidRDefault="009F0C31" w:rsidP="00CF5AAF">
      <w:pPr>
        <w:pStyle w:val="Tekstpodstawowy3"/>
        <w:shd w:val="clear" w:color="auto" w:fill="auto"/>
        <w:spacing w:before="240" w:after="60" w:line="360" w:lineRule="auto"/>
        <w:ind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Zmieniany </w:t>
      </w:r>
      <w:r w:rsidRPr="00816E15">
        <w:rPr>
          <w:rFonts w:ascii="Times New Roman" w:hAnsi="Times New Roman" w:cs="Times New Roman"/>
          <w:b/>
          <w:sz w:val="24"/>
          <w:szCs w:val="24"/>
        </w:rPr>
        <w:t xml:space="preserve">art. 179 </w:t>
      </w:r>
      <w:r w:rsidR="005D2D32" w:rsidRPr="00816E15">
        <w:rPr>
          <w:rFonts w:ascii="Times New Roman" w:hAnsi="Times New Roman" w:cs="Times New Roman"/>
          <w:sz w:val="24"/>
          <w:szCs w:val="24"/>
        </w:rPr>
        <w:t>umożliwia udzielenie wsparcia w przypadku przejęcia praw udziałowych.</w:t>
      </w:r>
      <w:r w:rsidR="000B4019" w:rsidRPr="00816E15">
        <w:rPr>
          <w:rFonts w:ascii="Times New Roman" w:hAnsi="Times New Roman" w:cs="Times New Roman"/>
          <w:sz w:val="24"/>
          <w:szCs w:val="24"/>
        </w:rPr>
        <w:t xml:space="preserve"> </w:t>
      </w:r>
      <w:r w:rsidR="00362014" w:rsidRPr="00816E15">
        <w:rPr>
          <w:rFonts w:ascii="Times New Roman" w:hAnsi="Times New Roman" w:cs="Times New Roman"/>
          <w:sz w:val="24"/>
          <w:szCs w:val="24"/>
        </w:rPr>
        <w:t xml:space="preserve">Dotychczas przepis odnosił się jedynie do przejęcia praw majątkowych. </w:t>
      </w:r>
      <w:r w:rsidR="000B4019" w:rsidRPr="00816E15">
        <w:rPr>
          <w:rFonts w:ascii="Times New Roman" w:hAnsi="Times New Roman" w:cs="Times New Roman"/>
          <w:sz w:val="24"/>
          <w:szCs w:val="24"/>
        </w:rPr>
        <w:t>Zmiana w tym artykule</w:t>
      </w:r>
      <w:r w:rsidR="00816E15">
        <w:rPr>
          <w:rFonts w:ascii="Times New Roman" w:hAnsi="Times New Roman" w:cs="Times New Roman"/>
          <w:sz w:val="24"/>
          <w:szCs w:val="24"/>
        </w:rPr>
        <w:t xml:space="preserve"> </w:t>
      </w:r>
      <w:r w:rsidR="000B4019" w:rsidRPr="00816E15">
        <w:rPr>
          <w:rFonts w:ascii="Times New Roman" w:hAnsi="Times New Roman" w:cs="Times New Roman"/>
          <w:sz w:val="24"/>
          <w:szCs w:val="24"/>
        </w:rPr>
        <w:t>jest powiązana z art. 112 ust. 3 oraz art. 188 ust. 5.</w:t>
      </w:r>
    </w:p>
    <w:p w14:paraId="670E347F" w14:textId="3454E292" w:rsidR="00562E54" w:rsidRPr="00816E15" w:rsidRDefault="0036191B" w:rsidP="00CF5AAF">
      <w:pPr>
        <w:pStyle w:val="Tekstpodstawowy3"/>
        <w:shd w:val="clear" w:color="auto" w:fill="auto"/>
        <w:spacing w:before="240" w:after="60" w:line="360" w:lineRule="auto"/>
        <w:ind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Zmiana w </w:t>
      </w:r>
      <w:r w:rsidRPr="00816E15">
        <w:rPr>
          <w:rFonts w:ascii="Times New Roman" w:hAnsi="Times New Roman" w:cs="Times New Roman"/>
          <w:b/>
          <w:sz w:val="24"/>
          <w:szCs w:val="24"/>
        </w:rPr>
        <w:t>art. 181 ust</w:t>
      </w:r>
      <w:r w:rsidR="00824652" w:rsidRPr="00816E15">
        <w:rPr>
          <w:rFonts w:ascii="Times New Roman" w:hAnsi="Times New Roman" w:cs="Times New Roman"/>
          <w:b/>
          <w:sz w:val="24"/>
          <w:szCs w:val="24"/>
        </w:rPr>
        <w:t>.</w:t>
      </w:r>
      <w:r w:rsidRPr="00816E15">
        <w:rPr>
          <w:rFonts w:ascii="Times New Roman" w:hAnsi="Times New Roman" w:cs="Times New Roman"/>
          <w:b/>
          <w:sz w:val="24"/>
          <w:szCs w:val="24"/>
        </w:rPr>
        <w:t xml:space="preserve"> 1</w:t>
      </w:r>
      <w:r w:rsidRPr="00816E15">
        <w:rPr>
          <w:rFonts w:ascii="Times New Roman" w:hAnsi="Times New Roman" w:cs="Times New Roman"/>
          <w:sz w:val="24"/>
          <w:szCs w:val="24"/>
        </w:rPr>
        <w:t xml:space="preserve"> </w:t>
      </w:r>
      <w:r w:rsidR="00562E54" w:rsidRPr="00816E15">
        <w:rPr>
          <w:rFonts w:ascii="Times New Roman" w:hAnsi="Times New Roman" w:cs="Times New Roman"/>
          <w:sz w:val="24"/>
          <w:szCs w:val="24"/>
        </w:rPr>
        <w:t>polega na usunięciu odwołania do decyzji oraz wskazania sposobu rozpoczęcia działalności, co jest uzasadnione faktem, iż utworzenie instytucji pomostowej nie będzie następowało w formie odrębnej decyzji Zarządu Fundu</w:t>
      </w:r>
      <w:r w:rsidR="00816E15">
        <w:rPr>
          <w:rFonts w:ascii="Times New Roman" w:hAnsi="Times New Roman" w:cs="Times New Roman"/>
          <w:sz w:val="24"/>
          <w:szCs w:val="24"/>
        </w:rPr>
        <w:t>szu – w rozumieniu art. 11 ust. </w:t>
      </w:r>
      <w:r w:rsidR="00562E54" w:rsidRPr="00816E15">
        <w:rPr>
          <w:rFonts w:ascii="Times New Roman" w:hAnsi="Times New Roman" w:cs="Times New Roman"/>
          <w:sz w:val="24"/>
          <w:szCs w:val="24"/>
        </w:rPr>
        <w:t xml:space="preserve">4 ustawy o BFG, a sposób jej powstania i rozpoczęcia działalności jest już uregulowany w art. 188 ust. 1 ww. ustawy. Brak sformułowania „w celu kontynuowania działalności prowadzonej przez podmiot w restrukturyzacji oraz reorganizacji jego przedsiębiorstwa do czasu zbycia podmiotowi trzeciemu lub otwarcia likwidacji” wynika z faktu, że cel działalności jest już wskazany w definicji zawartej w art. 2 pkt 26 ustawy o BFG. Odnotować należy, że zmiana w dalszym ciągu zapewnia, że cele utworzonej instytucji pomostowej </w:t>
      </w:r>
      <w:r w:rsidR="00086C97">
        <w:rPr>
          <w:rFonts w:ascii="Times New Roman" w:hAnsi="Times New Roman" w:cs="Times New Roman"/>
          <w:sz w:val="24"/>
          <w:szCs w:val="24"/>
        </w:rPr>
        <w:t>mogą być realizowane</w:t>
      </w:r>
      <w:r w:rsidR="00562E54" w:rsidRPr="00816E15">
        <w:rPr>
          <w:rFonts w:ascii="Times New Roman" w:hAnsi="Times New Roman" w:cs="Times New Roman"/>
          <w:sz w:val="24"/>
          <w:szCs w:val="24"/>
        </w:rPr>
        <w:t xml:space="preserve"> przez Fundusz bezpośrednio za pośrednictwem administratora, o którym mowa w art. 153 ust. 1 lub przez pełnomocników.</w:t>
      </w:r>
    </w:p>
    <w:p w14:paraId="67BCA611" w14:textId="76E60D21" w:rsidR="0045274A" w:rsidRPr="00816E15" w:rsidRDefault="009B3EBC" w:rsidP="00CF5AAF">
      <w:pPr>
        <w:pStyle w:val="Tekstpodstawowy3"/>
        <w:shd w:val="clear" w:color="auto" w:fill="auto"/>
        <w:spacing w:before="240" w:after="60" w:line="360" w:lineRule="auto"/>
        <w:ind w:right="40" w:firstLine="0"/>
        <w:jc w:val="both"/>
        <w:rPr>
          <w:rFonts w:ascii="Times New Roman" w:hAnsi="Times New Roman" w:cs="Times New Roman"/>
          <w:sz w:val="24"/>
          <w:szCs w:val="24"/>
        </w:rPr>
      </w:pPr>
      <w:r w:rsidRPr="00816E15">
        <w:rPr>
          <w:rFonts w:ascii="Times New Roman" w:hAnsi="Times New Roman" w:cs="Times New Roman"/>
          <w:sz w:val="24"/>
          <w:szCs w:val="24"/>
        </w:rPr>
        <w:t>W</w:t>
      </w:r>
      <w:r w:rsidR="00200846" w:rsidRPr="00816E15">
        <w:rPr>
          <w:rFonts w:ascii="Times New Roman" w:hAnsi="Times New Roman" w:cs="Times New Roman"/>
          <w:sz w:val="24"/>
          <w:szCs w:val="24"/>
        </w:rPr>
        <w:t xml:space="preserve"> </w:t>
      </w:r>
      <w:r w:rsidR="00200846" w:rsidRPr="00816E15">
        <w:rPr>
          <w:rFonts w:ascii="Times New Roman" w:hAnsi="Times New Roman" w:cs="Times New Roman"/>
          <w:b/>
          <w:sz w:val="24"/>
          <w:szCs w:val="24"/>
        </w:rPr>
        <w:t>art. 181 ust. 6</w:t>
      </w:r>
      <w:r w:rsidR="00200846" w:rsidRPr="00816E15">
        <w:rPr>
          <w:rFonts w:ascii="Times New Roman" w:hAnsi="Times New Roman" w:cs="Times New Roman"/>
          <w:sz w:val="24"/>
          <w:szCs w:val="24"/>
        </w:rPr>
        <w:t xml:space="preserve"> </w:t>
      </w:r>
      <w:r w:rsidRPr="00816E15">
        <w:rPr>
          <w:rFonts w:ascii="Times New Roman" w:hAnsi="Times New Roman" w:cs="Times New Roman"/>
          <w:sz w:val="24"/>
          <w:szCs w:val="24"/>
        </w:rPr>
        <w:t>przewidziano zmianę polegając</w:t>
      </w:r>
      <w:r w:rsidR="00373779" w:rsidRPr="00816E15">
        <w:rPr>
          <w:rFonts w:ascii="Times New Roman" w:hAnsi="Times New Roman" w:cs="Times New Roman"/>
          <w:sz w:val="24"/>
          <w:szCs w:val="24"/>
        </w:rPr>
        <w:t>ą</w:t>
      </w:r>
      <w:r w:rsidR="00200846" w:rsidRPr="00816E15">
        <w:rPr>
          <w:rFonts w:ascii="Times New Roman" w:hAnsi="Times New Roman" w:cs="Times New Roman"/>
          <w:sz w:val="24"/>
          <w:szCs w:val="24"/>
        </w:rPr>
        <w:t xml:space="preserve"> na</w:t>
      </w:r>
      <w:r w:rsidRPr="00816E15">
        <w:rPr>
          <w:rFonts w:ascii="Times New Roman" w:hAnsi="Times New Roman" w:cs="Times New Roman"/>
          <w:sz w:val="24"/>
          <w:szCs w:val="24"/>
        </w:rPr>
        <w:t xml:space="preserve"> </w:t>
      </w:r>
      <w:r w:rsidR="00200846" w:rsidRPr="00816E15">
        <w:rPr>
          <w:rFonts w:ascii="Times New Roman" w:hAnsi="Times New Roman" w:cs="Times New Roman"/>
          <w:sz w:val="24"/>
          <w:szCs w:val="24"/>
        </w:rPr>
        <w:t xml:space="preserve">wyłączeniu stosowania do instytucji pomostowej – banku </w:t>
      </w:r>
      <w:r w:rsidR="00373779" w:rsidRPr="00816E15">
        <w:rPr>
          <w:rFonts w:ascii="Times New Roman" w:hAnsi="Times New Roman" w:cs="Times New Roman"/>
          <w:sz w:val="24"/>
          <w:szCs w:val="24"/>
        </w:rPr>
        <w:t xml:space="preserve">przepisu </w:t>
      </w:r>
      <w:r w:rsidR="00200846" w:rsidRPr="00816E15">
        <w:rPr>
          <w:rFonts w:ascii="Times New Roman" w:hAnsi="Times New Roman" w:cs="Times New Roman"/>
          <w:sz w:val="24"/>
          <w:szCs w:val="24"/>
        </w:rPr>
        <w:t>art. 36 ust. 2 ustawy</w:t>
      </w:r>
      <w:r w:rsidR="00506159" w:rsidRPr="00816E15">
        <w:rPr>
          <w:rFonts w:ascii="Times New Roman" w:hAnsi="Times New Roman" w:cs="Times New Roman"/>
          <w:sz w:val="24"/>
          <w:szCs w:val="24"/>
        </w:rPr>
        <w:t xml:space="preserve"> </w:t>
      </w:r>
      <w:r w:rsidR="00D54115" w:rsidRPr="00816E15">
        <w:rPr>
          <w:rFonts w:ascii="Times New Roman" w:hAnsi="Times New Roman" w:cs="Times New Roman"/>
          <w:sz w:val="24"/>
          <w:szCs w:val="24"/>
        </w:rPr>
        <w:t xml:space="preserve">z dnia </w:t>
      </w:r>
      <w:r w:rsidR="002D2478" w:rsidRPr="00816E15">
        <w:rPr>
          <w:rFonts w:ascii="Times New Roman" w:hAnsi="Times New Roman" w:cs="Times New Roman"/>
          <w:sz w:val="24"/>
          <w:szCs w:val="24"/>
        </w:rPr>
        <w:t>29 sierpnia 1997 r.</w:t>
      </w:r>
      <w:r w:rsidR="00D54115" w:rsidRPr="00816E15">
        <w:rPr>
          <w:rFonts w:ascii="Times New Roman" w:hAnsi="Times New Roman" w:cs="Times New Roman"/>
          <w:sz w:val="24"/>
          <w:szCs w:val="24"/>
        </w:rPr>
        <w:t xml:space="preserve"> </w:t>
      </w:r>
      <w:r w:rsidR="00200846" w:rsidRPr="00816E15">
        <w:rPr>
          <w:rFonts w:ascii="Times New Roman" w:hAnsi="Times New Roman" w:cs="Times New Roman"/>
          <w:sz w:val="24"/>
          <w:szCs w:val="24"/>
        </w:rPr>
        <w:t>– Prawo bankowe</w:t>
      </w:r>
      <w:r w:rsidR="00506159" w:rsidRPr="00816E15">
        <w:rPr>
          <w:rFonts w:ascii="Times New Roman" w:hAnsi="Times New Roman" w:cs="Times New Roman"/>
          <w:sz w:val="24"/>
          <w:szCs w:val="24"/>
        </w:rPr>
        <w:t xml:space="preserve"> (Dz. U. z 2017 r. poz. 1876, z późn. zm.)</w:t>
      </w:r>
      <w:r w:rsidR="00086C97">
        <w:rPr>
          <w:rFonts w:ascii="Times New Roman" w:hAnsi="Times New Roman" w:cs="Times New Roman"/>
          <w:sz w:val="24"/>
          <w:szCs w:val="24"/>
        </w:rPr>
        <w:t>,</w:t>
      </w:r>
      <w:r w:rsidR="007750A0" w:rsidRPr="00816E15">
        <w:rPr>
          <w:rFonts w:ascii="Times New Roman" w:hAnsi="Times New Roman" w:cs="Times New Roman"/>
          <w:sz w:val="24"/>
          <w:szCs w:val="24"/>
        </w:rPr>
        <w:t xml:space="preserve"> </w:t>
      </w:r>
      <w:r w:rsidR="0045274A" w:rsidRPr="00816E15">
        <w:rPr>
          <w:rFonts w:ascii="Times New Roman" w:hAnsi="Times New Roman" w:cs="Times New Roman"/>
          <w:sz w:val="24"/>
          <w:szCs w:val="24"/>
        </w:rPr>
        <w:t>przewidując</w:t>
      </w:r>
      <w:r w:rsidR="00373779" w:rsidRPr="00816E15">
        <w:rPr>
          <w:rFonts w:ascii="Times New Roman" w:hAnsi="Times New Roman" w:cs="Times New Roman"/>
          <w:sz w:val="24"/>
          <w:szCs w:val="24"/>
        </w:rPr>
        <w:t>ego</w:t>
      </w:r>
      <w:r w:rsidR="0045274A" w:rsidRPr="00816E15">
        <w:rPr>
          <w:rFonts w:ascii="Times New Roman" w:hAnsi="Times New Roman" w:cs="Times New Roman"/>
          <w:sz w:val="24"/>
          <w:szCs w:val="24"/>
        </w:rPr>
        <w:t>, ż</w:t>
      </w:r>
      <w:r w:rsidR="00373779" w:rsidRPr="00816E15">
        <w:rPr>
          <w:rFonts w:ascii="Times New Roman" w:hAnsi="Times New Roman" w:cs="Times New Roman"/>
          <w:sz w:val="24"/>
          <w:szCs w:val="24"/>
        </w:rPr>
        <w:t>e</w:t>
      </w:r>
      <w:r w:rsidR="0045274A" w:rsidRPr="00816E15">
        <w:rPr>
          <w:rFonts w:ascii="Times New Roman" w:hAnsi="Times New Roman" w:cs="Times New Roman"/>
          <w:sz w:val="24"/>
          <w:szCs w:val="24"/>
        </w:rPr>
        <w:t xml:space="preserve"> to zarząd banku występuje z wnioskiem o wydanie zezwolenia na prowadzenie działalności przez bank. Mając na uwadze</w:t>
      </w:r>
      <w:r w:rsidR="00086C97">
        <w:rPr>
          <w:rFonts w:ascii="Times New Roman" w:hAnsi="Times New Roman" w:cs="Times New Roman"/>
          <w:sz w:val="24"/>
          <w:szCs w:val="24"/>
        </w:rPr>
        <w:t>,</w:t>
      </w:r>
      <w:r w:rsidR="0045274A" w:rsidRPr="00816E15">
        <w:rPr>
          <w:rFonts w:ascii="Times New Roman" w:hAnsi="Times New Roman" w:cs="Times New Roman"/>
          <w:sz w:val="24"/>
          <w:szCs w:val="24"/>
        </w:rPr>
        <w:t xml:space="preserve"> iż zgodnie z art. 113 ust. 1 pkt 3 ustawy o BFG z chwilą wszczęcia przymusowej restrukturyzacji zarząd banku ulega rozwiązaniu</w:t>
      </w:r>
      <w:r w:rsidR="00086C97">
        <w:rPr>
          <w:rFonts w:ascii="Times New Roman" w:hAnsi="Times New Roman" w:cs="Times New Roman"/>
          <w:sz w:val="24"/>
          <w:szCs w:val="24"/>
        </w:rPr>
        <w:t>,</w:t>
      </w:r>
      <w:r w:rsidR="0045274A" w:rsidRPr="00816E15">
        <w:rPr>
          <w:rFonts w:ascii="Times New Roman" w:hAnsi="Times New Roman" w:cs="Times New Roman"/>
          <w:sz w:val="24"/>
          <w:szCs w:val="24"/>
        </w:rPr>
        <w:t xml:space="preserve"> a mandaty jego członków wygasają, zasadne </w:t>
      </w:r>
      <w:r w:rsidR="00FC0800" w:rsidRPr="00816E15">
        <w:rPr>
          <w:rFonts w:ascii="Times New Roman" w:hAnsi="Times New Roman" w:cs="Times New Roman"/>
          <w:sz w:val="24"/>
          <w:szCs w:val="24"/>
        </w:rPr>
        <w:t>jest</w:t>
      </w:r>
      <w:r w:rsidR="00816E15">
        <w:rPr>
          <w:rFonts w:ascii="Times New Roman" w:hAnsi="Times New Roman" w:cs="Times New Roman"/>
          <w:sz w:val="24"/>
          <w:szCs w:val="24"/>
        </w:rPr>
        <w:t xml:space="preserve"> </w:t>
      </w:r>
      <w:r w:rsidR="0045274A" w:rsidRPr="00816E15">
        <w:rPr>
          <w:rFonts w:ascii="Times New Roman" w:hAnsi="Times New Roman" w:cs="Times New Roman"/>
          <w:sz w:val="24"/>
          <w:szCs w:val="24"/>
        </w:rPr>
        <w:t>wprowadzenie zastrzeżenia</w:t>
      </w:r>
      <w:r w:rsidR="00FC0800" w:rsidRPr="00816E15">
        <w:rPr>
          <w:rFonts w:ascii="Times New Roman" w:hAnsi="Times New Roman" w:cs="Times New Roman"/>
          <w:sz w:val="24"/>
          <w:szCs w:val="24"/>
        </w:rPr>
        <w:t>,</w:t>
      </w:r>
      <w:r w:rsidR="0045274A" w:rsidRPr="00816E15">
        <w:rPr>
          <w:rFonts w:ascii="Times New Roman" w:hAnsi="Times New Roman" w:cs="Times New Roman"/>
          <w:sz w:val="24"/>
          <w:szCs w:val="24"/>
        </w:rPr>
        <w:t xml:space="preserve"> że w takim wypadku </w:t>
      </w:r>
      <w:r w:rsidR="007F6EC5" w:rsidRPr="00816E15">
        <w:rPr>
          <w:rFonts w:ascii="Times New Roman" w:hAnsi="Times New Roman" w:cs="Times New Roman"/>
          <w:sz w:val="24"/>
          <w:szCs w:val="24"/>
        </w:rPr>
        <w:t xml:space="preserve">ze stosownym wnioskiem </w:t>
      </w:r>
      <w:r w:rsidRPr="00816E15">
        <w:rPr>
          <w:rFonts w:ascii="Times New Roman" w:hAnsi="Times New Roman" w:cs="Times New Roman"/>
          <w:sz w:val="24"/>
          <w:szCs w:val="24"/>
        </w:rPr>
        <w:t xml:space="preserve">do Komisji Nadzoru Finansowego </w:t>
      </w:r>
      <w:r w:rsidR="007F6EC5" w:rsidRPr="00816E15">
        <w:rPr>
          <w:rFonts w:ascii="Times New Roman" w:hAnsi="Times New Roman" w:cs="Times New Roman"/>
          <w:sz w:val="24"/>
          <w:szCs w:val="24"/>
        </w:rPr>
        <w:t>występuje Fundusz.</w:t>
      </w:r>
      <w:r w:rsidR="009A38BD" w:rsidRPr="00816E15">
        <w:rPr>
          <w:rFonts w:ascii="Times New Roman" w:hAnsi="Times New Roman" w:cs="Times New Roman"/>
          <w:sz w:val="24"/>
          <w:szCs w:val="24"/>
        </w:rPr>
        <w:t xml:space="preserve"> Konsekwencją powyższego jest wyłączenie powiadamiania Funduszu (ust. 4).</w:t>
      </w:r>
    </w:p>
    <w:p w14:paraId="2ADA3495" w14:textId="17AB808C" w:rsidR="004E0A1A" w:rsidRPr="00816E15" w:rsidRDefault="009B3EBC" w:rsidP="00CF5AAF">
      <w:pPr>
        <w:pStyle w:val="Tekstpodstawowy3"/>
        <w:shd w:val="clear" w:color="auto" w:fill="auto"/>
        <w:spacing w:before="240" w:after="60" w:line="360" w:lineRule="auto"/>
        <w:ind w:left="40" w:right="40" w:firstLine="0"/>
        <w:jc w:val="both"/>
        <w:rPr>
          <w:rFonts w:ascii="Times New Roman" w:hAnsi="Times New Roman" w:cs="Times New Roman"/>
          <w:sz w:val="24"/>
          <w:szCs w:val="24"/>
        </w:rPr>
      </w:pPr>
      <w:r w:rsidRPr="00816E15">
        <w:rPr>
          <w:rFonts w:ascii="Times New Roman" w:hAnsi="Times New Roman" w:cs="Times New Roman"/>
          <w:sz w:val="24"/>
          <w:szCs w:val="24"/>
        </w:rPr>
        <w:t>Ponadto</w:t>
      </w:r>
      <w:r w:rsidR="00120A01" w:rsidRPr="00816E15">
        <w:rPr>
          <w:rFonts w:ascii="Times New Roman" w:hAnsi="Times New Roman" w:cs="Times New Roman"/>
          <w:sz w:val="24"/>
          <w:szCs w:val="24"/>
        </w:rPr>
        <w:t xml:space="preserve"> </w:t>
      </w:r>
      <w:r w:rsidRPr="00816E15">
        <w:rPr>
          <w:rFonts w:ascii="Times New Roman" w:hAnsi="Times New Roman" w:cs="Times New Roman"/>
          <w:sz w:val="24"/>
          <w:szCs w:val="24"/>
        </w:rPr>
        <w:t xml:space="preserve">w przepisie </w:t>
      </w:r>
      <w:r w:rsidR="00120A01" w:rsidRPr="00816E15">
        <w:rPr>
          <w:rFonts w:ascii="Times New Roman" w:hAnsi="Times New Roman" w:cs="Times New Roman"/>
          <w:sz w:val="24"/>
          <w:szCs w:val="24"/>
        </w:rPr>
        <w:t xml:space="preserve">tym </w:t>
      </w:r>
      <w:r w:rsidRPr="00816E15">
        <w:rPr>
          <w:rFonts w:ascii="Times New Roman" w:hAnsi="Times New Roman" w:cs="Times New Roman"/>
          <w:sz w:val="24"/>
          <w:szCs w:val="24"/>
        </w:rPr>
        <w:t xml:space="preserve">w miejsce wyłączenia stosowania uchylonego ustawą z dnia 1 marca 2018 r. o zmianie ustawy o obrocie instrumentami finansowymi oraz niektórych innych ustaw (Dz. U. poz. 685) </w:t>
      </w:r>
      <w:r w:rsidR="00FC0800" w:rsidRPr="00816E15">
        <w:rPr>
          <w:rFonts w:ascii="Times New Roman" w:hAnsi="Times New Roman" w:cs="Times New Roman"/>
          <w:sz w:val="24"/>
          <w:szCs w:val="24"/>
        </w:rPr>
        <w:t xml:space="preserve">przepisu </w:t>
      </w:r>
      <w:r w:rsidRPr="00816E15">
        <w:rPr>
          <w:rFonts w:ascii="Times New Roman" w:hAnsi="Times New Roman" w:cs="Times New Roman"/>
          <w:sz w:val="24"/>
          <w:szCs w:val="24"/>
        </w:rPr>
        <w:t xml:space="preserve">art. 84 ust. 2 pkt 3 ustawy o obrocie instrumentami finansowymi, wprowadzono wyłączenie stosowania art. 84 ust. 1a tej ustawy, przewidującego </w:t>
      </w:r>
      <w:r w:rsidR="00B34E55" w:rsidRPr="00816E15">
        <w:rPr>
          <w:rFonts w:ascii="Times New Roman" w:hAnsi="Times New Roman" w:cs="Times New Roman"/>
          <w:sz w:val="24"/>
          <w:szCs w:val="24"/>
        </w:rPr>
        <w:t>obowiązek zatwierdzania niektórych członków zarządu domu maklerskiego przez K</w:t>
      </w:r>
      <w:r w:rsidR="00FC0800" w:rsidRPr="00816E15">
        <w:rPr>
          <w:rFonts w:ascii="Times New Roman" w:hAnsi="Times New Roman" w:cs="Times New Roman"/>
          <w:sz w:val="24"/>
          <w:szCs w:val="24"/>
        </w:rPr>
        <w:t xml:space="preserve">omisję </w:t>
      </w:r>
      <w:r w:rsidR="00B34E55" w:rsidRPr="00816E15">
        <w:rPr>
          <w:rFonts w:ascii="Times New Roman" w:hAnsi="Times New Roman" w:cs="Times New Roman"/>
          <w:sz w:val="24"/>
          <w:szCs w:val="24"/>
        </w:rPr>
        <w:t>N</w:t>
      </w:r>
      <w:r w:rsidR="00FC0800" w:rsidRPr="00816E15">
        <w:rPr>
          <w:rFonts w:ascii="Times New Roman" w:hAnsi="Times New Roman" w:cs="Times New Roman"/>
          <w:sz w:val="24"/>
          <w:szCs w:val="24"/>
        </w:rPr>
        <w:t xml:space="preserve">adzoru </w:t>
      </w:r>
      <w:r w:rsidR="00B34E55" w:rsidRPr="00816E15">
        <w:rPr>
          <w:rFonts w:ascii="Times New Roman" w:hAnsi="Times New Roman" w:cs="Times New Roman"/>
          <w:sz w:val="24"/>
          <w:szCs w:val="24"/>
        </w:rPr>
        <w:t>F</w:t>
      </w:r>
      <w:r w:rsidR="00FC0800" w:rsidRPr="00816E15">
        <w:rPr>
          <w:rFonts w:ascii="Times New Roman" w:hAnsi="Times New Roman" w:cs="Times New Roman"/>
          <w:sz w:val="24"/>
          <w:szCs w:val="24"/>
        </w:rPr>
        <w:t>inansowego</w:t>
      </w:r>
      <w:r w:rsidR="00B34E55" w:rsidRPr="00816E15">
        <w:rPr>
          <w:rFonts w:ascii="Times New Roman" w:hAnsi="Times New Roman" w:cs="Times New Roman"/>
          <w:sz w:val="24"/>
          <w:szCs w:val="24"/>
        </w:rPr>
        <w:t>.</w:t>
      </w:r>
      <w:r w:rsidR="00041945" w:rsidRPr="00816E15">
        <w:rPr>
          <w:rFonts w:ascii="Times New Roman" w:hAnsi="Times New Roman" w:cs="Times New Roman"/>
          <w:sz w:val="24"/>
          <w:szCs w:val="24"/>
        </w:rPr>
        <w:t xml:space="preserve"> Mając na uwadze, </w:t>
      </w:r>
      <w:r w:rsidR="008238D7" w:rsidRPr="00816E15">
        <w:rPr>
          <w:rFonts w:ascii="Times New Roman" w:hAnsi="Times New Roman" w:cs="Times New Roman"/>
          <w:sz w:val="24"/>
          <w:szCs w:val="24"/>
        </w:rPr>
        <w:t xml:space="preserve">że </w:t>
      </w:r>
      <w:r w:rsidR="00041945" w:rsidRPr="00816E15">
        <w:rPr>
          <w:rFonts w:ascii="Times New Roman" w:hAnsi="Times New Roman" w:cs="Times New Roman"/>
          <w:sz w:val="24"/>
          <w:szCs w:val="24"/>
        </w:rPr>
        <w:t>Fundusz jest jedynym akcjonariuszem lub podmiotem dominującym instytucji pomostowej</w:t>
      </w:r>
      <w:r w:rsidR="00FC0800" w:rsidRPr="00816E15">
        <w:rPr>
          <w:rFonts w:ascii="Times New Roman" w:hAnsi="Times New Roman" w:cs="Times New Roman"/>
          <w:sz w:val="24"/>
          <w:szCs w:val="24"/>
        </w:rPr>
        <w:t>,</w:t>
      </w:r>
      <w:r w:rsidR="00041945" w:rsidRPr="00816E15">
        <w:rPr>
          <w:rFonts w:ascii="Times New Roman" w:hAnsi="Times New Roman" w:cs="Times New Roman"/>
          <w:sz w:val="24"/>
          <w:szCs w:val="24"/>
        </w:rPr>
        <w:t xml:space="preserve"> pozostawienie </w:t>
      </w:r>
      <w:r w:rsidR="00FC0800" w:rsidRPr="00816E15">
        <w:rPr>
          <w:rFonts w:ascii="Times New Roman" w:hAnsi="Times New Roman" w:cs="Times New Roman"/>
          <w:sz w:val="24"/>
          <w:szCs w:val="24"/>
        </w:rPr>
        <w:t xml:space="preserve">tego </w:t>
      </w:r>
      <w:r w:rsidR="00041945" w:rsidRPr="00816E15">
        <w:rPr>
          <w:rFonts w:ascii="Times New Roman" w:hAnsi="Times New Roman" w:cs="Times New Roman"/>
          <w:sz w:val="24"/>
          <w:szCs w:val="24"/>
        </w:rPr>
        <w:t>wymogu nie jest konieczne.</w:t>
      </w:r>
    </w:p>
    <w:p w14:paraId="7894E664" w14:textId="5974F4F4" w:rsidR="00356ADB" w:rsidRPr="00816E15" w:rsidRDefault="00356ADB" w:rsidP="00CF5AAF">
      <w:pPr>
        <w:pStyle w:val="Tekstpodstawowy3"/>
        <w:shd w:val="clear" w:color="auto" w:fill="auto"/>
        <w:spacing w:before="240" w:after="60" w:line="360" w:lineRule="auto"/>
        <w:ind w:left="40"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Dodawany </w:t>
      </w:r>
      <w:r w:rsidRPr="00816E15">
        <w:rPr>
          <w:rFonts w:ascii="Times New Roman" w:hAnsi="Times New Roman" w:cs="Times New Roman"/>
          <w:b/>
          <w:sz w:val="24"/>
          <w:szCs w:val="24"/>
        </w:rPr>
        <w:t xml:space="preserve">art. 181 ust. 6a </w:t>
      </w:r>
      <w:r w:rsidRPr="00816E15">
        <w:rPr>
          <w:rFonts w:ascii="Times New Roman" w:hAnsi="Times New Roman" w:cs="Times New Roman"/>
          <w:sz w:val="24"/>
          <w:szCs w:val="24"/>
        </w:rPr>
        <w:t xml:space="preserve">przewiduje wyłączenie </w:t>
      </w:r>
      <w:r w:rsidR="00FC0800" w:rsidRPr="00816E15">
        <w:rPr>
          <w:rFonts w:ascii="Times New Roman" w:hAnsi="Times New Roman" w:cs="Times New Roman"/>
          <w:sz w:val="24"/>
          <w:szCs w:val="24"/>
        </w:rPr>
        <w:t xml:space="preserve">wobec </w:t>
      </w:r>
      <w:r w:rsidRPr="00816E15">
        <w:rPr>
          <w:rFonts w:ascii="Times New Roman" w:hAnsi="Times New Roman" w:cs="Times New Roman"/>
          <w:sz w:val="24"/>
          <w:szCs w:val="24"/>
        </w:rPr>
        <w:t>instytucji pomostowej będącej bankiem zrzeszającym stosowania niektórych przepisów ustawy o funkcjonowaniu banków spółdzielczych, ich zrzeszaniu się i bankach zrzeszających</w:t>
      </w:r>
      <w:r w:rsidR="00FC0800" w:rsidRPr="00816E15">
        <w:rPr>
          <w:rFonts w:ascii="Times New Roman" w:hAnsi="Times New Roman" w:cs="Times New Roman"/>
          <w:sz w:val="24"/>
          <w:szCs w:val="24"/>
        </w:rPr>
        <w:t>,</w:t>
      </w:r>
      <w:r w:rsidRPr="00816E15">
        <w:rPr>
          <w:rFonts w:ascii="Times New Roman" w:hAnsi="Times New Roman" w:cs="Times New Roman"/>
          <w:sz w:val="24"/>
          <w:szCs w:val="24"/>
        </w:rPr>
        <w:t xml:space="preserve"> tj. art. 2 pkt 2 przewidującego tworzenie</w:t>
      </w:r>
      <w:r w:rsidR="00086C97">
        <w:rPr>
          <w:rFonts w:ascii="Times New Roman" w:hAnsi="Times New Roman" w:cs="Times New Roman"/>
          <w:sz w:val="24"/>
          <w:szCs w:val="24"/>
        </w:rPr>
        <w:t xml:space="preserve"> banku zrzeszającego przez banki</w:t>
      </w:r>
      <w:r w:rsidRPr="00816E15">
        <w:rPr>
          <w:rFonts w:ascii="Times New Roman" w:hAnsi="Times New Roman" w:cs="Times New Roman"/>
          <w:sz w:val="24"/>
          <w:szCs w:val="24"/>
        </w:rPr>
        <w:t xml:space="preserve"> spółdzielcze oraz art. 16 ust. 1 przewidującego obowiązek posiadania lub nabycia przez banki spółdzielcze co najmniej jednej akcji banku zrzeszającego. </w:t>
      </w:r>
      <w:r w:rsidRPr="00816E15">
        <w:rPr>
          <w:rFonts w:ascii="Times New Roman" w:hAnsi="Times New Roman" w:cs="Times New Roman"/>
          <w:w w:val="105"/>
          <w:sz w:val="24"/>
          <w:szCs w:val="24"/>
        </w:rPr>
        <w:t xml:space="preserve">Podobnie jak w zmienianym art. 121 ust. 6, w przypadku </w:t>
      </w:r>
      <w:r w:rsidRPr="00816E15">
        <w:rPr>
          <w:rFonts w:ascii="Times New Roman" w:hAnsi="Times New Roman" w:cs="Times New Roman"/>
          <w:color w:val="000000"/>
          <w:w w:val="105"/>
          <w:sz w:val="24"/>
          <w:szCs w:val="24"/>
        </w:rPr>
        <w:t xml:space="preserve">umorzenia akcji banku zrzeszającego może zaistnieć sytuacja, gdy na skutek tego umorzenia żaden z banków spółdzielczych </w:t>
      </w:r>
      <w:r w:rsidR="00280324">
        <w:rPr>
          <w:rFonts w:ascii="Times New Roman" w:hAnsi="Times New Roman" w:cs="Times New Roman"/>
          <w:color w:val="000000"/>
          <w:w w:val="105"/>
          <w:sz w:val="24"/>
          <w:szCs w:val="24"/>
        </w:rPr>
        <w:t>–</w:t>
      </w:r>
      <w:r w:rsidR="00FC0800" w:rsidRPr="00816E15">
        <w:rPr>
          <w:rFonts w:ascii="Times New Roman" w:hAnsi="Times New Roman" w:cs="Times New Roman"/>
          <w:color w:val="000000"/>
          <w:w w:val="105"/>
          <w:sz w:val="24"/>
          <w:szCs w:val="24"/>
        </w:rPr>
        <w:t xml:space="preserve"> </w:t>
      </w:r>
      <w:r w:rsidRPr="00816E15">
        <w:rPr>
          <w:rFonts w:ascii="Times New Roman" w:hAnsi="Times New Roman" w:cs="Times New Roman"/>
          <w:color w:val="000000"/>
          <w:w w:val="105"/>
          <w:sz w:val="24"/>
          <w:szCs w:val="24"/>
        </w:rPr>
        <w:t xml:space="preserve">dotychczasowych akcjonariuszy banku zrzeszającego nie będzie jego akcjonariuszem, skutkiem czego nie </w:t>
      </w:r>
      <w:r w:rsidR="00FC0800" w:rsidRPr="00816E15">
        <w:rPr>
          <w:rFonts w:ascii="Times New Roman" w:hAnsi="Times New Roman" w:cs="Times New Roman"/>
          <w:color w:val="000000"/>
          <w:w w:val="105"/>
          <w:sz w:val="24"/>
          <w:szCs w:val="24"/>
        </w:rPr>
        <w:t xml:space="preserve">będzie możliwe </w:t>
      </w:r>
      <w:r w:rsidRPr="00816E15">
        <w:rPr>
          <w:rFonts w:ascii="Times New Roman" w:hAnsi="Times New Roman" w:cs="Times New Roman"/>
          <w:color w:val="000000"/>
          <w:w w:val="105"/>
          <w:sz w:val="24"/>
          <w:szCs w:val="24"/>
        </w:rPr>
        <w:t>wykonywa</w:t>
      </w:r>
      <w:r w:rsidR="00FC0800" w:rsidRPr="00816E15">
        <w:rPr>
          <w:rFonts w:ascii="Times New Roman" w:hAnsi="Times New Roman" w:cs="Times New Roman"/>
          <w:color w:val="000000"/>
          <w:w w:val="105"/>
          <w:sz w:val="24"/>
          <w:szCs w:val="24"/>
        </w:rPr>
        <w:t>nie</w:t>
      </w:r>
      <w:r w:rsidRPr="00816E15">
        <w:rPr>
          <w:rFonts w:ascii="Times New Roman" w:hAnsi="Times New Roman" w:cs="Times New Roman"/>
          <w:color w:val="000000"/>
          <w:w w:val="105"/>
          <w:sz w:val="24"/>
          <w:szCs w:val="24"/>
        </w:rPr>
        <w:t xml:space="preserve"> prawa głosu z akcji. Kluczowe jest, że i</w:t>
      </w:r>
      <w:r w:rsidRPr="00816E15">
        <w:rPr>
          <w:rFonts w:ascii="Times New Roman" w:hAnsi="Times New Roman" w:cs="Times New Roman"/>
          <w:sz w:val="24"/>
          <w:szCs w:val="24"/>
        </w:rPr>
        <w:t xml:space="preserve">nstytucja pomostowa (będąca bankiem zrzeszającym) nie jest tworzona przez banki spółdzielcze, a jej jedynym akcjonariuszem lub podmiotem dominującym jest Fundusz. W konsekwencji nie spełnia ona definicji banku zrzeszającego określonej w ustawie o funkcjonowaniu banków spółdzielczych, </w:t>
      </w:r>
      <w:r w:rsidR="00FC0800" w:rsidRPr="00816E15">
        <w:rPr>
          <w:rFonts w:ascii="Times New Roman" w:hAnsi="Times New Roman" w:cs="Times New Roman"/>
          <w:sz w:val="24"/>
          <w:szCs w:val="24"/>
        </w:rPr>
        <w:t xml:space="preserve">ich zrzeszaniu się i bankach zrzeszających, </w:t>
      </w:r>
      <w:r w:rsidRPr="00816E15">
        <w:rPr>
          <w:rFonts w:ascii="Times New Roman" w:hAnsi="Times New Roman" w:cs="Times New Roman"/>
          <w:sz w:val="24"/>
          <w:szCs w:val="24"/>
        </w:rPr>
        <w:t>a więc n</w:t>
      </w:r>
      <w:r w:rsidRPr="00816E15">
        <w:rPr>
          <w:rFonts w:ascii="Times New Roman" w:hAnsi="Times New Roman" w:cs="Times New Roman"/>
          <w:color w:val="000000"/>
          <w:w w:val="105"/>
          <w:sz w:val="24"/>
          <w:szCs w:val="24"/>
        </w:rPr>
        <w:t>ie jest celowe egzekwowanie od banków spółdzielczych powiązań kapitałowych oraz prawnych (umowy) z bankiem zrzeszającym.</w:t>
      </w:r>
      <w:r w:rsidR="00816E15">
        <w:rPr>
          <w:rFonts w:ascii="Times New Roman" w:hAnsi="Times New Roman" w:cs="Times New Roman"/>
          <w:sz w:val="24"/>
          <w:szCs w:val="24"/>
        </w:rPr>
        <w:t xml:space="preserve"> </w:t>
      </w:r>
    </w:p>
    <w:p w14:paraId="457543C8" w14:textId="2F50C9E6" w:rsidR="00356ADB" w:rsidRPr="00816E15" w:rsidRDefault="002D6001" w:rsidP="00CF5AAF">
      <w:pPr>
        <w:pStyle w:val="Tekstpodstawowy3"/>
        <w:shd w:val="clear" w:color="auto" w:fill="auto"/>
        <w:spacing w:before="240" w:after="60" w:line="360" w:lineRule="auto"/>
        <w:ind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Zmiana brzmienia </w:t>
      </w:r>
      <w:r w:rsidRPr="00816E15">
        <w:rPr>
          <w:rFonts w:ascii="Times New Roman" w:hAnsi="Times New Roman" w:cs="Times New Roman"/>
          <w:b/>
          <w:sz w:val="24"/>
          <w:szCs w:val="24"/>
        </w:rPr>
        <w:t xml:space="preserve">art. 184 ust. </w:t>
      </w:r>
      <w:r w:rsidR="00B82282" w:rsidRPr="00816E15">
        <w:rPr>
          <w:rFonts w:ascii="Times New Roman" w:hAnsi="Times New Roman" w:cs="Times New Roman"/>
          <w:b/>
          <w:sz w:val="24"/>
          <w:szCs w:val="24"/>
        </w:rPr>
        <w:t>2</w:t>
      </w:r>
      <w:r w:rsidR="00B82282" w:rsidRPr="00816E15">
        <w:rPr>
          <w:rFonts w:ascii="Times New Roman" w:hAnsi="Times New Roman" w:cs="Times New Roman"/>
          <w:sz w:val="24"/>
          <w:szCs w:val="24"/>
        </w:rPr>
        <w:t xml:space="preserve"> polega na wprowadzeniu możliwości zezwolenia przez Komisję Nadzoru Finansowego na niespełnianie</w:t>
      </w:r>
      <w:r w:rsidR="00FB20CE" w:rsidRPr="00816E15">
        <w:rPr>
          <w:rFonts w:ascii="Times New Roman" w:hAnsi="Times New Roman" w:cs="Times New Roman"/>
          <w:sz w:val="24"/>
          <w:szCs w:val="24"/>
        </w:rPr>
        <w:t xml:space="preserve"> przez podmiot w restrukturyzacji </w:t>
      </w:r>
      <w:r w:rsidR="00B82282" w:rsidRPr="00816E15">
        <w:rPr>
          <w:rFonts w:ascii="Times New Roman" w:hAnsi="Times New Roman" w:cs="Times New Roman"/>
          <w:sz w:val="24"/>
          <w:szCs w:val="24"/>
        </w:rPr>
        <w:t xml:space="preserve">niektórych </w:t>
      </w:r>
      <w:r w:rsidR="00FB20CE" w:rsidRPr="00816E15">
        <w:rPr>
          <w:rFonts w:ascii="Times New Roman" w:hAnsi="Times New Roman" w:cs="Times New Roman"/>
          <w:sz w:val="24"/>
          <w:szCs w:val="24"/>
        </w:rPr>
        <w:t>wymogów regulacyjnych w przypadku gdy instytucja pomostowa posiada jedynie akcje lub udziały w podmiocie w restrukturyzacji</w:t>
      </w:r>
      <w:r w:rsidR="00B82282" w:rsidRPr="00816E15">
        <w:rPr>
          <w:rFonts w:ascii="Times New Roman" w:hAnsi="Times New Roman" w:cs="Times New Roman"/>
          <w:sz w:val="24"/>
          <w:szCs w:val="24"/>
        </w:rPr>
        <w:t xml:space="preserve"> i nie prowadzi działalności operacyjnej</w:t>
      </w:r>
      <w:r w:rsidR="00FB20CE" w:rsidRPr="00816E15">
        <w:rPr>
          <w:rFonts w:ascii="Times New Roman" w:hAnsi="Times New Roman" w:cs="Times New Roman"/>
          <w:sz w:val="24"/>
          <w:szCs w:val="24"/>
        </w:rPr>
        <w:t xml:space="preserve">. Pozwoli to na zachowanie porównywalności rozwiązań przewidzianych w przypadku przeniesienia przedsiębiorstwa podmiotu w restrukturyzacji </w:t>
      </w:r>
      <w:r w:rsidR="00B82282" w:rsidRPr="00816E15">
        <w:rPr>
          <w:rFonts w:ascii="Times New Roman" w:hAnsi="Times New Roman" w:cs="Times New Roman"/>
          <w:sz w:val="24"/>
          <w:szCs w:val="24"/>
        </w:rPr>
        <w:t xml:space="preserve">do </w:t>
      </w:r>
      <w:r w:rsidR="00FB20CE" w:rsidRPr="00816E15">
        <w:rPr>
          <w:rFonts w:ascii="Times New Roman" w:hAnsi="Times New Roman" w:cs="Times New Roman"/>
          <w:sz w:val="24"/>
          <w:szCs w:val="24"/>
        </w:rPr>
        <w:t xml:space="preserve">instytucji </w:t>
      </w:r>
      <w:r w:rsidR="00B82282" w:rsidRPr="00816E15">
        <w:rPr>
          <w:rFonts w:ascii="Times New Roman" w:hAnsi="Times New Roman" w:cs="Times New Roman"/>
          <w:sz w:val="24"/>
          <w:szCs w:val="24"/>
        </w:rPr>
        <w:t xml:space="preserve">pomostowej. </w:t>
      </w:r>
      <w:r w:rsidR="005637C1" w:rsidRPr="00816E15">
        <w:rPr>
          <w:rFonts w:ascii="Times New Roman" w:hAnsi="Times New Roman" w:cs="Times New Roman"/>
          <w:sz w:val="24"/>
          <w:szCs w:val="24"/>
        </w:rPr>
        <w:t>Odpowiednie stosowanie przepisu art. 185 ma zapewnić</w:t>
      </w:r>
      <w:r w:rsidR="00585603" w:rsidRPr="00816E15">
        <w:rPr>
          <w:rFonts w:ascii="Times New Roman" w:hAnsi="Times New Roman" w:cs="Times New Roman"/>
          <w:sz w:val="24"/>
          <w:szCs w:val="24"/>
        </w:rPr>
        <w:t xml:space="preserve"> </w:t>
      </w:r>
      <w:r w:rsidR="00F84432" w:rsidRPr="00816E15">
        <w:rPr>
          <w:rFonts w:ascii="Times New Roman" w:hAnsi="Times New Roman" w:cs="Times New Roman"/>
          <w:sz w:val="24"/>
          <w:szCs w:val="24"/>
        </w:rPr>
        <w:t>–</w:t>
      </w:r>
      <w:r w:rsidR="00585603" w:rsidRPr="00816E15">
        <w:rPr>
          <w:rFonts w:ascii="Times New Roman" w:hAnsi="Times New Roman" w:cs="Times New Roman"/>
          <w:sz w:val="24"/>
          <w:szCs w:val="24"/>
        </w:rPr>
        <w:t xml:space="preserve"> </w:t>
      </w:r>
      <w:r w:rsidR="003A4A84" w:rsidRPr="00816E15">
        <w:rPr>
          <w:rFonts w:ascii="Times New Roman" w:hAnsi="Times New Roman" w:cs="Times New Roman"/>
          <w:sz w:val="24"/>
          <w:szCs w:val="24"/>
        </w:rPr>
        <w:t>w przypadku gdy jest to konieczne dla osiągnięcia celów przymusowej restrukturyzacji, a więc gdy instytucji pomostowa nie będzie mogła utrzymać sumy funduszy własnych na wymaganym poziomie</w:t>
      </w:r>
      <w:r w:rsidR="00585603" w:rsidRPr="00816E15">
        <w:rPr>
          <w:rFonts w:ascii="Times New Roman" w:hAnsi="Times New Roman" w:cs="Times New Roman"/>
          <w:sz w:val="24"/>
          <w:szCs w:val="24"/>
        </w:rPr>
        <w:t xml:space="preserve"> </w:t>
      </w:r>
      <w:r w:rsidR="00F84432" w:rsidRPr="00816E15">
        <w:rPr>
          <w:rFonts w:ascii="Times New Roman" w:hAnsi="Times New Roman" w:cs="Times New Roman"/>
          <w:sz w:val="24"/>
          <w:szCs w:val="24"/>
        </w:rPr>
        <w:t>–</w:t>
      </w:r>
      <w:r w:rsidR="00816E15">
        <w:rPr>
          <w:rFonts w:ascii="Times New Roman" w:hAnsi="Times New Roman" w:cs="Times New Roman"/>
          <w:sz w:val="24"/>
          <w:szCs w:val="24"/>
        </w:rPr>
        <w:t xml:space="preserve"> </w:t>
      </w:r>
      <w:r w:rsidR="003A4A84" w:rsidRPr="00816E15">
        <w:rPr>
          <w:rFonts w:ascii="Times New Roman" w:hAnsi="Times New Roman" w:cs="Times New Roman"/>
          <w:sz w:val="24"/>
          <w:szCs w:val="24"/>
        </w:rPr>
        <w:t>przyspieszeni</w:t>
      </w:r>
      <w:r w:rsidR="00585603" w:rsidRPr="00816E15">
        <w:rPr>
          <w:rFonts w:ascii="Times New Roman" w:hAnsi="Times New Roman" w:cs="Times New Roman"/>
          <w:sz w:val="24"/>
          <w:szCs w:val="24"/>
        </w:rPr>
        <w:t>e</w:t>
      </w:r>
      <w:r w:rsidR="003A4A84" w:rsidRPr="00816E15">
        <w:rPr>
          <w:rFonts w:ascii="Times New Roman" w:hAnsi="Times New Roman" w:cs="Times New Roman"/>
          <w:sz w:val="24"/>
          <w:szCs w:val="24"/>
        </w:rPr>
        <w:t xml:space="preserve"> trybu przewidzianego z art. 181 przez możliwość uzyskania zezwolenia wyłączającego wymogi przepisów rozporządzenia </w:t>
      </w:r>
      <w:r w:rsidR="00E6482A" w:rsidRPr="00816E15">
        <w:rPr>
          <w:rFonts w:ascii="Times New Roman" w:hAnsi="Times New Roman" w:cs="Times New Roman"/>
          <w:sz w:val="24"/>
          <w:szCs w:val="24"/>
        </w:rPr>
        <w:t>w sprawie wymogów kapitałowych</w:t>
      </w:r>
      <w:r w:rsidR="003A4A84" w:rsidRPr="00816E15">
        <w:rPr>
          <w:rFonts w:ascii="Times New Roman" w:hAnsi="Times New Roman" w:cs="Times New Roman"/>
          <w:sz w:val="24"/>
          <w:szCs w:val="24"/>
        </w:rPr>
        <w:t>, według trybu z art. 185.</w:t>
      </w:r>
    </w:p>
    <w:p w14:paraId="6626A119" w14:textId="21687EF8" w:rsidR="00A26FB9" w:rsidRPr="00816E15" w:rsidRDefault="00B82282" w:rsidP="00CF5AAF">
      <w:pPr>
        <w:pStyle w:val="Tekstpodstawowy3"/>
        <w:shd w:val="clear" w:color="auto" w:fill="auto"/>
        <w:spacing w:before="240" w:after="60" w:line="360" w:lineRule="auto"/>
        <w:ind w:left="40" w:right="40" w:firstLine="0"/>
        <w:jc w:val="both"/>
        <w:rPr>
          <w:rFonts w:ascii="Times New Roman" w:hAnsi="Times New Roman" w:cs="Times New Roman"/>
          <w:sz w:val="24"/>
          <w:szCs w:val="24"/>
        </w:rPr>
      </w:pPr>
      <w:r w:rsidRPr="00816E15">
        <w:rPr>
          <w:rFonts w:ascii="Times New Roman" w:hAnsi="Times New Roman" w:cs="Times New Roman"/>
          <w:sz w:val="24"/>
          <w:szCs w:val="24"/>
        </w:rPr>
        <w:t>Dodanie</w:t>
      </w:r>
      <w:r w:rsidR="008C5BDA" w:rsidRPr="00816E15">
        <w:rPr>
          <w:rFonts w:ascii="Times New Roman" w:hAnsi="Times New Roman" w:cs="Times New Roman"/>
          <w:sz w:val="24"/>
          <w:szCs w:val="24"/>
        </w:rPr>
        <w:t xml:space="preserve"> </w:t>
      </w:r>
      <w:r w:rsidR="008C5BDA" w:rsidRPr="00816E15">
        <w:rPr>
          <w:rFonts w:ascii="Times New Roman" w:hAnsi="Times New Roman" w:cs="Times New Roman"/>
          <w:b/>
          <w:sz w:val="24"/>
          <w:szCs w:val="24"/>
        </w:rPr>
        <w:t>w</w:t>
      </w:r>
      <w:r w:rsidR="00A26FB9" w:rsidRPr="00816E15">
        <w:rPr>
          <w:rFonts w:ascii="Times New Roman" w:hAnsi="Times New Roman" w:cs="Times New Roman"/>
          <w:b/>
          <w:sz w:val="24"/>
          <w:szCs w:val="24"/>
        </w:rPr>
        <w:t xml:space="preserve"> art. 185</w:t>
      </w:r>
      <w:r w:rsidR="00A26FB9" w:rsidRPr="00816E15">
        <w:rPr>
          <w:rFonts w:ascii="Times New Roman" w:hAnsi="Times New Roman" w:cs="Times New Roman"/>
          <w:sz w:val="24"/>
          <w:szCs w:val="24"/>
        </w:rPr>
        <w:t xml:space="preserve"> </w:t>
      </w:r>
      <w:r w:rsidR="002A653F" w:rsidRPr="00816E15">
        <w:rPr>
          <w:rFonts w:ascii="Times New Roman" w:hAnsi="Times New Roman" w:cs="Times New Roman"/>
          <w:b/>
          <w:sz w:val="24"/>
          <w:szCs w:val="24"/>
        </w:rPr>
        <w:t xml:space="preserve">ust. 1a </w:t>
      </w:r>
      <w:r w:rsidR="008C5BDA" w:rsidRPr="00816E15">
        <w:rPr>
          <w:rFonts w:ascii="Times New Roman" w:hAnsi="Times New Roman" w:cs="Times New Roman"/>
          <w:sz w:val="24"/>
          <w:szCs w:val="24"/>
        </w:rPr>
        <w:t xml:space="preserve">przewiduje wyłączenie stosowania art. 36 ustawy – Prawo </w:t>
      </w:r>
      <w:r w:rsidR="00585603" w:rsidRPr="00816E15">
        <w:rPr>
          <w:rFonts w:ascii="Times New Roman" w:hAnsi="Times New Roman" w:cs="Times New Roman"/>
          <w:sz w:val="24"/>
          <w:szCs w:val="24"/>
        </w:rPr>
        <w:t>b</w:t>
      </w:r>
      <w:r w:rsidR="008C5BDA" w:rsidRPr="00816E15">
        <w:rPr>
          <w:rFonts w:ascii="Times New Roman" w:hAnsi="Times New Roman" w:cs="Times New Roman"/>
          <w:sz w:val="24"/>
          <w:szCs w:val="24"/>
        </w:rPr>
        <w:t xml:space="preserve">ankowe </w:t>
      </w:r>
      <w:r w:rsidR="00FD3F70" w:rsidRPr="00816E15">
        <w:rPr>
          <w:rFonts w:ascii="Times New Roman" w:hAnsi="Times New Roman" w:cs="Times New Roman"/>
          <w:sz w:val="24"/>
          <w:szCs w:val="24"/>
        </w:rPr>
        <w:t xml:space="preserve">w </w:t>
      </w:r>
      <w:r w:rsidR="00352423" w:rsidRPr="00816E15">
        <w:rPr>
          <w:rFonts w:ascii="Times New Roman" w:hAnsi="Times New Roman" w:cs="Times New Roman"/>
          <w:sz w:val="24"/>
          <w:szCs w:val="24"/>
        </w:rPr>
        <w:t>cel</w:t>
      </w:r>
      <w:r w:rsidR="00FD3F70" w:rsidRPr="00816E15">
        <w:rPr>
          <w:rFonts w:ascii="Times New Roman" w:hAnsi="Times New Roman" w:cs="Times New Roman"/>
          <w:sz w:val="24"/>
          <w:szCs w:val="24"/>
        </w:rPr>
        <w:t>u</w:t>
      </w:r>
      <w:r w:rsidR="00352423" w:rsidRPr="00816E15">
        <w:rPr>
          <w:rFonts w:ascii="Times New Roman" w:hAnsi="Times New Roman" w:cs="Times New Roman"/>
          <w:sz w:val="24"/>
          <w:szCs w:val="24"/>
        </w:rPr>
        <w:t xml:space="preserve"> </w:t>
      </w:r>
      <w:r w:rsidR="006639D5" w:rsidRPr="00816E15">
        <w:rPr>
          <w:rFonts w:ascii="Times New Roman" w:hAnsi="Times New Roman" w:cs="Times New Roman"/>
          <w:sz w:val="24"/>
          <w:szCs w:val="24"/>
        </w:rPr>
        <w:t>wyeliminowania obowiązku występowania o wydanie zezwolenia na prowadzenie działalności przez instytucję pomostową</w:t>
      </w:r>
      <w:r w:rsidR="00083EE4" w:rsidRPr="00816E15">
        <w:rPr>
          <w:rFonts w:ascii="Times New Roman" w:hAnsi="Times New Roman" w:cs="Times New Roman"/>
          <w:sz w:val="24"/>
          <w:szCs w:val="24"/>
        </w:rPr>
        <w:t xml:space="preserve"> będącą bankiem</w:t>
      </w:r>
      <w:r w:rsidR="006639D5" w:rsidRPr="00816E15">
        <w:rPr>
          <w:rFonts w:ascii="Times New Roman" w:hAnsi="Times New Roman" w:cs="Times New Roman"/>
          <w:sz w:val="24"/>
          <w:szCs w:val="24"/>
        </w:rPr>
        <w:t>,</w:t>
      </w:r>
      <w:r w:rsidR="00352423" w:rsidRPr="00816E15">
        <w:rPr>
          <w:rFonts w:ascii="Times New Roman" w:hAnsi="Times New Roman" w:cs="Times New Roman"/>
          <w:sz w:val="24"/>
          <w:szCs w:val="24"/>
        </w:rPr>
        <w:t xml:space="preserve"> </w:t>
      </w:r>
      <w:r w:rsidR="008C5BDA" w:rsidRPr="00816E15">
        <w:rPr>
          <w:rFonts w:ascii="Times New Roman" w:hAnsi="Times New Roman" w:cs="Times New Roman"/>
          <w:sz w:val="24"/>
          <w:szCs w:val="24"/>
        </w:rPr>
        <w:t xml:space="preserve">w </w:t>
      </w:r>
      <w:r w:rsidR="00083EE4" w:rsidRPr="00816E15">
        <w:rPr>
          <w:rFonts w:ascii="Times New Roman" w:hAnsi="Times New Roman" w:cs="Times New Roman"/>
          <w:sz w:val="24"/>
          <w:szCs w:val="24"/>
        </w:rPr>
        <w:t>szczególnym</w:t>
      </w:r>
      <w:r w:rsidR="00635F04" w:rsidRPr="00816E15">
        <w:rPr>
          <w:rFonts w:ascii="Times New Roman" w:hAnsi="Times New Roman" w:cs="Times New Roman"/>
          <w:sz w:val="24"/>
          <w:szCs w:val="24"/>
        </w:rPr>
        <w:t xml:space="preserve"> </w:t>
      </w:r>
      <w:r w:rsidR="008C5BDA" w:rsidRPr="00816E15">
        <w:rPr>
          <w:rFonts w:ascii="Times New Roman" w:hAnsi="Times New Roman" w:cs="Times New Roman"/>
          <w:sz w:val="24"/>
          <w:szCs w:val="24"/>
        </w:rPr>
        <w:t xml:space="preserve">przypadku </w:t>
      </w:r>
      <w:r w:rsidR="00083EE4" w:rsidRPr="00816E15">
        <w:rPr>
          <w:rFonts w:ascii="Times New Roman" w:hAnsi="Times New Roman" w:cs="Times New Roman"/>
          <w:sz w:val="24"/>
          <w:szCs w:val="24"/>
        </w:rPr>
        <w:t xml:space="preserve">jej </w:t>
      </w:r>
      <w:r w:rsidR="00352423" w:rsidRPr="00816E15">
        <w:rPr>
          <w:rFonts w:ascii="Times New Roman" w:hAnsi="Times New Roman" w:cs="Times New Roman"/>
          <w:sz w:val="24"/>
          <w:szCs w:val="24"/>
        </w:rPr>
        <w:t>u</w:t>
      </w:r>
      <w:r w:rsidR="008C5BDA" w:rsidRPr="00816E15">
        <w:rPr>
          <w:rFonts w:ascii="Times New Roman" w:hAnsi="Times New Roman" w:cs="Times New Roman"/>
          <w:sz w:val="24"/>
          <w:szCs w:val="24"/>
        </w:rPr>
        <w:t xml:space="preserve">tworzenia </w:t>
      </w:r>
      <w:r w:rsidR="00635F04" w:rsidRPr="00816E15">
        <w:rPr>
          <w:rFonts w:ascii="Times New Roman" w:hAnsi="Times New Roman" w:cs="Times New Roman"/>
          <w:sz w:val="24"/>
          <w:szCs w:val="24"/>
        </w:rPr>
        <w:t>mimo nie</w:t>
      </w:r>
      <w:r w:rsidR="00352423" w:rsidRPr="00816E15">
        <w:rPr>
          <w:rFonts w:ascii="Times New Roman" w:hAnsi="Times New Roman" w:cs="Times New Roman"/>
          <w:sz w:val="24"/>
          <w:szCs w:val="24"/>
        </w:rPr>
        <w:t>spełnienia niektórych wymogów.</w:t>
      </w:r>
      <w:r w:rsidR="009A779B" w:rsidRPr="00816E15">
        <w:rPr>
          <w:rFonts w:ascii="Times New Roman" w:hAnsi="Times New Roman" w:cs="Times New Roman"/>
          <w:sz w:val="24"/>
          <w:szCs w:val="24"/>
        </w:rPr>
        <w:t xml:space="preserve"> Zgodnie z art. 30a w zw. z art. 31 oraz art. 36 </w:t>
      </w:r>
      <w:r w:rsidR="00120A01" w:rsidRPr="00816E15">
        <w:rPr>
          <w:rFonts w:ascii="Times New Roman" w:hAnsi="Times New Roman" w:cs="Times New Roman"/>
          <w:sz w:val="24"/>
          <w:szCs w:val="24"/>
        </w:rPr>
        <w:t xml:space="preserve">tej </w:t>
      </w:r>
      <w:r w:rsidR="00D71EA4" w:rsidRPr="00816E15">
        <w:rPr>
          <w:rFonts w:ascii="Times New Roman" w:hAnsi="Times New Roman" w:cs="Times New Roman"/>
          <w:sz w:val="24"/>
          <w:szCs w:val="24"/>
        </w:rPr>
        <w:t>ustawy</w:t>
      </w:r>
      <w:r w:rsidR="00120A01" w:rsidRPr="00816E15">
        <w:rPr>
          <w:rFonts w:ascii="Times New Roman" w:hAnsi="Times New Roman" w:cs="Times New Roman"/>
          <w:sz w:val="24"/>
          <w:szCs w:val="24"/>
        </w:rPr>
        <w:t xml:space="preserve"> </w:t>
      </w:r>
      <w:r w:rsidR="00BF3D00" w:rsidRPr="00816E15">
        <w:rPr>
          <w:rFonts w:ascii="Times New Roman" w:hAnsi="Times New Roman" w:cs="Times New Roman"/>
          <w:sz w:val="24"/>
          <w:szCs w:val="24"/>
        </w:rPr>
        <w:t xml:space="preserve">bank może występować w obrocie gospodarczym po uzyskaniu zezwolenia na utworzenie i zezwolenia na rozpoczęcie działalności. Utrata mocy prawnej zezwolenia to okres nie dłuższy niż 6 miesięcy. Termin ten jest podyktowany zapewnieniem czasu na zorganizowanie dokumentacji, procedur, warunków techniczny i kapitału. W przypadku utworzenia </w:t>
      </w:r>
      <w:r w:rsidR="00BF3D00" w:rsidRPr="00816E15">
        <w:rPr>
          <w:rFonts w:ascii="Times New Roman" w:hAnsi="Times New Roman" w:cs="Times New Roman"/>
          <w:i/>
          <w:sz w:val="24"/>
          <w:szCs w:val="24"/>
        </w:rPr>
        <w:t>ad hoc</w:t>
      </w:r>
      <w:r w:rsidR="00BF3D00" w:rsidRPr="00816E15">
        <w:rPr>
          <w:rFonts w:ascii="Times New Roman" w:hAnsi="Times New Roman" w:cs="Times New Roman"/>
          <w:sz w:val="24"/>
          <w:szCs w:val="24"/>
        </w:rPr>
        <w:t xml:space="preserve"> instytucji pomostowej </w:t>
      </w:r>
      <w:r w:rsidR="00A27EA4" w:rsidRPr="00816E15">
        <w:rPr>
          <w:rFonts w:ascii="Times New Roman" w:hAnsi="Times New Roman" w:cs="Times New Roman"/>
          <w:sz w:val="24"/>
          <w:szCs w:val="24"/>
        </w:rPr>
        <w:t xml:space="preserve">nie jest możliwe zapewnienie podobnych ram czasowych oraz sprostanie podobnym wymaganiom. W związku z powyższym konieczne jest przygotowanie </w:t>
      </w:r>
      <w:r w:rsidR="006C0907" w:rsidRPr="00816E15">
        <w:rPr>
          <w:rFonts w:ascii="Times New Roman" w:hAnsi="Times New Roman" w:cs="Times New Roman"/>
          <w:sz w:val="24"/>
          <w:szCs w:val="24"/>
        </w:rPr>
        <w:t>podstaw prawnych do zastosowania instrumentu przymusowej restrukturyzacji w pilnej i nagłej potrzebie.</w:t>
      </w:r>
    </w:p>
    <w:p w14:paraId="7AE36D8C" w14:textId="729298AE" w:rsidR="00B82282" w:rsidRPr="00816E15" w:rsidRDefault="00560551" w:rsidP="00CF5AAF">
      <w:pPr>
        <w:spacing w:before="240" w:line="360" w:lineRule="auto"/>
        <w:jc w:val="both"/>
        <w:rPr>
          <w:rFonts w:cs="Times New Roman"/>
          <w:szCs w:val="24"/>
        </w:rPr>
      </w:pPr>
      <w:r w:rsidRPr="00816E15">
        <w:rPr>
          <w:rFonts w:eastAsia="Arial" w:cs="Times New Roman"/>
          <w:szCs w:val="24"/>
        </w:rPr>
        <w:t>W</w:t>
      </w:r>
      <w:r w:rsidR="00B82282" w:rsidRPr="00816E15">
        <w:rPr>
          <w:rFonts w:eastAsia="Arial" w:cs="Times New Roman"/>
          <w:szCs w:val="24"/>
        </w:rPr>
        <w:t xml:space="preserve"> </w:t>
      </w:r>
      <w:r w:rsidRPr="00816E15">
        <w:rPr>
          <w:rFonts w:eastAsia="Arial" w:cs="Times New Roman"/>
          <w:b/>
          <w:szCs w:val="24"/>
        </w:rPr>
        <w:t>art. 185</w:t>
      </w:r>
      <w:r w:rsidR="00B82282" w:rsidRPr="00816E15">
        <w:rPr>
          <w:rFonts w:eastAsia="Arial" w:cs="Times New Roman"/>
          <w:b/>
          <w:szCs w:val="24"/>
        </w:rPr>
        <w:t xml:space="preserve"> ust. 4</w:t>
      </w:r>
      <w:r w:rsidR="00B82282" w:rsidRPr="00816E15">
        <w:rPr>
          <w:rFonts w:eastAsia="Arial" w:cs="Times New Roman"/>
          <w:szCs w:val="24"/>
        </w:rPr>
        <w:t xml:space="preserve"> dokonano </w:t>
      </w:r>
      <w:r w:rsidR="00EB6D03" w:rsidRPr="00816E15">
        <w:rPr>
          <w:rFonts w:eastAsia="Arial" w:cs="Times New Roman"/>
          <w:szCs w:val="24"/>
        </w:rPr>
        <w:t xml:space="preserve">analogicznej zmiany do wprowadzonej już w </w:t>
      </w:r>
      <w:r w:rsidR="00EB6D03" w:rsidRPr="00816E15">
        <w:rPr>
          <w:rFonts w:cs="Times New Roman"/>
          <w:szCs w:val="24"/>
        </w:rPr>
        <w:t>art. 174 ust. 3</w:t>
      </w:r>
      <w:r w:rsidR="00C74116" w:rsidRPr="00816E15">
        <w:rPr>
          <w:rFonts w:cs="Times New Roman"/>
          <w:szCs w:val="24"/>
        </w:rPr>
        <w:t>,</w:t>
      </w:r>
      <w:r w:rsidRPr="00816E15">
        <w:rPr>
          <w:rFonts w:cs="Times New Roman"/>
          <w:szCs w:val="24"/>
        </w:rPr>
        <w:t xml:space="preserve"> tj. modyfikacji (niedookreślonego) terminu</w:t>
      </w:r>
      <w:r w:rsidR="00C74116" w:rsidRPr="00816E15">
        <w:rPr>
          <w:rFonts w:cs="Times New Roman"/>
          <w:szCs w:val="24"/>
        </w:rPr>
        <w:t xml:space="preserve">, </w:t>
      </w:r>
      <w:r w:rsidRPr="00816E15">
        <w:rPr>
          <w:rFonts w:cs="Times New Roman"/>
          <w:szCs w:val="24"/>
        </w:rPr>
        <w:t xml:space="preserve">w jakim Komisja Nadzoru Finansowego powinna udzielić niezbędnego zezwolenia podmiotowi przejmującego określoną działalność w </w:t>
      </w:r>
      <w:r w:rsidR="00C74116" w:rsidRPr="00816E15">
        <w:rPr>
          <w:rFonts w:cs="Times New Roman"/>
          <w:szCs w:val="24"/>
        </w:rPr>
        <w:t xml:space="preserve">związku z </w:t>
      </w:r>
      <w:r w:rsidRPr="00816E15">
        <w:rPr>
          <w:rFonts w:cs="Times New Roman"/>
          <w:szCs w:val="24"/>
        </w:rPr>
        <w:t>proces</w:t>
      </w:r>
      <w:r w:rsidR="00C74116" w:rsidRPr="00816E15">
        <w:rPr>
          <w:rFonts w:cs="Times New Roman"/>
          <w:szCs w:val="24"/>
        </w:rPr>
        <w:t xml:space="preserve">em </w:t>
      </w:r>
      <w:r w:rsidRPr="00816E15">
        <w:rPr>
          <w:rFonts w:cs="Times New Roman"/>
          <w:szCs w:val="24"/>
        </w:rPr>
        <w:t>przymusowej restrukturyzacji</w:t>
      </w:r>
      <w:r w:rsidR="00086C97">
        <w:rPr>
          <w:rFonts w:cs="Times New Roman"/>
          <w:szCs w:val="24"/>
        </w:rPr>
        <w:t>.</w:t>
      </w:r>
      <w:r w:rsidRPr="00816E15">
        <w:rPr>
          <w:rFonts w:cs="Times New Roman"/>
          <w:szCs w:val="24"/>
        </w:rPr>
        <w:t xml:space="preserve"> Powyższ</w:t>
      </w:r>
      <w:r w:rsidR="00C74116" w:rsidRPr="00816E15">
        <w:rPr>
          <w:rFonts w:cs="Times New Roman"/>
          <w:szCs w:val="24"/>
        </w:rPr>
        <w:t>e</w:t>
      </w:r>
      <w:r w:rsidRPr="00816E15">
        <w:rPr>
          <w:rFonts w:cs="Times New Roman"/>
          <w:szCs w:val="24"/>
        </w:rPr>
        <w:t xml:space="preserve"> ramy czasowe znajdą zastosowanie zarówno w przypadku stosowania trybu utworzenia instytucji pomostowej z</w:t>
      </w:r>
      <w:r w:rsidR="00723542">
        <w:rPr>
          <w:rFonts w:cs="Times New Roman"/>
          <w:szCs w:val="24"/>
        </w:rPr>
        <w:t> </w:t>
      </w:r>
      <w:r w:rsidRPr="00816E15">
        <w:rPr>
          <w:rFonts w:cs="Times New Roman"/>
          <w:szCs w:val="24"/>
        </w:rPr>
        <w:t>art.</w:t>
      </w:r>
      <w:r w:rsidR="00723542">
        <w:rPr>
          <w:rFonts w:cs="Times New Roman"/>
          <w:szCs w:val="24"/>
        </w:rPr>
        <w:t> </w:t>
      </w:r>
      <w:r w:rsidRPr="00816E15">
        <w:rPr>
          <w:rFonts w:cs="Times New Roman"/>
          <w:szCs w:val="24"/>
        </w:rPr>
        <w:t>185</w:t>
      </w:r>
      <w:r w:rsidR="00C74116" w:rsidRPr="00816E15">
        <w:rPr>
          <w:rFonts w:cs="Times New Roman"/>
          <w:szCs w:val="24"/>
        </w:rPr>
        <w:t>,</w:t>
      </w:r>
      <w:r w:rsidRPr="00816E15">
        <w:rPr>
          <w:rFonts w:cs="Times New Roman"/>
          <w:szCs w:val="24"/>
        </w:rPr>
        <w:t xml:space="preserve"> jak i przejścia z trybu z art. 181 do trybu z art. 185.</w:t>
      </w:r>
    </w:p>
    <w:p w14:paraId="35A2CC4C" w14:textId="4316D303" w:rsidR="001C6BE4" w:rsidRPr="00816E15" w:rsidRDefault="00C607F0" w:rsidP="00CF5AAF">
      <w:pPr>
        <w:spacing w:line="360" w:lineRule="auto"/>
        <w:jc w:val="both"/>
        <w:rPr>
          <w:rFonts w:cs="Times New Roman"/>
          <w:szCs w:val="24"/>
        </w:rPr>
      </w:pPr>
      <w:r w:rsidRPr="00816E15">
        <w:rPr>
          <w:rFonts w:cs="Times New Roman"/>
          <w:szCs w:val="24"/>
        </w:rPr>
        <w:t xml:space="preserve">Zmiana w </w:t>
      </w:r>
      <w:r w:rsidRPr="00816E15">
        <w:rPr>
          <w:rFonts w:cs="Times New Roman"/>
          <w:b/>
          <w:szCs w:val="24"/>
        </w:rPr>
        <w:t xml:space="preserve">art. 188 ust. 1 pkt 2 </w:t>
      </w:r>
      <w:r w:rsidRPr="00816E15">
        <w:rPr>
          <w:rFonts w:cs="Times New Roman"/>
          <w:szCs w:val="24"/>
        </w:rPr>
        <w:t xml:space="preserve">ma na celu ujednolicenie </w:t>
      </w:r>
      <w:r w:rsidR="00C74116" w:rsidRPr="00816E15">
        <w:rPr>
          <w:rFonts w:cs="Times New Roman"/>
          <w:szCs w:val="24"/>
        </w:rPr>
        <w:t>konstrukcji</w:t>
      </w:r>
      <w:r w:rsidR="00816E15">
        <w:rPr>
          <w:rFonts w:cs="Times New Roman"/>
          <w:szCs w:val="24"/>
        </w:rPr>
        <w:t xml:space="preserve"> </w:t>
      </w:r>
      <w:r w:rsidRPr="00816E15">
        <w:rPr>
          <w:rFonts w:cs="Times New Roman"/>
          <w:szCs w:val="24"/>
        </w:rPr>
        <w:t>instytucji pomostowej albo podmiotu przejmującego</w:t>
      </w:r>
      <w:r w:rsidR="00C74116" w:rsidRPr="00816E15">
        <w:rPr>
          <w:rFonts w:cs="Times New Roman"/>
          <w:szCs w:val="24"/>
        </w:rPr>
        <w:t>,</w:t>
      </w:r>
      <w:r w:rsidRPr="00816E15">
        <w:rPr>
          <w:rFonts w:cs="Times New Roman"/>
          <w:szCs w:val="24"/>
        </w:rPr>
        <w:t xml:space="preserve"> w ramach które</w:t>
      </w:r>
      <w:r w:rsidR="00C74116" w:rsidRPr="00816E15">
        <w:rPr>
          <w:rFonts w:cs="Times New Roman"/>
          <w:szCs w:val="24"/>
        </w:rPr>
        <w:t>j</w:t>
      </w:r>
      <w:r w:rsidRPr="00816E15">
        <w:rPr>
          <w:rFonts w:cs="Times New Roman"/>
          <w:szCs w:val="24"/>
        </w:rPr>
        <w:t xml:space="preserve"> jednym ze składników może być przedsiębiorstwo. Przyjmuje się, że „zorganizowana część”, z uwagi na substrat</w:t>
      </w:r>
      <w:r w:rsidR="00C74116" w:rsidRPr="00816E15">
        <w:rPr>
          <w:rFonts w:cs="Times New Roman"/>
          <w:szCs w:val="24"/>
        </w:rPr>
        <w:t>,</w:t>
      </w:r>
      <w:r w:rsidRPr="00816E15">
        <w:rPr>
          <w:rFonts w:cs="Times New Roman"/>
          <w:szCs w:val="24"/>
        </w:rPr>
        <w:t xml:space="preserve"> jakim dysponują banki</w:t>
      </w:r>
      <w:r w:rsidR="00C74116" w:rsidRPr="00816E15">
        <w:rPr>
          <w:rFonts w:cs="Times New Roman"/>
          <w:szCs w:val="24"/>
        </w:rPr>
        <w:t>,</w:t>
      </w:r>
      <w:r w:rsidRPr="00816E15">
        <w:rPr>
          <w:rFonts w:cs="Times New Roman"/>
          <w:szCs w:val="24"/>
        </w:rPr>
        <w:t xml:space="preserve"> oraz cele przymusowej restrukturyzacji</w:t>
      </w:r>
      <w:r w:rsidR="00C74116" w:rsidRPr="00816E15">
        <w:rPr>
          <w:rFonts w:cs="Times New Roman"/>
          <w:szCs w:val="24"/>
        </w:rPr>
        <w:t>,</w:t>
      </w:r>
      <w:r w:rsidRPr="00816E15">
        <w:rPr>
          <w:rFonts w:cs="Times New Roman"/>
          <w:szCs w:val="24"/>
        </w:rPr>
        <w:t xml:space="preserve"> </w:t>
      </w:r>
      <w:r w:rsidR="00C74116" w:rsidRPr="00816E15">
        <w:rPr>
          <w:rFonts w:cs="Times New Roman"/>
          <w:szCs w:val="24"/>
        </w:rPr>
        <w:t xml:space="preserve">może </w:t>
      </w:r>
      <w:r w:rsidRPr="00816E15">
        <w:rPr>
          <w:rFonts w:cs="Times New Roman"/>
          <w:szCs w:val="24"/>
        </w:rPr>
        <w:t xml:space="preserve">nie być wystarczające. Byt prawny wyodrębnionej części przedsiębiorstwa, która nie zostałaby włączona do instytucji pomostowej </w:t>
      </w:r>
      <w:r w:rsidR="00CA721E" w:rsidRPr="00816E15">
        <w:rPr>
          <w:rFonts w:cs="Times New Roman"/>
          <w:szCs w:val="24"/>
        </w:rPr>
        <w:t xml:space="preserve">mógłby prowadzić do dalszych, większych strat, ponoszonych przez </w:t>
      </w:r>
      <w:r w:rsidR="00C74116" w:rsidRPr="00816E15">
        <w:rPr>
          <w:rFonts w:cs="Times New Roman"/>
          <w:szCs w:val="24"/>
        </w:rPr>
        <w:t xml:space="preserve">przedsiębiorstwo </w:t>
      </w:r>
      <w:r w:rsidR="00CA721E" w:rsidRPr="00816E15">
        <w:rPr>
          <w:rFonts w:cs="Times New Roman"/>
          <w:szCs w:val="24"/>
        </w:rPr>
        <w:t>restrukturyzowane w ramach instytucji pomostowej. W kontekście możliwości skorzystania z wyodrębnienia praw udziałowych czy praw majątkowych nie jest konieczne wydzielanie zorganizowanych części.</w:t>
      </w:r>
    </w:p>
    <w:p w14:paraId="14FE87C0" w14:textId="163B277D" w:rsidR="00323DAA" w:rsidRPr="00816E15" w:rsidRDefault="00323DAA" w:rsidP="00CF5AAF">
      <w:pPr>
        <w:spacing w:line="360" w:lineRule="auto"/>
        <w:jc w:val="both"/>
        <w:rPr>
          <w:szCs w:val="24"/>
        </w:rPr>
      </w:pPr>
      <w:r w:rsidRPr="00816E15">
        <w:rPr>
          <w:szCs w:val="24"/>
        </w:rPr>
        <w:t xml:space="preserve">Zmiana w </w:t>
      </w:r>
      <w:r w:rsidRPr="00816E15">
        <w:rPr>
          <w:b/>
          <w:bCs/>
          <w:szCs w:val="24"/>
        </w:rPr>
        <w:t xml:space="preserve">art. 188 ust. 2 </w:t>
      </w:r>
      <w:r w:rsidRPr="00816E15">
        <w:rPr>
          <w:szCs w:val="24"/>
        </w:rPr>
        <w:t xml:space="preserve">ma na celu umożliwić Funduszowi zwrotne przeniesienie praw udziałowych w podmiocie w restrukturyzacji, wybranych praw majątkowych lub zobowiązań będących przedmiotem pierwotnego przeniesienia, odpowiednio do pierwotnych posiadaczy praw udziałowych w podmiocie w restrukturyzacji albo podmiotu w restrukturyzacji, w sytuacji gdy ww. prawa udziałowe, wybrane prawa majątkowe lub zobowiązania w rzeczywistości nie należą do kategorii praw udziałowych, praw majątkowych lub zobowiązań określonych w decyzji o przeniesieniu. Poprawka stanowi uzupełnienie implementacji art. 40 ust. 7 </w:t>
      </w:r>
      <w:r w:rsidR="00723542">
        <w:rPr>
          <w:szCs w:val="24"/>
        </w:rPr>
        <w:t>lit.</w:t>
      </w:r>
      <w:r w:rsidRPr="00816E15">
        <w:rPr>
          <w:szCs w:val="24"/>
        </w:rPr>
        <w:t xml:space="preserve"> b dyrektywy BRR.</w:t>
      </w:r>
    </w:p>
    <w:p w14:paraId="703FD59A" w14:textId="5BFEF86D" w:rsidR="007826E3" w:rsidRPr="00816E15" w:rsidRDefault="005D2D32" w:rsidP="00CF5AAF">
      <w:pPr>
        <w:pStyle w:val="Tekstpodstawowy3"/>
        <w:shd w:val="clear" w:color="auto" w:fill="auto"/>
        <w:spacing w:before="240" w:after="60" w:line="360" w:lineRule="auto"/>
        <w:ind w:left="40" w:right="40" w:firstLine="0"/>
        <w:jc w:val="both"/>
        <w:rPr>
          <w:rFonts w:ascii="Times New Roman" w:hAnsi="Times New Roman" w:cs="Times New Roman"/>
          <w:sz w:val="24"/>
          <w:szCs w:val="24"/>
        </w:rPr>
      </w:pPr>
      <w:r w:rsidRPr="00816E15">
        <w:rPr>
          <w:rFonts w:ascii="Times New Roman" w:hAnsi="Times New Roman" w:cs="Times New Roman"/>
          <w:sz w:val="24"/>
          <w:szCs w:val="24"/>
        </w:rPr>
        <w:t xml:space="preserve">Zmiana </w:t>
      </w:r>
      <w:r w:rsidRPr="00816E15">
        <w:rPr>
          <w:rFonts w:ascii="Times New Roman" w:hAnsi="Times New Roman" w:cs="Times New Roman"/>
          <w:b/>
          <w:sz w:val="24"/>
          <w:szCs w:val="24"/>
        </w:rPr>
        <w:t>art. 188 ust. 5</w:t>
      </w:r>
      <w:r w:rsidRPr="00816E15">
        <w:rPr>
          <w:rFonts w:ascii="Times New Roman" w:hAnsi="Times New Roman" w:cs="Times New Roman"/>
          <w:sz w:val="24"/>
          <w:szCs w:val="24"/>
        </w:rPr>
        <w:t xml:space="preserve"> ma na celu umożliwienie udzielenia wsparcia w przypadku przejęci</w:t>
      </w:r>
      <w:r w:rsidR="00200846" w:rsidRPr="00816E15">
        <w:rPr>
          <w:rFonts w:ascii="Times New Roman" w:hAnsi="Times New Roman" w:cs="Times New Roman"/>
          <w:sz w:val="24"/>
          <w:szCs w:val="24"/>
        </w:rPr>
        <w:t>a</w:t>
      </w:r>
      <w:r w:rsidRPr="00816E15">
        <w:rPr>
          <w:rFonts w:ascii="Times New Roman" w:hAnsi="Times New Roman" w:cs="Times New Roman"/>
          <w:sz w:val="24"/>
          <w:szCs w:val="24"/>
        </w:rPr>
        <w:t xml:space="preserve"> praw udziałowych, przy wykorzystaniu instrumentu instytucji pomostowej.</w:t>
      </w:r>
      <w:r w:rsidR="009B3715" w:rsidRPr="00816E15">
        <w:rPr>
          <w:rFonts w:ascii="Times New Roman" w:hAnsi="Times New Roman" w:cs="Times New Roman"/>
          <w:sz w:val="24"/>
          <w:szCs w:val="24"/>
        </w:rPr>
        <w:t xml:space="preserve"> Źródłem wsparcia będ</w:t>
      </w:r>
      <w:r w:rsidR="00086C97">
        <w:rPr>
          <w:rFonts w:ascii="Times New Roman" w:hAnsi="Times New Roman" w:cs="Times New Roman"/>
          <w:sz w:val="24"/>
          <w:szCs w:val="24"/>
        </w:rPr>
        <w:t>ą</w:t>
      </w:r>
      <w:r w:rsidR="009B3715" w:rsidRPr="00816E15">
        <w:rPr>
          <w:rFonts w:ascii="Times New Roman" w:hAnsi="Times New Roman" w:cs="Times New Roman"/>
          <w:sz w:val="24"/>
          <w:szCs w:val="24"/>
        </w:rPr>
        <w:t xml:space="preserve"> właściwe środki z funduszu gwarancyjnego banków lub z funduszu gwarancyjnego kas. Należy mieć na uwadze, że co do zasady wartość przejmowanych przez instytucję pomostową zobowiązań nie powinna przekraczać wartości przenoszonych praw majątkowych, a powyższa zmiana doprecyzowuje ramy prawne wyjątku. </w:t>
      </w:r>
    </w:p>
    <w:p w14:paraId="31F04B01" w14:textId="5945428F" w:rsidR="005D2D32" w:rsidRPr="00816E15" w:rsidRDefault="005D2D32" w:rsidP="00CF5AAF">
      <w:pPr>
        <w:pStyle w:val="Tekstpodstawowy3"/>
        <w:shd w:val="clear" w:color="auto" w:fill="auto"/>
        <w:spacing w:before="240" w:after="60" w:line="360" w:lineRule="auto"/>
        <w:ind w:left="40" w:right="40" w:firstLine="0"/>
        <w:jc w:val="both"/>
        <w:rPr>
          <w:rFonts w:ascii="Times New Roman" w:hAnsi="Times New Roman" w:cs="Times New Roman"/>
          <w:sz w:val="24"/>
          <w:szCs w:val="24"/>
        </w:rPr>
      </w:pPr>
      <w:r w:rsidRPr="00816E15">
        <w:rPr>
          <w:rFonts w:ascii="Times New Roman" w:hAnsi="Times New Roman" w:cs="Times New Roman"/>
          <w:sz w:val="24"/>
          <w:szCs w:val="24"/>
          <w:lang w:val="pl"/>
        </w:rPr>
        <w:t xml:space="preserve">Proponowane dodanie </w:t>
      </w:r>
      <w:r w:rsidRPr="00816E15">
        <w:rPr>
          <w:rFonts w:ascii="Times New Roman" w:hAnsi="Times New Roman" w:cs="Times New Roman"/>
          <w:b/>
          <w:sz w:val="24"/>
          <w:szCs w:val="24"/>
          <w:lang w:val="pl"/>
        </w:rPr>
        <w:t>w</w:t>
      </w:r>
      <w:r w:rsidRPr="00816E15">
        <w:rPr>
          <w:rFonts w:ascii="Times New Roman" w:hAnsi="Times New Roman" w:cs="Times New Roman"/>
          <w:sz w:val="24"/>
          <w:szCs w:val="24"/>
          <w:lang w:val="pl"/>
        </w:rPr>
        <w:t xml:space="preserve"> </w:t>
      </w:r>
      <w:r w:rsidRPr="00816E15">
        <w:rPr>
          <w:rFonts w:ascii="Times New Roman" w:hAnsi="Times New Roman" w:cs="Times New Roman"/>
          <w:b/>
          <w:sz w:val="24"/>
          <w:szCs w:val="24"/>
          <w:lang w:val="pl"/>
        </w:rPr>
        <w:t xml:space="preserve">art. 188 </w:t>
      </w:r>
      <w:r w:rsidR="004442DD" w:rsidRPr="00816E15">
        <w:rPr>
          <w:rFonts w:ascii="Times New Roman" w:hAnsi="Times New Roman" w:cs="Times New Roman"/>
          <w:b/>
          <w:sz w:val="24"/>
          <w:szCs w:val="24"/>
          <w:lang w:val="pl"/>
        </w:rPr>
        <w:t xml:space="preserve">ust. 7 </w:t>
      </w:r>
      <w:r w:rsidRPr="00816E15">
        <w:rPr>
          <w:rFonts w:ascii="Times New Roman" w:hAnsi="Times New Roman" w:cs="Times New Roman"/>
          <w:sz w:val="24"/>
          <w:szCs w:val="24"/>
          <w:lang w:val="pl"/>
        </w:rPr>
        <w:t>ma na celu zapewnienie instytucji pomostowej możliwości powierzenia innemu przedsiębiorcy wykonywania czynności banku lub firmy inwestycyjnej w restrukturyzacji, co</w:t>
      </w:r>
      <w:r w:rsidR="00816E15">
        <w:rPr>
          <w:rFonts w:ascii="Times New Roman" w:hAnsi="Times New Roman" w:cs="Times New Roman"/>
          <w:sz w:val="24"/>
          <w:szCs w:val="24"/>
          <w:lang w:val="pl"/>
        </w:rPr>
        <w:t xml:space="preserve"> </w:t>
      </w:r>
      <w:r w:rsidRPr="00816E15">
        <w:rPr>
          <w:rFonts w:ascii="Times New Roman" w:hAnsi="Times New Roman" w:cs="Times New Roman"/>
          <w:sz w:val="24"/>
          <w:szCs w:val="24"/>
          <w:lang w:val="pl"/>
        </w:rPr>
        <w:t>pozwoli w istotny sposób ograniczyć koszty działalności instytucji pomostowej</w:t>
      </w:r>
      <w:r w:rsidRPr="00816E15">
        <w:rPr>
          <w:rFonts w:ascii="Times New Roman" w:hAnsi="Times New Roman" w:cs="Times New Roman"/>
          <w:sz w:val="24"/>
          <w:szCs w:val="24"/>
        </w:rPr>
        <w:t>,</w:t>
      </w:r>
      <w:r w:rsidRPr="00816E15">
        <w:rPr>
          <w:rFonts w:ascii="Times New Roman" w:hAnsi="Times New Roman" w:cs="Times New Roman"/>
          <w:sz w:val="24"/>
          <w:szCs w:val="24"/>
          <w:lang w:val="pl"/>
        </w:rPr>
        <w:t xml:space="preserve"> bez dodatkowych obciążeń proceduralnych. Zwiększy to</w:t>
      </w:r>
      <w:r w:rsidR="00D77331" w:rsidRPr="00816E15">
        <w:rPr>
          <w:rFonts w:ascii="Times New Roman" w:hAnsi="Times New Roman" w:cs="Times New Roman"/>
          <w:sz w:val="24"/>
          <w:szCs w:val="24"/>
          <w:lang w:val="pl"/>
        </w:rPr>
        <w:t> </w:t>
      </w:r>
      <w:r w:rsidRPr="00816E15">
        <w:rPr>
          <w:rFonts w:ascii="Times New Roman" w:hAnsi="Times New Roman" w:cs="Times New Roman"/>
          <w:sz w:val="24"/>
          <w:szCs w:val="24"/>
          <w:lang w:val="pl"/>
        </w:rPr>
        <w:t>efektywność instrument</w:t>
      </w:r>
      <w:r w:rsidR="00200846" w:rsidRPr="00816E15">
        <w:rPr>
          <w:rFonts w:ascii="Times New Roman" w:hAnsi="Times New Roman" w:cs="Times New Roman"/>
          <w:sz w:val="24"/>
          <w:szCs w:val="24"/>
          <w:lang w:val="pl"/>
        </w:rPr>
        <w:t>u</w:t>
      </w:r>
      <w:r w:rsidRPr="00816E15">
        <w:rPr>
          <w:rFonts w:ascii="Times New Roman" w:hAnsi="Times New Roman" w:cs="Times New Roman"/>
          <w:sz w:val="24"/>
          <w:szCs w:val="24"/>
          <w:lang w:val="pl"/>
        </w:rPr>
        <w:t xml:space="preserve"> instytucji pomostowej przy obniżeniu inwestycji początkowych i</w:t>
      </w:r>
      <w:r w:rsidR="00D77331" w:rsidRPr="00816E15">
        <w:rPr>
          <w:rFonts w:ascii="Times New Roman" w:hAnsi="Times New Roman" w:cs="Times New Roman"/>
          <w:sz w:val="24"/>
          <w:szCs w:val="24"/>
          <w:lang w:val="pl"/>
        </w:rPr>
        <w:t> </w:t>
      </w:r>
      <w:r w:rsidRPr="00816E15">
        <w:rPr>
          <w:rFonts w:ascii="Times New Roman" w:hAnsi="Times New Roman" w:cs="Times New Roman"/>
          <w:sz w:val="24"/>
          <w:szCs w:val="24"/>
          <w:lang w:val="pl"/>
        </w:rPr>
        <w:t>koniecznych do stałego utrzymywania zasobów.</w:t>
      </w:r>
    </w:p>
    <w:p w14:paraId="6A7A2B32" w14:textId="4EA121D5" w:rsidR="005D2D32" w:rsidRPr="00816E15" w:rsidRDefault="005D2D32" w:rsidP="00CF5AAF">
      <w:pPr>
        <w:spacing w:before="240" w:line="360" w:lineRule="auto"/>
        <w:jc w:val="both"/>
        <w:rPr>
          <w:rFonts w:cs="Times New Roman"/>
          <w:szCs w:val="24"/>
          <w:lang w:val="pl"/>
        </w:rPr>
      </w:pPr>
      <w:r w:rsidRPr="00816E15">
        <w:rPr>
          <w:rFonts w:cs="Times New Roman"/>
          <w:szCs w:val="24"/>
          <w:lang w:val="pl"/>
        </w:rPr>
        <w:t>Powyższa propozycja jest zgodna z jedną z podstawowych zasad przymusowej restrukturyzacji, wyrażoną w art. 67 ust. 2, zgodnie z którą</w:t>
      </w:r>
      <w:r w:rsidR="00C74116" w:rsidRPr="00816E15">
        <w:rPr>
          <w:rFonts w:cs="Times New Roman"/>
          <w:szCs w:val="24"/>
          <w:lang w:val="pl"/>
        </w:rPr>
        <w:t>,</w:t>
      </w:r>
      <w:r w:rsidRPr="00816E15">
        <w:rPr>
          <w:rFonts w:cs="Times New Roman"/>
          <w:szCs w:val="24"/>
          <w:lang w:val="pl"/>
        </w:rPr>
        <w:t xml:space="preserve"> realizując cele przymusowej restrukturyzacji, Fundusz dąży do ograniczenia jej kosztów oraz</w:t>
      </w:r>
      <w:r w:rsidR="00200846" w:rsidRPr="00816E15">
        <w:rPr>
          <w:rFonts w:cs="Times New Roman"/>
          <w:szCs w:val="24"/>
          <w:lang w:val="pl"/>
        </w:rPr>
        <w:t xml:space="preserve"> </w:t>
      </w:r>
      <w:r w:rsidRPr="00816E15">
        <w:rPr>
          <w:rFonts w:cs="Times New Roman"/>
          <w:szCs w:val="24"/>
          <w:lang w:val="pl"/>
        </w:rPr>
        <w:t>ograniczenia utraty wartości przedsiębiorstwa</w:t>
      </w:r>
      <w:r w:rsidR="00200846" w:rsidRPr="00816E15">
        <w:rPr>
          <w:rFonts w:cs="Times New Roman"/>
          <w:szCs w:val="24"/>
          <w:lang w:val="pl"/>
        </w:rPr>
        <w:t xml:space="preserve"> podmiotu</w:t>
      </w:r>
      <w:r w:rsidRPr="00816E15">
        <w:rPr>
          <w:rFonts w:cs="Times New Roman"/>
          <w:szCs w:val="24"/>
          <w:lang w:val="pl"/>
        </w:rPr>
        <w:t>, wobec którego prowadzona</w:t>
      </w:r>
      <w:r w:rsidR="00200846" w:rsidRPr="00816E15">
        <w:rPr>
          <w:rFonts w:cs="Times New Roman"/>
          <w:szCs w:val="24"/>
          <w:lang w:val="pl"/>
        </w:rPr>
        <w:t xml:space="preserve"> jest</w:t>
      </w:r>
      <w:r w:rsidRPr="00816E15">
        <w:rPr>
          <w:rFonts w:cs="Times New Roman"/>
          <w:szCs w:val="24"/>
          <w:lang w:val="pl"/>
        </w:rPr>
        <w:t xml:space="preserve"> przymusowa restrukturyzacja.</w:t>
      </w:r>
    </w:p>
    <w:p w14:paraId="296549DA" w14:textId="70D322D6" w:rsidR="004442DD" w:rsidRPr="00816E15" w:rsidRDefault="004442DD" w:rsidP="00CF5AAF">
      <w:pPr>
        <w:spacing w:line="360" w:lineRule="auto"/>
        <w:jc w:val="both"/>
        <w:rPr>
          <w:rFonts w:cs="Times New Roman"/>
          <w:szCs w:val="24"/>
        </w:rPr>
      </w:pPr>
      <w:r w:rsidRPr="00816E15">
        <w:rPr>
          <w:rFonts w:cs="Times New Roman"/>
          <w:szCs w:val="24"/>
          <w:lang w:val="pl"/>
        </w:rPr>
        <w:t xml:space="preserve">Dodawany </w:t>
      </w:r>
      <w:r w:rsidRPr="00816E15">
        <w:rPr>
          <w:rFonts w:cs="Times New Roman"/>
          <w:b/>
          <w:szCs w:val="24"/>
          <w:lang w:val="pl"/>
        </w:rPr>
        <w:t xml:space="preserve">art. 188 ust. 8 </w:t>
      </w:r>
      <w:r w:rsidRPr="00816E15">
        <w:rPr>
          <w:rFonts w:cs="Times New Roman"/>
          <w:szCs w:val="24"/>
        </w:rPr>
        <w:t>ma na celu umożliwienie, w przypadku restrukturyzacji banku zrzeszającego</w:t>
      </w:r>
      <w:r w:rsidR="00C74116" w:rsidRPr="00816E15">
        <w:rPr>
          <w:rFonts w:cs="Times New Roman"/>
          <w:szCs w:val="24"/>
        </w:rPr>
        <w:t>,</w:t>
      </w:r>
      <w:r w:rsidRPr="00816E15">
        <w:rPr>
          <w:rFonts w:cs="Times New Roman"/>
          <w:szCs w:val="24"/>
        </w:rPr>
        <w:t xml:space="preserve"> wykonywania przez </w:t>
      </w:r>
      <w:r w:rsidR="00C74116" w:rsidRPr="00816E15">
        <w:rPr>
          <w:rFonts w:cs="Times New Roman"/>
          <w:szCs w:val="24"/>
        </w:rPr>
        <w:t xml:space="preserve">ten bank </w:t>
      </w:r>
      <w:r w:rsidRPr="00816E15">
        <w:rPr>
          <w:rFonts w:cs="Times New Roman"/>
          <w:szCs w:val="24"/>
        </w:rPr>
        <w:t xml:space="preserve">funkcji zarządczych. Z uwagi </w:t>
      </w:r>
      <w:r w:rsidR="00C74116" w:rsidRPr="00816E15">
        <w:rPr>
          <w:rFonts w:cs="Times New Roman"/>
          <w:szCs w:val="24"/>
        </w:rPr>
        <w:t xml:space="preserve">na </w:t>
      </w:r>
      <w:r w:rsidRPr="00816E15">
        <w:rPr>
          <w:rFonts w:cs="Times New Roman"/>
          <w:szCs w:val="24"/>
        </w:rPr>
        <w:t>następczy brak powiązań kapitałowych i prawnych banków spółdzielczych z bankiem zrzeszającym również akcjonariusze niebędący bankami spółdzielczymi nie powinni móc wykonywać praw głosu.</w:t>
      </w:r>
    </w:p>
    <w:p w14:paraId="6BA8C6CA" w14:textId="6EEC71F0" w:rsidR="00802F02" w:rsidRPr="00816E15" w:rsidRDefault="00802F02" w:rsidP="00CF5AAF">
      <w:pPr>
        <w:spacing w:line="360" w:lineRule="auto"/>
        <w:jc w:val="both"/>
        <w:rPr>
          <w:w w:val="105"/>
          <w:szCs w:val="24"/>
        </w:rPr>
      </w:pPr>
      <w:r w:rsidRPr="00816E15">
        <w:rPr>
          <w:rFonts w:cs="Times New Roman"/>
          <w:szCs w:val="24"/>
        </w:rPr>
        <w:t xml:space="preserve">Dodawany </w:t>
      </w:r>
      <w:r w:rsidRPr="00816E15">
        <w:rPr>
          <w:rFonts w:cs="Times New Roman"/>
          <w:b/>
          <w:szCs w:val="24"/>
        </w:rPr>
        <w:t xml:space="preserve">art. 188 ust. 9 </w:t>
      </w:r>
      <w:r w:rsidRPr="00816E15">
        <w:rPr>
          <w:rFonts w:cs="Times New Roman"/>
          <w:szCs w:val="24"/>
        </w:rPr>
        <w:t xml:space="preserve">ma na celu umożliwienie </w:t>
      </w:r>
      <w:r w:rsidRPr="00816E15">
        <w:rPr>
          <w:w w:val="105"/>
          <w:szCs w:val="24"/>
        </w:rPr>
        <w:t>instytucji pomostowej kapitalizowa</w:t>
      </w:r>
      <w:r w:rsidR="00C74116" w:rsidRPr="00816E15">
        <w:rPr>
          <w:w w:val="105"/>
          <w:szCs w:val="24"/>
        </w:rPr>
        <w:t>nie</w:t>
      </w:r>
      <w:r w:rsidRPr="00816E15">
        <w:rPr>
          <w:w w:val="105"/>
          <w:szCs w:val="24"/>
        </w:rPr>
        <w:t xml:space="preserve"> podmiot</w:t>
      </w:r>
      <w:r w:rsidR="00C74116" w:rsidRPr="00816E15">
        <w:rPr>
          <w:w w:val="105"/>
          <w:szCs w:val="24"/>
        </w:rPr>
        <w:t>u</w:t>
      </w:r>
      <w:r w:rsidRPr="00816E15">
        <w:rPr>
          <w:w w:val="105"/>
          <w:szCs w:val="24"/>
        </w:rPr>
        <w:t xml:space="preserve"> w restrukturyzacji. Jest to istotne w przypadku gdy umorzenie lub konwersja instrumentów kapitałowych lub zobowiązań może być niewystarczająca dla zapewnienia kontynuacji działalności podmiotu w restrukturyzacji, którego prawa udziałowe zostały przeniesione do instytucji pomostowej.</w:t>
      </w:r>
    </w:p>
    <w:p w14:paraId="7F4E90F1" w14:textId="1466DCAB" w:rsidR="000051FC" w:rsidRPr="00816E15" w:rsidRDefault="000051FC" w:rsidP="00CF5AAF">
      <w:pPr>
        <w:spacing w:line="360" w:lineRule="auto"/>
        <w:jc w:val="both"/>
        <w:rPr>
          <w:szCs w:val="24"/>
        </w:rPr>
      </w:pPr>
      <w:r w:rsidRPr="00816E15">
        <w:rPr>
          <w:w w:val="105"/>
          <w:szCs w:val="24"/>
        </w:rPr>
        <w:t>Zmiana w</w:t>
      </w:r>
      <w:r w:rsidRPr="00816E15">
        <w:rPr>
          <w:szCs w:val="24"/>
        </w:rPr>
        <w:t xml:space="preserve"> </w:t>
      </w:r>
      <w:r w:rsidRPr="00816E15">
        <w:rPr>
          <w:b/>
          <w:szCs w:val="24"/>
        </w:rPr>
        <w:t xml:space="preserve">art. 189 </w:t>
      </w:r>
      <w:r w:rsidRPr="00816E15">
        <w:rPr>
          <w:szCs w:val="24"/>
        </w:rPr>
        <w:t xml:space="preserve">polega na uzupełnieniu pierwszego zdania o możliwość przenoszenia przez Fundusz do instytucji pomostowej praw udziałowych w jednym lub kilku podmiotach w restrukturyzacji. Zmiana ta zapewni spójności art. 189 z art. 188 ust. 1 zmienianej ustawy, zgodnie z którym instytucja pomostowa rozpoczyna działalność z chwilą przeniesienia do niej m.in. praw udziałowych w podmiocie w restrukturyzacji. </w:t>
      </w:r>
    </w:p>
    <w:p w14:paraId="144F09F1" w14:textId="04CACDFB" w:rsidR="007826E3" w:rsidRPr="00816E15" w:rsidRDefault="00C74116" w:rsidP="00CF5AAF">
      <w:pPr>
        <w:spacing w:line="360" w:lineRule="auto"/>
        <w:jc w:val="both"/>
        <w:rPr>
          <w:rFonts w:eastAsia="Arial" w:cs="Times New Roman"/>
          <w:szCs w:val="24"/>
        </w:rPr>
      </w:pPr>
      <w:r w:rsidRPr="00816E15">
        <w:rPr>
          <w:rFonts w:cs="Times New Roman"/>
          <w:szCs w:val="24"/>
          <w:lang w:val="pl"/>
        </w:rPr>
        <w:t>Przepis</w:t>
      </w:r>
      <w:r w:rsidRPr="00816E15">
        <w:rPr>
          <w:rFonts w:cs="Times New Roman"/>
          <w:b/>
          <w:szCs w:val="24"/>
          <w:lang w:val="pl"/>
        </w:rPr>
        <w:t xml:space="preserve"> a</w:t>
      </w:r>
      <w:r w:rsidR="007826E3" w:rsidRPr="00816E15">
        <w:rPr>
          <w:rFonts w:cs="Times New Roman"/>
          <w:b/>
          <w:szCs w:val="24"/>
          <w:lang w:val="pl"/>
        </w:rPr>
        <w:t>rt. 194a</w:t>
      </w:r>
      <w:r w:rsidR="0019603E" w:rsidRPr="00816E15">
        <w:rPr>
          <w:rFonts w:cs="Times New Roman"/>
          <w:szCs w:val="24"/>
          <w:lang w:val="pl"/>
        </w:rPr>
        <w:t xml:space="preserve"> </w:t>
      </w:r>
      <w:r w:rsidR="00191A30" w:rsidRPr="00816E15">
        <w:rPr>
          <w:rFonts w:cs="Times New Roman"/>
          <w:szCs w:val="24"/>
          <w:lang w:val="pl"/>
        </w:rPr>
        <w:t>ma na celu stworzenie reżimu prawnego „wyjścia” z przymusowej restrukturyzacji banku zrzeszającego w postaci sprzedaży</w:t>
      </w:r>
      <w:r w:rsidR="00191A30" w:rsidRPr="00816E15">
        <w:rPr>
          <w:color w:val="000000"/>
          <w:w w:val="105"/>
          <w:szCs w:val="24"/>
        </w:rPr>
        <w:t xml:space="preserve"> akcji instytucji pomostowej. </w:t>
      </w:r>
      <w:r w:rsidRPr="00816E15">
        <w:rPr>
          <w:color w:val="000000"/>
          <w:w w:val="105"/>
          <w:szCs w:val="24"/>
        </w:rPr>
        <w:t>Prze</w:t>
      </w:r>
      <w:r w:rsidR="009C65FE" w:rsidRPr="00816E15">
        <w:rPr>
          <w:color w:val="000000"/>
          <w:w w:val="105"/>
          <w:szCs w:val="24"/>
        </w:rPr>
        <w:t>p</w:t>
      </w:r>
      <w:r w:rsidRPr="00816E15">
        <w:rPr>
          <w:color w:val="000000"/>
          <w:w w:val="105"/>
          <w:szCs w:val="24"/>
        </w:rPr>
        <w:t xml:space="preserve">is </w:t>
      </w:r>
      <w:r w:rsidR="00CD7BFB" w:rsidRPr="00816E15">
        <w:rPr>
          <w:color w:val="000000"/>
          <w:w w:val="105"/>
          <w:szCs w:val="24"/>
        </w:rPr>
        <w:t>a</w:t>
      </w:r>
      <w:r w:rsidR="00191A30" w:rsidRPr="00816E15">
        <w:rPr>
          <w:color w:val="000000"/>
          <w:w w:val="105"/>
          <w:szCs w:val="24"/>
        </w:rPr>
        <w:t>rt. 194a u</w:t>
      </w:r>
      <w:r w:rsidR="0019603E" w:rsidRPr="00816E15">
        <w:rPr>
          <w:rFonts w:cs="Times New Roman"/>
          <w:szCs w:val="24"/>
          <w:lang w:val="pl"/>
        </w:rPr>
        <w:t xml:space="preserve">st. 1 przewiduje wyłączenie </w:t>
      </w:r>
      <w:r w:rsidR="0019603E" w:rsidRPr="00816E15">
        <w:rPr>
          <w:rFonts w:eastAsia="Arial" w:cs="Times New Roman"/>
          <w:szCs w:val="24"/>
        </w:rPr>
        <w:t xml:space="preserve">art. 2 pkt 2 </w:t>
      </w:r>
      <w:r w:rsidR="00684D58" w:rsidRPr="00816E15">
        <w:rPr>
          <w:rFonts w:eastAsia="Arial" w:cs="Times New Roman"/>
          <w:szCs w:val="24"/>
        </w:rPr>
        <w:t xml:space="preserve">stosowania </w:t>
      </w:r>
      <w:r w:rsidR="0019603E" w:rsidRPr="00816E15">
        <w:rPr>
          <w:rFonts w:eastAsia="Arial" w:cs="Times New Roman"/>
          <w:szCs w:val="24"/>
        </w:rPr>
        <w:t>ustawy o funkcjonowaniu banków spółdzielczych, ich zrzeszaniu się i bankach zrzeszających</w:t>
      </w:r>
      <w:r w:rsidR="00191A30" w:rsidRPr="00816E15">
        <w:rPr>
          <w:rFonts w:eastAsia="Arial" w:cs="Times New Roman"/>
          <w:szCs w:val="24"/>
        </w:rPr>
        <w:t xml:space="preserve">, </w:t>
      </w:r>
      <w:r w:rsidRPr="00816E15">
        <w:rPr>
          <w:rFonts w:eastAsia="Arial" w:cs="Times New Roman"/>
          <w:szCs w:val="24"/>
        </w:rPr>
        <w:t xml:space="preserve">tj. </w:t>
      </w:r>
      <w:r w:rsidR="00191A30" w:rsidRPr="00816E15">
        <w:rPr>
          <w:rFonts w:eastAsia="Arial" w:cs="Times New Roman"/>
          <w:szCs w:val="24"/>
        </w:rPr>
        <w:t>konieczność</w:t>
      </w:r>
      <w:r w:rsidR="00816E15">
        <w:rPr>
          <w:rFonts w:eastAsia="Arial" w:cs="Times New Roman"/>
          <w:szCs w:val="24"/>
        </w:rPr>
        <w:t xml:space="preserve"> </w:t>
      </w:r>
      <w:r w:rsidR="00191A30" w:rsidRPr="00816E15">
        <w:rPr>
          <w:rFonts w:eastAsia="Arial" w:cs="Times New Roman"/>
          <w:szCs w:val="24"/>
        </w:rPr>
        <w:t>u</w:t>
      </w:r>
      <w:r w:rsidR="0019603E" w:rsidRPr="00816E15">
        <w:rPr>
          <w:rFonts w:eastAsia="Arial" w:cs="Times New Roman"/>
          <w:szCs w:val="24"/>
        </w:rPr>
        <w:t>tworzeni</w:t>
      </w:r>
      <w:r w:rsidR="00191A30" w:rsidRPr="00816E15">
        <w:rPr>
          <w:rFonts w:eastAsia="Arial" w:cs="Times New Roman"/>
          <w:szCs w:val="24"/>
        </w:rPr>
        <w:t>a</w:t>
      </w:r>
      <w:r w:rsidR="0019603E" w:rsidRPr="00816E15">
        <w:rPr>
          <w:rFonts w:eastAsia="Arial" w:cs="Times New Roman"/>
          <w:szCs w:val="24"/>
        </w:rPr>
        <w:t xml:space="preserve"> banku zrzeszającego przez bank</w:t>
      </w:r>
      <w:r w:rsidR="00191A30" w:rsidRPr="00816E15">
        <w:rPr>
          <w:rFonts w:eastAsia="Arial" w:cs="Times New Roman"/>
          <w:szCs w:val="24"/>
        </w:rPr>
        <w:t>i</w:t>
      </w:r>
      <w:r w:rsidR="0019603E" w:rsidRPr="00816E15">
        <w:rPr>
          <w:rFonts w:eastAsia="Arial" w:cs="Times New Roman"/>
          <w:szCs w:val="24"/>
        </w:rPr>
        <w:t xml:space="preserve"> spółdzielcze</w:t>
      </w:r>
      <w:r w:rsidR="00BA161D" w:rsidRPr="00816E15">
        <w:rPr>
          <w:rFonts w:eastAsia="Arial" w:cs="Times New Roman"/>
          <w:szCs w:val="24"/>
        </w:rPr>
        <w:t>. Jeśli zakończenie restrukturyzacji z zastosowaniem instrumentu instytucji pomostowej nastąpi przez sprzedaż akcji tej instytucji pomostowej, to kontynuacja działalności takiego banku, jako banku zrzeszającego, wymagałaby wypełnienia definicji wynikającej z art. 2 pkt 2 ww. ustawy. W takiej sytuacji niemożliwe będzie jednak spełnienie warunku utworzenia tego banku przez banki spółdzielcze. Konieczne jest więc wyłączenie wobec takiego banku obowiązku spełnienia tego warunku.</w:t>
      </w:r>
    </w:p>
    <w:p w14:paraId="32BECDEF" w14:textId="63880E13" w:rsidR="0019603E" w:rsidRPr="00816E15" w:rsidRDefault="00191A30" w:rsidP="00CF5AAF">
      <w:pPr>
        <w:spacing w:line="360" w:lineRule="auto"/>
        <w:jc w:val="both"/>
        <w:rPr>
          <w:color w:val="000000"/>
          <w:w w:val="105"/>
          <w:szCs w:val="24"/>
        </w:rPr>
      </w:pPr>
      <w:r w:rsidRPr="00816E15">
        <w:rPr>
          <w:color w:val="000000"/>
          <w:w w:val="105"/>
          <w:szCs w:val="24"/>
        </w:rPr>
        <w:t>Proponowany art. 194a ust. 2</w:t>
      </w:r>
      <w:r w:rsidR="00816E15">
        <w:rPr>
          <w:color w:val="000000"/>
          <w:w w:val="105"/>
          <w:szCs w:val="24"/>
        </w:rPr>
        <w:t xml:space="preserve"> </w:t>
      </w:r>
      <w:r w:rsidRPr="00816E15">
        <w:rPr>
          <w:color w:val="000000"/>
          <w:w w:val="105"/>
          <w:szCs w:val="24"/>
        </w:rPr>
        <w:t>ma na celu ustalenie okresu dostosowawczego dla działalności banku zrzeszającego oraz banków w nim zrzeszonych do przepisów ustawy o funkcjonowaniu banków spółdzielczych</w:t>
      </w:r>
      <w:r w:rsidR="00C74116" w:rsidRPr="00816E15">
        <w:rPr>
          <w:color w:val="000000"/>
          <w:w w:val="105"/>
          <w:szCs w:val="24"/>
        </w:rPr>
        <w:t>,</w:t>
      </w:r>
      <w:r w:rsidRPr="00816E15">
        <w:rPr>
          <w:color w:val="000000"/>
          <w:w w:val="105"/>
          <w:szCs w:val="24"/>
        </w:rPr>
        <w:t xml:space="preserve"> </w:t>
      </w:r>
      <w:r w:rsidR="00C74116" w:rsidRPr="00816E15">
        <w:rPr>
          <w:color w:val="000000"/>
          <w:w w:val="105"/>
          <w:szCs w:val="24"/>
        </w:rPr>
        <w:t xml:space="preserve">ich zrzeszaniu się i bankach zrzeszających </w:t>
      </w:r>
      <w:r w:rsidRPr="00816E15">
        <w:rPr>
          <w:color w:val="000000"/>
          <w:w w:val="105"/>
          <w:szCs w:val="24"/>
        </w:rPr>
        <w:t xml:space="preserve">w postaci wyłączenia konieczności nabycia co najmniej jednej akcji banku zrzeszającego oraz możliwości wykonywania prawa głosu przez </w:t>
      </w:r>
      <w:r w:rsidRPr="00816E15">
        <w:rPr>
          <w:rFonts w:cs="Times New Roman"/>
          <w:szCs w:val="24"/>
        </w:rPr>
        <w:t>akcjonariuszy niebędących bankami spółdzielczymi</w:t>
      </w:r>
      <w:r w:rsidRPr="00816E15">
        <w:rPr>
          <w:color w:val="000000"/>
          <w:w w:val="105"/>
          <w:szCs w:val="24"/>
        </w:rPr>
        <w:t>. Taki sam okres dostosowawczy 5 lat jest przewidziany w art. 194a ust. 3 ustawy o BFG w przypadku zbycia praw udziałowych w banku zrzeszającym w restrukturyzacji.</w:t>
      </w:r>
    </w:p>
    <w:p w14:paraId="607E7C8F" w14:textId="77777777" w:rsidR="005C4509" w:rsidRPr="00816E15" w:rsidRDefault="005C4509" w:rsidP="00CF5AAF">
      <w:pPr>
        <w:spacing w:after="240" w:line="360" w:lineRule="auto"/>
        <w:jc w:val="both"/>
        <w:rPr>
          <w:szCs w:val="24"/>
        </w:rPr>
      </w:pPr>
      <w:r w:rsidRPr="00816E15">
        <w:rPr>
          <w:szCs w:val="24"/>
        </w:rPr>
        <w:t xml:space="preserve">Wprowadzenie przepisu </w:t>
      </w:r>
      <w:r w:rsidRPr="00816E15">
        <w:rPr>
          <w:b/>
          <w:szCs w:val="24"/>
        </w:rPr>
        <w:t>art. 194b</w:t>
      </w:r>
      <w:r w:rsidRPr="00816E15">
        <w:rPr>
          <w:szCs w:val="24"/>
        </w:rPr>
        <w:t xml:space="preserve"> jest konsekwencją omówionej wyżej zmiany art. 194a. Po zakończeniu przymusowej restrukturyzacji materializuje się obowiązek kontynuowania wykonywania czynności banku zrzeszającego na rzecz banków spółdzielczych. Przepis został ujęty w ramach odrębnej jednostki redakcyjnej. </w:t>
      </w:r>
    </w:p>
    <w:p w14:paraId="69684D26" w14:textId="66B4BF45" w:rsidR="00685CDB" w:rsidRPr="00816E15" w:rsidRDefault="00685CDB" w:rsidP="00CF5AAF">
      <w:pPr>
        <w:spacing w:line="360" w:lineRule="auto"/>
        <w:jc w:val="both"/>
        <w:rPr>
          <w:rFonts w:eastAsia="Arial" w:cs="Times New Roman"/>
          <w:szCs w:val="24"/>
        </w:rPr>
      </w:pPr>
      <w:r w:rsidRPr="00816E15">
        <w:rPr>
          <w:color w:val="000000"/>
          <w:w w:val="105"/>
          <w:szCs w:val="24"/>
        </w:rPr>
        <w:t xml:space="preserve">Celem zmiany w </w:t>
      </w:r>
      <w:r w:rsidRPr="00816E15">
        <w:rPr>
          <w:b/>
          <w:color w:val="000000"/>
          <w:w w:val="105"/>
          <w:szCs w:val="24"/>
        </w:rPr>
        <w:t>art. 201 ust. 1 pkt 4</w:t>
      </w:r>
      <w:r w:rsidRPr="00816E15">
        <w:rPr>
          <w:color w:val="000000"/>
          <w:w w:val="105"/>
          <w:szCs w:val="24"/>
        </w:rPr>
        <w:t xml:space="preserve"> jest wprowadzenie możliwości dokonywania konwersji zobowiązań w ramach instrumentu przejęcia przedsiębiorstwa. Dzięki projektowanej zmianie przepis będzie w pełni spójny z dyrektywą BRR. Dotychczas przepis pozwalał jedynie na umorzenie zobowiązań w ramach instrumentu przejęcia przedsiębiorstwa. </w:t>
      </w:r>
      <w:r w:rsidR="00393F23" w:rsidRPr="00816E15">
        <w:rPr>
          <w:color w:val="000000"/>
          <w:w w:val="105"/>
          <w:szCs w:val="24"/>
        </w:rPr>
        <w:t xml:space="preserve">Dodanie w </w:t>
      </w:r>
      <w:r w:rsidR="00393F23" w:rsidRPr="00816E15">
        <w:rPr>
          <w:b/>
          <w:color w:val="000000"/>
          <w:w w:val="105"/>
          <w:szCs w:val="24"/>
        </w:rPr>
        <w:t xml:space="preserve">art. 201 ust. 3 </w:t>
      </w:r>
      <w:r w:rsidR="00393F23" w:rsidRPr="00816E15">
        <w:rPr>
          <w:color w:val="000000"/>
          <w:w w:val="105"/>
          <w:szCs w:val="24"/>
        </w:rPr>
        <w:t>wynika z obserwacji, że p</w:t>
      </w:r>
      <w:r w:rsidR="00393F23" w:rsidRPr="00816E15">
        <w:rPr>
          <w:szCs w:val="24"/>
        </w:rPr>
        <w:t xml:space="preserve">rzepis art. 43 ust. 4 dyrektywy BRR został implementowany w sposób niepełny w związku z niewłaściwym tłumaczeniem ww. przepisu dyrektywy na język polski. W związku z powyższym, celem zapewnienia pełnej zgodności przepisów ustawy z dyrektywą BRR konieczne jest doprecyzowanie przepisu, w zakresie możliwości zmiany formy prawnej. </w:t>
      </w:r>
      <w:r w:rsidR="00692B77" w:rsidRPr="00816E15">
        <w:rPr>
          <w:szCs w:val="24"/>
        </w:rPr>
        <w:t>Reorganizacja prawna może być dokonana po spełnieniu przepisów dotyczących wpisu do właściwego rejestru przedsiębiorców oraz w</w:t>
      </w:r>
      <w:r w:rsidR="00AD3ACD" w:rsidRPr="00816E15">
        <w:rPr>
          <w:szCs w:val="24"/>
        </w:rPr>
        <w:t>yłącznie w</w:t>
      </w:r>
      <w:r w:rsidR="00692B77" w:rsidRPr="00816E15">
        <w:rPr>
          <w:szCs w:val="24"/>
        </w:rPr>
        <w:t xml:space="preserve"> przypadku gdy restrukturyzowany podmiot może prowadzić</w:t>
      </w:r>
      <w:r w:rsidR="00F1083B" w:rsidRPr="00816E15">
        <w:rPr>
          <w:szCs w:val="24"/>
        </w:rPr>
        <w:t xml:space="preserve"> działalność na podstawie </w:t>
      </w:r>
      <w:r w:rsidR="003033A2" w:rsidRPr="00816E15">
        <w:rPr>
          <w:szCs w:val="24"/>
        </w:rPr>
        <w:t>przepisów szczególnych</w:t>
      </w:r>
      <w:r w:rsidR="00F1083B" w:rsidRPr="00816E15">
        <w:rPr>
          <w:szCs w:val="24"/>
        </w:rPr>
        <w:t xml:space="preserve"> w </w:t>
      </w:r>
      <w:r w:rsidR="003033A2" w:rsidRPr="00816E15">
        <w:rPr>
          <w:szCs w:val="24"/>
        </w:rPr>
        <w:t>inn</w:t>
      </w:r>
      <w:r w:rsidR="00F1083B" w:rsidRPr="00816E15">
        <w:rPr>
          <w:szCs w:val="24"/>
        </w:rPr>
        <w:t xml:space="preserve">ej formie </w:t>
      </w:r>
      <w:r w:rsidR="003033A2" w:rsidRPr="00816E15">
        <w:rPr>
          <w:szCs w:val="24"/>
        </w:rPr>
        <w:t>prawn</w:t>
      </w:r>
      <w:r w:rsidR="00F1083B" w:rsidRPr="00816E15">
        <w:rPr>
          <w:szCs w:val="24"/>
        </w:rPr>
        <w:t>ej</w:t>
      </w:r>
      <w:r w:rsidR="003033A2" w:rsidRPr="00816E15">
        <w:rPr>
          <w:szCs w:val="24"/>
        </w:rPr>
        <w:t>.</w:t>
      </w:r>
      <w:r w:rsidR="00692B77" w:rsidRPr="00816E15">
        <w:rPr>
          <w:szCs w:val="24"/>
        </w:rPr>
        <w:t xml:space="preserve"> </w:t>
      </w:r>
    </w:p>
    <w:p w14:paraId="6BD80217" w14:textId="399CFC96" w:rsidR="005D2D32" w:rsidRPr="00816E15" w:rsidRDefault="005D2D32" w:rsidP="00CF5AAF">
      <w:pPr>
        <w:spacing w:line="360" w:lineRule="auto"/>
        <w:jc w:val="both"/>
        <w:rPr>
          <w:rFonts w:cs="Times New Roman"/>
          <w:szCs w:val="24"/>
          <w:lang w:val="pl"/>
        </w:rPr>
      </w:pPr>
      <w:r w:rsidRPr="00816E15">
        <w:rPr>
          <w:rFonts w:cs="Times New Roman"/>
          <w:szCs w:val="24"/>
          <w:lang w:val="pl"/>
        </w:rPr>
        <w:t xml:space="preserve">Projektowany </w:t>
      </w:r>
      <w:r w:rsidRPr="00816E15">
        <w:rPr>
          <w:rFonts w:cs="Times New Roman"/>
          <w:b/>
          <w:szCs w:val="24"/>
          <w:lang w:val="pl"/>
        </w:rPr>
        <w:t>art. 203</w:t>
      </w:r>
      <w:r w:rsidRPr="00816E15">
        <w:rPr>
          <w:rFonts w:cs="Times New Roman"/>
          <w:szCs w:val="24"/>
          <w:lang w:val="pl"/>
        </w:rPr>
        <w:t xml:space="preserve"> wprowadza zmiany analogiczne do art. 110 ust. 6</w:t>
      </w:r>
      <w:r w:rsidR="00C74116" w:rsidRPr="00816E15">
        <w:rPr>
          <w:rFonts w:cs="Times New Roman"/>
          <w:szCs w:val="24"/>
          <w:lang w:val="pl"/>
        </w:rPr>
        <w:t>,</w:t>
      </w:r>
      <w:r w:rsidR="00D368C6" w:rsidRPr="00816E15">
        <w:rPr>
          <w:rFonts w:cs="Times New Roman"/>
          <w:szCs w:val="24"/>
          <w:lang w:val="pl"/>
        </w:rPr>
        <w:t xml:space="preserve"> umożliwiając dokonanie umorzenia lub konwersji zobowiązań również równocześnie z umorzenie</w:t>
      </w:r>
      <w:r w:rsidR="00C74116" w:rsidRPr="00816E15">
        <w:rPr>
          <w:rFonts w:cs="Times New Roman"/>
          <w:szCs w:val="24"/>
          <w:lang w:val="pl"/>
        </w:rPr>
        <w:t>m</w:t>
      </w:r>
      <w:r w:rsidR="00D368C6" w:rsidRPr="00816E15">
        <w:rPr>
          <w:rFonts w:cs="Times New Roman"/>
          <w:szCs w:val="24"/>
          <w:lang w:val="pl"/>
        </w:rPr>
        <w:t xml:space="preserve"> lub konwersją instrumentów kapitałowych</w:t>
      </w:r>
      <w:r w:rsidRPr="00816E15">
        <w:rPr>
          <w:rFonts w:cs="Times New Roman"/>
          <w:szCs w:val="24"/>
          <w:lang w:val="pl"/>
        </w:rPr>
        <w:t>.</w:t>
      </w:r>
      <w:r w:rsidR="00B66217" w:rsidRPr="00816E15">
        <w:rPr>
          <w:rFonts w:cs="Times New Roman"/>
          <w:szCs w:val="24"/>
          <w:lang w:val="pl"/>
        </w:rPr>
        <w:t xml:space="preserve"> Zmiana ma na celu rozszerzenie horyzontu czasowego symultanicznego zastosowania instrumentów oraz minimalizacji konieczności wykorzystania systemu rekompensat.</w:t>
      </w:r>
      <w:r w:rsidR="0073127B" w:rsidRPr="00816E15">
        <w:rPr>
          <w:rFonts w:cs="Times New Roman"/>
          <w:szCs w:val="24"/>
          <w:lang w:val="pl"/>
        </w:rPr>
        <w:t xml:space="preserve"> </w:t>
      </w:r>
    </w:p>
    <w:p w14:paraId="719E7B4F" w14:textId="4CAC4652" w:rsidR="00581942" w:rsidRPr="00816E15" w:rsidRDefault="00577DF5" w:rsidP="00CF5AAF">
      <w:pPr>
        <w:spacing w:line="360" w:lineRule="auto"/>
        <w:jc w:val="both"/>
        <w:rPr>
          <w:szCs w:val="24"/>
        </w:rPr>
      </w:pPr>
      <w:r w:rsidRPr="00816E15">
        <w:rPr>
          <w:szCs w:val="24"/>
        </w:rPr>
        <w:t xml:space="preserve">Zmiana w </w:t>
      </w:r>
      <w:r w:rsidRPr="00816E15">
        <w:rPr>
          <w:b/>
          <w:szCs w:val="24"/>
        </w:rPr>
        <w:t>art. 206 ust. 1 pkt 7</w:t>
      </w:r>
      <w:r w:rsidRPr="00816E15">
        <w:rPr>
          <w:szCs w:val="24"/>
        </w:rPr>
        <w:t xml:space="preserve"> ma charakter doprecyzowujący możliwość stosowania instrumentu umorzenia lub konwersji w odniesieniu do zmiennych składników wynagrodzenia</w:t>
      </w:r>
      <w:r w:rsidR="0050226F" w:rsidRPr="00816E15">
        <w:rPr>
          <w:szCs w:val="24"/>
        </w:rPr>
        <w:t xml:space="preserve"> nieuregulowanych przez zbiorowy układ pracy lub </w:t>
      </w:r>
      <w:r w:rsidR="00F1083B" w:rsidRPr="00816E15">
        <w:rPr>
          <w:szCs w:val="24"/>
        </w:rPr>
        <w:t xml:space="preserve">zmiennych składników wynagrodzenia </w:t>
      </w:r>
      <w:r w:rsidR="0050226F" w:rsidRPr="00816E15">
        <w:rPr>
          <w:szCs w:val="24"/>
        </w:rPr>
        <w:t>pracowników, których działalność zawodowa ma istotny wpływ na profil ryzyka banku.</w:t>
      </w:r>
      <w:r w:rsidR="00816E15">
        <w:rPr>
          <w:szCs w:val="24"/>
        </w:rPr>
        <w:t xml:space="preserve"> </w:t>
      </w:r>
      <w:r w:rsidR="00F1083B" w:rsidRPr="00816E15">
        <w:rPr>
          <w:szCs w:val="24"/>
        </w:rPr>
        <w:t xml:space="preserve">Zarówno </w:t>
      </w:r>
      <w:r w:rsidR="00581942" w:rsidRPr="00816E15">
        <w:rPr>
          <w:szCs w:val="24"/>
        </w:rPr>
        <w:t>bank</w:t>
      </w:r>
      <w:r w:rsidR="00086C97">
        <w:rPr>
          <w:szCs w:val="24"/>
        </w:rPr>
        <w:t>,</w:t>
      </w:r>
      <w:r w:rsidR="00581942" w:rsidRPr="00816E15">
        <w:rPr>
          <w:szCs w:val="24"/>
        </w:rPr>
        <w:t xml:space="preserve"> jak i dom maklerski sporządz</w:t>
      </w:r>
      <w:r w:rsidR="00F1083B" w:rsidRPr="00816E15">
        <w:rPr>
          <w:szCs w:val="24"/>
        </w:rPr>
        <w:t xml:space="preserve">ają </w:t>
      </w:r>
      <w:r w:rsidR="00581942" w:rsidRPr="00816E15">
        <w:rPr>
          <w:szCs w:val="24"/>
        </w:rPr>
        <w:t>polityk</w:t>
      </w:r>
      <w:r w:rsidR="00F1083B" w:rsidRPr="00816E15">
        <w:rPr>
          <w:szCs w:val="24"/>
        </w:rPr>
        <w:t>ę</w:t>
      </w:r>
      <w:r w:rsidR="00816E15">
        <w:rPr>
          <w:szCs w:val="24"/>
        </w:rPr>
        <w:t xml:space="preserve"> </w:t>
      </w:r>
      <w:r w:rsidR="00581942" w:rsidRPr="00816E15">
        <w:rPr>
          <w:szCs w:val="24"/>
        </w:rPr>
        <w:t>wynagrodzeń obejmując</w:t>
      </w:r>
      <w:r w:rsidR="00F1083B" w:rsidRPr="00816E15">
        <w:rPr>
          <w:szCs w:val="24"/>
        </w:rPr>
        <w:t>ą</w:t>
      </w:r>
      <w:r w:rsidR="00816E15">
        <w:rPr>
          <w:szCs w:val="24"/>
        </w:rPr>
        <w:t xml:space="preserve"> </w:t>
      </w:r>
      <w:r w:rsidR="00BE5EFC" w:rsidRPr="00816E15">
        <w:rPr>
          <w:szCs w:val="24"/>
        </w:rPr>
        <w:t>„</w:t>
      </w:r>
      <w:r w:rsidR="00581942" w:rsidRPr="00816E15">
        <w:rPr>
          <w:szCs w:val="24"/>
        </w:rPr>
        <w:t>uznaniowe świadczenia emerytalne</w:t>
      </w:r>
      <w:r w:rsidR="00BE5EFC" w:rsidRPr="00816E15">
        <w:rPr>
          <w:szCs w:val="24"/>
        </w:rPr>
        <w:t>”</w:t>
      </w:r>
      <w:r w:rsidR="00F1083B" w:rsidRPr="00816E15">
        <w:rPr>
          <w:szCs w:val="24"/>
        </w:rPr>
        <w:t>,</w:t>
      </w:r>
      <w:r w:rsidR="00581942" w:rsidRPr="00816E15">
        <w:rPr>
          <w:szCs w:val="24"/>
        </w:rPr>
        <w:t xml:space="preserve"> tj. świadczenia emerytalne przyznawane na zasadzie uznaniowej pracownikowi jako część pakietu wynagrodzenia zmiennego, które nie obejmują nabytych świadczeń przyznanych pracownikowi w ramach systemu emerytalnego przedsiębiorstwa.</w:t>
      </w:r>
      <w:r w:rsidR="00BE5EFC" w:rsidRPr="00816E15">
        <w:rPr>
          <w:szCs w:val="24"/>
        </w:rPr>
        <w:t xml:space="preserve"> Za zmienne składniki wynagrodzenia mogą być w szczególności uznane świadczenia zależne od</w:t>
      </w:r>
      <w:r w:rsidR="00F83D7B" w:rsidRPr="00816E15">
        <w:rPr>
          <w:szCs w:val="24"/>
        </w:rPr>
        <w:t xml:space="preserve"> osiągniętych</w:t>
      </w:r>
      <w:r w:rsidR="00BE5EFC" w:rsidRPr="00816E15">
        <w:rPr>
          <w:szCs w:val="24"/>
        </w:rPr>
        <w:t xml:space="preserve"> wyników indywidualnych, </w:t>
      </w:r>
      <w:r w:rsidR="00F83D7B" w:rsidRPr="00816E15">
        <w:rPr>
          <w:szCs w:val="24"/>
        </w:rPr>
        <w:t xml:space="preserve">wyników </w:t>
      </w:r>
      <w:r w:rsidR="00BE5EFC" w:rsidRPr="00816E15">
        <w:rPr>
          <w:szCs w:val="24"/>
        </w:rPr>
        <w:t xml:space="preserve">jednostki organizacyjnej, premie regulaminowe, świadczenia motywacyjne, </w:t>
      </w:r>
      <w:r w:rsidR="00F83D7B" w:rsidRPr="00816E15">
        <w:rPr>
          <w:szCs w:val="24"/>
        </w:rPr>
        <w:t>które mogą mieć szczególne cechy wyjątkowości,</w:t>
      </w:r>
      <w:r w:rsidR="00816E15">
        <w:rPr>
          <w:szCs w:val="24"/>
        </w:rPr>
        <w:t xml:space="preserve"> </w:t>
      </w:r>
      <w:r w:rsidR="00F83D7B" w:rsidRPr="00816E15">
        <w:rPr>
          <w:szCs w:val="24"/>
        </w:rPr>
        <w:t xml:space="preserve">uznaniowości, warunkowości </w:t>
      </w:r>
      <w:r w:rsidR="00F1083B" w:rsidRPr="00816E15">
        <w:rPr>
          <w:szCs w:val="24"/>
        </w:rPr>
        <w:t xml:space="preserve">lub </w:t>
      </w:r>
      <w:r w:rsidR="00F83D7B" w:rsidRPr="00816E15">
        <w:rPr>
          <w:szCs w:val="24"/>
        </w:rPr>
        <w:t xml:space="preserve">zmienności w wartości </w:t>
      </w:r>
      <w:r w:rsidR="00F1083B" w:rsidRPr="00816E15">
        <w:rPr>
          <w:szCs w:val="24"/>
        </w:rPr>
        <w:t xml:space="preserve">w </w:t>
      </w:r>
      <w:r w:rsidR="00F83D7B" w:rsidRPr="00816E15">
        <w:rPr>
          <w:szCs w:val="24"/>
        </w:rPr>
        <w:t>czas</w:t>
      </w:r>
      <w:r w:rsidR="00F1083B" w:rsidRPr="00816E15">
        <w:rPr>
          <w:szCs w:val="24"/>
        </w:rPr>
        <w:t>ie</w:t>
      </w:r>
      <w:r w:rsidR="00F83D7B" w:rsidRPr="00816E15">
        <w:rPr>
          <w:szCs w:val="24"/>
        </w:rPr>
        <w:t>.</w:t>
      </w:r>
    </w:p>
    <w:p w14:paraId="3B550ED7" w14:textId="66668F9F" w:rsidR="004D0815" w:rsidRPr="00816E15" w:rsidRDefault="00F1083B" w:rsidP="00CF5AAF">
      <w:pPr>
        <w:spacing w:line="360" w:lineRule="auto"/>
        <w:jc w:val="both"/>
        <w:rPr>
          <w:rFonts w:cs="Times New Roman"/>
          <w:szCs w:val="24"/>
          <w:lang w:val="pl"/>
        </w:rPr>
      </w:pPr>
      <w:r w:rsidRPr="00816E15">
        <w:rPr>
          <w:szCs w:val="24"/>
        </w:rPr>
        <w:t xml:space="preserve">Zmiana </w:t>
      </w:r>
      <w:r w:rsidR="00577DF5" w:rsidRPr="00816E15">
        <w:rPr>
          <w:b/>
          <w:szCs w:val="24"/>
        </w:rPr>
        <w:t>art. 206 ust. 3 pkt 3</w:t>
      </w:r>
      <w:r w:rsidR="00577DF5" w:rsidRPr="00816E15">
        <w:rPr>
          <w:szCs w:val="24"/>
        </w:rPr>
        <w:t xml:space="preserve"> doprecyzowuje niespójność terminologiczną. </w:t>
      </w:r>
      <w:r w:rsidR="00286AAF" w:rsidRPr="00816E15">
        <w:rPr>
          <w:szCs w:val="24"/>
        </w:rPr>
        <w:t>Termin „depozyt” zostaje zastąpiony pojęciem ,,środków objętych ochroną gwarancyjną”</w:t>
      </w:r>
      <w:r w:rsidR="00816E15">
        <w:rPr>
          <w:szCs w:val="24"/>
        </w:rPr>
        <w:t>, które zgodnie z art. </w:t>
      </w:r>
      <w:r w:rsidR="00286AAF" w:rsidRPr="00816E15">
        <w:rPr>
          <w:szCs w:val="24"/>
        </w:rPr>
        <w:t>17–19 stanowią środki deponenta objęte ochroną. Powyższa zmiana ma umożliwić prawidłowe zastosowanie wyłącz</w:t>
      </w:r>
      <w:r w:rsidRPr="00816E15">
        <w:rPr>
          <w:szCs w:val="24"/>
        </w:rPr>
        <w:t xml:space="preserve">eń </w:t>
      </w:r>
      <w:r w:rsidR="00286AAF" w:rsidRPr="00816E15">
        <w:rPr>
          <w:szCs w:val="24"/>
        </w:rPr>
        <w:t>w przypadku umorzenia lub konwersji zobowiązań, określenia kwoty strat do pokrycia i rekapitalizacji oraz przestrzeganie zasady</w:t>
      </w:r>
      <w:r w:rsidR="00C90618" w:rsidRPr="00816E15">
        <w:rPr>
          <w:szCs w:val="24"/>
        </w:rPr>
        <w:t xml:space="preserve"> ponoszenia strat i odpowiedzialności akcjonariuszy i wierzycieli,</w:t>
      </w:r>
      <w:r w:rsidR="00286AAF" w:rsidRPr="00816E15">
        <w:rPr>
          <w:szCs w:val="24"/>
        </w:rPr>
        <w:t xml:space="preserve"> </w:t>
      </w:r>
      <w:r w:rsidRPr="00816E15">
        <w:rPr>
          <w:szCs w:val="24"/>
        </w:rPr>
        <w:t xml:space="preserve">określonej w </w:t>
      </w:r>
      <w:r w:rsidR="00286AAF" w:rsidRPr="00816E15">
        <w:rPr>
          <w:szCs w:val="24"/>
        </w:rPr>
        <w:t xml:space="preserve">art. 34 (1) BRR. W przepisie dokonano zmiany </w:t>
      </w:r>
      <w:r w:rsidRPr="00816E15">
        <w:rPr>
          <w:szCs w:val="24"/>
        </w:rPr>
        <w:t xml:space="preserve">pojęcia </w:t>
      </w:r>
      <w:r w:rsidR="00286AAF" w:rsidRPr="00816E15">
        <w:rPr>
          <w:szCs w:val="24"/>
        </w:rPr>
        <w:t xml:space="preserve">„zagrożenia stabilności finansowej” na „niezbędność i proporcjonalność środków w celu uniknięcia </w:t>
      </w:r>
      <w:r w:rsidR="009445A1">
        <w:rPr>
          <w:szCs w:val="24"/>
        </w:rPr>
        <w:t xml:space="preserve">szerokiego rozprzestrzeniania się </w:t>
      </w:r>
      <w:r w:rsidR="00286AAF" w:rsidRPr="00816E15">
        <w:rPr>
          <w:szCs w:val="24"/>
        </w:rPr>
        <w:t>ryzyka zarażania</w:t>
      </w:r>
      <w:r w:rsidR="00CE5944" w:rsidRPr="00816E15">
        <w:rPr>
          <w:szCs w:val="24"/>
        </w:rPr>
        <w:t>”</w:t>
      </w:r>
      <w:r w:rsidRPr="00816E15">
        <w:rPr>
          <w:szCs w:val="24"/>
        </w:rPr>
        <w:t>,</w:t>
      </w:r>
      <w:r w:rsidR="00816E15">
        <w:rPr>
          <w:szCs w:val="24"/>
        </w:rPr>
        <w:t xml:space="preserve"> </w:t>
      </w:r>
      <w:r w:rsidR="00286AAF" w:rsidRPr="00816E15">
        <w:rPr>
          <w:szCs w:val="24"/>
        </w:rPr>
        <w:t>z perspektywy środków objętych ochroną gwarancyjną.</w:t>
      </w:r>
      <w:r w:rsidR="00CE5944" w:rsidRPr="00816E15">
        <w:rPr>
          <w:szCs w:val="24"/>
        </w:rPr>
        <w:t xml:space="preserve"> Nowe pojęcie powinno być interpretowane przez pryzmat wzajemnych powiązań pomiędzy instytucjami, które może rodzić ryzyko przenoszenia strat.</w:t>
      </w:r>
      <w:r w:rsidR="00286AAF" w:rsidRPr="00816E15">
        <w:rPr>
          <w:szCs w:val="24"/>
        </w:rPr>
        <w:t xml:space="preserve"> </w:t>
      </w:r>
      <w:r w:rsidRPr="00816E15">
        <w:rPr>
          <w:szCs w:val="24"/>
        </w:rPr>
        <w:t xml:space="preserve">Po zmianie </w:t>
      </w:r>
      <w:r w:rsidR="00286AAF" w:rsidRPr="00816E15">
        <w:rPr>
          <w:szCs w:val="24"/>
        </w:rPr>
        <w:t>wyłączeni</w:t>
      </w:r>
      <w:r w:rsidRPr="00816E15">
        <w:rPr>
          <w:szCs w:val="24"/>
        </w:rPr>
        <w:t xml:space="preserve">e </w:t>
      </w:r>
      <w:r w:rsidR="00286AAF" w:rsidRPr="00816E15">
        <w:rPr>
          <w:szCs w:val="24"/>
        </w:rPr>
        <w:t>będzie dokonywan</w:t>
      </w:r>
      <w:r w:rsidRPr="00816E15">
        <w:rPr>
          <w:szCs w:val="24"/>
        </w:rPr>
        <w:t xml:space="preserve">e </w:t>
      </w:r>
      <w:r w:rsidR="00286AAF" w:rsidRPr="00816E15">
        <w:rPr>
          <w:szCs w:val="24"/>
        </w:rPr>
        <w:t>z perspektywy bardziej skonkretyzowanej</w:t>
      </w:r>
      <w:r w:rsidRPr="00816E15">
        <w:rPr>
          <w:szCs w:val="24"/>
        </w:rPr>
        <w:t>,</w:t>
      </w:r>
      <w:r w:rsidR="00286AAF" w:rsidRPr="00816E15">
        <w:rPr>
          <w:szCs w:val="24"/>
        </w:rPr>
        <w:t xml:space="preserve"> tj. konsumenckich depozytów, których lawinowa wypłata może doprowadzić do zagrożenia funkcjonowania rynku finansowego lub gospodarki. Tym </w:t>
      </w:r>
      <w:r w:rsidRPr="00816E15">
        <w:rPr>
          <w:szCs w:val="24"/>
        </w:rPr>
        <w:t xml:space="preserve">samym </w:t>
      </w:r>
      <w:r w:rsidR="00286AAF" w:rsidRPr="00816E15">
        <w:rPr>
          <w:szCs w:val="24"/>
        </w:rPr>
        <w:t xml:space="preserve">doprecyzowane zostaje </w:t>
      </w:r>
      <w:r w:rsidRPr="00816E15">
        <w:rPr>
          <w:szCs w:val="24"/>
        </w:rPr>
        <w:t xml:space="preserve">funkcjonujące pojęcie „stabilności finansowej”, </w:t>
      </w:r>
      <w:r w:rsidR="00286AAF" w:rsidRPr="00816E15">
        <w:rPr>
          <w:szCs w:val="24"/>
        </w:rPr>
        <w:t>na gruncie analizowanego ryzyka „szturmu na bank” czy „efektu zarażania”</w:t>
      </w:r>
      <w:r w:rsidRPr="00816E15">
        <w:rPr>
          <w:szCs w:val="24"/>
        </w:rPr>
        <w:t xml:space="preserve">. </w:t>
      </w:r>
    </w:p>
    <w:p w14:paraId="7BE48910" w14:textId="08129993" w:rsidR="0005336F" w:rsidRPr="00816E15" w:rsidRDefault="0005336F" w:rsidP="00CF5AAF">
      <w:pPr>
        <w:spacing w:line="360" w:lineRule="auto"/>
        <w:jc w:val="both"/>
        <w:rPr>
          <w:rFonts w:cs="Times New Roman"/>
          <w:szCs w:val="24"/>
        </w:rPr>
      </w:pPr>
      <w:r w:rsidRPr="00816E15">
        <w:rPr>
          <w:rFonts w:cs="Times New Roman"/>
          <w:szCs w:val="24"/>
        </w:rPr>
        <w:t xml:space="preserve">Zmiana </w:t>
      </w:r>
      <w:r w:rsidRPr="00816E15">
        <w:rPr>
          <w:rFonts w:cs="Times New Roman"/>
          <w:b/>
          <w:szCs w:val="24"/>
        </w:rPr>
        <w:t xml:space="preserve">art. 208 ust. 2 </w:t>
      </w:r>
      <w:r w:rsidRPr="00816E15">
        <w:rPr>
          <w:rFonts w:cs="Times New Roman"/>
          <w:szCs w:val="24"/>
        </w:rPr>
        <w:t>ma charakter legislacyjny,</w:t>
      </w:r>
      <w:r w:rsidR="00E05093" w:rsidRPr="00816E15">
        <w:rPr>
          <w:rFonts w:cs="Times New Roman"/>
          <w:szCs w:val="24"/>
        </w:rPr>
        <w:t xml:space="preserve"> która polega na</w:t>
      </w:r>
      <w:r w:rsidRPr="00816E15">
        <w:rPr>
          <w:rFonts w:cs="Times New Roman"/>
          <w:szCs w:val="24"/>
        </w:rPr>
        <w:t xml:space="preserve"> doprecyzowaniu podstawy naliczania odsetek.</w:t>
      </w:r>
      <w:r w:rsidR="00286B10" w:rsidRPr="00816E15">
        <w:rPr>
          <w:rFonts w:cs="Times New Roman"/>
          <w:szCs w:val="24"/>
        </w:rPr>
        <w:t xml:space="preserve"> Jednocześnie zrezygnowano ze zbędnego sformułowania</w:t>
      </w:r>
      <w:r w:rsidR="00086C97">
        <w:rPr>
          <w:rFonts w:cs="Times New Roman"/>
          <w:szCs w:val="24"/>
        </w:rPr>
        <w:t>,</w:t>
      </w:r>
      <w:r w:rsidR="00286B10" w:rsidRPr="00816E15">
        <w:rPr>
          <w:rFonts w:cs="Times New Roman"/>
          <w:szCs w:val="24"/>
        </w:rPr>
        <w:t xml:space="preserve"> </w:t>
      </w:r>
      <w:r w:rsidR="007826E3" w:rsidRPr="00816E15">
        <w:rPr>
          <w:rFonts w:cs="Times New Roman"/>
          <w:szCs w:val="24"/>
        </w:rPr>
        <w:t>iż</w:t>
      </w:r>
      <w:r w:rsidR="00286B10" w:rsidRPr="00816E15">
        <w:rPr>
          <w:rFonts w:cs="Times New Roman"/>
          <w:szCs w:val="24"/>
        </w:rPr>
        <w:t xml:space="preserve"> Fundusz ma możliwość podejmowania</w:t>
      </w:r>
      <w:r w:rsidR="007826E3" w:rsidRPr="00816E15">
        <w:rPr>
          <w:rFonts w:cs="Times New Roman"/>
          <w:szCs w:val="24"/>
        </w:rPr>
        <w:t xml:space="preserve"> także</w:t>
      </w:r>
      <w:r w:rsidR="00286B10" w:rsidRPr="00816E15">
        <w:rPr>
          <w:rFonts w:cs="Times New Roman"/>
          <w:szCs w:val="24"/>
        </w:rPr>
        <w:t xml:space="preserve"> innych działań wynikających z ustawy.</w:t>
      </w:r>
    </w:p>
    <w:p w14:paraId="657D10C0" w14:textId="4C9A5173" w:rsidR="00AB12A1" w:rsidRPr="00816E15" w:rsidRDefault="008A3D9D" w:rsidP="00CF5AAF">
      <w:pPr>
        <w:spacing w:line="360" w:lineRule="auto"/>
        <w:jc w:val="both"/>
        <w:rPr>
          <w:rFonts w:cs="Times New Roman"/>
          <w:szCs w:val="24"/>
          <w:u w:val="single"/>
        </w:rPr>
      </w:pPr>
      <w:r w:rsidRPr="00816E15">
        <w:rPr>
          <w:rFonts w:cs="Times New Roman"/>
          <w:szCs w:val="24"/>
        </w:rPr>
        <w:t>Dodanie przepisu</w:t>
      </w:r>
      <w:r w:rsidR="00352407" w:rsidRPr="00816E15">
        <w:rPr>
          <w:rFonts w:cs="Times New Roman"/>
          <w:szCs w:val="24"/>
        </w:rPr>
        <w:t xml:space="preserve"> </w:t>
      </w:r>
      <w:r w:rsidR="00352407" w:rsidRPr="00816E15">
        <w:rPr>
          <w:rFonts w:cs="Times New Roman"/>
          <w:b/>
          <w:szCs w:val="24"/>
        </w:rPr>
        <w:t xml:space="preserve">art. 209 ust. 5, </w:t>
      </w:r>
      <w:r w:rsidRPr="00816E15">
        <w:rPr>
          <w:rFonts w:cs="Times New Roman"/>
          <w:szCs w:val="24"/>
        </w:rPr>
        <w:t xml:space="preserve">zmiana w </w:t>
      </w:r>
      <w:r w:rsidR="00352407" w:rsidRPr="00816E15">
        <w:rPr>
          <w:rFonts w:cs="Times New Roman"/>
          <w:b/>
          <w:szCs w:val="24"/>
        </w:rPr>
        <w:t>art. 210 ust. 1</w:t>
      </w:r>
      <w:r w:rsidR="007479AC" w:rsidRPr="00816E15">
        <w:rPr>
          <w:rFonts w:cs="Times New Roman"/>
          <w:b/>
          <w:szCs w:val="24"/>
        </w:rPr>
        <w:t xml:space="preserve"> </w:t>
      </w:r>
      <w:r w:rsidR="007479AC" w:rsidRPr="00086C97">
        <w:rPr>
          <w:rFonts w:cs="Times New Roman"/>
          <w:szCs w:val="24"/>
        </w:rPr>
        <w:t>oraz</w:t>
      </w:r>
      <w:r w:rsidR="00816E15" w:rsidRPr="00086C97">
        <w:rPr>
          <w:rFonts w:cs="Times New Roman"/>
          <w:szCs w:val="24"/>
        </w:rPr>
        <w:t xml:space="preserve"> </w:t>
      </w:r>
      <w:r w:rsidRPr="00086C97">
        <w:rPr>
          <w:rFonts w:cs="Times New Roman"/>
          <w:szCs w:val="24"/>
        </w:rPr>
        <w:t>d</w:t>
      </w:r>
      <w:r w:rsidRPr="00816E15">
        <w:rPr>
          <w:rFonts w:cs="Times New Roman"/>
          <w:szCs w:val="24"/>
        </w:rPr>
        <w:t xml:space="preserve">odanie </w:t>
      </w:r>
      <w:r w:rsidR="00352407" w:rsidRPr="00816E15">
        <w:rPr>
          <w:rFonts w:cs="Times New Roman"/>
          <w:b/>
          <w:szCs w:val="24"/>
        </w:rPr>
        <w:t>art. 201 ust. 1a, 2a i 2b</w:t>
      </w:r>
      <w:r w:rsidR="00352407" w:rsidRPr="00723542">
        <w:rPr>
          <w:rFonts w:cs="Times New Roman"/>
          <w:szCs w:val="24"/>
        </w:rPr>
        <w:t xml:space="preserve"> </w:t>
      </w:r>
      <w:r w:rsidR="00352407" w:rsidRPr="00816E15">
        <w:rPr>
          <w:rFonts w:cs="Times New Roman"/>
          <w:szCs w:val="24"/>
        </w:rPr>
        <w:t>mają na celu prawidłową implementacj</w:t>
      </w:r>
      <w:r w:rsidRPr="00816E15">
        <w:rPr>
          <w:rFonts w:cs="Times New Roman"/>
          <w:szCs w:val="24"/>
        </w:rPr>
        <w:t>ę</w:t>
      </w:r>
      <w:r w:rsidR="00352407" w:rsidRPr="00816E15">
        <w:rPr>
          <w:rFonts w:cs="Times New Roman"/>
          <w:szCs w:val="24"/>
        </w:rPr>
        <w:t xml:space="preserve"> art. 48 ust. 2 </w:t>
      </w:r>
      <w:r w:rsidRPr="00816E15">
        <w:rPr>
          <w:rFonts w:cs="Times New Roman"/>
          <w:szCs w:val="24"/>
        </w:rPr>
        <w:t xml:space="preserve">dyrektywy </w:t>
      </w:r>
      <w:r w:rsidR="00352407" w:rsidRPr="00816E15">
        <w:rPr>
          <w:rFonts w:cs="Times New Roman"/>
          <w:szCs w:val="24"/>
        </w:rPr>
        <w:t xml:space="preserve">BRR. Obecne przepisy mogą rodzić wątpliwości w odniesieniu do kolejności </w:t>
      </w:r>
      <w:r w:rsidR="00031BDD" w:rsidRPr="00816E15">
        <w:rPr>
          <w:rFonts w:cs="Times New Roman"/>
          <w:szCs w:val="24"/>
        </w:rPr>
        <w:t xml:space="preserve">zastosowania </w:t>
      </w:r>
      <w:r w:rsidR="00352407" w:rsidRPr="00816E15">
        <w:rPr>
          <w:rFonts w:cs="Times New Roman"/>
          <w:szCs w:val="24"/>
        </w:rPr>
        <w:t xml:space="preserve">instrumentu umorzenia lub konwersji zobowiązań w </w:t>
      </w:r>
      <w:r w:rsidR="00031BDD" w:rsidRPr="00816E15">
        <w:rPr>
          <w:rFonts w:cs="Times New Roman"/>
          <w:szCs w:val="24"/>
        </w:rPr>
        <w:t>przypadku</w:t>
      </w:r>
      <w:r w:rsidR="00086C97">
        <w:rPr>
          <w:rFonts w:cs="Times New Roman"/>
          <w:szCs w:val="24"/>
        </w:rPr>
        <w:t>,</w:t>
      </w:r>
      <w:r w:rsidR="00031BDD" w:rsidRPr="00816E15">
        <w:rPr>
          <w:rFonts w:cs="Times New Roman"/>
          <w:szCs w:val="24"/>
        </w:rPr>
        <w:t xml:space="preserve"> </w:t>
      </w:r>
      <w:r w:rsidR="00352407" w:rsidRPr="00816E15">
        <w:rPr>
          <w:rFonts w:cs="Times New Roman"/>
          <w:szCs w:val="24"/>
        </w:rPr>
        <w:t xml:space="preserve">gdy część zobowiązań została wyłączona z zakresu stosowania tego instrumentu. </w:t>
      </w:r>
      <w:r w:rsidRPr="00816E15">
        <w:rPr>
          <w:rFonts w:cs="Times New Roman"/>
          <w:szCs w:val="24"/>
        </w:rPr>
        <w:t xml:space="preserve">Dodanie </w:t>
      </w:r>
      <w:r w:rsidRPr="00816E15">
        <w:rPr>
          <w:rFonts w:cs="Times New Roman"/>
          <w:b/>
          <w:szCs w:val="24"/>
        </w:rPr>
        <w:t>art. 209 ust. 5</w:t>
      </w:r>
      <w:r w:rsidRPr="00816E15">
        <w:rPr>
          <w:rFonts w:cs="Times New Roman"/>
          <w:szCs w:val="24"/>
        </w:rPr>
        <w:t xml:space="preserve"> wskazuje na powiązanie kolejności umorzenia </w:t>
      </w:r>
      <w:r w:rsidR="00692AAD" w:rsidRPr="00816E15">
        <w:rPr>
          <w:rFonts w:cs="Times New Roman"/>
          <w:szCs w:val="24"/>
        </w:rPr>
        <w:t>lub</w:t>
      </w:r>
      <w:r w:rsidRPr="00816E15">
        <w:rPr>
          <w:rFonts w:cs="Times New Roman"/>
          <w:szCs w:val="24"/>
        </w:rPr>
        <w:t xml:space="preserve"> konwersji</w:t>
      </w:r>
      <w:r w:rsidR="00816E15">
        <w:rPr>
          <w:rFonts w:cs="Times New Roman"/>
          <w:szCs w:val="24"/>
        </w:rPr>
        <w:t xml:space="preserve"> </w:t>
      </w:r>
      <w:r w:rsidRPr="00816E15">
        <w:rPr>
          <w:rFonts w:cs="Times New Roman"/>
          <w:szCs w:val="24"/>
        </w:rPr>
        <w:t>zobowiązań z ust. 3</w:t>
      </w:r>
      <w:r w:rsidR="00031BDD" w:rsidRPr="00816E15">
        <w:rPr>
          <w:rFonts w:cs="Times New Roman"/>
          <w:szCs w:val="24"/>
        </w:rPr>
        <w:t>,</w:t>
      </w:r>
      <w:r w:rsidRPr="00816E15">
        <w:rPr>
          <w:rFonts w:cs="Times New Roman"/>
          <w:szCs w:val="24"/>
        </w:rPr>
        <w:t xml:space="preserve"> z wyłączeniem części lub całości zobowiązań zgodnie z art. 206 ust. 3</w:t>
      </w:r>
      <w:r w:rsidR="00D23342" w:rsidRPr="00816E15">
        <w:rPr>
          <w:rFonts w:cs="Times New Roman"/>
          <w:szCs w:val="24"/>
        </w:rPr>
        <w:t>.</w:t>
      </w:r>
      <w:r w:rsidRPr="00816E15">
        <w:rPr>
          <w:rFonts w:cs="Times New Roman"/>
          <w:szCs w:val="24"/>
        </w:rPr>
        <w:t xml:space="preserve"> Zmiana w </w:t>
      </w:r>
      <w:r w:rsidRPr="00816E15">
        <w:rPr>
          <w:rFonts w:cs="Times New Roman"/>
          <w:b/>
          <w:szCs w:val="24"/>
        </w:rPr>
        <w:t>art. 210 ust. 1</w:t>
      </w:r>
      <w:r w:rsidRPr="00816E15">
        <w:rPr>
          <w:rFonts w:cs="Times New Roman"/>
          <w:szCs w:val="24"/>
        </w:rPr>
        <w:t xml:space="preserve"> określającym zasadę konieczności i proporcjonalności umożliwia </w:t>
      </w:r>
      <w:r w:rsidR="00031BDD" w:rsidRPr="00816E15">
        <w:rPr>
          <w:rFonts w:cs="Times New Roman"/>
          <w:szCs w:val="24"/>
        </w:rPr>
        <w:t>doprecyzowanie</w:t>
      </w:r>
      <w:r w:rsidR="00816E15">
        <w:rPr>
          <w:rFonts w:cs="Times New Roman"/>
          <w:szCs w:val="24"/>
        </w:rPr>
        <w:t xml:space="preserve"> </w:t>
      </w:r>
      <w:r w:rsidRPr="00816E15">
        <w:rPr>
          <w:rFonts w:cs="Times New Roman"/>
          <w:szCs w:val="24"/>
        </w:rPr>
        <w:t>wyłączeń z</w:t>
      </w:r>
      <w:r w:rsidR="00031BDD" w:rsidRPr="00816E15">
        <w:rPr>
          <w:rFonts w:cs="Times New Roman"/>
          <w:szCs w:val="24"/>
        </w:rPr>
        <w:t>awartych w</w:t>
      </w:r>
      <w:r w:rsidR="00816E15">
        <w:rPr>
          <w:rFonts w:cs="Times New Roman"/>
          <w:szCs w:val="24"/>
        </w:rPr>
        <w:t xml:space="preserve"> </w:t>
      </w:r>
      <w:r w:rsidRPr="00816E15">
        <w:rPr>
          <w:rFonts w:cs="Times New Roman"/>
          <w:szCs w:val="24"/>
        </w:rPr>
        <w:t>art. 206 ust. 3.</w:t>
      </w:r>
      <w:r w:rsidR="007F7E7F" w:rsidRPr="00816E15">
        <w:rPr>
          <w:rFonts w:cs="Times New Roman"/>
          <w:szCs w:val="24"/>
        </w:rPr>
        <w:t xml:space="preserve"> Dodawany </w:t>
      </w:r>
      <w:r w:rsidR="007F7E7F" w:rsidRPr="00816E15">
        <w:rPr>
          <w:rFonts w:cs="Times New Roman"/>
          <w:b/>
          <w:szCs w:val="24"/>
        </w:rPr>
        <w:t xml:space="preserve">art. 210 ust. 1a </w:t>
      </w:r>
      <w:r w:rsidR="007F7E7F" w:rsidRPr="00816E15">
        <w:rPr>
          <w:rFonts w:cs="Times New Roman"/>
          <w:szCs w:val="24"/>
        </w:rPr>
        <w:t xml:space="preserve">wskazuje na możliwość odejścia od zasady proporcjonalności w stosunku do niewyłączonych zobowiązań – jest to konsekwencja zastosowania wyjątku. </w:t>
      </w:r>
      <w:r w:rsidR="00031BDD" w:rsidRPr="00816E15">
        <w:rPr>
          <w:rFonts w:cs="Times New Roman"/>
          <w:szCs w:val="24"/>
        </w:rPr>
        <w:t xml:space="preserve">Będzie to </w:t>
      </w:r>
      <w:r w:rsidR="007F7E7F" w:rsidRPr="00816E15">
        <w:rPr>
          <w:rFonts w:cs="Times New Roman"/>
          <w:szCs w:val="24"/>
        </w:rPr>
        <w:t>możliwe</w:t>
      </w:r>
      <w:r w:rsidR="00031BDD" w:rsidRPr="00816E15">
        <w:rPr>
          <w:rFonts w:cs="Times New Roman"/>
          <w:szCs w:val="24"/>
        </w:rPr>
        <w:t xml:space="preserve">, </w:t>
      </w:r>
      <w:r w:rsidR="007F7E7F" w:rsidRPr="00816E15">
        <w:rPr>
          <w:rFonts w:cs="Times New Roman"/>
          <w:szCs w:val="24"/>
        </w:rPr>
        <w:t>o ile wierzycielom lub właścicielom nie będzie przysługiwać roszczenie uzupełniające. Do</w:t>
      </w:r>
      <w:r w:rsidR="009907E1" w:rsidRPr="00816E15">
        <w:rPr>
          <w:rFonts w:cs="Times New Roman"/>
          <w:szCs w:val="24"/>
        </w:rPr>
        <w:t xml:space="preserve">dawany </w:t>
      </w:r>
      <w:r w:rsidR="009907E1" w:rsidRPr="00816E15">
        <w:rPr>
          <w:rFonts w:cs="Times New Roman"/>
          <w:b/>
          <w:szCs w:val="24"/>
        </w:rPr>
        <w:t>art. 210 ust. 2a i 2b</w:t>
      </w:r>
      <w:r w:rsidR="009907E1" w:rsidRPr="00816E15">
        <w:rPr>
          <w:rFonts w:cs="Times New Roman"/>
          <w:szCs w:val="24"/>
        </w:rPr>
        <w:t xml:space="preserve"> umożliwia zastosowanie zróżnicowanych stóp konwersji w </w:t>
      </w:r>
      <w:r w:rsidR="00031BDD" w:rsidRPr="00816E15">
        <w:rPr>
          <w:rFonts w:cs="Times New Roman"/>
          <w:szCs w:val="24"/>
        </w:rPr>
        <w:t xml:space="preserve">przypadku </w:t>
      </w:r>
      <w:r w:rsidR="009907E1" w:rsidRPr="00816E15">
        <w:rPr>
          <w:rFonts w:cs="Times New Roman"/>
          <w:szCs w:val="24"/>
        </w:rPr>
        <w:t>różnicy</w:t>
      </w:r>
      <w:r w:rsidR="00AB12A1" w:rsidRPr="00816E15">
        <w:rPr>
          <w:rFonts w:cs="Times New Roman"/>
          <w:szCs w:val="24"/>
        </w:rPr>
        <w:t xml:space="preserve"> wartości instrumentów własnościowych wydawanych w wyniku konwersji, o której mowa w art. 138 ust. 8</w:t>
      </w:r>
      <w:r w:rsidR="00031BDD" w:rsidRPr="00816E15">
        <w:rPr>
          <w:rFonts w:cs="Times New Roman"/>
          <w:szCs w:val="24"/>
        </w:rPr>
        <w:t>,</w:t>
      </w:r>
      <w:r w:rsidR="00AB12A1" w:rsidRPr="00816E15">
        <w:rPr>
          <w:rFonts w:cs="Times New Roman"/>
          <w:szCs w:val="24"/>
        </w:rPr>
        <w:t xml:space="preserve"> </w:t>
      </w:r>
      <w:r w:rsidR="00992AC2" w:rsidRPr="00816E15">
        <w:rPr>
          <w:rFonts w:cs="Times New Roman"/>
          <w:szCs w:val="24"/>
        </w:rPr>
        <w:t>a</w:t>
      </w:r>
      <w:r w:rsidR="00AB12A1" w:rsidRPr="00816E15">
        <w:rPr>
          <w:rFonts w:cs="Times New Roman"/>
          <w:szCs w:val="24"/>
        </w:rPr>
        <w:t xml:space="preserve"> kwot</w:t>
      </w:r>
      <w:r w:rsidR="00992AC2" w:rsidRPr="00816E15">
        <w:rPr>
          <w:rFonts w:cs="Times New Roman"/>
          <w:szCs w:val="24"/>
        </w:rPr>
        <w:t>ą</w:t>
      </w:r>
      <w:r w:rsidR="00AB12A1" w:rsidRPr="00816E15">
        <w:rPr>
          <w:rFonts w:cs="Times New Roman"/>
          <w:szCs w:val="24"/>
        </w:rPr>
        <w:t>, o jaką</w:t>
      </w:r>
      <w:r w:rsidR="00992AC2" w:rsidRPr="00816E15">
        <w:rPr>
          <w:rFonts w:cs="Times New Roman"/>
          <w:szCs w:val="24"/>
        </w:rPr>
        <w:t xml:space="preserve"> </w:t>
      </w:r>
      <w:r w:rsidR="00AB12A1" w:rsidRPr="00816E15">
        <w:rPr>
          <w:rFonts w:cs="Times New Roman"/>
          <w:szCs w:val="24"/>
        </w:rPr>
        <w:t>powinny wzrosnąć fundusze własne podmiotu w restrukturyzacji.</w:t>
      </w:r>
    </w:p>
    <w:p w14:paraId="3E903788" w14:textId="093519EE" w:rsidR="00A00199" w:rsidRPr="00816E15" w:rsidRDefault="00A00199" w:rsidP="00CF5AAF">
      <w:pPr>
        <w:spacing w:line="360" w:lineRule="auto"/>
        <w:jc w:val="both"/>
        <w:rPr>
          <w:szCs w:val="24"/>
        </w:rPr>
      </w:pPr>
      <w:r w:rsidRPr="00816E15">
        <w:rPr>
          <w:szCs w:val="24"/>
        </w:rPr>
        <w:t xml:space="preserve">Zmiana w </w:t>
      </w:r>
      <w:r w:rsidRPr="00816E15">
        <w:rPr>
          <w:b/>
          <w:szCs w:val="24"/>
        </w:rPr>
        <w:t>art. 214 ust. 3 i 5</w:t>
      </w:r>
      <w:r w:rsidRPr="00816E15">
        <w:rPr>
          <w:szCs w:val="24"/>
        </w:rPr>
        <w:t xml:space="preserve"> ma na celu dookreślenie założeń programu restrukturyzacji, który powinien uwzględniać warunki gospodarcze oraz warunki </w:t>
      </w:r>
      <w:r w:rsidR="00BC6EF4" w:rsidRPr="00816E15">
        <w:rPr>
          <w:szCs w:val="24"/>
        </w:rPr>
        <w:t>i prognozy dotyczące stanu na rynkach finansowych, przy uwzględnieniu różnych wariantów – optymistycznych i pesymistycznych. Szczególne zwrócenie uwagi na analizę warunków skrajnych ma na celu określ</w:t>
      </w:r>
      <w:r w:rsidR="00290072" w:rsidRPr="00816E15">
        <w:rPr>
          <w:szCs w:val="24"/>
        </w:rPr>
        <w:t xml:space="preserve">enie </w:t>
      </w:r>
      <w:r w:rsidR="00BC6EF4" w:rsidRPr="00816E15">
        <w:rPr>
          <w:szCs w:val="24"/>
        </w:rPr>
        <w:t>obszar</w:t>
      </w:r>
      <w:r w:rsidR="00290072" w:rsidRPr="00816E15">
        <w:rPr>
          <w:szCs w:val="24"/>
        </w:rPr>
        <w:t xml:space="preserve">ów </w:t>
      </w:r>
      <w:r w:rsidR="00BC6EF4" w:rsidRPr="00816E15">
        <w:rPr>
          <w:szCs w:val="24"/>
        </w:rPr>
        <w:t>największej wrażliwości podmiotu w restrukturyzacji</w:t>
      </w:r>
      <w:r w:rsidR="00D23342" w:rsidRPr="00816E15">
        <w:rPr>
          <w:szCs w:val="24"/>
        </w:rPr>
        <w:t xml:space="preserve"> z perspektywy różnych ryzyk</w:t>
      </w:r>
      <w:r w:rsidR="00BC6EF4" w:rsidRPr="00816E15">
        <w:rPr>
          <w:szCs w:val="24"/>
        </w:rPr>
        <w:t xml:space="preserve">. </w:t>
      </w:r>
      <w:r w:rsidR="00FD720A" w:rsidRPr="00816E15">
        <w:rPr>
          <w:szCs w:val="24"/>
        </w:rPr>
        <w:t xml:space="preserve">Oparcie </w:t>
      </w:r>
      <w:r w:rsidRPr="00816E15">
        <w:rPr>
          <w:szCs w:val="24"/>
        </w:rPr>
        <w:t xml:space="preserve">programu restrukturyzacji </w:t>
      </w:r>
      <w:r w:rsidR="00FD720A" w:rsidRPr="00816E15">
        <w:rPr>
          <w:szCs w:val="24"/>
        </w:rPr>
        <w:t xml:space="preserve">na </w:t>
      </w:r>
      <w:r w:rsidRPr="00816E15">
        <w:rPr>
          <w:szCs w:val="24"/>
        </w:rPr>
        <w:t>realnych założe</w:t>
      </w:r>
      <w:r w:rsidR="00FD720A" w:rsidRPr="00816E15">
        <w:rPr>
          <w:szCs w:val="24"/>
        </w:rPr>
        <w:t xml:space="preserve">niach </w:t>
      </w:r>
      <w:r w:rsidRPr="00816E15">
        <w:rPr>
          <w:szCs w:val="24"/>
        </w:rPr>
        <w:t xml:space="preserve">będzie zapewniać porównanie </w:t>
      </w:r>
      <w:r w:rsidR="00F4113A" w:rsidRPr="00816E15">
        <w:rPr>
          <w:szCs w:val="24"/>
        </w:rPr>
        <w:t xml:space="preserve">z </w:t>
      </w:r>
      <w:r w:rsidRPr="00816E15">
        <w:rPr>
          <w:szCs w:val="24"/>
        </w:rPr>
        <w:t>planowan</w:t>
      </w:r>
      <w:r w:rsidR="00F4113A" w:rsidRPr="00816E15">
        <w:rPr>
          <w:szCs w:val="24"/>
        </w:rPr>
        <w:t>ymi</w:t>
      </w:r>
      <w:r w:rsidRPr="00816E15">
        <w:rPr>
          <w:szCs w:val="24"/>
        </w:rPr>
        <w:t xml:space="preserve"> </w:t>
      </w:r>
      <w:r w:rsidR="00BC6EF4" w:rsidRPr="00816E15">
        <w:rPr>
          <w:szCs w:val="24"/>
        </w:rPr>
        <w:t>założeniami</w:t>
      </w:r>
      <w:r w:rsidR="00F4113A" w:rsidRPr="00816E15">
        <w:rPr>
          <w:szCs w:val="24"/>
        </w:rPr>
        <w:t xml:space="preserve"> dla</w:t>
      </w:r>
      <w:r w:rsidR="00BC6EF4" w:rsidRPr="00816E15">
        <w:rPr>
          <w:szCs w:val="24"/>
        </w:rPr>
        <w:t xml:space="preserve"> innych podmiotów</w:t>
      </w:r>
      <w:r w:rsidR="00F4113A" w:rsidRPr="00816E15">
        <w:rPr>
          <w:szCs w:val="24"/>
        </w:rPr>
        <w:t xml:space="preserve"> oraz</w:t>
      </w:r>
      <w:r w:rsidRPr="00816E15">
        <w:rPr>
          <w:szCs w:val="24"/>
        </w:rPr>
        <w:t xml:space="preserve"> z możliwościami gospodarczymi całego sektora</w:t>
      </w:r>
      <w:r w:rsidR="00D23342" w:rsidRPr="00816E15">
        <w:rPr>
          <w:szCs w:val="24"/>
        </w:rPr>
        <w:t xml:space="preserve"> finansowego</w:t>
      </w:r>
      <w:r w:rsidRPr="00816E15">
        <w:rPr>
          <w:szCs w:val="24"/>
        </w:rPr>
        <w:t>. Proponowana zmiana zapewnia pełną spójność z przepisami art. 52(4) BRRD.</w:t>
      </w:r>
    </w:p>
    <w:p w14:paraId="7D6829C4" w14:textId="564EDA64" w:rsidR="004D0815" w:rsidRPr="00816E15" w:rsidRDefault="005D2D32" w:rsidP="00CF5AAF">
      <w:pPr>
        <w:spacing w:line="360" w:lineRule="auto"/>
        <w:jc w:val="both"/>
        <w:rPr>
          <w:rFonts w:cs="Times New Roman"/>
          <w:szCs w:val="24"/>
          <w:lang w:val="pl"/>
        </w:rPr>
      </w:pPr>
      <w:r w:rsidRPr="00816E15">
        <w:rPr>
          <w:rFonts w:cs="Times New Roman"/>
          <w:szCs w:val="24"/>
          <w:lang w:val="pl"/>
        </w:rPr>
        <w:t xml:space="preserve">Celem </w:t>
      </w:r>
      <w:r w:rsidR="00D54115" w:rsidRPr="00816E15">
        <w:rPr>
          <w:rFonts w:cs="Times New Roman"/>
          <w:szCs w:val="24"/>
          <w:lang w:val="pl"/>
        </w:rPr>
        <w:t xml:space="preserve">zmiany </w:t>
      </w:r>
      <w:r w:rsidR="00D54115" w:rsidRPr="00816E15">
        <w:rPr>
          <w:rFonts w:cs="Times New Roman"/>
          <w:b/>
          <w:szCs w:val="24"/>
          <w:lang w:val="pl"/>
        </w:rPr>
        <w:t>art. 222</w:t>
      </w:r>
      <w:r w:rsidR="00D54115" w:rsidRPr="00816E15">
        <w:rPr>
          <w:rFonts w:cs="Times New Roman"/>
          <w:szCs w:val="24"/>
          <w:lang w:val="pl"/>
        </w:rPr>
        <w:t xml:space="preserve"> </w:t>
      </w:r>
      <w:r w:rsidRPr="00816E15">
        <w:rPr>
          <w:rFonts w:cs="Times New Roman"/>
          <w:szCs w:val="24"/>
          <w:lang w:val="pl"/>
        </w:rPr>
        <w:t xml:space="preserve">jest </w:t>
      </w:r>
      <w:r w:rsidR="0002741A" w:rsidRPr="00816E15">
        <w:rPr>
          <w:szCs w:val="24"/>
          <w:lang w:val="pl"/>
        </w:rPr>
        <w:t xml:space="preserve">zapewnienie jego stosowania w świetle uprzednio </w:t>
      </w:r>
      <w:r w:rsidRPr="00816E15">
        <w:rPr>
          <w:rFonts w:cs="Times New Roman"/>
          <w:szCs w:val="24"/>
          <w:lang w:val="pl"/>
        </w:rPr>
        <w:t xml:space="preserve">implementowanego art. 55 </w:t>
      </w:r>
      <w:r w:rsidR="00D54115" w:rsidRPr="00816E15">
        <w:rPr>
          <w:rFonts w:cs="Times New Roman"/>
          <w:szCs w:val="24"/>
          <w:lang w:val="pl"/>
        </w:rPr>
        <w:t xml:space="preserve">dyrektywy </w:t>
      </w:r>
      <w:r w:rsidRPr="00816E15">
        <w:rPr>
          <w:rFonts w:cs="Times New Roman"/>
          <w:szCs w:val="24"/>
          <w:lang w:val="pl"/>
        </w:rPr>
        <w:t>BRR oraz</w:t>
      </w:r>
      <w:r w:rsidR="00125101" w:rsidRPr="00816E15">
        <w:rPr>
          <w:rFonts w:cs="Times New Roman"/>
          <w:szCs w:val="24"/>
          <w:lang w:val="pl"/>
        </w:rPr>
        <w:t xml:space="preserve"> </w:t>
      </w:r>
      <w:r w:rsidR="00125101" w:rsidRPr="00816E15">
        <w:rPr>
          <w:szCs w:val="24"/>
        </w:rPr>
        <w:t xml:space="preserve">bezpośrednio stosowanych </w:t>
      </w:r>
      <w:r w:rsidRPr="00816E15">
        <w:rPr>
          <w:rFonts w:cs="Times New Roman"/>
          <w:szCs w:val="24"/>
          <w:lang w:val="pl"/>
        </w:rPr>
        <w:t>przepisów sekcji 1 rozdziału piątego rozporządzenia delegowanego Komisji (UE)</w:t>
      </w:r>
      <w:r w:rsidR="00331BAA" w:rsidRPr="00816E15">
        <w:rPr>
          <w:rFonts w:cs="Times New Roman"/>
          <w:szCs w:val="24"/>
          <w:lang w:val="pl"/>
        </w:rPr>
        <w:t xml:space="preserve"> </w:t>
      </w:r>
      <w:r w:rsidRPr="00816E15">
        <w:rPr>
          <w:rFonts w:cs="Times New Roman"/>
          <w:szCs w:val="24"/>
          <w:lang w:val="pl"/>
        </w:rPr>
        <w:t>2016/1075 z dnia 23 marca 2016 r.</w:t>
      </w:r>
      <w:r w:rsidR="002D2478" w:rsidRPr="00816E15">
        <w:rPr>
          <w:rFonts w:cs="Times New Roman"/>
          <w:szCs w:val="24"/>
          <w:lang w:val="pl"/>
        </w:rPr>
        <w:t xml:space="preserve"> </w:t>
      </w:r>
      <w:r w:rsidR="002D2478" w:rsidRPr="00816E15">
        <w:rPr>
          <w:rStyle w:val="Pogrubienie"/>
          <w:b w:val="0"/>
          <w:szCs w:val="24"/>
        </w:rPr>
        <w:t>uzupełniające</w:t>
      </w:r>
      <w:r w:rsidR="009E7FB1" w:rsidRPr="00816E15">
        <w:rPr>
          <w:rStyle w:val="Pogrubienie"/>
          <w:b w:val="0"/>
          <w:szCs w:val="24"/>
        </w:rPr>
        <w:t>go</w:t>
      </w:r>
      <w:r w:rsidR="002D2478" w:rsidRPr="00816E15">
        <w:rPr>
          <w:rStyle w:val="Pogrubienie"/>
          <w:b w:val="0"/>
          <w:szCs w:val="24"/>
        </w:rPr>
        <w:t xml:space="preserve"> dyrektywę Parlamentu Europejskiego i</w:t>
      </w:r>
      <w:r w:rsidR="001A5074" w:rsidRPr="00816E15">
        <w:rPr>
          <w:rStyle w:val="Pogrubienie"/>
          <w:b w:val="0"/>
          <w:szCs w:val="24"/>
        </w:rPr>
        <w:t> </w:t>
      </w:r>
      <w:r w:rsidR="002D2478" w:rsidRPr="00816E15">
        <w:rPr>
          <w:rStyle w:val="Pogrubienie"/>
          <w:b w:val="0"/>
          <w:szCs w:val="24"/>
        </w:rPr>
        <w:t>Rady 2014/59/UE w odniesieniu do regulacyjnych standardów technicznych określających treść planów naprawy, planów restrukturyzacji i uporządkowanej likwidacji oraz grupowych planów restrukturyzacji i uporządkowanej likwidacji, minimalne kryteria, które właściwy organ ma poddać ocenie w odniesieniu do planów naprawy i grupowych planów naprawy, warunki udzielenia wsparcia finansowego w ramach grupy, wymagania wobec niezależnych rzeczoznawców, umowne uznanie uprawnień do umorzenia i konwersji, procedury i treść wymogów dotyczących powiadomienia i obwieszczenia o zawieszeniu oraz sposób funkcjonowania kolegiów ds. restrukturyzacji i uporządkowanej likwidacji (</w:t>
      </w:r>
      <w:r w:rsidR="002D2478" w:rsidRPr="00816E15">
        <w:rPr>
          <w:iCs/>
          <w:szCs w:val="24"/>
        </w:rPr>
        <w:t>OJ L 184</w:t>
      </w:r>
      <w:r w:rsidR="00C35D81">
        <w:rPr>
          <w:iCs/>
          <w:szCs w:val="24"/>
        </w:rPr>
        <w:t xml:space="preserve"> z</w:t>
      </w:r>
      <w:r w:rsidR="002D2478" w:rsidRPr="00816E15">
        <w:rPr>
          <w:iCs/>
          <w:szCs w:val="24"/>
        </w:rPr>
        <w:t xml:space="preserve"> </w:t>
      </w:r>
      <w:r w:rsidR="006F4F9B" w:rsidRPr="00816E15">
        <w:rPr>
          <w:iCs/>
          <w:szCs w:val="24"/>
        </w:rPr>
        <w:t>0</w:t>
      </w:r>
      <w:r w:rsidR="002D2478" w:rsidRPr="00816E15">
        <w:rPr>
          <w:iCs/>
          <w:szCs w:val="24"/>
        </w:rPr>
        <w:t>8.</w:t>
      </w:r>
      <w:r w:rsidR="006F4F9B" w:rsidRPr="00816E15">
        <w:rPr>
          <w:iCs/>
          <w:szCs w:val="24"/>
        </w:rPr>
        <w:t>0</w:t>
      </w:r>
      <w:r w:rsidR="002D2478" w:rsidRPr="00816E15">
        <w:rPr>
          <w:iCs/>
          <w:szCs w:val="24"/>
        </w:rPr>
        <w:t xml:space="preserve">7.2016, </w:t>
      </w:r>
      <w:r w:rsidR="001A5074" w:rsidRPr="00816E15">
        <w:rPr>
          <w:iCs/>
          <w:szCs w:val="24"/>
        </w:rPr>
        <w:t>str</w:t>
      </w:r>
      <w:r w:rsidR="002D2478" w:rsidRPr="00816E15">
        <w:rPr>
          <w:iCs/>
          <w:szCs w:val="24"/>
        </w:rPr>
        <w:t>. 1)</w:t>
      </w:r>
      <w:r w:rsidR="00732351" w:rsidRPr="00816E15">
        <w:rPr>
          <w:iCs/>
          <w:szCs w:val="24"/>
        </w:rPr>
        <w:t>, dalej „</w:t>
      </w:r>
      <w:r w:rsidR="00732351" w:rsidRPr="00816E15">
        <w:rPr>
          <w:rFonts w:cs="Times New Roman"/>
          <w:szCs w:val="24"/>
          <w:lang w:val="pl"/>
        </w:rPr>
        <w:t>rozporządzenie delegowane Komisji 2016/1075”.</w:t>
      </w:r>
      <w:r w:rsidRPr="00816E15">
        <w:rPr>
          <w:rFonts w:cs="Times New Roman"/>
          <w:szCs w:val="24"/>
          <w:lang w:val="pl"/>
        </w:rPr>
        <w:t xml:space="preserve"> Przepis ustawy </w:t>
      </w:r>
      <w:r w:rsidR="00E65278" w:rsidRPr="00816E15">
        <w:rPr>
          <w:rFonts w:cs="Times New Roman"/>
          <w:szCs w:val="24"/>
          <w:lang w:val="pl"/>
        </w:rPr>
        <w:t xml:space="preserve">o BFG </w:t>
      </w:r>
      <w:r w:rsidRPr="00816E15">
        <w:rPr>
          <w:rFonts w:cs="Times New Roman"/>
          <w:szCs w:val="24"/>
          <w:lang w:val="pl"/>
        </w:rPr>
        <w:t>nakłada obowiązek wprowadzenia odpowiednich klauzul umownych do wszystkich zobowiązań, niezależnie od prawa właściwego dla umów</w:t>
      </w:r>
      <w:r w:rsidR="009E7FB1" w:rsidRPr="00816E15">
        <w:rPr>
          <w:rFonts w:cs="Times New Roman"/>
          <w:szCs w:val="24"/>
          <w:lang w:val="pl"/>
        </w:rPr>
        <w:t>,</w:t>
      </w:r>
      <w:r w:rsidRPr="00816E15">
        <w:rPr>
          <w:rFonts w:cs="Times New Roman"/>
          <w:szCs w:val="24"/>
          <w:lang w:val="pl"/>
        </w:rPr>
        <w:t xml:space="preserve"> na podstawie których powstają, co </w:t>
      </w:r>
      <w:r w:rsidR="009E7FB1" w:rsidRPr="00816E15">
        <w:rPr>
          <w:rFonts w:cs="Times New Roman"/>
          <w:szCs w:val="24"/>
          <w:lang w:val="pl"/>
        </w:rPr>
        <w:t xml:space="preserve">należy ocenić jako regulację </w:t>
      </w:r>
      <w:r w:rsidRPr="00816E15">
        <w:rPr>
          <w:rFonts w:cs="Times New Roman"/>
          <w:szCs w:val="24"/>
          <w:lang w:val="pl"/>
        </w:rPr>
        <w:t>nadmi</w:t>
      </w:r>
      <w:r w:rsidR="009E7FB1" w:rsidRPr="00816E15">
        <w:rPr>
          <w:rFonts w:cs="Times New Roman"/>
          <w:szCs w:val="24"/>
          <w:lang w:val="pl"/>
        </w:rPr>
        <w:t>erną</w:t>
      </w:r>
      <w:r w:rsidRPr="00816E15">
        <w:rPr>
          <w:rFonts w:cs="Times New Roman"/>
          <w:szCs w:val="24"/>
          <w:lang w:val="pl"/>
        </w:rPr>
        <w:t xml:space="preserve"> wobec przepisów ustawy</w:t>
      </w:r>
      <w:r w:rsidR="009E7FB1" w:rsidRPr="00816E15">
        <w:rPr>
          <w:rFonts w:cs="Times New Roman"/>
          <w:szCs w:val="24"/>
          <w:lang w:val="pl"/>
        </w:rPr>
        <w:t xml:space="preserve"> o BFG</w:t>
      </w:r>
      <w:r w:rsidR="00816E15">
        <w:rPr>
          <w:rFonts w:cs="Times New Roman"/>
          <w:szCs w:val="24"/>
          <w:lang w:val="pl"/>
        </w:rPr>
        <w:t xml:space="preserve"> </w:t>
      </w:r>
      <w:r w:rsidRPr="00816E15">
        <w:rPr>
          <w:rFonts w:cs="Times New Roman"/>
          <w:szCs w:val="24"/>
          <w:lang w:val="pl"/>
        </w:rPr>
        <w:t>dotyczących uprawnienia Funduszu do umorzenia lub konwersji zobowiązań.</w:t>
      </w:r>
      <w:r w:rsidR="003C7177" w:rsidRPr="00816E15">
        <w:rPr>
          <w:rFonts w:cs="Times New Roman"/>
          <w:szCs w:val="24"/>
          <w:lang w:val="pl"/>
        </w:rPr>
        <w:t xml:space="preserve"> </w:t>
      </w:r>
      <w:r w:rsidRPr="00816E15">
        <w:rPr>
          <w:rFonts w:cs="Times New Roman"/>
          <w:szCs w:val="24"/>
          <w:lang w:val="pl"/>
        </w:rPr>
        <w:t xml:space="preserve">Obecne rozwiązanie </w:t>
      </w:r>
      <w:r w:rsidR="00CD7BFB" w:rsidRPr="00816E15">
        <w:rPr>
          <w:rFonts w:cs="Times New Roman"/>
          <w:szCs w:val="24"/>
          <w:lang w:val="pl"/>
        </w:rPr>
        <w:t>–</w:t>
      </w:r>
      <w:r w:rsidRPr="00816E15">
        <w:rPr>
          <w:rFonts w:cs="Times New Roman"/>
          <w:szCs w:val="24"/>
          <w:lang w:val="pl"/>
        </w:rPr>
        <w:t xml:space="preserve"> obowiązek wprowadzenia odpowiednich klauzul umownych do</w:t>
      </w:r>
      <w:r w:rsidR="001A5074" w:rsidRPr="00816E15">
        <w:rPr>
          <w:rFonts w:cs="Times New Roman"/>
          <w:szCs w:val="24"/>
          <w:lang w:val="pl"/>
        </w:rPr>
        <w:t> </w:t>
      </w:r>
      <w:r w:rsidRPr="00816E15">
        <w:rPr>
          <w:rFonts w:cs="Times New Roman"/>
          <w:szCs w:val="24"/>
          <w:lang w:val="pl"/>
        </w:rPr>
        <w:t>wszystkich zobowiązań</w:t>
      </w:r>
      <w:r w:rsidR="00E65278" w:rsidRPr="00816E15">
        <w:rPr>
          <w:rFonts w:cs="Times New Roman"/>
          <w:szCs w:val="24"/>
          <w:lang w:val="pl"/>
        </w:rPr>
        <w:t xml:space="preserve"> </w:t>
      </w:r>
      <w:r w:rsidR="00CD7BFB" w:rsidRPr="00816E15">
        <w:rPr>
          <w:rFonts w:cs="Times New Roman"/>
          <w:szCs w:val="24"/>
          <w:lang w:val="pl"/>
        </w:rPr>
        <w:t>–</w:t>
      </w:r>
      <w:r w:rsidR="00E65278" w:rsidRPr="00816E15">
        <w:rPr>
          <w:rFonts w:cs="Times New Roman"/>
          <w:szCs w:val="24"/>
          <w:lang w:val="pl"/>
        </w:rPr>
        <w:t xml:space="preserve"> </w:t>
      </w:r>
      <w:r w:rsidRPr="00816E15">
        <w:rPr>
          <w:rFonts w:cs="Times New Roman"/>
          <w:szCs w:val="24"/>
          <w:lang w:val="pl"/>
        </w:rPr>
        <w:t xml:space="preserve">nie </w:t>
      </w:r>
      <w:r w:rsidR="00E65278" w:rsidRPr="00816E15">
        <w:rPr>
          <w:rFonts w:cs="Times New Roman"/>
          <w:szCs w:val="24"/>
          <w:lang w:val="pl"/>
        </w:rPr>
        <w:t xml:space="preserve">jest </w:t>
      </w:r>
      <w:r w:rsidRPr="00816E15">
        <w:rPr>
          <w:rFonts w:cs="Times New Roman"/>
          <w:szCs w:val="24"/>
          <w:lang w:val="pl"/>
        </w:rPr>
        <w:t>sprzeczne z dyrektywą</w:t>
      </w:r>
      <w:r w:rsidR="009E7FB1" w:rsidRPr="00816E15">
        <w:rPr>
          <w:rFonts w:cs="Times New Roman"/>
          <w:szCs w:val="24"/>
          <w:lang w:val="pl"/>
        </w:rPr>
        <w:t xml:space="preserve"> BRR</w:t>
      </w:r>
      <w:r w:rsidR="00E65278" w:rsidRPr="00816E15">
        <w:rPr>
          <w:rFonts w:cs="Times New Roman"/>
          <w:szCs w:val="24"/>
          <w:lang w:val="pl"/>
        </w:rPr>
        <w:t>,</w:t>
      </w:r>
      <w:r w:rsidR="00816E15">
        <w:rPr>
          <w:rFonts w:cs="Times New Roman"/>
          <w:szCs w:val="24"/>
          <w:lang w:val="pl"/>
        </w:rPr>
        <w:t xml:space="preserve"> </w:t>
      </w:r>
      <w:r w:rsidRPr="00816E15">
        <w:rPr>
          <w:rFonts w:cs="Times New Roman"/>
          <w:szCs w:val="24"/>
          <w:lang w:val="pl"/>
        </w:rPr>
        <w:t xml:space="preserve">jednak rozszerza zakres instrumentów objętych tą regulacją. Dyrektywa </w:t>
      </w:r>
      <w:r w:rsidR="00E65278" w:rsidRPr="00816E15">
        <w:rPr>
          <w:rFonts w:cs="Times New Roman"/>
          <w:szCs w:val="24"/>
          <w:lang w:val="pl"/>
        </w:rPr>
        <w:t xml:space="preserve">BRR </w:t>
      </w:r>
      <w:r w:rsidRPr="00816E15">
        <w:rPr>
          <w:rFonts w:cs="Times New Roman"/>
          <w:szCs w:val="24"/>
          <w:lang w:val="pl"/>
        </w:rPr>
        <w:t>wymaga od państw członkowskich przyjęcia takiego rozwiązania jedynie dla zobowiązań powstałych na podstawie prawa państw trzecich (spoza UE). Przyjęte dotychczas podejście nie zwiększało efektywności przeprowadzania przymusowej restrukturyzacji, gdyż możliwość dokonania umorzenia lub konwersji zobowiązań powstałych nad podstawie prawa krajów UE wynika z mocy ustawy.</w:t>
      </w:r>
      <w:r w:rsidR="00816E15">
        <w:rPr>
          <w:rFonts w:cs="Times New Roman"/>
          <w:szCs w:val="24"/>
          <w:lang w:val="pl"/>
        </w:rPr>
        <w:t xml:space="preserve"> </w:t>
      </w:r>
    </w:p>
    <w:p w14:paraId="08B08217" w14:textId="6FEACC3A" w:rsidR="006D1190" w:rsidRPr="00816E15" w:rsidRDefault="006D1190" w:rsidP="00CF5AAF">
      <w:pPr>
        <w:spacing w:before="240" w:line="360" w:lineRule="auto"/>
        <w:jc w:val="both"/>
        <w:rPr>
          <w:szCs w:val="24"/>
        </w:rPr>
      </w:pPr>
      <w:r w:rsidRPr="00816E15">
        <w:rPr>
          <w:szCs w:val="24"/>
        </w:rPr>
        <w:t xml:space="preserve">Zmiana w </w:t>
      </w:r>
      <w:r w:rsidRPr="00816E15">
        <w:rPr>
          <w:b/>
          <w:szCs w:val="24"/>
        </w:rPr>
        <w:t>art. 225 ust</w:t>
      </w:r>
      <w:r w:rsidR="0048127A" w:rsidRPr="00816E15">
        <w:rPr>
          <w:b/>
          <w:szCs w:val="24"/>
        </w:rPr>
        <w:t>.</w:t>
      </w:r>
      <w:r w:rsidRPr="00816E15">
        <w:rPr>
          <w:b/>
          <w:szCs w:val="24"/>
        </w:rPr>
        <w:t xml:space="preserve"> 2 i 3 </w:t>
      </w:r>
      <w:r w:rsidRPr="00816E15">
        <w:rPr>
          <w:szCs w:val="24"/>
        </w:rPr>
        <w:t>w zw. ze zmianą art. 188 ust. 2 ma na celu zachowanie spójności przepisów ustawy w części dot</w:t>
      </w:r>
      <w:r w:rsidR="0048127A" w:rsidRPr="00816E15">
        <w:rPr>
          <w:szCs w:val="24"/>
        </w:rPr>
        <w:t xml:space="preserve">yczącej </w:t>
      </w:r>
      <w:r w:rsidRPr="00816E15">
        <w:rPr>
          <w:szCs w:val="24"/>
        </w:rPr>
        <w:t xml:space="preserve">instytucji pomostowej i instrumentu wydzielenia praw majątkowych. </w:t>
      </w:r>
      <w:r w:rsidR="0048127A" w:rsidRPr="00816E15">
        <w:rPr>
          <w:szCs w:val="24"/>
        </w:rPr>
        <w:t xml:space="preserve">Zmianę art. 225 uzasadniają tożsame </w:t>
      </w:r>
      <w:r w:rsidRPr="00816E15">
        <w:rPr>
          <w:szCs w:val="24"/>
        </w:rPr>
        <w:t>warunki przeniesienia zwrotnego wskazane w art. 42 ust. 10 oraz art. 40 ust. 7 dyrektywy BRR</w:t>
      </w:r>
      <w:r w:rsidR="0048127A" w:rsidRPr="00816E15">
        <w:rPr>
          <w:szCs w:val="24"/>
        </w:rPr>
        <w:t xml:space="preserve">. Zmiana służy </w:t>
      </w:r>
      <w:r w:rsidRPr="00816E15">
        <w:rPr>
          <w:szCs w:val="24"/>
        </w:rPr>
        <w:t>zapewnieni</w:t>
      </w:r>
      <w:r w:rsidR="0048127A" w:rsidRPr="00816E15">
        <w:rPr>
          <w:szCs w:val="24"/>
        </w:rPr>
        <w:t xml:space="preserve">u </w:t>
      </w:r>
      <w:r w:rsidRPr="00816E15">
        <w:rPr>
          <w:szCs w:val="24"/>
        </w:rPr>
        <w:t>pełnej implementacji art. 42 ust. 10 dyrektywy BRR. Przepis umożliwi Funduszowi zwrotne przeniesienie praw udziałowych w podmiocie w</w:t>
      </w:r>
      <w:r w:rsidR="00C200EB" w:rsidRPr="00816E15">
        <w:rPr>
          <w:szCs w:val="24"/>
        </w:rPr>
        <w:t> </w:t>
      </w:r>
      <w:r w:rsidRPr="00816E15">
        <w:rPr>
          <w:szCs w:val="24"/>
        </w:rPr>
        <w:t>restrukturyzacji, wybranych praw majątkowych lub zobowiązań będących przedmiotem pierwotnego przeniesienia, odpowiednio do pierwotnych posiadaczy praw udziałowych w podmiocie w restrukturyzacji albo podmiotu w restrukturyzacji, w sytuacji gdy ww. prawa udziałowe, wybrane prawa majątkowe lub zobowiązania w rzeczywistości nie należą do kategorii praw udziałowych, praw majątkowych lub zobowiązań określonych w decyzji o przeniesieniu</w:t>
      </w:r>
      <w:r w:rsidR="00A35EE9" w:rsidRPr="00816E15">
        <w:rPr>
          <w:szCs w:val="24"/>
        </w:rPr>
        <w:t>, a były one przedmiotem wydzielenia o którym mowa w art. 223</w:t>
      </w:r>
      <w:r w:rsidRPr="00816E15">
        <w:rPr>
          <w:szCs w:val="24"/>
        </w:rPr>
        <w:t>.</w:t>
      </w:r>
    </w:p>
    <w:p w14:paraId="15B3F5D6" w14:textId="5ED0B983" w:rsidR="001F4AA8" w:rsidRPr="00816E15" w:rsidRDefault="003F6ABF" w:rsidP="00CF5AAF">
      <w:pPr>
        <w:spacing w:before="240" w:line="360" w:lineRule="auto"/>
        <w:jc w:val="both"/>
        <w:rPr>
          <w:szCs w:val="24"/>
        </w:rPr>
      </w:pPr>
      <w:r w:rsidRPr="00816E15">
        <w:rPr>
          <w:b/>
          <w:szCs w:val="24"/>
        </w:rPr>
        <w:t>A</w:t>
      </w:r>
      <w:r w:rsidR="001F4AA8" w:rsidRPr="00816E15">
        <w:rPr>
          <w:b/>
          <w:szCs w:val="24"/>
        </w:rPr>
        <w:t xml:space="preserve">rt. 230 ust. 1 </w:t>
      </w:r>
      <w:r w:rsidR="003B349D" w:rsidRPr="00816E15">
        <w:rPr>
          <w:szCs w:val="24"/>
        </w:rPr>
        <w:t>stanowi implementację dyrektywy BRR.</w:t>
      </w:r>
      <w:r w:rsidR="00816E15">
        <w:rPr>
          <w:szCs w:val="24"/>
        </w:rPr>
        <w:t xml:space="preserve"> </w:t>
      </w:r>
      <w:r w:rsidR="001F4AA8" w:rsidRPr="00816E15">
        <w:rPr>
          <w:szCs w:val="24"/>
        </w:rPr>
        <w:t xml:space="preserve">Przepis art. </w:t>
      </w:r>
      <w:r w:rsidR="00E16EB2" w:rsidRPr="00816E15">
        <w:rPr>
          <w:szCs w:val="24"/>
        </w:rPr>
        <w:t xml:space="preserve">230 ust. 1 ustawy zostaje zmodyfikowany w celu pełnej zgodności z art. </w:t>
      </w:r>
      <w:r w:rsidR="001F4AA8" w:rsidRPr="00816E15">
        <w:rPr>
          <w:szCs w:val="24"/>
        </w:rPr>
        <w:t>37 ust. 6 dyrektywy BRR</w:t>
      </w:r>
      <w:r w:rsidR="00E16EB2" w:rsidRPr="00816E15">
        <w:rPr>
          <w:szCs w:val="24"/>
        </w:rPr>
        <w:t>.</w:t>
      </w:r>
      <w:r w:rsidR="001F4AA8" w:rsidRPr="00816E15">
        <w:rPr>
          <w:szCs w:val="24"/>
        </w:rPr>
        <w:t xml:space="preserve"> </w:t>
      </w:r>
      <w:r w:rsidR="00E16EB2" w:rsidRPr="00816E15">
        <w:rPr>
          <w:szCs w:val="24"/>
        </w:rPr>
        <w:t xml:space="preserve">Zakres przedmiotowy art. 37 ust. 6 dyrektywy BRR </w:t>
      </w:r>
      <w:r w:rsidR="001F4AA8" w:rsidRPr="00816E15">
        <w:rPr>
          <w:szCs w:val="24"/>
        </w:rPr>
        <w:t>ogranicz</w:t>
      </w:r>
      <w:r w:rsidR="00E16EB2" w:rsidRPr="00816E15">
        <w:rPr>
          <w:szCs w:val="24"/>
        </w:rPr>
        <w:t>ony</w:t>
      </w:r>
      <w:r w:rsidR="001F4AA8" w:rsidRPr="00816E15">
        <w:rPr>
          <w:szCs w:val="24"/>
        </w:rPr>
        <w:t xml:space="preserve"> </w:t>
      </w:r>
      <w:r w:rsidR="00E16EB2" w:rsidRPr="00816E15">
        <w:rPr>
          <w:szCs w:val="24"/>
        </w:rPr>
        <w:t xml:space="preserve">jest jedynie </w:t>
      </w:r>
      <w:r w:rsidR="001F4AA8" w:rsidRPr="00816E15">
        <w:rPr>
          <w:szCs w:val="24"/>
        </w:rPr>
        <w:t>do „</w:t>
      </w:r>
      <w:r w:rsidR="001F4AA8" w:rsidRPr="00816E15">
        <w:rPr>
          <w:rFonts w:cs="EUAlbertina"/>
          <w:color w:val="000000"/>
          <w:szCs w:val="24"/>
        </w:rPr>
        <w:t>instrumentu zbycia działalności” i „instrumentu instytucji pomostowej”</w:t>
      </w:r>
      <w:r w:rsidR="0048127A" w:rsidRPr="00816E15">
        <w:rPr>
          <w:rFonts w:cs="EUAlbertina"/>
          <w:color w:val="000000"/>
          <w:szCs w:val="24"/>
        </w:rPr>
        <w:t xml:space="preserve">, </w:t>
      </w:r>
      <w:r w:rsidR="00E16EB2" w:rsidRPr="00816E15">
        <w:rPr>
          <w:rFonts w:cs="EUAlbertina"/>
          <w:color w:val="000000"/>
          <w:szCs w:val="24"/>
        </w:rPr>
        <w:t>podczas gdy art. 230 ust. 1 ustawy, który go implementuje</w:t>
      </w:r>
      <w:r w:rsidR="0048127A" w:rsidRPr="00816E15">
        <w:rPr>
          <w:rFonts w:cs="EUAlbertina"/>
          <w:color w:val="000000"/>
          <w:szCs w:val="24"/>
        </w:rPr>
        <w:t>,</w:t>
      </w:r>
      <w:r w:rsidR="00816E15">
        <w:rPr>
          <w:rFonts w:cs="EUAlbertina"/>
          <w:color w:val="000000"/>
          <w:szCs w:val="24"/>
        </w:rPr>
        <w:t xml:space="preserve"> </w:t>
      </w:r>
      <w:r w:rsidR="0048127A" w:rsidRPr="00816E15">
        <w:rPr>
          <w:rFonts w:cs="EUAlbertina"/>
          <w:color w:val="000000"/>
          <w:szCs w:val="24"/>
        </w:rPr>
        <w:t>obejmuje t</w:t>
      </w:r>
      <w:r w:rsidR="00E16EB2" w:rsidRPr="00816E15">
        <w:rPr>
          <w:rFonts w:cs="EUAlbertina"/>
          <w:color w:val="000000"/>
          <w:szCs w:val="24"/>
        </w:rPr>
        <w:t>akże o „wydzieleni</w:t>
      </w:r>
      <w:r w:rsidR="0048127A" w:rsidRPr="00816E15">
        <w:rPr>
          <w:rFonts w:cs="EUAlbertina"/>
          <w:color w:val="000000"/>
          <w:szCs w:val="24"/>
        </w:rPr>
        <w:t>e</w:t>
      </w:r>
      <w:r w:rsidR="00E16EB2" w:rsidRPr="00816E15">
        <w:rPr>
          <w:rFonts w:cs="EUAlbertina"/>
          <w:color w:val="000000"/>
          <w:szCs w:val="24"/>
        </w:rPr>
        <w:t xml:space="preserve"> praw majątkowych”. Powyższa rozbieżność jest </w:t>
      </w:r>
      <w:r w:rsidR="0048127A" w:rsidRPr="00816E15">
        <w:rPr>
          <w:rFonts w:cs="EUAlbertina"/>
          <w:color w:val="000000"/>
          <w:szCs w:val="24"/>
        </w:rPr>
        <w:t xml:space="preserve">usuwana proponowaną </w:t>
      </w:r>
      <w:r w:rsidR="00E16EB2" w:rsidRPr="00816E15">
        <w:rPr>
          <w:rFonts w:cs="EUAlbertina"/>
          <w:color w:val="000000"/>
          <w:szCs w:val="24"/>
        </w:rPr>
        <w:t xml:space="preserve">zmianą. </w:t>
      </w:r>
    </w:p>
    <w:p w14:paraId="0B725BAB" w14:textId="7BAC0926" w:rsidR="00DF31CC" w:rsidRPr="00816E15" w:rsidRDefault="0048127A" w:rsidP="00CF5AAF">
      <w:pPr>
        <w:spacing w:before="240" w:line="360" w:lineRule="auto"/>
        <w:jc w:val="both"/>
        <w:rPr>
          <w:szCs w:val="24"/>
        </w:rPr>
      </w:pPr>
      <w:r w:rsidRPr="00816E15">
        <w:rPr>
          <w:szCs w:val="24"/>
        </w:rPr>
        <w:t xml:space="preserve">W </w:t>
      </w:r>
      <w:r w:rsidRPr="00816E15">
        <w:rPr>
          <w:b/>
          <w:szCs w:val="24"/>
        </w:rPr>
        <w:t>a</w:t>
      </w:r>
      <w:r w:rsidR="004E7988" w:rsidRPr="00816E15">
        <w:rPr>
          <w:b/>
          <w:szCs w:val="24"/>
        </w:rPr>
        <w:t xml:space="preserve">rt. 230 ust. 6 </w:t>
      </w:r>
      <w:r w:rsidR="003C4F83" w:rsidRPr="00816E15">
        <w:rPr>
          <w:szCs w:val="24"/>
        </w:rPr>
        <w:t>dodaj</w:t>
      </w:r>
      <w:r w:rsidRPr="00816E15">
        <w:rPr>
          <w:szCs w:val="24"/>
        </w:rPr>
        <w:t>e</w:t>
      </w:r>
      <w:r w:rsidR="003C4F83" w:rsidRPr="00816E15">
        <w:rPr>
          <w:szCs w:val="24"/>
        </w:rPr>
        <w:t xml:space="preserve"> </w:t>
      </w:r>
      <w:r w:rsidRPr="00816E15">
        <w:rPr>
          <w:szCs w:val="24"/>
        </w:rPr>
        <w:t xml:space="preserve">się </w:t>
      </w:r>
      <w:r w:rsidR="003C4F83" w:rsidRPr="00816E15">
        <w:rPr>
          <w:szCs w:val="24"/>
        </w:rPr>
        <w:t>sformułowanie „i okresie”, co ma na celu rozwianie wątpliwości, że „świadczenie usług”, o których mowa w tym przepisie</w:t>
      </w:r>
      <w:r w:rsidRPr="00816E15">
        <w:rPr>
          <w:szCs w:val="24"/>
        </w:rPr>
        <w:t>,</w:t>
      </w:r>
      <w:r w:rsidR="003C4F83" w:rsidRPr="00816E15">
        <w:rPr>
          <w:szCs w:val="24"/>
        </w:rPr>
        <w:t xml:space="preserve"> następuje jedynie w</w:t>
      </w:r>
      <w:r w:rsidR="00C200EB" w:rsidRPr="00816E15">
        <w:rPr>
          <w:szCs w:val="24"/>
        </w:rPr>
        <w:t> </w:t>
      </w:r>
      <w:r w:rsidR="003C4F83" w:rsidRPr="00816E15">
        <w:rPr>
          <w:szCs w:val="24"/>
        </w:rPr>
        <w:t xml:space="preserve">okresie niezbędnym do prowadzenia działalności związanej z przeniesionymi aktywami. Przepis stanowi także uzupełnienie implementacji art. 37 ust. 6 dyrektywy BRR w tym zakresie. </w:t>
      </w:r>
    </w:p>
    <w:p w14:paraId="321A5B90" w14:textId="573399B1" w:rsidR="00EF502F" w:rsidRPr="00816E15" w:rsidRDefault="000C47FF" w:rsidP="00CF5AAF">
      <w:pPr>
        <w:spacing w:line="360" w:lineRule="auto"/>
        <w:jc w:val="both"/>
        <w:rPr>
          <w:rFonts w:eastAsia="Calibri"/>
          <w:szCs w:val="24"/>
        </w:rPr>
      </w:pPr>
      <w:r w:rsidRPr="00816E15">
        <w:rPr>
          <w:rFonts w:cs="Times New Roman"/>
          <w:szCs w:val="24"/>
          <w:lang w:val="pl"/>
        </w:rPr>
        <w:t xml:space="preserve">Zmieniany </w:t>
      </w:r>
      <w:r w:rsidR="005D2D32" w:rsidRPr="00816E15">
        <w:rPr>
          <w:rFonts w:cs="Times New Roman"/>
          <w:b/>
          <w:szCs w:val="24"/>
          <w:lang w:val="pl"/>
        </w:rPr>
        <w:t xml:space="preserve">art. 235 pkt 2 </w:t>
      </w:r>
      <w:r w:rsidR="005D2D32" w:rsidRPr="00816E15">
        <w:rPr>
          <w:rFonts w:cs="Times New Roman"/>
          <w:szCs w:val="24"/>
          <w:lang w:val="pl"/>
        </w:rPr>
        <w:t>ma na celu ujednolic</w:t>
      </w:r>
      <w:r w:rsidR="00E65278" w:rsidRPr="00816E15">
        <w:rPr>
          <w:rFonts w:cs="Times New Roman"/>
          <w:szCs w:val="24"/>
          <w:lang w:val="pl"/>
        </w:rPr>
        <w:t xml:space="preserve">enie terminologii </w:t>
      </w:r>
      <w:r w:rsidR="005D2D32" w:rsidRPr="00816E15">
        <w:rPr>
          <w:rFonts w:cs="Times New Roman"/>
          <w:szCs w:val="24"/>
          <w:lang w:val="pl"/>
        </w:rPr>
        <w:t>ustawow</w:t>
      </w:r>
      <w:r w:rsidR="00E65278" w:rsidRPr="00816E15">
        <w:rPr>
          <w:rFonts w:cs="Times New Roman"/>
          <w:szCs w:val="24"/>
          <w:lang w:val="pl"/>
        </w:rPr>
        <w:t xml:space="preserve">ej. Przepis </w:t>
      </w:r>
      <w:r w:rsidR="00E65278" w:rsidRPr="00816E15">
        <w:rPr>
          <w:rFonts w:cs="Times New Roman"/>
          <w:szCs w:val="24"/>
          <w:lang w:eastAsia="pl-PL"/>
        </w:rPr>
        <w:t>a</w:t>
      </w:r>
      <w:r w:rsidR="005D2D32" w:rsidRPr="00816E15">
        <w:rPr>
          <w:rFonts w:cs="Times New Roman"/>
          <w:szCs w:val="24"/>
          <w:lang w:eastAsia="pl-PL"/>
        </w:rPr>
        <w:t xml:space="preserve">rt. 137 ust. 2 i 3 </w:t>
      </w:r>
      <w:r w:rsidR="00E65278" w:rsidRPr="00816E15">
        <w:rPr>
          <w:rFonts w:cs="Times New Roman"/>
          <w:szCs w:val="24"/>
          <w:lang w:eastAsia="pl-PL"/>
        </w:rPr>
        <w:t>stanowi</w:t>
      </w:r>
      <w:r w:rsidR="00816E15">
        <w:rPr>
          <w:rFonts w:cs="Times New Roman"/>
          <w:szCs w:val="24"/>
          <w:lang w:eastAsia="pl-PL"/>
        </w:rPr>
        <w:t xml:space="preserve"> </w:t>
      </w:r>
      <w:r w:rsidR="005D2D32" w:rsidRPr="00816E15">
        <w:rPr>
          <w:rFonts w:cs="Times New Roman"/>
          <w:szCs w:val="24"/>
          <w:lang w:eastAsia="pl-PL"/>
        </w:rPr>
        <w:t>o „oszacowaniu” a nie o „wycenie”</w:t>
      </w:r>
      <w:r w:rsidR="00E65278" w:rsidRPr="00816E15">
        <w:rPr>
          <w:rFonts w:cs="Times New Roman"/>
          <w:szCs w:val="24"/>
          <w:lang w:eastAsia="pl-PL"/>
        </w:rPr>
        <w:t xml:space="preserve">, na co wskazuje </w:t>
      </w:r>
      <w:r w:rsidR="005D2D32" w:rsidRPr="00816E15">
        <w:rPr>
          <w:rFonts w:cs="Times New Roman"/>
          <w:szCs w:val="24"/>
          <w:lang w:eastAsia="pl-PL"/>
        </w:rPr>
        <w:t xml:space="preserve">art. 235 pkt 2. </w:t>
      </w:r>
      <w:r w:rsidR="001B63B5" w:rsidRPr="00816E15">
        <w:rPr>
          <w:rFonts w:cs="Times New Roman"/>
          <w:szCs w:val="24"/>
          <w:lang w:eastAsia="pl-PL"/>
        </w:rPr>
        <w:t>W</w:t>
      </w:r>
      <w:r w:rsidR="000A5AB2" w:rsidRPr="00816E15">
        <w:rPr>
          <w:rFonts w:cs="Times New Roman"/>
          <w:szCs w:val="24"/>
          <w:lang w:eastAsia="pl-PL"/>
        </w:rPr>
        <w:t> </w:t>
      </w:r>
      <w:r w:rsidR="001B63B5" w:rsidRPr="00816E15">
        <w:rPr>
          <w:rFonts w:cs="Times New Roman"/>
          <w:szCs w:val="24"/>
          <w:lang w:eastAsia="pl-PL"/>
        </w:rPr>
        <w:t>dalszej kolejności p</w:t>
      </w:r>
      <w:r w:rsidR="001B63B5" w:rsidRPr="00816E15">
        <w:rPr>
          <w:rFonts w:eastAsia="Calibri"/>
          <w:szCs w:val="24"/>
        </w:rPr>
        <w:t xml:space="preserve">rzepis art. 235 pkt </w:t>
      </w:r>
      <w:r w:rsidR="00E6482A" w:rsidRPr="00816E15">
        <w:rPr>
          <w:rFonts w:eastAsia="Calibri"/>
          <w:szCs w:val="24"/>
        </w:rPr>
        <w:t>2</w:t>
      </w:r>
      <w:r w:rsidR="001B63B5" w:rsidRPr="00816E15">
        <w:rPr>
          <w:rFonts w:eastAsia="Calibri"/>
          <w:szCs w:val="24"/>
        </w:rPr>
        <w:t xml:space="preserve"> uzupełnia katalog kosztów przymusowej restrukturyzacji o koszty przeprowadzenia dodatkowego oszacowania, o którym mowa w ar</w:t>
      </w:r>
      <w:r w:rsidR="009A2FDF" w:rsidRPr="00816E15">
        <w:rPr>
          <w:rFonts w:eastAsia="Calibri"/>
          <w:szCs w:val="24"/>
        </w:rPr>
        <w:t>t</w:t>
      </w:r>
      <w:r w:rsidR="001B63B5" w:rsidRPr="00816E15">
        <w:rPr>
          <w:rFonts w:eastAsia="Calibri"/>
          <w:szCs w:val="24"/>
        </w:rPr>
        <w:t>.</w:t>
      </w:r>
      <w:r w:rsidR="00816E15">
        <w:rPr>
          <w:rFonts w:eastAsia="Calibri"/>
          <w:szCs w:val="24"/>
        </w:rPr>
        <w:t> </w:t>
      </w:r>
      <w:r w:rsidR="001B63B5" w:rsidRPr="00816E15">
        <w:rPr>
          <w:rFonts w:eastAsia="Calibri"/>
          <w:szCs w:val="24"/>
        </w:rPr>
        <w:t>241 ustawy o BFG. Przepis ten ma charakter porządkujący i doprecyzowujący</w:t>
      </w:r>
      <w:r w:rsidR="009A2FDF" w:rsidRPr="00816E15">
        <w:rPr>
          <w:rFonts w:eastAsia="Calibri"/>
          <w:szCs w:val="24"/>
        </w:rPr>
        <w:t xml:space="preserve"> </w:t>
      </w:r>
      <w:r w:rsidR="0048127A" w:rsidRPr="00816E15">
        <w:rPr>
          <w:rFonts w:eastAsia="Calibri"/>
          <w:szCs w:val="24"/>
        </w:rPr>
        <w:t>–</w:t>
      </w:r>
      <w:r w:rsidR="009A2FDF" w:rsidRPr="00816E15">
        <w:rPr>
          <w:rFonts w:eastAsia="Calibri"/>
          <w:szCs w:val="24"/>
        </w:rPr>
        <w:t xml:space="preserve"> </w:t>
      </w:r>
      <w:r w:rsidR="00C35D81">
        <w:rPr>
          <w:rFonts w:eastAsia="Calibri"/>
          <w:szCs w:val="24"/>
        </w:rPr>
        <w:t>już z </w:t>
      </w:r>
      <w:r w:rsidR="001B63B5" w:rsidRPr="00816E15">
        <w:rPr>
          <w:rFonts w:eastAsia="Calibri"/>
          <w:szCs w:val="24"/>
        </w:rPr>
        <w:t>art.</w:t>
      </w:r>
      <w:r w:rsidR="00C35D81">
        <w:rPr>
          <w:rFonts w:eastAsia="Calibri"/>
          <w:szCs w:val="24"/>
        </w:rPr>
        <w:t> </w:t>
      </w:r>
      <w:r w:rsidR="001B63B5" w:rsidRPr="00816E15">
        <w:rPr>
          <w:rFonts w:eastAsia="Calibri"/>
          <w:szCs w:val="24"/>
        </w:rPr>
        <w:t>235 pkt 1 wynika, że koszt takiego oszacowania zaliczony może zostać do kosztów przymusowej restrukturyzacji.</w:t>
      </w:r>
      <w:r w:rsidR="00816E15">
        <w:rPr>
          <w:rFonts w:eastAsia="Calibri"/>
          <w:szCs w:val="24"/>
        </w:rPr>
        <w:t xml:space="preserve"> </w:t>
      </w:r>
      <w:r w:rsidR="001B63B5" w:rsidRPr="00816E15">
        <w:rPr>
          <w:rFonts w:eastAsia="Calibri"/>
          <w:szCs w:val="24"/>
        </w:rPr>
        <w:t xml:space="preserve">Ponadto uzupełnienie katalogu kosztów o dodatkową pozycję nie ogranicza prawa podmiotów prywatnych, w szczególności z uwagi na przysługujące im roszczenie uzupełniające do BFG (art. 242 ustawy o BFG). </w:t>
      </w:r>
    </w:p>
    <w:p w14:paraId="74280F48" w14:textId="719C113C" w:rsidR="00EA186A" w:rsidRPr="00816E15" w:rsidRDefault="00EF502F" w:rsidP="00CF5AAF">
      <w:pPr>
        <w:spacing w:line="360" w:lineRule="auto"/>
        <w:jc w:val="both"/>
        <w:rPr>
          <w:szCs w:val="24"/>
        </w:rPr>
      </w:pPr>
      <w:r w:rsidRPr="00816E15">
        <w:rPr>
          <w:szCs w:val="24"/>
        </w:rPr>
        <w:t xml:space="preserve">Zmieniany </w:t>
      </w:r>
      <w:r w:rsidRPr="00816E15">
        <w:rPr>
          <w:b/>
          <w:szCs w:val="24"/>
        </w:rPr>
        <w:t>art. 235 pkt 10</w:t>
      </w:r>
      <w:r w:rsidRPr="00816E15">
        <w:rPr>
          <w:szCs w:val="24"/>
        </w:rPr>
        <w:t xml:space="preserve"> doprecyzowuje kwestię kosztów poniesionych podczas likwidacji podmiotu rezydualnego. Art. 122 ust. 1 pkt 3 wskazuje</w:t>
      </w:r>
      <w:r w:rsidR="00086C97">
        <w:rPr>
          <w:szCs w:val="24"/>
        </w:rPr>
        <w:t>,</w:t>
      </w:r>
      <w:r w:rsidRPr="00816E15">
        <w:rPr>
          <w:szCs w:val="24"/>
        </w:rPr>
        <w:t xml:space="preserve"> iż zakończenie przymusowej restrukturyzacji następuje wraz z likwidacją podmiotu rezydualnego, dlatego czynności podejmowane przed </w:t>
      </w:r>
      <w:r w:rsidR="009A2FDF" w:rsidRPr="00816E15">
        <w:rPr>
          <w:szCs w:val="24"/>
        </w:rPr>
        <w:t>likwidacją</w:t>
      </w:r>
      <w:r w:rsidR="00816E15">
        <w:rPr>
          <w:szCs w:val="24"/>
        </w:rPr>
        <w:t xml:space="preserve"> </w:t>
      </w:r>
      <w:r w:rsidRPr="00816E15">
        <w:rPr>
          <w:szCs w:val="24"/>
        </w:rPr>
        <w:t xml:space="preserve">mieszczą się w ramach działań przymusowej restrukturyzacji. Dodatkowo uzupełnienie art. 235 o </w:t>
      </w:r>
      <w:r w:rsidR="009A2FDF" w:rsidRPr="00816E15">
        <w:rPr>
          <w:szCs w:val="24"/>
        </w:rPr>
        <w:t xml:space="preserve">pkt </w:t>
      </w:r>
      <w:r w:rsidRPr="00816E15">
        <w:rPr>
          <w:szCs w:val="24"/>
        </w:rPr>
        <w:t>10 w brzmieniu zaproponowanym i tym samym zaliczenie kosztów likwidacji do kosztów przymusowej restrukturyzacji będzie uzupełnieniem regulacji zawartych w art. 235 pkt 1</w:t>
      </w:r>
      <w:r w:rsidR="009A2FDF" w:rsidRPr="00816E15">
        <w:rPr>
          <w:szCs w:val="24"/>
        </w:rPr>
        <w:t xml:space="preserve">, tj. </w:t>
      </w:r>
      <w:r w:rsidRPr="00816E15">
        <w:rPr>
          <w:szCs w:val="24"/>
        </w:rPr>
        <w:t>zalicz</w:t>
      </w:r>
      <w:r w:rsidR="009A2FDF" w:rsidRPr="00816E15">
        <w:rPr>
          <w:szCs w:val="24"/>
        </w:rPr>
        <w:t>enia</w:t>
      </w:r>
      <w:r w:rsidRPr="00816E15">
        <w:rPr>
          <w:szCs w:val="24"/>
        </w:rPr>
        <w:t xml:space="preserve"> opłat sądow</w:t>
      </w:r>
      <w:r w:rsidR="009A2FDF" w:rsidRPr="00816E15">
        <w:rPr>
          <w:szCs w:val="24"/>
        </w:rPr>
        <w:t>ych</w:t>
      </w:r>
      <w:r w:rsidRPr="00816E15">
        <w:rPr>
          <w:szCs w:val="24"/>
        </w:rPr>
        <w:t xml:space="preserve"> do kosztów przymusowej restrukturyzacji, a więc np. również część kosztów likwidacji (wykreślenia z rejestru) w postępowaniu likwidacyjnym.</w:t>
      </w:r>
    </w:p>
    <w:p w14:paraId="78CDCA4E" w14:textId="1DB0EFB5" w:rsidR="001D50CB" w:rsidRPr="00816E15" w:rsidRDefault="001D50CB" w:rsidP="00CF5AAF">
      <w:pPr>
        <w:spacing w:line="360" w:lineRule="auto"/>
        <w:jc w:val="both"/>
        <w:rPr>
          <w:szCs w:val="24"/>
        </w:rPr>
      </w:pPr>
      <w:r w:rsidRPr="00816E15">
        <w:rPr>
          <w:szCs w:val="24"/>
        </w:rPr>
        <w:t xml:space="preserve">Dodawany </w:t>
      </w:r>
      <w:r w:rsidRPr="00816E15">
        <w:rPr>
          <w:b/>
          <w:szCs w:val="24"/>
        </w:rPr>
        <w:t xml:space="preserve">art. 258a </w:t>
      </w:r>
      <w:r w:rsidRPr="00816E15">
        <w:rPr>
          <w:szCs w:val="24"/>
        </w:rPr>
        <w:t xml:space="preserve">ma na celu zapewnienie prawidłowej implementacji art. 117 BRR, który </w:t>
      </w:r>
      <w:r w:rsidRPr="00816E15">
        <w:rPr>
          <w:rFonts w:cs="Times New Roman"/>
          <w:szCs w:val="24"/>
        </w:rPr>
        <w:t xml:space="preserve">odnosi się do zmian w </w:t>
      </w:r>
      <w:r w:rsidR="0048127A" w:rsidRPr="00816E15">
        <w:rPr>
          <w:rFonts w:cs="Times New Roman"/>
          <w:szCs w:val="24"/>
        </w:rPr>
        <w:t>d</w:t>
      </w:r>
      <w:r w:rsidRPr="00816E15">
        <w:rPr>
          <w:rFonts w:cs="Times New Roman"/>
          <w:szCs w:val="24"/>
        </w:rPr>
        <w:t xml:space="preserve">yrektywie 2001/24/WE </w:t>
      </w:r>
      <w:r w:rsidRPr="00816E15">
        <w:rPr>
          <w:rStyle w:val="Pogrubienie"/>
          <w:b w:val="0"/>
          <w:szCs w:val="24"/>
        </w:rPr>
        <w:t>Parlamentu Europejskiego i Rady z dnia 4 kwietnia 2001 r. w sprawie reorganizacji i likwidacji instytucji kredytowych</w:t>
      </w:r>
      <w:r w:rsidR="00816E15">
        <w:rPr>
          <w:rFonts w:cs="Times New Roman"/>
          <w:szCs w:val="24"/>
        </w:rPr>
        <w:t xml:space="preserve"> </w:t>
      </w:r>
      <w:r w:rsidRPr="00816E15">
        <w:rPr>
          <w:rFonts w:cs="Times New Roman"/>
          <w:szCs w:val="24"/>
        </w:rPr>
        <w:t>(</w:t>
      </w:r>
      <w:r w:rsidRPr="00816E15">
        <w:rPr>
          <w:szCs w:val="24"/>
        </w:rPr>
        <w:t>Dz. Urz. UE L</w:t>
      </w:r>
      <w:r w:rsidR="00C35D81">
        <w:rPr>
          <w:szCs w:val="24"/>
        </w:rPr>
        <w:t> </w:t>
      </w:r>
      <w:r w:rsidRPr="00816E15">
        <w:rPr>
          <w:szCs w:val="24"/>
        </w:rPr>
        <w:t>2001 Nr 125, str. 15)</w:t>
      </w:r>
      <w:r w:rsidRPr="00816E15">
        <w:rPr>
          <w:rFonts w:cs="Times New Roman"/>
          <w:szCs w:val="24"/>
        </w:rPr>
        <w:t>. Zakres dyrektywy, zgodnie z art. 1 ust. 4</w:t>
      </w:r>
      <w:r w:rsidR="0048127A" w:rsidRPr="00816E15">
        <w:rPr>
          <w:rFonts w:cs="Times New Roman"/>
          <w:szCs w:val="24"/>
        </w:rPr>
        <w:t>,</w:t>
      </w:r>
      <w:r w:rsidR="00816E15">
        <w:rPr>
          <w:rFonts w:cs="Times New Roman"/>
          <w:szCs w:val="24"/>
        </w:rPr>
        <w:t xml:space="preserve"> </w:t>
      </w:r>
      <w:r w:rsidRPr="00816E15">
        <w:rPr>
          <w:rFonts w:cs="Times New Roman"/>
          <w:szCs w:val="24"/>
        </w:rPr>
        <w:t xml:space="preserve">obejmuje bowiem także przypadki podmiotu zastosowania </w:t>
      </w:r>
      <w:r w:rsidRPr="00816E15">
        <w:rPr>
          <w:rStyle w:val="zmieniony"/>
          <w:szCs w:val="24"/>
        </w:rPr>
        <w:t xml:space="preserve">instrumentów restrukturyzacji i uporządkowanej likwidacji oraz wykonania uprawnień w zakresie prowadzenia restrukturyzacji i uporządkowanej likwidacji (przymusowa restrukturyzacja). Odwołanie do ustawy </w:t>
      </w:r>
      <w:r w:rsidR="0048127A" w:rsidRPr="00816E15">
        <w:rPr>
          <w:rStyle w:val="zmieniony"/>
          <w:szCs w:val="24"/>
        </w:rPr>
        <w:t>– P</w:t>
      </w:r>
      <w:r w:rsidRPr="00816E15">
        <w:rPr>
          <w:rStyle w:val="zmieniony"/>
          <w:szCs w:val="24"/>
        </w:rPr>
        <w:t>rawo upadłościowe w przypadku zastosowania jednego z instrumentów przymusowej restrukturyzacji (przejęcie przedsiębiorstwa, instytucja pomostowa, umorzenie lub konwersja zobowiązań, wydzielenie praw majątkowych) ma na celu umożliwi</w:t>
      </w:r>
      <w:r w:rsidR="0048127A" w:rsidRPr="00816E15">
        <w:rPr>
          <w:rStyle w:val="zmieniony"/>
          <w:szCs w:val="24"/>
        </w:rPr>
        <w:t xml:space="preserve">enie </w:t>
      </w:r>
      <w:r w:rsidRPr="00816E15">
        <w:rPr>
          <w:rStyle w:val="zmieniony"/>
          <w:szCs w:val="24"/>
        </w:rPr>
        <w:t>zastosowani</w:t>
      </w:r>
      <w:r w:rsidR="0048127A" w:rsidRPr="00816E15">
        <w:rPr>
          <w:rStyle w:val="zmieniony"/>
          <w:szCs w:val="24"/>
        </w:rPr>
        <w:t>a</w:t>
      </w:r>
      <w:r w:rsidRPr="00816E15">
        <w:rPr>
          <w:rStyle w:val="zmieniony"/>
          <w:szCs w:val="24"/>
        </w:rPr>
        <w:t xml:space="preserve"> prawa właściwego (normy kolizyjne), ochron</w:t>
      </w:r>
      <w:r w:rsidR="0048127A" w:rsidRPr="00816E15">
        <w:rPr>
          <w:rStyle w:val="zmieniony"/>
          <w:szCs w:val="24"/>
        </w:rPr>
        <w:t>ę</w:t>
      </w:r>
      <w:r w:rsidRPr="00816E15">
        <w:rPr>
          <w:rStyle w:val="zmieniony"/>
          <w:szCs w:val="24"/>
        </w:rPr>
        <w:t xml:space="preserve"> praw osób trzecich, </w:t>
      </w:r>
      <w:r w:rsidR="00D96303" w:rsidRPr="00816E15">
        <w:rPr>
          <w:rStyle w:val="zmieniony"/>
          <w:szCs w:val="24"/>
        </w:rPr>
        <w:t>z</w:t>
      </w:r>
      <w:r w:rsidRPr="00816E15">
        <w:rPr>
          <w:bCs/>
          <w:szCs w:val="24"/>
        </w:rPr>
        <w:t xml:space="preserve">astrzeżenie prawa własności sprzedawcy, </w:t>
      </w:r>
      <w:r w:rsidR="0048127A" w:rsidRPr="00816E15">
        <w:rPr>
          <w:bCs/>
          <w:szCs w:val="24"/>
        </w:rPr>
        <w:t xml:space="preserve">zapewnienie </w:t>
      </w:r>
      <w:r w:rsidR="00D96303" w:rsidRPr="00816E15">
        <w:rPr>
          <w:bCs/>
          <w:szCs w:val="24"/>
        </w:rPr>
        <w:t>możliwoś</w:t>
      </w:r>
      <w:r w:rsidR="0048127A" w:rsidRPr="00816E15">
        <w:rPr>
          <w:bCs/>
          <w:szCs w:val="24"/>
        </w:rPr>
        <w:t xml:space="preserve">ci </w:t>
      </w:r>
      <w:r w:rsidRPr="00816E15">
        <w:rPr>
          <w:bCs/>
          <w:szCs w:val="24"/>
        </w:rPr>
        <w:t>wykon</w:t>
      </w:r>
      <w:r w:rsidR="00D96303" w:rsidRPr="00816E15">
        <w:rPr>
          <w:bCs/>
          <w:szCs w:val="24"/>
        </w:rPr>
        <w:t>ywania</w:t>
      </w:r>
      <w:r w:rsidRPr="00816E15">
        <w:rPr>
          <w:bCs/>
          <w:szCs w:val="24"/>
        </w:rPr>
        <w:t xml:space="preserve"> pra</w:t>
      </w:r>
      <w:r w:rsidR="00D96303" w:rsidRPr="00816E15">
        <w:rPr>
          <w:bCs/>
          <w:szCs w:val="24"/>
        </w:rPr>
        <w:t xml:space="preserve">w oraz skuteczność czynności prawnych, </w:t>
      </w:r>
      <w:r w:rsidR="0048127A" w:rsidRPr="00816E15">
        <w:rPr>
          <w:bCs/>
          <w:szCs w:val="24"/>
        </w:rPr>
        <w:t xml:space="preserve">a także zastosowania </w:t>
      </w:r>
      <w:r w:rsidR="00D96303" w:rsidRPr="00816E15">
        <w:rPr>
          <w:bCs/>
          <w:szCs w:val="24"/>
        </w:rPr>
        <w:t>praw</w:t>
      </w:r>
      <w:r w:rsidR="0048127A" w:rsidRPr="00816E15">
        <w:rPr>
          <w:bCs/>
          <w:szCs w:val="24"/>
        </w:rPr>
        <w:t>a</w:t>
      </w:r>
      <w:r w:rsidRPr="00816E15">
        <w:rPr>
          <w:bCs/>
          <w:szCs w:val="24"/>
        </w:rPr>
        <w:t xml:space="preserve"> odkupu</w:t>
      </w:r>
      <w:r w:rsidR="0048127A" w:rsidRPr="00816E15">
        <w:rPr>
          <w:bCs/>
          <w:szCs w:val="24"/>
        </w:rPr>
        <w:t xml:space="preserve"> i </w:t>
      </w:r>
      <w:r w:rsidR="00D96303" w:rsidRPr="00816E15">
        <w:rPr>
          <w:bCs/>
          <w:szCs w:val="24"/>
        </w:rPr>
        <w:t>kompensacj</w:t>
      </w:r>
      <w:r w:rsidR="0048127A" w:rsidRPr="00816E15">
        <w:rPr>
          <w:bCs/>
          <w:szCs w:val="24"/>
        </w:rPr>
        <w:t>i</w:t>
      </w:r>
      <w:r w:rsidR="00D96303" w:rsidRPr="00816E15">
        <w:rPr>
          <w:bCs/>
          <w:szCs w:val="24"/>
        </w:rPr>
        <w:t>.</w:t>
      </w:r>
      <w:r w:rsidR="00816E15">
        <w:rPr>
          <w:b/>
          <w:bCs/>
          <w:szCs w:val="24"/>
        </w:rPr>
        <w:t xml:space="preserve"> </w:t>
      </w:r>
      <w:bookmarkStart w:id="2" w:name="mip40278754"/>
      <w:bookmarkStart w:id="3" w:name="mip40278755"/>
      <w:bookmarkStart w:id="4" w:name="mip40278756"/>
      <w:bookmarkEnd w:id="2"/>
      <w:bookmarkEnd w:id="3"/>
      <w:bookmarkEnd w:id="4"/>
    </w:p>
    <w:p w14:paraId="512BBE5A" w14:textId="27539794" w:rsidR="00CB7EC3" w:rsidRPr="00816E15" w:rsidRDefault="00CB7EC3" w:rsidP="00CF5AAF">
      <w:pPr>
        <w:spacing w:after="160" w:line="360" w:lineRule="auto"/>
        <w:jc w:val="both"/>
        <w:rPr>
          <w:szCs w:val="24"/>
        </w:rPr>
      </w:pPr>
      <w:r w:rsidRPr="00816E15">
        <w:rPr>
          <w:szCs w:val="24"/>
        </w:rPr>
        <w:t xml:space="preserve">Niektóre przepisy zawarte w </w:t>
      </w:r>
      <w:r w:rsidR="00C35D81">
        <w:rPr>
          <w:b/>
          <w:szCs w:val="24"/>
        </w:rPr>
        <w:t>d</w:t>
      </w:r>
      <w:r w:rsidRPr="00816E15">
        <w:rPr>
          <w:b/>
          <w:szCs w:val="24"/>
        </w:rPr>
        <w:t>ziale IV (zakres art. 256–268)</w:t>
      </w:r>
      <w:r w:rsidRPr="00816E15">
        <w:rPr>
          <w:szCs w:val="24"/>
        </w:rPr>
        <w:t xml:space="preserve"> wymagają zmiany w celu bardziej </w:t>
      </w:r>
      <w:r w:rsidR="009A2FDF" w:rsidRPr="00816E15">
        <w:rPr>
          <w:szCs w:val="24"/>
        </w:rPr>
        <w:t xml:space="preserve">precyzyjnego </w:t>
      </w:r>
      <w:r w:rsidRPr="00816E15">
        <w:rPr>
          <w:szCs w:val="24"/>
        </w:rPr>
        <w:t xml:space="preserve">odzwierciedlenia wdrożonych fakultatywnych przepisów art. 11 </w:t>
      </w:r>
      <w:r w:rsidR="00816E15">
        <w:rPr>
          <w:szCs w:val="24"/>
        </w:rPr>
        <w:br/>
      </w:r>
      <w:r w:rsidRPr="00816E15">
        <w:rPr>
          <w:szCs w:val="24"/>
        </w:rPr>
        <w:t>ust. 3</w:t>
      </w:r>
      <w:r w:rsidR="00816E15">
        <w:rPr>
          <w:szCs w:val="24"/>
        </w:rPr>
        <w:t>–</w:t>
      </w:r>
      <w:r w:rsidRPr="00816E15">
        <w:rPr>
          <w:szCs w:val="24"/>
        </w:rPr>
        <w:t xml:space="preserve">6 dyrektywy DGS. Przepisy Działu IV stanowią normatywne rozwinięcie art. 5 ust. 2 ustawy o BFG, zgodnie z którym Fundusz realizuje zadania w zakresie restrukturyzacji kas, w których powstało niebezpieczeństwo niewypłacalności. Niezależnie od faktu wprowadzenia w Unii Europejskiej rozwiązań przewidzianych w dyrektywie BRR, w dyrektywie DGS wskazano, że </w:t>
      </w:r>
      <w:r w:rsidR="00280324">
        <w:rPr>
          <w:szCs w:val="24"/>
        </w:rPr>
        <w:t>–</w:t>
      </w:r>
      <w:r w:rsidR="009A2FDF" w:rsidRPr="00816E15">
        <w:rPr>
          <w:szCs w:val="24"/>
        </w:rPr>
        <w:t xml:space="preserve"> </w:t>
      </w:r>
      <w:r w:rsidRPr="00816E15">
        <w:rPr>
          <w:szCs w:val="24"/>
        </w:rPr>
        <w:t xml:space="preserve">jeśli prawo krajowe na to pozwala </w:t>
      </w:r>
      <w:r w:rsidR="00280324">
        <w:rPr>
          <w:szCs w:val="24"/>
        </w:rPr>
        <w:t>–</w:t>
      </w:r>
      <w:r w:rsidR="009A2FDF" w:rsidRPr="00816E15">
        <w:rPr>
          <w:szCs w:val="24"/>
        </w:rPr>
        <w:t xml:space="preserve"> </w:t>
      </w:r>
      <w:r w:rsidRPr="00816E15">
        <w:rPr>
          <w:szCs w:val="24"/>
        </w:rPr>
        <w:t>systemy gwarancji depozytów powinny mieć możliwość wykracza</w:t>
      </w:r>
      <w:r w:rsidR="009A2FDF" w:rsidRPr="00816E15">
        <w:rPr>
          <w:szCs w:val="24"/>
        </w:rPr>
        <w:t>nia</w:t>
      </w:r>
      <w:r w:rsidRPr="00816E15">
        <w:rPr>
          <w:szCs w:val="24"/>
        </w:rPr>
        <w:t xml:space="preserve"> w swojej działalności poza funkcję polegającą wyłącznie na dokonywaniu wypłat na rzecz deponentów i podejmowa</w:t>
      </w:r>
      <w:r w:rsidR="009A2FDF" w:rsidRPr="00816E15">
        <w:rPr>
          <w:szCs w:val="24"/>
        </w:rPr>
        <w:t>nia</w:t>
      </w:r>
      <w:r w:rsidRPr="00816E15">
        <w:rPr>
          <w:szCs w:val="24"/>
        </w:rPr>
        <w:t xml:space="preserve"> działa</w:t>
      </w:r>
      <w:r w:rsidR="009A2FDF" w:rsidRPr="00816E15">
        <w:rPr>
          <w:szCs w:val="24"/>
        </w:rPr>
        <w:t>ń</w:t>
      </w:r>
      <w:r w:rsidRPr="00816E15">
        <w:rPr>
          <w:szCs w:val="24"/>
        </w:rPr>
        <w:t xml:space="preserve"> mając</w:t>
      </w:r>
      <w:r w:rsidR="009A2FDF" w:rsidRPr="00816E15">
        <w:rPr>
          <w:szCs w:val="24"/>
        </w:rPr>
        <w:t>ych</w:t>
      </w:r>
      <w:r w:rsidRPr="00816E15">
        <w:rPr>
          <w:szCs w:val="24"/>
        </w:rPr>
        <w:t xml:space="preserve"> na celu zapobieganie upadłości instytucji kredytowych oraz wdraża</w:t>
      </w:r>
      <w:r w:rsidR="009A2FDF" w:rsidRPr="00816E15">
        <w:rPr>
          <w:szCs w:val="24"/>
        </w:rPr>
        <w:t>nia</w:t>
      </w:r>
      <w:r w:rsidRPr="00816E15">
        <w:rPr>
          <w:szCs w:val="24"/>
        </w:rPr>
        <w:t xml:space="preserve"> środk</w:t>
      </w:r>
      <w:r w:rsidR="009A2FDF" w:rsidRPr="00816E15">
        <w:rPr>
          <w:szCs w:val="24"/>
        </w:rPr>
        <w:t>ów</w:t>
      </w:r>
      <w:r w:rsidRPr="00816E15">
        <w:rPr>
          <w:szCs w:val="24"/>
        </w:rPr>
        <w:t xml:space="preserve"> służąc</w:t>
      </w:r>
      <w:r w:rsidR="009A2FDF" w:rsidRPr="00816E15">
        <w:rPr>
          <w:szCs w:val="24"/>
        </w:rPr>
        <w:t>ych</w:t>
      </w:r>
      <w:r w:rsidR="003C7177" w:rsidRPr="00816E15">
        <w:rPr>
          <w:szCs w:val="24"/>
        </w:rPr>
        <w:t xml:space="preserve"> </w:t>
      </w:r>
      <w:r w:rsidRPr="00816E15">
        <w:rPr>
          <w:szCs w:val="24"/>
        </w:rPr>
        <w:t>zmniejszeniu prawdopodobieństwa wystąpienia przyszłych roszczeń wobec systemów gwarancji depozytów, dążąc do uniknięcia kosztów wynikających z wypłat na rzecz deponentów i innych negatywnych skutków. W dyrektywie DGS dokonuje się rozróżnienia na działania mające na celu zapobieganie upadłości podmiotu (art. 11 ust. 3) oraz działania mające na celu zabezpieczenie deponentom dostępu do ich gwarantowanych środków w ramach krajowych postępowań upadłościowych (art. 11 ust. 6). W odniesieniu do działań mających na celu zapobieganie upadłości podmiotu nie wskazano, jakie mogą to być działania</w:t>
      </w:r>
      <w:r w:rsidR="009A2FDF" w:rsidRPr="00816E15">
        <w:rPr>
          <w:szCs w:val="24"/>
        </w:rPr>
        <w:t>,</w:t>
      </w:r>
      <w:r w:rsidR="00816E15">
        <w:rPr>
          <w:szCs w:val="24"/>
        </w:rPr>
        <w:t xml:space="preserve"> </w:t>
      </w:r>
      <w:r w:rsidRPr="00816E15">
        <w:rPr>
          <w:szCs w:val="24"/>
        </w:rPr>
        <w:t xml:space="preserve">pozostawiając ich zdefiniowanie w gestii państw członkowskich. Określono natomiast warunki, które muszą być spełnione, aby działania w tym zakresie mogły być podejmowane (w ustawie o BFG zostały one odzwierciedlone w </w:t>
      </w:r>
      <w:r w:rsidRPr="00816E15">
        <w:rPr>
          <w:b/>
          <w:szCs w:val="24"/>
        </w:rPr>
        <w:t>art. 259 ust. 1</w:t>
      </w:r>
      <w:r w:rsidRPr="00816E15">
        <w:rPr>
          <w:szCs w:val="24"/>
        </w:rPr>
        <w:t xml:space="preserve">). Jednocześnie prawodawca unijny nie przewiduje, aby warunki te miały zastosowanie do działań mających na celu zabezpieczenie deponentom dostępu do ich gwarantowanych środków w ramach krajowych postępowań upadłościowych. W transponowanych przepisach ustawy o BFG działaniami mającymi na celu zapobieganie upadłości kas i umożliwienie im dalszego funkcjonowania są działania określone w </w:t>
      </w:r>
      <w:r w:rsidRPr="00816E15">
        <w:rPr>
          <w:b/>
          <w:szCs w:val="24"/>
        </w:rPr>
        <w:t>art. 5 ust. 2 pkt</w:t>
      </w:r>
      <w:r w:rsidR="00C165D6" w:rsidRPr="00816E15">
        <w:rPr>
          <w:b/>
          <w:szCs w:val="24"/>
        </w:rPr>
        <w:t xml:space="preserve"> 1 i</w:t>
      </w:r>
      <w:r w:rsidRPr="00816E15">
        <w:rPr>
          <w:b/>
          <w:szCs w:val="24"/>
        </w:rPr>
        <w:t xml:space="preserve"> 2</w:t>
      </w:r>
      <w:r w:rsidRPr="00816E15">
        <w:rPr>
          <w:szCs w:val="24"/>
        </w:rPr>
        <w:t xml:space="preserve"> (art. 11 ust. 3 dyrektywy DGS), zaś działaniami ukierunkowanymi bezpośrednio na zabezpieczenie deponentom dostępu do ich środków gwarantowanych w ramach postępowań likwidacyjnych kas są działania określone w art. 264 (art. 11 ust. 6 dyrektywy DGS). Aktualnie z brzmienia art. 259 ust. 1 wynika, że warunki przewidziane w pkt 1</w:t>
      </w:r>
      <w:r w:rsidR="00280324">
        <w:rPr>
          <w:szCs w:val="24"/>
        </w:rPr>
        <w:t>–</w:t>
      </w:r>
      <w:r w:rsidRPr="00816E15">
        <w:rPr>
          <w:szCs w:val="24"/>
        </w:rPr>
        <w:t xml:space="preserve">4 tego przepisu mają zastosowanie do wszystkich kategorii działań w </w:t>
      </w:r>
      <w:r w:rsidR="00086C97">
        <w:rPr>
          <w:szCs w:val="24"/>
        </w:rPr>
        <w:t>d</w:t>
      </w:r>
      <w:r w:rsidRPr="00816E15">
        <w:rPr>
          <w:szCs w:val="24"/>
        </w:rPr>
        <w:t xml:space="preserve">ziale IV, co w świetle zasad dyrektywy DGS </w:t>
      </w:r>
      <w:r w:rsidR="009A2FDF" w:rsidRPr="00816E15">
        <w:rPr>
          <w:szCs w:val="24"/>
        </w:rPr>
        <w:t xml:space="preserve">nie </w:t>
      </w:r>
      <w:r w:rsidRPr="00816E15">
        <w:rPr>
          <w:szCs w:val="24"/>
        </w:rPr>
        <w:t xml:space="preserve">jest </w:t>
      </w:r>
      <w:r w:rsidR="009A2FDF" w:rsidRPr="00816E15">
        <w:rPr>
          <w:szCs w:val="24"/>
        </w:rPr>
        <w:t>odpowiednie</w:t>
      </w:r>
      <w:r w:rsidRPr="00816E15">
        <w:rPr>
          <w:szCs w:val="24"/>
        </w:rPr>
        <w:t xml:space="preserve">. Stąd w art. 259 ust. 1 w zdaniu wprowadzającym niezbędne jest zawężenie stosowania warunków wymienionych w dalszej części </w:t>
      </w:r>
      <w:r w:rsidR="00781A04" w:rsidRPr="00816E15">
        <w:rPr>
          <w:szCs w:val="24"/>
        </w:rPr>
        <w:t xml:space="preserve">tego </w:t>
      </w:r>
      <w:r w:rsidRPr="00816E15">
        <w:rPr>
          <w:szCs w:val="24"/>
        </w:rPr>
        <w:t xml:space="preserve">przepisu wyłącznie do działań, o których mowa w art. 5 ust. 2 pkt </w:t>
      </w:r>
      <w:r w:rsidR="00770384" w:rsidRPr="00816E15">
        <w:rPr>
          <w:szCs w:val="24"/>
        </w:rPr>
        <w:t xml:space="preserve">1 i </w:t>
      </w:r>
      <w:r w:rsidRPr="00816E15">
        <w:rPr>
          <w:szCs w:val="24"/>
        </w:rPr>
        <w:t xml:space="preserve">2. Ponadto w art. 259 ust. 1 pkt 2 rezygnuje się z uwzględniania kosztów dotyczących przymusowej restrukturyzacji, w celu dostosowania tego przepisu do art. 11 ust. 3 lit. c dyrektywy DGS. Tym samym urzeczywistnia się zasadę ponoszenia przez system gwarancji depozytów niższych kosztów w przypadku podejmowania działań mających na celu zapobieżenie upadłości instytucji kredytowej, w stosunku do kosztów związanych z realizacją przez ten system mandatu w zakresie funkcji gwaranta depozytów (least cost principle). W warunku wskazanym w art. 259 ust. 1 pkt 3 zastąpiono odniesienie do art. 260 ust. 1 odniesieniem </w:t>
      </w:r>
      <w:r w:rsidR="009A2FDF" w:rsidRPr="00816E15">
        <w:rPr>
          <w:szCs w:val="24"/>
        </w:rPr>
        <w:t xml:space="preserve">także </w:t>
      </w:r>
      <w:r w:rsidRPr="00816E15">
        <w:rPr>
          <w:szCs w:val="24"/>
        </w:rPr>
        <w:t>do art. 5 ust. 2 pkt</w:t>
      </w:r>
      <w:r w:rsidR="00770384" w:rsidRPr="00816E15">
        <w:rPr>
          <w:szCs w:val="24"/>
        </w:rPr>
        <w:t xml:space="preserve"> 1 </w:t>
      </w:r>
      <w:r w:rsidR="009445A1">
        <w:rPr>
          <w:szCs w:val="24"/>
        </w:rPr>
        <w:t>lub</w:t>
      </w:r>
      <w:r w:rsidRPr="00816E15">
        <w:rPr>
          <w:szCs w:val="24"/>
        </w:rPr>
        <w:t xml:space="preserve"> 2, ponieważ warunek ten powinien mieć zastosowanie do form pomocy przewidzianych w obu tych przepisach. W art. 259 ust. 1 pkt 4, ze względu na brzmienie art. 11 ust. 3 lit. f dyrektywy DGS, dookreśl</w:t>
      </w:r>
      <w:r w:rsidR="009A2FDF" w:rsidRPr="00816E15">
        <w:rPr>
          <w:szCs w:val="24"/>
        </w:rPr>
        <w:t xml:space="preserve">ono </w:t>
      </w:r>
      <w:r w:rsidRPr="00816E15">
        <w:rPr>
          <w:szCs w:val="24"/>
        </w:rPr>
        <w:t>warunek zawarty w tym przepisie</w:t>
      </w:r>
      <w:r w:rsidR="009A2FDF" w:rsidRPr="00816E15">
        <w:rPr>
          <w:szCs w:val="24"/>
        </w:rPr>
        <w:t>,</w:t>
      </w:r>
      <w:r w:rsidRPr="00816E15">
        <w:rPr>
          <w:szCs w:val="24"/>
        </w:rPr>
        <w:t xml:space="preserve"> przez odniesienie do przepisów art. 263 ust. 2. Bardziej precyzyjne i jednocześnie zgodne z intencją prawodawcy unijnego jest wskazanie w tym warunku, że potwierdzenie zdolności kas do wniesienia składek nadzwyczajnych dotyczy sytuacji, o której mowa w art. 263 ust. 2.</w:t>
      </w:r>
    </w:p>
    <w:p w14:paraId="1FECE4E3" w14:textId="604796E4" w:rsidR="009E3470" w:rsidRPr="00816E15" w:rsidRDefault="00156C0D" w:rsidP="00CF5AAF">
      <w:pPr>
        <w:autoSpaceDE w:val="0"/>
        <w:autoSpaceDN w:val="0"/>
        <w:adjustRightInd w:val="0"/>
        <w:spacing w:line="360" w:lineRule="auto"/>
        <w:jc w:val="both"/>
        <w:rPr>
          <w:rFonts w:cs="Times New Roman"/>
          <w:szCs w:val="24"/>
        </w:rPr>
      </w:pPr>
      <w:r w:rsidRPr="00816E15">
        <w:rPr>
          <w:rFonts w:cs="Times New Roman"/>
          <w:szCs w:val="24"/>
        </w:rPr>
        <w:t xml:space="preserve">Jednocześnie w </w:t>
      </w:r>
      <w:r w:rsidRPr="00816E15">
        <w:rPr>
          <w:rFonts w:cs="Times New Roman"/>
          <w:b/>
          <w:szCs w:val="24"/>
        </w:rPr>
        <w:t>art. 263 ust. 2</w:t>
      </w:r>
      <w:r w:rsidRPr="00816E15">
        <w:rPr>
          <w:rFonts w:cs="Times New Roman"/>
          <w:szCs w:val="24"/>
        </w:rPr>
        <w:t xml:space="preserve"> </w:t>
      </w:r>
      <w:r w:rsidR="009A2FDF" w:rsidRPr="00816E15">
        <w:rPr>
          <w:rFonts w:cs="Times New Roman"/>
          <w:szCs w:val="24"/>
        </w:rPr>
        <w:t xml:space="preserve">uzupełnia się </w:t>
      </w:r>
      <w:r w:rsidRPr="00816E15">
        <w:rPr>
          <w:rFonts w:cs="Times New Roman"/>
          <w:szCs w:val="24"/>
        </w:rPr>
        <w:t>zdanie wprowadzające w końcowej jego części o</w:t>
      </w:r>
      <w:r w:rsidR="00A37A64" w:rsidRPr="00816E15">
        <w:rPr>
          <w:rFonts w:cs="Times New Roman"/>
          <w:szCs w:val="24"/>
        </w:rPr>
        <w:t> </w:t>
      </w:r>
      <w:r w:rsidRPr="00816E15">
        <w:rPr>
          <w:rFonts w:cs="Times New Roman"/>
          <w:szCs w:val="24"/>
        </w:rPr>
        <w:t xml:space="preserve">treść, która ma na celu doprecyzowanie </w:t>
      </w:r>
      <w:r w:rsidR="009A2FDF" w:rsidRPr="00816E15">
        <w:rPr>
          <w:rFonts w:cs="Times New Roman"/>
          <w:szCs w:val="24"/>
        </w:rPr>
        <w:t xml:space="preserve">przesłanek </w:t>
      </w:r>
      <w:r w:rsidRPr="00816E15">
        <w:rPr>
          <w:rFonts w:cs="Times New Roman"/>
          <w:szCs w:val="24"/>
        </w:rPr>
        <w:t>niezwłocznego zapewni</w:t>
      </w:r>
      <w:r w:rsidR="009A2FDF" w:rsidRPr="00816E15">
        <w:rPr>
          <w:rFonts w:cs="Times New Roman"/>
          <w:szCs w:val="24"/>
        </w:rPr>
        <w:t>e</w:t>
      </w:r>
      <w:r w:rsidRPr="00816E15">
        <w:rPr>
          <w:rFonts w:cs="Times New Roman"/>
          <w:szCs w:val="24"/>
        </w:rPr>
        <w:t xml:space="preserve">nia Funduszowi środków finansowych przez kasy. Wymóg ten będzie mógł mieć zastosowanie </w:t>
      </w:r>
      <w:r w:rsidR="005D2D32" w:rsidRPr="00816E15">
        <w:rPr>
          <w:rFonts w:cs="Times New Roman"/>
          <w:szCs w:val="24"/>
        </w:rPr>
        <w:t>dopiero wtedy, gdy przesłank</w:t>
      </w:r>
      <w:r w:rsidRPr="00816E15">
        <w:rPr>
          <w:rFonts w:cs="Times New Roman"/>
          <w:szCs w:val="24"/>
        </w:rPr>
        <w:t>i</w:t>
      </w:r>
      <w:r w:rsidR="005D2D32" w:rsidRPr="00816E15">
        <w:rPr>
          <w:rFonts w:cs="Times New Roman"/>
          <w:szCs w:val="24"/>
        </w:rPr>
        <w:t xml:space="preserve"> wskazan</w:t>
      </w:r>
      <w:r w:rsidRPr="00816E15">
        <w:rPr>
          <w:rFonts w:cs="Times New Roman"/>
          <w:szCs w:val="24"/>
        </w:rPr>
        <w:t>e</w:t>
      </w:r>
      <w:r w:rsidR="005D2D32" w:rsidRPr="00816E15">
        <w:rPr>
          <w:rFonts w:cs="Times New Roman"/>
          <w:szCs w:val="24"/>
        </w:rPr>
        <w:t xml:space="preserve"> w </w:t>
      </w:r>
      <w:r w:rsidRPr="00816E15">
        <w:rPr>
          <w:rFonts w:cs="Times New Roman"/>
          <w:szCs w:val="24"/>
        </w:rPr>
        <w:t>art. 263 ust. 2 pkt 1 i 2</w:t>
      </w:r>
      <w:r w:rsidR="005D2D32" w:rsidRPr="00816E15">
        <w:rPr>
          <w:rFonts w:cs="Times New Roman"/>
          <w:szCs w:val="24"/>
        </w:rPr>
        <w:t xml:space="preserve"> będ</w:t>
      </w:r>
      <w:r w:rsidRPr="00816E15">
        <w:rPr>
          <w:rFonts w:cs="Times New Roman"/>
          <w:szCs w:val="24"/>
        </w:rPr>
        <w:t>ą</w:t>
      </w:r>
      <w:r w:rsidR="005D2D32" w:rsidRPr="00816E15">
        <w:rPr>
          <w:rFonts w:cs="Times New Roman"/>
          <w:szCs w:val="24"/>
        </w:rPr>
        <w:t xml:space="preserve"> mogł</w:t>
      </w:r>
      <w:r w:rsidRPr="00816E15">
        <w:rPr>
          <w:rFonts w:cs="Times New Roman"/>
          <w:szCs w:val="24"/>
        </w:rPr>
        <w:t>y</w:t>
      </w:r>
      <w:r w:rsidR="005D2D32" w:rsidRPr="00816E15">
        <w:rPr>
          <w:rFonts w:cs="Times New Roman"/>
          <w:szCs w:val="24"/>
        </w:rPr>
        <w:t xml:space="preserve"> faktycznie zaistnieć. Termin na osiągnięcie minimalnego poziomu środków systemu gwarantowania depozytów w kasach wynoszącego 0,8%</w:t>
      </w:r>
      <w:r w:rsidRPr="00816E15">
        <w:rPr>
          <w:rFonts w:cs="Times New Roman"/>
          <w:szCs w:val="24"/>
        </w:rPr>
        <w:t>, o którym mowa w art. 288 ust. 1,</w:t>
      </w:r>
      <w:r w:rsidR="005D2D32" w:rsidRPr="00816E15">
        <w:rPr>
          <w:rFonts w:cs="Times New Roman"/>
          <w:szCs w:val="24"/>
        </w:rPr>
        <w:t xml:space="preserve"> został wyznaczony do dnia 31 grudnia 2020 r. </w:t>
      </w:r>
      <w:r w:rsidR="0076237C" w:rsidRPr="00816E15">
        <w:rPr>
          <w:szCs w:val="24"/>
        </w:rPr>
        <w:t>Co więcej</w:t>
      </w:r>
      <w:r w:rsidR="009A2FDF" w:rsidRPr="00816E15">
        <w:rPr>
          <w:szCs w:val="24"/>
        </w:rPr>
        <w:t>,</w:t>
      </w:r>
      <w:r w:rsidR="0076237C" w:rsidRPr="00816E15">
        <w:rPr>
          <w:szCs w:val="24"/>
        </w:rPr>
        <w:t xml:space="preserve"> w przypadku spełnienia się przesłanek wskazanych w art. 288 ust. 4 ustawy o BFG ulega </w:t>
      </w:r>
      <w:r w:rsidR="009A2FDF" w:rsidRPr="00816E15">
        <w:rPr>
          <w:szCs w:val="24"/>
        </w:rPr>
        <w:t xml:space="preserve">on </w:t>
      </w:r>
      <w:r w:rsidR="0076237C" w:rsidRPr="00816E15">
        <w:rPr>
          <w:szCs w:val="24"/>
        </w:rPr>
        <w:t xml:space="preserve">przedłużeniu o 4 lata. </w:t>
      </w:r>
      <w:r w:rsidR="005D2D32" w:rsidRPr="00816E15">
        <w:rPr>
          <w:rFonts w:cs="Times New Roman"/>
          <w:szCs w:val="24"/>
        </w:rPr>
        <w:t xml:space="preserve">Oznacza to, że </w:t>
      </w:r>
      <w:r w:rsidR="00A43BC9" w:rsidRPr="00816E15">
        <w:rPr>
          <w:rFonts w:cs="Times New Roman"/>
          <w:szCs w:val="24"/>
        </w:rPr>
        <w:t xml:space="preserve">obowiązki </w:t>
      </w:r>
      <w:r w:rsidR="006F27CA" w:rsidRPr="00816E15">
        <w:rPr>
          <w:rFonts w:cs="Times New Roman"/>
          <w:szCs w:val="24"/>
        </w:rPr>
        <w:t xml:space="preserve">dotyczące </w:t>
      </w:r>
      <w:r w:rsidR="00A43BC9" w:rsidRPr="00816E15">
        <w:rPr>
          <w:rFonts w:cs="Times New Roman"/>
          <w:szCs w:val="24"/>
        </w:rPr>
        <w:t xml:space="preserve">kas wynikające z </w:t>
      </w:r>
      <w:r w:rsidR="005D2D32" w:rsidRPr="00816E15">
        <w:rPr>
          <w:rFonts w:cs="Times New Roman"/>
          <w:szCs w:val="24"/>
        </w:rPr>
        <w:t>art. 263 ust. 2 będą mogły mieć zastosowanie dopiero po tym terminie i</w:t>
      </w:r>
      <w:r w:rsidR="00A37A64" w:rsidRPr="00816E15">
        <w:rPr>
          <w:rFonts w:cs="Times New Roman"/>
          <w:szCs w:val="24"/>
        </w:rPr>
        <w:t> </w:t>
      </w:r>
      <w:r w:rsidRPr="00816E15">
        <w:rPr>
          <w:rFonts w:cs="Times New Roman"/>
          <w:szCs w:val="24"/>
        </w:rPr>
        <w:t>w</w:t>
      </w:r>
      <w:r w:rsidR="00A37A64" w:rsidRPr="00816E15">
        <w:rPr>
          <w:rFonts w:cs="Times New Roman"/>
          <w:szCs w:val="24"/>
        </w:rPr>
        <w:t> </w:t>
      </w:r>
      <w:r w:rsidRPr="00816E15">
        <w:rPr>
          <w:rFonts w:cs="Times New Roman"/>
          <w:szCs w:val="24"/>
        </w:rPr>
        <w:t>związku z tym</w:t>
      </w:r>
      <w:r w:rsidR="00A43BC9" w:rsidRPr="00816E15">
        <w:rPr>
          <w:rFonts w:cs="Times New Roman"/>
          <w:szCs w:val="24"/>
        </w:rPr>
        <w:t xml:space="preserve"> </w:t>
      </w:r>
      <w:r w:rsidR="005D2D32" w:rsidRPr="00816E15">
        <w:rPr>
          <w:rFonts w:cs="Times New Roman"/>
          <w:szCs w:val="24"/>
        </w:rPr>
        <w:t xml:space="preserve">dopiero wtedy zastosowanie mogłaby mieć także kompetencja Komisji Nadzoru Finansowego do potwierdzania zdolności kas do spełnienia warunku, o którym mowa w art. </w:t>
      </w:r>
      <w:r w:rsidR="0076237C" w:rsidRPr="00816E15">
        <w:rPr>
          <w:szCs w:val="24"/>
        </w:rPr>
        <w:t>259 ust. 1 pkt 4</w:t>
      </w:r>
      <w:r w:rsidR="005D2D32" w:rsidRPr="00816E15">
        <w:rPr>
          <w:rFonts w:cs="Times New Roman"/>
          <w:szCs w:val="24"/>
        </w:rPr>
        <w:t>.</w:t>
      </w:r>
    </w:p>
    <w:p w14:paraId="5EBB4242" w14:textId="2B3C6545" w:rsidR="0018488F" w:rsidRPr="00816E15" w:rsidRDefault="0018488F" w:rsidP="00CF5AAF">
      <w:pPr>
        <w:spacing w:after="160" w:line="360" w:lineRule="auto"/>
        <w:jc w:val="both"/>
        <w:rPr>
          <w:szCs w:val="24"/>
        </w:rPr>
      </w:pPr>
      <w:r w:rsidRPr="00816E15">
        <w:rPr>
          <w:szCs w:val="24"/>
        </w:rPr>
        <w:t xml:space="preserve">Zmiana w </w:t>
      </w:r>
      <w:r w:rsidRPr="00816E15">
        <w:rPr>
          <w:b/>
          <w:szCs w:val="24"/>
        </w:rPr>
        <w:t>art. 264 ust. 1</w:t>
      </w:r>
      <w:r w:rsidRPr="00816E15">
        <w:rPr>
          <w:szCs w:val="24"/>
        </w:rPr>
        <w:t xml:space="preserve"> związana jest ze zmianą wprowadzoną w art. 5 ust. 2 pkt 3 ustawy o BFG i polega na odpowiednim zastąpieniu sformułowań wskazujących na udzielanie przez Fundusz wsparcia podmiotom innym niż kasa przejmowana lub kasa, której prawa lub zobowiązania są przejmowane. Ponadto dodaje się ust</w:t>
      </w:r>
      <w:r w:rsidR="009A2FDF" w:rsidRPr="00816E15">
        <w:rPr>
          <w:szCs w:val="24"/>
        </w:rPr>
        <w:t>.</w:t>
      </w:r>
      <w:r w:rsidR="004361E4" w:rsidRPr="00816E15">
        <w:rPr>
          <w:szCs w:val="24"/>
        </w:rPr>
        <w:t xml:space="preserve"> </w:t>
      </w:r>
      <w:r w:rsidRPr="00816E15">
        <w:rPr>
          <w:szCs w:val="24"/>
        </w:rPr>
        <w:t>4, którego celem jest pełniejsze odzwierciedlenie brzmienia art. 11 ust. 6 dyrektywy DGS w odniesieniu do generalnej zasady, zgodnie z którą koszty poniesione przez system gwarancji depozytów nie mogą przekraczać kwoty netto kompensowania deponentów.</w:t>
      </w:r>
    </w:p>
    <w:p w14:paraId="630F584C" w14:textId="77358135" w:rsidR="0018488F" w:rsidRPr="00816E15" w:rsidRDefault="0018488F" w:rsidP="00CF5AAF">
      <w:pPr>
        <w:spacing w:after="160" w:line="360" w:lineRule="auto"/>
        <w:jc w:val="both"/>
        <w:rPr>
          <w:szCs w:val="24"/>
        </w:rPr>
      </w:pPr>
      <w:r w:rsidRPr="00816E15">
        <w:rPr>
          <w:szCs w:val="24"/>
        </w:rPr>
        <w:t xml:space="preserve">Analogicznie jak w przypadku art. 264 ust. 1 także zmiana w </w:t>
      </w:r>
      <w:r w:rsidRPr="00816E15">
        <w:rPr>
          <w:b/>
          <w:szCs w:val="24"/>
        </w:rPr>
        <w:t>art. 266</w:t>
      </w:r>
      <w:r w:rsidRPr="00816E15">
        <w:rPr>
          <w:szCs w:val="24"/>
        </w:rPr>
        <w:t xml:space="preserve"> związana jest ze zmianą wprowadzoną w art. 5 ust. 2 pkt 3 ustawy o BFG. Podmiotem korzystającym ze wsparcia jest wyłącznie kasa przejmowana lub działalność likwidowanej kasy, a nie podmiot przejmujący lub nabywca, który jednak, w związku z ustaniem bytu kasy, będzie przekazywał żądane informacje</w:t>
      </w:r>
      <w:r w:rsidR="00086C97">
        <w:rPr>
          <w:szCs w:val="24"/>
        </w:rPr>
        <w:t>,</w:t>
      </w:r>
      <w:r w:rsidRPr="00816E15">
        <w:rPr>
          <w:szCs w:val="24"/>
        </w:rPr>
        <w:t xml:space="preserve"> będąc podmiotem obowiązanym do zwrotu wsparcia.</w:t>
      </w:r>
    </w:p>
    <w:p w14:paraId="5BECEC1B" w14:textId="5AAAD25A" w:rsidR="00E652BD" w:rsidRPr="00816E15" w:rsidRDefault="0018488F" w:rsidP="00CF5AAF">
      <w:pPr>
        <w:spacing w:after="160" w:line="360" w:lineRule="auto"/>
        <w:jc w:val="both"/>
        <w:rPr>
          <w:szCs w:val="24"/>
        </w:rPr>
      </w:pPr>
      <w:r w:rsidRPr="00816E15">
        <w:rPr>
          <w:szCs w:val="24"/>
        </w:rPr>
        <w:t xml:space="preserve">Zmiany mające na celu zapewnienie zgodności działań w zakresie procesów restrukturyzacji kas z unijnymi zasadami pomocy publicznej wprowadza się także w ramach rozszerzanego </w:t>
      </w:r>
      <w:r w:rsidRPr="00816E15">
        <w:rPr>
          <w:b/>
          <w:szCs w:val="24"/>
        </w:rPr>
        <w:t>art. 268.</w:t>
      </w:r>
      <w:r w:rsidRPr="00816E15">
        <w:rPr>
          <w:szCs w:val="24"/>
        </w:rPr>
        <w:t xml:space="preserve"> </w:t>
      </w:r>
      <w:r w:rsidR="00A7118E" w:rsidRPr="00816E15">
        <w:rPr>
          <w:szCs w:val="24"/>
        </w:rPr>
        <w:t xml:space="preserve">Aby pomoc udzielana </w:t>
      </w:r>
      <w:r w:rsidR="006B39EF" w:rsidRPr="00816E15">
        <w:rPr>
          <w:szCs w:val="24"/>
        </w:rPr>
        <w:t xml:space="preserve">ze środków publicznych </w:t>
      </w:r>
      <w:r w:rsidR="00A7118E" w:rsidRPr="00816E15">
        <w:rPr>
          <w:szCs w:val="24"/>
        </w:rPr>
        <w:t>mogła zostać uznana przez Komisję Europejską za zgodną ze wspólnym rynkiem</w:t>
      </w:r>
      <w:r w:rsidR="00C35D81">
        <w:rPr>
          <w:szCs w:val="24"/>
        </w:rPr>
        <w:t>,</w:t>
      </w:r>
      <w:r w:rsidR="00A7118E" w:rsidRPr="00816E15">
        <w:rPr>
          <w:szCs w:val="24"/>
        </w:rPr>
        <w:t xml:space="preserve"> podejmowane działania i środki muszą </w:t>
      </w:r>
      <w:r w:rsidR="00E321D3" w:rsidRPr="00816E15">
        <w:rPr>
          <w:szCs w:val="24"/>
        </w:rPr>
        <w:t xml:space="preserve">spełniać warunki i wymogi określone w komunikacie bankowym. Podstawą prawną dla wydawanych przez Komisję Europejską komunikatów (w tym komunikatu bankowego) zawierających szczegółowe wskazówki dotyczące kryteriów zgodności pomocy państwa na rzecz sektora finansowego z rynkiem wewnętrznym jest art. 107 ust. 3 lit. b) Traktatu o funkcjonowaniu Unii Europejskiej. </w:t>
      </w:r>
      <w:r w:rsidR="007B6844" w:rsidRPr="00816E15">
        <w:rPr>
          <w:szCs w:val="24"/>
        </w:rPr>
        <w:t xml:space="preserve">W sekcji 3.1.2. </w:t>
      </w:r>
      <w:r w:rsidR="007B6844" w:rsidRPr="00C35D81">
        <w:rPr>
          <w:szCs w:val="24"/>
        </w:rPr>
        <w:t>,,Podział obciążenia przez udziałowców i wierzycieli podporządkowanych” komunikatu bankowego w pkt 40 wskazuje się, że ,,</w:t>
      </w:r>
      <w:r w:rsidR="007B6844" w:rsidRPr="00C35D81">
        <w:rPr>
          <w:rFonts w:cs="EUAlbertina"/>
          <w:color w:val="000000"/>
          <w:szCs w:val="24"/>
        </w:rPr>
        <w:t>Wsparcie publiczne może stwarzać pokusy nadużycia i naruszać dyscyplinę rynkową. Aby ograniczyć pokusę nadużycia, pomoc należy przyznawać wyłącznie na warunkach obejmujących odpowiedni podział obciążenia przez obecnych inwestorów.”</w:t>
      </w:r>
      <w:r w:rsidR="007B6844" w:rsidRPr="00816E15">
        <w:rPr>
          <w:rFonts w:cs="EUAlbertina"/>
          <w:color w:val="000000"/>
          <w:szCs w:val="24"/>
        </w:rPr>
        <w:t xml:space="preserve"> Zasady dotyczące dokonywania podziału obciążenia </w:t>
      </w:r>
      <w:r w:rsidR="009356D9" w:rsidRPr="00816E15">
        <w:rPr>
          <w:szCs w:val="24"/>
        </w:rPr>
        <w:t xml:space="preserve">związanego ze wspieraniem instytucji pomiędzy państwo (środki publiczne) i beneficjenta wsparcia, </w:t>
      </w:r>
      <w:r w:rsidR="00BC3002" w:rsidRPr="00816E15">
        <w:rPr>
          <w:rFonts w:cs="EUAlbertina"/>
          <w:color w:val="000000"/>
          <w:szCs w:val="24"/>
        </w:rPr>
        <w:t>doprecyzowano</w:t>
      </w:r>
      <w:r w:rsidR="007B6844" w:rsidRPr="00816E15">
        <w:rPr>
          <w:rFonts w:cs="EUAlbertina"/>
          <w:color w:val="000000"/>
          <w:szCs w:val="24"/>
        </w:rPr>
        <w:t xml:space="preserve"> w </w:t>
      </w:r>
      <w:r w:rsidR="006B39EF" w:rsidRPr="00816E15">
        <w:rPr>
          <w:rFonts w:cs="EUAlbertina"/>
          <w:color w:val="000000"/>
          <w:szCs w:val="24"/>
        </w:rPr>
        <w:t>kilku kolejnych punktach</w:t>
      </w:r>
      <w:r w:rsidR="007B6844" w:rsidRPr="00816E15">
        <w:rPr>
          <w:rFonts w:cs="EUAlbertina"/>
          <w:color w:val="000000"/>
          <w:szCs w:val="24"/>
        </w:rPr>
        <w:t xml:space="preserve"> komunikatu bankowego. Z pkt 41 wynika, że </w:t>
      </w:r>
      <w:r w:rsidR="007B6844" w:rsidRPr="00C35D81">
        <w:rPr>
          <w:rFonts w:cs="EUAlbertina"/>
          <w:color w:val="000000"/>
          <w:szCs w:val="24"/>
        </w:rPr>
        <w:t>,,Odpowiedni podział obciążenia zazwyczaj obejmuje, po pokryciu strat przez kapitał własny, wkład posiadaczy kapitału hybrydowego i właścicieli długów podporządkowanych. Posiadacze kapitału hybrydowego i właściciele długów podporządkowanych muszą w maksymalnym możliwym stopniu przyczynić się do ograniczenia niedoboru kapitału.”, a w pkt 44 dodatkowo wskazuje się, że ,,Pomoc państwa można przyznać dopiero po tym, gdy kapitał własny, kapitał hybrydowy i dług podporządkowany wniosą pełny wkład w pokrycie strat.”.</w:t>
      </w:r>
      <w:r w:rsidR="007B6844" w:rsidRPr="00816E15">
        <w:rPr>
          <w:rFonts w:cs="EUAlbertina"/>
          <w:color w:val="000000"/>
          <w:szCs w:val="24"/>
        </w:rPr>
        <w:t xml:space="preserve"> </w:t>
      </w:r>
      <w:r w:rsidR="001B1181" w:rsidRPr="00816E15">
        <w:rPr>
          <w:rFonts w:cs="EUAlbertina"/>
          <w:color w:val="000000"/>
          <w:szCs w:val="24"/>
        </w:rPr>
        <w:t>Zapewnienie</w:t>
      </w:r>
      <w:r w:rsidR="00720FAD" w:rsidRPr="00816E15">
        <w:rPr>
          <w:rFonts w:cs="EUAlbertina"/>
          <w:color w:val="000000"/>
          <w:szCs w:val="24"/>
        </w:rPr>
        <w:t xml:space="preserve"> wkładu w podział obciążeń </w:t>
      </w:r>
      <w:r w:rsidR="00F814DD" w:rsidRPr="00816E15">
        <w:rPr>
          <w:rFonts w:cs="EUAlbertina"/>
          <w:color w:val="000000"/>
          <w:szCs w:val="24"/>
        </w:rPr>
        <w:t xml:space="preserve">(w projektowanej ustawie – w postaci umorzenia) </w:t>
      </w:r>
      <w:r w:rsidR="00720FAD" w:rsidRPr="00816E15">
        <w:rPr>
          <w:rFonts w:cs="EUAlbertina"/>
          <w:color w:val="000000"/>
          <w:szCs w:val="24"/>
        </w:rPr>
        <w:t xml:space="preserve">jest warunkiem </w:t>
      </w:r>
      <w:r w:rsidR="00720FAD" w:rsidRPr="00086C97">
        <w:rPr>
          <w:rFonts w:cs="EUAlbertina"/>
          <w:i/>
          <w:color w:val="000000"/>
          <w:szCs w:val="24"/>
        </w:rPr>
        <w:t>sine qua non</w:t>
      </w:r>
      <w:r w:rsidR="00720FAD" w:rsidRPr="00816E15">
        <w:rPr>
          <w:rFonts w:cs="EUAlbertina"/>
          <w:color w:val="000000"/>
          <w:szCs w:val="24"/>
        </w:rPr>
        <w:t xml:space="preserve"> udzielania </w:t>
      </w:r>
      <w:r w:rsidR="00F814DD" w:rsidRPr="00816E15">
        <w:rPr>
          <w:rFonts w:cs="EUAlbertina"/>
          <w:color w:val="000000"/>
          <w:szCs w:val="24"/>
        </w:rPr>
        <w:t>pomocy/wsparcia z wykorzystaniem środków publicznych</w:t>
      </w:r>
      <w:r w:rsidR="00720FAD" w:rsidRPr="00816E15">
        <w:rPr>
          <w:rFonts w:cs="EUAlbertina"/>
          <w:color w:val="000000"/>
          <w:szCs w:val="24"/>
        </w:rPr>
        <w:t xml:space="preserve">. </w:t>
      </w:r>
      <w:r w:rsidR="00F814DD" w:rsidRPr="00816E15">
        <w:rPr>
          <w:rFonts w:cs="Times New Roman"/>
          <w:szCs w:val="24"/>
        </w:rPr>
        <w:t>K</w:t>
      </w:r>
      <w:r w:rsidR="00D00CA0" w:rsidRPr="00816E15">
        <w:rPr>
          <w:rFonts w:cs="Times New Roman"/>
          <w:szCs w:val="24"/>
        </w:rPr>
        <w:t xml:space="preserve">omunikat bankowy nie daje podstaw do tego, aby w ustaleniach dotyczących umorzeń </w:t>
      </w:r>
      <w:r w:rsidR="007B036E" w:rsidRPr="00816E15">
        <w:rPr>
          <w:szCs w:val="24"/>
        </w:rPr>
        <w:t>uczestniczyły</w:t>
      </w:r>
      <w:r w:rsidR="00D00CA0" w:rsidRPr="00816E15">
        <w:rPr>
          <w:rFonts w:cs="Times New Roman"/>
          <w:szCs w:val="24"/>
        </w:rPr>
        <w:t xml:space="preserve"> pod</w:t>
      </w:r>
      <w:r w:rsidR="007B036E" w:rsidRPr="00816E15">
        <w:rPr>
          <w:rFonts w:cs="Times New Roman"/>
          <w:szCs w:val="24"/>
        </w:rPr>
        <w:t>mioty</w:t>
      </w:r>
      <w:r w:rsidR="00D00CA0" w:rsidRPr="00816E15">
        <w:rPr>
          <w:rFonts w:cs="Times New Roman"/>
          <w:szCs w:val="24"/>
        </w:rPr>
        <w:t>, których takie umorzenia dotyczą, w tym nie przewiduje możliwości prowadzenia z nimi negocjacji</w:t>
      </w:r>
      <w:r w:rsidR="00684D58" w:rsidRPr="00816E15">
        <w:rPr>
          <w:rFonts w:cs="Times New Roman"/>
          <w:szCs w:val="24"/>
        </w:rPr>
        <w:t xml:space="preserve">, </w:t>
      </w:r>
      <w:r w:rsidR="00D00CA0" w:rsidRPr="00816E15">
        <w:rPr>
          <w:rFonts w:cs="Times New Roman"/>
          <w:szCs w:val="24"/>
        </w:rPr>
        <w:t>np. co do akceptowalnej wartości umorzenia. Działania w zakresie podziału obciążenia nie mają charakteru postępowania układowego, lecz wynikają z narzuconych odgórnie zasad pomocy publicznej, które muszą zostać spełnione, aby taka pomoc mogła zostać przyznana oraz uznana za zgodną z</w:t>
      </w:r>
      <w:r w:rsidR="00D00CA0" w:rsidRPr="00816E15">
        <w:rPr>
          <w:szCs w:val="24"/>
        </w:rPr>
        <w:t>e wspólnym rynkiem</w:t>
      </w:r>
      <w:r w:rsidR="00D00CA0" w:rsidRPr="00816E15">
        <w:rPr>
          <w:rFonts w:cs="Times New Roman"/>
          <w:szCs w:val="24"/>
        </w:rPr>
        <w:t xml:space="preserve">. </w:t>
      </w:r>
      <w:r w:rsidR="001B1181" w:rsidRPr="00816E15">
        <w:rPr>
          <w:rFonts w:cs="Times New Roman"/>
          <w:szCs w:val="24"/>
        </w:rPr>
        <w:t xml:space="preserve">W związku z tym należy zapewnić, aby przepisy regulujące kwestie podziału obciążenia nie kreowały niepewności co do faktycznego spełnienia warunku o dokonaniu umorzenia przed rozstrzygnięciem o udzieleniu pomocy/wsparcia przez BFG. Brak takiej pewności mógłby uniemożliwić udzielenie pomocy/wsparcia w odpowiednim czasie. </w:t>
      </w:r>
      <w:r w:rsidR="001B1181" w:rsidRPr="00816E15">
        <w:rPr>
          <w:szCs w:val="24"/>
        </w:rPr>
        <w:t>J</w:t>
      </w:r>
      <w:r w:rsidR="00D00CA0" w:rsidRPr="00816E15">
        <w:rPr>
          <w:rFonts w:cs="Times New Roman"/>
          <w:szCs w:val="24"/>
        </w:rPr>
        <w:t>ak wynika z art. 5 ust. 2 ustawy o BFG, działania restrukturyzacyjne są podejmowane w przypadku kas, w których zdiagnozowano niebezpieczeństwo niewypłacalności</w:t>
      </w:r>
      <w:r w:rsidR="007B036E" w:rsidRPr="00816E15">
        <w:rPr>
          <w:rFonts w:cs="Times New Roman"/>
          <w:szCs w:val="24"/>
        </w:rPr>
        <w:t>. W takich okolicznościach k</w:t>
      </w:r>
      <w:r w:rsidR="00D00CA0" w:rsidRPr="00816E15">
        <w:rPr>
          <w:rFonts w:cs="Times New Roman"/>
          <w:szCs w:val="24"/>
        </w:rPr>
        <w:t>luczowym aspektem jest szybkość i sprawność interwencji w celu zapobieżenia eskalacji negatywnych zjawisk</w:t>
      </w:r>
      <w:r w:rsidR="007B036E" w:rsidRPr="00816E15">
        <w:rPr>
          <w:rFonts w:cs="Times New Roman"/>
          <w:szCs w:val="24"/>
        </w:rPr>
        <w:t xml:space="preserve"> i wzrostu kosztów</w:t>
      </w:r>
      <w:r w:rsidR="00D00CA0" w:rsidRPr="00816E15">
        <w:rPr>
          <w:rFonts w:cs="Times New Roman"/>
          <w:szCs w:val="24"/>
        </w:rPr>
        <w:t xml:space="preserve">. W tym kontekście ewentualne angażowanie udziałowców </w:t>
      </w:r>
      <w:r w:rsidR="007B036E" w:rsidRPr="00816E15">
        <w:rPr>
          <w:rFonts w:cs="Times New Roman"/>
          <w:szCs w:val="24"/>
        </w:rPr>
        <w:t>i/lub</w:t>
      </w:r>
      <w:r w:rsidR="00D00CA0" w:rsidRPr="00816E15">
        <w:rPr>
          <w:rFonts w:cs="Times New Roman"/>
          <w:szCs w:val="24"/>
        </w:rPr>
        <w:t xml:space="preserve"> wierzycieli podporządkowanych kasy w ustalenia dotyczące umorzeń mogłoby skomplikować cały proces oraz prowadzić do opóźnień w podjęciu interwencji z użyciem środków BFG, a w konsekwencji udaremnić pomyślną restrukturyzację kasy. </w:t>
      </w:r>
      <w:r w:rsidR="007B036E" w:rsidRPr="00816E15">
        <w:rPr>
          <w:szCs w:val="24"/>
        </w:rPr>
        <w:t xml:space="preserve">Sytuacja finansowa </w:t>
      </w:r>
      <w:r w:rsidR="00D00CA0" w:rsidRPr="00816E15">
        <w:rPr>
          <w:szCs w:val="24"/>
        </w:rPr>
        <w:t xml:space="preserve">problematycznego podmiotu </w:t>
      </w:r>
      <w:r w:rsidR="007B036E" w:rsidRPr="00816E15">
        <w:rPr>
          <w:szCs w:val="24"/>
        </w:rPr>
        <w:t xml:space="preserve">może </w:t>
      </w:r>
      <w:r w:rsidR="00D00CA0" w:rsidRPr="00816E15">
        <w:rPr>
          <w:szCs w:val="24"/>
        </w:rPr>
        <w:t>zmienia</w:t>
      </w:r>
      <w:r w:rsidR="007B036E" w:rsidRPr="00816E15">
        <w:rPr>
          <w:szCs w:val="24"/>
        </w:rPr>
        <w:t>ć</w:t>
      </w:r>
      <w:r w:rsidR="00D00CA0" w:rsidRPr="00816E15">
        <w:rPr>
          <w:szCs w:val="24"/>
        </w:rPr>
        <w:t xml:space="preserve"> się dynamicznie, w związku z czym w przypadku zwłoki w podjęciu interwencji mogłoby okazać się, że koszty podjęcia </w:t>
      </w:r>
      <w:r w:rsidR="007B036E" w:rsidRPr="00816E15">
        <w:rPr>
          <w:szCs w:val="24"/>
        </w:rPr>
        <w:t xml:space="preserve">interwencji </w:t>
      </w:r>
      <w:r w:rsidR="00D00CA0" w:rsidRPr="00816E15">
        <w:rPr>
          <w:szCs w:val="24"/>
        </w:rPr>
        <w:t>wraz z upływem czasu stałyby się jeszcze wyższe, co nie</w:t>
      </w:r>
      <w:r w:rsidR="00684D58" w:rsidRPr="00816E15">
        <w:rPr>
          <w:szCs w:val="24"/>
        </w:rPr>
        <w:t xml:space="preserve"> jest </w:t>
      </w:r>
      <w:r w:rsidR="00D00CA0" w:rsidRPr="00816E15">
        <w:rPr>
          <w:szCs w:val="24"/>
        </w:rPr>
        <w:t>pożądane</w:t>
      </w:r>
      <w:r w:rsidR="00684D58" w:rsidRPr="00816E15">
        <w:rPr>
          <w:szCs w:val="24"/>
        </w:rPr>
        <w:t xml:space="preserve">, </w:t>
      </w:r>
      <w:r w:rsidR="00D00CA0" w:rsidRPr="00816E15">
        <w:rPr>
          <w:szCs w:val="24"/>
        </w:rPr>
        <w:t xml:space="preserve">zwłaszcza że </w:t>
      </w:r>
      <w:r w:rsidR="007B036E" w:rsidRPr="00816E15">
        <w:rPr>
          <w:szCs w:val="24"/>
        </w:rPr>
        <w:t xml:space="preserve">w przypadku takich interwencji </w:t>
      </w:r>
      <w:r w:rsidR="00D00CA0" w:rsidRPr="00816E15">
        <w:rPr>
          <w:rFonts w:cs="Times New Roman"/>
          <w:szCs w:val="24"/>
        </w:rPr>
        <w:t xml:space="preserve">nadrzędną zasadą </w:t>
      </w:r>
      <w:r w:rsidR="007B036E" w:rsidRPr="00816E15">
        <w:rPr>
          <w:rFonts w:cs="Times New Roman"/>
          <w:szCs w:val="24"/>
        </w:rPr>
        <w:t>(wynikającą też</w:t>
      </w:r>
      <w:r w:rsidR="00D00CA0" w:rsidRPr="00816E15">
        <w:rPr>
          <w:rFonts w:cs="Times New Roman"/>
          <w:szCs w:val="24"/>
        </w:rPr>
        <w:t xml:space="preserve"> z komunikatu bankowego) </w:t>
      </w:r>
      <w:r w:rsidR="00D00CA0" w:rsidRPr="00816E15">
        <w:rPr>
          <w:szCs w:val="24"/>
        </w:rPr>
        <w:t xml:space="preserve">jest minimalizacja zaangażowania </w:t>
      </w:r>
      <w:r w:rsidR="00D00CA0" w:rsidRPr="00816E15">
        <w:rPr>
          <w:rFonts w:cs="Times New Roman"/>
          <w:szCs w:val="24"/>
        </w:rPr>
        <w:t>środków publicznych, do których za</w:t>
      </w:r>
      <w:r w:rsidR="007B036E" w:rsidRPr="00816E15">
        <w:rPr>
          <w:rFonts w:cs="Times New Roman"/>
          <w:szCs w:val="24"/>
        </w:rPr>
        <w:t>licza się</w:t>
      </w:r>
      <w:r w:rsidR="00D00CA0" w:rsidRPr="00816E15">
        <w:rPr>
          <w:rFonts w:cs="Times New Roman"/>
          <w:szCs w:val="24"/>
        </w:rPr>
        <w:t xml:space="preserve"> środki z BFG</w:t>
      </w:r>
      <w:r w:rsidR="00F814DD" w:rsidRPr="00816E15">
        <w:rPr>
          <w:rFonts w:cs="Times New Roman"/>
          <w:szCs w:val="24"/>
        </w:rPr>
        <w:t xml:space="preserve">. </w:t>
      </w:r>
      <w:r w:rsidR="00D00CA0" w:rsidRPr="00816E15">
        <w:rPr>
          <w:rFonts w:cs="Times New Roman"/>
          <w:szCs w:val="24"/>
        </w:rPr>
        <w:t>W związku z tym, że i</w:t>
      </w:r>
      <w:r w:rsidR="00D00CA0" w:rsidRPr="00816E15">
        <w:rPr>
          <w:szCs w:val="24"/>
        </w:rPr>
        <w:t xml:space="preserve">nteresariusze kas nie uczestniczą w ustaleniach dotyczących umorzeń, </w:t>
      </w:r>
      <w:r w:rsidR="00684D58" w:rsidRPr="00816E15">
        <w:rPr>
          <w:szCs w:val="24"/>
        </w:rPr>
        <w:t xml:space="preserve">jednak </w:t>
      </w:r>
      <w:r w:rsidR="00D00CA0" w:rsidRPr="00816E15">
        <w:rPr>
          <w:szCs w:val="24"/>
        </w:rPr>
        <w:t>w ramach projektowanych przepisów nie uniemożliwia</w:t>
      </w:r>
      <w:r w:rsidR="00684D58" w:rsidRPr="00816E15">
        <w:rPr>
          <w:szCs w:val="24"/>
        </w:rPr>
        <w:t xml:space="preserve"> się </w:t>
      </w:r>
      <w:r w:rsidR="00D00CA0" w:rsidRPr="00816E15">
        <w:rPr>
          <w:szCs w:val="24"/>
        </w:rPr>
        <w:t xml:space="preserve">ani nie ogranicza im się </w:t>
      </w:r>
      <w:r w:rsidR="00720FAD" w:rsidRPr="00816E15">
        <w:rPr>
          <w:szCs w:val="24"/>
        </w:rPr>
        <w:t>dochodzenia roszczeń na podstawie przepisów prawa cywilnego</w:t>
      </w:r>
      <w:r w:rsidR="007B036E" w:rsidRPr="00816E15">
        <w:rPr>
          <w:szCs w:val="24"/>
        </w:rPr>
        <w:t xml:space="preserve">. </w:t>
      </w:r>
      <w:r w:rsidR="00BC3002" w:rsidRPr="00816E15">
        <w:rPr>
          <w:rFonts w:cs="EUAlbertina"/>
          <w:color w:val="000000"/>
          <w:szCs w:val="24"/>
        </w:rPr>
        <w:t>D</w:t>
      </w:r>
      <w:r w:rsidR="006B39EF" w:rsidRPr="00816E15">
        <w:rPr>
          <w:szCs w:val="24"/>
        </w:rPr>
        <w:t xml:space="preserve">otychczasowa praktyka decyzyjna Komisji Europejskiej w zakresie notyfikacji pomocy publicznej dla podmiotów z sektora SKOK pokazuje, że reguły przewidziane w komunikacie bankowym mają zastosowanie także do wsparcia udzielanego przez BFG w ramach restrukturyzacji kas. </w:t>
      </w:r>
      <w:r w:rsidR="00E20DD9" w:rsidRPr="00816E15">
        <w:rPr>
          <w:szCs w:val="24"/>
        </w:rPr>
        <w:t>Jednocześnie w</w:t>
      </w:r>
      <w:r w:rsidR="005376FA" w:rsidRPr="00816E15">
        <w:rPr>
          <w:szCs w:val="24"/>
        </w:rPr>
        <w:t xml:space="preserve"> </w:t>
      </w:r>
      <w:r w:rsidR="006B39EF" w:rsidRPr="00816E15">
        <w:rPr>
          <w:szCs w:val="24"/>
        </w:rPr>
        <w:t xml:space="preserve">obowiązującym stanie prawnym brak jest przepisów zapewniających, że </w:t>
      </w:r>
      <w:r w:rsidR="005376FA" w:rsidRPr="00816E15">
        <w:rPr>
          <w:szCs w:val="24"/>
        </w:rPr>
        <w:t>wynikające z komunikatu bankowego</w:t>
      </w:r>
      <w:r w:rsidR="00BC3002" w:rsidRPr="00816E15">
        <w:rPr>
          <w:szCs w:val="24"/>
        </w:rPr>
        <w:t xml:space="preserve"> wymogi</w:t>
      </w:r>
      <w:r w:rsidR="006B39EF" w:rsidRPr="00816E15">
        <w:rPr>
          <w:szCs w:val="24"/>
        </w:rPr>
        <w:t xml:space="preserve"> dotyczące podziału obciążenia </w:t>
      </w:r>
      <w:r w:rsidR="00BC3002" w:rsidRPr="00816E15">
        <w:rPr>
          <w:szCs w:val="24"/>
        </w:rPr>
        <w:t>mają zastosowanie</w:t>
      </w:r>
      <w:r w:rsidR="006B39EF" w:rsidRPr="00816E15">
        <w:rPr>
          <w:szCs w:val="24"/>
        </w:rPr>
        <w:t>, co może</w:t>
      </w:r>
      <w:r w:rsidR="00BC3002" w:rsidRPr="00816E15">
        <w:rPr>
          <w:szCs w:val="24"/>
        </w:rPr>
        <w:t xml:space="preserve"> kreować niepewność</w:t>
      </w:r>
      <w:r w:rsidR="00E20DD9" w:rsidRPr="00816E15">
        <w:rPr>
          <w:szCs w:val="24"/>
        </w:rPr>
        <w:t>. Z tego względu</w:t>
      </w:r>
      <w:r w:rsidR="00BC3002" w:rsidRPr="00816E15">
        <w:rPr>
          <w:szCs w:val="24"/>
        </w:rPr>
        <w:t xml:space="preserve"> dostrzega się</w:t>
      </w:r>
      <w:r w:rsidR="006B39EF" w:rsidRPr="00816E15">
        <w:rPr>
          <w:szCs w:val="24"/>
        </w:rPr>
        <w:t xml:space="preserve"> potrzebę umocowania możliwości podejmowania tego rodzaju działań w prawie</w:t>
      </w:r>
      <w:r w:rsidR="00BC3002" w:rsidRPr="00816E15">
        <w:rPr>
          <w:szCs w:val="24"/>
        </w:rPr>
        <w:t>.</w:t>
      </w:r>
      <w:r w:rsidR="00816E15">
        <w:rPr>
          <w:szCs w:val="24"/>
        </w:rPr>
        <w:t xml:space="preserve"> </w:t>
      </w:r>
      <w:r w:rsidR="00D1334A" w:rsidRPr="00816E15">
        <w:rPr>
          <w:szCs w:val="24"/>
        </w:rPr>
        <w:t xml:space="preserve">W tym celu </w:t>
      </w:r>
      <w:r w:rsidRPr="00816E15">
        <w:rPr>
          <w:szCs w:val="24"/>
        </w:rPr>
        <w:t>w art. 268 dotychczasową treść oznacza się jako ust</w:t>
      </w:r>
      <w:r w:rsidR="004D3C4D" w:rsidRPr="00816E15">
        <w:rPr>
          <w:szCs w:val="24"/>
        </w:rPr>
        <w:t xml:space="preserve">. </w:t>
      </w:r>
      <w:r w:rsidRPr="00816E15">
        <w:rPr>
          <w:szCs w:val="24"/>
        </w:rPr>
        <w:t>1 i dodaje się szereg kolejnych przepisów</w:t>
      </w:r>
      <w:r w:rsidR="00E20DD9" w:rsidRPr="00816E15">
        <w:rPr>
          <w:szCs w:val="24"/>
        </w:rPr>
        <w:t xml:space="preserve">, które </w:t>
      </w:r>
      <w:r w:rsidR="005376FA" w:rsidRPr="00816E15">
        <w:rPr>
          <w:szCs w:val="24"/>
        </w:rPr>
        <w:t xml:space="preserve">mają zapewnić, że </w:t>
      </w:r>
      <w:r w:rsidR="00E20DD9" w:rsidRPr="00816E15">
        <w:rPr>
          <w:szCs w:val="24"/>
        </w:rPr>
        <w:t xml:space="preserve">zgodnie z zasadami komunikatu bankowego </w:t>
      </w:r>
      <w:r w:rsidR="005376FA" w:rsidRPr="00816E15">
        <w:rPr>
          <w:szCs w:val="24"/>
        </w:rPr>
        <w:t>beneficjent pomocy (tj. kasa, jej udziałowcy oraz wierzyciele podporządkowani)</w:t>
      </w:r>
      <w:r w:rsidR="00D1334A" w:rsidRPr="00816E15">
        <w:rPr>
          <w:szCs w:val="24"/>
        </w:rPr>
        <w:t xml:space="preserve">, dla </w:t>
      </w:r>
      <w:r w:rsidR="00E20DD9" w:rsidRPr="00816E15">
        <w:rPr>
          <w:szCs w:val="24"/>
        </w:rPr>
        <w:t>ograniczenia</w:t>
      </w:r>
      <w:r w:rsidR="00D1334A" w:rsidRPr="00816E15">
        <w:rPr>
          <w:szCs w:val="24"/>
        </w:rPr>
        <w:t xml:space="preserve"> </w:t>
      </w:r>
      <w:r w:rsidR="009356D9" w:rsidRPr="00816E15">
        <w:rPr>
          <w:szCs w:val="24"/>
        </w:rPr>
        <w:t xml:space="preserve">angażowania </w:t>
      </w:r>
      <w:r w:rsidR="00D1334A" w:rsidRPr="00816E15">
        <w:rPr>
          <w:szCs w:val="24"/>
        </w:rPr>
        <w:t>pomocy publicznej do niezbędnego minimum,</w:t>
      </w:r>
      <w:r w:rsidR="005376FA" w:rsidRPr="00816E15">
        <w:rPr>
          <w:szCs w:val="24"/>
        </w:rPr>
        <w:t xml:space="preserve"> w jak największym stopniu będzie przyczyniał się do pokrywania niedoboru kapitału w kasie, a w przypadku konieczności pokrycia strat – w pełnym zakresie.</w:t>
      </w:r>
      <w:r w:rsidR="009356D9" w:rsidRPr="00816E15">
        <w:rPr>
          <w:szCs w:val="24"/>
        </w:rPr>
        <w:t xml:space="preserve"> </w:t>
      </w:r>
    </w:p>
    <w:p w14:paraId="38941C6F" w14:textId="58F869EC" w:rsidR="005376FA" w:rsidRPr="00816E15" w:rsidRDefault="00E652BD" w:rsidP="00CF5AAF">
      <w:pPr>
        <w:spacing w:after="160" w:line="360" w:lineRule="auto"/>
        <w:jc w:val="both"/>
        <w:rPr>
          <w:szCs w:val="24"/>
        </w:rPr>
      </w:pPr>
      <w:r w:rsidRPr="00816E15">
        <w:rPr>
          <w:szCs w:val="24"/>
        </w:rPr>
        <w:t xml:space="preserve">W projektowanych przepisach art. 268 wskazuje się zasady dotyczące ustalania podziału obciążenia </w:t>
      </w:r>
      <w:r w:rsidR="00086C97">
        <w:rPr>
          <w:szCs w:val="24"/>
        </w:rPr>
        <w:t>przez umorzenie</w:t>
      </w:r>
      <w:r w:rsidR="00316EC4" w:rsidRPr="00816E15">
        <w:rPr>
          <w:szCs w:val="24"/>
        </w:rPr>
        <w:t xml:space="preserve"> </w:t>
      </w:r>
      <w:r w:rsidRPr="00816E15">
        <w:rPr>
          <w:szCs w:val="24"/>
        </w:rPr>
        <w:t xml:space="preserve">odnoszące się do najistotniejszych kwestii, takich jak </w:t>
      </w:r>
      <w:r w:rsidR="00316EC4" w:rsidRPr="00816E15">
        <w:rPr>
          <w:szCs w:val="24"/>
        </w:rPr>
        <w:t>przedmiot umorzenia, wielkość umorzenia, kolejność umarzania, termin umorzenia, podmiot przesądzający o wartości i zakresie umorzenia</w:t>
      </w:r>
      <w:r w:rsidR="00E3042D" w:rsidRPr="00816E15">
        <w:rPr>
          <w:szCs w:val="24"/>
        </w:rPr>
        <w:t>.</w:t>
      </w:r>
    </w:p>
    <w:p w14:paraId="17DBD641" w14:textId="11DD059B" w:rsidR="00F0767B" w:rsidRPr="00C35D81" w:rsidRDefault="00E3042D" w:rsidP="00C35D81">
      <w:pPr>
        <w:spacing w:after="160" w:line="360" w:lineRule="auto"/>
        <w:jc w:val="both"/>
        <w:rPr>
          <w:rFonts w:cs="Times New Roman"/>
          <w:color w:val="000000" w:themeColor="text1"/>
          <w:szCs w:val="24"/>
        </w:rPr>
      </w:pPr>
      <w:r w:rsidRPr="00C35D81">
        <w:rPr>
          <w:szCs w:val="24"/>
        </w:rPr>
        <w:t>W</w:t>
      </w:r>
      <w:r w:rsidR="00A80F04" w:rsidRPr="00C35D81">
        <w:rPr>
          <w:szCs w:val="24"/>
        </w:rPr>
        <w:t xml:space="preserve"> </w:t>
      </w:r>
      <w:r w:rsidR="00F0767B" w:rsidRPr="00C35D81">
        <w:rPr>
          <w:szCs w:val="24"/>
        </w:rPr>
        <w:t xml:space="preserve">art. 268 ust. 2 </w:t>
      </w:r>
      <w:r w:rsidR="009356D9" w:rsidRPr="00C35D81">
        <w:rPr>
          <w:szCs w:val="24"/>
        </w:rPr>
        <w:t xml:space="preserve">wskazuje się do jakiej wysokości </w:t>
      </w:r>
      <w:r w:rsidR="00A80F04" w:rsidRPr="00C35D81">
        <w:rPr>
          <w:szCs w:val="24"/>
        </w:rPr>
        <w:t xml:space="preserve">(,,do wysokości strat”) </w:t>
      </w:r>
      <w:r w:rsidR="009356D9" w:rsidRPr="00C35D81">
        <w:rPr>
          <w:szCs w:val="24"/>
        </w:rPr>
        <w:t xml:space="preserve">ulegają umorzeniu instrumenty kapitałowe </w:t>
      </w:r>
      <w:r w:rsidRPr="00C35D81">
        <w:rPr>
          <w:szCs w:val="24"/>
        </w:rPr>
        <w:t>(</w:t>
      </w:r>
      <w:r w:rsidR="00707DDE" w:rsidRPr="00C35D81">
        <w:rPr>
          <w:szCs w:val="24"/>
        </w:rPr>
        <w:t xml:space="preserve">np. </w:t>
      </w:r>
      <w:r w:rsidRPr="00C35D81">
        <w:rPr>
          <w:szCs w:val="24"/>
        </w:rPr>
        <w:t xml:space="preserve">fundusz udziałowy i zasobowy) </w:t>
      </w:r>
      <w:r w:rsidR="009356D9" w:rsidRPr="00C35D81">
        <w:rPr>
          <w:szCs w:val="24"/>
        </w:rPr>
        <w:t>oraz zobowiązania podporządkowane</w:t>
      </w:r>
      <w:r w:rsidRPr="00C35D81">
        <w:rPr>
          <w:szCs w:val="24"/>
        </w:rPr>
        <w:t xml:space="preserve"> </w:t>
      </w:r>
      <w:r w:rsidRPr="00C35D81">
        <w:rPr>
          <w:rFonts w:cs="Times New Roman"/>
          <w:szCs w:val="24"/>
        </w:rPr>
        <w:t>(fundusz stabilizacyjny, inne źródła, pożyczki Funduszu)</w:t>
      </w:r>
      <w:r w:rsidR="00280324" w:rsidRPr="00C35D81">
        <w:rPr>
          <w:szCs w:val="24"/>
        </w:rPr>
        <w:t xml:space="preserve"> kasy</w:t>
      </w:r>
      <w:r w:rsidR="00280324" w:rsidRPr="00C35D81">
        <w:rPr>
          <w:szCs w:val="24"/>
        </w:rPr>
        <w:noBreakHyphen/>
      </w:r>
      <w:r w:rsidR="009356D9" w:rsidRPr="00C35D81">
        <w:rPr>
          <w:szCs w:val="24"/>
        </w:rPr>
        <w:t xml:space="preserve">beneficjenta, w odniesieniu do której angażowane są środki finansowe BFG. W przepisie tym odzwierciedla się zasadę wynikającą z komunikatu bankowego stanowiącą o </w:t>
      </w:r>
      <w:r w:rsidR="004E2150" w:rsidRPr="00C35D81">
        <w:rPr>
          <w:szCs w:val="24"/>
        </w:rPr>
        <w:t>obowiązku pełnego wkładu w pokrywanie strat</w:t>
      </w:r>
      <w:r w:rsidRPr="00C35D81">
        <w:rPr>
          <w:szCs w:val="24"/>
        </w:rPr>
        <w:t>.</w:t>
      </w:r>
      <w:r w:rsidR="00C9627C" w:rsidRPr="00C35D81">
        <w:rPr>
          <w:szCs w:val="24"/>
        </w:rPr>
        <w:t xml:space="preserve"> </w:t>
      </w:r>
      <w:r w:rsidRPr="00C35D81">
        <w:rPr>
          <w:rFonts w:cs="Times New Roman"/>
          <w:color w:val="000000"/>
          <w:szCs w:val="24"/>
        </w:rPr>
        <w:t>W przepisie dookreślony został termin umorzenia (termin strat), który zostanie jednostronnie określony w decyzji Funduszu</w:t>
      </w:r>
      <w:r w:rsidRPr="00C35D81">
        <w:rPr>
          <w:szCs w:val="24"/>
        </w:rPr>
        <w:t xml:space="preserve"> na dzień przejęcia kasy albo dzień nabycia przedsiębiorstwa tej kasy w likwidacji, jego zorganizowanej części lub wybranych praw majątkowych niepokrytych dotychczas przez fundusze własne. Zakres umożliwia restrukturyzację kasy w różnej kondycji finansowej.</w:t>
      </w:r>
    </w:p>
    <w:p w14:paraId="36A7A5CA" w14:textId="3BEFFE9C" w:rsidR="005766FF" w:rsidRPr="00C35D81" w:rsidRDefault="00E3042D" w:rsidP="00C35D81">
      <w:pPr>
        <w:spacing w:after="160" w:line="360" w:lineRule="auto"/>
        <w:jc w:val="both"/>
        <w:rPr>
          <w:szCs w:val="24"/>
        </w:rPr>
      </w:pPr>
      <w:r w:rsidRPr="00C35D81">
        <w:rPr>
          <w:rFonts w:cs="Times New Roman"/>
          <w:color w:val="000000" w:themeColor="text1"/>
          <w:szCs w:val="24"/>
        </w:rPr>
        <w:t>W</w:t>
      </w:r>
      <w:r w:rsidR="00A80F04" w:rsidRPr="00C35D81">
        <w:rPr>
          <w:rFonts w:cs="Times New Roman"/>
          <w:color w:val="000000" w:themeColor="text1"/>
          <w:szCs w:val="24"/>
        </w:rPr>
        <w:t xml:space="preserve"> </w:t>
      </w:r>
      <w:r w:rsidR="005766FF" w:rsidRPr="00C35D81">
        <w:rPr>
          <w:rFonts w:cs="Times New Roman"/>
          <w:color w:val="000000" w:themeColor="text1"/>
          <w:szCs w:val="24"/>
        </w:rPr>
        <w:t xml:space="preserve">art. 268 ust. </w:t>
      </w:r>
      <w:r w:rsidR="004E2150" w:rsidRPr="00C35D81">
        <w:rPr>
          <w:rFonts w:cs="Times New Roman"/>
          <w:color w:val="000000" w:themeColor="text1"/>
          <w:szCs w:val="24"/>
        </w:rPr>
        <w:t>3</w:t>
      </w:r>
      <w:r w:rsidR="00816E15" w:rsidRPr="00C35D81">
        <w:rPr>
          <w:rFonts w:cs="Times New Roman"/>
          <w:color w:val="000000" w:themeColor="text1"/>
          <w:szCs w:val="24"/>
        </w:rPr>
        <w:t xml:space="preserve"> </w:t>
      </w:r>
      <w:r w:rsidR="004E2150" w:rsidRPr="00C35D81">
        <w:rPr>
          <w:szCs w:val="24"/>
        </w:rPr>
        <w:t xml:space="preserve">ustanawia </w:t>
      </w:r>
      <w:r w:rsidR="00A80F04" w:rsidRPr="00C35D81">
        <w:rPr>
          <w:szCs w:val="24"/>
        </w:rPr>
        <w:t xml:space="preserve">się </w:t>
      </w:r>
      <w:r w:rsidR="004E2150" w:rsidRPr="00C35D81">
        <w:rPr>
          <w:szCs w:val="24"/>
        </w:rPr>
        <w:t>generalną zasadę</w:t>
      </w:r>
      <w:r w:rsidR="005766FF" w:rsidRPr="00C35D81">
        <w:rPr>
          <w:szCs w:val="24"/>
        </w:rPr>
        <w:t xml:space="preserve">, że </w:t>
      </w:r>
      <w:r w:rsidR="005766FF" w:rsidRPr="00C35D81">
        <w:rPr>
          <w:rFonts w:cs="Times New Roman"/>
          <w:color w:val="000000" w:themeColor="text1"/>
          <w:szCs w:val="24"/>
        </w:rPr>
        <w:t xml:space="preserve">umorzenie będzie następować w takim zakresie, </w:t>
      </w:r>
      <w:r w:rsidR="004E2150" w:rsidRPr="00C35D81">
        <w:rPr>
          <w:rFonts w:cs="Times New Roman"/>
          <w:color w:val="000000" w:themeColor="text1"/>
          <w:szCs w:val="24"/>
        </w:rPr>
        <w:t xml:space="preserve">w jakim jest to niezbędne, aby zapewnić </w:t>
      </w:r>
      <w:r w:rsidR="005766FF" w:rsidRPr="00C35D81">
        <w:rPr>
          <w:rFonts w:cs="Times New Roman"/>
          <w:color w:val="000000" w:themeColor="text1"/>
          <w:szCs w:val="24"/>
        </w:rPr>
        <w:t>zgodn</w:t>
      </w:r>
      <w:r w:rsidR="004E2150" w:rsidRPr="00C35D81">
        <w:rPr>
          <w:rFonts w:cs="Times New Roman"/>
          <w:color w:val="000000" w:themeColor="text1"/>
          <w:szCs w:val="24"/>
        </w:rPr>
        <w:t>ość</w:t>
      </w:r>
      <w:r w:rsidR="005766FF" w:rsidRPr="00C35D81">
        <w:rPr>
          <w:rFonts w:cs="Times New Roman"/>
          <w:color w:val="000000" w:themeColor="text1"/>
          <w:szCs w:val="24"/>
        </w:rPr>
        <w:t xml:space="preserve"> warunk</w:t>
      </w:r>
      <w:r w:rsidR="004E2150" w:rsidRPr="00C35D81">
        <w:rPr>
          <w:rFonts w:cs="Times New Roman"/>
          <w:color w:val="000000" w:themeColor="text1"/>
          <w:szCs w:val="24"/>
        </w:rPr>
        <w:t>ów</w:t>
      </w:r>
      <w:r w:rsidR="005766FF" w:rsidRPr="00C35D81">
        <w:rPr>
          <w:rFonts w:cs="Times New Roman"/>
          <w:color w:val="000000" w:themeColor="text1"/>
          <w:szCs w:val="24"/>
        </w:rPr>
        <w:t xml:space="preserve"> udzielenia wsparcia z unijnymi zasadami pomocy państwa</w:t>
      </w:r>
      <w:r w:rsidR="004E2150" w:rsidRPr="00C35D81">
        <w:rPr>
          <w:rFonts w:cs="Times New Roman"/>
          <w:color w:val="000000" w:themeColor="text1"/>
          <w:szCs w:val="24"/>
        </w:rPr>
        <w:t xml:space="preserve">. </w:t>
      </w:r>
      <w:r w:rsidR="00EE5AFD" w:rsidRPr="00C35D81">
        <w:rPr>
          <w:rFonts w:cs="Times New Roman"/>
          <w:color w:val="000000" w:themeColor="text1"/>
          <w:szCs w:val="24"/>
        </w:rPr>
        <w:t xml:space="preserve">W </w:t>
      </w:r>
      <w:r w:rsidR="00A80F04" w:rsidRPr="00C35D81">
        <w:rPr>
          <w:rFonts w:cs="Times New Roman"/>
          <w:color w:val="000000" w:themeColor="text1"/>
          <w:szCs w:val="24"/>
        </w:rPr>
        <w:t>komunikacie bankowym (zwłaszcza pkt 41</w:t>
      </w:r>
      <w:r w:rsidR="00280324" w:rsidRPr="00C35D81">
        <w:rPr>
          <w:rFonts w:cs="Times New Roman"/>
          <w:color w:val="000000" w:themeColor="text1"/>
          <w:szCs w:val="24"/>
        </w:rPr>
        <w:t>–</w:t>
      </w:r>
      <w:r w:rsidR="00A80F04" w:rsidRPr="00C35D81">
        <w:rPr>
          <w:rFonts w:cs="Times New Roman"/>
          <w:color w:val="000000" w:themeColor="text1"/>
          <w:szCs w:val="24"/>
        </w:rPr>
        <w:t>44) wskazuje się</w:t>
      </w:r>
      <w:r w:rsidR="00086C97">
        <w:rPr>
          <w:rFonts w:cs="Times New Roman"/>
          <w:color w:val="000000" w:themeColor="text1"/>
          <w:szCs w:val="24"/>
        </w:rPr>
        <w:t>,</w:t>
      </w:r>
      <w:r w:rsidR="004E2150" w:rsidRPr="00C35D81">
        <w:rPr>
          <w:rFonts w:cs="Times New Roman"/>
          <w:color w:val="000000" w:themeColor="text1"/>
          <w:szCs w:val="24"/>
        </w:rPr>
        <w:t xml:space="preserve"> </w:t>
      </w:r>
      <w:r w:rsidR="007552F3" w:rsidRPr="00C35D81">
        <w:rPr>
          <w:rFonts w:cs="Times New Roman"/>
          <w:color w:val="000000" w:themeColor="text1"/>
          <w:szCs w:val="24"/>
        </w:rPr>
        <w:t xml:space="preserve">w jakim celu </w:t>
      </w:r>
      <w:r w:rsidR="00EE5AFD" w:rsidRPr="00C35D81">
        <w:rPr>
          <w:rFonts w:cs="Times New Roman"/>
          <w:color w:val="000000" w:themeColor="text1"/>
          <w:szCs w:val="24"/>
        </w:rPr>
        <w:t xml:space="preserve">stosowany </w:t>
      </w:r>
      <w:r w:rsidR="007552F3" w:rsidRPr="00C35D81">
        <w:rPr>
          <w:rFonts w:cs="Times New Roman"/>
          <w:color w:val="000000" w:themeColor="text1"/>
          <w:szCs w:val="24"/>
        </w:rPr>
        <w:t xml:space="preserve">jest </w:t>
      </w:r>
      <w:r w:rsidR="00EE5AFD" w:rsidRPr="00C35D81">
        <w:rPr>
          <w:rFonts w:cs="Times New Roman"/>
          <w:color w:val="000000" w:themeColor="text1"/>
          <w:szCs w:val="24"/>
        </w:rPr>
        <w:t xml:space="preserve">podział obciążeń </w:t>
      </w:r>
      <w:r w:rsidR="007552F3" w:rsidRPr="00C35D81">
        <w:rPr>
          <w:rFonts w:cs="Times New Roman"/>
          <w:color w:val="000000" w:themeColor="text1"/>
          <w:szCs w:val="24"/>
        </w:rPr>
        <w:t>(</w:t>
      </w:r>
      <w:r w:rsidR="00EE5AFD" w:rsidRPr="00C35D81">
        <w:rPr>
          <w:rFonts w:cs="Times New Roman"/>
          <w:color w:val="000000" w:themeColor="text1"/>
          <w:szCs w:val="24"/>
        </w:rPr>
        <w:t xml:space="preserve">m.in. </w:t>
      </w:r>
      <w:r w:rsidR="007552F3" w:rsidRPr="00C35D81">
        <w:rPr>
          <w:rFonts w:cs="Times New Roman"/>
          <w:color w:val="000000" w:themeColor="text1"/>
          <w:szCs w:val="24"/>
        </w:rPr>
        <w:t>ograniczenie pokusy nadużycia</w:t>
      </w:r>
      <w:r w:rsidR="00EE5AFD" w:rsidRPr="00C35D81">
        <w:rPr>
          <w:rFonts w:cs="Times New Roman"/>
          <w:color w:val="000000" w:themeColor="text1"/>
          <w:szCs w:val="24"/>
        </w:rPr>
        <w:t>, minimalizowanie</w:t>
      </w:r>
      <w:r w:rsidR="007552F3" w:rsidRPr="00C35D81">
        <w:rPr>
          <w:rFonts w:cs="Times New Roman"/>
          <w:color w:val="000000" w:themeColor="text1"/>
          <w:szCs w:val="24"/>
        </w:rPr>
        <w:t xml:space="preserve"> wykorzystania środków publicznych</w:t>
      </w:r>
      <w:r w:rsidR="009A523C" w:rsidRPr="00C35D81">
        <w:rPr>
          <w:rFonts w:cs="Times New Roman"/>
          <w:color w:val="000000" w:themeColor="text1"/>
          <w:szCs w:val="24"/>
        </w:rPr>
        <w:t xml:space="preserve"> na pomoc</w:t>
      </w:r>
      <w:r w:rsidR="007552F3" w:rsidRPr="00C35D81">
        <w:rPr>
          <w:rFonts w:cs="Times New Roman"/>
          <w:color w:val="000000" w:themeColor="text1"/>
          <w:szCs w:val="24"/>
        </w:rPr>
        <w:t xml:space="preserve">), </w:t>
      </w:r>
      <w:r w:rsidR="00A80F04" w:rsidRPr="00C35D81">
        <w:rPr>
          <w:rFonts w:cs="Times New Roman"/>
          <w:color w:val="000000" w:themeColor="text1"/>
          <w:szCs w:val="24"/>
        </w:rPr>
        <w:t xml:space="preserve">instrumenty </w:t>
      </w:r>
      <w:r w:rsidR="004E2150" w:rsidRPr="00C35D81">
        <w:rPr>
          <w:rFonts w:cs="Times New Roman"/>
          <w:color w:val="000000" w:themeColor="text1"/>
          <w:szCs w:val="24"/>
        </w:rPr>
        <w:t>jakich kategorii podmiotów mają być umarzan</w:t>
      </w:r>
      <w:r w:rsidR="00A80F04" w:rsidRPr="00C35D81">
        <w:rPr>
          <w:rFonts w:cs="Times New Roman"/>
          <w:color w:val="000000" w:themeColor="text1"/>
          <w:szCs w:val="24"/>
        </w:rPr>
        <w:t>e oraz</w:t>
      </w:r>
      <w:r w:rsidR="004E2150" w:rsidRPr="00C35D81">
        <w:rPr>
          <w:rFonts w:cs="Times New Roman"/>
          <w:color w:val="000000" w:themeColor="text1"/>
          <w:szCs w:val="24"/>
        </w:rPr>
        <w:t xml:space="preserve"> w jakim stopniu</w:t>
      </w:r>
      <w:r w:rsidR="00A80F04" w:rsidRPr="00C35D81">
        <w:rPr>
          <w:rFonts w:cs="Times New Roman"/>
          <w:color w:val="000000" w:themeColor="text1"/>
          <w:szCs w:val="24"/>
        </w:rPr>
        <w:t xml:space="preserve"> </w:t>
      </w:r>
      <w:r w:rsidR="00EE5AFD" w:rsidRPr="00C35D81">
        <w:rPr>
          <w:rFonts w:cs="Times New Roman"/>
          <w:color w:val="000000" w:themeColor="text1"/>
          <w:szCs w:val="24"/>
        </w:rPr>
        <w:t>w ramach tego poddziału</w:t>
      </w:r>
      <w:r w:rsidR="00B972CE" w:rsidRPr="00C35D81">
        <w:rPr>
          <w:rFonts w:cs="Times New Roman"/>
          <w:color w:val="000000" w:themeColor="text1"/>
          <w:szCs w:val="24"/>
        </w:rPr>
        <w:t>, tj. do jakiej wysokości, aby zapewnione było wymagane pokrycie</w:t>
      </w:r>
      <w:r w:rsidR="00A80F04" w:rsidRPr="00C35D81">
        <w:rPr>
          <w:rFonts w:cs="Times New Roman"/>
          <w:color w:val="000000" w:themeColor="text1"/>
          <w:szCs w:val="24"/>
        </w:rPr>
        <w:t xml:space="preserve"> niedoboru kapitału/</w:t>
      </w:r>
      <w:r w:rsidR="00124AA2" w:rsidRPr="00C35D81">
        <w:rPr>
          <w:rFonts w:cs="Times New Roman"/>
          <w:color w:val="000000" w:themeColor="text1"/>
          <w:szCs w:val="24"/>
        </w:rPr>
        <w:t xml:space="preserve">pokrycie </w:t>
      </w:r>
      <w:r w:rsidR="00B972CE" w:rsidRPr="00C35D81">
        <w:rPr>
          <w:rFonts w:cs="Times New Roman"/>
          <w:color w:val="000000" w:themeColor="text1"/>
          <w:szCs w:val="24"/>
        </w:rPr>
        <w:t>strat</w:t>
      </w:r>
      <w:r w:rsidR="00364A25" w:rsidRPr="00C35D81">
        <w:rPr>
          <w:rFonts w:cs="Times New Roman"/>
          <w:color w:val="000000" w:themeColor="text1"/>
          <w:szCs w:val="24"/>
        </w:rPr>
        <w:t xml:space="preserve">. Elementy te </w:t>
      </w:r>
      <w:r w:rsidR="00B972CE" w:rsidRPr="00C35D81">
        <w:rPr>
          <w:rFonts w:cs="Times New Roman"/>
          <w:color w:val="000000" w:themeColor="text1"/>
          <w:szCs w:val="24"/>
        </w:rPr>
        <w:t>przekłada</w:t>
      </w:r>
      <w:r w:rsidR="00364A25" w:rsidRPr="00C35D81">
        <w:rPr>
          <w:rFonts w:cs="Times New Roman"/>
          <w:color w:val="000000" w:themeColor="text1"/>
          <w:szCs w:val="24"/>
        </w:rPr>
        <w:t>ją</w:t>
      </w:r>
      <w:r w:rsidR="00265E36" w:rsidRPr="00C35D81">
        <w:rPr>
          <w:rFonts w:cs="Times New Roman"/>
          <w:color w:val="000000" w:themeColor="text1"/>
          <w:szCs w:val="24"/>
        </w:rPr>
        <w:t xml:space="preserve"> się na możliwość </w:t>
      </w:r>
      <w:r w:rsidR="00685585" w:rsidRPr="00C35D81">
        <w:rPr>
          <w:rFonts w:cs="Times New Roman"/>
          <w:color w:val="000000" w:themeColor="text1"/>
          <w:szCs w:val="24"/>
        </w:rPr>
        <w:t xml:space="preserve">uznania pomocy </w:t>
      </w:r>
      <w:r w:rsidR="00364A25" w:rsidRPr="00C35D81">
        <w:rPr>
          <w:rFonts w:cs="Times New Roman"/>
          <w:color w:val="000000" w:themeColor="text1"/>
          <w:szCs w:val="24"/>
        </w:rPr>
        <w:t xml:space="preserve">publicznej </w:t>
      </w:r>
      <w:r w:rsidR="00685585" w:rsidRPr="00C35D81">
        <w:rPr>
          <w:rFonts w:cs="Times New Roman"/>
          <w:color w:val="000000" w:themeColor="text1"/>
          <w:szCs w:val="24"/>
        </w:rPr>
        <w:t>za zgodną</w:t>
      </w:r>
      <w:r w:rsidR="009A523C" w:rsidRPr="00C35D81">
        <w:rPr>
          <w:rFonts w:cs="Times New Roman"/>
          <w:color w:val="000000" w:themeColor="text1"/>
          <w:szCs w:val="24"/>
        </w:rPr>
        <w:t xml:space="preserve"> z unijnymi zasadami</w:t>
      </w:r>
      <w:r w:rsidR="00A80F04" w:rsidRPr="00C35D81">
        <w:rPr>
          <w:rFonts w:cs="Times New Roman"/>
          <w:color w:val="000000" w:themeColor="text1"/>
          <w:szCs w:val="24"/>
        </w:rPr>
        <w:t xml:space="preserve">. </w:t>
      </w:r>
      <w:r w:rsidR="00364A25" w:rsidRPr="00C35D81">
        <w:rPr>
          <w:rFonts w:cs="Times New Roman"/>
          <w:color w:val="000000" w:themeColor="text1"/>
          <w:szCs w:val="24"/>
        </w:rPr>
        <w:t xml:space="preserve">W związku z tym </w:t>
      </w:r>
      <w:r w:rsidR="00124AA2" w:rsidRPr="00C35D81">
        <w:rPr>
          <w:rFonts w:cs="Times New Roman"/>
          <w:color w:val="000000" w:themeColor="text1"/>
          <w:szCs w:val="24"/>
        </w:rPr>
        <w:t>zakres umorzenia odnosi się do podejmowania działań na podstawie projektowanych przepisów art. 268 regulujących materię umorzenia w taki sposób, aby zapewnić</w:t>
      </w:r>
      <w:r w:rsidR="008D401D" w:rsidRPr="00C35D81">
        <w:rPr>
          <w:rFonts w:cs="Times New Roman"/>
          <w:color w:val="000000" w:themeColor="text1"/>
          <w:szCs w:val="24"/>
        </w:rPr>
        <w:t>, że spełnione</w:t>
      </w:r>
      <w:r w:rsidR="00124AA2" w:rsidRPr="00C35D81">
        <w:rPr>
          <w:rFonts w:cs="Times New Roman"/>
          <w:color w:val="000000" w:themeColor="text1"/>
          <w:szCs w:val="24"/>
        </w:rPr>
        <w:t xml:space="preserve"> </w:t>
      </w:r>
      <w:r w:rsidR="008D401D" w:rsidRPr="00C35D81">
        <w:rPr>
          <w:rFonts w:cs="Times New Roman"/>
          <w:color w:val="000000" w:themeColor="text1"/>
          <w:szCs w:val="24"/>
        </w:rPr>
        <w:t>będą warunki</w:t>
      </w:r>
      <w:r w:rsidR="00124AA2" w:rsidRPr="00C35D81">
        <w:rPr>
          <w:rFonts w:cs="Times New Roman"/>
          <w:color w:val="000000" w:themeColor="text1"/>
          <w:szCs w:val="24"/>
        </w:rPr>
        <w:t xml:space="preserve"> udzielania pomocy publicznej wynikają</w:t>
      </w:r>
      <w:r w:rsidR="008D401D" w:rsidRPr="00C35D81">
        <w:rPr>
          <w:rFonts w:cs="Times New Roman"/>
          <w:color w:val="000000" w:themeColor="text1"/>
          <w:szCs w:val="24"/>
        </w:rPr>
        <w:t>ce</w:t>
      </w:r>
      <w:r w:rsidR="00124AA2" w:rsidRPr="00C35D81">
        <w:rPr>
          <w:rFonts w:cs="Times New Roman"/>
          <w:color w:val="000000" w:themeColor="text1"/>
          <w:szCs w:val="24"/>
        </w:rPr>
        <w:t xml:space="preserve"> z komunikatu bankowego, a tym samym </w:t>
      </w:r>
      <w:r w:rsidR="008D401D" w:rsidRPr="00C35D81">
        <w:rPr>
          <w:rFonts w:cs="Times New Roman"/>
          <w:color w:val="000000" w:themeColor="text1"/>
          <w:szCs w:val="24"/>
        </w:rPr>
        <w:t xml:space="preserve">zapewniona </w:t>
      </w:r>
      <w:r w:rsidR="00124AA2" w:rsidRPr="00C35D81">
        <w:rPr>
          <w:rFonts w:cs="Times New Roman"/>
          <w:color w:val="000000" w:themeColor="text1"/>
          <w:szCs w:val="24"/>
        </w:rPr>
        <w:t xml:space="preserve">zgodność z unijnymi zasadami pomocy publicznej. </w:t>
      </w:r>
      <w:r w:rsidR="00EE5AFD" w:rsidRPr="00C35D81">
        <w:rPr>
          <w:rFonts w:cs="Times New Roman"/>
          <w:color w:val="000000" w:themeColor="text1"/>
          <w:szCs w:val="24"/>
        </w:rPr>
        <w:t>W</w:t>
      </w:r>
      <w:r w:rsidR="003E5D4F" w:rsidRPr="00C35D81">
        <w:rPr>
          <w:rFonts w:cs="Times New Roman"/>
          <w:color w:val="000000" w:themeColor="text1"/>
          <w:szCs w:val="24"/>
        </w:rPr>
        <w:t xml:space="preserve"> kolejnych ustępach doprecyzowuje się </w:t>
      </w:r>
      <w:r w:rsidR="00685585" w:rsidRPr="00C35D81">
        <w:rPr>
          <w:rFonts w:cs="Times New Roman"/>
          <w:color w:val="000000" w:themeColor="text1"/>
          <w:szCs w:val="24"/>
        </w:rPr>
        <w:t xml:space="preserve">też </w:t>
      </w:r>
      <w:r w:rsidR="003E5D4F" w:rsidRPr="00C35D81">
        <w:rPr>
          <w:rFonts w:cs="Times New Roman"/>
          <w:color w:val="000000" w:themeColor="text1"/>
          <w:szCs w:val="24"/>
        </w:rPr>
        <w:t>zasady dotyczące umorzenia</w:t>
      </w:r>
      <w:r w:rsidR="00EE5AFD" w:rsidRPr="00C35D81">
        <w:rPr>
          <w:rFonts w:cs="Times New Roman"/>
          <w:color w:val="000000" w:themeColor="text1"/>
          <w:szCs w:val="24"/>
        </w:rPr>
        <w:t xml:space="preserve">, takie jak </w:t>
      </w:r>
      <w:r w:rsidR="003E5D4F" w:rsidRPr="00C35D81">
        <w:rPr>
          <w:rFonts w:cs="Times New Roman"/>
          <w:color w:val="000000" w:themeColor="text1"/>
          <w:szCs w:val="24"/>
        </w:rPr>
        <w:t>m.in. kolejność</w:t>
      </w:r>
      <w:r w:rsidR="00EE5AFD" w:rsidRPr="00C35D81">
        <w:rPr>
          <w:rFonts w:cs="Times New Roman"/>
          <w:color w:val="000000" w:themeColor="text1"/>
          <w:szCs w:val="24"/>
        </w:rPr>
        <w:t xml:space="preserve"> umarzania</w:t>
      </w:r>
      <w:r w:rsidR="003E5D4F" w:rsidRPr="00C35D81">
        <w:rPr>
          <w:rFonts w:cs="Times New Roman"/>
          <w:color w:val="000000" w:themeColor="text1"/>
          <w:szCs w:val="24"/>
        </w:rPr>
        <w:t xml:space="preserve">, </w:t>
      </w:r>
      <w:r w:rsidR="007552F3" w:rsidRPr="00C35D81">
        <w:rPr>
          <w:rFonts w:cs="Times New Roman"/>
          <w:color w:val="000000" w:themeColor="text1"/>
          <w:szCs w:val="24"/>
        </w:rPr>
        <w:t>możliwość umarzania częściowego,</w:t>
      </w:r>
      <w:r w:rsidR="00EE5AFD" w:rsidRPr="00C35D81">
        <w:rPr>
          <w:rFonts w:cs="Times New Roman"/>
          <w:color w:val="000000" w:themeColor="text1"/>
          <w:szCs w:val="24"/>
        </w:rPr>
        <w:t xml:space="preserve"> jeśli </w:t>
      </w:r>
      <w:r w:rsidR="00124AA2" w:rsidRPr="00C35D81">
        <w:rPr>
          <w:rFonts w:cs="Times New Roman"/>
          <w:color w:val="000000" w:themeColor="text1"/>
          <w:szCs w:val="24"/>
        </w:rPr>
        <w:t xml:space="preserve">całkowite </w:t>
      </w:r>
      <w:r w:rsidR="00C35D81">
        <w:rPr>
          <w:rFonts w:cs="Times New Roman"/>
          <w:color w:val="000000" w:themeColor="text1"/>
          <w:szCs w:val="24"/>
        </w:rPr>
        <w:t>nie jest konieczne.</w:t>
      </w:r>
    </w:p>
    <w:p w14:paraId="57F4DEAE" w14:textId="44BD4AA4" w:rsidR="00F0767B" w:rsidRPr="00C35D81" w:rsidRDefault="00E3042D" w:rsidP="00C35D81">
      <w:pPr>
        <w:spacing w:after="160" w:line="360" w:lineRule="auto"/>
        <w:jc w:val="both"/>
        <w:rPr>
          <w:szCs w:val="24"/>
        </w:rPr>
      </w:pPr>
      <w:r w:rsidRPr="00C35D81">
        <w:rPr>
          <w:szCs w:val="24"/>
        </w:rPr>
        <w:t>W</w:t>
      </w:r>
      <w:r w:rsidR="00B972CE" w:rsidRPr="00C35D81">
        <w:rPr>
          <w:szCs w:val="24"/>
        </w:rPr>
        <w:t xml:space="preserve"> </w:t>
      </w:r>
      <w:r w:rsidR="00F0767B" w:rsidRPr="00C35D81">
        <w:rPr>
          <w:szCs w:val="24"/>
        </w:rPr>
        <w:t xml:space="preserve">art. 268 ust. </w:t>
      </w:r>
      <w:r w:rsidR="00E652BD" w:rsidRPr="00C35D81">
        <w:rPr>
          <w:szCs w:val="24"/>
        </w:rPr>
        <w:t>4</w:t>
      </w:r>
      <w:r w:rsidR="000E08EE" w:rsidRPr="00C35D81">
        <w:rPr>
          <w:szCs w:val="24"/>
        </w:rPr>
        <w:t xml:space="preserve"> określa </w:t>
      </w:r>
      <w:r w:rsidR="00B972CE" w:rsidRPr="00C35D81">
        <w:rPr>
          <w:szCs w:val="24"/>
        </w:rPr>
        <w:t xml:space="preserve">się </w:t>
      </w:r>
      <w:r w:rsidR="000E08EE" w:rsidRPr="00C35D81">
        <w:rPr>
          <w:szCs w:val="24"/>
        </w:rPr>
        <w:t xml:space="preserve">termin umorzenia w przypadku </w:t>
      </w:r>
      <w:r w:rsidR="008C6190" w:rsidRPr="00C35D81">
        <w:rPr>
          <w:szCs w:val="24"/>
        </w:rPr>
        <w:t xml:space="preserve">poszczególnych kategorii pomocy BFG. W przypadku </w:t>
      </w:r>
      <w:r w:rsidR="000E08EE" w:rsidRPr="00C35D81">
        <w:rPr>
          <w:szCs w:val="24"/>
        </w:rPr>
        <w:t>udzielania zwrotnej pomocy finansowej</w:t>
      </w:r>
      <w:r w:rsidR="008C6190" w:rsidRPr="00C35D81">
        <w:rPr>
          <w:szCs w:val="24"/>
        </w:rPr>
        <w:t xml:space="preserve"> lub</w:t>
      </w:r>
      <w:r w:rsidR="000E08EE" w:rsidRPr="00C35D81">
        <w:rPr>
          <w:szCs w:val="24"/>
        </w:rPr>
        <w:t xml:space="preserve"> nabycia wierzytelności kasy</w:t>
      </w:r>
      <w:r w:rsidR="008C6190" w:rsidRPr="00C35D81">
        <w:rPr>
          <w:szCs w:val="24"/>
        </w:rPr>
        <w:t xml:space="preserve"> będzie to dzień określony w decyzji BFG o udzieleniu pomocy</w:t>
      </w:r>
      <w:r w:rsidR="000E08EE" w:rsidRPr="00C35D81">
        <w:rPr>
          <w:szCs w:val="24"/>
        </w:rPr>
        <w:t xml:space="preserve">, </w:t>
      </w:r>
      <w:r w:rsidR="008C6190" w:rsidRPr="00C35D81">
        <w:rPr>
          <w:szCs w:val="24"/>
        </w:rPr>
        <w:t xml:space="preserve">natomiast w przypadku </w:t>
      </w:r>
      <w:r w:rsidR="000E08EE" w:rsidRPr="00C35D81">
        <w:rPr>
          <w:szCs w:val="24"/>
        </w:rPr>
        <w:t>udzieleni</w:t>
      </w:r>
      <w:r w:rsidR="004D3C4D" w:rsidRPr="00C35D81">
        <w:rPr>
          <w:szCs w:val="24"/>
        </w:rPr>
        <w:t>a</w:t>
      </w:r>
      <w:r w:rsidR="000E08EE" w:rsidRPr="00C35D81">
        <w:rPr>
          <w:szCs w:val="24"/>
        </w:rPr>
        <w:t xml:space="preserve"> </w:t>
      </w:r>
      <w:r w:rsidR="008C6190" w:rsidRPr="00C35D81">
        <w:rPr>
          <w:szCs w:val="24"/>
        </w:rPr>
        <w:t xml:space="preserve">przez BFG </w:t>
      </w:r>
      <w:r w:rsidR="000E08EE" w:rsidRPr="00C35D81">
        <w:rPr>
          <w:szCs w:val="24"/>
        </w:rPr>
        <w:t>wsparcia</w:t>
      </w:r>
      <w:r w:rsidR="00C35D81">
        <w:rPr>
          <w:szCs w:val="24"/>
        </w:rPr>
        <w:t xml:space="preserve"> w procesach przejmowania/</w:t>
      </w:r>
      <w:r w:rsidR="008C6190" w:rsidRPr="00C35D81">
        <w:rPr>
          <w:szCs w:val="24"/>
        </w:rPr>
        <w:t>nabywania kas będzie to dzień przejęcia lub nabycia</w:t>
      </w:r>
      <w:r w:rsidRPr="00C35D81">
        <w:rPr>
          <w:szCs w:val="24"/>
        </w:rPr>
        <w:t>.</w:t>
      </w:r>
    </w:p>
    <w:p w14:paraId="01774930" w14:textId="23723154" w:rsidR="00F0767B" w:rsidRPr="00C35D81" w:rsidRDefault="00E3042D" w:rsidP="00C35D81">
      <w:pPr>
        <w:spacing w:after="160" w:line="360" w:lineRule="auto"/>
        <w:jc w:val="both"/>
        <w:rPr>
          <w:szCs w:val="24"/>
        </w:rPr>
      </w:pPr>
      <w:r w:rsidRPr="00C35D81">
        <w:rPr>
          <w:szCs w:val="24"/>
        </w:rPr>
        <w:t>W</w:t>
      </w:r>
      <w:r w:rsidR="008C6190" w:rsidRPr="00C35D81">
        <w:rPr>
          <w:szCs w:val="24"/>
        </w:rPr>
        <w:t xml:space="preserve"> </w:t>
      </w:r>
      <w:r w:rsidR="00F0767B" w:rsidRPr="00C35D81">
        <w:rPr>
          <w:szCs w:val="24"/>
        </w:rPr>
        <w:t xml:space="preserve">art. 268 ust. </w:t>
      </w:r>
      <w:r w:rsidR="00E652BD" w:rsidRPr="00C35D81">
        <w:rPr>
          <w:szCs w:val="24"/>
        </w:rPr>
        <w:t>5</w:t>
      </w:r>
      <w:r w:rsidR="000E08EE" w:rsidRPr="00C35D81">
        <w:rPr>
          <w:szCs w:val="24"/>
        </w:rPr>
        <w:t xml:space="preserve"> </w:t>
      </w:r>
      <w:r w:rsidR="00C42A98" w:rsidRPr="00C35D81">
        <w:rPr>
          <w:szCs w:val="24"/>
        </w:rPr>
        <w:t>ustanawia</w:t>
      </w:r>
      <w:r w:rsidR="00C35D81">
        <w:rPr>
          <w:szCs w:val="24"/>
        </w:rPr>
        <w:t xml:space="preserve"> się</w:t>
      </w:r>
      <w:r w:rsidR="00C42A98" w:rsidRPr="00C35D81">
        <w:rPr>
          <w:szCs w:val="24"/>
        </w:rPr>
        <w:t xml:space="preserve">, </w:t>
      </w:r>
      <w:r w:rsidR="004D3C4D" w:rsidRPr="00C35D81">
        <w:rPr>
          <w:szCs w:val="24"/>
        </w:rPr>
        <w:t xml:space="preserve">tak </w:t>
      </w:r>
      <w:r w:rsidR="00C42A98" w:rsidRPr="00C35D81">
        <w:rPr>
          <w:szCs w:val="24"/>
        </w:rPr>
        <w:t>jak art. 72</w:t>
      </w:r>
      <w:r w:rsidR="004D3C4D" w:rsidRPr="00C35D81">
        <w:rPr>
          <w:szCs w:val="24"/>
        </w:rPr>
        <w:t>,</w:t>
      </w:r>
      <w:r w:rsidR="00816E15" w:rsidRPr="00C35D81">
        <w:rPr>
          <w:szCs w:val="24"/>
        </w:rPr>
        <w:t xml:space="preserve"> </w:t>
      </w:r>
      <w:r w:rsidR="00C42A98" w:rsidRPr="00C35D81">
        <w:rPr>
          <w:szCs w:val="24"/>
        </w:rPr>
        <w:t xml:space="preserve">odwrotną w stosunku do art. 440 ust. 2 ustawy </w:t>
      </w:r>
      <w:r w:rsidR="00E6482A" w:rsidRPr="00C35D81">
        <w:rPr>
          <w:szCs w:val="24"/>
        </w:rPr>
        <w:t xml:space="preserve">z dnia 28 lutego 2003 r. </w:t>
      </w:r>
      <w:r w:rsidR="0048127A" w:rsidRPr="00C35D81">
        <w:rPr>
          <w:szCs w:val="24"/>
        </w:rPr>
        <w:t>–</w:t>
      </w:r>
      <w:r w:rsidR="004D3C4D" w:rsidRPr="00C35D81">
        <w:rPr>
          <w:szCs w:val="24"/>
        </w:rPr>
        <w:t xml:space="preserve"> </w:t>
      </w:r>
      <w:r w:rsidR="00C42A98" w:rsidRPr="00C35D81">
        <w:rPr>
          <w:szCs w:val="24"/>
        </w:rPr>
        <w:t>Prawo upadłościowe</w:t>
      </w:r>
      <w:r w:rsidR="00E6482A" w:rsidRPr="00C35D81">
        <w:rPr>
          <w:szCs w:val="24"/>
        </w:rPr>
        <w:t xml:space="preserve"> (Dz. U. z 2017 r. poz. 2344</w:t>
      </w:r>
      <w:r w:rsidR="00E93499" w:rsidRPr="00C35D81">
        <w:rPr>
          <w:szCs w:val="24"/>
        </w:rPr>
        <w:t>,</w:t>
      </w:r>
      <w:r w:rsidR="00816E15" w:rsidRPr="00C35D81">
        <w:rPr>
          <w:szCs w:val="24"/>
        </w:rPr>
        <w:t xml:space="preserve"> </w:t>
      </w:r>
      <w:r w:rsidR="00E93499" w:rsidRPr="00C35D81">
        <w:rPr>
          <w:szCs w:val="24"/>
        </w:rPr>
        <w:t>z późn. zm.</w:t>
      </w:r>
      <w:r w:rsidR="00E6482A" w:rsidRPr="00C35D81">
        <w:rPr>
          <w:szCs w:val="24"/>
        </w:rPr>
        <w:t>),</w:t>
      </w:r>
      <w:r w:rsidR="00816E15" w:rsidRPr="00C35D81">
        <w:rPr>
          <w:szCs w:val="24"/>
        </w:rPr>
        <w:t xml:space="preserve"> </w:t>
      </w:r>
      <w:r w:rsidR="00C42A98" w:rsidRPr="00C35D81">
        <w:rPr>
          <w:szCs w:val="24"/>
        </w:rPr>
        <w:t>hierarchię umorzenia</w:t>
      </w:r>
      <w:r w:rsidRPr="00C35D81">
        <w:rPr>
          <w:szCs w:val="24"/>
        </w:rPr>
        <w:t xml:space="preserve">. </w:t>
      </w:r>
    </w:p>
    <w:p w14:paraId="264F6E8D" w14:textId="010771D4" w:rsidR="00F0767B" w:rsidRPr="00C35D81" w:rsidRDefault="00E3042D" w:rsidP="00C35D81">
      <w:pPr>
        <w:spacing w:after="160" w:line="360" w:lineRule="auto"/>
        <w:jc w:val="both"/>
        <w:rPr>
          <w:szCs w:val="24"/>
        </w:rPr>
      </w:pPr>
      <w:r w:rsidRPr="00C35D81">
        <w:rPr>
          <w:szCs w:val="24"/>
        </w:rPr>
        <w:t>W</w:t>
      </w:r>
      <w:r w:rsidR="008C6190" w:rsidRPr="00C35D81">
        <w:rPr>
          <w:szCs w:val="24"/>
        </w:rPr>
        <w:t xml:space="preserve"> </w:t>
      </w:r>
      <w:r w:rsidR="00F0767B" w:rsidRPr="00C35D81">
        <w:rPr>
          <w:szCs w:val="24"/>
        </w:rPr>
        <w:t xml:space="preserve">art. 268 ust. </w:t>
      </w:r>
      <w:r w:rsidRPr="00C35D81">
        <w:rPr>
          <w:szCs w:val="24"/>
        </w:rPr>
        <w:t>6</w:t>
      </w:r>
      <w:r w:rsidR="00C42A98" w:rsidRPr="00C35D81">
        <w:rPr>
          <w:szCs w:val="24"/>
        </w:rPr>
        <w:t xml:space="preserve"> doprecyzowuje</w:t>
      </w:r>
      <w:r w:rsidR="00C35D81">
        <w:rPr>
          <w:szCs w:val="24"/>
        </w:rPr>
        <w:t xml:space="preserve"> się</w:t>
      </w:r>
      <w:r w:rsidR="00C25A97" w:rsidRPr="00C35D81">
        <w:rPr>
          <w:szCs w:val="24"/>
        </w:rPr>
        <w:t>, tak jak art. 208</w:t>
      </w:r>
      <w:r w:rsidR="00C42A98" w:rsidRPr="00C35D81">
        <w:rPr>
          <w:szCs w:val="24"/>
        </w:rPr>
        <w:t>, że um</w:t>
      </w:r>
      <w:r w:rsidR="004D3C4D" w:rsidRPr="00C35D81">
        <w:rPr>
          <w:szCs w:val="24"/>
        </w:rPr>
        <w:t>o</w:t>
      </w:r>
      <w:r w:rsidR="00C42A98" w:rsidRPr="00C35D81">
        <w:rPr>
          <w:szCs w:val="24"/>
        </w:rPr>
        <w:t>rzeniu podlegają również odsetki</w:t>
      </w:r>
      <w:r w:rsidRPr="00C35D81">
        <w:rPr>
          <w:szCs w:val="24"/>
        </w:rPr>
        <w:t xml:space="preserve">. Należy wskazać, że ww. art. 440 ustawy </w:t>
      </w:r>
      <w:r w:rsidR="00086C97">
        <w:rPr>
          <w:szCs w:val="24"/>
        </w:rPr>
        <w:t xml:space="preserve">– </w:t>
      </w:r>
      <w:r w:rsidRPr="00C35D81">
        <w:rPr>
          <w:szCs w:val="24"/>
        </w:rPr>
        <w:t>Prawo upadłościowe zapisane zostały zasady dot. zaspokojenia czy umarzania również odniesienie do odsetek każdego instrumentu.</w:t>
      </w:r>
    </w:p>
    <w:p w14:paraId="5D2D5CFD" w14:textId="06FD2FF7" w:rsidR="00F0767B" w:rsidRPr="00C35D81" w:rsidRDefault="00E3042D" w:rsidP="00C35D81">
      <w:pPr>
        <w:spacing w:after="160" w:line="360" w:lineRule="auto"/>
        <w:jc w:val="both"/>
        <w:rPr>
          <w:szCs w:val="24"/>
        </w:rPr>
      </w:pPr>
      <w:r w:rsidRPr="00C35D81">
        <w:rPr>
          <w:szCs w:val="24"/>
        </w:rPr>
        <w:t>W</w:t>
      </w:r>
      <w:r w:rsidR="008C6190" w:rsidRPr="00C35D81">
        <w:rPr>
          <w:szCs w:val="24"/>
        </w:rPr>
        <w:t xml:space="preserve"> </w:t>
      </w:r>
      <w:r w:rsidR="00F0767B" w:rsidRPr="00C35D81">
        <w:rPr>
          <w:szCs w:val="24"/>
        </w:rPr>
        <w:t xml:space="preserve">art. 268 ust. </w:t>
      </w:r>
      <w:r w:rsidRPr="00C35D81">
        <w:rPr>
          <w:szCs w:val="24"/>
        </w:rPr>
        <w:t>7</w:t>
      </w:r>
      <w:r w:rsidR="00C42A98" w:rsidRPr="00C35D81">
        <w:rPr>
          <w:szCs w:val="24"/>
        </w:rPr>
        <w:t xml:space="preserve"> </w:t>
      </w:r>
      <w:r w:rsidR="008C6190" w:rsidRPr="00C35D81">
        <w:rPr>
          <w:szCs w:val="24"/>
        </w:rPr>
        <w:t>przewidziano</w:t>
      </w:r>
      <w:r w:rsidR="00173ABA" w:rsidRPr="00C35D81">
        <w:rPr>
          <w:szCs w:val="24"/>
        </w:rPr>
        <w:t xml:space="preserve"> dokonywanie umorzenia proporcjonalnie w sytuacji, jeśli okaże się, że całkowite umorzenie nie jest konieczne dla zapewnienia</w:t>
      </w:r>
      <w:r w:rsidR="00173ABA" w:rsidRPr="00C35D81" w:rsidDel="008C6190">
        <w:rPr>
          <w:szCs w:val="24"/>
        </w:rPr>
        <w:t xml:space="preserve"> </w:t>
      </w:r>
      <w:r w:rsidR="00C42A98" w:rsidRPr="00C35D81">
        <w:rPr>
          <w:szCs w:val="24"/>
        </w:rPr>
        <w:t>zgodności warunków udzielenia wsparcia z unijnymi zasadami pomocy państwa</w:t>
      </w:r>
      <w:r w:rsidRPr="00C35D81">
        <w:rPr>
          <w:szCs w:val="24"/>
        </w:rPr>
        <w:t>.</w:t>
      </w:r>
    </w:p>
    <w:p w14:paraId="3B30A5C5" w14:textId="20A566E0" w:rsidR="00F0767B" w:rsidRPr="00C35D81" w:rsidRDefault="00E3042D" w:rsidP="00C35D81">
      <w:pPr>
        <w:spacing w:after="160" w:line="360" w:lineRule="auto"/>
        <w:jc w:val="both"/>
        <w:rPr>
          <w:szCs w:val="24"/>
        </w:rPr>
      </w:pPr>
      <w:r w:rsidRPr="00C35D81">
        <w:rPr>
          <w:szCs w:val="24"/>
        </w:rPr>
        <w:t>W</w:t>
      </w:r>
      <w:r w:rsidR="008C6190" w:rsidRPr="00C35D81">
        <w:rPr>
          <w:szCs w:val="24"/>
        </w:rPr>
        <w:t xml:space="preserve"> </w:t>
      </w:r>
      <w:r w:rsidR="00F0767B" w:rsidRPr="00C35D81">
        <w:rPr>
          <w:szCs w:val="24"/>
        </w:rPr>
        <w:t xml:space="preserve">art. 268 ust. </w:t>
      </w:r>
      <w:r w:rsidRPr="00C35D81">
        <w:rPr>
          <w:szCs w:val="24"/>
        </w:rPr>
        <w:t>8</w:t>
      </w:r>
      <w:r w:rsidR="00C42A98" w:rsidRPr="00C35D81">
        <w:rPr>
          <w:szCs w:val="24"/>
        </w:rPr>
        <w:t xml:space="preserve"> </w:t>
      </w:r>
      <w:r w:rsidR="00C34598" w:rsidRPr="00C35D81">
        <w:rPr>
          <w:szCs w:val="24"/>
        </w:rPr>
        <w:t>wskazuje</w:t>
      </w:r>
      <w:r w:rsidR="00C35D81">
        <w:rPr>
          <w:szCs w:val="24"/>
        </w:rPr>
        <w:t xml:space="preserve"> się</w:t>
      </w:r>
      <w:r w:rsidR="00C34598" w:rsidRPr="00C35D81">
        <w:rPr>
          <w:szCs w:val="24"/>
        </w:rPr>
        <w:t xml:space="preserve">, że </w:t>
      </w:r>
      <w:r w:rsidR="00173ABA" w:rsidRPr="00C35D81">
        <w:rPr>
          <w:szCs w:val="24"/>
        </w:rPr>
        <w:t xml:space="preserve">w przypadku gdy instrument kapitałowy lub zobowiązanie podporządkowane (w sytuacji, o której mowa w ust. </w:t>
      </w:r>
      <w:r w:rsidRPr="00C35D81">
        <w:rPr>
          <w:szCs w:val="24"/>
        </w:rPr>
        <w:t>7</w:t>
      </w:r>
      <w:r w:rsidR="00173ABA" w:rsidRPr="00C35D81">
        <w:rPr>
          <w:szCs w:val="24"/>
        </w:rPr>
        <w:t>) jest umarzane jedynie w części, w odniesieniu do pozostałej części instrumentu kapitałowego lub zobowiązania podporządkowanego warunki umowne dotyczące tych instrumentów lub zobowiązań zasadniczo nie ulegają zmianie. Niemniej fakt objęcia części instrumentu lub zobowiązania umorzeniem</w:t>
      </w:r>
      <w:r w:rsidR="00086C97">
        <w:rPr>
          <w:szCs w:val="24"/>
        </w:rPr>
        <w:t xml:space="preserve"> spowoduje</w:t>
      </w:r>
      <w:r w:rsidR="00C34598" w:rsidRPr="00C35D81">
        <w:rPr>
          <w:szCs w:val="24"/>
        </w:rPr>
        <w:t xml:space="preserve">, </w:t>
      </w:r>
      <w:r w:rsidR="00086C97">
        <w:rPr>
          <w:szCs w:val="24"/>
        </w:rPr>
        <w:t xml:space="preserve">że </w:t>
      </w:r>
      <w:r w:rsidR="00C34598" w:rsidRPr="00C35D81">
        <w:rPr>
          <w:szCs w:val="24"/>
        </w:rPr>
        <w:t>zmianie uleg</w:t>
      </w:r>
      <w:r w:rsidR="00173ABA" w:rsidRPr="00C35D81">
        <w:rPr>
          <w:szCs w:val="24"/>
        </w:rPr>
        <w:t>nie</w:t>
      </w:r>
      <w:r w:rsidR="00086C97">
        <w:rPr>
          <w:szCs w:val="24"/>
        </w:rPr>
        <w:t xml:space="preserve"> podstawa naliczania odsetek.</w:t>
      </w:r>
    </w:p>
    <w:p w14:paraId="3224EF0A" w14:textId="454142C5" w:rsidR="00F0767B" w:rsidRPr="00C35D81" w:rsidRDefault="00C35D81" w:rsidP="00C35D81">
      <w:pPr>
        <w:spacing w:after="160" w:line="360" w:lineRule="auto"/>
        <w:jc w:val="both"/>
        <w:rPr>
          <w:szCs w:val="24"/>
        </w:rPr>
      </w:pPr>
      <w:r>
        <w:rPr>
          <w:szCs w:val="24"/>
        </w:rPr>
        <w:t>A</w:t>
      </w:r>
      <w:r w:rsidR="00F0767B" w:rsidRPr="00C35D81">
        <w:rPr>
          <w:szCs w:val="24"/>
        </w:rPr>
        <w:t xml:space="preserve">rt. 268 ust. </w:t>
      </w:r>
      <w:r w:rsidR="00E3042D" w:rsidRPr="00C35D81">
        <w:rPr>
          <w:szCs w:val="24"/>
        </w:rPr>
        <w:t>9</w:t>
      </w:r>
      <w:r w:rsidR="00C34598" w:rsidRPr="00C35D81">
        <w:rPr>
          <w:szCs w:val="24"/>
        </w:rPr>
        <w:t xml:space="preserve"> ma na celu zapewnienie prawidłowości</w:t>
      </w:r>
      <w:r w:rsidR="004361E4" w:rsidRPr="00C35D81">
        <w:rPr>
          <w:szCs w:val="24"/>
        </w:rPr>
        <w:t xml:space="preserve"> </w:t>
      </w:r>
      <w:r w:rsidR="00C34598" w:rsidRPr="00C35D81">
        <w:rPr>
          <w:szCs w:val="24"/>
        </w:rPr>
        <w:t>wykorzystania</w:t>
      </w:r>
      <w:r w:rsidR="00C1641C" w:rsidRPr="00C35D81">
        <w:rPr>
          <w:szCs w:val="24"/>
        </w:rPr>
        <w:t xml:space="preserve"> </w:t>
      </w:r>
      <w:r w:rsidR="00C34598" w:rsidRPr="00C35D81">
        <w:rPr>
          <w:szCs w:val="24"/>
        </w:rPr>
        <w:t>wsparcia, monitorowanie sytuacji ekonomiczno-finansowej i systemu zarządzania kasy korzystającej z pomocy finansowej przed udzieleniem wsparcia przez profesjonalną firmę audytorską,</w:t>
      </w:r>
      <w:r w:rsidR="00C1641C" w:rsidRPr="00C35D81">
        <w:rPr>
          <w:szCs w:val="24"/>
        </w:rPr>
        <w:t xml:space="preserve"> </w:t>
      </w:r>
      <w:r w:rsidR="001C726F" w:rsidRPr="00C35D81">
        <w:rPr>
          <w:szCs w:val="24"/>
        </w:rPr>
        <w:t xml:space="preserve">a </w:t>
      </w:r>
      <w:r w:rsidR="00C1641C" w:rsidRPr="00C35D81">
        <w:rPr>
          <w:szCs w:val="24"/>
        </w:rPr>
        <w:t xml:space="preserve">w przypadku likwidacji kasy </w:t>
      </w:r>
      <w:r w:rsidR="00280324" w:rsidRPr="00C35D81">
        <w:rPr>
          <w:szCs w:val="24"/>
        </w:rPr>
        <w:t>–</w:t>
      </w:r>
      <w:r w:rsidR="001C726F" w:rsidRPr="00C35D81">
        <w:rPr>
          <w:szCs w:val="24"/>
        </w:rPr>
        <w:t xml:space="preserve"> </w:t>
      </w:r>
      <w:r w:rsidR="00C1641C" w:rsidRPr="00C35D81">
        <w:rPr>
          <w:szCs w:val="24"/>
        </w:rPr>
        <w:t>przez weryfikację sprawozdania finansowego przez likwidatora</w:t>
      </w:r>
      <w:r w:rsidR="00E3042D" w:rsidRPr="00C35D81">
        <w:rPr>
          <w:szCs w:val="24"/>
        </w:rPr>
        <w:t>. Wartość i zakres umorzenia powinny być wskazane na określony zgodnie z ust. 4 pkt 2 dzień.</w:t>
      </w:r>
    </w:p>
    <w:p w14:paraId="7029F718" w14:textId="41B27F1F" w:rsidR="00F0767B" w:rsidRPr="00C35D81" w:rsidRDefault="00C35D81" w:rsidP="00C35D81">
      <w:pPr>
        <w:spacing w:after="160" w:line="360" w:lineRule="auto"/>
        <w:jc w:val="both"/>
        <w:rPr>
          <w:szCs w:val="24"/>
        </w:rPr>
      </w:pPr>
      <w:r>
        <w:rPr>
          <w:szCs w:val="24"/>
        </w:rPr>
        <w:t>A</w:t>
      </w:r>
      <w:r w:rsidR="00F0767B" w:rsidRPr="00C35D81">
        <w:rPr>
          <w:szCs w:val="24"/>
        </w:rPr>
        <w:t>rt. 268 ust. 1</w:t>
      </w:r>
      <w:r w:rsidR="00E3042D" w:rsidRPr="00C35D81">
        <w:rPr>
          <w:szCs w:val="24"/>
        </w:rPr>
        <w:t>0</w:t>
      </w:r>
      <w:r w:rsidR="00C34598" w:rsidRPr="00C35D81">
        <w:rPr>
          <w:szCs w:val="24"/>
        </w:rPr>
        <w:t xml:space="preserve"> nakłada na kasę obowiązek do weryfikacji stanu instrumentów i zobowiąza</w:t>
      </w:r>
      <w:r w:rsidR="00371AF4">
        <w:rPr>
          <w:szCs w:val="24"/>
        </w:rPr>
        <w:t>ń</w:t>
      </w:r>
      <w:r w:rsidR="00C34598" w:rsidRPr="00C35D81">
        <w:rPr>
          <w:szCs w:val="24"/>
        </w:rPr>
        <w:t xml:space="preserve"> umarzalnych</w:t>
      </w:r>
      <w:r w:rsidR="00371AF4">
        <w:rPr>
          <w:szCs w:val="24"/>
        </w:rPr>
        <w:t>.</w:t>
      </w:r>
    </w:p>
    <w:p w14:paraId="42D00C0B" w14:textId="28CE2C6A" w:rsidR="00E3042D" w:rsidRPr="00C35D81" w:rsidRDefault="00E3042D" w:rsidP="00C35D81">
      <w:pPr>
        <w:spacing w:after="160" w:line="360" w:lineRule="auto"/>
        <w:jc w:val="both"/>
        <w:rPr>
          <w:szCs w:val="24"/>
        </w:rPr>
      </w:pPr>
      <w:r w:rsidRPr="00C35D81">
        <w:rPr>
          <w:szCs w:val="24"/>
        </w:rPr>
        <w:t xml:space="preserve">W art. 268 ust. 11 – </w:t>
      </w:r>
      <w:r w:rsidR="00F2596E" w:rsidRPr="00C35D81">
        <w:rPr>
          <w:bCs/>
          <w:i/>
          <w:szCs w:val="24"/>
        </w:rPr>
        <w:t xml:space="preserve">ratio legis </w:t>
      </w:r>
      <w:r w:rsidR="00F2596E" w:rsidRPr="00C35D81">
        <w:rPr>
          <w:bCs/>
          <w:szCs w:val="24"/>
        </w:rPr>
        <w:t xml:space="preserve">projektowanego ust. 11 to zapewnienie, aby wartość i zakres umorzenia były ustalane </w:t>
      </w:r>
      <w:r w:rsidR="00F2596E" w:rsidRPr="00C35D81">
        <w:rPr>
          <w:szCs w:val="24"/>
        </w:rPr>
        <w:t xml:space="preserve">przy wykorzystaniu wiarygodnych, zweryfikowanych informacji. </w:t>
      </w:r>
      <w:r w:rsidR="0070795E" w:rsidRPr="00C35D81">
        <w:rPr>
          <w:szCs w:val="24"/>
        </w:rPr>
        <w:t>M</w:t>
      </w:r>
      <w:r w:rsidR="00F2596E" w:rsidRPr="00C35D81">
        <w:rPr>
          <w:szCs w:val="24"/>
        </w:rPr>
        <w:t>a</w:t>
      </w:r>
      <w:r w:rsidR="0070795E" w:rsidRPr="00C35D81">
        <w:rPr>
          <w:szCs w:val="24"/>
        </w:rPr>
        <w:t xml:space="preserve"> to</w:t>
      </w:r>
      <w:r w:rsidR="00F2596E" w:rsidRPr="00C35D81">
        <w:rPr>
          <w:szCs w:val="24"/>
        </w:rPr>
        <w:t xml:space="preserve"> zapewnić zobiektywizowanie podstaw ustalania umorzenia. Zgodnie z art. 261 pkt 1 ustawy o BFG jednym z warunków udzielenia przez Fundusz pomocy w postaci zwrotnej pomocy finansowej albo nabycia wierzytelności kasy jest uznanie wyników badania sprawozdania finansowego przez Zarząd Funduszu.</w:t>
      </w:r>
      <w:r w:rsidR="00F2596E" w:rsidRPr="00C35D81">
        <w:rPr>
          <w:rFonts w:eastAsia="Times New Roman"/>
          <w:szCs w:val="24"/>
          <w:lang w:eastAsia="pl-PL"/>
        </w:rPr>
        <w:t xml:space="preserve"> R</w:t>
      </w:r>
      <w:r w:rsidR="00F2596E" w:rsidRPr="00C35D81">
        <w:rPr>
          <w:szCs w:val="24"/>
        </w:rPr>
        <w:t xml:space="preserve">ozwiązaniem jest wprowadzenie w przepisach treści, z których wynika, że wskazywanie wartości i zakresu umorzenia będzie dokonywane na podstawie uznanego, sprawozdania finansowego. Wraz z wnioskiem o udzielenie pomocy podmiot powinien przedstawiać aktualne, dodatkowo zweryfikowane informacje. </w:t>
      </w:r>
    </w:p>
    <w:p w14:paraId="06EE7FF3" w14:textId="271D51E5" w:rsidR="00E3042D" w:rsidRPr="00C35D81" w:rsidRDefault="00E3042D" w:rsidP="00C35D81">
      <w:pPr>
        <w:spacing w:after="160" w:line="360" w:lineRule="auto"/>
        <w:jc w:val="both"/>
        <w:rPr>
          <w:szCs w:val="24"/>
        </w:rPr>
      </w:pPr>
      <w:r w:rsidRPr="00C35D81">
        <w:rPr>
          <w:szCs w:val="24"/>
        </w:rPr>
        <w:t>W art. 268 ust. 12 stanowi</w:t>
      </w:r>
      <w:r w:rsidR="00D51FAD" w:rsidRPr="00C35D81">
        <w:rPr>
          <w:szCs w:val="24"/>
        </w:rPr>
        <w:t xml:space="preserve"> </w:t>
      </w:r>
      <w:r w:rsidRPr="00C35D81">
        <w:rPr>
          <w:szCs w:val="24"/>
        </w:rPr>
        <w:t>się, że w przypadku umorzenia nie przysługuje roszczenie odszkodowawcze, co zapewnia równe traktowanie podmiotów objętych podziałem obciążenia, a jednocześnie wskazuje na ryzyko wynikające ze statusu</w:t>
      </w:r>
      <w:r w:rsidR="00371AF4">
        <w:rPr>
          <w:szCs w:val="24"/>
        </w:rPr>
        <w:t xml:space="preserve"> wierzyciela podporządkowanego/</w:t>
      </w:r>
      <w:r w:rsidRPr="00C35D81">
        <w:rPr>
          <w:szCs w:val="24"/>
        </w:rPr>
        <w:t>udziałowca kasy w przypadku procesów restrukturyzacyjnych.</w:t>
      </w:r>
    </w:p>
    <w:p w14:paraId="25B3EFD5" w14:textId="092B39C4" w:rsidR="00E3042D" w:rsidRPr="00C35D81" w:rsidRDefault="00E3042D" w:rsidP="00C35D81">
      <w:pPr>
        <w:spacing w:after="160" w:line="360" w:lineRule="auto"/>
        <w:jc w:val="both"/>
        <w:rPr>
          <w:szCs w:val="24"/>
        </w:rPr>
      </w:pPr>
      <w:r w:rsidRPr="00C35D81">
        <w:rPr>
          <w:szCs w:val="24"/>
        </w:rPr>
        <w:t>W</w:t>
      </w:r>
      <w:r w:rsidR="008C6190" w:rsidRPr="00C35D81">
        <w:rPr>
          <w:szCs w:val="24"/>
        </w:rPr>
        <w:t xml:space="preserve"> </w:t>
      </w:r>
      <w:r w:rsidR="00F0767B" w:rsidRPr="00C35D81">
        <w:rPr>
          <w:szCs w:val="24"/>
        </w:rPr>
        <w:t>art. 268 ust. 1</w:t>
      </w:r>
      <w:r w:rsidRPr="00C35D81">
        <w:rPr>
          <w:szCs w:val="24"/>
        </w:rPr>
        <w:t>3</w:t>
      </w:r>
      <w:r w:rsidR="00C34598" w:rsidRPr="00C35D81">
        <w:rPr>
          <w:szCs w:val="24"/>
        </w:rPr>
        <w:t xml:space="preserve"> zapewnia </w:t>
      </w:r>
      <w:r w:rsidR="00B504B1" w:rsidRPr="00C35D81">
        <w:rPr>
          <w:szCs w:val="24"/>
        </w:rPr>
        <w:t xml:space="preserve">się </w:t>
      </w:r>
      <w:r w:rsidR="0059034A" w:rsidRPr="00C35D81">
        <w:rPr>
          <w:szCs w:val="24"/>
        </w:rPr>
        <w:t xml:space="preserve">realizację </w:t>
      </w:r>
      <w:r w:rsidR="00C34598" w:rsidRPr="00C35D81">
        <w:rPr>
          <w:szCs w:val="24"/>
        </w:rPr>
        <w:t>obowiązk</w:t>
      </w:r>
      <w:r w:rsidR="0059034A" w:rsidRPr="00C35D81">
        <w:rPr>
          <w:szCs w:val="24"/>
        </w:rPr>
        <w:t>ów</w:t>
      </w:r>
      <w:r w:rsidR="00C34598" w:rsidRPr="00C35D81">
        <w:rPr>
          <w:szCs w:val="24"/>
        </w:rPr>
        <w:t xml:space="preserve"> informacyjn</w:t>
      </w:r>
      <w:r w:rsidR="0059034A" w:rsidRPr="00C35D81">
        <w:rPr>
          <w:szCs w:val="24"/>
        </w:rPr>
        <w:t>ych</w:t>
      </w:r>
      <w:r w:rsidR="00C34598" w:rsidRPr="00C35D81">
        <w:rPr>
          <w:szCs w:val="24"/>
        </w:rPr>
        <w:t xml:space="preserve"> przez zamieszczenie informacji </w:t>
      </w:r>
      <w:r w:rsidR="0059034A" w:rsidRPr="00C35D81">
        <w:rPr>
          <w:szCs w:val="24"/>
        </w:rPr>
        <w:t xml:space="preserve">o umorzeniu </w:t>
      </w:r>
      <w:r w:rsidR="00C34598" w:rsidRPr="00C35D81">
        <w:rPr>
          <w:szCs w:val="24"/>
        </w:rPr>
        <w:t>na stronie internetowej</w:t>
      </w:r>
      <w:r w:rsidR="00C1641C" w:rsidRPr="00C35D81">
        <w:rPr>
          <w:szCs w:val="24"/>
        </w:rPr>
        <w:t xml:space="preserve"> przejmowanej kasy lub podmiotu przejmującego, gwarantując</w:t>
      </w:r>
      <w:r w:rsidR="001C726F" w:rsidRPr="00C35D81">
        <w:rPr>
          <w:szCs w:val="24"/>
        </w:rPr>
        <w:t>,</w:t>
      </w:r>
      <w:r w:rsidR="00C1641C" w:rsidRPr="00C35D81">
        <w:rPr>
          <w:szCs w:val="24"/>
        </w:rPr>
        <w:t xml:space="preserve"> że informacja dotrze do wszystkich zainteresowanych podmiotów</w:t>
      </w:r>
      <w:r w:rsidR="00C34598" w:rsidRPr="00C35D81">
        <w:rPr>
          <w:szCs w:val="24"/>
        </w:rPr>
        <w:t>.</w:t>
      </w:r>
    </w:p>
    <w:p w14:paraId="6FFB1841" w14:textId="604EEFE6" w:rsidR="003E242E" w:rsidRPr="00816E15" w:rsidRDefault="003E242E" w:rsidP="00CF5AAF">
      <w:pPr>
        <w:spacing w:after="160" w:line="360" w:lineRule="auto"/>
        <w:jc w:val="both"/>
        <w:rPr>
          <w:szCs w:val="24"/>
        </w:rPr>
      </w:pPr>
      <w:r w:rsidRPr="00816E15">
        <w:rPr>
          <w:szCs w:val="24"/>
        </w:rPr>
        <w:t xml:space="preserve">W </w:t>
      </w:r>
      <w:r w:rsidRPr="00816E15">
        <w:rPr>
          <w:b/>
          <w:szCs w:val="24"/>
        </w:rPr>
        <w:t>art. 272 ust. 2</w:t>
      </w:r>
      <w:r w:rsidRPr="00816E15">
        <w:rPr>
          <w:szCs w:val="24"/>
        </w:rPr>
        <w:t xml:space="preserve"> w ostatnim zdaniu zrezygnowano z </w:t>
      </w:r>
      <w:r w:rsidR="004D3C4D" w:rsidRPr="00816E15">
        <w:rPr>
          <w:szCs w:val="24"/>
        </w:rPr>
        <w:t xml:space="preserve">części </w:t>
      </w:r>
      <w:r w:rsidRPr="00816E15">
        <w:rPr>
          <w:szCs w:val="24"/>
        </w:rPr>
        <w:t>dotyczące</w:t>
      </w:r>
      <w:r w:rsidR="004D3C4D" w:rsidRPr="00816E15">
        <w:rPr>
          <w:szCs w:val="24"/>
        </w:rPr>
        <w:t xml:space="preserve">j </w:t>
      </w:r>
      <w:r w:rsidRPr="00816E15">
        <w:rPr>
          <w:szCs w:val="24"/>
        </w:rPr>
        <w:t xml:space="preserve">doprecyzowania </w:t>
      </w:r>
      <w:r w:rsidR="004D3C4D" w:rsidRPr="00816E15">
        <w:rPr>
          <w:szCs w:val="24"/>
        </w:rPr>
        <w:t xml:space="preserve">w zakresie </w:t>
      </w:r>
      <w:r w:rsidRPr="00816E15">
        <w:rPr>
          <w:szCs w:val="24"/>
        </w:rPr>
        <w:t>spełnieni</w:t>
      </w:r>
      <w:r w:rsidR="004D3C4D" w:rsidRPr="00816E15">
        <w:rPr>
          <w:szCs w:val="24"/>
        </w:rPr>
        <w:t>a</w:t>
      </w:r>
      <w:r w:rsidRPr="00816E15">
        <w:rPr>
          <w:szCs w:val="24"/>
        </w:rPr>
        <w:t xml:space="preserve"> warunków określonych w art. 259 ust. 1, ponieważ w przypadku działań na podstawie art. 5 ust. 2 pkt</w:t>
      </w:r>
      <w:r w:rsidR="002B680E" w:rsidRPr="00816E15">
        <w:rPr>
          <w:szCs w:val="24"/>
        </w:rPr>
        <w:t xml:space="preserve"> 1 i</w:t>
      </w:r>
      <w:r w:rsidRPr="00816E15">
        <w:rPr>
          <w:szCs w:val="24"/>
        </w:rPr>
        <w:t xml:space="preserve"> 2 konieczność spełnienia tych warunków wynika już ze zdania wprowadzającego w art. 259 ust. 1. Z kolei warunki te nie mają zastosowania do działań na podstawie art. 264.</w:t>
      </w:r>
      <w:r w:rsidR="004D0815" w:rsidRPr="00816E15">
        <w:rPr>
          <w:szCs w:val="24"/>
        </w:rPr>
        <w:t xml:space="preserve"> Doprecyzowano</w:t>
      </w:r>
      <w:r w:rsidR="00A544C5" w:rsidRPr="00816E15">
        <w:rPr>
          <w:szCs w:val="24"/>
        </w:rPr>
        <w:t xml:space="preserve"> odwołanie do art. 5 ust. 2 pkt 1</w:t>
      </w:r>
      <w:r w:rsidR="00C35D81">
        <w:rPr>
          <w:szCs w:val="24"/>
        </w:rPr>
        <w:t>–</w:t>
      </w:r>
      <w:r w:rsidR="00A544C5" w:rsidRPr="00816E15">
        <w:rPr>
          <w:szCs w:val="24"/>
        </w:rPr>
        <w:t xml:space="preserve">3 z uwagi na fakt, że art. 5 ust. 2 pkt 4 </w:t>
      </w:r>
      <w:r w:rsidR="001C726F" w:rsidRPr="00816E15">
        <w:rPr>
          <w:szCs w:val="24"/>
        </w:rPr>
        <w:t xml:space="preserve">nie </w:t>
      </w:r>
      <w:r w:rsidR="00A544C5" w:rsidRPr="00816E15">
        <w:rPr>
          <w:szCs w:val="24"/>
        </w:rPr>
        <w:t xml:space="preserve">dotyczy działań pomocowych </w:t>
      </w:r>
      <w:r w:rsidR="00A544C5" w:rsidRPr="00816E15">
        <w:rPr>
          <w:i/>
          <w:szCs w:val="24"/>
        </w:rPr>
        <w:t>sensu stricte</w:t>
      </w:r>
      <w:r w:rsidR="00C35D81" w:rsidRPr="00C35D81">
        <w:rPr>
          <w:szCs w:val="24"/>
        </w:rPr>
        <w:t>,</w:t>
      </w:r>
      <w:r w:rsidR="00A544C5" w:rsidRPr="00816E15">
        <w:rPr>
          <w:i/>
          <w:szCs w:val="24"/>
        </w:rPr>
        <w:t xml:space="preserve"> </w:t>
      </w:r>
      <w:r w:rsidR="00A544C5" w:rsidRPr="00816E15">
        <w:rPr>
          <w:szCs w:val="24"/>
        </w:rPr>
        <w:t>a kontroli prawidłowości wykorzystania pomocy i wsparcia.</w:t>
      </w:r>
    </w:p>
    <w:p w14:paraId="401E9306" w14:textId="767CEEBA" w:rsidR="003E242E" w:rsidRPr="00816E15" w:rsidRDefault="00CA7528" w:rsidP="00CF5AAF">
      <w:pPr>
        <w:spacing w:after="160" w:line="360" w:lineRule="auto"/>
        <w:jc w:val="both"/>
        <w:rPr>
          <w:szCs w:val="24"/>
        </w:rPr>
      </w:pPr>
      <w:r w:rsidRPr="00816E15">
        <w:rPr>
          <w:szCs w:val="24"/>
        </w:rPr>
        <w:t xml:space="preserve">W </w:t>
      </w:r>
      <w:r w:rsidRPr="00816E15">
        <w:rPr>
          <w:b/>
          <w:szCs w:val="24"/>
        </w:rPr>
        <w:t>art. 275 pkt 3</w:t>
      </w:r>
      <w:r w:rsidRPr="00816E15">
        <w:rPr>
          <w:szCs w:val="24"/>
        </w:rPr>
        <w:t xml:space="preserve"> ma na celu zapewnienie, aby ocena możliwości wykorzystania środków funduszy przymusowej restrukturyzacji (art. 275) była oparta na możliwie najbardziej aktualnych danych. Obecne brzmienie tego przepisu przewiduje, że wartość w złotych kwot wyrażonych w euro ustala się według średniego kursu z ostatniego dnia roboczego roku poprzedniego, ogłoszonego przez Narodowy Bank Polski. Po zmianie wartość równowartości w złotych będzie ustalana w oparciu o średni kurs ogłoszony przez Narodowy Bank Polski na dzień sporządzenia sprawozdania finansowego, na podstawie którego Fundusz dokonuje oceny spełnienia warunków określonych w ustawie</w:t>
      </w:r>
      <w:r w:rsidR="004D3C4D" w:rsidRPr="00816E15">
        <w:rPr>
          <w:szCs w:val="24"/>
        </w:rPr>
        <w:t xml:space="preserve"> o BFG</w:t>
      </w:r>
      <w:r w:rsidRPr="00816E15">
        <w:rPr>
          <w:szCs w:val="24"/>
        </w:rPr>
        <w:t>.</w:t>
      </w:r>
    </w:p>
    <w:p w14:paraId="2AD8F325" w14:textId="2ADB89F2" w:rsidR="00525524" w:rsidRPr="00816E15" w:rsidRDefault="00525524" w:rsidP="00CF5AAF">
      <w:pPr>
        <w:spacing w:after="160" w:line="360" w:lineRule="auto"/>
        <w:jc w:val="both"/>
        <w:rPr>
          <w:szCs w:val="24"/>
        </w:rPr>
      </w:pPr>
      <w:r w:rsidRPr="00816E15">
        <w:rPr>
          <w:szCs w:val="24"/>
        </w:rPr>
        <w:t xml:space="preserve">Zmiana w </w:t>
      </w:r>
      <w:r w:rsidRPr="00816E15">
        <w:rPr>
          <w:b/>
          <w:szCs w:val="24"/>
        </w:rPr>
        <w:t>art. 295 ust. 7</w:t>
      </w:r>
      <w:r w:rsidRPr="00816E15">
        <w:rPr>
          <w:szCs w:val="24"/>
        </w:rPr>
        <w:t xml:space="preserve"> ma na celu zwolnienie podmiotów, wobec których nastąpiło spełnienie warunku gwarancji (została zawieszona działalność), z obowiązku wnoszenia składek na fundusze przymusowej restrukturyzacji, analogicznie jak ma to miejsce w takiej sytuacji w przypadku składek na fundusze gwarancyjne (art. 286 ust. 4). Brak wprowadzenia takiego zwolnienia powoduje, że z aktualnego brzmienia przepisów ustawy o BFG wynika</w:t>
      </w:r>
      <w:r w:rsidR="00371AF4">
        <w:rPr>
          <w:szCs w:val="24"/>
        </w:rPr>
        <w:t>,</w:t>
      </w:r>
      <w:r w:rsidRPr="00816E15">
        <w:rPr>
          <w:szCs w:val="24"/>
        </w:rPr>
        <w:t xml:space="preserve"> iż podmioty, których działalność została zawieszona w trakcie okresu składkowego (roku kalendarzowego), </w:t>
      </w:r>
      <w:r w:rsidR="004D3C4D" w:rsidRPr="00816E15">
        <w:rPr>
          <w:szCs w:val="24"/>
        </w:rPr>
        <w:t>są z</w:t>
      </w:r>
      <w:r w:rsidRPr="00816E15">
        <w:rPr>
          <w:szCs w:val="24"/>
        </w:rPr>
        <w:t>obowiązane do wniesienia składki na właściwe fundusze przymusowej restrukturyzacji. W ustawie o BFG wyraźnie przewidziano zwolnienie z obowiązku wniesienia składki na finansowanie przymusowej restrukturyzacji jedynie dla po</w:t>
      </w:r>
      <w:r w:rsidR="00723542">
        <w:rPr>
          <w:szCs w:val="24"/>
        </w:rPr>
        <w:t>d</w:t>
      </w:r>
      <w:r w:rsidRPr="00816E15">
        <w:rPr>
          <w:szCs w:val="24"/>
        </w:rPr>
        <w:t>miotu rezydualnego (art. 295 ust. 5) oraz dla kas realizujących program postępowania naprawczego.</w:t>
      </w:r>
    </w:p>
    <w:p w14:paraId="72C12A5F" w14:textId="00A47214" w:rsidR="00ED0A5D" w:rsidRPr="00816E15" w:rsidRDefault="005F22CC" w:rsidP="00CF5AAF">
      <w:pPr>
        <w:spacing w:line="360" w:lineRule="auto"/>
        <w:jc w:val="both"/>
        <w:rPr>
          <w:szCs w:val="24"/>
        </w:rPr>
      </w:pPr>
      <w:r w:rsidRPr="00816E15">
        <w:rPr>
          <w:szCs w:val="24"/>
        </w:rPr>
        <w:t xml:space="preserve">Projektowana zmiana w </w:t>
      </w:r>
      <w:r w:rsidRPr="00816E15">
        <w:rPr>
          <w:b/>
          <w:szCs w:val="24"/>
        </w:rPr>
        <w:t xml:space="preserve">art. 315 </w:t>
      </w:r>
      <w:r w:rsidRPr="00816E15">
        <w:rPr>
          <w:szCs w:val="24"/>
        </w:rPr>
        <w:t>wprowadza możliwość lokowania przez Fundusz środków w depozycie u Ministra Finansów</w:t>
      </w:r>
      <w:r w:rsidR="00A43BC9" w:rsidRPr="00816E15">
        <w:rPr>
          <w:szCs w:val="24"/>
        </w:rPr>
        <w:t xml:space="preserve">, co rozszerza dostępne warianty zarządzania środkami finansowymi </w:t>
      </w:r>
      <w:r w:rsidR="004D3C4D" w:rsidRPr="00816E15">
        <w:rPr>
          <w:szCs w:val="24"/>
        </w:rPr>
        <w:t>Funduszu</w:t>
      </w:r>
      <w:r w:rsidR="00A43BC9" w:rsidRPr="00816E15">
        <w:rPr>
          <w:szCs w:val="24"/>
        </w:rPr>
        <w:t xml:space="preserve"> w obszarze inwestycyjnym. Jednocześnie środki ulokowane przez Fundusz na rachunkach Ministra Finansów,</w:t>
      </w:r>
      <w:r w:rsidRPr="00816E15">
        <w:rPr>
          <w:szCs w:val="24"/>
        </w:rPr>
        <w:t xml:space="preserve"> w ramach konsolidacji zarządzania płynnością, potencjalnie mogłyby się przyczynić do zmniejszenia potrzeb pożyczkowych o wartość ulokowanych środków, a tym samym obniżenia długu sektora instytucji rządowych i</w:t>
      </w:r>
      <w:r w:rsidR="0020113D" w:rsidRPr="00816E15">
        <w:rPr>
          <w:szCs w:val="24"/>
        </w:rPr>
        <w:t> </w:t>
      </w:r>
      <w:r w:rsidRPr="00816E15">
        <w:rPr>
          <w:szCs w:val="24"/>
        </w:rPr>
        <w:t xml:space="preserve">samorządowych zgodnie z definicją UE. Łączna wartość środków posiadanych przez </w:t>
      </w:r>
      <w:r w:rsidR="004D3C4D" w:rsidRPr="00816E15">
        <w:rPr>
          <w:szCs w:val="24"/>
        </w:rPr>
        <w:t xml:space="preserve">Fundusz </w:t>
      </w:r>
      <w:r w:rsidRPr="00816E15">
        <w:rPr>
          <w:szCs w:val="24"/>
        </w:rPr>
        <w:t>w</w:t>
      </w:r>
      <w:r w:rsidR="0020113D" w:rsidRPr="00816E15">
        <w:rPr>
          <w:szCs w:val="24"/>
        </w:rPr>
        <w:t> </w:t>
      </w:r>
      <w:r w:rsidRPr="00816E15">
        <w:rPr>
          <w:szCs w:val="24"/>
        </w:rPr>
        <w:t>formie</w:t>
      </w:r>
      <w:r w:rsidR="00055662" w:rsidRPr="00816E15">
        <w:rPr>
          <w:rFonts w:cs="Times New Roman"/>
          <w:szCs w:val="24"/>
        </w:rPr>
        <w:t xml:space="preserve"> gotówki, depozytów oraz</w:t>
      </w:r>
      <w:r w:rsidRPr="00816E15">
        <w:rPr>
          <w:szCs w:val="24"/>
        </w:rPr>
        <w:t xml:space="preserve"> bonów pieniężnych NBP</w:t>
      </w:r>
      <w:r w:rsidR="00371AF4">
        <w:rPr>
          <w:szCs w:val="24"/>
        </w:rPr>
        <w:t xml:space="preserve"> na koniec III kw. 2017 </w:t>
      </w:r>
      <w:r w:rsidR="00055662" w:rsidRPr="00816E15">
        <w:rPr>
          <w:szCs w:val="24"/>
        </w:rPr>
        <w:t>r.</w:t>
      </w:r>
      <w:r w:rsidR="00816E15">
        <w:rPr>
          <w:szCs w:val="24"/>
        </w:rPr>
        <w:t xml:space="preserve"> </w:t>
      </w:r>
      <w:r w:rsidRPr="00816E15">
        <w:rPr>
          <w:szCs w:val="24"/>
        </w:rPr>
        <w:t>wynosi</w:t>
      </w:r>
      <w:r w:rsidR="00055662" w:rsidRPr="00816E15">
        <w:rPr>
          <w:szCs w:val="24"/>
        </w:rPr>
        <w:t>ła</w:t>
      </w:r>
      <w:r w:rsidRPr="00816E15">
        <w:rPr>
          <w:szCs w:val="24"/>
        </w:rPr>
        <w:t xml:space="preserve"> ok. 2,3 mld zł (15% całego portfela Funduszu).</w:t>
      </w:r>
      <w:r w:rsidR="00A43BC9" w:rsidRPr="00816E15">
        <w:rPr>
          <w:szCs w:val="24"/>
        </w:rPr>
        <w:t xml:space="preserve"> Z</w:t>
      </w:r>
      <w:r w:rsidR="0020113D" w:rsidRPr="00816E15">
        <w:rPr>
          <w:szCs w:val="24"/>
        </w:rPr>
        <w:t> </w:t>
      </w:r>
      <w:r w:rsidR="00A43BC9" w:rsidRPr="00816E15">
        <w:rPr>
          <w:szCs w:val="24"/>
        </w:rPr>
        <w:t xml:space="preserve">perspektywy lokowania przez Fundusz środków w </w:t>
      </w:r>
      <w:r w:rsidR="004D3C4D" w:rsidRPr="00816E15">
        <w:rPr>
          <w:szCs w:val="24"/>
        </w:rPr>
        <w:t xml:space="preserve">ten </w:t>
      </w:r>
      <w:r w:rsidR="00A43BC9" w:rsidRPr="00816E15">
        <w:rPr>
          <w:szCs w:val="24"/>
        </w:rPr>
        <w:t>sposób istotne jest, że operacje wskazane w zmienianym w ramach niniejszego projektu ustawy art. 78 ustawy z dnia 27</w:t>
      </w:r>
      <w:r w:rsidR="0020113D" w:rsidRPr="00816E15">
        <w:rPr>
          <w:szCs w:val="24"/>
        </w:rPr>
        <w:t> </w:t>
      </w:r>
      <w:r w:rsidR="00A43BC9" w:rsidRPr="00816E15">
        <w:rPr>
          <w:szCs w:val="24"/>
        </w:rPr>
        <w:t>sierpnia 2009 r. o finansach publicznych</w:t>
      </w:r>
      <w:r w:rsidR="00603CBD" w:rsidRPr="00816E15">
        <w:rPr>
          <w:szCs w:val="24"/>
        </w:rPr>
        <w:t xml:space="preserve"> (Dz. U. z 2017 r. poz. 2077, z późn. zm.)</w:t>
      </w:r>
      <w:r w:rsidR="00ED0A5D" w:rsidRPr="00816E15">
        <w:rPr>
          <w:szCs w:val="24"/>
        </w:rPr>
        <w:t xml:space="preserve"> stanowią dodatkowy instrument zarządzania płynnością, która umożliwia </w:t>
      </w:r>
      <w:r w:rsidR="00A43BC9" w:rsidRPr="00816E15">
        <w:rPr>
          <w:szCs w:val="24"/>
        </w:rPr>
        <w:t xml:space="preserve">sterowanie przez </w:t>
      </w:r>
      <w:r w:rsidR="004D3C4D" w:rsidRPr="00816E15">
        <w:rPr>
          <w:szCs w:val="24"/>
        </w:rPr>
        <w:t>Fundusz d</w:t>
      </w:r>
      <w:r w:rsidR="00A43BC9" w:rsidRPr="00816E15">
        <w:rPr>
          <w:szCs w:val="24"/>
        </w:rPr>
        <w:t>o</w:t>
      </w:r>
      <w:r w:rsidR="00C454F6" w:rsidRPr="00816E15">
        <w:rPr>
          <w:szCs w:val="24"/>
        </w:rPr>
        <w:t>stępnością (płynnością) środków</w:t>
      </w:r>
      <w:r w:rsidR="00371AF4">
        <w:rPr>
          <w:szCs w:val="24"/>
        </w:rPr>
        <w:t>,</w:t>
      </w:r>
      <w:r w:rsidR="00A43BC9" w:rsidRPr="00816E15">
        <w:rPr>
          <w:szCs w:val="24"/>
        </w:rPr>
        <w:t xml:space="preserve"> zapewniając możliwość ich zwrotnego otrzymania w</w:t>
      </w:r>
      <w:r w:rsidR="004A4C78" w:rsidRPr="00816E15">
        <w:rPr>
          <w:szCs w:val="24"/>
        </w:rPr>
        <w:t> </w:t>
      </w:r>
      <w:r w:rsidR="00A43BC9" w:rsidRPr="00816E15">
        <w:rPr>
          <w:szCs w:val="24"/>
        </w:rPr>
        <w:t xml:space="preserve">terminie umożliwiającym wypłatę świadczeń </w:t>
      </w:r>
      <w:r w:rsidR="00A43BC9" w:rsidRPr="00816E15">
        <w:rPr>
          <w:rFonts w:cs="Times New Roman"/>
          <w:szCs w:val="24"/>
        </w:rPr>
        <w:t>pieniężnych w</w:t>
      </w:r>
      <w:r w:rsidR="0020113D" w:rsidRPr="00816E15">
        <w:rPr>
          <w:rFonts w:cs="Times New Roman"/>
          <w:szCs w:val="24"/>
        </w:rPr>
        <w:t> </w:t>
      </w:r>
      <w:r w:rsidR="00A43BC9" w:rsidRPr="00816E15">
        <w:rPr>
          <w:rFonts w:cs="Times New Roman"/>
          <w:szCs w:val="24"/>
        </w:rPr>
        <w:t>ustawowym terminie 7 dni roboczych od dnia spełnienia warunku gwarancji.</w:t>
      </w:r>
      <w:r w:rsidR="00ED0A5D" w:rsidRPr="00816E15">
        <w:rPr>
          <w:rFonts w:cs="Times New Roman"/>
          <w:szCs w:val="24"/>
        </w:rPr>
        <w:t xml:space="preserve"> </w:t>
      </w:r>
      <w:r w:rsidR="00ED0A5D" w:rsidRPr="00816E15">
        <w:rPr>
          <w:rFonts w:cs="Times New Roman"/>
          <w:color w:val="000000"/>
          <w:szCs w:val="24"/>
        </w:rPr>
        <w:t xml:space="preserve">Należy jednak zwrócić uwagę, iż obsługę bankową </w:t>
      </w:r>
      <w:r w:rsidR="004D3C4D" w:rsidRPr="00816E15">
        <w:rPr>
          <w:rFonts w:cs="Times New Roman"/>
          <w:color w:val="000000"/>
          <w:szCs w:val="24"/>
        </w:rPr>
        <w:t xml:space="preserve">Funduszu </w:t>
      </w:r>
      <w:r w:rsidR="00ED0A5D" w:rsidRPr="00816E15">
        <w:rPr>
          <w:rFonts w:cs="Times New Roman"/>
          <w:color w:val="000000"/>
          <w:szCs w:val="24"/>
        </w:rPr>
        <w:t>prowadzi Narodowy Bank Polski, zatem Fundusz będzie mógł lokować środki powyżej 3 dni.</w:t>
      </w:r>
    </w:p>
    <w:p w14:paraId="12447781" w14:textId="58BB902F" w:rsidR="00473172" w:rsidRPr="00816E15" w:rsidRDefault="00473172" w:rsidP="00CF5AAF">
      <w:pPr>
        <w:spacing w:line="360" w:lineRule="auto"/>
        <w:jc w:val="both"/>
        <w:rPr>
          <w:rFonts w:cs="Times New Roman"/>
          <w:szCs w:val="24"/>
          <w:lang w:val="pl"/>
        </w:rPr>
      </w:pPr>
      <w:r w:rsidRPr="00816E15">
        <w:rPr>
          <w:rFonts w:cs="Times New Roman"/>
          <w:szCs w:val="24"/>
          <w:lang w:val="pl"/>
        </w:rPr>
        <w:t>Doświadczenia związane z realizacją obowiązku ochrony tajemnicy zawodowej wskazują, że</w:t>
      </w:r>
      <w:r w:rsidR="0020113D" w:rsidRPr="00816E15">
        <w:rPr>
          <w:rFonts w:cs="Times New Roman"/>
          <w:szCs w:val="24"/>
          <w:lang w:val="pl"/>
        </w:rPr>
        <w:t> </w:t>
      </w:r>
      <w:r w:rsidRPr="00816E15">
        <w:rPr>
          <w:rFonts w:cs="Times New Roman"/>
          <w:b/>
          <w:szCs w:val="24"/>
          <w:lang w:val="pl"/>
        </w:rPr>
        <w:t>art. 320</w:t>
      </w:r>
      <w:r w:rsidRPr="00816E15">
        <w:rPr>
          <w:rFonts w:cs="Times New Roman"/>
          <w:szCs w:val="24"/>
          <w:lang w:val="pl"/>
        </w:rPr>
        <w:t xml:space="preserve"> w obecnym brzmieniu może ograniczać wykonywanie części kompetencji Funduszu, </w:t>
      </w:r>
      <w:r w:rsidR="00003C13" w:rsidRPr="00816E15">
        <w:rPr>
          <w:rFonts w:cs="Times New Roman"/>
          <w:szCs w:val="24"/>
          <w:lang w:val="pl"/>
        </w:rPr>
        <w:t xml:space="preserve">a sam </w:t>
      </w:r>
      <w:r w:rsidRPr="00816E15">
        <w:rPr>
          <w:rFonts w:cs="Times New Roman"/>
          <w:szCs w:val="24"/>
          <w:lang w:val="pl"/>
        </w:rPr>
        <w:t>przepis</w:t>
      </w:r>
      <w:r w:rsidR="00D101E8" w:rsidRPr="00816E15">
        <w:rPr>
          <w:rFonts w:cs="Times New Roman"/>
          <w:szCs w:val="24"/>
          <w:lang w:val="pl"/>
        </w:rPr>
        <w:t xml:space="preserve"> </w:t>
      </w:r>
      <w:r w:rsidRPr="00816E15">
        <w:rPr>
          <w:rFonts w:cs="Times New Roman"/>
          <w:szCs w:val="24"/>
          <w:lang w:val="pl"/>
        </w:rPr>
        <w:t>wymaga</w:t>
      </w:r>
      <w:r w:rsidR="00D101E8" w:rsidRPr="00816E15">
        <w:rPr>
          <w:rFonts w:cs="Times New Roman"/>
          <w:szCs w:val="24"/>
          <w:lang w:val="pl"/>
        </w:rPr>
        <w:t xml:space="preserve"> </w:t>
      </w:r>
      <w:r w:rsidRPr="00816E15">
        <w:rPr>
          <w:rFonts w:cs="Times New Roman"/>
          <w:szCs w:val="24"/>
          <w:lang w:val="pl"/>
        </w:rPr>
        <w:t>sformułowania w bardziej przejrzysty sposób z uwagi na</w:t>
      </w:r>
      <w:r w:rsidR="0020113D" w:rsidRPr="00816E15">
        <w:rPr>
          <w:rFonts w:cs="Times New Roman"/>
          <w:szCs w:val="24"/>
          <w:lang w:val="pl"/>
        </w:rPr>
        <w:t> </w:t>
      </w:r>
      <w:r w:rsidRPr="00816E15">
        <w:rPr>
          <w:rFonts w:cs="Times New Roman"/>
          <w:szCs w:val="24"/>
          <w:lang w:val="pl"/>
        </w:rPr>
        <w:t>możliwość pociągnięcia osób naruszających obowiązek ochrony tajemnicy zawodowej do</w:t>
      </w:r>
      <w:r w:rsidR="0020113D" w:rsidRPr="00816E15">
        <w:rPr>
          <w:rFonts w:cs="Times New Roman"/>
          <w:szCs w:val="24"/>
          <w:lang w:val="pl"/>
        </w:rPr>
        <w:t> </w:t>
      </w:r>
      <w:r w:rsidRPr="00816E15">
        <w:rPr>
          <w:rFonts w:cs="Times New Roman"/>
          <w:szCs w:val="24"/>
          <w:lang w:val="pl"/>
        </w:rPr>
        <w:t>odpowiedzialności karnej.</w:t>
      </w:r>
      <w:r w:rsidR="00816E15">
        <w:rPr>
          <w:rFonts w:cs="Times New Roman"/>
          <w:szCs w:val="24"/>
          <w:lang w:val="pl"/>
        </w:rPr>
        <w:t xml:space="preserve"> </w:t>
      </w:r>
      <w:r w:rsidRPr="00816E15">
        <w:rPr>
          <w:rFonts w:cs="Times New Roman"/>
          <w:szCs w:val="24"/>
          <w:lang w:val="pl"/>
        </w:rPr>
        <w:t xml:space="preserve">Celem pośrednim jest ograniczenie wątpliwości interpretacyjnych. </w:t>
      </w:r>
    </w:p>
    <w:p w14:paraId="161F8207" w14:textId="3FB923DC" w:rsidR="00DF51D9" w:rsidRPr="00816E15" w:rsidRDefault="00473172" w:rsidP="00CF5AAF">
      <w:pPr>
        <w:spacing w:line="360" w:lineRule="auto"/>
        <w:jc w:val="both"/>
        <w:rPr>
          <w:rFonts w:cs="Times New Roman"/>
          <w:szCs w:val="24"/>
          <w:lang w:val="pl"/>
        </w:rPr>
      </w:pPr>
      <w:r w:rsidRPr="00816E15">
        <w:rPr>
          <w:rFonts w:cs="Times New Roman"/>
          <w:szCs w:val="24"/>
          <w:lang w:val="pl"/>
        </w:rPr>
        <w:t xml:space="preserve">W odniesieniu do </w:t>
      </w:r>
      <w:r w:rsidR="00C94878" w:rsidRPr="00816E15">
        <w:rPr>
          <w:rFonts w:cs="Times New Roman"/>
          <w:szCs w:val="24"/>
          <w:lang w:val="pl"/>
        </w:rPr>
        <w:t xml:space="preserve">art. 320 </w:t>
      </w:r>
      <w:r w:rsidRPr="00816E15">
        <w:rPr>
          <w:rFonts w:cs="Times New Roman"/>
          <w:szCs w:val="24"/>
          <w:lang w:val="pl"/>
        </w:rPr>
        <w:t>ust. 1 przepisu dokonano korekty polegającej na wskazaniu</w:t>
      </w:r>
      <w:r w:rsidR="00371AF4">
        <w:rPr>
          <w:rFonts w:cs="Times New Roman"/>
          <w:szCs w:val="24"/>
          <w:lang w:val="pl"/>
        </w:rPr>
        <w:t>,</w:t>
      </w:r>
      <w:r w:rsidRPr="00816E15">
        <w:rPr>
          <w:rFonts w:cs="Times New Roman"/>
          <w:szCs w:val="24"/>
          <w:lang w:val="pl"/>
        </w:rPr>
        <w:t xml:space="preserve"> iż</w:t>
      </w:r>
      <w:r w:rsidR="0020113D" w:rsidRPr="00816E15">
        <w:rPr>
          <w:rFonts w:cs="Times New Roman"/>
          <w:szCs w:val="24"/>
          <w:lang w:val="pl"/>
        </w:rPr>
        <w:t> </w:t>
      </w:r>
      <w:r w:rsidRPr="00816E15">
        <w:rPr>
          <w:rFonts w:cs="Times New Roman"/>
          <w:szCs w:val="24"/>
          <w:lang w:val="pl"/>
        </w:rPr>
        <w:t>obowiązkiem zachowania tajemnicy objęci są pracownicy</w:t>
      </w:r>
      <w:r w:rsidR="001B7A08" w:rsidRPr="00816E15">
        <w:rPr>
          <w:rFonts w:cs="Times New Roman"/>
          <w:szCs w:val="24"/>
          <w:lang w:val="pl"/>
        </w:rPr>
        <w:t xml:space="preserve"> Funduszu oraz osoby</w:t>
      </w:r>
      <w:r w:rsidR="004D3C4D" w:rsidRPr="00816E15">
        <w:rPr>
          <w:rFonts w:cs="Times New Roman"/>
          <w:szCs w:val="24"/>
          <w:lang w:val="pl"/>
        </w:rPr>
        <w:t>,</w:t>
      </w:r>
      <w:r w:rsidR="001B7A08" w:rsidRPr="00816E15">
        <w:rPr>
          <w:rFonts w:cs="Times New Roman"/>
          <w:szCs w:val="24"/>
          <w:lang w:val="pl"/>
        </w:rPr>
        <w:t xml:space="preserve"> z którymi zawarto odpowiednie umowy cywilnoprawne</w:t>
      </w:r>
      <w:r w:rsidRPr="00816E15">
        <w:rPr>
          <w:rFonts w:cs="Times New Roman"/>
          <w:szCs w:val="24"/>
          <w:lang w:val="pl"/>
        </w:rPr>
        <w:t xml:space="preserve">, nie zaś Biura Funduszu. </w:t>
      </w:r>
    </w:p>
    <w:p w14:paraId="67A9395F" w14:textId="55586E16" w:rsidR="00473172" w:rsidRPr="00816E15" w:rsidRDefault="00473172" w:rsidP="00CF5AAF">
      <w:pPr>
        <w:spacing w:line="360" w:lineRule="auto"/>
        <w:jc w:val="both"/>
        <w:rPr>
          <w:rFonts w:cs="Times New Roman"/>
          <w:szCs w:val="24"/>
          <w:lang w:val="pl"/>
        </w:rPr>
      </w:pPr>
      <w:r w:rsidRPr="00816E15">
        <w:rPr>
          <w:rFonts w:cs="Times New Roman"/>
          <w:szCs w:val="24"/>
          <w:lang w:val="pl"/>
        </w:rPr>
        <w:t xml:space="preserve">W </w:t>
      </w:r>
      <w:r w:rsidR="00DF51D9" w:rsidRPr="00816E15">
        <w:rPr>
          <w:rFonts w:cs="Times New Roman"/>
          <w:szCs w:val="24"/>
          <w:lang w:val="pl"/>
        </w:rPr>
        <w:t xml:space="preserve">art. 320 </w:t>
      </w:r>
      <w:r w:rsidRPr="00816E15">
        <w:rPr>
          <w:rFonts w:cs="Times New Roman"/>
          <w:szCs w:val="24"/>
          <w:lang w:val="pl"/>
        </w:rPr>
        <w:t>ust</w:t>
      </w:r>
      <w:r w:rsidR="00E803F6" w:rsidRPr="00816E15">
        <w:rPr>
          <w:rFonts w:cs="Times New Roman"/>
          <w:szCs w:val="24"/>
          <w:lang w:val="pl"/>
        </w:rPr>
        <w:t xml:space="preserve">. </w:t>
      </w:r>
      <w:r w:rsidRPr="00816E15">
        <w:rPr>
          <w:rFonts w:cs="Times New Roman"/>
          <w:szCs w:val="24"/>
          <w:lang w:val="pl"/>
        </w:rPr>
        <w:t xml:space="preserve">3 wprowadzono liczbę mnogą </w:t>
      </w:r>
      <w:r w:rsidR="004D3C4D" w:rsidRPr="00816E15">
        <w:rPr>
          <w:rFonts w:cs="Times New Roman"/>
          <w:szCs w:val="24"/>
          <w:lang w:val="pl"/>
        </w:rPr>
        <w:t xml:space="preserve">w </w:t>
      </w:r>
      <w:r w:rsidRPr="00816E15">
        <w:rPr>
          <w:rFonts w:cs="Times New Roman"/>
          <w:szCs w:val="24"/>
          <w:lang w:val="pl"/>
        </w:rPr>
        <w:t>cel</w:t>
      </w:r>
      <w:r w:rsidR="004D3C4D" w:rsidRPr="00816E15">
        <w:rPr>
          <w:rFonts w:cs="Times New Roman"/>
          <w:szCs w:val="24"/>
          <w:lang w:val="pl"/>
        </w:rPr>
        <w:t xml:space="preserve">u zapewnienia </w:t>
      </w:r>
      <w:r w:rsidRPr="00816E15">
        <w:rPr>
          <w:rFonts w:cs="Times New Roman"/>
          <w:szCs w:val="24"/>
          <w:lang w:val="pl"/>
        </w:rPr>
        <w:t xml:space="preserve">jego </w:t>
      </w:r>
      <w:r w:rsidR="004D3C4D" w:rsidRPr="00816E15">
        <w:rPr>
          <w:rFonts w:cs="Times New Roman"/>
          <w:szCs w:val="24"/>
          <w:lang w:val="pl"/>
        </w:rPr>
        <w:t xml:space="preserve">spójności </w:t>
      </w:r>
      <w:r w:rsidRPr="00816E15">
        <w:rPr>
          <w:rFonts w:cs="Times New Roman"/>
          <w:szCs w:val="24"/>
          <w:lang w:val="pl"/>
        </w:rPr>
        <w:t xml:space="preserve">z ust. 1. </w:t>
      </w:r>
    </w:p>
    <w:p w14:paraId="115C8A82" w14:textId="77777777" w:rsidR="00FA2DDC" w:rsidRPr="00816E15" w:rsidRDefault="00473172" w:rsidP="00CF5AAF">
      <w:pPr>
        <w:spacing w:line="360" w:lineRule="auto"/>
        <w:jc w:val="both"/>
        <w:rPr>
          <w:rFonts w:cs="Times New Roman"/>
          <w:szCs w:val="24"/>
          <w:lang w:val="pl"/>
        </w:rPr>
      </w:pPr>
      <w:r w:rsidRPr="00816E15">
        <w:rPr>
          <w:rFonts w:cs="Times New Roman"/>
          <w:szCs w:val="24"/>
          <w:lang w:val="pl"/>
        </w:rPr>
        <w:t xml:space="preserve">Zmiana w </w:t>
      </w:r>
      <w:r w:rsidRPr="00816E15">
        <w:rPr>
          <w:rFonts w:cs="Times New Roman"/>
          <w:b/>
          <w:szCs w:val="24"/>
          <w:lang w:val="pl"/>
        </w:rPr>
        <w:t xml:space="preserve">art. 320 ust. 4 </w:t>
      </w:r>
      <w:r w:rsidRPr="00816E15">
        <w:rPr>
          <w:rFonts w:cs="Times New Roman"/>
          <w:szCs w:val="24"/>
          <w:lang w:val="pl"/>
        </w:rPr>
        <w:t>polega m.in. na skonkretyzowaniu katalogu podmiotów</w:t>
      </w:r>
      <w:r w:rsidR="00E803F6" w:rsidRPr="00816E15">
        <w:rPr>
          <w:rFonts w:cs="Times New Roman"/>
          <w:szCs w:val="24"/>
          <w:lang w:val="pl"/>
        </w:rPr>
        <w:t>,</w:t>
      </w:r>
      <w:r w:rsidRPr="00816E15">
        <w:rPr>
          <w:rFonts w:cs="Times New Roman"/>
          <w:szCs w:val="24"/>
          <w:lang w:val="pl"/>
        </w:rPr>
        <w:t xml:space="preserve"> którym można udzielać informacji objętych tajemnicą</w:t>
      </w:r>
      <w:r w:rsidR="00E803F6" w:rsidRPr="00816E15">
        <w:rPr>
          <w:rFonts w:cs="Times New Roman"/>
          <w:szCs w:val="24"/>
          <w:lang w:val="pl"/>
        </w:rPr>
        <w:t>,</w:t>
      </w:r>
      <w:r w:rsidRPr="00816E15">
        <w:rPr>
          <w:rFonts w:cs="Times New Roman"/>
          <w:szCs w:val="24"/>
          <w:lang w:val="pl"/>
        </w:rPr>
        <w:t xml:space="preserve"> oraz rozszerzeniu katalogu wyjątków o</w:t>
      </w:r>
      <w:r w:rsidR="0020113D" w:rsidRPr="00816E15">
        <w:rPr>
          <w:rFonts w:cs="Times New Roman"/>
          <w:szCs w:val="24"/>
          <w:lang w:val="pl"/>
        </w:rPr>
        <w:t> </w:t>
      </w:r>
      <w:r w:rsidRPr="00816E15">
        <w:rPr>
          <w:rFonts w:cs="Times New Roman"/>
          <w:szCs w:val="24"/>
          <w:lang w:val="pl"/>
        </w:rPr>
        <w:t>przekazanie informacji podmiotowi zainteresowanemu przejęciem podmiotu, wobec którego planowane jest wydanie decyzji o wszczęciu przymusowej restrukturyzacji.</w:t>
      </w:r>
      <w:r w:rsidR="00FA2DDC" w:rsidRPr="00816E15">
        <w:rPr>
          <w:rFonts w:cs="Times New Roman"/>
          <w:szCs w:val="24"/>
          <w:lang w:val="pl"/>
        </w:rPr>
        <w:t xml:space="preserve"> Rozszerzenie katalogu podmiotowego wynika z dotychczasowych doświadczeń Funduszu, zdecydowano się na wprowadzenie jedenastu grup:</w:t>
      </w:r>
    </w:p>
    <w:p w14:paraId="25370693" w14:textId="3CA18A69" w:rsidR="00FA2DDC" w:rsidRPr="00816E15" w:rsidRDefault="005D2943" w:rsidP="00C35D81">
      <w:pPr>
        <w:pStyle w:val="Akapitzlist"/>
        <w:numPr>
          <w:ilvl w:val="0"/>
          <w:numId w:val="14"/>
        </w:numPr>
        <w:spacing w:line="360" w:lineRule="auto"/>
        <w:ind w:left="851" w:hanging="491"/>
        <w:jc w:val="both"/>
        <w:rPr>
          <w:rFonts w:cs="Times New Roman"/>
          <w:szCs w:val="24"/>
          <w:lang w:val="pl"/>
        </w:rPr>
      </w:pPr>
      <w:r w:rsidRPr="00816E15">
        <w:rPr>
          <w:rFonts w:cs="Times New Roman"/>
          <w:szCs w:val="24"/>
          <w:lang w:val="pl"/>
        </w:rPr>
        <w:t>p</w:t>
      </w:r>
      <w:r w:rsidR="00FA2DDC" w:rsidRPr="00816E15">
        <w:rPr>
          <w:rFonts w:cs="Times New Roman"/>
          <w:szCs w:val="24"/>
          <w:lang w:val="pl"/>
        </w:rPr>
        <w:t>odmioty</w:t>
      </w:r>
      <w:r w:rsidR="00371AF4">
        <w:rPr>
          <w:rFonts w:cs="Times New Roman"/>
          <w:szCs w:val="24"/>
          <w:lang w:val="pl"/>
        </w:rPr>
        <w:t>,</w:t>
      </w:r>
      <w:r w:rsidR="00FA2DDC" w:rsidRPr="00816E15">
        <w:rPr>
          <w:rFonts w:cs="Times New Roman"/>
          <w:szCs w:val="24"/>
          <w:lang w:val="pl"/>
        </w:rPr>
        <w:t xml:space="preserve"> z którymi Fundusz współpracuje permanentnie, zapewniające stabilność oraz monitorowanie systemu finansowego,</w:t>
      </w:r>
    </w:p>
    <w:p w14:paraId="54620CD9" w14:textId="78665A6E" w:rsidR="00FA2DDC" w:rsidRPr="00816E15" w:rsidRDefault="005D2943" w:rsidP="00C35D81">
      <w:pPr>
        <w:pStyle w:val="Akapitzlist"/>
        <w:numPr>
          <w:ilvl w:val="0"/>
          <w:numId w:val="14"/>
        </w:numPr>
        <w:spacing w:line="360" w:lineRule="auto"/>
        <w:ind w:left="851" w:hanging="491"/>
        <w:jc w:val="both"/>
        <w:rPr>
          <w:rFonts w:cs="Times New Roman"/>
          <w:szCs w:val="24"/>
          <w:lang w:val="pl"/>
        </w:rPr>
      </w:pPr>
      <w:r w:rsidRPr="00816E15">
        <w:rPr>
          <w:rFonts w:cs="Times New Roman"/>
          <w:szCs w:val="24"/>
          <w:lang w:val="pl"/>
        </w:rPr>
        <w:t>p</w:t>
      </w:r>
      <w:r w:rsidR="00FA2DDC" w:rsidRPr="00816E15">
        <w:rPr>
          <w:rFonts w:cs="Times New Roman"/>
          <w:szCs w:val="24"/>
          <w:lang w:val="pl"/>
        </w:rPr>
        <w:t>odmioty Unii Europejskiej z innych państw członkowskich oraz powołane na podstawie właściwych aktów prawa,</w:t>
      </w:r>
    </w:p>
    <w:p w14:paraId="14579F98" w14:textId="5D30405D" w:rsidR="00FA2DDC" w:rsidRPr="00816E15" w:rsidRDefault="005D2943" w:rsidP="00C35D81">
      <w:pPr>
        <w:pStyle w:val="Akapitzlist"/>
        <w:numPr>
          <w:ilvl w:val="0"/>
          <w:numId w:val="14"/>
        </w:numPr>
        <w:spacing w:line="360" w:lineRule="auto"/>
        <w:ind w:left="851" w:hanging="491"/>
        <w:jc w:val="both"/>
        <w:rPr>
          <w:rFonts w:cs="Times New Roman"/>
          <w:szCs w:val="24"/>
          <w:lang w:val="pl"/>
        </w:rPr>
      </w:pPr>
      <w:r w:rsidRPr="00816E15">
        <w:rPr>
          <w:rFonts w:cs="Times New Roman"/>
          <w:szCs w:val="24"/>
          <w:lang w:val="pl"/>
        </w:rPr>
        <w:t>p</w:t>
      </w:r>
      <w:r w:rsidR="00FA2DDC" w:rsidRPr="00816E15">
        <w:rPr>
          <w:rFonts w:cs="Times New Roman"/>
          <w:szCs w:val="24"/>
          <w:lang w:val="pl"/>
        </w:rPr>
        <w:t>odmioty związane z władzą sądowniczą i postępowaniem upadłościowym,</w:t>
      </w:r>
    </w:p>
    <w:p w14:paraId="5641EDB5" w14:textId="25079309" w:rsidR="005D2943" w:rsidRPr="00816E15" w:rsidRDefault="005D2943" w:rsidP="00C35D81">
      <w:pPr>
        <w:pStyle w:val="Akapitzlist"/>
        <w:numPr>
          <w:ilvl w:val="0"/>
          <w:numId w:val="14"/>
        </w:numPr>
        <w:spacing w:line="360" w:lineRule="auto"/>
        <w:ind w:left="851" w:hanging="491"/>
        <w:jc w:val="both"/>
        <w:rPr>
          <w:rFonts w:cs="Times New Roman"/>
          <w:szCs w:val="24"/>
          <w:lang w:val="pl"/>
        </w:rPr>
      </w:pPr>
      <w:r w:rsidRPr="00816E15">
        <w:rPr>
          <w:rFonts w:cs="Times New Roman"/>
          <w:szCs w:val="24"/>
          <w:lang w:val="pl"/>
        </w:rPr>
        <w:t>p</w:t>
      </w:r>
      <w:r w:rsidR="00FA2DDC" w:rsidRPr="00816E15">
        <w:rPr>
          <w:rFonts w:cs="Times New Roman"/>
          <w:szCs w:val="24"/>
          <w:lang w:val="pl"/>
        </w:rPr>
        <w:t>odmioty związane z zapewnieniem bezpieczeństwa i zapewniające stosowalność sankcji prawa karnego albo egzekucję</w:t>
      </w:r>
      <w:r w:rsidRPr="00816E15">
        <w:rPr>
          <w:rFonts w:cs="Times New Roman"/>
          <w:szCs w:val="24"/>
          <w:lang w:val="pl"/>
        </w:rPr>
        <w:t>,</w:t>
      </w:r>
    </w:p>
    <w:p w14:paraId="549CBDD2" w14:textId="37CE486A" w:rsidR="005D2943" w:rsidRPr="00816E15" w:rsidRDefault="005D2943" w:rsidP="00C35D81">
      <w:pPr>
        <w:pStyle w:val="Akapitzlist"/>
        <w:numPr>
          <w:ilvl w:val="0"/>
          <w:numId w:val="14"/>
        </w:numPr>
        <w:spacing w:line="360" w:lineRule="auto"/>
        <w:ind w:left="851" w:hanging="491"/>
        <w:jc w:val="both"/>
        <w:rPr>
          <w:rFonts w:cs="Times New Roman"/>
          <w:szCs w:val="24"/>
          <w:lang w:val="pl"/>
        </w:rPr>
      </w:pPr>
      <w:r w:rsidRPr="00816E15">
        <w:rPr>
          <w:rFonts w:cs="Times New Roman"/>
          <w:szCs w:val="24"/>
          <w:lang w:val="pl"/>
        </w:rPr>
        <w:t>podmiot</w:t>
      </w:r>
      <w:r w:rsidR="00371AF4">
        <w:rPr>
          <w:rFonts w:cs="Times New Roman"/>
          <w:szCs w:val="24"/>
          <w:lang w:val="pl"/>
        </w:rPr>
        <w:t>y</w:t>
      </w:r>
      <w:r w:rsidRPr="00816E15">
        <w:rPr>
          <w:rFonts w:cs="Times New Roman"/>
          <w:szCs w:val="24"/>
          <w:lang w:val="pl"/>
        </w:rPr>
        <w:t xml:space="preserve"> świadcząc</w:t>
      </w:r>
      <w:r w:rsidR="00371AF4">
        <w:rPr>
          <w:rFonts w:cs="Times New Roman"/>
          <w:szCs w:val="24"/>
          <w:lang w:val="pl"/>
        </w:rPr>
        <w:t xml:space="preserve">e </w:t>
      </w:r>
      <w:r w:rsidRPr="00816E15">
        <w:rPr>
          <w:rFonts w:cs="Times New Roman"/>
          <w:szCs w:val="24"/>
          <w:lang w:val="pl"/>
        </w:rPr>
        <w:t>wyspecjalizowaną pomoc prawną,</w:t>
      </w:r>
    </w:p>
    <w:p w14:paraId="0E53781C" w14:textId="09FEB497" w:rsidR="00FA2DDC" w:rsidRPr="00816E15" w:rsidRDefault="005D2943" w:rsidP="00C35D81">
      <w:pPr>
        <w:pStyle w:val="Akapitzlist"/>
        <w:numPr>
          <w:ilvl w:val="0"/>
          <w:numId w:val="14"/>
        </w:numPr>
        <w:spacing w:line="360" w:lineRule="auto"/>
        <w:ind w:left="851" w:hanging="491"/>
        <w:jc w:val="both"/>
        <w:rPr>
          <w:rFonts w:cs="Times New Roman"/>
          <w:szCs w:val="24"/>
          <w:lang w:val="pl"/>
        </w:rPr>
      </w:pPr>
      <w:r w:rsidRPr="00816E15">
        <w:rPr>
          <w:szCs w:val="24"/>
        </w:rPr>
        <w:t>podmiot</w:t>
      </w:r>
      <w:r w:rsidR="00371AF4">
        <w:rPr>
          <w:szCs w:val="24"/>
        </w:rPr>
        <w:t>y</w:t>
      </w:r>
      <w:r w:rsidRPr="00816E15">
        <w:rPr>
          <w:szCs w:val="24"/>
        </w:rPr>
        <w:t xml:space="preserve"> zainteresowan</w:t>
      </w:r>
      <w:r w:rsidR="00371AF4">
        <w:rPr>
          <w:szCs w:val="24"/>
        </w:rPr>
        <w:t>e</w:t>
      </w:r>
      <w:r w:rsidRPr="00816E15">
        <w:rPr>
          <w:szCs w:val="24"/>
        </w:rPr>
        <w:t xml:space="preserve"> przejęciem przedsiębiorstwa albo wybranych praw czy zobowiązań,</w:t>
      </w:r>
    </w:p>
    <w:p w14:paraId="5A1C939D" w14:textId="19FEC11A" w:rsidR="005D2943" w:rsidRPr="00816E15" w:rsidRDefault="005D2943" w:rsidP="00C35D81">
      <w:pPr>
        <w:pStyle w:val="Akapitzlist"/>
        <w:numPr>
          <w:ilvl w:val="0"/>
          <w:numId w:val="14"/>
        </w:numPr>
        <w:spacing w:line="360" w:lineRule="auto"/>
        <w:ind w:left="851" w:hanging="491"/>
        <w:jc w:val="both"/>
        <w:rPr>
          <w:rFonts w:cs="Times New Roman"/>
          <w:szCs w:val="24"/>
          <w:lang w:val="pl"/>
        </w:rPr>
      </w:pPr>
      <w:r w:rsidRPr="00816E15">
        <w:rPr>
          <w:rFonts w:cs="Times New Roman"/>
          <w:szCs w:val="24"/>
          <w:lang w:val="pl"/>
        </w:rPr>
        <w:t>powołan</w:t>
      </w:r>
      <w:r w:rsidR="00371AF4">
        <w:rPr>
          <w:rFonts w:cs="Times New Roman"/>
          <w:szCs w:val="24"/>
          <w:lang w:val="pl"/>
        </w:rPr>
        <w:t>e</w:t>
      </w:r>
      <w:r w:rsidRPr="00816E15">
        <w:rPr>
          <w:rFonts w:cs="Times New Roman"/>
          <w:szCs w:val="24"/>
          <w:lang w:val="pl"/>
        </w:rPr>
        <w:t xml:space="preserve"> instytucj</w:t>
      </w:r>
      <w:r w:rsidR="00371AF4">
        <w:rPr>
          <w:rFonts w:cs="Times New Roman"/>
          <w:szCs w:val="24"/>
          <w:lang w:val="pl"/>
        </w:rPr>
        <w:t>e</w:t>
      </w:r>
      <w:r w:rsidRPr="00816E15">
        <w:rPr>
          <w:rFonts w:cs="Times New Roman"/>
          <w:szCs w:val="24"/>
          <w:lang w:val="pl"/>
        </w:rPr>
        <w:t xml:space="preserve"> pomostow</w:t>
      </w:r>
      <w:r w:rsidR="00371AF4">
        <w:rPr>
          <w:rFonts w:cs="Times New Roman"/>
          <w:szCs w:val="24"/>
          <w:lang w:val="pl"/>
        </w:rPr>
        <w:t>e</w:t>
      </w:r>
      <w:r w:rsidRPr="00816E15">
        <w:rPr>
          <w:rFonts w:cs="Times New Roman"/>
          <w:szCs w:val="24"/>
          <w:lang w:val="pl"/>
        </w:rPr>
        <w:t>,</w:t>
      </w:r>
    </w:p>
    <w:p w14:paraId="3B621DCB" w14:textId="6C1CEA9E" w:rsidR="005D2943" w:rsidRPr="00816E15" w:rsidRDefault="005D2943" w:rsidP="00C35D81">
      <w:pPr>
        <w:pStyle w:val="Akapitzlist"/>
        <w:numPr>
          <w:ilvl w:val="0"/>
          <w:numId w:val="14"/>
        </w:numPr>
        <w:spacing w:line="360" w:lineRule="auto"/>
        <w:ind w:left="851" w:hanging="491"/>
        <w:jc w:val="both"/>
        <w:rPr>
          <w:rFonts w:cs="Times New Roman"/>
          <w:szCs w:val="24"/>
          <w:lang w:val="pl"/>
        </w:rPr>
      </w:pPr>
      <w:r w:rsidRPr="00816E15">
        <w:rPr>
          <w:szCs w:val="24"/>
        </w:rPr>
        <w:t>podmiot</w:t>
      </w:r>
      <w:r w:rsidR="00371AF4">
        <w:rPr>
          <w:szCs w:val="24"/>
        </w:rPr>
        <w:t>y</w:t>
      </w:r>
      <w:r w:rsidRPr="00816E15">
        <w:rPr>
          <w:szCs w:val="24"/>
        </w:rPr>
        <w:t xml:space="preserve"> zainteresowan</w:t>
      </w:r>
      <w:r w:rsidR="00371AF4">
        <w:rPr>
          <w:szCs w:val="24"/>
        </w:rPr>
        <w:t>e</w:t>
      </w:r>
      <w:r w:rsidRPr="00816E15">
        <w:rPr>
          <w:szCs w:val="24"/>
        </w:rPr>
        <w:t xml:space="preserve"> przejęciem przedsiębiorstwa albo wybranych praw czy zobowiązań w przypadku kas,</w:t>
      </w:r>
    </w:p>
    <w:p w14:paraId="28523905" w14:textId="5E97CEC6" w:rsidR="005D2943" w:rsidRPr="00816E15" w:rsidRDefault="005D2943" w:rsidP="00C35D81">
      <w:pPr>
        <w:pStyle w:val="Akapitzlist"/>
        <w:numPr>
          <w:ilvl w:val="0"/>
          <w:numId w:val="14"/>
        </w:numPr>
        <w:spacing w:line="360" w:lineRule="auto"/>
        <w:ind w:left="851" w:hanging="491"/>
        <w:jc w:val="both"/>
        <w:rPr>
          <w:rFonts w:cs="Times New Roman"/>
          <w:szCs w:val="24"/>
          <w:lang w:val="pl"/>
        </w:rPr>
      </w:pPr>
      <w:r w:rsidRPr="00816E15">
        <w:rPr>
          <w:rFonts w:cs="Times New Roman"/>
          <w:szCs w:val="24"/>
          <w:lang w:val="pl"/>
        </w:rPr>
        <w:t>osob</w:t>
      </w:r>
      <w:r w:rsidR="00371AF4">
        <w:rPr>
          <w:rFonts w:cs="Times New Roman"/>
          <w:szCs w:val="24"/>
          <w:lang w:val="pl"/>
        </w:rPr>
        <w:t>y</w:t>
      </w:r>
      <w:r w:rsidRPr="00816E15">
        <w:rPr>
          <w:rFonts w:cs="Times New Roman"/>
          <w:szCs w:val="24"/>
          <w:lang w:val="pl"/>
        </w:rPr>
        <w:t xml:space="preserve"> lub podmiot</w:t>
      </w:r>
      <w:r w:rsidR="00371AF4">
        <w:rPr>
          <w:rFonts w:cs="Times New Roman"/>
          <w:szCs w:val="24"/>
          <w:lang w:val="pl"/>
        </w:rPr>
        <w:t>y</w:t>
      </w:r>
      <w:r w:rsidRPr="00816E15">
        <w:rPr>
          <w:rFonts w:cs="Times New Roman"/>
          <w:szCs w:val="24"/>
          <w:lang w:val="pl"/>
        </w:rPr>
        <w:t>, którym powierzono zadania związane z przygotowaniem lub przeprowadzeniem przymusowej restrukturyzacji</w:t>
      </w:r>
      <w:r w:rsidR="00DA7703" w:rsidRPr="00816E15">
        <w:rPr>
          <w:rFonts w:cs="Times New Roman"/>
          <w:szCs w:val="24"/>
          <w:lang w:val="pl"/>
        </w:rPr>
        <w:t xml:space="preserve"> </w:t>
      </w:r>
      <w:r w:rsidR="001C726F" w:rsidRPr="00816E15">
        <w:rPr>
          <w:rFonts w:cs="Times New Roman"/>
          <w:szCs w:val="24"/>
          <w:lang w:val="pl"/>
        </w:rPr>
        <w:t xml:space="preserve">lub </w:t>
      </w:r>
      <w:r w:rsidR="00DA7703" w:rsidRPr="00816E15">
        <w:rPr>
          <w:rFonts w:cs="Times New Roman"/>
          <w:szCs w:val="24"/>
          <w:lang w:val="pl"/>
        </w:rPr>
        <w:t>wypłatą środków gwarantowanych,</w:t>
      </w:r>
    </w:p>
    <w:p w14:paraId="6B1D0604" w14:textId="307D1167" w:rsidR="005D2943" w:rsidRPr="00816E15" w:rsidRDefault="005D2943" w:rsidP="00C35D81">
      <w:pPr>
        <w:pStyle w:val="Akapitzlist"/>
        <w:numPr>
          <w:ilvl w:val="0"/>
          <w:numId w:val="14"/>
        </w:numPr>
        <w:spacing w:line="360" w:lineRule="auto"/>
        <w:ind w:left="851" w:hanging="491"/>
        <w:jc w:val="both"/>
        <w:rPr>
          <w:rFonts w:cs="Times New Roman"/>
          <w:szCs w:val="24"/>
          <w:lang w:val="pl"/>
        </w:rPr>
      </w:pPr>
      <w:r w:rsidRPr="00816E15">
        <w:rPr>
          <w:rFonts w:cs="Times New Roman"/>
          <w:szCs w:val="24"/>
          <w:lang w:val="pl"/>
        </w:rPr>
        <w:t>firm</w:t>
      </w:r>
      <w:r w:rsidR="00371AF4">
        <w:rPr>
          <w:rFonts w:cs="Times New Roman"/>
          <w:szCs w:val="24"/>
          <w:lang w:val="pl"/>
        </w:rPr>
        <w:t>y</w:t>
      </w:r>
      <w:r w:rsidRPr="00816E15">
        <w:rPr>
          <w:rFonts w:cs="Times New Roman"/>
          <w:szCs w:val="24"/>
          <w:lang w:val="pl"/>
        </w:rPr>
        <w:t xml:space="preserve"> audytorski</w:t>
      </w:r>
      <w:r w:rsidR="00371AF4">
        <w:rPr>
          <w:rFonts w:cs="Times New Roman"/>
          <w:szCs w:val="24"/>
          <w:lang w:val="pl"/>
        </w:rPr>
        <w:t>e</w:t>
      </w:r>
      <w:r w:rsidRPr="00816E15">
        <w:rPr>
          <w:rFonts w:cs="Times New Roman"/>
          <w:szCs w:val="24"/>
          <w:lang w:val="pl"/>
        </w:rPr>
        <w:t>,</w:t>
      </w:r>
    </w:p>
    <w:p w14:paraId="6FDFC502" w14:textId="19D3F3BC" w:rsidR="005D2943" w:rsidRPr="00816E15" w:rsidRDefault="005D2943" w:rsidP="00C35D81">
      <w:pPr>
        <w:pStyle w:val="Akapitzlist"/>
        <w:numPr>
          <w:ilvl w:val="0"/>
          <w:numId w:val="14"/>
        </w:numPr>
        <w:spacing w:line="360" w:lineRule="auto"/>
        <w:ind w:left="851" w:hanging="491"/>
        <w:jc w:val="both"/>
        <w:rPr>
          <w:rFonts w:cs="Times New Roman"/>
          <w:szCs w:val="24"/>
          <w:lang w:val="pl"/>
        </w:rPr>
      </w:pPr>
      <w:r w:rsidRPr="00816E15">
        <w:rPr>
          <w:szCs w:val="24"/>
        </w:rPr>
        <w:t>jednost</w:t>
      </w:r>
      <w:r w:rsidR="00371AF4">
        <w:rPr>
          <w:szCs w:val="24"/>
        </w:rPr>
        <w:t>ka</w:t>
      </w:r>
      <w:r w:rsidRPr="00816E15">
        <w:rPr>
          <w:szCs w:val="24"/>
        </w:rPr>
        <w:t xml:space="preserve"> zarządzając</w:t>
      </w:r>
      <w:r w:rsidR="00371AF4">
        <w:rPr>
          <w:szCs w:val="24"/>
        </w:rPr>
        <w:t>a</w:t>
      </w:r>
      <w:r w:rsidRPr="00816E15">
        <w:rPr>
          <w:szCs w:val="24"/>
        </w:rPr>
        <w:t xml:space="preserve"> systemem ochrony, o której mowa w art. 22d ust. 1 pkt 2 ustawy o funkcjonowaniu banków spółdzielczych</w:t>
      </w:r>
      <w:r w:rsidR="00603CBD" w:rsidRPr="00816E15">
        <w:rPr>
          <w:szCs w:val="24"/>
        </w:rPr>
        <w:t>, ich zrzeszaniu się i bankach zrzeszających</w:t>
      </w:r>
      <w:r w:rsidRPr="00816E15">
        <w:rPr>
          <w:szCs w:val="24"/>
        </w:rPr>
        <w:t>.</w:t>
      </w:r>
    </w:p>
    <w:p w14:paraId="620AE37A" w14:textId="7BE0EF24" w:rsidR="00473172" w:rsidRPr="00816E15" w:rsidRDefault="00473172" w:rsidP="00CF5AAF">
      <w:pPr>
        <w:spacing w:line="360" w:lineRule="auto"/>
        <w:jc w:val="both"/>
        <w:rPr>
          <w:rFonts w:cs="Times New Roman"/>
          <w:szCs w:val="24"/>
          <w:lang w:val="pl"/>
        </w:rPr>
      </w:pPr>
      <w:r w:rsidRPr="00816E15">
        <w:rPr>
          <w:rFonts w:cs="Times New Roman"/>
          <w:szCs w:val="24"/>
          <w:lang w:val="pl"/>
        </w:rPr>
        <w:t xml:space="preserve">Zmiana ta ma na celu faktyczne umożliwienie poszukiwania potencjalnego podmiotu przejmującego. </w:t>
      </w:r>
      <w:r w:rsidR="00C20344" w:rsidRPr="00816E15">
        <w:rPr>
          <w:rFonts w:cs="Times New Roman"/>
          <w:szCs w:val="24"/>
          <w:lang w:val="pl"/>
        </w:rPr>
        <w:t>Przepis a</w:t>
      </w:r>
      <w:r w:rsidRPr="00816E15">
        <w:rPr>
          <w:rFonts w:cs="Times New Roman"/>
          <w:szCs w:val="24"/>
          <w:lang w:val="pl"/>
        </w:rPr>
        <w:t>rt. 320 ust. 4 pkt 6 w obecnym brzmieniu przewiduje możliwość przekazywania informacji potencjalnemu podmiotowi przejmującemu jedynie w okresie po wydaniu decyzji o wszczęciu przymusowej restrukturyzacji, co utrudnia znalezienie podmiotu zainteresowanego przejęciem przedsiębiorstwa podmiotu w restrukturyzacji. Zgodnie z</w:t>
      </w:r>
      <w:r w:rsidR="0020113D" w:rsidRPr="00816E15">
        <w:rPr>
          <w:rFonts w:cs="Times New Roman"/>
          <w:szCs w:val="24"/>
          <w:lang w:val="pl"/>
        </w:rPr>
        <w:t> </w:t>
      </w:r>
      <w:r w:rsidRPr="00816E15">
        <w:rPr>
          <w:rFonts w:cs="Times New Roman"/>
          <w:szCs w:val="24"/>
          <w:lang w:val="pl"/>
        </w:rPr>
        <w:t>art.</w:t>
      </w:r>
      <w:r w:rsidR="0020113D" w:rsidRPr="00816E15">
        <w:rPr>
          <w:rFonts w:cs="Times New Roman"/>
          <w:szCs w:val="24"/>
          <w:lang w:val="pl"/>
        </w:rPr>
        <w:t> </w:t>
      </w:r>
      <w:r w:rsidRPr="00816E15">
        <w:rPr>
          <w:rFonts w:cs="Times New Roman"/>
          <w:szCs w:val="24"/>
          <w:lang w:val="pl"/>
        </w:rPr>
        <w:t xml:space="preserve">101 ust. 12 przewiduje </w:t>
      </w:r>
      <w:r w:rsidR="00124E6B" w:rsidRPr="00816E15">
        <w:rPr>
          <w:rFonts w:cs="Times New Roman"/>
          <w:szCs w:val="24"/>
          <w:lang w:val="pl"/>
        </w:rPr>
        <w:t xml:space="preserve">się </w:t>
      </w:r>
      <w:r w:rsidRPr="00816E15">
        <w:rPr>
          <w:rFonts w:cs="Times New Roman"/>
          <w:szCs w:val="24"/>
          <w:lang w:val="pl"/>
        </w:rPr>
        <w:t>możliwość jednoczesnego wydania decyzji o wszczęciu przymusowej restrukturyzacji i o zastosowaniu instrumentu przymusowej restrukturyzacji. W</w:t>
      </w:r>
      <w:r w:rsidR="00687468" w:rsidRPr="00816E15">
        <w:rPr>
          <w:rFonts w:cs="Times New Roman"/>
          <w:szCs w:val="24"/>
          <w:lang w:val="pl"/>
        </w:rPr>
        <w:t> </w:t>
      </w:r>
      <w:r w:rsidRPr="00816E15">
        <w:rPr>
          <w:rFonts w:cs="Times New Roman"/>
          <w:szCs w:val="24"/>
          <w:lang w:val="pl"/>
        </w:rPr>
        <w:t xml:space="preserve">kontekście zmian, jakie zachodzą w organizacji i funkcjonowaniu podmiotu w przypadku wszczęcia wobec niego przymusowej restrukturyzacji, wydanie decyzji o przejęciu przedsiębiorstwa podmiotu w restrukturyzacji przez określony podmiot przejmujący jednocześnie z decyzją o wszczęciu przymusowej restrukturyzacji może okazać się </w:t>
      </w:r>
      <w:r w:rsidR="0010696F" w:rsidRPr="00816E15">
        <w:rPr>
          <w:rFonts w:cs="Times New Roman"/>
          <w:szCs w:val="24"/>
          <w:lang w:val="pl"/>
        </w:rPr>
        <w:t xml:space="preserve">szczególnie </w:t>
      </w:r>
      <w:r w:rsidRPr="00816E15">
        <w:rPr>
          <w:rFonts w:cs="Times New Roman"/>
          <w:szCs w:val="24"/>
          <w:lang w:val="pl"/>
        </w:rPr>
        <w:t>istotne dla możliwości osiągnięcia celów przymusowej restrukturyzacji. Brak możliwości poszukiwania podmiotu przejmującego przed wszczęciem przymusowej restrukturyzacji i związany z tym brak możliwości szybkiego wydania decyzji o przejęciu może zaś w konsekwencji prowadzić nawet do konieczności wyboru ścieżki postępowania upadłościowego jako lepiej zabezpieczającego interesy klientów i kontrahentów podmiotu. W celu wykluczenia wątpliwości interpretacyjnych co do możliwości przekazywania informacji stanowiących tajemnicę zawodową w celu wykonania uprawnienia do</w:t>
      </w:r>
      <w:r w:rsidR="00687468" w:rsidRPr="00816E15">
        <w:rPr>
          <w:rFonts w:cs="Times New Roman"/>
          <w:szCs w:val="24"/>
          <w:lang w:val="pl"/>
        </w:rPr>
        <w:t> </w:t>
      </w:r>
      <w:r w:rsidRPr="00816E15">
        <w:rPr>
          <w:rFonts w:cs="Times New Roman"/>
          <w:szCs w:val="24"/>
          <w:lang w:val="pl"/>
        </w:rPr>
        <w:t>poszukiwania podmiotu przejmującego w przypadku, o którym mowa w art. 96 ust. 4 pkt 3</w:t>
      </w:r>
      <w:r w:rsidR="00124E6B" w:rsidRPr="00816E15">
        <w:rPr>
          <w:rFonts w:cs="Times New Roman"/>
          <w:szCs w:val="24"/>
          <w:lang w:val="pl"/>
        </w:rPr>
        <w:t xml:space="preserve">, </w:t>
      </w:r>
      <w:r w:rsidRPr="00816E15">
        <w:rPr>
          <w:rFonts w:cs="Times New Roman"/>
          <w:szCs w:val="24"/>
          <w:lang w:val="pl"/>
        </w:rPr>
        <w:t>tj. w przypadku, gdy Fundusz samodzielnie lub we współpracy z podmiotem przejmowanym poszukuje podmiotu przejmującego, po otrzymaniu od zarządu banku powiadomienia o</w:t>
      </w:r>
      <w:r w:rsidR="00687468" w:rsidRPr="00816E15">
        <w:rPr>
          <w:rFonts w:cs="Times New Roman"/>
          <w:szCs w:val="24"/>
          <w:lang w:val="pl"/>
        </w:rPr>
        <w:t> </w:t>
      </w:r>
      <w:r w:rsidRPr="00816E15">
        <w:rPr>
          <w:rFonts w:cs="Times New Roman"/>
          <w:szCs w:val="24"/>
          <w:lang w:val="pl"/>
        </w:rPr>
        <w:t>wdrożeniu planu naprawy albo powiadomienia od Komisji Nadzoru Finansowego, o którym mowa w art. 326 ust. 1 pkt 2 lub 3</w:t>
      </w:r>
      <w:r w:rsidR="00124E6B" w:rsidRPr="00816E15">
        <w:rPr>
          <w:rFonts w:cs="Times New Roman"/>
          <w:szCs w:val="24"/>
          <w:lang w:val="pl"/>
        </w:rPr>
        <w:t>,</w:t>
      </w:r>
      <w:r w:rsidR="00816E15">
        <w:rPr>
          <w:rFonts w:cs="Times New Roman"/>
          <w:szCs w:val="24"/>
          <w:lang w:val="pl"/>
        </w:rPr>
        <w:t xml:space="preserve"> </w:t>
      </w:r>
      <w:r w:rsidRPr="00816E15">
        <w:rPr>
          <w:rFonts w:cs="Times New Roman"/>
          <w:szCs w:val="24"/>
          <w:lang w:val="pl"/>
        </w:rPr>
        <w:t>proponuje się wskazać na tę możliwość wprost w art. 320</w:t>
      </w:r>
      <w:r w:rsidR="00687468" w:rsidRPr="00816E15">
        <w:rPr>
          <w:rFonts w:cs="Times New Roman"/>
          <w:szCs w:val="24"/>
          <w:lang w:val="pl"/>
        </w:rPr>
        <w:t> </w:t>
      </w:r>
      <w:r w:rsidRPr="00816E15">
        <w:rPr>
          <w:rFonts w:cs="Times New Roman"/>
          <w:szCs w:val="24"/>
          <w:lang w:val="pl"/>
        </w:rPr>
        <w:t>ust. 4.</w:t>
      </w:r>
    </w:p>
    <w:p w14:paraId="56C5A3B9" w14:textId="4D971926" w:rsidR="00473172" w:rsidRPr="00816E15" w:rsidRDefault="00473172" w:rsidP="00CF5AAF">
      <w:pPr>
        <w:spacing w:line="360" w:lineRule="auto"/>
        <w:jc w:val="both"/>
        <w:rPr>
          <w:rFonts w:cs="Times New Roman"/>
          <w:szCs w:val="24"/>
          <w:lang w:val="pl"/>
        </w:rPr>
      </w:pPr>
      <w:r w:rsidRPr="00816E15">
        <w:rPr>
          <w:rFonts w:cs="Times New Roman"/>
          <w:szCs w:val="24"/>
          <w:lang w:val="pl"/>
        </w:rPr>
        <w:t xml:space="preserve">W odniesieniu do proponowanego </w:t>
      </w:r>
      <w:r w:rsidRPr="00816E15">
        <w:rPr>
          <w:rFonts w:cs="Times New Roman"/>
          <w:b/>
          <w:szCs w:val="24"/>
          <w:lang w:val="pl"/>
        </w:rPr>
        <w:t>art. 320 ust. 4 pkt 9 lit. b</w:t>
      </w:r>
      <w:r w:rsidRPr="00816E15">
        <w:rPr>
          <w:rFonts w:cs="Times New Roman"/>
          <w:szCs w:val="24"/>
          <w:lang w:val="pl"/>
        </w:rPr>
        <w:t xml:space="preserve"> należy wskazać, że zgodnie z</w:t>
      </w:r>
      <w:r w:rsidR="00687468" w:rsidRPr="00816E15">
        <w:rPr>
          <w:rFonts w:cs="Times New Roman"/>
          <w:szCs w:val="24"/>
          <w:lang w:val="pl"/>
        </w:rPr>
        <w:t> </w:t>
      </w:r>
      <w:r w:rsidRPr="00816E15">
        <w:rPr>
          <w:rFonts w:cs="Times New Roman"/>
          <w:szCs w:val="24"/>
          <w:lang w:val="pl"/>
        </w:rPr>
        <w:t>art. 137 ust. 1, Fundusz</w:t>
      </w:r>
      <w:r w:rsidR="00124E6B" w:rsidRPr="00816E15">
        <w:rPr>
          <w:rFonts w:cs="Times New Roman"/>
          <w:szCs w:val="24"/>
          <w:lang w:val="pl"/>
        </w:rPr>
        <w:t>,</w:t>
      </w:r>
      <w:r w:rsidRPr="00816E15">
        <w:rPr>
          <w:rFonts w:cs="Times New Roman"/>
          <w:szCs w:val="24"/>
          <w:lang w:val="pl"/>
        </w:rPr>
        <w:t xml:space="preserve"> przed podjęciem decyzji o wszczęciu przymusowej restrukturyzacji, zapewnia przeprowadzenie oszacowania wartości aktywów i pasywów podmiotu. Oszacowania dokonuje na zlecenie Funduszu podmiot niezależny od organów publicznych, Funduszu, podmiotu, którego aktywa i pasywa podlegają oszacowaniu, oraz podmiotu dominującego wobec tego podmiotu lub innych podmiotów grupy, w skład której wchodzi podmiot, którego aktywa i pasywa podlegają oszacowaniu (art. 137 ust. 2). Wymogi w</w:t>
      </w:r>
      <w:r w:rsidR="00687468" w:rsidRPr="00816E15">
        <w:rPr>
          <w:rFonts w:cs="Times New Roman"/>
          <w:szCs w:val="24"/>
          <w:lang w:val="pl"/>
        </w:rPr>
        <w:t> </w:t>
      </w:r>
      <w:r w:rsidRPr="00816E15">
        <w:rPr>
          <w:rFonts w:cs="Times New Roman"/>
          <w:szCs w:val="24"/>
          <w:lang w:val="pl"/>
        </w:rPr>
        <w:t xml:space="preserve">zakresie niezależności podmiotu przeprowadzającego oszacowanie określają także przepisy rozporządzenia </w:t>
      </w:r>
      <w:r w:rsidR="00FB5AF0" w:rsidRPr="00816E15">
        <w:rPr>
          <w:rFonts w:cs="Times New Roman"/>
          <w:szCs w:val="24"/>
          <w:lang w:val="pl"/>
        </w:rPr>
        <w:t xml:space="preserve">delegowanego </w:t>
      </w:r>
      <w:r w:rsidR="00331BAA" w:rsidRPr="00816E15">
        <w:rPr>
          <w:rFonts w:cs="Times New Roman"/>
          <w:szCs w:val="24"/>
          <w:lang w:val="pl"/>
        </w:rPr>
        <w:t>Komisji 2016/1075</w:t>
      </w:r>
      <w:r w:rsidR="00FB5AF0" w:rsidRPr="00816E15">
        <w:rPr>
          <w:rFonts w:cs="Times New Roman"/>
          <w:szCs w:val="24"/>
          <w:lang w:val="pl"/>
        </w:rPr>
        <w:t>.</w:t>
      </w:r>
      <w:r w:rsidR="00816E15">
        <w:rPr>
          <w:rFonts w:cs="Times New Roman"/>
          <w:szCs w:val="24"/>
          <w:lang w:val="pl"/>
        </w:rPr>
        <w:t xml:space="preserve"> </w:t>
      </w:r>
      <w:r w:rsidRPr="00816E15">
        <w:rPr>
          <w:rFonts w:cs="Times New Roman"/>
          <w:szCs w:val="24"/>
          <w:lang w:val="pl"/>
        </w:rPr>
        <w:t>Fundusz zobowiązany jest do weryfikacji niezależności podmiotu przeprowadzającego oszacowanie od konkretnego podmiotu, którego aktywa i pasywa mają podlegać oszacowaniu – przed przystąpieniem do</w:t>
      </w:r>
      <w:r w:rsidR="00687468" w:rsidRPr="00816E15">
        <w:rPr>
          <w:rFonts w:cs="Times New Roman"/>
          <w:szCs w:val="24"/>
          <w:lang w:val="pl"/>
        </w:rPr>
        <w:t> </w:t>
      </w:r>
      <w:r w:rsidRPr="00816E15">
        <w:rPr>
          <w:rFonts w:cs="Times New Roman"/>
          <w:szCs w:val="24"/>
          <w:lang w:val="pl"/>
        </w:rPr>
        <w:t>oszacowania. Dopiero w przypadku potwierdzenia niezależności audytora możliwe jest zawarcie z nim umowy na przeprowadzenie oszacowania. Co więcej, zawarcie umowy i</w:t>
      </w:r>
      <w:r w:rsidR="00687468" w:rsidRPr="00816E15">
        <w:rPr>
          <w:rFonts w:cs="Times New Roman"/>
          <w:szCs w:val="24"/>
          <w:lang w:val="pl"/>
        </w:rPr>
        <w:t> </w:t>
      </w:r>
      <w:r w:rsidRPr="00816E15">
        <w:rPr>
          <w:rFonts w:cs="Times New Roman"/>
          <w:szCs w:val="24"/>
          <w:lang w:val="pl"/>
        </w:rPr>
        <w:t>ustalenie ceny oszacowania wymaga uprzedniego określenia jej przedmiotu, czyli co</w:t>
      </w:r>
      <w:r w:rsidR="00687468" w:rsidRPr="00816E15">
        <w:rPr>
          <w:rFonts w:cs="Times New Roman"/>
          <w:szCs w:val="24"/>
          <w:lang w:val="pl"/>
        </w:rPr>
        <w:t> </w:t>
      </w:r>
      <w:r w:rsidRPr="00816E15">
        <w:rPr>
          <w:rFonts w:cs="Times New Roman"/>
          <w:szCs w:val="24"/>
          <w:lang w:val="pl"/>
        </w:rPr>
        <w:t>najmniej nazwy podmiotu, wobec którego ma być wszczęta przymusowa restrukturyzacja. Brak możliwości przekazania informacji niezbędnych do wyboru i zawarcia umowy z</w:t>
      </w:r>
      <w:r w:rsidR="00687468" w:rsidRPr="00816E15">
        <w:rPr>
          <w:rFonts w:cs="Times New Roman"/>
          <w:szCs w:val="24"/>
          <w:lang w:val="pl"/>
        </w:rPr>
        <w:t> </w:t>
      </w:r>
      <w:r w:rsidRPr="00816E15">
        <w:rPr>
          <w:rFonts w:cs="Times New Roman"/>
          <w:szCs w:val="24"/>
          <w:lang w:val="pl"/>
        </w:rPr>
        <w:t xml:space="preserve">podmiotem dokonującym oszacowanie przesądzałby o niemożności realizacji ustawowego obowiązku zapewnienia oszacowania aktywów i pasywów podmiotu. </w:t>
      </w:r>
    </w:p>
    <w:p w14:paraId="266DFA69" w14:textId="0015511D" w:rsidR="006D69B0" w:rsidRPr="00816E15" w:rsidRDefault="00124E6B" w:rsidP="00CF5AAF">
      <w:pPr>
        <w:spacing w:line="360" w:lineRule="auto"/>
        <w:jc w:val="both"/>
        <w:rPr>
          <w:rFonts w:cs="Times New Roman"/>
          <w:szCs w:val="24"/>
          <w:lang w:val="pl"/>
        </w:rPr>
      </w:pPr>
      <w:r w:rsidRPr="00816E15">
        <w:rPr>
          <w:rFonts w:cs="Times New Roman"/>
          <w:szCs w:val="24"/>
          <w:lang w:val="pl"/>
        </w:rPr>
        <w:t xml:space="preserve">Zmiana </w:t>
      </w:r>
      <w:r w:rsidRPr="00816E15">
        <w:rPr>
          <w:rFonts w:cs="Times New Roman"/>
          <w:b/>
          <w:szCs w:val="24"/>
          <w:lang w:val="pl"/>
        </w:rPr>
        <w:t>a</w:t>
      </w:r>
      <w:r w:rsidR="00DF51D9" w:rsidRPr="00816E15">
        <w:rPr>
          <w:rFonts w:cs="Times New Roman"/>
          <w:b/>
          <w:szCs w:val="24"/>
          <w:lang w:val="pl"/>
        </w:rPr>
        <w:t>rt. 320 ust. 5</w:t>
      </w:r>
      <w:r w:rsidR="00DF51D9" w:rsidRPr="00816E15">
        <w:rPr>
          <w:rFonts w:cs="Times New Roman"/>
          <w:szCs w:val="24"/>
          <w:lang w:val="pl"/>
        </w:rPr>
        <w:t xml:space="preserve"> </w:t>
      </w:r>
      <w:r w:rsidR="000D2B4E" w:rsidRPr="00816E15">
        <w:rPr>
          <w:rFonts w:cs="Times New Roman"/>
          <w:szCs w:val="24"/>
          <w:lang w:val="pl"/>
        </w:rPr>
        <w:t xml:space="preserve">jest </w:t>
      </w:r>
      <w:r w:rsidR="00DF51D9" w:rsidRPr="00816E15">
        <w:rPr>
          <w:rFonts w:cs="Times New Roman"/>
          <w:szCs w:val="24"/>
          <w:lang w:val="pl"/>
        </w:rPr>
        <w:t>związan</w:t>
      </w:r>
      <w:r w:rsidR="000D2B4E" w:rsidRPr="00816E15">
        <w:rPr>
          <w:rFonts w:cs="Times New Roman"/>
          <w:szCs w:val="24"/>
          <w:lang w:val="pl"/>
        </w:rPr>
        <w:t>a</w:t>
      </w:r>
      <w:r w:rsidR="00DF51D9" w:rsidRPr="00816E15">
        <w:rPr>
          <w:rFonts w:cs="Times New Roman"/>
          <w:szCs w:val="24"/>
          <w:lang w:val="pl"/>
        </w:rPr>
        <w:t xml:space="preserve"> z rozszerzeniem katalogu </w:t>
      </w:r>
      <w:r w:rsidR="000D2B4E" w:rsidRPr="00816E15">
        <w:rPr>
          <w:rFonts w:cs="Times New Roman"/>
          <w:szCs w:val="24"/>
          <w:lang w:val="pl"/>
        </w:rPr>
        <w:t xml:space="preserve">określonych </w:t>
      </w:r>
      <w:r w:rsidR="00DF51D9" w:rsidRPr="00816E15">
        <w:rPr>
          <w:rFonts w:cs="Times New Roman"/>
          <w:szCs w:val="24"/>
          <w:lang w:val="pl"/>
        </w:rPr>
        <w:t>w ust. 4</w:t>
      </w:r>
      <w:r w:rsidR="008E5267" w:rsidRPr="00816E15">
        <w:rPr>
          <w:rFonts w:cs="Times New Roman"/>
          <w:szCs w:val="24"/>
          <w:lang w:val="pl"/>
        </w:rPr>
        <w:t xml:space="preserve"> </w:t>
      </w:r>
      <w:r w:rsidR="008608A0" w:rsidRPr="00816E15">
        <w:rPr>
          <w:rFonts w:cs="Times New Roman"/>
          <w:szCs w:val="24"/>
          <w:lang w:val="pl"/>
        </w:rPr>
        <w:t>podmiotów i osób</w:t>
      </w:r>
      <w:r w:rsidR="00371AF4">
        <w:rPr>
          <w:rFonts w:cs="Times New Roman"/>
          <w:szCs w:val="24"/>
          <w:lang w:val="pl"/>
        </w:rPr>
        <w:t>,</w:t>
      </w:r>
      <w:r w:rsidR="008608A0" w:rsidRPr="00816E15">
        <w:rPr>
          <w:rFonts w:cs="Times New Roman"/>
          <w:szCs w:val="24"/>
          <w:lang w:val="pl"/>
        </w:rPr>
        <w:t xml:space="preserve"> </w:t>
      </w:r>
      <w:r w:rsidR="00945920" w:rsidRPr="00816E15">
        <w:rPr>
          <w:rFonts w:cs="Times New Roman"/>
          <w:szCs w:val="24"/>
          <w:lang w:val="pl"/>
        </w:rPr>
        <w:t>którym</w:t>
      </w:r>
      <w:r w:rsidR="008608A0" w:rsidRPr="00816E15">
        <w:rPr>
          <w:rFonts w:cs="Times New Roman"/>
          <w:szCs w:val="24"/>
          <w:lang w:val="pl"/>
        </w:rPr>
        <w:t xml:space="preserve"> Fundusz może przekazywać informacje stanowiące tajemnicę zawodową.</w:t>
      </w:r>
      <w:r w:rsidR="00DF51D9" w:rsidRPr="00816E15">
        <w:rPr>
          <w:rFonts w:cs="Times New Roman"/>
          <w:szCs w:val="24"/>
          <w:lang w:val="pl"/>
        </w:rPr>
        <w:t xml:space="preserve"> </w:t>
      </w:r>
      <w:r w:rsidR="008E5267" w:rsidRPr="00816E15">
        <w:rPr>
          <w:rFonts w:cs="Times New Roman"/>
          <w:szCs w:val="24"/>
          <w:lang w:val="pl"/>
        </w:rPr>
        <w:t xml:space="preserve">Przepis art. 320 ust. 5 w </w:t>
      </w:r>
      <w:r w:rsidR="00945920" w:rsidRPr="00816E15">
        <w:rPr>
          <w:rFonts w:cs="Times New Roman"/>
          <w:szCs w:val="24"/>
          <w:lang w:val="pl"/>
        </w:rPr>
        <w:t xml:space="preserve">dotychczasowym </w:t>
      </w:r>
      <w:r w:rsidR="008E5267" w:rsidRPr="00816E15">
        <w:rPr>
          <w:rFonts w:cs="Times New Roman"/>
          <w:szCs w:val="24"/>
          <w:lang w:val="pl"/>
        </w:rPr>
        <w:t xml:space="preserve">brzmieniu umożliwiał udostępnianie informacji, pod warunkiem </w:t>
      </w:r>
      <w:r w:rsidR="001C726F" w:rsidRPr="00816E15">
        <w:rPr>
          <w:rFonts w:cs="Times New Roman"/>
          <w:szCs w:val="24"/>
          <w:lang w:val="pl"/>
        </w:rPr>
        <w:t xml:space="preserve">uzyskania </w:t>
      </w:r>
      <w:r w:rsidR="008E5267" w:rsidRPr="00816E15">
        <w:rPr>
          <w:rFonts w:cs="Times New Roman"/>
          <w:szCs w:val="24"/>
          <w:lang w:val="pl"/>
        </w:rPr>
        <w:t>zgody Funduszu</w:t>
      </w:r>
      <w:r w:rsidR="001C726F" w:rsidRPr="00816E15">
        <w:rPr>
          <w:rFonts w:cs="Times New Roman"/>
          <w:szCs w:val="24"/>
          <w:lang w:val="pl"/>
        </w:rPr>
        <w:t>,</w:t>
      </w:r>
      <w:r w:rsidR="008E5267" w:rsidRPr="00816E15">
        <w:rPr>
          <w:rFonts w:cs="Times New Roman"/>
          <w:szCs w:val="24"/>
          <w:lang w:val="pl"/>
        </w:rPr>
        <w:t xml:space="preserve"> </w:t>
      </w:r>
      <w:r w:rsidR="00990294" w:rsidRPr="00816E15">
        <w:rPr>
          <w:rFonts w:cs="Times New Roman"/>
          <w:szCs w:val="24"/>
          <w:lang w:val="pl"/>
        </w:rPr>
        <w:t xml:space="preserve">m.in.: organom </w:t>
      </w:r>
      <w:r w:rsidR="008E5267" w:rsidRPr="00816E15">
        <w:rPr>
          <w:rFonts w:cs="Times New Roman"/>
          <w:szCs w:val="24"/>
          <w:lang w:val="pl"/>
        </w:rPr>
        <w:t xml:space="preserve">właściwym w sprawach przymusowej restrukturyzacji </w:t>
      </w:r>
      <w:r w:rsidR="00990294" w:rsidRPr="00816E15">
        <w:rPr>
          <w:rFonts w:cs="Times New Roman"/>
          <w:szCs w:val="24"/>
          <w:lang w:val="pl"/>
        </w:rPr>
        <w:t xml:space="preserve">oraz podmiotom prowadzącym systemy gwarantowania </w:t>
      </w:r>
      <w:r w:rsidR="008E5267" w:rsidRPr="00816E15">
        <w:rPr>
          <w:rFonts w:cs="Times New Roman"/>
          <w:szCs w:val="24"/>
          <w:lang w:val="pl"/>
        </w:rPr>
        <w:t xml:space="preserve">depozytów, </w:t>
      </w:r>
      <w:r w:rsidR="00990294" w:rsidRPr="00816E15">
        <w:rPr>
          <w:rFonts w:cs="Times New Roman"/>
          <w:szCs w:val="24"/>
          <w:lang w:val="pl"/>
        </w:rPr>
        <w:t>w zakresie niezbędnym dla wykonywania ustawowych zadań Funduszu lub zobowiązań</w:t>
      </w:r>
      <w:r w:rsidR="008E5267" w:rsidRPr="00816E15">
        <w:rPr>
          <w:rFonts w:cs="Times New Roman"/>
          <w:szCs w:val="24"/>
          <w:lang w:val="pl"/>
        </w:rPr>
        <w:t xml:space="preserve"> międzynarodowy</w:t>
      </w:r>
      <w:r w:rsidR="00990294" w:rsidRPr="00816E15">
        <w:rPr>
          <w:rFonts w:cs="Times New Roman"/>
          <w:szCs w:val="24"/>
          <w:lang w:val="pl"/>
        </w:rPr>
        <w:t>ch</w:t>
      </w:r>
      <w:r w:rsidR="008E5267" w:rsidRPr="00816E15">
        <w:rPr>
          <w:rFonts w:cs="Times New Roman"/>
          <w:szCs w:val="24"/>
          <w:lang w:val="pl"/>
        </w:rPr>
        <w:t xml:space="preserve"> Rzeczypospolitej Polskiej oraz organom </w:t>
      </w:r>
      <w:r w:rsidR="00945920" w:rsidRPr="00816E15">
        <w:rPr>
          <w:rFonts w:cs="Times New Roman"/>
          <w:szCs w:val="24"/>
          <w:lang w:val="pl"/>
        </w:rPr>
        <w:t xml:space="preserve">nadzorczym </w:t>
      </w:r>
      <w:r w:rsidR="008E5267" w:rsidRPr="00816E15">
        <w:rPr>
          <w:rFonts w:cs="Times New Roman"/>
          <w:szCs w:val="24"/>
          <w:lang w:val="pl"/>
        </w:rPr>
        <w:t>państw członkowskich.</w:t>
      </w:r>
      <w:r w:rsidR="00990294" w:rsidRPr="00816E15">
        <w:rPr>
          <w:rFonts w:cs="Times New Roman"/>
          <w:szCs w:val="24"/>
          <w:lang w:val="pl"/>
        </w:rPr>
        <w:t xml:space="preserve"> Mając na uwadze modyfikację i rozszerzenie katalogu osób i podmiotów, którym Fundusz może udzielać </w:t>
      </w:r>
      <w:r w:rsidR="00C84660" w:rsidRPr="00816E15">
        <w:rPr>
          <w:rFonts w:cs="Times New Roman"/>
          <w:szCs w:val="24"/>
          <w:lang w:val="pl"/>
        </w:rPr>
        <w:t xml:space="preserve">zgody na dalsze przekazanie </w:t>
      </w:r>
      <w:r w:rsidR="00990294" w:rsidRPr="00816E15">
        <w:rPr>
          <w:rFonts w:cs="Times New Roman"/>
          <w:szCs w:val="24"/>
          <w:lang w:val="pl"/>
        </w:rPr>
        <w:t>informacji stanowiącej taj</w:t>
      </w:r>
      <w:r w:rsidR="00C84660" w:rsidRPr="00816E15">
        <w:rPr>
          <w:rFonts w:cs="Times New Roman"/>
          <w:szCs w:val="24"/>
          <w:lang w:val="pl"/>
        </w:rPr>
        <w:t>emnicę zawodową, konieczne stała</w:t>
      </w:r>
      <w:r w:rsidR="00990294" w:rsidRPr="00816E15">
        <w:rPr>
          <w:rFonts w:cs="Times New Roman"/>
          <w:szCs w:val="24"/>
          <w:lang w:val="pl"/>
        </w:rPr>
        <w:t xml:space="preserve"> się </w:t>
      </w:r>
      <w:r w:rsidR="00C84660" w:rsidRPr="00816E15">
        <w:rPr>
          <w:rFonts w:cs="Times New Roman"/>
          <w:szCs w:val="24"/>
          <w:lang w:val="pl"/>
        </w:rPr>
        <w:t>aktualizacja</w:t>
      </w:r>
      <w:r w:rsidR="00990294" w:rsidRPr="00816E15">
        <w:rPr>
          <w:rFonts w:cs="Times New Roman"/>
          <w:szCs w:val="24"/>
          <w:lang w:val="pl"/>
        </w:rPr>
        <w:t xml:space="preserve"> </w:t>
      </w:r>
      <w:r w:rsidR="00C84660" w:rsidRPr="00816E15">
        <w:rPr>
          <w:rFonts w:cs="Times New Roman"/>
          <w:szCs w:val="24"/>
          <w:lang w:val="pl"/>
        </w:rPr>
        <w:t>katalogu</w:t>
      </w:r>
      <w:r w:rsidR="00990294" w:rsidRPr="00816E15">
        <w:rPr>
          <w:rFonts w:cs="Times New Roman"/>
          <w:szCs w:val="24"/>
          <w:lang w:val="pl"/>
        </w:rPr>
        <w:t xml:space="preserve"> </w:t>
      </w:r>
      <w:r w:rsidR="00C84660" w:rsidRPr="00816E15">
        <w:rPr>
          <w:rFonts w:cs="Times New Roman"/>
          <w:szCs w:val="24"/>
          <w:lang w:val="pl"/>
        </w:rPr>
        <w:t xml:space="preserve">osób i podmiotów wskazanych w ustępie 5. </w:t>
      </w:r>
      <w:r w:rsidR="00DA1A75" w:rsidRPr="00816E15">
        <w:rPr>
          <w:rFonts w:cs="Times New Roman"/>
          <w:szCs w:val="24"/>
          <w:lang w:val="pl"/>
        </w:rPr>
        <w:t xml:space="preserve">Obecnie do katalogu tego należą </w:t>
      </w:r>
      <w:r w:rsidR="00C84660" w:rsidRPr="00816E15">
        <w:rPr>
          <w:rFonts w:cs="Times New Roman"/>
          <w:szCs w:val="24"/>
          <w:lang w:val="pl"/>
        </w:rPr>
        <w:t>podmioty i osoby wskazane w </w:t>
      </w:r>
      <w:r w:rsidR="00D51FAD" w:rsidRPr="00816E15">
        <w:rPr>
          <w:rFonts w:cs="Times New Roman"/>
          <w:szCs w:val="24"/>
          <w:lang w:val="pl"/>
        </w:rPr>
        <w:t>pkt</w:t>
      </w:r>
      <w:r w:rsidR="00C35D81">
        <w:rPr>
          <w:rFonts w:cs="Times New Roman"/>
          <w:szCs w:val="24"/>
          <w:lang w:val="pl"/>
        </w:rPr>
        <w:t> </w:t>
      </w:r>
      <w:r w:rsidR="00DA1A75" w:rsidRPr="00816E15">
        <w:rPr>
          <w:rFonts w:cs="Times New Roman"/>
          <w:szCs w:val="24"/>
          <w:lang w:val="pl"/>
        </w:rPr>
        <w:t>1,</w:t>
      </w:r>
      <w:r w:rsidR="00C84660" w:rsidRPr="00816E15">
        <w:rPr>
          <w:rFonts w:cs="Times New Roman"/>
          <w:szCs w:val="24"/>
          <w:lang w:val="pl"/>
        </w:rPr>
        <w:t xml:space="preserve"> 2, </w:t>
      </w:r>
      <w:r w:rsidR="00DA1A75" w:rsidRPr="00816E15">
        <w:rPr>
          <w:rFonts w:cs="Times New Roman"/>
          <w:szCs w:val="24"/>
          <w:lang w:val="pl"/>
        </w:rPr>
        <w:t>6,</w:t>
      </w:r>
      <w:r w:rsidR="00C84660" w:rsidRPr="00816E15">
        <w:rPr>
          <w:rFonts w:cs="Times New Roman"/>
          <w:szCs w:val="24"/>
          <w:lang w:val="pl"/>
        </w:rPr>
        <w:t xml:space="preserve"> </w:t>
      </w:r>
      <w:r w:rsidR="00DA1A75" w:rsidRPr="00816E15">
        <w:rPr>
          <w:rFonts w:cs="Times New Roman"/>
          <w:szCs w:val="24"/>
          <w:lang w:val="pl"/>
        </w:rPr>
        <w:t>8 i 9, które ze względu na swoje ustawowe zadania albo rolę</w:t>
      </w:r>
      <w:r w:rsidR="00371AF4">
        <w:rPr>
          <w:rFonts w:cs="Times New Roman"/>
          <w:szCs w:val="24"/>
          <w:lang w:val="pl"/>
        </w:rPr>
        <w:t>,</w:t>
      </w:r>
      <w:r w:rsidR="00DA1A75" w:rsidRPr="00816E15">
        <w:rPr>
          <w:rFonts w:cs="Times New Roman"/>
          <w:szCs w:val="24"/>
          <w:lang w:val="pl"/>
        </w:rPr>
        <w:t xml:space="preserve"> jaką mogą pełnić w kontekście przymusowej restrukturyzacji</w:t>
      </w:r>
      <w:r w:rsidR="00371AF4">
        <w:rPr>
          <w:rFonts w:cs="Times New Roman"/>
          <w:szCs w:val="24"/>
          <w:lang w:val="pl"/>
        </w:rPr>
        <w:t>,</w:t>
      </w:r>
      <w:r w:rsidR="00D51FAD" w:rsidRPr="00816E15">
        <w:rPr>
          <w:rFonts w:cs="Times New Roman"/>
          <w:szCs w:val="24"/>
          <w:lang w:val="pl"/>
        </w:rPr>
        <w:t xml:space="preserve"> powinny</w:t>
      </w:r>
      <w:r w:rsidR="007C6FB8" w:rsidRPr="00816E15">
        <w:rPr>
          <w:rFonts w:cs="Times New Roman"/>
          <w:szCs w:val="24"/>
          <w:lang w:val="pl"/>
        </w:rPr>
        <w:t xml:space="preserve"> mieć możliwość dalszego przekazywania informacji za zgodą Funduszu. W szczególności, możliwość występowania o zgodę na przekazywanie informacji powinny mieć podmioty zainteresowane przejęciem banku (pkt 6), </w:t>
      </w:r>
      <w:r w:rsidR="00945920" w:rsidRPr="00816E15">
        <w:rPr>
          <w:rFonts w:cs="Times New Roman"/>
          <w:szCs w:val="24"/>
          <w:lang w:val="pl"/>
        </w:rPr>
        <w:t xml:space="preserve">przejęciem </w:t>
      </w:r>
      <w:r w:rsidR="007C6FB8" w:rsidRPr="00816E15">
        <w:rPr>
          <w:rFonts w:cs="Times New Roman"/>
          <w:szCs w:val="24"/>
          <w:lang w:val="pl"/>
        </w:rPr>
        <w:t xml:space="preserve">kasy (pkt 8) lub </w:t>
      </w:r>
      <w:r w:rsidR="008608A0" w:rsidRPr="00816E15">
        <w:rPr>
          <w:rFonts w:cs="Times New Roman"/>
          <w:szCs w:val="24"/>
          <w:lang w:val="pl"/>
        </w:rPr>
        <w:t>osoby</w:t>
      </w:r>
      <w:r w:rsidR="00D51FAD" w:rsidRPr="00816E15">
        <w:rPr>
          <w:rFonts w:cs="Times New Roman"/>
          <w:szCs w:val="24"/>
          <w:lang w:val="pl"/>
        </w:rPr>
        <w:t>,</w:t>
      </w:r>
      <w:r w:rsidR="008608A0" w:rsidRPr="00816E15">
        <w:rPr>
          <w:rFonts w:cs="Times New Roman"/>
          <w:szCs w:val="24"/>
          <w:lang w:val="pl"/>
        </w:rPr>
        <w:t xml:space="preserve"> </w:t>
      </w:r>
      <w:r w:rsidR="007C6FB8" w:rsidRPr="00816E15">
        <w:rPr>
          <w:rFonts w:cs="Times New Roman"/>
          <w:szCs w:val="24"/>
          <w:lang w:val="pl"/>
        </w:rPr>
        <w:t xml:space="preserve">którym Fundusz może powierzyć </w:t>
      </w:r>
      <w:r w:rsidR="008608A0" w:rsidRPr="00816E15">
        <w:rPr>
          <w:rFonts w:cs="Times New Roman"/>
          <w:szCs w:val="24"/>
          <w:lang w:val="pl"/>
        </w:rPr>
        <w:t>wykonywanie niektórych swoich zadań lub obowiązków</w:t>
      </w:r>
      <w:r w:rsidR="00945920" w:rsidRPr="00816E15">
        <w:rPr>
          <w:rFonts w:cs="Times New Roman"/>
          <w:szCs w:val="24"/>
          <w:lang w:val="pl"/>
        </w:rPr>
        <w:t xml:space="preserve"> (pkt 9)</w:t>
      </w:r>
      <w:r w:rsidR="008608A0" w:rsidRPr="00816E15">
        <w:rPr>
          <w:rFonts w:cs="Times New Roman"/>
          <w:szCs w:val="24"/>
          <w:lang w:val="pl"/>
        </w:rPr>
        <w:t>.</w:t>
      </w:r>
      <w:bookmarkStart w:id="5" w:name="mip40280164"/>
      <w:bookmarkStart w:id="6" w:name="mip40280165"/>
      <w:bookmarkEnd w:id="5"/>
      <w:bookmarkEnd w:id="6"/>
    </w:p>
    <w:p w14:paraId="225E02B4" w14:textId="37DC70D5" w:rsidR="00FA54D1" w:rsidRPr="00816E15" w:rsidRDefault="00FA54D1" w:rsidP="00CF5AAF">
      <w:pPr>
        <w:spacing w:line="360" w:lineRule="auto"/>
        <w:jc w:val="both"/>
        <w:rPr>
          <w:szCs w:val="24"/>
        </w:rPr>
      </w:pPr>
      <w:r w:rsidRPr="00816E15">
        <w:rPr>
          <w:szCs w:val="24"/>
        </w:rPr>
        <w:t>W przepisie wprowadza się także wyjątek od zasady wyrażania zgody przez Fundusz. Proponowane brzmienie ma na celu zapewnienie pełnej zgodności przepisów ustawy z art. 84 ust. 3 akapit 1 dyrektywy BRR</w:t>
      </w:r>
      <w:r w:rsidRPr="00816E15">
        <w:rPr>
          <w:rStyle w:val="Odwoanieprzypisudolnego"/>
          <w:szCs w:val="24"/>
        </w:rPr>
        <w:footnoteReference w:id="2"/>
      </w:r>
      <w:r w:rsidR="006A2A54" w:rsidRPr="006A2A54">
        <w:rPr>
          <w:szCs w:val="24"/>
          <w:vertAlign w:val="superscript"/>
        </w:rPr>
        <w:t>)</w:t>
      </w:r>
      <w:r w:rsidRPr="00816E15">
        <w:rPr>
          <w:szCs w:val="24"/>
        </w:rPr>
        <w:t>, który zezwala na przekazywania informacji poufnych (tajemnicy zawodowej) tylko za zgodą organu przymusowej restrukturyzacji, chyba że następuje to przy spełnieniu przesłanek wymienionych w tym przepisie dyrektywy</w:t>
      </w:r>
      <w:r w:rsidR="00C35D81">
        <w:rPr>
          <w:szCs w:val="24"/>
        </w:rPr>
        <w:t>,</w:t>
      </w:r>
      <w:r w:rsidRPr="00816E15">
        <w:rPr>
          <w:szCs w:val="24"/>
        </w:rPr>
        <w:t xml:space="preserve"> tj. </w:t>
      </w:r>
      <w:r w:rsidRPr="00C35D81">
        <w:rPr>
          <w:szCs w:val="24"/>
        </w:rPr>
        <w:t>„w ramach wykonywania przez nie funkcji przewidzianych na mocy niniejszej dyrektywy lub w formie skrótowej lub zbiorczej, która uniemożliwia zidentyfikowanie poszczególnych instytucji lub podmiotów, o których mowa w art. 1 ust. 1 lit. b), c) lub d)”.</w:t>
      </w:r>
      <w:r w:rsidRPr="00816E15">
        <w:rPr>
          <w:i/>
          <w:szCs w:val="24"/>
        </w:rPr>
        <w:t xml:space="preserve"> </w:t>
      </w:r>
      <w:r w:rsidRPr="00816E15">
        <w:rPr>
          <w:szCs w:val="24"/>
        </w:rPr>
        <w:t>Fundusz nie będzie zobligowany do wyrażania zgody w przypadku zawężonego kręgu podmiotów</w:t>
      </w:r>
      <w:r w:rsidR="00371AF4">
        <w:rPr>
          <w:szCs w:val="24"/>
        </w:rPr>
        <w:t>,</w:t>
      </w:r>
      <w:r w:rsidRPr="00816E15">
        <w:rPr>
          <w:szCs w:val="24"/>
        </w:rPr>
        <w:t xml:space="preserve"> w razie gdy</w:t>
      </w:r>
      <w:r w:rsidR="009F66CA" w:rsidRPr="00816E15">
        <w:rPr>
          <w:szCs w:val="24"/>
        </w:rPr>
        <w:t xml:space="preserve"> przekazanie następuje</w:t>
      </w:r>
      <w:r w:rsidRPr="00816E15">
        <w:rPr>
          <w:szCs w:val="24"/>
        </w:rPr>
        <w:t xml:space="preserve">: </w:t>
      </w:r>
    </w:p>
    <w:p w14:paraId="6428A6A3" w14:textId="088AA9AA" w:rsidR="00FA54D1" w:rsidRPr="00816E15" w:rsidRDefault="009F66CA" w:rsidP="00CF5AAF">
      <w:pPr>
        <w:pStyle w:val="Akapitzlist"/>
        <w:numPr>
          <w:ilvl w:val="0"/>
          <w:numId w:val="28"/>
        </w:numPr>
        <w:spacing w:line="360" w:lineRule="auto"/>
        <w:jc w:val="both"/>
        <w:rPr>
          <w:rFonts w:cs="Times New Roman"/>
          <w:szCs w:val="24"/>
          <w:lang w:val="pl"/>
        </w:rPr>
      </w:pPr>
      <w:r w:rsidRPr="00816E15">
        <w:rPr>
          <w:rFonts w:cs="Times New Roman"/>
          <w:szCs w:val="24"/>
          <w:lang w:val="pl"/>
        </w:rPr>
        <w:t>w celu wykonywania przez te podmioty zadań określonych</w:t>
      </w:r>
      <w:r w:rsidR="0057580C" w:rsidRPr="00816E15">
        <w:rPr>
          <w:rFonts w:cs="Times New Roman"/>
          <w:szCs w:val="24"/>
          <w:lang w:val="pl"/>
        </w:rPr>
        <w:t xml:space="preserve"> w dyrektywie BRR lub w ustawie</w:t>
      </w:r>
      <w:r w:rsidRPr="00816E15">
        <w:rPr>
          <w:rFonts w:cs="Times New Roman"/>
          <w:szCs w:val="24"/>
          <w:lang w:val="pl"/>
        </w:rPr>
        <w:t xml:space="preserve">, </w:t>
      </w:r>
    </w:p>
    <w:p w14:paraId="4FFC8274" w14:textId="31ED3E95" w:rsidR="00FA54D1" w:rsidRPr="00816E15" w:rsidRDefault="00FA54D1" w:rsidP="00CF5AAF">
      <w:pPr>
        <w:pStyle w:val="Akapitzlist"/>
        <w:numPr>
          <w:ilvl w:val="0"/>
          <w:numId w:val="28"/>
        </w:numPr>
        <w:spacing w:line="360" w:lineRule="auto"/>
        <w:jc w:val="both"/>
        <w:rPr>
          <w:rFonts w:cs="Times New Roman"/>
          <w:szCs w:val="24"/>
          <w:lang w:val="pl"/>
        </w:rPr>
      </w:pPr>
      <w:r w:rsidRPr="00816E15">
        <w:rPr>
          <w:szCs w:val="24"/>
        </w:rPr>
        <w:t>w formie skrótowej lub zbiorczej uniemożliwiającej identyfikację poszczególnych podmiotów lub instytucji, czego przykładem mogą być ogólne analizy i opracowania dotyczące stanu sektora.</w:t>
      </w:r>
    </w:p>
    <w:p w14:paraId="7CBF8543" w14:textId="5CE544E1" w:rsidR="00DF51D9" w:rsidRPr="00816E15" w:rsidRDefault="00124E6B" w:rsidP="00CF5AAF">
      <w:pPr>
        <w:spacing w:line="360" w:lineRule="auto"/>
        <w:jc w:val="both"/>
        <w:rPr>
          <w:rFonts w:cs="Times New Roman"/>
          <w:szCs w:val="24"/>
          <w:lang w:val="pl"/>
        </w:rPr>
      </w:pPr>
      <w:r w:rsidRPr="00816E15">
        <w:rPr>
          <w:rFonts w:cs="Times New Roman"/>
          <w:szCs w:val="24"/>
          <w:lang w:val="pl"/>
        </w:rPr>
        <w:t xml:space="preserve">Przepis </w:t>
      </w:r>
      <w:r w:rsidRPr="00816E15">
        <w:rPr>
          <w:rFonts w:cs="Times New Roman"/>
          <w:b/>
          <w:szCs w:val="24"/>
          <w:lang w:val="pl"/>
        </w:rPr>
        <w:t>a</w:t>
      </w:r>
      <w:r w:rsidR="00DF51D9" w:rsidRPr="00816E15">
        <w:rPr>
          <w:rFonts w:cs="Times New Roman"/>
          <w:b/>
          <w:szCs w:val="24"/>
          <w:lang w:val="pl"/>
        </w:rPr>
        <w:t>rt. 320 ust. 6</w:t>
      </w:r>
      <w:r w:rsidR="00B53B8A" w:rsidRPr="00816E15">
        <w:rPr>
          <w:rFonts w:cs="Times New Roman"/>
          <w:szCs w:val="24"/>
          <w:lang w:val="pl"/>
        </w:rPr>
        <w:t xml:space="preserve"> ustanawia możliwość przekazywania przez Fundusz w przypadku konieczności złożenia zawiadomienia o przestępstwie właściwych dokumentów, co eliminuje wątpliwości proceduralne bez konieczności podejmowania dodatkowych, wyłącznie formalnoprawnych rozstrzygnięć przez właściwe organy.</w:t>
      </w:r>
    </w:p>
    <w:p w14:paraId="1DABE465" w14:textId="2A1CD9F8" w:rsidR="004D0815" w:rsidRPr="00816E15" w:rsidRDefault="00124E6B" w:rsidP="00CF5AAF">
      <w:pPr>
        <w:spacing w:line="360" w:lineRule="auto"/>
        <w:jc w:val="both"/>
        <w:rPr>
          <w:szCs w:val="24"/>
        </w:rPr>
      </w:pPr>
      <w:r w:rsidRPr="00816E15">
        <w:rPr>
          <w:rFonts w:cs="Times New Roman"/>
          <w:szCs w:val="24"/>
          <w:lang w:val="pl"/>
        </w:rPr>
        <w:t xml:space="preserve">Zmiana </w:t>
      </w:r>
      <w:r w:rsidRPr="00816E15">
        <w:rPr>
          <w:rFonts w:cs="Times New Roman"/>
          <w:b/>
          <w:szCs w:val="24"/>
          <w:lang w:val="pl"/>
        </w:rPr>
        <w:t>a</w:t>
      </w:r>
      <w:r w:rsidR="0092352E" w:rsidRPr="00816E15">
        <w:rPr>
          <w:rFonts w:cs="Times New Roman"/>
          <w:b/>
          <w:szCs w:val="24"/>
          <w:lang w:val="pl"/>
        </w:rPr>
        <w:t>rt. 320 ust. 7</w:t>
      </w:r>
      <w:r w:rsidR="0092352E" w:rsidRPr="00816E15">
        <w:rPr>
          <w:rFonts w:cs="Times New Roman"/>
          <w:szCs w:val="24"/>
          <w:lang w:val="pl"/>
        </w:rPr>
        <w:t xml:space="preserve"> ma charakter legislacyjny związany z rozszerzeniem katalogu podmiotów w ust. 4</w:t>
      </w:r>
      <w:r w:rsidR="00323DAA" w:rsidRPr="00816E15">
        <w:rPr>
          <w:rFonts w:cs="Times New Roman"/>
          <w:szCs w:val="24"/>
          <w:lang w:val="pl"/>
        </w:rPr>
        <w:t xml:space="preserve"> o pojęcie „osoby”</w:t>
      </w:r>
      <w:r w:rsidR="00CD1E45" w:rsidRPr="00816E15">
        <w:rPr>
          <w:rFonts w:cs="Times New Roman"/>
          <w:szCs w:val="24"/>
          <w:lang w:val="pl"/>
        </w:rPr>
        <w:t xml:space="preserve">. </w:t>
      </w:r>
      <w:r w:rsidR="008465AD" w:rsidRPr="00816E15">
        <w:rPr>
          <w:rFonts w:cs="Times New Roman"/>
          <w:szCs w:val="24"/>
          <w:lang w:val="pl"/>
        </w:rPr>
        <w:t xml:space="preserve">Zachowane </w:t>
      </w:r>
      <w:r w:rsidR="000E7B78" w:rsidRPr="00816E15">
        <w:rPr>
          <w:rFonts w:cs="Times New Roman"/>
          <w:szCs w:val="24"/>
          <w:lang w:val="pl"/>
        </w:rPr>
        <w:t>zostaje dotychczasowe brzmienie</w:t>
      </w:r>
      <w:r w:rsidR="008465AD" w:rsidRPr="00816E15">
        <w:rPr>
          <w:rFonts w:cs="Times New Roman"/>
          <w:szCs w:val="24"/>
          <w:lang w:val="pl"/>
        </w:rPr>
        <w:t xml:space="preserve"> przepisu </w:t>
      </w:r>
      <w:r w:rsidR="000E7B78" w:rsidRPr="00816E15">
        <w:rPr>
          <w:rFonts w:cs="Times New Roman"/>
          <w:szCs w:val="24"/>
          <w:lang w:val="pl"/>
        </w:rPr>
        <w:t xml:space="preserve">w zakresie </w:t>
      </w:r>
      <w:r w:rsidR="000E7B78" w:rsidRPr="00816E15">
        <w:rPr>
          <w:szCs w:val="24"/>
        </w:rPr>
        <w:t>dopuszczalności przekazania informacji pod warunkiem zapewnienia ich ochrony przez podmiot, któremu mają zostać udzielone. Fundusz przeprowadz</w:t>
      </w:r>
      <w:r w:rsidR="008465AD" w:rsidRPr="00816E15">
        <w:rPr>
          <w:szCs w:val="24"/>
        </w:rPr>
        <w:t xml:space="preserve">i </w:t>
      </w:r>
      <w:r w:rsidR="000E7B78" w:rsidRPr="00816E15">
        <w:rPr>
          <w:szCs w:val="24"/>
        </w:rPr>
        <w:t>ocenę istotności informacji</w:t>
      </w:r>
      <w:r w:rsidR="00D71EA4" w:rsidRPr="00816E15">
        <w:rPr>
          <w:szCs w:val="24"/>
        </w:rPr>
        <w:t xml:space="preserve"> i</w:t>
      </w:r>
      <w:r w:rsidR="000E7B78" w:rsidRPr="00816E15">
        <w:rPr>
          <w:szCs w:val="24"/>
        </w:rPr>
        <w:t xml:space="preserve"> ryzyka potencjalnej szkody. Fundusz</w:t>
      </w:r>
      <w:r w:rsidR="008465AD" w:rsidRPr="00816E15">
        <w:rPr>
          <w:szCs w:val="24"/>
        </w:rPr>
        <w:t xml:space="preserve"> będzie </w:t>
      </w:r>
      <w:r w:rsidR="000E7B78" w:rsidRPr="00816E15">
        <w:rPr>
          <w:szCs w:val="24"/>
        </w:rPr>
        <w:t>monitorowa</w:t>
      </w:r>
      <w:r w:rsidR="008465AD" w:rsidRPr="00816E15">
        <w:rPr>
          <w:szCs w:val="24"/>
        </w:rPr>
        <w:t xml:space="preserve">ł </w:t>
      </w:r>
      <w:r w:rsidR="000E7B78" w:rsidRPr="00816E15">
        <w:rPr>
          <w:szCs w:val="24"/>
        </w:rPr>
        <w:t>poziom ochrony</w:t>
      </w:r>
      <w:r w:rsidR="008465AD" w:rsidRPr="00816E15">
        <w:rPr>
          <w:szCs w:val="24"/>
        </w:rPr>
        <w:t xml:space="preserve"> informacji</w:t>
      </w:r>
      <w:r w:rsidR="000E7B78" w:rsidRPr="00816E15">
        <w:rPr>
          <w:szCs w:val="24"/>
        </w:rPr>
        <w:t xml:space="preserve">. </w:t>
      </w:r>
      <w:r w:rsidR="008465AD" w:rsidRPr="00816E15">
        <w:rPr>
          <w:szCs w:val="24"/>
        </w:rPr>
        <w:t>W</w:t>
      </w:r>
      <w:r w:rsidR="000E7B78" w:rsidRPr="00816E15">
        <w:rPr>
          <w:szCs w:val="24"/>
        </w:rPr>
        <w:t xml:space="preserve"> przypadku udzielenia informacji osobie, która może nie dysponować tak specjalistycznymi środkami jak podmiot, konieczne może być określenie innyc</w:t>
      </w:r>
      <w:r w:rsidR="00435826" w:rsidRPr="00816E15">
        <w:rPr>
          <w:szCs w:val="24"/>
        </w:rPr>
        <w:t>h ścieżek dostarczenia danych.</w:t>
      </w:r>
    </w:p>
    <w:p w14:paraId="6F95D54F" w14:textId="76825835" w:rsidR="00182B7B" w:rsidRPr="00816E15" w:rsidRDefault="00124E6B" w:rsidP="00CF5AAF">
      <w:pPr>
        <w:spacing w:line="360" w:lineRule="auto"/>
        <w:jc w:val="both"/>
        <w:rPr>
          <w:rFonts w:cs="Times New Roman"/>
          <w:szCs w:val="24"/>
          <w:lang w:val="pl"/>
        </w:rPr>
      </w:pPr>
      <w:r w:rsidRPr="00816E15">
        <w:rPr>
          <w:rFonts w:cs="Times New Roman"/>
          <w:szCs w:val="24"/>
          <w:lang w:val="pl"/>
        </w:rPr>
        <w:t xml:space="preserve">Zmiana </w:t>
      </w:r>
      <w:r w:rsidRPr="00816E15">
        <w:rPr>
          <w:rFonts w:cs="Times New Roman"/>
          <w:b/>
          <w:szCs w:val="24"/>
          <w:lang w:val="pl"/>
        </w:rPr>
        <w:t>a</w:t>
      </w:r>
      <w:r w:rsidR="00EE2DA0" w:rsidRPr="00816E15">
        <w:rPr>
          <w:rFonts w:cs="Times New Roman"/>
          <w:b/>
          <w:szCs w:val="24"/>
          <w:lang w:val="pl"/>
        </w:rPr>
        <w:t>rt. 320 ust. 11</w:t>
      </w:r>
      <w:r w:rsidR="00EE2DA0" w:rsidRPr="00816E15">
        <w:rPr>
          <w:rFonts w:cs="Times New Roman"/>
          <w:szCs w:val="24"/>
          <w:lang w:val="pl"/>
        </w:rPr>
        <w:t xml:space="preserve"> ma charakter legislacyjny związany z rozszerzeniem katalogu podmiotów w ust. 4 (substrat osobowy oraz organy), związany z ob</w:t>
      </w:r>
      <w:r w:rsidR="00EE79F3" w:rsidRPr="00816E15">
        <w:rPr>
          <w:rFonts w:cs="Times New Roman"/>
          <w:szCs w:val="24"/>
          <w:lang w:val="pl"/>
        </w:rPr>
        <w:t>rotem informacjami wrażliwymi pomiędzy instytucjami tworzącymi</w:t>
      </w:r>
      <w:r w:rsidR="00681FA2" w:rsidRPr="00816E15">
        <w:rPr>
          <w:rFonts w:cs="Times New Roman"/>
          <w:szCs w:val="24"/>
          <w:lang w:val="pl"/>
        </w:rPr>
        <w:t xml:space="preserve"> </w:t>
      </w:r>
      <w:r w:rsidRPr="00816E15">
        <w:rPr>
          <w:rFonts w:cs="Times New Roman"/>
          <w:szCs w:val="24"/>
          <w:lang w:val="pl"/>
        </w:rPr>
        <w:t xml:space="preserve">tzw. </w:t>
      </w:r>
      <w:r w:rsidR="00D71EA4" w:rsidRPr="00816E15">
        <w:rPr>
          <w:rFonts w:cs="Times New Roman"/>
          <w:szCs w:val="24"/>
          <w:lang w:val="pl"/>
        </w:rPr>
        <w:t>sieć bezpieczeństwa finansowego</w:t>
      </w:r>
      <w:r w:rsidRPr="00816E15">
        <w:rPr>
          <w:rFonts w:cs="Times New Roman"/>
          <w:szCs w:val="24"/>
          <w:lang w:val="pl"/>
        </w:rPr>
        <w:t xml:space="preserve">, tj. </w:t>
      </w:r>
      <w:r w:rsidR="003C7177" w:rsidRPr="00816E15">
        <w:rPr>
          <w:rFonts w:cs="Times New Roman"/>
          <w:szCs w:val="24"/>
          <w:lang w:val="pl"/>
        </w:rPr>
        <w:t>Ministerstwem Finansów, Bankowym Funduszem Gwarancyjnym, Narodowym Bankiem Polskim</w:t>
      </w:r>
      <w:r w:rsidR="008465AD" w:rsidRPr="00816E15">
        <w:rPr>
          <w:rFonts w:cs="Times New Roman"/>
          <w:szCs w:val="24"/>
          <w:lang w:val="pl"/>
        </w:rPr>
        <w:t xml:space="preserve"> i </w:t>
      </w:r>
      <w:r w:rsidR="003C7177" w:rsidRPr="00816E15">
        <w:rPr>
          <w:rFonts w:cs="Times New Roman"/>
          <w:szCs w:val="24"/>
          <w:lang w:val="pl"/>
        </w:rPr>
        <w:t>Komisją Nadzoru Finansowego.</w:t>
      </w:r>
    </w:p>
    <w:p w14:paraId="090BF8ED" w14:textId="1D181C07" w:rsidR="00F55019" w:rsidRPr="00816E15" w:rsidRDefault="00F55019" w:rsidP="00CF5AAF">
      <w:pPr>
        <w:spacing w:after="160" w:line="360" w:lineRule="auto"/>
        <w:jc w:val="both"/>
        <w:rPr>
          <w:szCs w:val="24"/>
        </w:rPr>
      </w:pPr>
      <w:r w:rsidRPr="00816E15">
        <w:rPr>
          <w:szCs w:val="24"/>
        </w:rPr>
        <w:t xml:space="preserve">Zmiany dokonywane w </w:t>
      </w:r>
      <w:r w:rsidRPr="00816E15">
        <w:rPr>
          <w:b/>
          <w:szCs w:val="24"/>
        </w:rPr>
        <w:t>art. 325 ust. 1</w:t>
      </w:r>
      <w:r w:rsidRPr="00816E15">
        <w:rPr>
          <w:szCs w:val="24"/>
        </w:rPr>
        <w:t xml:space="preserve"> i </w:t>
      </w:r>
      <w:r w:rsidRPr="00816E15">
        <w:rPr>
          <w:b/>
          <w:szCs w:val="24"/>
        </w:rPr>
        <w:t>2</w:t>
      </w:r>
      <w:r w:rsidRPr="00816E15">
        <w:rPr>
          <w:szCs w:val="24"/>
        </w:rPr>
        <w:t xml:space="preserve">, </w:t>
      </w:r>
      <w:r w:rsidRPr="00816E15">
        <w:rPr>
          <w:b/>
          <w:szCs w:val="24"/>
        </w:rPr>
        <w:t>art. 326 ust. 1</w:t>
      </w:r>
      <w:r w:rsidRPr="00816E15">
        <w:rPr>
          <w:szCs w:val="24"/>
        </w:rPr>
        <w:t xml:space="preserve"> oraz </w:t>
      </w:r>
      <w:r w:rsidRPr="00816E15">
        <w:rPr>
          <w:b/>
          <w:szCs w:val="24"/>
        </w:rPr>
        <w:t>art. 330 ust. 3</w:t>
      </w:r>
      <w:r w:rsidRPr="00816E15">
        <w:rPr>
          <w:szCs w:val="24"/>
        </w:rPr>
        <w:t>, w związku z wyłączeniem banków hipotecznych z katalogu podmiotów objętych systemem gwarantowania</w:t>
      </w:r>
      <w:r w:rsidR="00124E6B" w:rsidRPr="00816E15">
        <w:rPr>
          <w:szCs w:val="24"/>
        </w:rPr>
        <w:t>,</w:t>
      </w:r>
      <w:r w:rsidRPr="00816E15">
        <w:rPr>
          <w:szCs w:val="24"/>
        </w:rPr>
        <w:t xml:space="preserve"> mają na celu wskazanie tych banków jako odrębnej kategorii podmiotów, w odniesieniu do których Fundusz realizuje zadania określone w powyższych przepisach.</w:t>
      </w:r>
    </w:p>
    <w:p w14:paraId="483D71E8" w14:textId="08CDEFFF" w:rsidR="00182B7B" w:rsidRPr="00816E15" w:rsidRDefault="00266D87" w:rsidP="00CF5AAF">
      <w:pPr>
        <w:spacing w:line="360" w:lineRule="auto"/>
        <w:jc w:val="both"/>
        <w:rPr>
          <w:color w:val="000000"/>
          <w:szCs w:val="24"/>
        </w:rPr>
      </w:pPr>
      <w:r w:rsidRPr="00816E15">
        <w:rPr>
          <w:rFonts w:cs="Times New Roman"/>
          <w:szCs w:val="24"/>
          <w:lang w:val="pl"/>
        </w:rPr>
        <w:t>Zmiana</w:t>
      </w:r>
      <w:r w:rsidR="00F55019" w:rsidRPr="00816E15">
        <w:rPr>
          <w:rFonts w:cs="Times New Roman"/>
          <w:szCs w:val="24"/>
          <w:lang w:val="pl"/>
        </w:rPr>
        <w:t xml:space="preserve"> w </w:t>
      </w:r>
      <w:r w:rsidR="00F55019" w:rsidRPr="00816E15">
        <w:rPr>
          <w:rFonts w:cs="Times New Roman"/>
          <w:b/>
          <w:szCs w:val="24"/>
          <w:lang w:val="pl"/>
        </w:rPr>
        <w:t xml:space="preserve">art. 330 ust. 8 </w:t>
      </w:r>
      <w:r w:rsidRPr="00816E15">
        <w:rPr>
          <w:rFonts w:cs="Times New Roman"/>
          <w:szCs w:val="24"/>
          <w:lang w:val="pl"/>
        </w:rPr>
        <w:t>ma zapewnić możliwość Funduszowi określenia</w:t>
      </w:r>
      <w:r w:rsidR="00124E6B" w:rsidRPr="00816E15">
        <w:rPr>
          <w:rFonts w:cs="Times New Roman"/>
          <w:szCs w:val="24"/>
          <w:lang w:val="pl"/>
        </w:rPr>
        <w:t>,</w:t>
      </w:r>
      <w:r w:rsidRPr="00816E15">
        <w:rPr>
          <w:rFonts w:cs="Times New Roman"/>
          <w:szCs w:val="24"/>
          <w:lang w:val="pl"/>
        </w:rPr>
        <w:t xml:space="preserve"> </w:t>
      </w:r>
      <w:r w:rsidR="00124E6B" w:rsidRPr="00816E15">
        <w:rPr>
          <w:rFonts w:cs="Times New Roman"/>
          <w:szCs w:val="24"/>
          <w:lang w:val="pl"/>
        </w:rPr>
        <w:t xml:space="preserve">w trybie uchwały, </w:t>
      </w:r>
      <w:r w:rsidRPr="00816E15">
        <w:rPr>
          <w:rFonts w:cs="Times New Roman"/>
          <w:szCs w:val="24"/>
          <w:lang w:val="pl"/>
        </w:rPr>
        <w:t xml:space="preserve">listy podmiotów, </w:t>
      </w:r>
      <w:r w:rsidR="00814021" w:rsidRPr="00816E15">
        <w:rPr>
          <w:rFonts w:cs="Times New Roman"/>
          <w:szCs w:val="24"/>
          <w:lang w:val="pl"/>
        </w:rPr>
        <w:t xml:space="preserve">które powinny przekazywać informacje niezbędne do oszacowania wartości aktywów i pasywów lub opracowania </w:t>
      </w:r>
      <w:r w:rsidR="00124E6B" w:rsidRPr="00816E15">
        <w:rPr>
          <w:rFonts w:cs="Times New Roman"/>
          <w:szCs w:val="24"/>
          <w:lang w:val="pl"/>
        </w:rPr>
        <w:t xml:space="preserve">planu </w:t>
      </w:r>
      <w:r w:rsidR="00814021" w:rsidRPr="00816E15">
        <w:rPr>
          <w:rFonts w:cs="Times New Roman"/>
          <w:szCs w:val="24"/>
          <w:lang w:val="pl"/>
        </w:rPr>
        <w:t>przymusowej restrukturyzacji wobec podmiotu</w:t>
      </w:r>
      <w:r w:rsidR="00124E6B" w:rsidRPr="00816E15">
        <w:rPr>
          <w:rFonts w:cs="Times New Roman"/>
          <w:szCs w:val="24"/>
          <w:lang w:val="pl"/>
        </w:rPr>
        <w:t>,</w:t>
      </w:r>
      <w:r w:rsidR="00814021" w:rsidRPr="00816E15">
        <w:rPr>
          <w:rFonts w:cs="Times New Roman"/>
          <w:szCs w:val="24"/>
          <w:lang w:val="pl"/>
        </w:rPr>
        <w:t xml:space="preserve"> w stosunku do którego powinny zostać podjęte odpowiednie działania na podstawie odrębnych przepisów</w:t>
      </w:r>
      <w:r w:rsidR="00124E6B" w:rsidRPr="00816E15">
        <w:rPr>
          <w:rFonts w:cs="Times New Roman"/>
          <w:szCs w:val="24"/>
          <w:lang w:val="pl"/>
        </w:rPr>
        <w:t xml:space="preserve">, takich </w:t>
      </w:r>
      <w:r w:rsidR="00814021" w:rsidRPr="00816E15">
        <w:rPr>
          <w:rFonts w:cs="Times New Roman"/>
          <w:szCs w:val="24"/>
          <w:lang w:val="pl"/>
        </w:rPr>
        <w:t>jak plan naprawy, program postępowania naprawczego, wczesna interwencja</w:t>
      </w:r>
      <w:r w:rsidR="00124E6B" w:rsidRPr="00816E15">
        <w:rPr>
          <w:rFonts w:cs="Times New Roman"/>
          <w:szCs w:val="24"/>
          <w:lang w:val="pl"/>
        </w:rPr>
        <w:t xml:space="preserve"> czy </w:t>
      </w:r>
      <w:r w:rsidR="00814021" w:rsidRPr="00816E15">
        <w:rPr>
          <w:rFonts w:cs="Times New Roman"/>
          <w:szCs w:val="24"/>
          <w:lang w:val="pl"/>
        </w:rPr>
        <w:t xml:space="preserve">zarząd komisaryczny. W przypadku banków spółdzielczych, które nie realizują funkcji krytycznych, nie są uznawane </w:t>
      </w:r>
      <w:r w:rsidR="00814021" w:rsidRPr="00816E15">
        <w:rPr>
          <w:color w:val="000000"/>
          <w:szCs w:val="24"/>
        </w:rPr>
        <w:t xml:space="preserve">za instytucje o znaczeniu systemowym </w:t>
      </w:r>
      <w:r w:rsidR="00124E6B" w:rsidRPr="00816E15">
        <w:rPr>
          <w:color w:val="000000"/>
          <w:szCs w:val="24"/>
        </w:rPr>
        <w:t xml:space="preserve">ani </w:t>
      </w:r>
      <w:r w:rsidR="00814021" w:rsidRPr="00816E15">
        <w:rPr>
          <w:color w:val="000000"/>
          <w:szCs w:val="24"/>
        </w:rPr>
        <w:t xml:space="preserve">nie występuje </w:t>
      </w:r>
      <w:r w:rsidR="00124E6B" w:rsidRPr="00816E15">
        <w:rPr>
          <w:color w:val="000000"/>
          <w:szCs w:val="24"/>
        </w:rPr>
        <w:t xml:space="preserve">w ich przypadku </w:t>
      </w:r>
      <w:r w:rsidR="00814021" w:rsidRPr="00816E15">
        <w:rPr>
          <w:color w:val="000000"/>
          <w:szCs w:val="24"/>
        </w:rPr>
        <w:t>interes publiczny prawdopodobieństwo żądania przez Fundusz takich informacji jest znikome. Celem przepisu jest minimalizacja obowiązków sprawozdawczych związanych z koniecznością utrzymywania czy wdrożenia systemów informatycznych umożliwiających przedstawienie informacji w ciągu 7 dni. Pozostawienie uznaniowości decyzji i możliwości wydawania uchwały zapewnia, że objęte obowiązkiem zostaną podmioty, od których uzyskanie takich informacji jest kluczowe z perspektywy stabilności systemu finansowego</w:t>
      </w:r>
      <w:r w:rsidR="00124E6B" w:rsidRPr="00816E15">
        <w:rPr>
          <w:color w:val="000000"/>
          <w:szCs w:val="24"/>
        </w:rPr>
        <w:t>,</w:t>
      </w:r>
      <w:r w:rsidR="00814021" w:rsidRPr="00816E15">
        <w:rPr>
          <w:color w:val="000000"/>
          <w:szCs w:val="24"/>
        </w:rPr>
        <w:t xml:space="preserve"> np. sektor bankowości komercyjnej</w:t>
      </w:r>
      <w:r w:rsidR="00124E6B" w:rsidRPr="00816E15">
        <w:rPr>
          <w:color w:val="000000"/>
          <w:szCs w:val="24"/>
        </w:rPr>
        <w:t xml:space="preserve"> czy </w:t>
      </w:r>
      <w:r w:rsidR="00814021" w:rsidRPr="00816E15">
        <w:rPr>
          <w:color w:val="000000"/>
          <w:szCs w:val="24"/>
        </w:rPr>
        <w:t xml:space="preserve">banki zrzeszające. </w:t>
      </w:r>
      <w:r w:rsidR="00A13D12" w:rsidRPr="00816E15">
        <w:rPr>
          <w:color w:val="000000"/>
          <w:szCs w:val="24"/>
        </w:rPr>
        <w:t>Zaznaczyć należy, że obecny stan prawny przewiduje co prawda możliwość zwolnienia podmiotów, jednak każdorazowo wiąże się to z podjęciem działań przez Fundusz. Mając na uwadze rozwój rynku finansowego – pojawianie się nowych podmiotów, fuzje</w:t>
      </w:r>
      <w:r w:rsidR="00124E6B" w:rsidRPr="00816E15">
        <w:rPr>
          <w:color w:val="000000"/>
          <w:szCs w:val="24"/>
        </w:rPr>
        <w:t xml:space="preserve"> czy </w:t>
      </w:r>
      <w:r w:rsidR="00A13D12" w:rsidRPr="00816E15">
        <w:rPr>
          <w:color w:val="000000"/>
          <w:szCs w:val="24"/>
        </w:rPr>
        <w:t>przejęcia</w:t>
      </w:r>
      <w:r w:rsidR="00124E6B" w:rsidRPr="00816E15">
        <w:rPr>
          <w:color w:val="000000"/>
          <w:szCs w:val="24"/>
        </w:rPr>
        <w:t xml:space="preserve"> – </w:t>
      </w:r>
      <w:r w:rsidR="00A13D12" w:rsidRPr="00816E15">
        <w:rPr>
          <w:color w:val="000000"/>
          <w:szCs w:val="24"/>
        </w:rPr>
        <w:t xml:space="preserve">bardziej zasadne </w:t>
      </w:r>
      <w:r w:rsidR="00124E6B" w:rsidRPr="00816E15">
        <w:rPr>
          <w:color w:val="000000"/>
          <w:szCs w:val="24"/>
        </w:rPr>
        <w:t xml:space="preserve">jest </w:t>
      </w:r>
      <w:r w:rsidR="00A13D12" w:rsidRPr="00816E15">
        <w:rPr>
          <w:color w:val="000000"/>
          <w:szCs w:val="24"/>
        </w:rPr>
        <w:t>nakładanie obowiązków na pewne podmioty dopiero w sytuacji</w:t>
      </w:r>
      <w:r w:rsidR="00124E6B" w:rsidRPr="00816E15">
        <w:rPr>
          <w:color w:val="000000"/>
          <w:szCs w:val="24"/>
        </w:rPr>
        <w:t>,</w:t>
      </w:r>
      <w:r w:rsidR="00A13D12" w:rsidRPr="00816E15">
        <w:rPr>
          <w:color w:val="000000"/>
          <w:szCs w:val="24"/>
        </w:rPr>
        <w:t xml:space="preserve"> kiedy jego udział w rynku jest odpowiednio wysoki.</w:t>
      </w:r>
      <w:r w:rsidR="00814021" w:rsidRPr="00816E15">
        <w:rPr>
          <w:rFonts w:cs="Times New Roman"/>
          <w:szCs w:val="24"/>
          <w:lang w:val="pl"/>
        </w:rPr>
        <w:t xml:space="preserve"> </w:t>
      </w:r>
    </w:p>
    <w:p w14:paraId="61FE665B" w14:textId="54D40D58" w:rsidR="00B17FB7" w:rsidRPr="00816E15" w:rsidRDefault="00124E6B" w:rsidP="00CF5AAF">
      <w:pPr>
        <w:spacing w:line="360" w:lineRule="auto"/>
        <w:jc w:val="both"/>
        <w:rPr>
          <w:w w:val="105"/>
          <w:szCs w:val="24"/>
        </w:rPr>
      </w:pPr>
      <w:r w:rsidRPr="00816E15">
        <w:rPr>
          <w:rFonts w:cs="Times New Roman"/>
          <w:szCs w:val="24"/>
        </w:rPr>
        <w:t>D</w:t>
      </w:r>
      <w:r w:rsidR="00B01F24" w:rsidRPr="00816E15">
        <w:rPr>
          <w:rFonts w:cs="Times New Roman"/>
          <w:szCs w:val="24"/>
        </w:rPr>
        <w:t xml:space="preserve">odawany </w:t>
      </w:r>
      <w:r w:rsidR="00B01F24" w:rsidRPr="00816E15">
        <w:rPr>
          <w:rFonts w:cs="Times New Roman"/>
          <w:b/>
          <w:szCs w:val="24"/>
        </w:rPr>
        <w:t xml:space="preserve">art. 331a </w:t>
      </w:r>
      <w:r w:rsidR="005368E5" w:rsidRPr="00816E15">
        <w:rPr>
          <w:w w:val="105"/>
          <w:szCs w:val="24"/>
        </w:rPr>
        <w:t>ma na celu usprawnienie współpracy Funduszu w zakresie jego ustawowych zadań z instytucjami z innych państw członkowskich Unii Europejskiej, z państw trzecich, z Komisją Europejską i członkami Europejskiego Systemu Nadzoru Finansowego, w tym z Europejskim Urzędem Nadzoru Bankowego, a także z innymi podmiotami, przez umożliwienie prowadzenia korespondencji w języku angielskim</w:t>
      </w:r>
      <w:r w:rsidR="00B17FB7" w:rsidRPr="00816E15">
        <w:rPr>
          <w:w w:val="105"/>
          <w:szCs w:val="24"/>
        </w:rPr>
        <w:t>. W związku z presją czasu wypłaty środków gwarantowanych w terminie 7 dni roboczych od dnia spełnienia warunku gwarancji, reżimów czasowych dotyczących informowania Komisji Europejskiej o zamiarze wyłączania niektórych zobowiązań z umorzenia lub konwersji zobowiązań czy uczestnic</w:t>
      </w:r>
      <w:r w:rsidRPr="00816E15">
        <w:rPr>
          <w:w w:val="105"/>
          <w:szCs w:val="24"/>
        </w:rPr>
        <w:t>twem</w:t>
      </w:r>
      <w:r w:rsidR="00B17FB7" w:rsidRPr="00816E15">
        <w:rPr>
          <w:w w:val="105"/>
          <w:szCs w:val="24"/>
        </w:rPr>
        <w:t xml:space="preserve"> w przygotowaniu grupowych planów przymusowej restrukturyzacji w ramach koleg</w:t>
      </w:r>
      <w:r w:rsidR="00371AF4">
        <w:rPr>
          <w:w w:val="105"/>
          <w:szCs w:val="24"/>
        </w:rPr>
        <w:t>i</w:t>
      </w:r>
      <w:r w:rsidR="00B17FB7" w:rsidRPr="00816E15">
        <w:rPr>
          <w:w w:val="105"/>
          <w:szCs w:val="24"/>
        </w:rPr>
        <w:t>ów</w:t>
      </w:r>
      <w:r w:rsidR="00371AF4">
        <w:rPr>
          <w:w w:val="105"/>
          <w:szCs w:val="24"/>
        </w:rPr>
        <w:t>,</w:t>
      </w:r>
      <w:r w:rsidR="00B17FB7" w:rsidRPr="00816E15">
        <w:rPr>
          <w:w w:val="105"/>
          <w:szCs w:val="24"/>
        </w:rPr>
        <w:t xml:space="preserve"> efektywność, terminowość</w:t>
      </w:r>
      <w:r w:rsidR="00816E15">
        <w:rPr>
          <w:w w:val="105"/>
          <w:szCs w:val="24"/>
        </w:rPr>
        <w:t xml:space="preserve"> </w:t>
      </w:r>
      <w:r w:rsidRPr="00816E15">
        <w:rPr>
          <w:w w:val="105"/>
          <w:szCs w:val="24"/>
        </w:rPr>
        <w:t xml:space="preserve">w tym zakresie </w:t>
      </w:r>
      <w:r w:rsidR="00B17FB7" w:rsidRPr="00816E15">
        <w:rPr>
          <w:w w:val="105"/>
          <w:szCs w:val="24"/>
        </w:rPr>
        <w:t>zapewni przepis umożliwiający prowadzenie korespondencji o charakterze formalnoprawnym w języku urzędowym UE – angielskim.</w:t>
      </w:r>
    </w:p>
    <w:p w14:paraId="13707BEB" w14:textId="7F66B595" w:rsidR="00D51FAD" w:rsidRPr="00816E15" w:rsidRDefault="005933F9" w:rsidP="00CF5AAF">
      <w:pPr>
        <w:spacing w:line="360" w:lineRule="auto"/>
        <w:jc w:val="both"/>
        <w:rPr>
          <w:szCs w:val="24"/>
        </w:rPr>
      </w:pPr>
      <w:r w:rsidRPr="00816E15">
        <w:rPr>
          <w:w w:val="105"/>
          <w:szCs w:val="24"/>
        </w:rPr>
        <w:t xml:space="preserve">Zmiana </w:t>
      </w:r>
      <w:r w:rsidR="00F75CEA" w:rsidRPr="00816E15">
        <w:rPr>
          <w:w w:val="105"/>
          <w:szCs w:val="24"/>
        </w:rPr>
        <w:t xml:space="preserve">przewidująca dodanie w </w:t>
      </w:r>
      <w:r w:rsidR="00867631" w:rsidRPr="00816E15">
        <w:rPr>
          <w:b/>
          <w:w w:val="105"/>
          <w:szCs w:val="24"/>
        </w:rPr>
        <w:t xml:space="preserve">art. 334 ust. 6 </w:t>
      </w:r>
      <w:r w:rsidR="00867631" w:rsidRPr="00816E15">
        <w:rPr>
          <w:w w:val="105"/>
          <w:szCs w:val="24"/>
        </w:rPr>
        <w:t xml:space="preserve">ma na celu </w:t>
      </w:r>
      <w:r w:rsidR="00867631" w:rsidRPr="00816E15">
        <w:rPr>
          <w:szCs w:val="24"/>
        </w:rPr>
        <w:t xml:space="preserve">rozszerzenie katalogu naruszeń podlegających sankcjom karnym pozostającym w dyspozycji sądu o naruszenia przewidziane w art. 335 i </w:t>
      </w:r>
      <w:r w:rsidRPr="00816E15">
        <w:rPr>
          <w:szCs w:val="24"/>
        </w:rPr>
        <w:t xml:space="preserve">art. </w:t>
      </w:r>
      <w:r w:rsidR="00867631" w:rsidRPr="00816E15">
        <w:rPr>
          <w:szCs w:val="24"/>
        </w:rPr>
        <w:t>336</w:t>
      </w:r>
      <w:r w:rsidR="005703A0" w:rsidRPr="00816E15">
        <w:rPr>
          <w:szCs w:val="24"/>
        </w:rPr>
        <w:t xml:space="preserve">, umożliwiając </w:t>
      </w:r>
      <w:r w:rsidR="00CB645D" w:rsidRPr="00816E15">
        <w:rPr>
          <w:szCs w:val="24"/>
        </w:rPr>
        <w:t xml:space="preserve">w ten sposób zastosowanie </w:t>
      </w:r>
      <w:r w:rsidR="005703A0" w:rsidRPr="00816E15">
        <w:rPr>
          <w:szCs w:val="24"/>
        </w:rPr>
        <w:t xml:space="preserve">przez sąd przewidzianego w art. 41 </w:t>
      </w:r>
      <w:r w:rsidR="00E4756C" w:rsidRPr="00816E15">
        <w:rPr>
          <w:szCs w:val="24"/>
        </w:rPr>
        <w:t>w ustawie z dnia 6 czerwca 1997</w:t>
      </w:r>
      <w:r w:rsidR="001411EE">
        <w:rPr>
          <w:szCs w:val="24"/>
        </w:rPr>
        <w:t xml:space="preserve"> r.</w:t>
      </w:r>
      <w:r w:rsidR="00E4756C" w:rsidRPr="00816E15">
        <w:rPr>
          <w:szCs w:val="24"/>
        </w:rPr>
        <w:t xml:space="preserve"> </w:t>
      </w:r>
      <w:r w:rsidRPr="00816E15">
        <w:rPr>
          <w:szCs w:val="24"/>
        </w:rPr>
        <w:t xml:space="preserve">– </w:t>
      </w:r>
      <w:r w:rsidR="00E4756C" w:rsidRPr="00816E15">
        <w:rPr>
          <w:szCs w:val="24"/>
        </w:rPr>
        <w:t xml:space="preserve">Kodeks karny </w:t>
      </w:r>
      <w:hyperlink r:id="rId14" w:history="1">
        <w:r w:rsidR="00E4756C" w:rsidRPr="00816E15">
          <w:rPr>
            <w:rStyle w:val="Hipercze"/>
            <w:color w:val="auto"/>
            <w:szCs w:val="24"/>
            <w:u w:val="none"/>
          </w:rPr>
          <w:t>(Dz.</w:t>
        </w:r>
        <w:r w:rsidRPr="00816E15">
          <w:rPr>
            <w:rStyle w:val="Hipercze"/>
            <w:color w:val="auto"/>
            <w:szCs w:val="24"/>
            <w:u w:val="none"/>
          </w:rPr>
          <w:t xml:space="preserve"> </w:t>
        </w:r>
        <w:r w:rsidR="00E4756C" w:rsidRPr="00816E15">
          <w:rPr>
            <w:rStyle w:val="Hipercze"/>
            <w:color w:val="auto"/>
            <w:szCs w:val="24"/>
            <w:u w:val="none"/>
          </w:rPr>
          <w:t>U. z 2017 r. poz. 2204</w:t>
        </w:r>
        <w:r w:rsidR="0094273C" w:rsidRPr="00816E15">
          <w:rPr>
            <w:rStyle w:val="Hipercze"/>
            <w:color w:val="auto"/>
            <w:szCs w:val="24"/>
            <w:u w:val="none"/>
          </w:rPr>
          <w:t>, z późn. zm.</w:t>
        </w:r>
        <w:r w:rsidR="00E4756C" w:rsidRPr="00816E15">
          <w:rPr>
            <w:rStyle w:val="Hipercze"/>
            <w:color w:val="auto"/>
            <w:szCs w:val="24"/>
            <w:u w:val="none"/>
          </w:rPr>
          <w:t>)</w:t>
        </w:r>
      </w:hyperlink>
      <w:r w:rsidR="00E4756C" w:rsidRPr="00816E15">
        <w:rPr>
          <w:szCs w:val="24"/>
        </w:rPr>
        <w:t xml:space="preserve"> środka karnego w postaci zakazu zajmowania stanowiska, wykonywania zawodu lub </w:t>
      </w:r>
      <w:r w:rsidR="003A59E6" w:rsidRPr="00816E15">
        <w:rPr>
          <w:szCs w:val="24"/>
        </w:rPr>
        <w:t xml:space="preserve">prowadzenia </w:t>
      </w:r>
      <w:r w:rsidR="00E4756C" w:rsidRPr="00816E15">
        <w:rPr>
          <w:szCs w:val="24"/>
        </w:rPr>
        <w:t>działalności.</w:t>
      </w:r>
      <w:r w:rsidR="00236E69" w:rsidRPr="00816E15">
        <w:rPr>
          <w:szCs w:val="24"/>
        </w:rPr>
        <w:t xml:space="preserve"> Tego rodzaju środek karny nie ma </w:t>
      </w:r>
      <w:r w:rsidR="00D51FAD" w:rsidRPr="00816E15">
        <w:rPr>
          <w:szCs w:val="24"/>
        </w:rPr>
        <w:t xml:space="preserve">jednak </w:t>
      </w:r>
      <w:r w:rsidR="00236E69" w:rsidRPr="00816E15">
        <w:rPr>
          <w:szCs w:val="24"/>
        </w:rPr>
        <w:t>charakteru samodzielnego, w związku z czym, aby sąd mógł orzec o zakazie</w:t>
      </w:r>
      <w:r w:rsidR="004B74BB" w:rsidRPr="00816E15">
        <w:rPr>
          <w:szCs w:val="24"/>
        </w:rPr>
        <w:t xml:space="preserve">, niezbędne jest </w:t>
      </w:r>
      <w:r w:rsidR="00F75CEA" w:rsidRPr="00816E15">
        <w:rPr>
          <w:szCs w:val="24"/>
        </w:rPr>
        <w:t xml:space="preserve">zapewnienie </w:t>
      </w:r>
      <w:r w:rsidR="004B74BB" w:rsidRPr="00816E15">
        <w:rPr>
          <w:szCs w:val="24"/>
        </w:rPr>
        <w:t>powią</w:t>
      </w:r>
      <w:r w:rsidR="00F75CEA" w:rsidRPr="00816E15">
        <w:rPr>
          <w:szCs w:val="24"/>
        </w:rPr>
        <w:t>zania</w:t>
      </w:r>
      <w:r w:rsidR="004B74BB" w:rsidRPr="00816E15">
        <w:rPr>
          <w:szCs w:val="24"/>
        </w:rPr>
        <w:t xml:space="preserve"> z inną sankcją.</w:t>
      </w:r>
      <w:r w:rsidR="00D51FAD" w:rsidRPr="00816E15">
        <w:rPr>
          <w:szCs w:val="24"/>
        </w:rPr>
        <w:t xml:space="preserve"> </w:t>
      </w:r>
    </w:p>
    <w:p w14:paraId="59E2C2F6" w14:textId="235B2957" w:rsidR="00867631" w:rsidRPr="00816E15" w:rsidRDefault="005933F9" w:rsidP="00CF5AAF">
      <w:pPr>
        <w:spacing w:line="360" w:lineRule="auto"/>
        <w:jc w:val="both"/>
        <w:rPr>
          <w:szCs w:val="24"/>
        </w:rPr>
      </w:pPr>
      <w:r w:rsidRPr="00816E15">
        <w:rPr>
          <w:szCs w:val="24"/>
        </w:rPr>
        <w:t>P</w:t>
      </w:r>
      <w:r w:rsidR="003A59E6" w:rsidRPr="00816E15">
        <w:rPr>
          <w:szCs w:val="24"/>
        </w:rPr>
        <w:t xml:space="preserve">oprawka </w:t>
      </w:r>
      <w:r w:rsidRPr="00816E15">
        <w:rPr>
          <w:szCs w:val="24"/>
        </w:rPr>
        <w:t xml:space="preserve">ta </w:t>
      </w:r>
      <w:r w:rsidR="003A59E6" w:rsidRPr="00816E15">
        <w:rPr>
          <w:szCs w:val="24"/>
        </w:rPr>
        <w:t>ma na celu pełn</w:t>
      </w:r>
      <w:r w:rsidRPr="00816E15">
        <w:rPr>
          <w:szCs w:val="24"/>
        </w:rPr>
        <w:t>ą</w:t>
      </w:r>
      <w:r w:rsidR="003A59E6" w:rsidRPr="00816E15">
        <w:rPr>
          <w:szCs w:val="24"/>
        </w:rPr>
        <w:t xml:space="preserve"> implementację </w:t>
      </w:r>
      <w:r w:rsidR="00E4756C" w:rsidRPr="00816E15">
        <w:rPr>
          <w:szCs w:val="24"/>
        </w:rPr>
        <w:t>a</w:t>
      </w:r>
      <w:r w:rsidR="00867631" w:rsidRPr="00816E15">
        <w:rPr>
          <w:szCs w:val="24"/>
        </w:rPr>
        <w:t>rt. 111 ust. 2 dyrektywy BRR</w:t>
      </w:r>
      <w:r w:rsidR="003A59E6" w:rsidRPr="00816E15">
        <w:rPr>
          <w:szCs w:val="24"/>
        </w:rPr>
        <w:t xml:space="preserve">, który w </w:t>
      </w:r>
      <w:r w:rsidR="004E7AA6">
        <w:rPr>
          <w:szCs w:val="24"/>
        </w:rPr>
        <w:t>lit.</w:t>
      </w:r>
      <w:r w:rsidR="003A59E6" w:rsidRPr="00816E15">
        <w:rPr>
          <w:szCs w:val="24"/>
        </w:rPr>
        <w:t xml:space="preserve"> c</w:t>
      </w:r>
      <w:r w:rsidR="00816E15">
        <w:rPr>
          <w:szCs w:val="24"/>
        </w:rPr>
        <w:t xml:space="preserve"> </w:t>
      </w:r>
      <w:r w:rsidR="00867631" w:rsidRPr="00816E15">
        <w:rPr>
          <w:szCs w:val="24"/>
        </w:rPr>
        <w:t>przewiduje dla państw członkowskich obowiązek zapewnienia wprowadzenia wobec naruszeń wskazanych w ust. 1</w:t>
      </w:r>
      <w:r w:rsidRPr="00816E15">
        <w:rPr>
          <w:szCs w:val="24"/>
        </w:rPr>
        <w:t xml:space="preserve"> </w:t>
      </w:r>
      <w:r w:rsidR="00867631" w:rsidRPr="00816E15">
        <w:rPr>
          <w:szCs w:val="24"/>
        </w:rPr>
        <w:t>sankcji w postaci tymczasowego zakazu pełnienia funkcji w instytucjach lub podmiotach, o których mowa w art. 1 ust. 1 lit. b, c</w:t>
      </w:r>
      <w:r w:rsidR="00C35D81">
        <w:rPr>
          <w:szCs w:val="24"/>
        </w:rPr>
        <w:t>,</w:t>
      </w:r>
      <w:r w:rsidR="00867631" w:rsidRPr="00816E15">
        <w:rPr>
          <w:szCs w:val="24"/>
        </w:rPr>
        <w:t xml:space="preserve"> lub dotyczący</w:t>
      </w:r>
      <w:r w:rsidR="006252CB" w:rsidRPr="00816E15">
        <w:rPr>
          <w:szCs w:val="24"/>
        </w:rPr>
        <w:t>ch</w:t>
      </w:r>
      <w:r w:rsidR="00867631" w:rsidRPr="00816E15">
        <w:rPr>
          <w:szCs w:val="24"/>
        </w:rPr>
        <w:t xml:space="preserve"> każdego odpowiedzialnego członka zarządu lub kierownictwa wyższego szczebla </w:t>
      </w:r>
      <w:r w:rsidRPr="00816E15">
        <w:rPr>
          <w:szCs w:val="24"/>
        </w:rPr>
        <w:t xml:space="preserve">takiej </w:t>
      </w:r>
      <w:r w:rsidR="00867631" w:rsidRPr="00816E15">
        <w:rPr>
          <w:szCs w:val="24"/>
        </w:rPr>
        <w:t>instytucji lub podmiotu</w:t>
      </w:r>
      <w:r w:rsidRPr="00816E15">
        <w:rPr>
          <w:szCs w:val="24"/>
        </w:rPr>
        <w:t xml:space="preserve"> </w:t>
      </w:r>
      <w:r w:rsidR="00867631" w:rsidRPr="00816E15">
        <w:rPr>
          <w:szCs w:val="24"/>
        </w:rPr>
        <w:t>lub innej odp</w:t>
      </w:r>
      <w:r w:rsidR="00E4756C" w:rsidRPr="00816E15">
        <w:rPr>
          <w:szCs w:val="24"/>
        </w:rPr>
        <w:t xml:space="preserve">owiedzialnej osoby fizycznej. </w:t>
      </w:r>
    </w:p>
    <w:p w14:paraId="056F2BB4" w14:textId="552234D0" w:rsidR="007C6A67" w:rsidRPr="00816E15" w:rsidRDefault="007C6A67" w:rsidP="00CF5AAF">
      <w:pPr>
        <w:spacing w:line="360" w:lineRule="auto"/>
        <w:jc w:val="both"/>
        <w:rPr>
          <w:szCs w:val="24"/>
        </w:rPr>
      </w:pPr>
      <w:r w:rsidRPr="00816E15">
        <w:rPr>
          <w:w w:val="105"/>
          <w:szCs w:val="24"/>
        </w:rPr>
        <w:t xml:space="preserve">Dodanie w </w:t>
      </w:r>
      <w:r w:rsidRPr="00816E15">
        <w:rPr>
          <w:b/>
          <w:w w:val="105"/>
          <w:szCs w:val="24"/>
        </w:rPr>
        <w:t>art. 336 ust. 3</w:t>
      </w:r>
      <w:r w:rsidRPr="00816E15">
        <w:rPr>
          <w:w w:val="105"/>
          <w:szCs w:val="24"/>
        </w:rPr>
        <w:t xml:space="preserve"> (podobne zmiany w art. 79 ust. 1a, art. 95 ust. 6a, art. 335 ust. 1a i 2a</w:t>
      </w:r>
      <w:r w:rsidR="006252CB" w:rsidRPr="00816E15">
        <w:rPr>
          <w:w w:val="105"/>
          <w:szCs w:val="24"/>
        </w:rPr>
        <w:t xml:space="preserve"> oraz </w:t>
      </w:r>
      <w:r w:rsidRPr="00816E15">
        <w:rPr>
          <w:w w:val="105"/>
          <w:szCs w:val="24"/>
        </w:rPr>
        <w:t>art. 338 ust. 1a)</w:t>
      </w:r>
      <w:r w:rsidRPr="00816E15">
        <w:rPr>
          <w:b/>
          <w:w w:val="105"/>
          <w:szCs w:val="24"/>
        </w:rPr>
        <w:t xml:space="preserve"> </w:t>
      </w:r>
      <w:r w:rsidRPr="00816E15">
        <w:rPr>
          <w:w w:val="105"/>
          <w:szCs w:val="24"/>
        </w:rPr>
        <w:t xml:space="preserve">ma na celu implementację art. 111 ust. 2 </w:t>
      </w:r>
      <w:r w:rsidR="004E7AA6">
        <w:rPr>
          <w:w w:val="105"/>
          <w:szCs w:val="24"/>
        </w:rPr>
        <w:t>lit.</w:t>
      </w:r>
      <w:r w:rsidRPr="00816E15">
        <w:rPr>
          <w:w w:val="105"/>
          <w:szCs w:val="24"/>
        </w:rPr>
        <w:t xml:space="preserve"> f dyrektywy BRR, przez zapewnienie możliwości nałożenia przez Komisję Nadzoru Finansowego kary pieniężnej w wysokości dwukrotności uzyskanych korzyści </w:t>
      </w:r>
      <w:r w:rsidRPr="00816E15">
        <w:rPr>
          <w:szCs w:val="24"/>
        </w:rPr>
        <w:t xml:space="preserve">na członka zarządu lub rady nadzorczej </w:t>
      </w:r>
      <w:r w:rsidRPr="00816E15">
        <w:rPr>
          <w:w w:val="105"/>
          <w:szCs w:val="24"/>
        </w:rPr>
        <w:t xml:space="preserve">w przypadku nierzetelnego, nieterminowego albo braku </w:t>
      </w:r>
      <w:r w:rsidRPr="00816E15">
        <w:rPr>
          <w:szCs w:val="24"/>
        </w:rPr>
        <w:t>sporządzenia lub przedstawienia Funduszowi sprawozdania finansowego lub innych sprawozdań i informacji związanych z przygotowaniem i przeprowadzeniem przymusowej restrukturyzacji. Warunkiem zastosowania sankcji będzie możliwość ustalenia kwoty korzyści przez adekwatne narzędzia. Powyższe rozwiązanie, z uwagi na brzmienie ust. 1, będzie miało zastosowanie w przypadku ustalenia kwoty korzyści powyżej 10.000.000,00 euro.</w:t>
      </w:r>
    </w:p>
    <w:p w14:paraId="1D89830D" w14:textId="5E59AC5C" w:rsidR="009E4894" w:rsidRPr="00816E15" w:rsidRDefault="009E4894" w:rsidP="00CF5AAF">
      <w:pPr>
        <w:spacing w:line="360" w:lineRule="auto"/>
        <w:jc w:val="both"/>
        <w:rPr>
          <w:szCs w:val="24"/>
        </w:rPr>
      </w:pPr>
      <w:r w:rsidRPr="00816E15">
        <w:rPr>
          <w:w w:val="105"/>
          <w:szCs w:val="24"/>
        </w:rPr>
        <w:t>Dodanie w</w:t>
      </w:r>
      <w:r w:rsidR="00740FC7" w:rsidRPr="00816E15">
        <w:rPr>
          <w:w w:val="105"/>
          <w:szCs w:val="24"/>
        </w:rPr>
        <w:t xml:space="preserve"> </w:t>
      </w:r>
      <w:r w:rsidR="00622C80" w:rsidRPr="00816E15">
        <w:rPr>
          <w:b/>
          <w:w w:val="105"/>
          <w:szCs w:val="24"/>
        </w:rPr>
        <w:t xml:space="preserve">art. 335 ust. 1a i 2a </w:t>
      </w:r>
      <w:r w:rsidR="00622C80" w:rsidRPr="00816E15">
        <w:rPr>
          <w:w w:val="105"/>
          <w:szCs w:val="24"/>
        </w:rPr>
        <w:t>(podobne zmiany w art. 79 ust. 1a, art. 95 ust. 6a</w:t>
      </w:r>
      <w:r w:rsidR="004B3B89" w:rsidRPr="00816E15">
        <w:rPr>
          <w:w w:val="105"/>
          <w:szCs w:val="24"/>
        </w:rPr>
        <w:t>, art.</w:t>
      </w:r>
      <w:r w:rsidR="00816E15">
        <w:rPr>
          <w:w w:val="105"/>
          <w:szCs w:val="24"/>
        </w:rPr>
        <w:t> </w:t>
      </w:r>
      <w:r w:rsidR="004B3B89" w:rsidRPr="00816E15">
        <w:rPr>
          <w:w w:val="105"/>
          <w:szCs w:val="24"/>
        </w:rPr>
        <w:t>336 ust. 3</w:t>
      </w:r>
      <w:r w:rsidR="00542956" w:rsidRPr="00816E15">
        <w:rPr>
          <w:w w:val="105"/>
          <w:szCs w:val="24"/>
        </w:rPr>
        <w:t xml:space="preserve"> oraz</w:t>
      </w:r>
      <w:r w:rsidR="00816E15">
        <w:rPr>
          <w:w w:val="105"/>
          <w:szCs w:val="24"/>
        </w:rPr>
        <w:t xml:space="preserve"> </w:t>
      </w:r>
      <w:r w:rsidR="00622C80" w:rsidRPr="00816E15">
        <w:rPr>
          <w:w w:val="105"/>
          <w:szCs w:val="24"/>
        </w:rPr>
        <w:t>art. 338 ust. 1a)</w:t>
      </w:r>
      <w:r w:rsidRPr="00816E15">
        <w:rPr>
          <w:b/>
          <w:w w:val="105"/>
          <w:szCs w:val="24"/>
        </w:rPr>
        <w:t xml:space="preserve"> </w:t>
      </w:r>
      <w:r w:rsidRPr="00816E15">
        <w:rPr>
          <w:w w:val="105"/>
          <w:szCs w:val="24"/>
        </w:rPr>
        <w:t xml:space="preserve">ma na celu implementację art. 111 ust. 2 </w:t>
      </w:r>
      <w:r w:rsidR="004E7AA6">
        <w:rPr>
          <w:w w:val="105"/>
          <w:szCs w:val="24"/>
        </w:rPr>
        <w:t>lit.</w:t>
      </w:r>
      <w:r w:rsidRPr="00816E15">
        <w:rPr>
          <w:w w:val="105"/>
          <w:szCs w:val="24"/>
        </w:rPr>
        <w:t xml:space="preserve"> f</w:t>
      </w:r>
      <w:r w:rsidR="00622C80" w:rsidRPr="00816E15">
        <w:rPr>
          <w:w w:val="105"/>
          <w:szCs w:val="24"/>
        </w:rPr>
        <w:t xml:space="preserve"> dyrektywy BRR</w:t>
      </w:r>
      <w:r w:rsidRPr="00816E15">
        <w:rPr>
          <w:w w:val="105"/>
          <w:szCs w:val="24"/>
        </w:rPr>
        <w:t xml:space="preserve">, przez zapewnienie możliwości nałożenia przez </w:t>
      </w:r>
      <w:r w:rsidR="00D71EA4" w:rsidRPr="00816E15">
        <w:rPr>
          <w:w w:val="105"/>
          <w:szCs w:val="24"/>
        </w:rPr>
        <w:t>Komisję Nadzoru Finansowego</w:t>
      </w:r>
      <w:r w:rsidRPr="00816E15">
        <w:rPr>
          <w:w w:val="105"/>
          <w:szCs w:val="24"/>
        </w:rPr>
        <w:t xml:space="preserve"> kary pieniężnej</w:t>
      </w:r>
      <w:r w:rsidR="00DD2281" w:rsidRPr="00816E15">
        <w:rPr>
          <w:w w:val="105"/>
          <w:szCs w:val="24"/>
        </w:rPr>
        <w:t xml:space="preserve"> </w:t>
      </w:r>
      <w:r w:rsidRPr="00816E15">
        <w:rPr>
          <w:w w:val="105"/>
          <w:szCs w:val="24"/>
        </w:rPr>
        <w:t>w wysokości dwukrotności uzyskanych korzyści</w:t>
      </w:r>
      <w:r w:rsidR="00DD2281" w:rsidRPr="00816E15">
        <w:rPr>
          <w:w w:val="105"/>
          <w:szCs w:val="24"/>
        </w:rPr>
        <w:t xml:space="preserve"> </w:t>
      </w:r>
      <w:r w:rsidR="00DD2281" w:rsidRPr="00816E15">
        <w:rPr>
          <w:szCs w:val="24"/>
        </w:rPr>
        <w:t xml:space="preserve">na członka zarządu lub rady nadzorczej </w:t>
      </w:r>
      <w:r w:rsidRPr="00816E15">
        <w:rPr>
          <w:w w:val="105"/>
          <w:szCs w:val="24"/>
        </w:rPr>
        <w:t>w przypadku</w:t>
      </w:r>
      <w:r w:rsidR="00622C80" w:rsidRPr="00816E15">
        <w:rPr>
          <w:w w:val="105"/>
          <w:szCs w:val="24"/>
        </w:rPr>
        <w:t xml:space="preserve"> braku </w:t>
      </w:r>
      <w:r w:rsidR="00622C80" w:rsidRPr="00816E15">
        <w:rPr>
          <w:szCs w:val="24"/>
        </w:rPr>
        <w:t xml:space="preserve">powiadomienia Komisji o </w:t>
      </w:r>
      <w:r w:rsidR="00542956" w:rsidRPr="00816E15">
        <w:rPr>
          <w:szCs w:val="24"/>
        </w:rPr>
        <w:t xml:space="preserve">zaistnieniu </w:t>
      </w:r>
      <w:r w:rsidR="00622C80" w:rsidRPr="00816E15">
        <w:rPr>
          <w:szCs w:val="24"/>
        </w:rPr>
        <w:t xml:space="preserve">przesłanek wszczęcia przymusowej restrukturyzacji. </w:t>
      </w:r>
      <w:r w:rsidRPr="00816E15">
        <w:rPr>
          <w:szCs w:val="24"/>
        </w:rPr>
        <w:t xml:space="preserve">Warunkiem zastosowania sankcji </w:t>
      </w:r>
      <w:r w:rsidR="00542956" w:rsidRPr="00816E15">
        <w:rPr>
          <w:szCs w:val="24"/>
        </w:rPr>
        <w:t xml:space="preserve">będzie </w:t>
      </w:r>
      <w:r w:rsidRPr="00816E15">
        <w:rPr>
          <w:szCs w:val="24"/>
        </w:rPr>
        <w:t>możliwość ustalenia kwoty korzyści</w:t>
      </w:r>
      <w:r w:rsidR="00542956" w:rsidRPr="00816E15">
        <w:rPr>
          <w:szCs w:val="24"/>
        </w:rPr>
        <w:t xml:space="preserve"> </w:t>
      </w:r>
      <w:r w:rsidRPr="00816E15">
        <w:rPr>
          <w:szCs w:val="24"/>
        </w:rPr>
        <w:t>przez adekwatne narzędzia</w:t>
      </w:r>
      <w:r w:rsidR="00542956" w:rsidRPr="00816E15">
        <w:rPr>
          <w:szCs w:val="24"/>
        </w:rPr>
        <w:t xml:space="preserve">, np. metodę </w:t>
      </w:r>
      <w:r w:rsidRPr="00816E15">
        <w:rPr>
          <w:szCs w:val="24"/>
        </w:rPr>
        <w:t xml:space="preserve">analizy finansowej czy </w:t>
      </w:r>
      <w:r w:rsidR="00622C80" w:rsidRPr="00816E15">
        <w:rPr>
          <w:szCs w:val="24"/>
        </w:rPr>
        <w:t>informacje uzyskane z raportów</w:t>
      </w:r>
      <w:r w:rsidRPr="00816E15">
        <w:rPr>
          <w:szCs w:val="24"/>
        </w:rPr>
        <w:t>.</w:t>
      </w:r>
      <w:r w:rsidR="00622C80" w:rsidRPr="00816E15">
        <w:rPr>
          <w:szCs w:val="24"/>
        </w:rPr>
        <w:t xml:space="preserve"> </w:t>
      </w:r>
      <w:r w:rsidR="00542956" w:rsidRPr="00816E15">
        <w:rPr>
          <w:szCs w:val="24"/>
        </w:rPr>
        <w:t>P</w:t>
      </w:r>
      <w:r w:rsidR="00622C80" w:rsidRPr="00816E15">
        <w:rPr>
          <w:szCs w:val="24"/>
        </w:rPr>
        <w:t>owyższ</w:t>
      </w:r>
      <w:r w:rsidR="00542956" w:rsidRPr="00816E15">
        <w:rPr>
          <w:szCs w:val="24"/>
        </w:rPr>
        <w:t>e</w:t>
      </w:r>
      <w:r w:rsidR="00622C80" w:rsidRPr="00816E15">
        <w:rPr>
          <w:szCs w:val="24"/>
        </w:rPr>
        <w:t xml:space="preserve"> </w:t>
      </w:r>
      <w:r w:rsidR="00542956" w:rsidRPr="00816E15">
        <w:rPr>
          <w:szCs w:val="24"/>
        </w:rPr>
        <w:t xml:space="preserve">rozwiązanie, </w:t>
      </w:r>
      <w:r w:rsidR="00622C80" w:rsidRPr="00816E15">
        <w:rPr>
          <w:szCs w:val="24"/>
        </w:rPr>
        <w:t>z uwagi na brzmienie ust. 1</w:t>
      </w:r>
      <w:r w:rsidR="00542956" w:rsidRPr="00816E15">
        <w:rPr>
          <w:szCs w:val="24"/>
        </w:rPr>
        <w:t xml:space="preserve">, </w:t>
      </w:r>
      <w:r w:rsidR="00323DAA" w:rsidRPr="00816E15">
        <w:rPr>
          <w:szCs w:val="24"/>
        </w:rPr>
        <w:t>będzie miało</w:t>
      </w:r>
      <w:r w:rsidR="00622C80" w:rsidRPr="00816E15">
        <w:rPr>
          <w:szCs w:val="24"/>
        </w:rPr>
        <w:t xml:space="preserve"> zastosowanie w przypadku ustalenia kwoty korzyści powyżej 2.500.000,00 euro.</w:t>
      </w:r>
    </w:p>
    <w:p w14:paraId="0EA2FB25" w14:textId="194ACB0C" w:rsidR="009E4894" w:rsidRPr="00816E15" w:rsidRDefault="00622C80" w:rsidP="00CF5AAF">
      <w:pPr>
        <w:spacing w:line="360" w:lineRule="auto"/>
        <w:jc w:val="both"/>
        <w:rPr>
          <w:szCs w:val="24"/>
        </w:rPr>
      </w:pPr>
      <w:r w:rsidRPr="00816E15">
        <w:rPr>
          <w:w w:val="105"/>
          <w:szCs w:val="24"/>
        </w:rPr>
        <w:t xml:space="preserve">Dodanie w </w:t>
      </w:r>
      <w:r w:rsidRPr="00816E15">
        <w:rPr>
          <w:b/>
          <w:w w:val="105"/>
          <w:szCs w:val="24"/>
        </w:rPr>
        <w:t>art. 33</w:t>
      </w:r>
      <w:r w:rsidR="00080043" w:rsidRPr="00816E15">
        <w:rPr>
          <w:b/>
          <w:w w:val="105"/>
          <w:szCs w:val="24"/>
        </w:rPr>
        <w:t xml:space="preserve">8 </w:t>
      </w:r>
      <w:r w:rsidRPr="00816E15">
        <w:rPr>
          <w:b/>
          <w:w w:val="105"/>
          <w:szCs w:val="24"/>
        </w:rPr>
        <w:t xml:space="preserve">ust. 1a </w:t>
      </w:r>
      <w:r w:rsidRPr="00816E15">
        <w:rPr>
          <w:w w:val="105"/>
          <w:szCs w:val="24"/>
        </w:rPr>
        <w:t>(podobne zmiany w art. 79 ust. 1a, art. 95 ust. 6a</w:t>
      </w:r>
      <w:r w:rsidR="00542956" w:rsidRPr="00816E15">
        <w:rPr>
          <w:w w:val="105"/>
          <w:szCs w:val="24"/>
        </w:rPr>
        <w:t xml:space="preserve"> oraz </w:t>
      </w:r>
      <w:r w:rsidRPr="00816E15">
        <w:rPr>
          <w:w w:val="105"/>
          <w:szCs w:val="24"/>
        </w:rPr>
        <w:t>art. 33</w:t>
      </w:r>
      <w:r w:rsidR="00C9315C" w:rsidRPr="00816E15">
        <w:rPr>
          <w:w w:val="105"/>
          <w:szCs w:val="24"/>
        </w:rPr>
        <w:t xml:space="preserve">5 </w:t>
      </w:r>
      <w:r w:rsidRPr="00816E15">
        <w:rPr>
          <w:w w:val="105"/>
          <w:szCs w:val="24"/>
        </w:rPr>
        <w:t>ust. 1a</w:t>
      </w:r>
      <w:r w:rsidR="00C9315C" w:rsidRPr="00816E15">
        <w:rPr>
          <w:w w:val="105"/>
          <w:szCs w:val="24"/>
        </w:rPr>
        <w:t xml:space="preserve"> i 2a</w:t>
      </w:r>
      <w:r w:rsidR="006252CB" w:rsidRPr="00816E15">
        <w:rPr>
          <w:w w:val="105"/>
          <w:szCs w:val="24"/>
        </w:rPr>
        <w:t xml:space="preserve"> oraz </w:t>
      </w:r>
      <w:r w:rsidR="004B3B89" w:rsidRPr="00816E15">
        <w:rPr>
          <w:w w:val="105"/>
          <w:szCs w:val="24"/>
        </w:rPr>
        <w:t>art. 336 ust. 3</w:t>
      </w:r>
      <w:r w:rsidRPr="00816E15">
        <w:rPr>
          <w:w w:val="105"/>
          <w:szCs w:val="24"/>
        </w:rPr>
        <w:t>)</w:t>
      </w:r>
      <w:r w:rsidRPr="00816E15">
        <w:rPr>
          <w:b/>
          <w:w w:val="105"/>
          <w:szCs w:val="24"/>
        </w:rPr>
        <w:t xml:space="preserve"> </w:t>
      </w:r>
      <w:r w:rsidRPr="00816E15">
        <w:rPr>
          <w:w w:val="105"/>
          <w:szCs w:val="24"/>
        </w:rPr>
        <w:t xml:space="preserve">ma na celu implementację art. 111 ust. 2 </w:t>
      </w:r>
      <w:r w:rsidR="004E7AA6">
        <w:rPr>
          <w:w w:val="105"/>
          <w:szCs w:val="24"/>
        </w:rPr>
        <w:t>lit.</w:t>
      </w:r>
      <w:r w:rsidRPr="00816E15">
        <w:rPr>
          <w:w w:val="105"/>
          <w:szCs w:val="24"/>
        </w:rPr>
        <w:t xml:space="preserve"> f dyrektywy BRR, przez zapewnienie możliwości nałożenia przez Fundusz kary pieniężnej w wysokości dwukrotności uzyskanych korzyści</w:t>
      </w:r>
      <w:r w:rsidR="00DD2281" w:rsidRPr="00816E15">
        <w:rPr>
          <w:w w:val="105"/>
          <w:szCs w:val="24"/>
        </w:rPr>
        <w:t xml:space="preserve"> </w:t>
      </w:r>
      <w:r w:rsidR="00DD2281" w:rsidRPr="00816E15">
        <w:rPr>
          <w:szCs w:val="24"/>
        </w:rPr>
        <w:t>na zarządzany podmiot</w:t>
      </w:r>
      <w:r w:rsidRPr="00816E15">
        <w:rPr>
          <w:w w:val="105"/>
          <w:szCs w:val="24"/>
        </w:rPr>
        <w:t xml:space="preserve"> w przypadku braku </w:t>
      </w:r>
      <w:r w:rsidRPr="00816E15">
        <w:rPr>
          <w:szCs w:val="24"/>
        </w:rPr>
        <w:t>powiadomienia Komisji</w:t>
      </w:r>
      <w:r w:rsidR="005C31F2" w:rsidRPr="00816E15">
        <w:rPr>
          <w:szCs w:val="24"/>
        </w:rPr>
        <w:t xml:space="preserve"> Nadzoru Finansowego</w:t>
      </w:r>
      <w:r w:rsidRPr="00816E15">
        <w:rPr>
          <w:szCs w:val="24"/>
        </w:rPr>
        <w:t xml:space="preserve"> o </w:t>
      </w:r>
      <w:r w:rsidR="00542956" w:rsidRPr="00816E15">
        <w:rPr>
          <w:szCs w:val="24"/>
        </w:rPr>
        <w:t xml:space="preserve">zaistnieniu </w:t>
      </w:r>
      <w:r w:rsidRPr="00816E15">
        <w:rPr>
          <w:szCs w:val="24"/>
        </w:rPr>
        <w:t xml:space="preserve">przesłanek wszczęcia przymusowej restrukturyzacji. Warunkiem zastosowania sankcji </w:t>
      </w:r>
      <w:r w:rsidR="00542956" w:rsidRPr="00816E15">
        <w:rPr>
          <w:szCs w:val="24"/>
        </w:rPr>
        <w:t xml:space="preserve">będzie </w:t>
      </w:r>
      <w:r w:rsidRPr="00816E15">
        <w:rPr>
          <w:szCs w:val="24"/>
        </w:rPr>
        <w:t>możliwość ustalenia kwoty korzyści</w:t>
      </w:r>
      <w:r w:rsidR="00C9315C" w:rsidRPr="00816E15">
        <w:rPr>
          <w:szCs w:val="24"/>
        </w:rPr>
        <w:t xml:space="preserve"> </w:t>
      </w:r>
      <w:r w:rsidRPr="00816E15">
        <w:rPr>
          <w:szCs w:val="24"/>
        </w:rPr>
        <w:t>przez adekwatne narzędzia</w:t>
      </w:r>
      <w:r w:rsidR="00C9315C" w:rsidRPr="00816E15">
        <w:rPr>
          <w:szCs w:val="24"/>
        </w:rPr>
        <w:t xml:space="preserve">, np. </w:t>
      </w:r>
      <w:r w:rsidRPr="00816E15">
        <w:rPr>
          <w:szCs w:val="24"/>
        </w:rPr>
        <w:t>metod</w:t>
      </w:r>
      <w:r w:rsidR="00C9315C" w:rsidRPr="00816E15">
        <w:rPr>
          <w:szCs w:val="24"/>
        </w:rPr>
        <w:t xml:space="preserve">ę </w:t>
      </w:r>
      <w:r w:rsidRPr="00816E15">
        <w:rPr>
          <w:szCs w:val="24"/>
        </w:rPr>
        <w:t>analizy finansowej czy informacje uzyskane z raportów.</w:t>
      </w:r>
      <w:r w:rsidR="00080043" w:rsidRPr="00816E15">
        <w:rPr>
          <w:szCs w:val="24"/>
        </w:rPr>
        <w:t xml:space="preserve"> </w:t>
      </w:r>
      <w:r w:rsidR="00C9315C" w:rsidRPr="00816E15">
        <w:rPr>
          <w:szCs w:val="24"/>
        </w:rPr>
        <w:t>P</w:t>
      </w:r>
      <w:r w:rsidR="00080043" w:rsidRPr="00816E15">
        <w:rPr>
          <w:szCs w:val="24"/>
        </w:rPr>
        <w:t>owyższ</w:t>
      </w:r>
      <w:r w:rsidR="00C9315C" w:rsidRPr="00816E15">
        <w:rPr>
          <w:szCs w:val="24"/>
        </w:rPr>
        <w:t xml:space="preserve">e rozwiązanie, </w:t>
      </w:r>
      <w:r w:rsidR="00080043" w:rsidRPr="00816E15">
        <w:rPr>
          <w:szCs w:val="24"/>
        </w:rPr>
        <w:t>z uwagi na brzmienie ust. 1</w:t>
      </w:r>
      <w:r w:rsidR="00C9315C" w:rsidRPr="00816E15">
        <w:rPr>
          <w:szCs w:val="24"/>
        </w:rPr>
        <w:t xml:space="preserve">, </w:t>
      </w:r>
      <w:r w:rsidR="00080043" w:rsidRPr="00816E15">
        <w:rPr>
          <w:szCs w:val="24"/>
        </w:rPr>
        <w:t>będzie miał</w:t>
      </w:r>
      <w:r w:rsidR="001411EE">
        <w:rPr>
          <w:szCs w:val="24"/>
        </w:rPr>
        <w:t>o</w:t>
      </w:r>
      <w:r w:rsidR="00080043" w:rsidRPr="00816E15">
        <w:rPr>
          <w:szCs w:val="24"/>
        </w:rPr>
        <w:t xml:space="preserve"> zastosowanie w przypadku ustalenia kwoty korzyści powyżej 100.000.000,00 zł.</w:t>
      </w:r>
    </w:p>
    <w:p w14:paraId="45C0535E" w14:textId="709A19A2" w:rsidR="001D6475" w:rsidRPr="00816E15" w:rsidRDefault="00CB645D" w:rsidP="00CF5AAF">
      <w:pPr>
        <w:spacing w:line="360" w:lineRule="auto"/>
        <w:jc w:val="both"/>
        <w:rPr>
          <w:rFonts w:cs="Times New Roman"/>
          <w:szCs w:val="24"/>
        </w:rPr>
      </w:pPr>
      <w:r w:rsidRPr="00816E15">
        <w:rPr>
          <w:szCs w:val="24"/>
        </w:rPr>
        <w:t xml:space="preserve">W </w:t>
      </w:r>
      <w:r w:rsidR="006252CB" w:rsidRPr="00816E15">
        <w:rPr>
          <w:szCs w:val="24"/>
        </w:rPr>
        <w:t xml:space="preserve">celu doprecyzowania </w:t>
      </w:r>
      <w:r w:rsidRPr="00816E15">
        <w:rPr>
          <w:szCs w:val="24"/>
        </w:rPr>
        <w:t>informacji w zakresie wpływów z tytułu kar pieniężnych w dziale VII ustawy oraz mając</w:t>
      </w:r>
      <w:r w:rsidR="00D80FEA" w:rsidRPr="00816E15">
        <w:rPr>
          <w:szCs w:val="24"/>
        </w:rPr>
        <w:t xml:space="preserve"> na </w:t>
      </w:r>
      <w:r w:rsidRPr="00816E15">
        <w:rPr>
          <w:szCs w:val="24"/>
        </w:rPr>
        <w:t>uwadze</w:t>
      </w:r>
      <w:r w:rsidR="00D80FEA" w:rsidRPr="00816E15">
        <w:rPr>
          <w:szCs w:val="24"/>
        </w:rPr>
        <w:t xml:space="preserve"> zachowanie spójności z </w:t>
      </w:r>
      <w:r w:rsidRPr="00816E15">
        <w:rPr>
          <w:szCs w:val="24"/>
        </w:rPr>
        <w:t xml:space="preserve">już obowiązującymi </w:t>
      </w:r>
      <w:r w:rsidR="00D80FEA" w:rsidRPr="00816E15">
        <w:rPr>
          <w:szCs w:val="24"/>
        </w:rPr>
        <w:t>przepisami art. 79 ust. 2 i art. 95 ust. 9</w:t>
      </w:r>
      <w:r w:rsidRPr="00816E15">
        <w:rPr>
          <w:szCs w:val="24"/>
        </w:rPr>
        <w:t xml:space="preserve">, przewiduje się dodanie </w:t>
      </w:r>
      <w:r w:rsidRPr="00816E15">
        <w:rPr>
          <w:b/>
          <w:szCs w:val="24"/>
        </w:rPr>
        <w:t>art. 338a</w:t>
      </w:r>
      <w:r w:rsidR="006252CB" w:rsidRPr="00816E15">
        <w:rPr>
          <w:szCs w:val="24"/>
        </w:rPr>
        <w:t>,</w:t>
      </w:r>
      <w:r w:rsidR="00816E15">
        <w:rPr>
          <w:szCs w:val="24"/>
        </w:rPr>
        <w:t xml:space="preserve"> </w:t>
      </w:r>
      <w:r w:rsidRPr="00816E15">
        <w:rPr>
          <w:szCs w:val="24"/>
        </w:rPr>
        <w:t>który będzie wskazywał</w:t>
      </w:r>
      <w:r w:rsidR="006252CB" w:rsidRPr="00816E15">
        <w:rPr>
          <w:szCs w:val="24"/>
        </w:rPr>
        <w:t xml:space="preserve">, że </w:t>
      </w:r>
      <w:r w:rsidR="00D80FEA" w:rsidRPr="00816E15">
        <w:rPr>
          <w:szCs w:val="24"/>
        </w:rPr>
        <w:t xml:space="preserve">kary pieniężne nakładane przez Komisję Nadzoru Finansowego oraz Bankowy Fundusz Gwarancyjny </w:t>
      </w:r>
      <w:r w:rsidRPr="00816E15">
        <w:rPr>
          <w:szCs w:val="24"/>
        </w:rPr>
        <w:t>na podstawie</w:t>
      </w:r>
      <w:r w:rsidR="00D80FEA" w:rsidRPr="00816E15">
        <w:rPr>
          <w:szCs w:val="24"/>
        </w:rPr>
        <w:t xml:space="preserve"> art. 335, art. 336 oraz </w:t>
      </w:r>
      <w:r w:rsidR="006252CB" w:rsidRPr="00816E15">
        <w:rPr>
          <w:szCs w:val="24"/>
        </w:rPr>
        <w:t xml:space="preserve">art. </w:t>
      </w:r>
      <w:r w:rsidR="00D80FEA" w:rsidRPr="00816E15">
        <w:rPr>
          <w:szCs w:val="24"/>
        </w:rPr>
        <w:t>338 stanowią dochód budżetu państwa.</w:t>
      </w:r>
      <w:r w:rsidR="007946F9" w:rsidRPr="00816E15">
        <w:rPr>
          <w:szCs w:val="24"/>
        </w:rPr>
        <w:t xml:space="preserve"> </w:t>
      </w:r>
    </w:p>
    <w:p w14:paraId="7B163ADC" w14:textId="77E7F375" w:rsidR="00DA6CFB" w:rsidRPr="00816E15" w:rsidRDefault="00FF00AB" w:rsidP="00CF5AAF">
      <w:pPr>
        <w:spacing w:line="360" w:lineRule="auto"/>
        <w:jc w:val="both"/>
        <w:rPr>
          <w:rFonts w:cs="Times New Roman"/>
          <w:b/>
          <w:szCs w:val="24"/>
        </w:rPr>
      </w:pPr>
      <w:r w:rsidRPr="00816E15">
        <w:rPr>
          <w:rFonts w:cs="Times New Roman"/>
          <w:b/>
          <w:szCs w:val="24"/>
        </w:rPr>
        <w:t>2</w:t>
      </w:r>
      <w:r w:rsidR="00D54115" w:rsidRPr="00816E15">
        <w:rPr>
          <w:rFonts w:cs="Times New Roman"/>
          <w:b/>
          <w:szCs w:val="24"/>
        </w:rPr>
        <w:t xml:space="preserve">) </w:t>
      </w:r>
      <w:r w:rsidR="00DA6CFB" w:rsidRPr="00816E15">
        <w:rPr>
          <w:rFonts w:cs="Times New Roman"/>
          <w:b/>
          <w:szCs w:val="24"/>
        </w:rPr>
        <w:t>Zmiany w ustawie o podatku dochodowym od osób prawnych</w:t>
      </w:r>
    </w:p>
    <w:p w14:paraId="1B51FA6B" w14:textId="655C3CA9" w:rsidR="00653301" w:rsidRPr="00816E15" w:rsidRDefault="00F12157" w:rsidP="00CF5AAF">
      <w:pPr>
        <w:spacing w:line="360" w:lineRule="auto"/>
        <w:jc w:val="both"/>
        <w:rPr>
          <w:rFonts w:cs="Times New Roman"/>
          <w:szCs w:val="24"/>
        </w:rPr>
      </w:pPr>
      <w:r w:rsidRPr="00816E15">
        <w:rPr>
          <w:rFonts w:cs="Times New Roman"/>
          <w:szCs w:val="24"/>
        </w:rPr>
        <w:t xml:space="preserve">Projektowane zmiany </w:t>
      </w:r>
      <w:r w:rsidRPr="00816E15">
        <w:rPr>
          <w:rFonts w:cs="Times New Roman"/>
          <w:b/>
          <w:szCs w:val="24"/>
        </w:rPr>
        <w:t>art. 12 ust. 4 pkt 23, 24</w:t>
      </w:r>
      <w:r w:rsidR="00BF32C8" w:rsidRPr="00816E15">
        <w:rPr>
          <w:rFonts w:cs="Times New Roman"/>
          <w:b/>
          <w:szCs w:val="24"/>
        </w:rPr>
        <w:t xml:space="preserve"> i </w:t>
      </w:r>
      <w:r w:rsidR="00BB0EFC" w:rsidRPr="00816E15">
        <w:rPr>
          <w:rFonts w:cs="Times New Roman"/>
          <w:b/>
          <w:szCs w:val="24"/>
        </w:rPr>
        <w:t>24a</w:t>
      </w:r>
      <w:r w:rsidRPr="00816E15">
        <w:rPr>
          <w:rFonts w:cs="Times New Roman"/>
          <w:szCs w:val="24"/>
        </w:rPr>
        <w:t xml:space="preserve"> </w:t>
      </w:r>
      <w:r w:rsidR="0010696F" w:rsidRPr="00816E15">
        <w:rPr>
          <w:rFonts w:cs="Times New Roman"/>
          <w:szCs w:val="24"/>
        </w:rPr>
        <w:t>oraz</w:t>
      </w:r>
      <w:r w:rsidR="00816E15">
        <w:rPr>
          <w:rFonts w:cs="Times New Roman"/>
          <w:szCs w:val="24"/>
        </w:rPr>
        <w:t xml:space="preserve"> </w:t>
      </w:r>
      <w:r w:rsidRPr="00816E15">
        <w:rPr>
          <w:rFonts w:cs="Times New Roman"/>
          <w:b/>
          <w:szCs w:val="24"/>
        </w:rPr>
        <w:t>art. 17 ust. 1 pkt 56 i 5</w:t>
      </w:r>
      <w:r w:rsidR="00BF7278" w:rsidRPr="00816E15">
        <w:rPr>
          <w:rFonts w:cs="Times New Roman"/>
          <w:b/>
          <w:szCs w:val="24"/>
        </w:rPr>
        <w:t>6a</w:t>
      </w:r>
      <w:r w:rsidR="00503571" w:rsidRPr="00816E15">
        <w:rPr>
          <w:rFonts w:cs="Times New Roman"/>
          <w:b/>
          <w:szCs w:val="24"/>
        </w:rPr>
        <w:t xml:space="preserve"> </w:t>
      </w:r>
      <w:r w:rsidR="00503571" w:rsidRPr="00816E15">
        <w:rPr>
          <w:rFonts w:cs="Times New Roman"/>
          <w:szCs w:val="24"/>
        </w:rPr>
        <w:t xml:space="preserve">(art. 12 – niezaliczanie do przychodu, art. 17 – zwolnienie podatkowe) </w:t>
      </w:r>
      <w:r w:rsidRPr="00816E15">
        <w:rPr>
          <w:rFonts w:cs="Times New Roman"/>
          <w:szCs w:val="24"/>
        </w:rPr>
        <w:t>mają na celu wyłącz</w:t>
      </w:r>
      <w:r w:rsidR="0010696F" w:rsidRPr="00816E15">
        <w:rPr>
          <w:rFonts w:cs="Times New Roman"/>
          <w:szCs w:val="24"/>
        </w:rPr>
        <w:t xml:space="preserve">enie </w:t>
      </w:r>
      <w:r w:rsidRPr="00816E15">
        <w:rPr>
          <w:rFonts w:cs="Times New Roman"/>
          <w:szCs w:val="24"/>
        </w:rPr>
        <w:t>obowiązk</w:t>
      </w:r>
      <w:r w:rsidR="0010696F" w:rsidRPr="00816E15">
        <w:rPr>
          <w:rFonts w:cs="Times New Roman"/>
          <w:szCs w:val="24"/>
        </w:rPr>
        <w:t>u</w:t>
      </w:r>
      <w:r w:rsidRPr="00816E15">
        <w:rPr>
          <w:rFonts w:cs="Times New Roman"/>
          <w:szCs w:val="24"/>
        </w:rPr>
        <w:t xml:space="preserve"> podatkow</w:t>
      </w:r>
      <w:r w:rsidR="0010696F" w:rsidRPr="00816E15">
        <w:rPr>
          <w:rFonts w:cs="Times New Roman"/>
          <w:szCs w:val="24"/>
        </w:rPr>
        <w:t>ego</w:t>
      </w:r>
      <w:r w:rsidRPr="00816E15">
        <w:rPr>
          <w:rFonts w:cs="Times New Roman"/>
          <w:szCs w:val="24"/>
        </w:rPr>
        <w:t xml:space="preserve"> w stosunku do świadczeń</w:t>
      </w:r>
      <w:r w:rsidR="0010696F" w:rsidRPr="00816E15">
        <w:rPr>
          <w:rFonts w:cs="Times New Roman"/>
          <w:szCs w:val="24"/>
        </w:rPr>
        <w:t>,</w:t>
      </w:r>
      <w:r w:rsidRPr="00816E15">
        <w:rPr>
          <w:rFonts w:cs="Times New Roman"/>
          <w:szCs w:val="24"/>
        </w:rPr>
        <w:t xml:space="preserve"> o których mowa w art. 112 ust. 3, art. 179 oraz 264 ust. 2 pkt 3 i 4 </w:t>
      </w:r>
      <w:r w:rsidR="00503571" w:rsidRPr="00816E15">
        <w:rPr>
          <w:rFonts w:cs="Times New Roman"/>
          <w:szCs w:val="24"/>
        </w:rPr>
        <w:t xml:space="preserve">(rozszerzenie o przypadki przejmowania kas) </w:t>
      </w:r>
      <w:r w:rsidRPr="00816E15">
        <w:rPr>
          <w:rFonts w:cs="Times New Roman"/>
          <w:szCs w:val="24"/>
        </w:rPr>
        <w:t>ustawy o B</w:t>
      </w:r>
      <w:r w:rsidR="0010696F" w:rsidRPr="00816E15">
        <w:rPr>
          <w:rFonts w:cs="Times New Roman"/>
          <w:szCs w:val="24"/>
        </w:rPr>
        <w:t>FG</w:t>
      </w:r>
      <w:r w:rsidRPr="00816E15">
        <w:rPr>
          <w:rFonts w:cs="Times New Roman"/>
          <w:szCs w:val="24"/>
        </w:rPr>
        <w:t xml:space="preserve">. </w:t>
      </w:r>
      <w:r w:rsidR="00F42DEA" w:rsidRPr="00816E15">
        <w:rPr>
          <w:rFonts w:cs="Times New Roman"/>
          <w:szCs w:val="24"/>
        </w:rPr>
        <w:t xml:space="preserve">Zgodnie z aktualnym brzmieniem art. 12 ust. 4 pkt 23 i 24 do przychodu nie zalicza się środków przekazanych przez BFG dla podmiotu przejmującego/instytucji pomostowej przy zastosowaniu instrumentu przeniesienia przedsiębiorstwa lub wybranych praw majątkowych. </w:t>
      </w:r>
      <w:r w:rsidR="003D2667" w:rsidRPr="00816E15">
        <w:rPr>
          <w:rFonts w:cs="Times New Roman"/>
          <w:szCs w:val="24"/>
        </w:rPr>
        <w:t>Obecna regul</w:t>
      </w:r>
      <w:r w:rsidR="00F42DEA" w:rsidRPr="00816E15">
        <w:rPr>
          <w:rFonts w:cs="Times New Roman"/>
          <w:szCs w:val="24"/>
        </w:rPr>
        <w:t xml:space="preserve">acja nie uwzględnia jednak </w:t>
      </w:r>
      <w:r w:rsidR="003D2667" w:rsidRPr="00816E15">
        <w:rPr>
          <w:rFonts w:cs="Times New Roman"/>
          <w:szCs w:val="24"/>
        </w:rPr>
        <w:t xml:space="preserve">„zwolnienia” podatkowego w sytuacji zastosowania instrumentu przejęcia praw udziałowych. Przedmiotowe zwolnienie (niezaliczanie do przychodu) będzie także przysługiwało przy zastosowaniu instrumentu przejęcia praw udziałowych. </w:t>
      </w:r>
      <w:r w:rsidR="00DF51D9" w:rsidRPr="00816E15">
        <w:rPr>
          <w:rFonts w:cs="Times New Roman"/>
          <w:szCs w:val="24"/>
        </w:rPr>
        <w:t>Wprowadzane zmiany doprecyzowują aktualnie obowiązujące przepisy</w:t>
      </w:r>
      <w:r w:rsidR="001411EE">
        <w:rPr>
          <w:rFonts w:cs="Times New Roman"/>
          <w:szCs w:val="24"/>
        </w:rPr>
        <w:t>,</w:t>
      </w:r>
      <w:r w:rsidR="00DF51D9" w:rsidRPr="00816E15">
        <w:rPr>
          <w:rFonts w:cs="Times New Roman"/>
          <w:szCs w:val="24"/>
        </w:rPr>
        <w:t xml:space="preserve"> pozostając </w:t>
      </w:r>
      <w:r w:rsidR="00A3412F" w:rsidRPr="00816E15">
        <w:rPr>
          <w:rFonts w:cs="Times New Roman"/>
          <w:szCs w:val="24"/>
        </w:rPr>
        <w:t>w zakresie przedmiotowym, nie rozszerzając przepisów prawa podatkowego.</w:t>
      </w:r>
      <w:r w:rsidR="006252CB" w:rsidRPr="00816E15">
        <w:rPr>
          <w:rFonts w:cs="Times New Roman"/>
          <w:szCs w:val="24"/>
        </w:rPr>
        <w:t xml:space="preserve"> </w:t>
      </w:r>
    </w:p>
    <w:p w14:paraId="70FAC83A" w14:textId="6F91AEBC" w:rsidR="001056A1" w:rsidRPr="00816E15" w:rsidRDefault="00503571" w:rsidP="00CF5AAF">
      <w:pPr>
        <w:spacing w:line="360" w:lineRule="auto"/>
        <w:jc w:val="both"/>
        <w:rPr>
          <w:szCs w:val="24"/>
        </w:rPr>
      </w:pPr>
      <w:r w:rsidRPr="00816E15">
        <w:rPr>
          <w:szCs w:val="24"/>
        </w:rPr>
        <w:t>W art. 12 ust. 4 pkt 24a dodaje się normę, że do przychodów nie będzie się zaliczać dotacji na pokrycie różnicy między wartością przejmowanych lub nabywanych praw majątkowych i przejmowanych zobowiązań z tytułu środków gwarantowanych na rachunkach deponentów kasy</w:t>
      </w:r>
      <w:r w:rsidR="00BF32C8" w:rsidRPr="00816E15">
        <w:rPr>
          <w:szCs w:val="24"/>
        </w:rPr>
        <w:t>,</w:t>
      </w:r>
      <w:r w:rsidRPr="00816E15">
        <w:rPr>
          <w:szCs w:val="24"/>
        </w:rPr>
        <w:t xml:space="preserve"> do wysokości łącznej maksymalnej kwoty z tytułu gwarancji w kasie liczonej jako suma środków gwarantowanych na rachunkach deponentów kasy, w której stwierdzono niebezpieczeństwo niewypłacalności</w:t>
      </w:r>
      <w:r w:rsidR="00B82F60" w:rsidRPr="00816E15">
        <w:rPr>
          <w:szCs w:val="24"/>
        </w:rPr>
        <w:t xml:space="preserve">. </w:t>
      </w:r>
      <w:r w:rsidR="003D2667" w:rsidRPr="00816E15">
        <w:rPr>
          <w:szCs w:val="24"/>
        </w:rPr>
        <w:t xml:space="preserve">Jest to </w:t>
      </w:r>
      <w:r w:rsidR="006252CB" w:rsidRPr="00816E15">
        <w:rPr>
          <w:szCs w:val="24"/>
        </w:rPr>
        <w:t>prze</w:t>
      </w:r>
      <w:r w:rsidR="003D2667" w:rsidRPr="00816E15">
        <w:rPr>
          <w:szCs w:val="24"/>
        </w:rPr>
        <w:t xml:space="preserve">pis analogiczny do obecnie funkcjonującego przepisu art. 12 ust. 4 pkt 23 i 24, które swoim zakresem zastosowania nie obejmują kas. </w:t>
      </w:r>
      <w:r w:rsidR="00B82F60" w:rsidRPr="00816E15">
        <w:rPr>
          <w:szCs w:val="24"/>
        </w:rPr>
        <w:t>Zmiana ta powinna być rozpatrywana także z perspektywy programu pomocowego dla kas, w szczególności zmienianego art. 264 ust. 4, który będzie odzwierciedlał zasadę</w:t>
      </w:r>
      <w:r w:rsidR="00BF32C8" w:rsidRPr="00816E15">
        <w:rPr>
          <w:szCs w:val="24"/>
        </w:rPr>
        <w:t>,</w:t>
      </w:r>
      <w:r w:rsidR="00B82F60" w:rsidRPr="00816E15">
        <w:rPr>
          <w:szCs w:val="24"/>
        </w:rPr>
        <w:t xml:space="preserve"> zgodnie z którą koszty poniesione przez system gwarancji depozytów nie mogą przekraczać kwoty netto kompensowania deponentów</w:t>
      </w:r>
      <w:r w:rsidR="006A2A54">
        <w:rPr>
          <w:szCs w:val="24"/>
        </w:rPr>
        <w:t>.</w:t>
      </w:r>
    </w:p>
    <w:p w14:paraId="29EC0A34" w14:textId="72F7F9B0" w:rsidR="003D2667" w:rsidRPr="00816E15" w:rsidRDefault="007C4163" w:rsidP="00CF5AAF">
      <w:pPr>
        <w:spacing w:line="360" w:lineRule="auto"/>
        <w:jc w:val="both"/>
        <w:rPr>
          <w:szCs w:val="24"/>
        </w:rPr>
      </w:pPr>
      <w:r w:rsidRPr="00816E15">
        <w:rPr>
          <w:rFonts w:cs="Times New Roman"/>
          <w:szCs w:val="24"/>
        </w:rPr>
        <w:t>Zmiana w</w:t>
      </w:r>
      <w:r w:rsidR="00816E15">
        <w:rPr>
          <w:rFonts w:cs="Times New Roman"/>
          <w:szCs w:val="24"/>
        </w:rPr>
        <w:t xml:space="preserve"> </w:t>
      </w:r>
      <w:r w:rsidR="00B82F60" w:rsidRPr="00816E15">
        <w:rPr>
          <w:rFonts w:cs="Times New Roman"/>
          <w:szCs w:val="24"/>
        </w:rPr>
        <w:t>art. 17 ust. 1 pkt 56</w:t>
      </w:r>
      <w:r w:rsidRPr="00816E15">
        <w:rPr>
          <w:rFonts w:cs="Times New Roman"/>
          <w:szCs w:val="24"/>
        </w:rPr>
        <w:t xml:space="preserve"> ma na celu </w:t>
      </w:r>
      <w:r w:rsidRPr="00816E15">
        <w:rPr>
          <w:szCs w:val="24"/>
        </w:rPr>
        <w:t xml:space="preserve">rozszerzenie zwolnienia podatkowego („wolne od podatku są”) na środki przekazywane przez BFG podmiotowi przejmującemu </w:t>
      </w:r>
      <w:r w:rsidR="006252CB" w:rsidRPr="00816E15">
        <w:rPr>
          <w:szCs w:val="24"/>
        </w:rPr>
        <w:t>kasę</w:t>
      </w:r>
      <w:r w:rsidRPr="00816E15">
        <w:rPr>
          <w:szCs w:val="24"/>
        </w:rPr>
        <w:t>. W przepisie</w:t>
      </w:r>
      <w:r w:rsidR="00B82F60" w:rsidRPr="00816E15">
        <w:rPr>
          <w:rFonts w:cs="Times New Roman"/>
          <w:szCs w:val="24"/>
        </w:rPr>
        <w:t xml:space="preserve"> </w:t>
      </w:r>
      <w:r w:rsidR="00BF32C8" w:rsidRPr="00816E15">
        <w:rPr>
          <w:rFonts w:cs="Times New Roman"/>
          <w:szCs w:val="24"/>
        </w:rPr>
        <w:t xml:space="preserve">przewidziano, że </w:t>
      </w:r>
      <w:r w:rsidR="00BF7278" w:rsidRPr="00816E15">
        <w:rPr>
          <w:rFonts w:cs="Times New Roman"/>
          <w:szCs w:val="24"/>
        </w:rPr>
        <w:t xml:space="preserve">do kategorii świadczeń wolnych od podatku zalicza się także </w:t>
      </w:r>
      <w:r w:rsidR="006A2A54">
        <w:rPr>
          <w:szCs w:val="24"/>
        </w:rPr>
        <w:t>gwarancje</w:t>
      </w:r>
      <w:r w:rsidR="00BF7278" w:rsidRPr="00816E15">
        <w:rPr>
          <w:szCs w:val="24"/>
        </w:rPr>
        <w:t xml:space="preserve"> całkowitego lub częściowego pokrycia strat wynikających z ryzyka związanego z przejmowanymi lub nabywanymi prawami majątkowymi lub przejmowanymi zobowiązaniami w przypadku restrukturyzacji kas (wsparcia dla podmiotu przejmowanego).</w:t>
      </w:r>
      <w:r w:rsidR="006A2A54">
        <w:rPr>
          <w:szCs w:val="24"/>
        </w:rPr>
        <w:t xml:space="preserve"> Obecnie zwolnienie to</w:t>
      </w:r>
      <w:r w:rsidRPr="00816E15">
        <w:rPr>
          <w:szCs w:val="24"/>
        </w:rPr>
        <w:t xml:space="preserve"> nie dotyczy sytuacji przejmowania </w:t>
      </w:r>
      <w:r w:rsidR="006252CB" w:rsidRPr="00816E15">
        <w:rPr>
          <w:szCs w:val="24"/>
        </w:rPr>
        <w:t>kas</w:t>
      </w:r>
      <w:r w:rsidRPr="00816E15">
        <w:rPr>
          <w:szCs w:val="24"/>
        </w:rPr>
        <w:t>.</w:t>
      </w:r>
    </w:p>
    <w:p w14:paraId="72FCFDE6" w14:textId="696D4744" w:rsidR="003D2667" w:rsidRPr="00816E15" w:rsidRDefault="00BF7278" w:rsidP="00CF5AAF">
      <w:pPr>
        <w:spacing w:line="360" w:lineRule="auto"/>
        <w:jc w:val="both"/>
        <w:rPr>
          <w:szCs w:val="24"/>
        </w:rPr>
      </w:pPr>
      <w:r w:rsidRPr="00816E15">
        <w:rPr>
          <w:szCs w:val="24"/>
        </w:rPr>
        <w:t>Dodawany w art. 17 ust. 1 pkt 56a stanowi komplementarne zwolnienie w perspektywie zmian w art. 12 ust. 4 pkt 24 i 24a w perspektywie stosowa</w:t>
      </w:r>
      <w:r w:rsidR="00BF32C8" w:rsidRPr="00816E15">
        <w:rPr>
          <w:szCs w:val="24"/>
        </w:rPr>
        <w:t>nia</w:t>
      </w:r>
      <w:r w:rsidRPr="00816E15">
        <w:rPr>
          <w:szCs w:val="24"/>
        </w:rPr>
        <w:t xml:space="preserve"> art. 112 ust. 3 pkt 1 </w:t>
      </w:r>
      <w:r w:rsidR="00F66E5C" w:rsidRPr="00816E15">
        <w:rPr>
          <w:szCs w:val="24"/>
        </w:rPr>
        <w:t xml:space="preserve">ustawy o BFG. Powyższa regulacja ma zapewnić, że wsparcie udzielone na podstawie art. 179 lub </w:t>
      </w:r>
      <w:r w:rsidR="00816E15">
        <w:rPr>
          <w:szCs w:val="24"/>
        </w:rPr>
        <w:t>art. </w:t>
      </w:r>
      <w:r w:rsidR="00F66E5C" w:rsidRPr="00816E15">
        <w:rPr>
          <w:szCs w:val="24"/>
        </w:rPr>
        <w:t xml:space="preserve">188 nie przekroczy ogólnego limitu ustalonego w art. 112 ust. 3 </w:t>
      </w:r>
      <w:r w:rsidR="006252CB" w:rsidRPr="00816E15">
        <w:rPr>
          <w:szCs w:val="24"/>
        </w:rPr>
        <w:t>–</w:t>
      </w:r>
      <w:r w:rsidR="00F66E5C" w:rsidRPr="00816E15">
        <w:rPr>
          <w:szCs w:val="24"/>
        </w:rPr>
        <w:t xml:space="preserve"> pasywów (strat) pomniejszonych o aktywa</w:t>
      </w:r>
      <w:r w:rsidR="00BF32C8" w:rsidRPr="00816E15">
        <w:rPr>
          <w:szCs w:val="24"/>
        </w:rPr>
        <w:t>.</w:t>
      </w:r>
      <w:r w:rsidR="003D2667" w:rsidRPr="00816E15">
        <w:rPr>
          <w:szCs w:val="24"/>
        </w:rPr>
        <w:t xml:space="preserve"> Obecnie na podstawie przepisów art. 17 ust. 1 pkt 56 wolne od podatku są środki przekazan</w:t>
      </w:r>
      <w:r w:rsidR="006252CB" w:rsidRPr="00816E15">
        <w:rPr>
          <w:szCs w:val="24"/>
        </w:rPr>
        <w:t>e</w:t>
      </w:r>
      <w:r w:rsidR="003D2667" w:rsidRPr="00816E15">
        <w:rPr>
          <w:szCs w:val="24"/>
        </w:rPr>
        <w:t xml:space="preserve"> przez BFG dla podmiotu przejmującego/instytucji pomostowej w wykonaniu gwarancji pokrycia strat przy zastosowaniu instrumentu przeniesienia przedsiębiorstwa lub wybranych praw majątkowych. Przepis w aktualnym brzmieniu nie uwzględnia jednak tego „zwolnienia” podatkowego w sytuacji zastosowania instrumentu przejęcia praw udziałowych. Projektowana zmiana to zmienia. Przedmiotowe zwolnienie będzie także przysługiwało przy zastosowaniu instrumentu przejęcia praw udziałowych.</w:t>
      </w:r>
    </w:p>
    <w:p w14:paraId="3C225C70" w14:textId="702A4C2F" w:rsidR="00512EAF" w:rsidRPr="00816E15" w:rsidRDefault="00BD273B" w:rsidP="00CF5AAF">
      <w:pPr>
        <w:spacing w:line="360" w:lineRule="auto"/>
        <w:jc w:val="both"/>
        <w:rPr>
          <w:szCs w:val="24"/>
        </w:rPr>
      </w:pPr>
      <w:r w:rsidRPr="00816E15">
        <w:rPr>
          <w:rFonts w:cs="Times New Roman"/>
          <w:szCs w:val="24"/>
        </w:rPr>
        <w:t xml:space="preserve">Projektowana zmiana w </w:t>
      </w:r>
      <w:r w:rsidRPr="00816E15">
        <w:rPr>
          <w:rFonts w:cs="Times New Roman"/>
          <w:b/>
          <w:szCs w:val="24"/>
        </w:rPr>
        <w:t xml:space="preserve">art. 26 ust. 2c </w:t>
      </w:r>
      <w:r w:rsidRPr="00816E15">
        <w:rPr>
          <w:rFonts w:cs="Times New Roman"/>
          <w:szCs w:val="24"/>
        </w:rPr>
        <w:t>ma na celu</w:t>
      </w:r>
      <w:r w:rsidR="00512EAF" w:rsidRPr="00816E15">
        <w:rPr>
          <w:rFonts w:cs="Times New Roman"/>
          <w:szCs w:val="24"/>
        </w:rPr>
        <w:t xml:space="preserve"> przesunięcie obowiązku płatnika na podmioty prowadzące rachunki </w:t>
      </w:r>
      <w:r w:rsidR="00512EAF" w:rsidRPr="00816E15">
        <w:rPr>
          <w:szCs w:val="24"/>
        </w:rPr>
        <w:t>publiczne fundusze inwestycyjne zamknięte, jeżeli wypłata tych dochodów następuje za ich pośrednictwem, niż nakładanie ich na emitenta certyfikatów inwestycyjnych.</w:t>
      </w:r>
      <w:r w:rsidR="00217AB6" w:rsidRPr="00816E15">
        <w:rPr>
          <w:szCs w:val="24"/>
        </w:rPr>
        <w:t xml:space="preserve"> Wprowadzone z dniem 1 stycznia 2018 r. zmiany w ustawie o podatku dochodowym od osób prawnych w szczególności objęły przychody, które uzyskują uczestnicy funduszy inwestycyjnych z dochodów tych funduszy wypłacanych im bez odkupywania jednostek uczestnictwa albo wykupywania certyfikatów inwestycyjnych, zryczałtowanym podatkiem, o którym mowa w</w:t>
      </w:r>
      <w:r w:rsidR="00816E15">
        <w:rPr>
          <w:szCs w:val="24"/>
        </w:rPr>
        <w:t xml:space="preserve"> </w:t>
      </w:r>
      <w:r w:rsidR="00217AB6" w:rsidRPr="00816E15">
        <w:rPr>
          <w:szCs w:val="24"/>
        </w:rPr>
        <w:t>art. 22 ust.</w:t>
      </w:r>
      <w:r w:rsidR="006A2A54">
        <w:rPr>
          <w:szCs w:val="24"/>
        </w:rPr>
        <w:t xml:space="preserve"> </w:t>
      </w:r>
      <w:r w:rsidR="00217AB6" w:rsidRPr="00816E15">
        <w:rPr>
          <w:szCs w:val="24"/>
        </w:rPr>
        <w:t>1 ustawy o podatku dochodowym od osób prawnych. W przypadku takich dochodów wypłacanych przez publiczne fundusze inwestycyjne zamknięte, ich wypłata następuje</w:t>
      </w:r>
      <w:r w:rsidR="006A2A54">
        <w:rPr>
          <w:szCs w:val="24"/>
        </w:rPr>
        <w:t>,</w:t>
      </w:r>
      <w:r w:rsidR="00217AB6" w:rsidRPr="00816E15">
        <w:rPr>
          <w:szCs w:val="24"/>
        </w:rPr>
        <w:t xml:space="preserve"> co do zasady, za pośrednictwem podmiotów prowadzących rachunki papierów wartościowych lub rachunki zbiorcze, na których zapisane są uprawniające do niej certyfikaty inwestycyjne. Z uwagi na to, że identyfikacja podatników następuje w takim przypadku na poziomie podmiotów prowadzących te rachunki, bardziej uzasadnione jest nałożenie obowiązków płatnika w zakresie takich dochodów – podobnie jak to ma miejsce w przypadku dywidend i pozostałych przychodów wskazanych w art. 26 ust. 2c pkt 2 – na podmioty prowadzące te rachunki.</w:t>
      </w:r>
      <w:r w:rsidR="00712E59" w:rsidRPr="00816E15">
        <w:rPr>
          <w:szCs w:val="24"/>
        </w:rPr>
        <w:t xml:space="preserve"> </w:t>
      </w:r>
      <w:r w:rsidR="00512EAF" w:rsidRPr="00816E15">
        <w:rPr>
          <w:szCs w:val="24"/>
        </w:rPr>
        <w:t>W praktyce nastąpi rozszerzeniem kategorii przychodów z udziału w zyskach osób prawnych, w zakresie których obowiązki płatnika wykonywać będą podmioty prowadzące rachunki papierów wartościowych lub rachunki zbiorcze, o dochody wypłacane uczestnikom publicznych funduszy inwestycyjnych zamkniętych bez wykupywania certyfikatów inwestycyjnych, wymienione w art. 7b ust.</w:t>
      </w:r>
      <w:r w:rsidR="00816E15">
        <w:rPr>
          <w:szCs w:val="24"/>
        </w:rPr>
        <w:t xml:space="preserve"> </w:t>
      </w:r>
      <w:r w:rsidR="00512EAF" w:rsidRPr="00816E15">
        <w:rPr>
          <w:szCs w:val="24"/>
        </w:rPr>
        <w:t>1 pkt</w:t>
      </w:r>
      <w:r w:rsidR="00816E15">
        <w:rPr>
          <w:szCs w:val="24"/>
        </w:rPr>
        <w:t> </w:t>
      </w:r>
      <w:r w:rsidR="00512EAF" w:rsidRPr="00816E15">
        <w:rPr>
          <w:szCs w:val="24"/>
        </w:rPr>
        <w:t>1 lit. a ustawy o podatku dochodowym</w:t>
      </w:r>
      <w:r w:rsidR="00BF32C8" w:rsidRPr="00816E15">
        <w:rPr>
          <w:szCs w:val="24"/>
        </w:rPr>
        <w:t xml:space="preserve"> od osób prawnych</w:t>
      </w:r>
      <w:r w:rsidR="00512EAF" w:rsidRPr="00816E15">
        <w:rPr>
          <w:szCs w:val="24"/>
        </w:rPr>
        <w:t xml:space="preserve">. </w:t>
      </w:r>
    </w:p>
    <w:p w14:paraId="420AA78D" w14:textId="4AC9145F" w:rsidR="00263332" w:rsidRPr="00816E15" w:rsidRDefault="00E5666B" w:rsidP="00CF5AAF">
      <w:pPr>
        <w:spacing w:line="360" w:lineRule="auto"/>
        <w:jc w:val="both"/>
        <w:rPr>
          <w:rFonts w:cs="Times New Roman"/>
          <w:b/>
          <w:szCs w:val="24"/>
        </w:rPr>
      </w:pPr>
      <w:r w:rsidRPr="00816E15">
        <w:rPr>
          <w:rFonts w:cs="Times New Roman"/>
          <w:b/>
          <w:szCs w:val="24"/>
        </w:rPr>
        <w:t>3</w:t>
      </w:r>
      <w:r w:rsidR="00263332" w:rsidRPr="00816E15">
        <w:rPr>
          <w:rFonts w:cs="Times New Roman"/>
          <w:b/>
          <w:szCs w:val="24"/>
        </w:rPr>
        <w:t>) Zmiany w</w:t>
      </w:r>
      <w:r w:rsidR="00A925EA" w:rsidRPr="00816E15">
        <w:rPr>
          <w:rFonts w:cs="Times New Roman"/>
          <w:b/>
          <w:szCs w:val="24"/>
        </w:rPr>
        <w:t xml:space="preserve"> ustawie</w:t>
      </w:r>
      <w:r w:rsidR="00563B7F" w:rsidRPr="00816E15">
        <w:rPr>
          <w:rFonts w:cs="Times New Roman"/>
          <w:b/>
          <w:szCs w:val="24"/>
        </w:rPr>
        <w:t xml:space="preserve"> </w:t>
      </w:r>
      <w:r w:rsidR="00280324">
        <w:rPr>
          <w:rFonts w:cs="Times New Roman"/>
          <w:b/>
          <w:szCs w:val="24"/>
        </w:rPr>
        <w:t>–</w:t>
      </w:r>
      <w:r w:rsidR="00263332" w:rsidRPr="00816E15">
        <w:rPr>
          <w:rFonts w:cs="Times New Roman"/>
          <w:b/>
          <w:szCs w:val="24"/>
        </w:rPr>
        <w:t xml:space="preserve"> Prawo bankowe</w:t>
      </w:r>
    </w:p>
    <w:p w14:paraId="1BC5FD9C" w14:textId="4FC89B28" w:rsidR="000B65CB" w:rsidRPr="00816E15" w:rsidRDefault="000B65CB" w:rsidP="00CF5AAF">
      <w:pPr>
        <w:spacing w:before="240" w:line="360" w:lineRule="auto"/>
        <w:jc w:val="both"/>
        <w:rPr>
          <w:color w:val="000000"/>
          <w:szCs w:val="24"/>
        </w:rPr>
      </w:pPr>
      <w:r w:rsidRPr="00816E15">
        <w:rPr>
          <w:rFonts w:eastAsia="Times New Roman" w:cs="Times New Roman"/>
          <w:bCs/>
          <w:szCs w:val="24"/>
          <w:lang w:eastAsia="pl-PL"/>
        </w:rPr>
        <w:t xml:space="preserve">Zmiana w </w:t>
      </w:r>
      <w:r w:rsidRPr="00816E15">
        <w:rPr>
          <w:rFonts w:eastAsia="Times New Roman" w:cs="Times New Roman"/>
          <w:b/>
          <w:bCs/>
          <w:szCs w:val="24"/>
          <w:lang w:eastAsia="pl-PL"/>
        </w:rPr>
        <w:t xml:space="preserve">art. 49 ust. 3 pkt 4 </w:t>
      </w:r>
      <w:r w:rsidRPr="00816E15">
        <w:rPr>
          <w:rFonts w:eastAsia="Times New Roman" w:cs="Times New Roman"/>
          <w:bCs/>
          <w:szCs w:val="24"/>
          <w:lang w:eastAsia="pl-PL"/>
        </w:rPr>
        <w:t xml:space="preserve">pozostaje </w:t>
      </w:r>
      <w:r w:rsidRPr="00816E15">
        <w:rPr>
          <w:rFonts w:eastAsia="Times New Roman" w:cs="Times New Roman"/>
          <w:bCs/>
          <w:color w:val="000000"/>
          <w:szCs w:val="24"/>
          <w:lang w:eastAsia="pl-PL"/>
        </w:rPr>
        <w:t xml:space="preserve">w związku ze zmianą w art. 20 pkt 6 ustawy o BFG. </w:t>
      </w:r>
      <w:r w:rsidRPr="00816E15">
        <w:rPr>
          <w:color w:val="000000"/>
          <w:w w:val="105"/>
          <w:szCs w:val="24"/>
        </w:rPr>
        <w:t xml:space="preserve">Od dnia 1 września 2017 r. obowiązuje art. 84 ust. 7 ustawy </w:t>
      </w:r>
      <w:r w:rsidR="00284598" w:rsidRPr="00816E15">
        <w:rPr>
          <w:color w:val="000000"/>
          <w:w w:val="105"/>
          <w:szCs w:val="24"/>
        </w:rPr>
        <w:t xml:space="preserve">z dnia 14 grudnia 2016 r. </w:t>
      </w:r>
      <w:r w:rsidR="006252CB" w:rsidRPr="00816E15">
        <w:rPr>
          <w:color w:val="000000"/>
          <w:w w:val="105"/>
          <w:szCs w:val="24"/>
        </w:rPr>
        <w:t>–</w:t>
      </w:r>
      <w:r w:rsidR="00AE2525" w:rsidRPr="00816E15">
        <w:rPr>
          <w:color w:val="000000"/>
          <w:w w:val="105"/>
          <w:szCs w:val="24"/>
        </w:rPr>
        <w:t xml:space="preserve"> </w:t>
      </w:r>
      <w:r w:rsidRPr="00816E15">
        <w:rPr>
          <w:color w:val="000000"/>
          <w:w w:val="105"/>
          <w:szCs w:val="24"/>
        </w:rPr>
        <w:t xml:space="preserve">Prawo oświatowe </w:t>
      </w:r>
      <w:r w:rsidR="00284598" w:rsidRPr="00816E15">
        <w:rPr>
          <w:color w:val="000000"/>
          <w:w w:val="105"/>
          <w:szCs w:val="24"/>
        </w:rPr>
        <w:t>(Dz. U. z 2018 r. poz. 996, z późn. zm.)</w:t>
      </w:r>
      <w:r w:rsidR="00AE2525" w:rsidRPr="00816E15">
        <w:rPr>
          <w:w w:val="105"/>
          <w:szCs w:val="24"/>
        </w:rPr>
        <w:t xml:space="preserve">, </w:t>
      </w:r>
      <w:r w:rsidRPr="00816E15">
        <w:rPr>
          <w:w w:val="105"/>
          <w:szCs w:val="24"/>
        </w:rPr>
        <w:t xml:space="preserve">z którego wynika, </w:t>
      </w:r>
      <w:r w:rsidRPr="00816E15">
        <w:rPr>
          <w:szCs w:val="24"/>
        </w:rPr>
        <w:t xml:space="preserve">że </w:t>
      </w:r>
      <w:r w:rsidRPr="00816E15">
        <w:rPr>
          <w:w w:val="105"/>
          <w:szCs w:val="24"/>
        </w:rPr>
        <w:t xml:space="preserve">fundusze gromadzone przez radę rodziców mogą być przechowywane na odrębnym </w:t>
      </w:r>
      <w:r w:rsidRPr="00816E15">
        <w:rPr>
          <w:color w:val="000000"/>
          <w:w w:val="105"/>
          <w:szCs w:val="24"/>
        </w:rPr>
        <w:t xml:space="preserve">rachunku bankowym rady rodziców. Do założenia i likwidacji tego rachunku bankowego oraz dysponowania funduszami na tym rachunku są uprawnione osoby posiadające pisemne </w:t>
      </w:r>
      <w:r w:rsidRPr="00816E15">
        <w:rPr>
          <w:color w:val="000000"/>
          <w:szCs w:val="24"/>
        </w:rPr>
        <w:t xml:space="preserve">upoważnienie </w:t>
      </w:r>
      <w:r w:rsidRPr="00816E15">
        <w:rPr>
          <w:color w:val="000000"/>
          <w:w w:val="105"/>
          <w:szCs w:val="24"/>
        </w:rPr>
        <w:t>udzielone przez radę rodziców.</w:t>
      </w:r>
      <w:r w:rsidRPr="00816E15">
        <w:rPr>
          <w:b/>
          <w:color w:val="000000"/>
          <w:szCs w:val="24"/>
        </w:rPr>
        <w:t xml:space="preserve"> </w:t>
      </w:r>
    </w:p>
    <w:p w14:paraId="2F6F0D7E" w14:textId="73FE1447" w:rsidR="000B65CB" w:rsidRPr="00816E15" w:rsidRDefault="000B65CB" w:rsidP="00CF5AAF">
      <w:pPr>
        <w:spacing w:line="360" w:lineRule="auto"/>
        <w:jc w:val="both"/>
        <w:rPr>
          <w:color w:val="000000"/>
          <w:w w:val="105"/>
          <w:szCs w:val="24"/>
        </w:rPr>
      </w:pPr>
      <w:r w:rsidRPr="00816E15">
        <w:rPr>
          <w:color w:val="000000"/>
          <w:w w:val="105"/>
          <w:szCs w:val="24"/>
        </w:rPr>
        <w:t xml:space="preserve">W przepisach powszechnie obowiązujących, w szczególności w ustawie </w:t>
      </w:r>
      <w:r w:rsidR="006252CB" w:rsidRPr="00816E15">
        <w:rPr>
          <w:color w:val="000000"/>
          <w:w w:val="105"/>
          <w:szCs w:val="24"/>
        </w:rPr>
        <w:t>–</w:t>
      </w:r>
      <w:r w:rsidR="00BF32C8" w:rsidRPr="00816E15">
        <w:rPr>
          <w:color w:val="000000"/>
          <w:w w:val="105"/>
          <w:szCs w:val="24"/>
        </w:rPr>
        <w:t xml:space="preserve"> </w:t>
      </w:r>
      <w:r w:rsidRPr="00816E15">
        <w:rPr>
          <w:color w:val="000000"/>
          <w:w w:val="105"/>
          <w:szCs w:val="24"/>
        </w:rPr>
        <w:t>Prawo oświatowe, brak przepisów wprost przyznających radzie rodziców osobowość prawną lub zdolność prawną. W praktyce przyjmuje się, że rada rodziców utworzona przez rodziców szkoły (</w:t>
      </w:r>
      <w:r w:rsidR="006A2A54">
        <w:rPr>
          <w:color w:val="000000"/>
          <w:w w:val="105"/>
          <w:szCs w:val="24"/>
        </w:rPr>
        <w:t>placówki) jako ich reprezentant</w:t>
      </w:r>
      <w:r w:rsidRPr="00816E15">
        <w:rPr>
          <w:color w:val="000000"/>
          <w:w w:val="105"/>
          <w:szCs w:val="24"/>
        </w:rPr>
        <w:t xml:space="preserve"> jest wyłącznie wewnętrznym organem takiego podmiotu i nie posiada w z</w:t>
      </w:r>
      <w:r w:rsidR="006A2A54">
        <w:rPr>
          <w:color w:val="000000"/>
          <w:w w:val="105"/>
          <w:szCs w:val="24"/>
        </w:rPr>
        <w:t>wiązku z tym osobowości prawnej</w:t>
      </w:r>
      <w:r w:rsidRPr="00816E15">
        <w:rPr>
          <w:color w:val="000000"/>
          <w:w w:val="105"/>
          <w:szCs w:val="24"/>
        </w:rPr>
        <w:t xml:space="preserve"> ani nie jest jednostką organizacyjną </w:t>
      </w:r>
      <w:r w:rsidR="00BF32C8" w:rsidRPr="00816E15">
        <w:rPr>
          <w:color w:val="000000"/>
          <w:w w:val="105"/>
          <w:szCs w:val="24"/>
        </w:rPr>
        <w:t xml:space="preserve">niebędącą </w:t>
      </w:r>
      <w:r w:rsidRPr="00816E15">
        <w:rPr>
          <w:color w:val="000000"/>
          <w:w w:val="105"/>
          <w:szCs w:val="24"/>
        </w:rPr>
        <w:t>osob</w:t>
      </w:r>
      <w:r w:rsidR="00BF32C8" w:rsidRPr="00816E15">
        <w:rPr>
          <w:color w:val="000000"/>
          <w:w w:val="105"/>
          <w:szCs w:val="24"/>
        </w:rPr>
        <w:t>ą</w:t>
      </w:r>
      <w:r w:rsidRPr="00816E15">
        <w:rPr>
          <w:color w:val="000000"/>
          <w:w w:val="105"/>
          <w:szCs w:val="24"/>
        </w:rPr>
        <w:t xml:space="preserve"> prawn</w:t>
      </w:r>
      <w:r w:rsidR="00BF32C8" w:rsidRPr="00816E15">
        <w:rPr>
          <w:color w:val="000000"/>
          <w:w w:val="105"/>
          <w:szCs w:val="24"/>
        </w:rPr>
        <w:t>ą</w:t>
      </w:r>
      <w:r w:rsidRPr="00816E15">
        <w:rPr>
          <w:color w:val="000000"/>
          <w:w w:val="105"/>
          <w:szCs w:val="24"/>
        </w:rPr>
        <w:t>.</w:t>
      </w:r>
    </w:p>
    <w:p w14:paraId="574B36A8" w14:textId="335D6386" w:rsidR="000777E3" w:rsidRPr="00816E15" w:rsidRDefault="000B65CB" w:rsidP="00CF5AAF">
      <w:pPr>
        <w:spacing w:line="360" w:lineRule="auto"/>
        <w:jc w:val="both"/>
        <w:rPr>
          <w:color w:val="000000"/>
          <w:w w:val="105"/>
          <w:szCs w:val="24"/>
        </w:rPr>
      </w:pPr>
      <w:r w:rsidRPr="00816E15">
        <w:rPr>
          <w:color w:val="000000"/>
          <w:w w:val="105"/>
          <w:szCs w:val="24"/>
        </w:rPr>
        <w:t xml:space="preserve">Zważywszy, że przepisy dotyczące ustroju i kompetencji rady rodziców, o których mowa w art. 83 i </w:t>
      </w:r>
      <w:r w:rsidR="006A2A54">
        <w:rPr>
          <w:color w:val="000000"/>
          <w:w w:val="105"/>
          <w:szCs w:val="24"/>
        </w:rPr>
        <w:t xml:space="preserve">art. </w:t>
      </w:r>
      <w:r w:rsidRPr="00816E15">
        <w:rPr>
          <w:color w:val="000000"/>
          <w:w w:val="105"/>
          <w:szCs w:val="24"/>
        </w:rPr>
        <w:t xml:space="preserve">84 ustawy </w:t>
      </w:r>
      <w:r w:rsidR="006252CB" w:rsidRPr="00816E15">
        <w:rPr>
          <w:color w:val="000000"/>
          <w:w w:val="105"/>
          <w:szCs w:val="24"/>
        </w:rPr>
        <w:t>–</w:t>
      </w:r>
      <w:r w:rsidR="00BF32C8" w:rsidRPr="00816E15">
        <w:rPr>
          <w:color w:val="000000"/>
          <w:w w:val="105"/>
          <w:szCs w:val="24"/>
        </w:rPr>
        <w:t xml:space="preserve"> </w:t>
      </w:r>
      <w:r w:rsidRPr="00816E15">
        <w:rPr>
          <w:color w:val="000000"/>
          <w:w w:val="105"/>
          <w:szCs w:val="24"/>
        </w:rPr>
        <w:t>Prawo oświatowe</w:t>
      </w:r>
      <w:r w:rsidR="00BF32C8" w:rsidRPr="00816E15">
        <w:rPr>
          <w:color w:val="000000"/>
          <w:w w:val="105"/>
          <w:szCs w:val="24"/>
        </w:rPr>
        <w:t>,</w:t>
      </w:r>
      <w:r w:rsidRPr="00816E15">
        <w:rPr>
          <w:color w:val="000000"/>
          <w:w w:val="105"/>
          <w:szCs w:val="24"/>
        </w:rPr>
        <w:t xml:space="preserve"> są analogiczne do uchylanych nią art. 53 i </w:t>
      </w:r>
      <w:r w:rsidR="00816E15">
        <w:rPr>
          <w:color w:val="000000"/>
          <w:w w:val="105"/>
          <w:szCs w:val="24"/>
        </w:rPr>
        <w:t>art. </w:t>
      </w:r>
      <w:r w:rsidRPr="00816E15">
        <w:rPr>
          <w:color w:val="000000"/>
          <w:w w:val="105"/>
          <w:szCs w:val="24"/>
        </w:rPr>
        <w:t>54 ustawy z dnia 7 września 1991 r. o systemie oświaty</w:t>
      </w:r>
      <w:r w:rsidR="00506159" w:rsidRPr="00816E15">
        <w:rPr>
          <w:color w:val="000000"/>
          <w:w w:val="105"/>
          <w:szCs w:val="24"/>
        </w:rPr>
        <w:t xml:space="preserve"> (Dz. U. z 2017 r. poz. 2198</w:t>
      </w:r>
      <w:r w:rsidR="00284598" w:rsidRPr="00816E15">
        <w:rPr>
          <w:color w:val="000000"/>
          <w:w w:val="105"/>
          <w:szCs w:val="24"/>
        </w:rPr>
        <w:t>, z późn. zm.</w:t>
      </w:r>
      <w:r w:rsidR="00506159" w:rsidRPr="00816E15">
        <w:rPr>
          <w:color w:val="000000"/>
          <w:w w:val="105"/>
          <w:szCs w:val="24"/>
        </w:rPr>
        <w:t>)</w:t>
      </w:r>
      <w:r w:rsidRPr="00816E15">
        <w:rPr>
          <w:color w:val="000000"/>
          <w:w w:val="105"/>
          <w:szCs w:val="24"/>
        </w:rPr>
        <w:t xml:space="preserve">, należy uznać dotychczasowe orzecznictwo w zakresie statusu rady rodziców za aktualne. W art. 84 ust. 7 ustawy </w:t>
      </w:r>
      <w:r w:rsidR="006252CB" w:rsidRPr="00816E15">
        <w:rPr>
          <w:color w:val="000000"/>
          <w:w w:val="105"/>
          <w:szCs w:val="24"/>
        </w:rPr>
        <w:t>–</w:t>
      </w:r>
      <w:r w:rsidR="00BF32C8" w:rsidRPr="00816E15">
        <w:rPr>
          <w:color w:val="000000"/>
          <w:w w:val="105"/>
          <w:szCs w:val="24"/>
        </w:rPr>
        <w:t xml:space="preserve"> </w:t>
      </w:r>
      <w:r w:rsidRPr="00816E15">
        <w:rPr>
          <w:color w:val="000000"/>
          <w:w w:val="105"/>
          <w:szCs w:val="24"/>
        </w:rPr>
        <w:t xml:space="preserve">Prawo oświatowe został jedynie doprecyzowany sposób reprezentowania rady rodziców w zakresie założenia i likwidacji oraz dysponowania środkami na rachunku bankowym prowadzonym na rzecz rady rodziców i wydaje się, </w:t>
      </w:r>
      <w:r w:rsidRPr="00816E15">
        <w:rPr>
          <w:color w:val="000000"/>
          <w:szCs w:val="24"/>
        </w:rPr>
        <w:t xml:space="preserve">że nie ma to wpływu na sam </w:t>
      </w:r>
      <w:r w:rsidRPr="00816E15">
        <w:rPr>
          <w:color w:val="000000"/>
          <w:w w:val="105"/>
          <w:szCs w:val="24"/>
        </w:rPr>
        <w:t>status rady rodziców.</w:t>
      </w:r>
      <w:r w:rsidR="000777E3" w:rsidRPr="00816E15">
        <w:rPr>
          <w:color w:val="000000"/>
          <w:w w:val="105"/>
          <w:szCs w:val="24"/>
        </w:rPr>
        <w:t xml:space="preserve"> Stanowisko takie zajął NSA w Warszawie w postanowieniu z 15 września 2000 r. (I SA 943/00) stwierdzając, że w konsekwencji rada rodziców, będąc społecznym organem opiniodawczym i wnioskodawczym szkoły (placówki), nie jest podmiotem, który może samodzielnie występować w obrocie prawnym.</w:t>
      </w:r>
    </w:p>
    <w:p w14:paraId="41BE8008" w14:textId="4ED5E855" w:rsidR="00693169" w:rsidRPr="00816E15" w:rsidRDefault="000777E3" w:rsidP="00CF5AAF">
      <w:pPr>
        <w:spacing w:line="360" w:lineRule="auto"/>
        <w:jc w:val="both"/>
        <w:rPr>
          <w:w w:val="105"/>
          <w:szCs w:val="24"/>
        </w:rPr>
      </w:pPr>
      <w:r w:rsidRPr="00816E15">
        <w:rPr>
          <w:color w:val="000000"/>
          <w:szCs w:val="24"/>
        </w:rPr>
        <w:t xml:space="preserve">Zmianie ustawy </w:t>
      </w:r>
      <w:r w:rsidR="006252CB" w:rsidRPr="00816E15">
        <w:rPr>
          <w:color w:val="000000"/>
          <w:szCs w:val="24"/>
        </w:rPr>
        <w:t>–</w:t>
      </w:r>
      <w:r w:rsidR="00A9019B" w:rsidRPr="00816E15">
        <w:rPr>
          <w:color w:val="000000"/>
          <w:szCs w:val="24"/>
        </w:rPr>
        <w:t xml:space="preserve"> </w:t>
      </w:r>
      <w:r w:rsidRPr="00816E15">
        <w:rPr>
          <w:color w:val="000000"/>
          <w:szCs w:val="24"/>
        </w:rPr>
        <w:t xml:space="preserve">Prawo oświatowe nie towarzyszyły zmiany w ustawie </w:t>
      </w:r>
      <w:r w:rsidR="00816E15">
        <w:rPr>
          <w:color w:val="000000"/>
          <w:szCs w:val="24"/>
        </w:rPr>
        <w:t>–</w:t>
      </w:r>
      <w:r w:rsidR="00A9019B" w:rsidRPr="00816E15">
        <w:rPr>
          <w:color w:val="000000"/>
          <w:szCs w:val="24"/>
        </w:rPr>
        <w:t xml:space="preserve"> </w:t>
      </w:r>
      <w:r w:rsidRPr="00816E15">
        <w:rPr>
          <w:color w:val="000000"/>
          <w:szCs w:val="24"/>
        </w:rPr>
        <w:t xml:space="preserve">Prawo bankowe. Skutkiem powyższego jest możliwość tworzenia rachunków stricte rozliczeniowych albo rachunków </w:t>
      </w:r>
      <w:r w:rsidRPr="00816E15">
        <w:rPr>
          <w:w w:val="105"/>
          <w:szCs w:val="24"/>
        </w:rPr>
        <w:t>oszczędnościowych, oszczędnościowo-rozliczeniow</w:t>
      </w:r>
      <w:r w:rsidR="00A9019B" w:rsidRPr="00816E15">
        <w:rPr>
          <w:w w:val="105"/>
          <w:szCs w:val="24"/>
        </w:rPr>
        <w:t>ych</w:t>
      </w:r>
      <w:r w:rsidRPr="00816E15">
        <w:rPr>
          <w:w w:val="105"/>
          <w:szCs w:val="24"/>
        </w:rPr>
        <w:t xml:space="preserve"> oraz terminowych lokat oszczędnościowych, funkcjonujących w oparciu o postanowienia umowne zawarte pomiędzy </w:t>
      </w:r>
      <w:r w:rsidR="008324A6" w:rsidRPr="00816E15">
        <w:rPr>
          <w:w w:val="105"/>
          <w:szCs w:val="24"/>
        </w:rPr>
        <w:t xml:space="preserve">bankiem a reprezentantem rady rodziców, umocowanym na podstawie odrębnych umów (wielostronne stosunki prawne). Innym wykorzystywanym w obrocie prawnym narzędziem jest interpretacja art. 49 ust. 3 pkt 3 w taki sposób, który zapewnia utworzenie podtypu szkolnej kasy oszczędnościowej, jakim byłyby rachunki nie tyle służące do gromadzenia środków przez małoletnich co przez rady rodziców na rzecz małoletnich. </w:t>
      </w:r>
      <w:r w:rsidR="00AA4E6A" w:rsidRPr="00816E15">
        <w:rPr>
          <w:w w:val="105"/>
          <w:szCs w:val="24"/>
        </w:rPr>
        <w:t>Z uwagi na wątpliwość</w:t>
      </w:r>
      <w:r w:rsidR="00A9019B" w:rsidRPr="00816E15">
        <w:rPr>
          <w:w w:val="105"/>
          <w:szCs w:val="24"/>
        </w:rPr>
        <w:t>,</w:t>
      </w:r>
      <w:r w:rsidR="00AA4E6A" w:rsidRPr="00816E15">
        <w:rPr>
          <w:w w:val="105"/>
          <w:szCs w:val="24"/>
        </w:rPr>
        <w:t xml:space="preserve"> jaką może rodzić prawidłowość rozliczeń pomiędzy rodzicami, w przypadku upadłości banku konieczne jest uregulowanie „nowego typu rachunku” oraz sytuacji prawnej deponenta.</w:t>
      </w:r>
    </w:p>
    <w:p w14:paraId="68663696" w14:textId="58ED3ED3" w:rsidR="00693169" w:rsidRPr="00816E15" w:rsidRDefault="00693169" w:rsidP="00CF5AAF">
      <w:pPr>
        <w:spacing w:after="160" w:line="360" w:lineRule="auto"/>
        <w:jc w:val="both"/>
        <w:rPr>
          <w:rFonts w:cs="Times New Roman"/>
          <w:szCs w:val="24"/>
        </w:rPr>
      </w:pPr>
      <w:r w:rsidRPr="00816E15">
        <w:rPr>
          <w:rFonts w:cs="Times New Roman"/>
          <w:szCs w:val="24"/>
        </w:rPr>
        <w:t xml:space="preserve">Zmiana w </w:t>
      </w:r>
      <w:r w:rsidRPr="00816E15">
        <w:rPr>
          <w:rFonts w:cs="Times New Roman"/>
          <w:b/>
          <w:szCs w:val="24"/>
        </w:rPr>
        <w:t xml:space="preserve">art. 95 </w:t>
      </w:r>
      <w:r w:rsidRPr="00816E15">
        <w:rPr>
          <w:rFonts w:cs="Times New Roman"/>
          <w:szCs w:val="24"/>
        </w:rPr>
        <w:t xml:space="preserve">ma na celu wyeliminowanie wątpliwości interpretacyjnych w przypadku przeniesienia hipoteki w związku ze zbyciem wierzytelności bankowej zabezpieczonej hipotecznie. </w:t>
      </w:r>
      <w:r w:rsidR="00EF594A" w:rsidRPr="00816E15">
        <w:rPr>
          <w:rFonts w:cs="Times New Roman"/>
          <w:szCs w:val="24"/>
        </w:rPr>
        <w:t>Propozycja zmierza do wyeliminowania konieczności u</w:t>
      </w:r>
      <w:r w:rsidRPr="00816E15">
        <w:rPr>
          <w:rFonts w:cs="Times New Roman"/>
          <w:szCs w:val="24"/>
        </w:rPr>
        <w:t>zyskani</w:t>
      </w:r>
      <w:r w:rsidR="00EF594A" w:rsidRPr="00816E15">
        <w:rPr>
          <w:rFonts w:cs="Times New Roman"/>
          <w:szCs w:val="24"/>
        </w:rPr>
        <w:t>a</w:t>
      </w:r>
      <w:r w:rsidRPr="00816E15">
        <w:rPr>
          <w:rFonts w:cs="Times New Roman"/>
          <w:szCs w:val="24"/>
        </w:rPr>
        <w:t xml:space="preserve"> dodatkowego oświadczenia, o którym mowa w art. 95 ust. </w:t>
      </w:r>
      <w:r w:rsidR="00EF594A" w:rsidRPr="00816E15">
        <w:rPr>
          <w:rFonts w:cs="Times New Roman"/>
          <w:szCs w:val="24"/>
        </w:rPr>
        <w:t xml:space="preserve">4 ustawy </w:t>
      </w:r>
      <w:r w:rsidR="006252CB" w:rsidRPr="00816E15">
        <w:rPr>
          <w:rFonts w:cs="Times New Roman"/>
          <w:szCs w:val="24"/>
        </w:rPr>
        <w:t>–</w:t>
      </w:r>
      <w:r w:rsidR="00A9019B" w:rsidRPr="00816E15">
        <w:rPr>
          <w:rFonts w:cs="Times New Roman"/>
          <w:szCs w:val="24"/>
        </w:rPr>
        <w:t xml:space="preserve"> </w:t>
      </w:r>
      <w:r w:rsidR="00EF594A" w:rsidRPr="00816E15">
        <w:rPr>
          <w:rFonts w:cs="Times New Roman"/>
          <w:szCs w:val="24"/>
        </w:rPr>
        <w:t>Prawo bankowe. Ujednolicona zostanie praktyka reprezentowana w doktrynie i orzecznictwie przez trzy poglądy,</w:t>
      </w:r>
      <w:r w:rsidRPr="00816E15">
        <w:rPr>
          <w:rFonts w:cs="Times New Roman"/>
          <w:szCs w:val="24"/>
        </w:rPr>
        <w:t xml:space="preserve"> szczególnie</w:t>
      </w:r>
      <w:r w:rsidR="00EF594A" w:rsidRPr="00816E15">
        <w:rPr>
          <w:rFonts w:cs="Times New Roman"/>
          <w:szCs w:val="24"/>
        </w:rPr>
        <w:t xml:space="preserve"> w zakresie braku</w:t>
      </w:r>
      <w:r w:rsidRPr="00816E15">
        <w:rPr>
          <w:rFonts w:cs="Times New Roman"/>
          <w:szCs w:val="24"/>
        </w:rPr>
        <w:t xml:space="preserve"> zgody właściciela nieruchomości obciążonej hipoteką.</w:t>
      </w:r>
    </w:p>
    <w:p w14:paraId="7599C15F" w14:textId="1D9E12F5" w:rsidR="00693169" w:rsidRPr="00816E15" w:rsidRDefault="00EF594A" w:rsidP="00CF5AAF">
      <w:pPr>
        <w:spacing w:after="160" w:line="360" w:lineRule="auto"/>
        <w:jc w:val="both"/>
        <w:rPr>
          <w:rFonts w:cs="Times New Roman"/>
          <w:szCs w:val="24"/>
        </w:rPr>
      </w:pPr>
      <w:r w:rsidRPr="00816E15">
        <w:rPr>
          <w:rFonts w:cs="Times New Roman"/>
          <w:szCs w:val="24"/>
        </w:rPr>
        <w:t xml:space="preserve">Obecne brzmienie </w:t>
      </w:r>
      <w:r w:rsidR="00693169" w:rsidRPr="00816E15">
        <w:rPr>
          <w:rFonts w:cs="Times New Roman"/>
          <w:szCs w:val="24"/>
        </w:rPr>
        <w:t>przepis art. 95 ust. 5 powoduje, że operacje, o których mowa w ust. 5</w:t>
      </w:r>
      <w:r w:rsidR="00A9019B" w:rsidRPr="00816E15">
        <w:rPr>
          <w:rFonts w:cs="Times New Roman"/>
          <w:szCs w:val="24"/>
        </w:rPr>
        <w:t>,</w:t>
      </w:r>
      <w:r w:rsidR="00693169" w:rsidRPr="00816E15">
        <w:rPr>
          <w:rFonts w:cs="Times New Roman"/>
          <w:szCs w:val="24"/>
        </w:rPr>
        <w:t xml:space="preserve"> wymagają złożenia przez właściciela nieruchomości oświadczenia z zachowaniem formy pisemnej. Takie uregulowanie znacząco utrudnia i spowalnia czynności, o których mowa w ust. 5. Wydaje się niecelowe utrzymywanie takiej regulacji, która </w:t>
      </w:r>
      <w:r w:rsidR="00693169" w:rsidRPr="00816E15">
        <w:rPr>
          <w:rFonts w:cs="Times New Roman"/>
          <w:i/>
          <w:szCs w:val="24"/>
        </w:rPr>
        <w:t>de facto</w:t>
      </w:r>
      <w:r w:rsidR="00693169" w:rsidRPr="00816E15">
        <w:rPr>
          <w:rFonts w:cs="Times New Roman"/>
          <w:szCs w:val="24"/>
        </w:rPr>
        <w:t xml:space="preserve"> nie zmienia sytuacji właściciela nieruchomości.</w:t>
      </w:r>
      <w:r w:rsidRPr="00816E15">
        <w:rPr>
          <w:rFonts w:cs="Times New Roman"/>
          <w:szCs w:val="24"/>
        </w:rPr>
        <w:t xml:space="preserve"> Brak jest bowiem podstaw aksjologicznych do tego, aby dłużnik hipoteczny miał wpływ na osobę wierzyciela hipotecznego.</w:t>
      </w:r>
      <w:r w:rsidR="00693169" w:rsidRPr="00816E15">
        <w:rPr>
          <w:rFonts w:cs="Times New Roman"/>
          <w:szCs w:val="24"/>
        </w:rPr>
        <w:t xml:space="preserve"> </w:t>
      </w:r>
      <w:r w:rsidRPr="00816E15">
        <w:rPr>
          <w:rFonts w:cs="Times New Roman"/>
          <w:szCs w:val="24"/>
        </w:rPr>
        <w:t>Przyjmuje się, że zaproponowana zmiana będzie miała wpływ na pewność obrotu wierzytelnościami przez zrównanie sytuacji dłużnika hipotecznego wierzytelności bankowej z sytuacją innych dłużników hipotecznych.</w:t>
      </w:r>
    </w:p>
    <w:p w14:paraId="6D7B5EC5" w14:textId="4C55E065" w:rsidR="0022110D" w:rsidRPr="00816E15" w:rsidRDefault="0022110D" w:rsidP="00CF5AAF">
      <w:pPr>
        <w:pStyle w:val="ARTartustawynprozporzdzenia"/>
        <w:ind w:firstLine="0"/>
        <w:rPr>
          <w:szCs w:val="24"/>
        </w:rPr>
      </w:pPr>
      <w:r w:rsidRPr="00816E15">
        <w:rPr>
          <w:szCs w:val="24"/>
        </w:rPr>
        <w:t xml:space="preserve">Dodanie w </w:t>
      </w:r>
      <w:r w:rsidRPr="00816E15">
        <w:rPr>
          <w:b/>
          <w:szCs w:val="24"/>
        </w:rPr>
        <w:t>art. 104 ust. 7a</w:t>
      </w:r>
      <w:r w:rsidRPr="00816E15">
        <w:rPr>
          <w:szCs w:val="24"/>
        </w:rPr>
        <w:t xml:space="preserve"> ma</w:t>
      </w:r>
      <w:r w:rsidRPr="00816E15">
        <w:rPr>
          <w:rFonts w:ascii="Times New Roman" w:hAnsi="Times New Roman"/>
          <w:szCs w:val="24"/>
        </w:rPr>
        <w:t xml:space="preserve"> na celu zapewnienie należytego wykonywania przez podmiot wiodący oraz podmioty</w:t>
      </w:r>
      <w:r w:rsidR="00816E15">
        <w:rPr>
          <w:rFonts w:ascii="Times New Roman" w:hAnsi="Times New Roman"/>
          <w:szCs w:val="24"/>
        </w:rPr>
        <w:t xml:space="preserve"> </w:t>
      </w:r>
      <w:r w:rsidRPr="00816E15">
        <w:rPr>
          <w:rFonts w:ascii="Times New Roman" w:hAnsi="Times New Roman"/>
          <w:szCs w:val="24"/>
        </w:rPr>
        <w:t xml:space="preserve">regulowane wchodzące w skład konglomeratu finansowego określonych w przepisach prawa obowiązków w zakresie przeciwdziałaniu praniu brudnych pieniędzy oraz finansowaniu terroryzmu. Zgodnie z art. 104 ust. 2 pkt 7 ustawy </w:t>
      </w:r>
      <w:r w:rsidR="006252CB" w:rsidRPr="00816E15">
        <w:rPr>
          <w:rFonts w:ascii="Times New Roman" w:hAnsi="Times New Roman"/>
          <w:szCs w:val="24"/>
        </w:rPr>
        <w:t xml:space="preserve">– </w:t>
      </w:r>
      <w:r w:rsidRPr="00816E15">
        <w:rPr>
          <w:rFonts w:ascii="Times New Roman" w:hAnsi="Times New Roman"/>
          <w:szCs w:val="24"/>
        </w:rPr>
        <w:t>Prawo bankowe banki są zwolnione z zachowania tajemnicy bankowej, jeżeli udzielenie informacji innym bankom, instytucjom kredytowym lub instytucjom finansowym należącym do tego samego holdingu finansowego jest niezbędne do należytego wykonywania określonych w przepisach prawa obowiązków w zakresie przeciwdziałania praniu pieniędzy oraz finansowaniu terroryzmu. Proponuje się dodanie analogicznego przepisu w odniesieniu do banków wchodzących w skład konglomeratu finansowego.</w:t>
      </w:r>
    </w:p>
    <w:p w14:paraId="30D572BA" w14:textId="1359784C" w:rsidR="00263332" w:rsidRPr="00816E15" w:rsidRDefault="00263332" w:rsidP="00CF5AAF">
      <w:pPr>
        <w:pStyle w:val="ARTartustawynprozporzdzenia"/>
        <w:ind w:firstLine="0"/>
        <w:rPr>
          <w:szCs w:val="24"/>
        </w:rPr>
      </w:pPr>
      <w:r w:rsidRPr="00816E15">
        <w:rPr>
          <w:szCs w:val="24"/>
        </w:rPr>
        <w:t xml:space="preserve">Zmiana </w:t>
      </w:r>
      <w:r w:rsidRPr="00816E15">
        <w:rPr>
          <w:b/>
          <w:szCs w:val="24"/>
        </w:rPr>
        <w:t>art. 104</w:t>
      </w:r>
      <w:r w:rsidR="0022110D" w:rsidRPr="00816E15">
        <w:rPr>
          <w:b/>
          <w:szCs w:val="24"/>
        </w:rPr>
        <w:t xml:space="preserve"> ust. 2 pkt 12</w:t>
      </w:r>
      <w:r w:rsidRPr="00816E15">
        <w:rPr>
          <w:b/>
          <w:szCs w:val="24"/>
        </w:rPr>
        <w:t xml:space="preserve"> </w:t>
      </w:r>
      <w:r w:rsidR="00A9019B" w:rsidRPr="00816E15">
        <w:rPr>
          <w:szCs w:val="24"/>
        </w:rPr>
        <w:t xml:space="preserve">ustawy </w:t>
      </w:r>
      <w:r w:rsidR="006252CB" w:rsidRPr="00816E15">
        <w:rPr>
          <w:szCs w:val="24"/>
        </w:rPr>
        <w:t>–</w:t>
      </w:r>
      <w:r w:rsidR="00A9019B" w:rsidRPr="00816E15">
        <w:rPr>
          <w:szCs w:val="24"/>
        </w:rPr>
        <w:t xml:space="preserve"> </w:t>
      </w:r>
      <w:r w:rsidRPr="00816E15">
        <w:rPr>
          <w:szCs w:val="24"/>
        </w:rPr>
        <w:t>Praw</w:t>
      </w:r>
      <w:r w:rsidR="00A9019B" w:rsidRPr="00816E15">
        <w:rPr>
          <w:szCs w:val="24"/>
        </w:rPr>
        <w:t>o</w:t>
      </w:r>
      <w:r w:rsidRPr="00816E15">
        <w:rPr>
          <w:szCs w:val="24"/>
        </w:rPr>
        <w:t xml:space="preserve"> bankowe związana jest ze zmianą art. 7a ust. 3 ustawy o niektórych zabezpieczeniach finansowych. Dodany przepis umożliwia bankom udzielenie informacji stanowiących tajemnicę bankową w zakresie niezbędnym do zawarcia i wykonania umowy o</w:t>
      </w:r>
      <w:r w:rsidR="00CC2C4E" w:rsidRPr="00816E15">
        <w:rPr>
          <w:szCs w:val="24"/>
        </w:rPr>
        <w:t> </w:t>
      </w:r>
      <w:r w:rsidRPr="00816E15">
        <w:rPr>
          <w:szCs w:val="24"/>
        </w:rPr>
        <w:t>ustanowienie zabezpieczenia finansowego. Celem proponowanego rozwiązania jest wyeliminowanie wątpliwości, czy informacja chroniona tajemnicą bankową może zostać udzielona Skarbowi Państwa. Najczęściej to te właśnie podmioty będą udzielały kredytu na</w:t>
      </w:r>
      <w:r w:rsidR="00CC2C4E" w:rsidRPr="00816E15">
        <w:rPr>
          <w:szCs w:val="24"/>
        </w:rPr>
        <w:t> </w:t>
      </w:r>
      <w:r w:rsidRPr="00816E15">
        <w:rPr>
          <w:szCs w:val="24"/>
        </w:rPr>
        <w:t xml:space="preserve">zasadach określonych w ustawie o niektórych zabezpieczeniach finansowych ze względu na ich rolę w utrzymywaniu stabilności finansowej. </w:t>
      </w:r>
    </w:p>
    <w:p w14:paraId="25A2DC43" w14:textId="46B66950" w:rsidR="00263332" w:rsidRPr="00816E15" w:rsidRDefault="00263332" w:rsidP="00CF5AAF">
      <w:pPr>
        <w:pStyle w:val="NIEARTTEKSTtekstnieartykuowanynppodstprawnarozplubpreambua"/>
        <w:ind w:firstLine="0"/>
        <w:rPr>
          <w:szCs w:val="24"/>
        </w:rPr>
      </w:pPr>
      <w:r w:rsidRPr="00816E15">
        <w:rPr>
          <w:szCs w:val="24"/>
        </w:rPr>
        <w:t xml:space="preserve">Zmiana w </w:t>
      </w:r>
      <w:r w:rsidRPr="00816E15">
        <w:rPr>
          <w:b/>
          <w:szCs w:val="24"/>
        </w:rPr>
        <w:t xml:space="preserve">art. 105 ust. 1 </w:t>
      </w:r>
      <w:r w:rsidR="00A9019B" w:rsidRPr="00816E15">
        <w:rPr>
          <w:szCs w:val="24"/>
        </w:rPr>
        <w:t xml:space="preserve">ustawy </w:t>
      </w:r>
      <w:r w:rsidR="00280324">
        <w:rPr>
          <w:b/>
          <w:szCs w:val="24"/>
        </w:rPr>
        <w:t>–</w:t>
      </w:r>
      <w:r w:rsidR="00A9019B" w:rsidRPr="00816E15">
        <w:rPr>
          <w:b/>
          <w:szCs w:val="24"/>
        </w:rPr>
        <w:t xml:space="preserve"> </w:t>
      </w:r>
      <w:r w:rsidRPr="00816E15">
        <w:rPr>
          <w:szCs w:val="24"/>
        </w:rPr>
        <w:t>Praw</w:t>
      </w:r>
      <w:r w:rsidR="00A9019B" w:rsidRPr="00816E15">
        <w:rPr>
          <w:szCs w:val="24"/>
        </w:rPr>
        <w:t>o</w:t>
      </w:r>
      <w:r w:rsidRPr="00816E15">
        <w:rPr>
          <w:szCs w:val="24"/>
        </w:rPr>
        <w:t xml:space="preserve"> bankowe jest następstwem wejścia w życie przepisów ustawy z dnia 11 września 2015 r. </w:t>
      </w:r>
      <w:r w:rsidRPr="00816E15">
        <w:rPr>
          <w:rStyle w:val="Kkursywa"/>
          <w:i w:val="0"/>
          <w:szCs w:val="24"/>
        </w:rPr>
        <w:t>o działalności ubezpieczeniowej i reasekuracyjnej</w:t>
      </w:r>
      <w:r w:rsidRPr="00816E15">
        <w:rPr>
          <w:szCs w:val="24"/>
        </w:rPr>
        <w:t xml:space="preserve"> (Dz. U. z</w:t>
      </w:r>
      <w:r w:rsidR="00CC2C4E" w:rsidRPr="00816E15">
        <w:rPr>
          <w:szCs w:val="24"/>
        </w:rPr>
        <w:t> </w:t>
      </w:r>
      <w:r w:rsidRPr="00816E15">
        <w:rPr>
          <w:szCs w:val="24"/>
        </w:rPr>
        <w:t>201</w:t>
      </w:r>
      <w:r w:rsidR="00342797" w:rsidRPr="00816E15">
        <w:rPr>
          <w:szCs w:val="24"/>
        </w:rPr>
        <w:t>8</w:t>
      </w:r>
      <w:r w:rsidRPr="00816E15">
        <w:rPr>
          <w:szCs w:val="24"/>
        </w:rPr>
        <w:t xml:space="preserve"> r. poz. </w:t>
      </w:r>
      <w:r w:rsidR="00342797" w:rsidRPr="00816E15">
        <w:rPr>
          <w:szCs w:val="24"/>
        </w:rPr>
        <w:t>999</w:t>
      </w:r>
      <w:r w:rsidRPr="00816E15">
        <w:rPr>
          <w:szCs w:val="24"/>
        </w:rPr>
        <w:t>, z późn. zm</w:t>
      </w:r>
      <w:r w:rsidR="00342797" w:rsidRPr="00816E15">
        <w:rPr>
          <w:szCs w:val="24"/>
        </w:rPr>
        <w:t>.</w:t>
      </w:r>
      <w:r w:rsidR="00AF0C01" w:rsidRPr="00816E15">
        <w:rPr>
          <w:szCs w:val="24"/>
        </w:rPr>
        <w:t>)</w:t>
      </w:r>
      <w:r w:rsidR="007B5270" w:rsidRPr="00816E15">
        <w:rPr>
          <w:szCs w:val="24"/>
        </w:rPr>
        <w:t>,</w:t>
      </w:r>
      <w:r w:rsidR="00506159" w:rsidRPr="00816E15">
        <w:rPr>
          <w:szCs w:val="24"/>
        </w:rPr>
        <w:t xml:space="preserve"> dalej „ustawa o działalności ubezpieczeniowej i reasekuracyjnej”,</w:t>
      </w:r>
      <w:r w:rsidR="007B5270" w:rsidRPr="00816E15">
        <w:rPr>
          <w:szCs w:val="24"/>
        </w:rPr>
        <w:t xml:space="preserve"> </w:t>
      </w:r>
      <w:r w:rsidRPr="00816E15">
        <w:rPr>
          <w:szCs w:val="24"/>
        </w:rPr>
        <w:t>w szczególności nowych regulacji dotyczących nadzoru nad zakładami ubezpieczeń i zakładami reasekuracji w</w:t>
      </w:r>
      <w:r w:rsidR="00CC2C4E" w:rsidRPr="00816E15">
        <w:rPr>
          <w:szCs w:val="24"/>
        </w:rPr>
        <w:t> </w:t>
      </w:r>
      <w:r w:rsidRPr="00816E15">
        <w:rPr>
          <w:szCs w:val="24"/>
        </w:rPr>
        <w:t>ubezpieczeniowych grupach kapitałowych</w:t>
      </w:r>
      <w:r w:rsidR="00A9019B" w:rsidRPr="00816E15">
        <w:rPr>
          <w:szCs w:val="24"/>
        </w:rPr>
        <w:t xml:space="preserve"> </w:t>
      </w:r>
      <w:r w:rsidR="00280324">
        <w:rPr>
          <w:szCs w:val="24"/>
        </w:rPr>
        <w:t>–</w:t>
      </w:r>
      <w:r w:rsidR="00A9019B" w:rsidRPr="00816E15">
        <w:rPr>
          <w:szCs w:val="24"/>
        </w:rPr>
        <w:t xml:space="preserve"> </w:t>
      </w:r>
      <w:r w:rsidRPr="00816E15">
        <w:rPr>
          <w:szCs w:val="24"/>
        </w:rPr>
        <w:t>ma na celu zapewnienie skutecznego funkcjonowania nadzoru grupowego.</w:t>
      </w:r>
    </w:p>
    <w:p w14:paraId="00EF225F" w14:textId="20BFCD52" w:rsidR="005B0053" w:rsidRPr="00816E15" w:rsidRDefault="00263332" w:rsidP="00CF5AAF">
      <w:pPr>
        <w:spacing w:line="360" w:lineRule="auto"/>
        <w:jc w:val="both"/>
        <w:rPr>
          <w:szCs w:val="24"/>
          <w:lang w:eastAsia="pl-PL"/>
        </w:rPr>
      </w:pPr>
      <w:r w:rsidRPr="00816E15">
        <w:rPr>
          <w:szCs w:val="24"/>
        </w:rPr>
        <w:t xml:space="preserve">Nowe przepisy nakładają na zakłady ubezpieczeń i zakłady reasekuracji, w stosunku do których zachodzą przesłanki zastosowania nadzoru nad grupą określone w art. 374 ust. 1 </w:t>
      </w:r>
      <w:r w:rsidR="00A9019B" w:rsidRPr="00816E15">
        <w:rPr>
          <w:szCs w:val="24"/>
        </w:rPr>
        <w:t xml:space="preserve">o ustawy o działalności ubezpieczeniowej i reasekuracyjnej </w:t>
      </w:r>
      <w:r w:rsidRPr="00816E15">
        <w:rPr>
          <w:szCs w:val="24"/>
        </w:rPr>
        <w:t>(ewentualnie na inne niż zakład ubezpieczeń i zakład reasekuracji podmioty dominujące w grupie), m.in. obowiązki sprawozdawcze w zakresie koncentracji ryzyka na</w:t>
      </w:r>
      <w:r w:rsidR="00CC2C4E" w:rsidRPr="00816E15">
        <w:rPr>
          <w:szCs w:val="24"/>
        </w:rPr>
        <w:t> </w:t>
      </w:r>
      <w:r w:rsidRPr="00816E15">
        <w:rPr>
          <w:szCs w:val="24"/>
        </w:rPr>
        <w:t>poziomie grupy oraz transakcji przeprowadzonych wewnątrz grupy. Rzetelna sprawozdawczość wymaga dostępu do informacji umożliwiających identyfikację koncentracji ryzyka oraz transakcji podlegających obowiązkowi sprawozdawczemu. W przypadku gdy podmiotem wchodzącym w skład grupy jest bank (co zdarza się w praktyce)</w:t>
      </w:r>
      <w:r w:rsidR="006A2A54">
        <w:rPr>
          <w:szCs w:val="24"/>
        </w:rPr>
        <w:t>,</w:t>
      </w:r>
      <w:r w:rsidRPr="00816E15">
        <w:rPr>
          <w:szCs w:val="24"/>
        </w:rPr>
        <w:t xml:space="preserve"> wymaga to dostępu do informacji objętych tajemnicą bankową.</w:t>
      </w:r>
    </w:p>
    <w:p w14:paraId="40AD7E40" w14:textId="621B8961" w:rsidR="00263332" w:rsidRPr="00816E15" w:rsidRDefault="00263332" w:rsidP="00CF5AAF">
      <w:pPr>
        <w:pStyle w:val="NIEARTTEKSTtekstnieartykuowanynppodstprawnarozplubpreambua"/>
        <w:ind w:firstLine="0"/>
        <w:rPr>
          <w:szCs w:val="24"/>
        </w:rPr>
      </w:pPr>
      <w:r w:rsidRPr="00816E15">
        <w:rPr>
          <w:szCs w:val="24"/>
        </w:rPr>
        <w:t xml:space="preserve">Przepisy </w:t>
      </w:r>
      <w:r w:rsidR="00A9019B" w:rsidRPr="00816E15">
        <w:rPr>
          <w:szCs w:val="24"/>
        </w:rPr>
        <w:t xml:space="preserve">ustawy </w:t>
      </w:r>
      <w:r w:rsidR="006252CB" w:rsidRPr="00816E15">
        <w:rPr>
          <w:szCs w:val="24"/>
        </w:rPr>
        <w:t>–</w:t>
      </w:r>
      <w:r w:rsidR="00A9019B" w:rsidRPr="00816E15">
        <w:rPr>
          <w:szCs w:val="24"/>
        </w:rPr>
        <w:t xml:space="preserve"> </w:t>
      </w:r>
      <w:r w:rsidRPr="00816E15">
        <w:rPr>
          <w:szCs w:val="24"/>
        </w:rPr>
        <w:t>Praw</w:t>
      </w:r>
      <w:r w:rsidR="00A9019B" w:rsidRPr="00816E15">
        <w:rPr>
          <w:szCs w:val="24"/>
        </w:rPr>
        <w:t>o</w:t>
      </w:r>
      <w:r w:rsidRPr="00816E15">
        <w:rPr>
          <w:szCs w:val="24"/>
        </w:rPr>
        <w:t xml:space="preserve"> bankowe nie zawierają regulacji, zgodnie z którą bank miałby obowiązek udzielania zakładom ubezpieczeń i zakładom reasekuracji, ewentualnie innym niż zakłady ubezpieczeń i zakłady reasekuracji podmiotom dominującym w grupie, informacji objętych tajemnicą bankową na potrzeby wykonywania obowiązków związanych z nadzorem grupowym. W szczególności możliwości takiej nie przewiduje art. 105 ust. 1 pkt </w:t>
      </w:r>
      <w:r w:rsidR="00816E15">
        <w:rPr>
          <w:szCs w:val="24"/>
        </w:rPr>
        <w:t>1</w:t>
      </w:r>
      <w:r w:rsidRPr="00816E15">
        <w:rPr>
          <w:szCs w:val="24"/>
        </w:rPr>
        <w:t xml:space="preserve">b </w:t>
      </w:r>
      <w:r w:rsidR="00A9019B" w:rsidRPr="00816E15">
        <w:rPr>
          <w:szCs w:val="24"/>
        </w:rPr>
        <w:t xml:space="preserve">ustawy </w:t>
      </w:r>
      <w:r w:rsidR="00816E15">
        <w:rPr>
          <w:szCs w:val="24"/>
        </w:rPr>
        <w:t>–</w:t>
      </w:r>
      <w:r w:rsidR="00A9019B" w:rsidRPr="00816E15">
        <w:rPr>
          <w:szCs w:val="24"/>
        </w:rPr>
        <w:t xml:space="preserve"> </w:t>
      </w:r>
      <w:r w:rsidRPr="00816E15">
        <w:rPr>
          <w:szCs w:val="24"/>
        </w:rPr>
        <w:t>Praw</w:t>
      </w:r>
      <w:r w:rsidR="00A9019B" w:rsidRPr="00816E15">
        <w:rPr>
          <w:szCs w:val="24"/>
        </w:rPr>
        <w:t>o</w:t>
      </w:r>
      <w:r w:rsidRPr="00816E15">
        <w:rPr>
          <w:szCs w:val="24"/>
        </w:rPr>
        <w:t xml:space="preserve"> bankowe, ponieważ odnosi się on wyłącznie do informacji udzielanych bankom, instytucjom kredytowym lub instytucjom finansowym, a ta ostatnia kategoria nie obejmuje zakładów ubezpieczeń, zakładów reasekuracji oraz podmiotów dominujących w ubezpieczeniowych grupach kapitałowych (art. 4 ust. 1 pkt 7 </w:t>
      </w:r>
      <w:r w:rsidR="00A9019B" w:rsidRPr="00816E15">
        <w:rPr>
          <w:szCs w:val="24"/>
        </w:rPr>
        <w:t xml:space="preserve">ustawy </w:t>
      </w:r>
      <w:r w:rsidR="006252CB" w:rsidRPr="00816E15">
        <w:rPr>
          <w:szCs w:val="24"/>
        </w:rPr>
        <w:t>–</w:t>
      </w:r>
      <w:r w:rsidR="00A9019B" w:rsidRPr="00816E15">
        <w:rPr>
          <w:szCs w:val="24"/>
        </w:rPr>
        <w:t xml:space="preserve"> </w:t>
      </w:r>
      <w:r w:rsidRPr="00816E15">
        <w:rPr>
          <w:szCs w:val="24"/>
        </w:rPr>
        <w:t>Praw</w:t>
      </w:r>
      <w:r w:rsidR="00A9019B" w:rsidRPr="00816E15">
        <w:rPr>
          <w:szCs w:val="24"/>
        </w:rPr>
        <w:t>o</w:t>
      </w:r>
      <w:r w:rsidRPr="00816E15">
        <w:rPr>
          <w:szCs w:val="24"/>
        </w:rPr>
        <w:t xml:space="preserve"> bankowe w zw. z art. 4 ust. 1 pkt 26 </w:t>
      </w:r>
      <w:r w:rsidR="00B03E66" w:rsidRPr="00816E15">
        <w:rPr>
          <w:rFonts w:cs="Times New Roman"/>
          <w:noProof/>
          <w:szCs w:val="24"/>
        </w:rPr>
        <w:t>rozporządzenia w sprawie wymogów kapitałowych</w:t>
      </w:r>
      <w:r w:rsidR="008973A2" w:rsidRPr="00816E15">
        <w:rPr>
          <w:rFonts w:cs="Times New Roman"/>
          <w:noProof/>
          <w:szCs w:val="24"/>
        </w:rPr>
        <w:t>)</w:t>
      </w:r>
      <w:r w:rsidR="00B03E66" w:rsidRPr="00816E15">
        <w:rPr>
          <w:szCs w:val="24"/>
        </w:rPr>
        <w:t>.</w:t>
      </w:r>
    </w:p>
    <w:p w14:paraId="5AD14660" w14:textId="41A8BA08" w:rsidR="00263332" w:rsidRPr="00816E15" w:rsidRDefault="00263332" w:rsidP="00CF5AAF">
      <w:pPr>
        <w:pStyle w:val="NIEARTTEKSTtekstnieartykuowanynppodstprawnarozplubpreambua"/>
        <w:ind w:firstLine="0"/>
        <w:rPr>
          <w:szCs w:val="24"/>
        </w:rPr>
      </w:pPr>
      <w:r w:rsidRPr="00816E15">
        <w:rPr>
          <w:szCs w:val="24"/>
        </w:rPr>
        <w:t xml:space="preserve">Podstawą prawną do udzielania w omawianym przypadku informacji objętych tajemnicą bankową nie może być przepis art. 410 ust. 1 </w:t>
      </w:r>
      <w:r w:rsidR="00A9019B" w:rsidRPr="00816E15">
        <w:rPr>
          <w:szCs w:val="24"/>
        </w:rPr>
        <w:t>ustawy o działalności ubezpieczeniowej i reasekuracyjnej</w:t>
      </w:r>
      <w:r w:rsidRPr="00816E15">
        <w:rPr>
          <w:szCs w:val="24"/>
        </w:rPr>
        <w:t>. Wprawdzie stanowi on, że „podmioty podlegające nadzorowi nad grupą, podmioty powiązane podmiotów podlegających nadzorowi nad grupą oraz podmioty posiadające udziały kapitałowe w podmiotach podlegających nadzorowi nad grupą mogą dokonywać wymiany informacji, które mogą być odpowiednie dla celów nadzoru nad grupą”. Regulacja ta ma jednak zbyt ogólny charakter, aby można było dopatrywać się na jej gruncie odstępstwa od obowiązku zachowania tajemnicy bankowej.</w:t>
      </w:r>
    </w:p>
    <w:p w14:paraId="726BB805" w14:textId="1F872E5C" w:rsidR="005B0053" w:rsidRPr="00816E15" w:rsidRDefault="005B0053" w:rsidP="00CF5AAF">
      <w:pPr>
        <w:pStyle w:val="NIEARTTEKSTtekstnieartykuowanynppodstprawnarozplubpreambua"/>
        <w:ind w:firstLine="0"/>
        <w:rPr>
          <w:szCs w:val="24"/>
        </w:rPr>
      </w:pPr>
      <w:r w:rsidRPr="00816E15">
        <w:rPr>
          <w:szCs w:val="24"/>
        </w:rPr>
        <w:t>Zmiana obejmuje ponadto n</w:t>
      </w:r>
      <w:r w:rsidRPr="00816E15">
        <w:rPr>
          <w:color w:val="000000"/>
          <w:w w:val="105"/>
          <w:szCs w:val="24"/>
        </w:rPr>
        <w:t>adzór uzupełniający</w:t>
      </w:r>
      <w:r w:rsidR="00A9019B" w:rsidRPr="00816E15">
        <w:rPr>
          <w:color w:val="000000"/>
          <w:w w:val="105"/>
          <w:szCs w:val="24"/>
        </w:rPr>
        <w:t>,</w:t>
      </w:r>
      <w:r w:rsidR="00816E15">
        <w:rPr>
          <w:color w:val="000000"/>
          <w:w w:val="105"/>
          <w:szCs w:val="24"/>
        </w:rPr>
        <w:t xml:space="preserve"> </w:t>
      </w:r>
      <w:r w:rsidRPr="00816E15">
        <w:rPr>
          <w:color w:val="000000"/>
          <w:w w:val="105"/>
          <w:szCs w:val="24"/>
        </w:rPr>
        <w:t>obejmuje bowiem wszystkie podmioty regulowane wchodzące w skład konglomeratu finansowego</w:t>
      </w:r>
      <w:r w:rsidR="00A9019B" w:rsidRPr="00816E15">
        <w:rPr>
          <w:color w:val="000000"/>
          <w:w w:val="105"/>
          <w:szCs w:val="24"/>
        </w:rPr>
        <w:t xml:space="preserve">, o którym mowa w ustawie z dnia </w:t>
      </w:r>
      <w:r w:rsidR="00D1119F" w:rsidRPr="00816E15">
        <w:rPr>
          <w:color w:val="000000"/>
          <w:w w:val="105"/>
          <w:szCs w:val="24"/>
        </w:rPr>
        <w:t>15 kwietnia 2005 r.</w:t>
      </w:r>
      <w:r w:rsidR="00A9019B" w:rsidRPr="00816E15">
        <w:rPr>
          <w:color w:val="000000"/>
          <w:w w:val="105"/>
          <w:szCs w:val="24"/>
        </w:rPr>
        <w:t xml:space="preserve"> </w:t>
      </w:r>
      <w:r w:rsidR="00D1119F" w:rsidRPr="00816E15">
        <w:rPr>
          <w:color w:val="000000"/>
          <w:w w:val="105"/>
          <w:szCs w:val="24"/>
        </w:rPr>
        <w:t xml:space="preserve">o nadzorze uzupełniającym nad instytucjami kredytowymi, zakładami ubezpieczeń, zakładami reasekuracji i firmami inwestycyjnymi wchodzącymi w skład konglomeratu finansowego (Dz. U. z 2016 r. poz. 1252, z </w:t>
      </w:r>
      <w:r w:rsidR="00D1119F" w:rsidRPr="00816E15">
        <w:rPr>
          <w:w w:val="105"/>
          <w:szCs w:val="24"/>
        </w:rPr>
        <w:t>późn. zm</w:t>
      </w:r>
      <w:r w:rsidR="00D1119F" w:rsidRPr="00816E15">
        <w:rPr>
          <w:color w:val="000000"/>
          <w:w w:val="105"/>
          <w:szCs w:val="24"/>
        </w:rPr>
        <w:t>.)</w:t>
      </w:r>
      <w:r w:rsidR="00653301" w:rsidRPr="00816E15">
        <w:rPr>
          <w:color w:val="000000"/>
          <w:w w:val="105"/>
          <w:szCs w:val="24"/>
        </w:rPr>
        <w:t xml:space="preserve">, dalej </w:t>
      </w:r>
      <w:r w:rsidR="006A2A54">
        <w:rPr>
          <w:color w:val="000000"/>
          <w:w w:val="105"/>
          <w:szCs w:val="24"/>
        </w:rPr>
        <w:t>„</w:t>
      </w:r>
      <w:r w:rsidR="00653301" w:rsidRPr="00816E15">
        <w:rPr>
          <w:color w:val="000000"/>
          <w:w w:val="105"/>
          <w:szCs w:val="24"/>
        </w:rPr>
        <w:t>ustawa o nadzorze uzupełniającym</w:t>
      </w:r>
      <w:r w:rsidR="006A2A54">
        <w:rPr>
          <w:color w:val="000000"/>
          <w:w w:val="105"/>
          <w:szCs w:val="24"/>
        </w:rPr>
        <w:t>”</w:t>
      </w:r>
      <w:r w:rsidR="00747D37" w:rsidRPr="00816E15">
        <w:rPr>
          <w:color w:val="000000"/>
          <w:w w:val="105"/>
          <w:szCs w:val="24"/>
        </w:rPr>
        <w:t>.</w:t>
      </w:r>
      <w:r w:rsidRPr="00816E15">
        <w:rPr>
          <w:color w:val="000000"/>
          <w:w w:val="105"/>
          <w:szCs w:val="24"/>
        </w:rPr>
        <w:t xml:space="preserve"> Obowiązki regulacyjne związane z tym nadzorem </w:t>
      </w:r>
      <w:r w:rsidRPr="00816E15">
        <w:rPr>
          <w:color w:val="000000"/>
          <w:szCs w:val="24"/>
        </w:rPr>
        <w:t xml:space="preserve">ciążą na </w:t>
      </w:r>
      <w:r w:rsidRPr="00816E15">
        <w:rPr>
          <w:color w:val="000000"/>
          <w:w w:val="105"/>
          <w:szCs w:val="24"/>
        </w:rPr>
        <w:t>podmiotach wymienionych w art. 19 ustawy o</w:t>
      </w:r>
      <w:r w:rsidR="00D1119F" w:rsidRPr="00816E15">
        <w:rPr>
          <w:color w:val="000000"/>
          <w:w w:val="105"/>
          <w:szCs w:val="24"/>
        </w:rPr>
        <w:t xml:space="preserve"> </w:t>
      </w:r>
      <w:r w:rsidR="00747D37" w:rsidRPr="00816E15">
        <w:rPr>
          <w:color w:val="000000"/>
          <w:w w:val="105"/>
          <w:szCs w:val="24"/>
        </w:rPr>
        <w:t xml:space="preserve">nadzorze uzupełniającym </w:t>
      </w:r>
      <w:r w:rsidRPr="00816E15">
        <w:rPr>
          <w:color w:val="000000"/>
          <w:w w:val="105"/>
          <w:szCs w:val="24"/>
        </w:rPr>
        <w:t>także na podmiocie regulowanym będącym podmiotem wiodącym w konglomeracie finansowym.</w:t>
      </w:r>
      <w:r w:rsidR="00A62B4A" w:rsidRPr="00816E15">
        <w:rPr>
          <w:color w:val="000000"/>
          <w:w w:val="105"/>
          <w:szCs w:val="24"/>
        </w:rPr>
        <w:t xml:space="preserve"> </w:t>
      </w:r>
      <w:r w:rsidRPr="00816E15">
        <w:rPr>
          <w:color w:val="000000"/>
          <w:w w:val="105"/>
          <w:szCs w:val="24"/>
        </w:rPr>
        <w:t xml:space="preserve">Należy wskazać iż po wdrożeniu nadzoru uzupełniającego nad zidentyfikowanym konglomeratem w aktualnym stanie prawnym nie będzie możliwe wypełnianie w pełnym zakresie obowiązków podmiotu dominującego dotyczących raportowania do organu nadzoru danych wynikających z ustawy o </w:t>
      </w:r>
      <w:r w:rsidR="00747D37" w:rsidRPr="00816E15">
        <w:rPr>
          <w:color w:val="000000"/>
          <w:w w:val="105"/>
          <w:szCs w:val="24"/>
        </w:rPr>
        <w:t>nadzorze uzupełniającym</w:t>
      </w:r>
      <w:r w:rsidRPr="00816E15">
        <w:rPr>
          <w:color w:val="000000"/>
          <w:w w:val="105"/>
          <w:szCs w:val="24"/>
        </w:rPr>
        <w:t>, m.in. odnośnie do adekwatności kapitałowej konglomeratu finansowego i strategii postępowania w tym zakresie, znaczących transakcji wewnątrzgrupowych czy poziomu koncentracji ryzyka w konglomeracie finansowym oraz znaczącej koncentracji ryzyka, mimo że jest to wymagane przepisami ustawy o</w:t>
      </w:r>
      <w:r w:rsidR="00816E15">
        <w:rPr>
          <w:color w:val="000000"/>
          <w:w w:val="105"/>
          <w:szCs w:val="24"/>
        </w:rPr>
        <w:t xml:space="preserve"> </w:t>
      </w:r>
      <w:r w:rsidR="00747D37" w:rsidRPr="00816E15">
        <w:rPr>
          <w:color w:val="000000"/>
          <w:w w:val="105"/>
          <w:szCs w:val="24"/>
        </w:rPr>
        <w:t xml:space="preserve">nadzorze uzupełniającym </w:t>
      </w:r>
      <w:r w:rsidRPr="00816E15">
        <w:rPr>
          <w:color w:val="000000"/>
          <w:w w:val="105"/>
          <w:szCs w:val="24"/>
        </w:rPr>
        <w:t xml:space="preserve">oraz dookreślone na mocy stosownych rozporządzeń, z uwagi na ograniczenie dostępu zakładów ubezpieczeń i reasekuracji do informacji stanowiących tajemnicę bankową. </w:t>
      </w:r>
    </w:p>
    <w:p w14:paraId="2985A4A6" w14:textId="0B3B72F0" w:rsidR="00263332" w:rsidRPr="00816E15" w:rsidRDefault="00263332" w:rsidP="00CF5AAF">
      <w:pPr>
        <w:pStyle w:val="NIEARTTEKSTtekstnieartykuowanynppodstprawnarozplubpreambua"/>
        <w:ind w:firstLine="0"/>
        <w:rPr>
          <w:szCs w:val="24"/>
        </w:rPr>
      </w:pPr>
      <w:r w:rsidRPr="00816E15">
        <w:rPr>
          <w:szCs w:val="24"/>
        </w:rPr>
        <w:t>Mając na uwadze powyższe, w celu zapewnienia zakładom ubezpieczeń i zakładom reasekuracji oraz podmiotom dominującym w ubezpieczeniowych grupach kapitałowych możliwości rzetelnego wykonywania obowiązków nałożonych reżimem nadzoru grupowego, a w konsekwencji w celu zapewnienia, że regulacje wymagane dyrektywą Parlamentu Europejskiego i Rady (UE) 2009/138/WE z dnia 25 listopada 2009 r. w sprawie podejmowania i prowadzenia działalności ubezpieczeniowej i reasekuracyjnej (</w:t>
      </w:r>
      <w:r w:rsidR="006A2A54">
        <w:rPr>
          <w:iCs/>
          <w:szCs w:val="24"/>
        </w:rPr>
        <w:t>OJ L 335</w:t>
      </w:r>
      <w:r w:rsidR="008973A2" w:rsidRPr="00816E15">
        <w:rPr>
          <w:iCs/>
          <w:szCs w:val="24"/>
        </w:rPr>
        <w:t xml:space="preserve"> </w:t>
      </w:r>
      <w:r w:rsidR="006A2A54">
        <w:rPr>
          <w:iCs/>
          <w:szCs w:val="24"/>
        </w:rPr>
        <w:t xml:space="preserve">z </w:t>
      </w:r>
      <w:r w:rsidR="008973A2" w:rsidRPr="00816E15">
        <w:rPr>
          <w:iCs/>
          <w:szCs w:val="24"/>
        </w:rPr>
        <w:t>17.12.2009, str. 1</w:t>
      </w:r>
      <w:r w:rsidR="00A9019B" w:rsidRPr="00816E15">
        <w:rPr>
          <w:iCs/>
          <w:szCs w:val="24"/>
        </w:rPr>
        <w:t>)</w:t>
      </w:r>
      <w:r w:rsidR="00CF6154" w:rsidRPr="00816E15">
        <w:rPr>
          <w:iCs/>
          <w:szCs w:val="24"/>
        </w:rPr>
        <w:t>,</w:t>
      </w:r>
      <w:r w:rsidR="00D1119F" w:rsidRPr="00816E15">
        <w:rPr>
          <w:iCs/>
          <w:szCs w:val="24"/>
        </w:rPr>
        <w:t xml:space="preserve"> tzw. „Wypłacalność II”</w:t>
      </w:r>
      <w:r w:rsidR="00CF6154" w:rsidRPr="00816E15">
        <w:rPr>
          <w:iCs/>
          <w:szCs w:val="24"/>
        </w:rPr>
        <w:t>,</w:t>
      </w:r>
      <w:r w:rsidRPr="00816E15">
        <w:rPr>
          <w:szCs w:val="24"/>
        </w:rPr>
        <w:t xml:space="preserve"> będą w polskim systemie prawa należycie </w:t>
      </w:r>
      <w:r w:rsidR="000971B0" w:rsidRPr="00816E15">
        <w:rPr>
          <w:szCs w:val="24"/>
        </w:rPr>
        <w:t>stosowane</w:t>
      </w:r>
      <w:r w:rsidRPr="00816E15">
        <w:rPr>
          <w:szCs w:val="24"/>
        </w:rPr>
        <w:t xml:space="preserve">, proponuje się dokonanie nowelizacji art. 105 ust. 1 </w:t>
      </w:r>
      <w:r w:rsidR="00A9019B" w:rsidRPr="00816E15">
        <w:rPr>
          <w:szCs w:val="24"/>
        </w:rPr>
        <w:t xml:space="preserve">ustawy </w:t>
      </w:r>
      <w:r w:rsidR="00747D37" w:rsidRPr="00816E15">
        <w:rPr>
          <w:szCs w:val="24"/>
        </w:rPr>
        <w:t>–</w:t>
      </w:r>
      <w:r w:rsidR="00A9019B" w:rsidRPr="00816E15">
        <w:rPr>
          <w:szCs w:val="24"/>
        </w:rPr>
        <w:t xml:space="preserve"> </w:t>
      </w:r>
      <w:r w:rsidRPr="00816E15">
        <w:rPr>
          <w:szCs w:val="24"/>
        </w:rPr>
        <w:t>Praw</w:t>
      </w:r>
      <w:r w:rsidR="00A9019B" w:rsidRPr="00816E15">
        <w:rPr>
          <w:szCs w:val="24"/>
        </w:rPr>
        <w:t>o</w:t>
      </w:r>
      <w:r w:rsidRPr="00816E15">
        <w:rPr>
          <w:szCs w:val="24"/>
        </w:rPr>
        <w:t xml:space="preserve"> bankowe przez dodanie pkt 1</w:t>
      </w:r>
      <w:r w:rsidR="005B0053" w:rsidRPr="00816E15">
        <w:rPr>
          <w:szCs w:val="24"/>
        </w:rPr>
        <w:t>g</w:t>
      </w:r>
      <w:r w:rsidRPr="00816E15">
        <w:rPr>
          <w:szCs w:val="24"/>
        </w:rPr>
        <w:t xml:space="preserve"> w brzmieniu zaproponowanym w projekcie.</w:t>
      </w:r>
    </w:p>
    <w:p w14:paraId="26D08128" w14:textId="5DEEE355" w:rsidR="003C28DF" w:rsidRPr="00816E15" w:rsidRDefault="00263332" w:rsidP="00CF5AAF">
      <w:pPr>
        <w:spacing w:before="240" w:line="360" w:lineRule="auto"/>
        <w:jc w:val="both"/>
        <w:rPr>
          <w:szCs w:val="24"/>
        </w:rPr>
      </w:pPr>
      <w:r w:rsidRPr="00816E15">
        <w:rPr>
          <w:szCs w:val="24"/>
        </w:rPr>
        <w:t xml:space="preserve">Zmiana proponowana w art. 2 pkt 3 projektu polega na dodaniu w </w:t>
      </w:r>
      <w:r w:rsidRPr="00816E15">
        <w:rPr>
          <w:rFonts w:ascii="Times" w:eastAsiaTheme="minorEastAsia" w:hAnsi="Times" w:cs="Arial"/>
          <w:b/>
          <w:bCs/>
          <w:szCs w:val="24"/>
          <w:lang w:eastAsia="pl-PL"/>
        </w:rPr>
        <w:t xml:space="preserve">art. 105 ust. 4 pkt 5 </w:t>
      </w:r>
      <w:r w:rsidR="00A9019B" w:rsidRPr="00816E15">
        <w:rPr>
          <w:rFonts w:ascii="Times" w:eastAsiaTheme="minorEastAsia" w:hAnsi="Times" w:cs="Arial"/>
          <w:bCs/>
          <w:szCs w:val="24"/>
          <w:lang w:eastAsia="pl-PL"/>
        </w:rPr>
        <w:t xml:space="preserve">ustawy </w:t>
      </w:r>
      <w:r w:rsidR="00747D37" w:rsidRPr="00816E15">
        <w:rPr>
          <w:rFonts w:ascii="Times" w:eastAsiaTheme="minorEastAsia" w:hAnsi="Times" w:cs="Arial"/>
          <w:bCs/>
          <w:szCs w:val="24"/>
          <w:lang w:eastAsia="pl-PL"/>
        </w:rPr>
        <w:t>–</w:t>
      </w:r>
      <w:r w:rsidR="00A9019B" w:rsidRPr="00816E15">
        <w:rPr>
          <w:rFonts w:ascii="Times" w:eastAsiaTheme="minorEastAsia" w:hAnsi="Times" w:cs="Arial"/>
          <w:b/>
          <w:bCs/>
          <w:szCs w:val="24"/>
          <w:lang w:eastAsia="pl-PL"/>
        </w:rPr>
        <w:t xml:space="preserve"> </w:t>
      </w:r>
      <w:r w:rsidRPr="00816E15">
        <w:rPr>
          <w:szCs w:val="24"/>
        </w:rPr>
        <w:t>Praw</w:t>
      </w:r>
      <w:r w:rsidR="00A9019B" w:rsidRPr="00816E15">
        <w:rPr>
          <w:szCs w:val="24"/>
        </w:rPr>
        <w:t>o</w:t>
      </w:r>
      <w:r w:rsidRPr="00816E15">
        <w:rPr>
          <w:szCs w:val="24"/>
        </w:rPr>
        <w:t xml:space="preserve"> bankowe i ma na celu umożliwienie przekazywania do systemów ochrony przez Biuro Informacji Kredytowej informacji na temat niewykonywania zobowiązania przez klientów banków, będących uczestnikami systemu ochrony w rozumieniu ustawy </w:t>
      </w:r>
      <w:r w:rsidRPr="00816E15">
        <w:rPr>
          <w:rStyle w:val="Kkursywa"/>
          <w:i w:val="0"/>
          <w:szCs w:val="24"/>
        </w:rPr>
        <w:t>o funkcjonowaniu banków spółdzielczych, ich zrzeszaniu się i bankach zrzeszających</w:t>
      </w:r>
      <w:r w:rsidRPr="00816E15">
        <w:rPr>
          <w:rStyle w:val="Kkursywa"/>
          <w:szCs w:val="24"/>
        </w:rPr>
        <w:t xml:space="preserve">. </w:t>
      </w:r>
      <w:r w:rsidRPr="00816E15">
        <w:rPr>
          <w:szCs w:val="24"/>
        </w:rPr>
        <w:t xml:space="preserve">Informacje te są niezbędne do utworzenia bazy danych o klientach posiadających ekspozycje, których dotyczy niewykonanie zobowiązania. Obowiązek utworzenia takiej bazy wynika z art. 113 ust. 7 lit. c </w:t>
      </w:r>
      <w:r w:rsidR="00B03E66" w:rsidRPr="00816E15">
        <w:rPr>
          <w:rFonts w:cs="Times New Roman"/>
          <w:noProof/>
          <w:szCs w:val="24"/>
        </w:rPr>
        <w:t>rozporządzenie w sprawie wymogów kapitałowych,</w:t>
      </w:r>
      <w:r w:rsidR="00B03E66" w:rsidRPr="00816E15">
        <w:rPr>
          <w:szCs w:val="24"/>
        </w:rPr>
        <w:t xml:space="preserve"> </w:t>
      </w:r>
      <w:r w:rsidRPr="00816E15">
        <w:rPr>
          <w:szCs w:val="24"/>
        </w:rPr>
        <w:t>stanowiącego że instytucjonalny system ochrony ma odpowiednie i jednakowo zorganizowane mechanizmy monitorowania i klasyfikowania ryzyka, co pozwala m.in. na kontrolowanie ekspozycji, których dotyczy niewykonanie zobowiązania.</w:t>
      </w:r>
      <w:r w:rsidR="002A2DA9" w:rsidRPr="00816E15">
        <w:rPr>
          <w:szCs w:val="24"/>
        </w:rPr>
        <w:t xml:space="preserve"> W celu doprecyzowania katalogu ujawnianych informacji wskazano na zadania organu zarządzającego oraz zakres zadań banku zrzeszającego w ramach zrzeszenia zintegrowanego, które może w przyszłości pojawić się na rynku.</w:t>
      </w:r>
    </w:p>
    <w:p w14:paraId="46FFF688" w14:textId="2A0A265A" w:rsidR="00144756" w:rsidRPr="00816E15" w:rsidRDefault="00144756" w:rsidP="00CF5AAF">
      <w:pPr>
        <w:spacing w:before="240" w:line="360" w:lineRule="auto"/>
        <w:jc w:val="both"/>
        <w:rPr>
          <w:rFonts w:cs="Times New Roman"/>
          <w:szCs w:val="24"/>
        </w:rPr>
      </w:pPr>
      <w:r w:rsidRPr="00816E15">
        <w:rPr>
          <w:szCs w:val="24"/>
          <w:lang w:eastAsia="pl-PL"/>
        </w:rPr>
        <w:t xml:space="preserve">Zmiany w </w:t>
      </w:r>
      <w:r w:rsidRPr="00816E15">
        <w:rPr>
          <w:b/>
          <w:szCs w:val="24"/>
          <w:lang w:eastAsia="pl-PL"/>
        </w:rPr>
        <w:t xml:space="preserve">art. 128 </w:t>
      </w:r>
      <w:r w:rsidRPr="00816E15">
        <w:rPr>
          <w:rFonts w:cs="Times New Roman"/>
          <w:szCs w:val="24"/>
        </w:rPr>
        <w:t>mają na celu zapewnienie możliwości doprecyzowania warunków i parametrów stosowanych przez banki przy obliczaniu wymogów kapitałowych. Taka możliwość została przewidziana dla właściwych organów nadzorczych w poszczególnych artykułach rozporządzenia</w:t>
      </w:r>
      <w:r w:rsidR="00D1119F" w:rsidRPr="00816E15">
        <w:rPr>
          <w:rFonts w:cs="Times New Roman"/>
          <w:szCs w:val="24"/>
        </w:rPr>
        <w:t xml:space="preserve"> w sprawie wymogów kapitałowych.</w:t>
      </w:r>
      <w:r w:rsidRPr="00816E15">
        <w:rPr>
          <w:rFonts w:cs="Times New Roman"/>
          <w:szCs w:val="24"/>
        </w:rPr>
        <w:t xml:space="preserve"> Ze względu na uwarunkowania konstytucyjne Komisja Nadzoru Finansowego nie ma jednak możliwości wydawania regulacji powszechnie obowiązujących, co determinuje konieczność wprowadzenia delegacji ustawowych do ustawy</w:t>
      </w:r>
      <w:r w:rsidR="00816E15">
        <w:rPr>
          <w:rFonts w:cs="Times New Roman"/>
          <w:szCs w:val="24"/>
        </w:rPr>
        <w:t xml:space="preserve"> </w:t>
      </w:r>
      <w:r w:rsidR="00280324">
        <w:rPr>
          <w:rFonts w:cs="Times New Roman"/>
          <w:szCs w:val="24"/>
        </w:rPr>
        <w:t>–</w:t>
      </w:r>
      <w:r w:rsidR="00A9019B" w:rsidRPr="00816E15">
        <w:rPr>
          <w:rFonts w:cs="Times New Roman"/>
          <w:szCs w:val="24"/>
        </w:rPr>
        <w:t xml:space="preserve"> </w:t>
      </w:r>
      <w:r w:rsidRPr="00816E15">
        <w:rPr>
          <w:rFonts w:cs="Times New Roman"/>
          <w:szCs w:val="24"/>
        </w:rPr>
        <w:t>Prawo bankowe do wydania rozporządzeń przez Ministra Finansów.</w:t>
      </w:r>
    </w:p>
    <w:p w14:paraId="7D9582C8" w14:textId="02B50934" w:rsidR="00144756" w:rsidRPr="00816E15" w:rsidRDefault="00144756" w:rsidP="00CF5AAF">
      <w:pPr>
        <w:spacing w:line="360" w:lineRule="auto"/>
        <w:jc w:val="both"/>
        <w:rPr>
          <w:rFonts w:ascii="Verdana" w:hAnsi="Verdana"/>
          <w:szCs w:val="24"/>
        </w:rPr>
      </w:pPr>
      <w:r w:rsidRPr="00816E15">
        <w:rPr>
          <w:rFonts w:cs="Times New Roman"/>
          <w:szCs w:val="24"/>
        </w:rPr>
        <w:t xml:space="preserve">Obecne przepisy nie przewidują możliwości określenia warunków i parametrów, o których mowa w art. 124, </w:t>
      </w:r>
      <w:r w:rsidR="00CF6154" w:rsidRPr="00816E15">
        <w:rPr>
          <w:rFonts w:cs="Times New Roman"/>
          <w:szCs w:val="24"/>
        </w:rPr>
        <w:t xml:space="preserve">art. </w:t>
      </w:r>
      <w:r w:rsidRPr="00816E15">
        <w:rPr>
          <w:rFonts w:cs="Times New Roman"/>
          <w:szCs w:val="24"/>
        </w:rPr>
        <w:t xml:space="preserve">178 czy </w:t>
      </w:r>
      <w:r w:rsidR="00CF6154" w:rsidRPr="00816E15">
        <w:rPr>
          <w:rFonts w:cs="Times New Roman"/>
          <w:szCs w:val="24"/>
        </w:rPr>
        <w:t xml:space="preserve">art. </w:t>
      </w:r>
      <w:r w:rsidRPr="00816E15">
        <w:rPr>
          <w:rFonts w:cs="Times New Roman"/>
          <w:szCs w:val="24"/>
        </w:rPr>
        <w:t xml:space="preserve">284 rozporządzenia w sprawie wymogów </w:t>
      </w:r>
      <w:r w:rsidR="007B74D8" w:rsidRPr="00816E15">
        <w:rPr>
          <w:rFonts w:cs="Times New Roman"/>
          <w:szCs w:val="24"/>
        </w:rPr>
        <w:t>kapitałowych</w:t>
      </w:r>
      <w:r w:rsidR="0008792F" w:rsidRPr="00816E15">
        <w:rPr>
          <w:rFonts w:cs="Times New Roman"/>
          <w:szCs w:val="24"/>
        </w:rPr>
        <w:t>,</w:t>
      </w:r>
      <w:r w:rsidRPr="00816E15">
        <w:rPr>
          <w:rFonts w:cs="Times New Roman"/>
          <w:szCs w:val="24"/>
        </w:rPr>
        <w:t xml:space="preserve"> stosowanych na potrzeby obliczania wymogów kapitałowych. Tym samym </w:t>
      </w:r>
      <w:r w:rsidR="00CF6154" w:rsidRPr="00816E15">
        <w:rPr>
          <w:rFonts w:cs="Times New Roman"/>
          <w:szCs w:val="24"/>
        </w:rPr>
        <w:t xml:space="preserve">ani </w:t>
      </w:r>
      <w:r w:rsidRPr="00816E15">
        <w:rPr>
          <w:rFonts w:cs="Times New Roman"/>
          <w:szCs w:val="24"/>
        </w:rPr>
        <w:t>Komisja Nadzoru Finansowego</w:t>
      </w:r>
      <w:r w:rsidR="006A2A54">
        <w:rPr>
          <w:rFonts w:cs="Times New Roman"/>
          <w:szCs w:val="24"/>
        </w:rPr>
        <w:t>,</w:t>
      </w:r>
      <w:r w:rsidRPr="00816E15">
        <w:rPr>
          <w:rFonts w:cs="Times New Roman"/>
          <w:szCs w:val="24"/>
        </w:rPr>
        <w:t xml:space="preserve"> </w:t>
      </w:r>
      <w:r w:rsidR="00CF6154" w:rsidRPr="00816E15">
        <w:rPr>
          <w:rFonts w:cs="Times New Roman"/>
          <w:szCs w:val="24"/>
        </w:rPr>
        <w:t xml:space="preserve">ani </w:t>
      </w:r>
      <w:r w:rsidRPr="00816E15">
        <w:rPr>
          <w:rFonts w:cs="Times New Roman"/>
          <w:szCs w:val="24"/>
        </w:rPr>
        <w:t>Minister Finansów nie mają możliwości doprecyzowania zasad obliczania tych wymogów w celu odpowiedniego odzwierciedlenia panujących warunków gospodarczych oraz ujęcia rodzajów ryzyka, na które narażone są instytucje kredytowe działające na terenie Polski. Proponowane zmiany zagwarantują możliwość właściwej kalibracji wymogów ostrożnościowych</w:t>
      </w:r>
      <w:r w:rsidR="00A9019B" w:rsidRPr="00816E15">
        <w:rPr>
          <w:rFonts w:cs="Times New Roman"/>
          <w:szCs w:val="24"/>
        </w:rPr>
        <w:t>,</w:t>
      </w:r>
      <w:r w:rsidRPr="00816E15">
        <w:rPr>
          <w:rFonts w:cs="Times New Roman"/>
          <w:szCs w:val="24"/>
        </w:rPr>
        <w:t xml:space="preserve"> z uwzględnieniem specyfiki polskiego sektora bankowego.</w:t>
      </w:r>
    </w:p>
    <w:p w14:paraId="113EA85E" w14:textId="59536874" w:rsidR="006824B0" w:rsidRPr="00816E15" w:rsidRDefault="00407BE1" w:rsidP="00CF5AAF">
      <w:pPr>
        <w:pStyle w:val="NIEARTTEKSTtekstnieartykuowanynppodstprawnarozplubpreambua"/>
        <w:ind w:firstLine="0"/>
        <w:rPr>
          <w:rFonts w:cs="Times New Roman"/>
          <w:b/>
          <w:szCs w:val="24"/>
        </w:rPr>
      </w:pPr>
      <w:r w:rsidRPr="00816E15">
        <w:rPr>
          <w:rFonts w:cs="Times New Roman"/>
          <w:b/>
          <w:szCs w:val="24"/>
        </w:rPr>
        <w:t>4</w:t>
      </w:r>
      <w:r w:rsidR="00D54115" w:rsidRPr="00816E15">
        <w:rPr>
          <w:rFonts w:cs="Times New Roman"/>
          <w:b/>
          <w:szCs w:val="24"/>
        </w:rPr>
        <w:t>)</w:t>
      </w:r>
      <w:r w:rsidR="00816E15">
        <w:rPr>
          <w:rFonts w:cs="Times New Roman"/>
          <w:b/>
          <w:szCs w:val="24"/>
        </w:rPr>
        <w:t xml:space="preserve"> </w:t>
      </w:r>
      <w:r w:rsidR="006824B0" w:rsidRPr="00816E15">
        <w:rPr>
          <w:rFonts w:cs="Times New Roman"/>
          <w:b/>
          <w:szCs w:val="24"/>
        </w:rPr>
        <w:t>Zmian</w:t>
      </w:r>
      <w:r w:rsidR="00A060E3" w:rsidRPr="00816E15">
        <w:rPr>
          <w:rFonts w:cs="Times New Roman"/>
          <w:b/>
          <w:szCs w:val="24"/>
        </w:rPr>
        <w:t>y w</w:t>
      </w:r>
      <w:r w:rsidR="006824B0" w:rsidRPr="00816E15">
        <w:rPr>
          <w:rFonts w:cs="Times New Roman"/>
          <w:b/>
          <w:szCs w:val="24"/>
        </w:rPr>
        <w:t xml:space="preserve"> ustaw</w:t>
      </w:r>
      <w:r w:rsidR="00A060E3" w:rsidRPr="00816E15">
        <w:rPr>
          <w:rFonts w:cs="Times New Roman"/>
          <w:b/>
          <w:szCs w:val="24"/>
        </w:rPr>
        <w:t>ie</w:t>
      </w:r>
      <w:r w:rsidR="00617A3D" w:rsidRPr="00816E15">
        <w:rPr>
          <w:rFonts w:cs="Times New Roman"/>
          <w:b/>
          <w:szCs w:val="24"/>
        </w:rPr>
        <w:t xml:space="preserve"> </w:t>
      </w:r>
      <w:r w:rsidR="00747D37" w:rsidRPr="00816E15">
        <w:rPr>
          <w:rFonts w:cs="Times New Roman"/>
          <w:b/>
          <w:szCs w:val="24"/>
        </w:rPr>
        <w:t>–</w:t>
      </w:r>
      <w:r w:rsidR="006824B0" w:rsidRPr="00816E15">
        <w:rPr>
          <w:rFonts w:cs="Times New Roman"/>
          <w:b/>
          <w:szCs w:val="24"/>
        </w:rPr>
        <w:t xml:space="preserve"> Prawo upadłościowe</w:t>
      </w:r>
    </w:p>
    <w:p w14:paraId="646E6F36" w14:textId="77777777" w:rsidR="006B117B" w:rsidRPr="00816E15" w:rsidRDefault="006B117B" w:rsidP="00CF5AAF">
      <w:pPr>
        <w:spacing w:line="360" w:lineRule="auto"/>
        <w:jc w:val="both"/>
        <w:rPr>
          <w:szCs w:val="24"/>
        </w:rPr>
      </w:pPr>
      <w:r w:rsidRPr="00816E15">
        <w:rPr>
          <w:w w:val="105"/>
          <w:szCs w:val="24"/>
        </w:rPr>
        <w:t xml:space="preserve">Przepis art. 67 ust. 1 umożliwia realizację w ramach postępowania upadłościowego dodatkowego zabezpieczenia </w:t>
      </w:r>
      <w:r w:rsidRPr="00816E15">
        <w:rPr>
          <w:szCs w:val="24"/>
          <w:lang w:eastAsia="pl-PL"/>
        </w:rPr>
        <w:t xml:space="preserve">związanego z uczestnictwem w systemie płatności, systemie rozrachunku papierów wartościowych. Syndyk w celu </w:t>
      </w:r>
      <w:r w:rsidRPr="00816E15">
        <w:rPr>
          <w:szCs w:val="24"/>
        </w:rPr>
        <w:t>usprawnienia postępowania likwidacyjnego może dokonać wyboru umów korzystnych dla masy upadłości, rozwiązując umowy, które wiążą się z ponoszeniem kosztów. Umowy takie mogą obejmować także inne postanowienia niż</w:t>
      </w:r>
      <w:r w:rsidRPr="00816E15">
        <w:rPr>
          <w:szCs w:val="24"/>
          <w:lang w:eastAsia="pl-PL"/>
        </w:rPr>
        <w:t xml:space="preserve"> ustanowienie zabezpieczenia do poprawnego i skutecznego wykonania tych umów, jak zarząd, zorganizowanie warunków technicznych i prawnych.</w:t>
      </w:r>
    </w:p>
    <w:p w14:paraId="7BAD57B6" w14:textId="635D9AD3" w:rsidR="006B117B" w:rsidRPr="00816E15" w:rsidRDefault="006A2A54" w:rsidP="00CF5AAF">
      <w:pPr>
        <w:spacing w:line="360" w:lineRule="auto"/>
        <w:jc w:val="both"/>
        <w:rPr>
          <w:szCs w:val="24"/>
          <w:lang w:eastAsia="pl-PL"/>
        </w:rPr>
      </w:pPr>
      <w:r>
        <w:rPr>
          <w:szCs w:val="24"/>
          <w:lang w:eastAsia="pl-PL"/>
        </w:rPr>
        <w:t>W sytuacji</w:t>
      </w:r>
      <w:r w:rsidR="006B117B" w:rsidRPr="00816E15">
        <w:rPr>
          <w:szCs w:val="24"/>
          <w:lang w:eastAsia="pl-PL"/>
        </w:rPr>
        <w:t xml:space="preserve"> gdy przed ogłoszeniem upadłości zostały zawarte odpowiednie umowy przez podmioty z bankami centralnymi, których skutkiem miało być zapewnienia wykonywania wszystkich postanowień umów dotyczących uczestnictwa podmiotu w systemie płatności lub systemie rozrachunku oraz umów związanych z operacjami podmiotu z bankiem centralnym, także po ogłoszeniu upadłości podmiotu, rozwiązywanie takich umów nie uwzględnia celu ich zawarcia, ekwiwalentności otrzymywanych świadczeń, warunków </w:t>
      </w:r>
      <w:r w:rsidR="00747D37" w:rsidRPr="00816E15">
        <w:rPr>
          <w:szCs w:val="24"/>
          <w:lang w:eastAsia="pl-PL"/>
        </w:rPr>
        <w:t>–</w:t>
      </w:r>
      <w:r w:rsidR="006B117B" w:rsidRPr="00816E15">
        <w:rPr>
          <w:szCs w:val="24"/>
          <w:lang w:eastAsia="pl-PL"/>
        </w:rPr>
        <w:t xml:space="preserve"> akceptacji przez strony pewnego stopnia prawdopodobieństwa ryzyka upadłości podmiotu. Dodatkowo aktualne brzmienie art. 102 ust. 2 ustawy </w:t>
      </w:r>
      <w:r w:rsidR="00747D37" w:rsidRPr="00816E15">
        <w:rPr>
          <w:szCs w:val="24"/>
          <w:lang w:eastAsia="pl-PL"/>
        </w:rPr>
        <w:t>–</w:t>
      </w:r>
      <w:r w:rsidR="006B117B" w:rsidRPr="00816E15">
        <w:rPr>
          <w:szCs w:val="24"/>
          <w:lang w:eastAsia="pl-PL"/>
        </w:rPr>
        <w:t xml:space="preserve"> Prawo upadłościowe umożliwia wykonanie prawa odstąpienia od umowy zlecenia i komisu również syndykowi.</w:t>
      </w:r>
    </w:p>
    <w:p w14:paraId="53CC6C95" w14:textId="449E58BA" w:rsidR="006B117B" w:rsidRPr="00816E15" w:rsidRDefault="006B117B" w:rsidP="00CF5AAF">
      <w:pPr>
        <w:spacing w:line="360" w:lineRule="auto"/>
        <w:jc w:val="both"/>
        <w:rPr>
          <w:szCs w:val="24"/>
          <w:lang w:eastAsia="pl-PL"/>
        </w:rPr>
      </w:pPr>
      <w:r w:rsidRPr="00816E15">
        <w:rPr>
          <w:szCs w:val="24"/>
          <w:lang w:eastAsia="pl-PL"/>
        </w:rPr>
        <w:t xml:space="preserve">W związku z powyższym propozycja dodanie w </w:t>
      </w:r>
      <w:r w:rsidRPr="00816E15">
        <w:rPr>
          <w:b/>
          <w:szCs w:val="24"/>
          <w:lang w:eastAsia="pl-PL"/>
        </w:rPr>
        <w:t>art. 67 ust. 4</w:t>
      </w:r>
      <w:r w:rsidRPr="00816E15">
        <w:rPr>
          <w:szCs w:val="24"/>
          <w:lang w:eastAsia="pl-PL"/>
        </w:rPr>
        <w:t xml:space="preserve"> zmierza do ukonstytuowania stanu prawnego w terminie przed dniem ogłoszenia upadłości, wyłączając możliwość rozwiązania umów, których obowiązywanie</w:t>
      </w:r>
      <w:r w:rsidRPr="00816E15">
        <w:rPr>
          <w:i/>
          <w:szCs w:val="24"/>
          <w:lang w:eastAsia="pl-PL"/>
        </w:rPr>
        <w:t xml:space="preserve"> </w:t>
      </w:r>
      <w:r w:rsidRPr="00816E15">
        <w:rPr>
          <w:szCs w:val="24"/>
          <w:lang w:eastAsia="pl-PL"/>
        </w:rPr>
        <w:t>jest właściwe z perspektywy banku centralnego, stabilności finansowej (konsekwencji ekonomicznych i finansowych)</w:t>
      </w:r>
      <w:r w:rsidR="006252CB" w:rsidRPr="00816E15">
        <w:rPr>
          <w:szCs w:val="24"/>
          <w:lang w:eastAsia="pl-PL"/>
        </w:rPr>
        <w:t xml:space="preserve"> i świadczeń </w:t>
      </w:r>
      <w:r w:rsidRPr="00816E15">
        <w:rPr>
          <w:szCs w:val="24"/>
          <w:lang w:eastAsia="pl-PL"/>
        </w:rPr>
        <w:t xml:space="preserve">otrzymywanych przez strony na zasadzie kontraktowej. Wprowadzana regulacja zapewniać będzie ciągłość operacyjną podmiotu trzeciego z bankiem centralnym oraz spójność działań banku centralnego i syndyka w postępowaniu upadłościowym. </w:t>
      </w:r>
    </w:p>
    <w:p w14:paraId="530FEDF7" w14:textId="3A73191E" w:rsidR="00917798" w:rsidRPr="00816E15" w:rsidRDefault="00692ED8" w:rsidP="00CF5AAF">
      <w:pPr>
        <w:spacing w:line="360" w:lineRule="auto"/>
        <w:jc w:val="both"/>
        <w:rPr>
          <w:szCs w:val="24"/>
        </w:rPr>
      </w:pPr>
      <w:r w:rsidRPr="00816E15">
        <w:rPr>
          <w:w w:val="105"/>
          <w:szCs w:val="24"/>
        </w:rPr>
        <w:t xml:space="preserve">Celem zmian w </w:t>
      </w:r>
      <w:r w:rsidRPr="00816E15">
        <w:rPr>
          <w:b/>
          <w:w w:val="105"/>
          <w:szCs w:val="24"/>
        </w:rPr>
        <w:t>art. 169 ust. 2 i 3</w:t>
      </w:r>
      <w:r w:rsidRPr="00816E15">
        <w:rPr>
          <w:w w:val="105"/>
          <w:szCs w:val="24"/>
        </w:rPr>
        <w:t xml:space="preserve"> jest umożliwienie stosowania przez zarządców oraz kuratorów </w:t>
      </w:r>
      <w:r w:rsidR="009B2CD4" w:rsidRPr="00816E15">
        <w:rPr>
          <w:w w:val="105"/>
          <w:szCs w:val="24"/>
        </w:rPr>
        <w:t>r</w:t>
      </w:r>
      <w:r w:rsidR="009B2CD4" w:rsidRPr="00816E15">
        <w:rPr>
          <w:bCs/>
          <w:color w:val="000000"/>
          <w:szCs w:val="24"/>
        </w:rPr>
        <w:t xml:space="preserve">ozporządzenie </w:t>
      </w:r>
      <w:r w:rsidR="009B2CD4" w:rsidRPr="00816E15">
        <w:rPr>
          <w:szCs w:val="24"/>
        </w:rPr>
        <w:t xml:space="preserve">Parlamentu Europejskiego i </w:t>
      </w:r>
      <w:r w:rsidR="009B2CD4" w:rsidRPr="00816E15">
        <w:rPr>
          <w:rFonts w:cs="Times New Roman"/>
          <w:szCs w:val="24"/>
        </w:rPr>
        <w:t>Rady</w:t>
      </w:r>
      <w:r w:rsidR="009B2CD4" w:rsidRPr="00816E15">
        <w:rPr>
          <w:rFonts w:cs="Times New Roman"/>
          <w:bCs/>
          <w:color w:val="000000"/>
          <w:szCs w:val="24"/>
        </w:rPr>
        <w:t xml:space="preserve"> (UE) nr </w:t>
      </w:r>
      <w:r w:rsidR="009B2CD4" w:rsidRPr="00816E15">
        <w:rPr>
          <w:rFonts w:cs="Times New Roman"/>
          <w:w w:val="105"/>
          <w:szCs w:val="24"/>
        </w:rPr>
        <w:t>596/2014 z dnia 16 kwietnia 2014 r. w sprawie nadużyć na rynku</w:t>
      </w:r>
      <w:r w:rsidR="00816E15">
        <w:rPr>
          <w:rFonts w:cs="Times New Roman"/>
          <w:w w:val="105"/>
          <w:szCs w:val="24"/>
        </w:rPr>
        <w:t xml:space="preserve"> </w:t>
      </w:r>
      <w:r w:rsidR="009B2CD4" w:rsidRPr="00816E15">
        <w:rPr>
          <w:rFonts w:cs="Times New Roman"/>
          <w:w w:val="105"/>
          <w:szCs w:val="24"/>
        </w:rPr>
        <w:t>oraz uchylającego dyrektywę 2003/6/WE Parlamentu Europejskiego i</w:t>
      </w:r>
      <w:r w:rsidR="009B2CD4" w:rsidRPr="00816E15">
        <w:rPr>
          <w:w w:val="105"/>
          <w:szCs w:val="24"/>
        </w:rPr>
        <w:t xml:space="preserve"> Rady i dyrektywy Komisji 2003/124/WE, 2003/125/WE i 2004/72/WE</w:t>
      </w:r>
      <w:r w:rsidR="00EC542A" w:rsidRPr="00816E15">
        <w:rPr>
          <w:w w:val="105"/>
          <w:szCs w:val="24"/>
        </w:rPr>
        <w:t xml:space="preserve"> (</w:t>
      </w:r>
      <w:r w:rsidR="006A2A54">
        <w:rPr>
          <w:iCs/>
          <w:szCs w:val="24"/>
        </w:rPr>
        <w:t>OJ L 173 z</w:t>
      </w:r>
      <w:r w:rsidR="00EC542A" w:rsidRPr="00816E15">
        <w:rPr>
          <w:iCs/>
          <w:szCs w:val="24"/>
        </w:rPr>
        <w:t xml:space="preserve"> 12.06.2014, str. 1)</w:t>
      </w:r>
      <w:r w:rsidR="009B2CD4" w:rsidRPr="00816E15">
        <w:rPr>
          <w:w w:val="105"/>
          <w:szCs w:val="24"/>
        </w:rPr>
        <w:t>, dalej „</w:t>
      </w:r>
      <w:r w:rsidRPr="00816E15">
        <w:rPr>
          <w:w w:val="105"/>
          <w:szCs w:val="24"/>
        </w:rPr>
        <w:t>rozporządzeni</w:t>
      </w:r>
      <w:r w:rsidR="009B2CD4" w:rsidRPr="00816E15">
        <w:rPr>
          <w:w w:val="105"/>
          <w:szCs w:val="24"/>
        </w:rPr>
        <w:t>e</w:t>
      </w:r>
      <w:r w:rsidRPr="00816E15">
        <w:rPr>
          <w:w w:val="105"/>
          <w:szCs w:val="24"/>
        </w:rPr>
        <w:t xml:space="preserve"> MAR</w:t>
      </w:r>
      <w:r w:rsidR="009B2CD4" w:rsidRPr="00816E15">
        <w:rPr>
          <w:w w:val="105"/>
          <w:szCs w:val="24"/>
        </w:rPr>
        <w:t>”</w:t>
      </w:r>
      <w:r w:rsidRPr="00816E15">
        <w:rPr>
          <w:w w:val="105"/>
          <w:szCs w:val="24"/>
        </w:rPr>
        <w:t xml:space="preserve">, tj. art. 17 ust. 1 lub 2 i art. 19 ust. 3 </w:t>
      </w:r>
      <w:r w:rsidR="00CF6154" w:rsidRPr="00816E15">
        <w:rPr>
          <w:w w:val="105"/>
          <w:szCs w:val="24"/>
        </w:rPr>
        <w:t xml:space="preserve">tego </w:t>
      </w:r>
      <w:r w:rsidRPr="00816E15">
        <w:rPr>
          <w:w w:val="105"/>
          <w:szCs w:val="24"/>
        </w:rPr>
        <w:t>rozporządzenia (n</w:t>
      </w:r>
      <w:r w:rsidRPr="00816E15">
        <w:rPr>
          <w:szCs w:val="24"/>
        </w:rPr>
        <w:t>adzór nad firmami inwestycyjnymi objętymi odstępstwem od obowiązku stosowania wymogów w zakresie funduszy własnych na zasadzie skonsolidowanej, jednostki wyłączone z zakresu konsolidacji ostrożnościowej).</w:t>
      </w:r>
      <w:r w:rsidRPr="00816E15">
        <w:rPr>
          <w:w w:val="105"/>
          <w:szCs w:val="24"/>
        </w:rPr>
        <w:t xml:space="preserve"> Zmiany polegają na wskazaniu podmiotu </w:t>
      </w:r>
      <w:r w:rsidRPr="00816E15">
        <w:rPr>
          <w:szCs w:val="24"/>
        </w:rPr>
        <w:t>obowiązanego do podawania do publicznej wiadomości informacji wymaganych przepisami rozporządzenia MAR</w:t>
      </w:r>
      <w:r w:rsidR="00816E15">
        <w:rPr>
          <w:szCs w:val="24"/>
        </w:rPr>
        <w:t>,</w:t>
      </w:r>
      <w:r w:rsidRPr="00816E15">
        <w:rPr>
          <w:szCs w:val="24"/>
        </w:rPr>
        <w:t xml:space="preserve"> w przypadku gdy spółka publiczna jest w stanie upadłości lub restrukturyzacji. Stosowa</w:t>
      </w:r>
      <w:r w:rsidR="00A9019B" w:rsidRPr="00816E15">
        <w:rPr>
          <w:szCs w:val="24"/>
        </w:rPr>
        <w:t xml:space="preserve">nie </w:t>
      </w:r>
      <w:r w:rsidR="007B74D8" w:rsidRPr="00816E15">
        <w:rPr>
          <w:szCs w:val="24"/>
        </w:rPr>
        <w:t xml:space="preserve">przepisów </w:t>
      </w:r>
      <w:r w:rsidR="00A9019B" w:rsidRPr="00816E15">
        <w:rPr>
          <w:szCs w:val="24"/>
        </w:rPr>
        <w:t xml:space="preserve">wymaga </w:t>
      </w:r>
      <w:r w:rsidRPr="00816E15">
        <w:rPr>
          <w:szCs w:val="24"/>
        </w:rPr>
        <w:t>wprowadzeni</w:t>
      </w:r>
      <w:r w:rsidR="00A9019B" w:rsidRPr="00816E15">
        <w:rPr>
          <w:szCs w:val="24"/>
        </w:rPr>
        <w:t>a</w:t>
      </w:r>
      <w:r w:rsidRPr="00816E15">
        <w:rPr>
          <w:szCs w:val="24"/>
        </w:rPr>
        <w:t xml:space="preserve"> odpowiednich sankcji. </w:t>
      </w:r>
      <w:r w:rsidRPr="00816E15">
        <w:rPr>
          <w:w w:val="105"/>
          <w:szCs w:val="24"/>
        </w:rPr>
        <w:t xml:space="preserve">Przepisy w dotychczasowym kształcie nie dają pełnej możliwości wykonywania obowiązków informacyjnych przez zarządcę lub kuratora, </w:t>
      </w:r>
      <w:r w:rsidRPr="00816E15">
        <w:rPr>
          <w:szCs w:val="24"/>
        </w:rPr>
        <w:t>reprezentujących emitentów, którzy podlegają restrukturyzacji, dlatego zachodzi konieczność ich uzupełnienia.</w:t>
      </w:r>
    </w:p>
    <w:p w14:paraId="56F6224D" w14:textId="42FDEC16" w:rsidR="00542661" w:rsidRPr="00816E15" w:rsidRDefault="0010696F" w:rsidP="00CF5AAF">
      <w:pPr>
        <w:spacing w:line="360" w:lineRule="auto"/>
        <w:jc w:val="both"/>
        <w:rPr>
          <w:rFonts w:cs="Times New Roman"/>
          <w:bCs/>
          <w:szCs w:val="24"/>
        </w:rPr>
      </w:pPr>
      <w:r w:rsidRPr="00816E15">
        <w:rPr>
          <w:rFonts w:cs="Times New Roman"/>
          <w:szCs w:val="24"/>
        </w:rPr>
        <w:t xml:space="preserve">Zmieniany </w:t>
      </w:r>
      <w:r w:rsidR="003F47FC" w:rsidRPr="00816E15">
        <w:rPr>
          <w:rFonts w:cs="Times New Roman"/>
          <w:b/>
          <w:szCs w:val="24"/>
        </w:rPr>
        <w:t>art. 440 ust. 2 pkt 6</w:t>
      </w:r>
      <w:r w:rsidR="003F47FC" w:rsidRPr="00816E15">
        <w:rPr>
          <w:rFonts w:cs="Times New Roman"/>
          <w:szCs w:val="24"/>
        </w:rPr>
        <w:t xml:space="preserve"> </w:t>
      </w:r>
      <w:r w:rsidR="00542661" w:rsidRPr="00816E15">
        <w:rPr>
          <w:rFonts w:cs="Times New Roman"/>
          <w:szCs w:val="24"/>
        </w:rPr>
        <w:t xml:space="preserve">stanowi implementację </w:t>
      </w:r>
      <w:r w:rsidR="00BB0EFC" w:rsidRPr="00816E15">
        <w:rPr>
          <w:rFonts w:cs="Times New Roman"/>
          <w:szCs w:val="24"/>
        </w:rPr>
        <w:t xml:space="preserve">dyrektywy </w:t>
      </w:r>
      <w:r w:rsidR="004D44B5" w:rsidRPr="00816E15">
        <w:rPr>
          <w:rFonts w:cs="Times New Roman"/>
          <w:szCs w:val="24"/>
        </w:rPr>
        <w:t>BCH</w:t>
      </w:r>
      <w:r w:rsidR="00542661" w:rsidRPr="00816E15">
        <w:rPr>
          <w:rFonts w:cs="Times New Roman"/>
          <w:szCs w:val="24"/>
        </w:rPr>
        <w:t>. Zmiana dyrektywy BRR jest odpowiedzią na konieczność zwiększenia efektywności instrumentu umorzenia lub konwersji zobowiązań (bail-in). Obecne regulacje w zakresie hierarchii wierzytelności w postępowaniu upadłościowym banków w niedostateczny sposób pozwalają na zabezpieczenie prawidłowej wykonalności instrumentu bail-in. Uwzględnienie w jednej kategorii hierarchii wierzytelności różnego rodzaju instrumentów (tych podlegających umorzeniu lub konwersji oraz niepodlegających) może doprowadzić do konieczności wypłacenia z funduszu przymusowej restrukturyzacji odszkodowań wierzycielom, którzy poprzez zastosowanie tego instrumentu zostaliby potraktowani gorzej niż byliby potraktowani w hipotetycznej, standardowej procedurze upadłościowej.</w:t>
      </w:r>
    </w:p>
    <w:p w14:paraId="448312A7" w14:textId="2256DC24" w:rsidR="007B1963" w:rsidRPr="00816E15" w:rsidRDefault="00662255" w:rsidP="00CF5AAF">
      <w:pPr>
        <w:spacing w:line="360" w:lineRule="auto"/>
        <w:jc w:val="both"/>
        <w:rPr>
          <w:rFonts w:cs="Times New Roman"/>
          <w:noProof/>
          <w:szCs w:val="24"/>
        </w:rPr>
      </w:pPr>
      <w:r w:rsidRPr="00816E15">
        <w:rPr>
          <w:rFonts w:cs="Times New Roman"/>
          <w:noProof/>
          <w:szCs w:val="24"/>
        </w:rPr>
        <w:t xml:space="preserve">Efektem powyższego </w:t>
      </w:r>
      <w:r w:rsidR="007B1963" w:rsidRPr="00816E15">
        <w:rPr>
          <w:rFonts w:cs="Times New Roman"/>
          <w:noProof/>
          <w:szCs w:val="24"/>
        </w:rPr>
        <w:t>są ukierunkowane zmiany</w:t>
      </w:r>
      <w:r w:rsidR="00787C98" w:rsidRPr="00816E15">
        <w:rPr>
          <w:rFonts w:cs="Times New Roman"/>
          <w:noProof/>
          <w:szCs w:val="24"/>
        </w:rPr>
        <w:t xml:space="preserve"> dyrektywy</w:t>
      </w:r>
      <w:r w:rsidR="007B1963" w:rsidRPr="00816E15">
        <w:rPr>
          <w:rFonts w:cs="Times New Roman"/>
          <w:noProof/>
          <w:szCs w:val="24"/>
        </w:rPr>
        <w:t xml:space="preserve"> BRR (a na gruncie prawa krajowego ustawy – </w:t>
      </w:r>
      <w:r w:rsidR="00CF0104" w:rsidRPr="00816E15">
        <w:rPr>
          <w:rFonts w:cs="Times New Roman"/>
          <w:noProof/>
          <w:szCs w:val="24"/>
        </w:rPr>
        <w:t>P</w:t>
      </w:r>
      <w:r w:rsidR="007B1963" w:rsidRPr="00816E15">
        <w:rPr>
          <w:rFonts w:cs="Times New Roman"/>
          <w:noProof/>
          <w:szCs w:val="24"/>
        </w:rPr>
        <w:t>rawo upadłościowe) dotyczące obowiązującej w postępowaniu upadłościowym hierarchii posiadaczy instrumentów dłużnych wyemitowanych przez banki do</w:t>
      </w:r>
      <w:r w:rsidR="00687468" w:rsidRPr="00816E15">
        <w:rPr>
          <w:rFonts w:cs="Times New Roman"/>
          <w:noProof/>
          <w:szCs w:val="24"/>
        </w:rPr>
        <w:t> </w:t>
      </w:r>
      <w:r w:rsidR="007B1963" w:rsidRPr="00816E15">
        <w:rPr>
          <w:rFonts w:cs="Times New Roman"/>
          <w:noProof/>
          <w:szCs w:val="24"/>
        </w:rPr>
        <w:t xml:space="preserve">celów wypełnienia wymogów </w:t>
      </w:r>
      <w:r w:rsidR="00CF0104" w:rsidRPr="00816E15">
        <w:rPr>
          <w:rFonts w:cs="Times New Roman"/>
          <w:noProof/>
          <w:szCs w:val="24"/>
        </w:rPr>
        <w:t xml:space="preserve">dyrektywy </w:t>
      </w:r>
      <w:r w:rsidR="007B1963" w:rsidRPr="00816E15">
        <w:rPr>
          <w:rFonts w:cs="Times New Roman"/>
          <w:noProof/>
          <w:szCs w:val="24"/>
        </w:rPr>
        <w:t>BRR w zakresie zdolności banków do pokrywania strat i</w:t>
      </w:r>
      <w:r w:rsidR="00687468" w:rsidRPr="00816E15">
        <w:rPr>
          <w:rFonts w:cs="Times New Roman"/>
          <w:noProof/>
          <w:szCs w:val="24"/>
        </w:rPr>
        <w:t> </w:t>
      </w:r>
      <w:r w:rsidR="007B1963" w:rsidRPr="00816E15">
        <w:rPr>
          <w:rFonts w:cs="Times New Roman"/>
          <w:noProof/>
          <w:szCs w:val="24"/>
        </w:rPr>
        <w:t>dokapitalizowania.</w:t>
      </w:r>
      <w:r w:rsidR="00E90C34" w:rsidRPr="00816E15">
        <w:rPr>
          <w:rFonts w:cs="Times New Roman"/>
          <w:noProof/>
          <w:szCs w:val="24"/>
        </w:rPr>
        <w:t xml:space="preserve"> </w:t>
      </w:r>
    </w:p>
    <w:p w14:paraId="736F5F0A" w14:textId="43E92BE8" w:rsidR="00AC146B" w:rsidRPr="00816E15" w:rsidRDefault="00E90C34" w:rsidP="00CF5AAF">
      <w:pPr>
        <w:spacing w:line="360" w:lineRule="auto"/>
        <w:jc w:val="both"/>
        <w:rPr>
          <w:rFonts w:cs="Times New Roman"/>
          <w:szCs w:val="24"/>
        </w:rPr>
      </w:pPr>
      <w:r w:rsidRPr="00816E15">
        <w:rPr>
          <w:rFonts w:cs="Times New Roman"/>
          <w:szCs w:val="24"/>
        </w:rPr>
        <w:t xml:space="preserve">Projektowany </w:t>
      </w:r>
      <w:r w:rsidRPr="00816E15">
        <w:rPr>
          <w:rFonts w:cs="Times New Roman"/>
          <w:b/>
          <w:szCs w:val="24"/>
        </w:rPr>
        <w:t xml:space="preserve">art. 440 ust. 2 pkt 6 </w:t>
      </w:r>
      <w:r w:rsidRPr="00816E15">
        <w:rPr>
          <w:rFonts w:cs="Times New Roman"/>
          <w:szCs w:val="24"/>
        </w:rPr>
        <w:t>wprowadza kategorię długu nieuprzywilejowanego</w:t>
      </w:r>
      <w:r w:rsidR="00F62A71" w:rsidRPr="00816E15">
        <w:rPr>
          <w:rFonts w:cs="Times New Roman"/>
          <w:szCs w:val="24"/>
        </w:rPr>
        <w:t xml:space="preserve"> (w</w:t>
      </w:r>
      <w:r w:rsidR="00687468" w:rsidRPr="00816E15">
        <w:rPr>
          <w:rFonts w:cs="Times New Roman"/>
          <w:szCs w:val="24"/>
        </w:rPr>
        <w:t> </w:t>
      </w:r>
      <w:r w:rsidR="00F62A71" w:rsidRPr="00816E15">
        <w:rPr>
          <w:rFonts w:cs="Times New Roman"/>
          <w:szCs w:val="24"/>
        </w:rPr>
        <w:t xml:space="preserve">dyrektywie </w:t>
      </w:r>
      <w:r w:rsidR="004D44B5" w:rsidRPr="00816E15">
        <w:rPr>
          <w:rFonts w:cs="Times New Roman"/>
          <w:szCs w:val="24"/>
        </w:rPr>
        <w:t xml:space="preserve">BCH </w:t>
      </w:r>
      <w:r w:rsidR="00F62A71" w:rsidRPr="00816E15">
        <w:rPr>
          <w:rFonts w:cs="Times New Roman"/>
          <w:szCs w:val="24"/>
        </w:rPr>
        <w:t xml:space="preserve">pojęcie „podrzędny dług uprzywilejowany”). </w:t>
      </w:r>
      <w:r w:rsidR="00045FA9" w:rsidRPr="00816E15">
        <w:rPr>
          <w:rFonts w:cs="Times New Roman"/>
          <w:szCs w:val="24"/>
        </w:rPr>
        <w:t xml:space="preserve">Nową grupę należności będą stanowić </w:t>
      </w:r>
      <w:r w:rsidRPr="00816E15">
        <w:rPr>
          <w:rFonts w:cs="Times New Roman"/>
          <w:szCs w:val="24"/>
        </w:rPr>
        <w:t>obligacje (imienne, na okaziciela, zamienne, z prawem pierwszeństwa, obligacje przychodowe, własne</w:t>
      </w:r>
      <w:r w:rsidR="00917798" w:rsidRPr="00816E15">
        <w:rPr>
          <w:rFonts w:cs="Times New Roman"/>
          <w:szCs w:val="24"/>
        </w:rPr>
        <w:t>,</w:t>
      </w:r>
      <w:r w:rsidRPr="00816E15">
        <w:rPr>
          <w:rFonts w:cs="Times New Roman"/>
          <w:szCs w:val="24"/>
        </w:rPr>
        <w:t xml:space="preserve"> wieczyste)</w:t>
      </w:r>
      <w:r w:rsidR="00045FA9" w:rsidRPr="00816E15">
        <w:rPr>
          <w:rFonts w:cs="Times New Roman"/>
          <w:szCs w:val="24"/>
        </w:rPr>
        <w:t xml:space="preserve">, </w:t>
      </w:r>
      <w:r w:rsidRPr="00816E15">
        <w:rPr>
          <w:rFonts w:cs="Times New Roman"/>
          <w:szCs w:val="24"/>
        </w:rPr>
        <w:t>o ile nie</w:t>
      </w:r>
      <w:r w:rsidR="00045FA9" w:rsidRPr="00816E15">
        <w:rPr>
          <w:rFonts w:cs="Times New Roman"/>
          <w:szCs w:val="24"/>
        </w:rPr>
        <w:t xml:space="preserve"> będą zaliczane</w:t>
      </w:r>
      <w:r w:rsidR="00FA2034" w:rsidRPr="00816E15">
        <w:rPr>
          <w:rFonts w:cs="Times New Roman"/>
          <w:szCs w:val="24"/>
        </w:rPr>
        <w:t xml:space="preserve"> do</w:t>
      </w:r>
      <w:r w:rsidR="00045FA9" w:rsidRPr="00816E15">
        <w:rPr>
          <w:rFonts w:cs="Times New Roman"/>
          <w:szCs w:val="24"/>
        </w:rPr>
        <w:t xml:space="preserve"> pozycji w kapitale Tier 2</w:t>
      </w:r>
      <w:r w:rsidR="00AD200E" w:rsidRPr="00816E15">
        <w:rPr>
          <w:rFonts w:cs="Times New Roman"/>
          <w:szCs w:val="24"/>
        </w:rPr>
        <w:t xml:space="preserve"> </w:t>
      </w:r>
      <w:r w:rsidR="00FD50D7" w:rsidRPr="00816E15">
        <w:rPr>
          <w:rFonts w:cs="Times New Roman"/>
          <w:szCs w:val="24"/>
        </w:rPr>
        <w:t>(</w:t>
      </w:r>
      <w:r w:rsidR="0010696F" w:rsidRPr="00816E15">
        <w:rPr>
          <w:rFonts w:cs="Times New Roman"/>
          <w:szCs w:val="24"/>
        </w:rPr>
        <w:t xml:space="preserve">zgodnie z </w:t>
      </w:r>
      <w:r w:rsidR="00BB0EFC" w:rsidRPr="00816E15">
        <w:rPr>
          <w:rFonts w:cs="Times New Roman"/>
          <w:noProof/>
          <w:szCs w:val="24"/>
        </w:rPr>
        <w:t>rozporządzenie</w:t>
      </w:r>
      <w:r w:rsidR="00FD50D7" w:rsidRPr="00816E15">
        <w:rPr>
          <w:rFonts w:cs="Times New Roman"/>
          <w:noProof/>
          <w:szCs w:val="24"/>
        </w:rPr>
        <w:t>m</w:t>
      </w:r>
      <w:r w:rsidR="00BB0EFC" w:rsidRPr="00816E15">
        <w:rPr>
          <w:rFonts w:cs="Times New Roman"/>
          <w:noProof/>
          <w:szCs w:val="24"/>
        </w:rPr>
        <w:t xml:space="preserve"> w sprawie wymogów kapitałowych</w:t>
      </w:r>
      <w:r w:rsidR="0010696F" w:rsidRPr="00816E15">
        <w:rPr>
          <w:rFonts w:cs="Times New Roman"/>
          <w:szCs w:val="24"/>
        </w:rPr>
        <w:t>)</w:t>
      </w:r>
      <w:r w:rsidR="00045FA9" w:rsidRPr="00816E15">
        <w:rPr>
          <w:rFonts w:cs="Times New Roman"/>
          <w:szCs w:val="24"/>
        </w:rPr>
        <w:t>,</w:t>
      </w:r>
      <w:r w:rsidRPr="00816E15">
        <w:rPr>
          <w:rFonts w:cs="Times New Roman"/>
          <w:szCs w:val="24"/>
        </w:rPr>
        <w:t xml:space="preserve"> inne instrumenty dłużne, które wykazują właściwości zbywalnych wierzytelności</w:t>
      </w:r>
      <w:r w:rsidR="00CF0104" w:rsidRPr="00816E15">
        <w:rPr>
          <w:rFonts w:cs="Times New Roman"/>
          <w:szCs w:val="24"/>
        </w:rPr>
        <w:t xml:space="preserve"> oraz </w:t>
      </w:r>
      <w:r w:rsidRPr="00816E15">
        <w:rPr>
          <w:rFonts w:cs="Times New Roman"/>
          <w:szCs w:val="24"/>
        </w:rPr>
        <w:t>instrumenty wywołujące skutki prawne dłużnych instrumentów finansowych</w:t>
      </w:r>
      <w:r w:rsidR="00AC146B" w:rsidRPr="00816E15">
        <w:rPr>
          <w:rFonts w:cs="Times New Roman"/>
          <w:szCs w:val="24"/>
        </w:rPr>
        <w:t xml:space="preserve">. </w:t>
      </w:r>
      <w:r w:rsidR="00E1162F" w:rsidRPr="00816E15">
        <w:rPr>
          <w:rFonts w:cs="Times New Roman"/>
          <w:szCs w:val="24"/>
        </w:rPr>
        <w:t>W</w:t>
      </w:r>
      <w:r w:rsidR="00AC146B" w:rsidRPr="00816E15">
        <w:rPr>
          <w:rFonts w:cs="Times New Roman"/>
          <w:szCs w:val="24"/>
        </w:rPr>
        <w:t xml:space="preserve"> celu rozwian</w:t>
      </w:r>
      <w:r w:rsidR="00333244" w:rsidRPr="00816E15">
        <w:rPr>
          <w:rFonts w:cs="Times New Roman"/>
          <w:szCs w:val="24"/>
        </w:rPr>
        <w:t xml:space="preserve">ia wątpliwości oraz ograniczenia zakresu </w:t>
      </w:r>
      <w:r w:rsidR="00AC146B" w:rsidRPr="00816E15">
        <w:rPr>
          <w:rFonts w:cs="Times New Roman"/>
          <w:szCs w:val="24"/>
        </w:rPr>
        <w:t>powyższej kategor</w:t>
      </w:r>
      <w:r w:rsidR="00E1162F" w:rsidRPr="00816E15">
        <w:rPr>
          <w:rFonts w:cs="Times New Roman"/>
          <w:szCs w:val="24"/>
        </w:rPr>
        <w:t>ii</w:t>
      </w:r>
      <w:r w:rsidR="00AC146B" w:rsidRPr="00816E15">
        <w:rPr>
          <w:rFonts w:cs="Times New Roman"/>
          <w:szCs w:val="24"/>
        </w:rPr>
        <w:t xml:space="preserve"> wprowadzone zostają dodatkowe </w:t>
      </w:r>
      <w:r w:rsidR="005A6E85" w:rsidRPr="00816E15">
        <w:rPr>
          <w:rFonts w:cs="Times New Roman"/>
          <w:szCs w:val="24"/>
        </w:rPr>
        <w:t>przesłanki</w:t>
      </w:r>
      <w:r w:rsidR="00AC146B" w:rsidRPr="00816E15">
        <w:rPr>
          <w:rFonts w:cs="Times New Roman"/>
          <w:szCs w:val="24"/>
        </w:rPr>
        <w:t>.</w:t>
      </w:r>
      <w:r w:rsidR="00443BDE" w:rsidRPr="00816E15">
        <w:rPr>
          <w:rFonts w:cs="Times New Roman"/>
          <w:szCs w:val="24"/>
        </w:rPr>
        <w:t xml:space="preserve"> </w:t>
      </w:r>
      <w:r w:rsidR="00816E15">
        <w:rPr>
          <w:rStyle w:val="Ppogrubienie"/>
          <w:rFonts w:eastAsiaTheme="minorEastAsia"/>
          <w:b w:val="0"/>
          <w:szCs w:val="24"/>
          <w:lang w:eastAsia="pl-PL"/>
        </w:rPr>
        <w:t>W art. </w:t>
      </w:r>
      <w:r w:rsidR="00443BDE" w:rsidRPr="00816E15">
        <w:rPr>
          <w:rStyle w:val="Ppogrubienie"/>
          <w:rFonts w:eastAsiaTheme="minorEastAsia"/>
          <w:b w:val="0"/>
          <w:szCs w:val="24"/>
          <w:lang w:eastAsia="pl-PL"/>
        </w:rPr>
        <w:t>440 ust. 2 ustawy Prawo upadłościowe w zakresie aktualnych kategorii</w:t>
      </w:r>
      <w:r w:rsidR="00816E15">
        <w:rPr>
          <w:rStyle w:val="Ppogrubienie"/>
          <w:rFonts w:eastAsiaTheme="minorEastAsia"/>
          <w:b w:val="0"/>
          <w:szCs w:val="24"/>
          <w:lang w:eastAsia="pl-PL"/>
        </w:rPr>
        <w:t xml:space="preserve"> </w:t>
      </w:r>
      <w:r w:rsidR="00443BDE" w:rsidRPr="00816E15">
        <w:rPr>
          <w:rStyle w:val="Ppogrubienie"/>
          <w:rFonts w:eastAsiaTheme="minorEastAsia"/>
          <w:b w:val="0"/>
          <w:szCs w:val="24"/>
          <w:lang w:eastAsia="pl-PL"/>
        </w:rPr>
        <w:t xml:space="preserve">nr 1–3 odsetki i koszty egzekucji zostały ujęte w ramach oddzielnej kategorii 4. W obecnych </w:t>
      </w:r>
      <w:r w:rsidR="006A2A54">
        <w:rPr>
          <w:rStyle w:val="Ppogrubienie"/>
          <w:rFonts w:eastAsiaTheme="minorEastAsia"/>
          <w:b w:val="0"/>
          <w:szCs w:val="24"/>
          <w:lang w:eastAsia="pl-PL"/>
        </w:rPr>
        <w:t>przepisach w ramach kategorii 6</w:t>
      </w:r>
      <w:r w:rsidR="00443BDE" w:rsidRPr="00816E15">
        <w:rPr>
          <w:rStyle w:val="Ppogrubienie"/>
          <w:rFonts w:eastAsiaTheme="minorEastAsia"/>
          <w:b w:val="0"/>
          <w:szCs w:val="24"/>
          <w:lang w:eastAsia="pl-PL"/>
        </w:rPr>
        <w:t>–9 poza należnościami głównymi zostały również ujęte należności uboczne</w:t>
      </w:r>
      <w:r w:rsidR="006A2A54">
        <w:rPr>
          <w:rStyle w:val="Ppogrubienie"/>
          <w:rFonts w:eastAsiaTheme="minorEastAsia"/>
          <w:b w:val="0"/>
          <w:szCs w:val="24"/>
          <w:lang w:eastAsia="pl-PL"/>
        </w:rPr>
        <w:t>,</w:t>
      </w:r>
      <w:r w:rsidR="00443BDE" w:rsidRPr="00816E15">
        <w:rPr>
          <w:rStyle w:val="Ppogrubienie"/>
          <w:rFonts w:eastAsiaTheme="minorEastAsia"/>
          <w:b w:val="0"/>
          <w:szCs w:val="24"/>
          <w:lang w:eastAsia="pl-PL"/>
        </w:rPr>
        <w:t xml:space="preserve"> tj. „odsetki i koszty egzekucji”. W związku z powyższym zasadne jest zapewnienie spójności systemowej przepisów przez dodanie tożsamego wyrażenia w ramach kategorii szóstej.</w:t>
      </w:r>
    </w:p>
    <w:p w14:paraId="129E02B0" w14:textId="63462956" w:rsidR="00B414F0" w:rsidRPr="00816E15" w:rsidRDefault="00AC146B" w:rsidP="00CF5AAF">
      <w:pPr>
        <w:spacing w:line="360" w:lineRule="auto"/>
        <w:jc w:val="both"/>
        <w:rPr>
          <w:rFonts w:cs="Times New Roman"/>
          <w:szCs w:val="24"/>
        </w:rPr>
      </w:pPr>
      <w:r w:rsidRPr="00816E15">
        <w:rPr>
          <w:rFonts w:cs="Times New Roman"/>
          <w:szCs w:val="24"/>
        </w:rPr>
        <w:t>Po pierwsze, nowa kategoria nie może składać się z krótkoterminowych papierów wartościowych, dlatego też pierwotny umowny termin zapadalności instrumentów finansowych powinien stanowić okres dłuższy niż rok. Po drugie,</w:t>
      </w:r>
      <w:r w:rsidR="003C77F6" w:rsidRPr="00816E15">
        <w:rPr>
          <w:rFonts w:cs="Times New Roman"/>
          <w:szCs w:val="24"/>
        </w:rPr>
        <w:t xml:space="preserve"> wprowadza się obowiązki informacyjne w ramach prospektu emisyjnego, umowy</w:t>
      </w:r>
      <w:r w:rsidR="004D44B5" w:rsidRPr="00816E15">
        <w:rPr>
          <w:rFonts w:cs="Times New Roman"/>
          <w:szCs w:val="24"/>
        </w:rPr>
        <w:t xml:space="preserve"> oraz</w:t>
      </w:r>
      <w:r w:rsidR="00CF0104" w:rsidRPr="00816E15">
        <w:rPr>
          <w:rFonts w:cs="Times New Roman"/>
          <w:szCs w:val="24"/>
        </w:rPr>
        <w:t xml:space="preserve"> </w:t>
      </w:r>
      <w:r w:rsidR="004D44B5" w:rsidRPr="00816E15">
        <w:rPr>
          <w:rFonts w:cs="Times New Roman"/>
          <w:szCs w:val="24"/>
        </w:rPr>
        <w:t>dokumentów do niej załączonych</w:t>
      </w:r>
      <w:r w:rsidR="00CF0104" w:rsidRPr="00816E15">
        <w:rPr>
          <w:rFonts w:cs="Times New Roman"/>
          <w:szCs w:val="24"/>
        </w:rPr>
        <w:t>,</w:t>
      </w:r>
      <w:r w:rsidR="003C77F6" w:rsidRPr="00816E15">
        <w:rPr>
          <w:rFonts w:cs="Times New Roman"/>
          <w:szCs w:val="24"/>
        </w:rPr>
        <w:t xml:space="preserve"> które w sposób klarowny mają określać kategori</w:t>
      </w:r>
      <w:r w:rsidR="00333244" w:rsidRPr="00816E15">
        <w:rPr>
          <w:rFonts w:cs="Times New Roman"/>
          <w:szCs w:val="24"/>
        </w:rPr>
        <w:t>ę</w:t>
      </w:r>
      <w:r w:rsidR="003C77F6" w:rsidRPr="00816E15">
        <w:rPr>
          <w:rFonts w:cs="Times New Roman"/>
          <w:szCs w:val="24"/>
        </w:rPr>
        <w:t xml:space="preserve"> zaspokojenia należności. W</w:t>
      </w:r>
      <w:r w:rsidR="00AD200E" w:rsidRPr="00816E15">
        <w:rPr>
          <w:rFonts w:cs="Times New Roman"/>
          <w:szCs w:val="24"/>
        </w:rPr>
        <w:t> </w:t>
      </w:r>
      <w:r w:rsidR="003C77F6" w:rsidRPr="00816E15">
        <w:rPr>
          <w:rFonts w:cs="Times New Roman"/>
          <w:szCs w:val="24"/>
        </w:rPr>
        <w:t xml:space="preserve">szczególności </w:t>
      </w:r>
      <w:r w:rsidR="005A6E85" w:rsidRPr="00816E15">
        <w:rPr>
          <w:rFonts w:cs="Times New Roman"/>
          <w:szCs w:val="24"/>
        </w:rPr>
        <w:t>celem jest rozwianie</w:t>
      </w:r>
      <w:r w:rsidR="003C77F6" w:rsidRPr="00816E15">
        <w:rPr>
          <w:rFonts w:cs="Times New Roman"/>
          <w:szCs w:val="24"/>
        </w:rPr>
        <w:t xml:space="preserve"> wątpliwości w odniesieniu do obligacji, których </w:t>
      </w:r>
      <w:r w:rsidR="00276DB9" w:rsidRPr="00816E15">
        <w:rPr>
          <w:rFonts w:cs="Times New Roman"/>
          <w:szCs w:val="24"/>
        </w:rPr>
        <w:t>za</w:t>
      </w:r>
      <w:r w:rsidR="003C77F6" w:rsidRPr="00816E15">
        <w:rPr>
          <w:rFonts w:cs="Times New Roman"/>
          <w:szCs w:val="24"/>
        </w:rPr>
        <w:t>kwalifikowanie do kategorii trzeciej albo ósmej</w:t>
      </w:r>
      <w:r w:rsidR="00276DB9" w:rsidRPr="00816E15">
        <w:rPr>
          <w:rFonts w:cs="Times New Roman"/>
          <w:szCs w:val="24"/>
        </w:rPr>
        <w:t xml:space="preserve"> prowadzi do odmiennej</w:t>
      </w:r>
      <w:r w:rsidR="003C77F6" w:rsidRPr="00816E15">
        <w:rPr>
          <w:rFonts w:cs="Times New Roman"/>
          <w:szCs w:val="24"/>
        </w:rPr>
        <w:t xml:space="preserve"> sytuacji prawnej wierzyciela w razie </w:t>
      </w:r>
      <w:r w:rsidR="00276DB9" w:rsidRPr="00816E15">
        <w:rPr>
          <w:rFonts w:cs="Times New Roman"/>
          <w:szCs w:val="24"/>
        </w:rPr>
        <w:t xml:space="preserve">podjęcia </w:t>
      </w:r>
      <w:r w:rsidR="003C77F6" w:rsidRPr="00816E15">
        <w:rPr>
          <w:rFonts w:cs="Times New Roman"/>
          <w:szCs w:val="24"/>
        </w:rPr>
        <w:t xml:space="preserve">procesu </w:t>
      </w:r>
      <w:r w:rsidR="00A349EF" w:rsidRPr="00816E15">
        <w:rPr>
          <w:rFonts w:cs="Times New Roman"/>
          <w:szCs w:val="24"/>
        </w:rPr>
        <w:t>upadłościowego albo użycia instrumentów bail-in</w:t>
      </w:r>
      <w:r w:rsidR="003C77F6" w:rsidRPr="00816E15">
        <w:rPr>
          <w:rFonts w:cs="Times New Roman"/>
          <w:szCs w:val="24"/>
        </w:rPr>
        <w:t>.</w:t>
      </w:r>
      <w:r w:rsidR="00B414F0" w:rsidRPr="00816E15">
        <w:rPr>
          <w:rFonts w:cs="Times New Roman"/>
          <w:szCs w:val="24"/>
        </w:rPr>
        <w:t xml:space="preserve"> </w:t>
      </w:r>
      <w:r w:rsidR="0049133E" w:rsidRPr="00816E15">
        <w:rPr>
          <w:rFonts w:cs="Times New Roman"/>
          <w:szCs w:val="24"/>
        </w:rPr>
        <w:t xml:space="preserve">Wprowadzenie klarownego obowiązku informacyjnego będzie prowadzić do wyższej świadomości wśród uczestników </w:t>
      </w:r>
      <w:r w:rsidR="005A6E85" w:rsidRPr="00816E15">
        <w:rPr>
          <w:rFonts w:cs="Times New Roman"/>
          <w:szCs w:val="24"/>
        </w:rPr>
        <w:t xml:space="preserve">rynku </w:t>
      </w:r>
      <w:r w:rsidR="0049133E" w:rsidRPr="00816E15">
        <w:rPr>
          <w:rFonts w:cs="Times New Roman"/>
          <w:szCs w:val="24"/>
        </w:rPr>
        <w:t>w zakresie ryzyka inwestycyjnego.</w:t>
      </w:r>
    </w:p>
    <w:p w14:paraId="52D9DDBF" w14:textId="15ACC214" w:rsidR="00E90C34" w:rsidRPr="00816E15" w:rsidRDefault="00B414F0" w:rsidP="00CF5AAF">
      <w:pPr>
        <w:spacing w:line="360" w:lineRule="auto"/>
        <w:jc w:val="both"/>
        <w:rPr>
          <w:rFonts w:cs="Times New Roman"/>
          <w:szCs w:val="24"/>
        </w:rPr>
      </w:pPr>
      <w:r w:rsidRPr="00816E15">
        <w:rPr>
          <w:rFonts w:cs="Times New Roman"/>
          <w:szCs w:val="24"/>
        </w:rPr>
        <w:t>Po trzecie, w ramach nowej kategorii za dług nieuprzywilejowany nie będą uznawane</w:t>
      </w:r>
      <w:r w:rsidR="004D0815" w:rsidRPr="00816E15">
        <w:rPr>
          <w:rFonts w:cs="Times New Roman"/>
          <w:szCs w:val="24"/>
        </w:rPr>
        <w:t xml:space="preserve"> należności wynikające z</w:t>
      </w:r>
      <w:r w:rsidRPr="00816E15">
        <w:rPr>
          <w:rFonts w:cs="Times New Roman"/>
          <w:szCs w:val="24"/>
        </w:rPr>
        <w:t xml:space="preserve"> instrument</w:t>
      </w:r>
      <w:r w:rsidR="004D0815" w:rsidRPr="00816E15">
        <w:rPr>
          <w:rFonts w:cs="Times New Roman"/>
          <w:szCs w:val="24"/>
        </w:rPr>
        <w:t>ów</w:t>
      </w:r>
      <w:r w:rsidRPr="00816E15">
        <w:rPr>
          <w:rFonts w:cs="Times New Roman"/>
          <w:szCs w:val="24"/>
        </w:rPr>
        <w:t xml:space="preserve"> pochodn</w:t>
      </w:r>
      <w:r w:rsidR="004D0815" w:rsidRPr="00816E15">
        <w:rPr>
          <w:rFonts w:cs="Times New Roman"/>
          <w:szCs w:val="24"/>
        </w:rPr>
        <w:t>ych</w:t>
      </w:r>
      <w:r w:rsidRPr="00816E15">
        <w:rPr>
          <w:rFonts w:cs="Times New Roman"/>
          <w:szCs w:val="24"/>
        </w:rPr>
        <w:t>, w szczególności taki</w:t>
      </w:r>
      <w:r w:rsidR="004D0815" w:rsidRPr="00816E15">
        <w:rPr>
          <w:rFonts w:cs="Times New Roman"/>
          <w:szCs w:val="24"/>
        </w:rPr>
        <w:t>ch</w:t>
      </w:r>
      <w:r w:rsidRPr="00816E15">
        <w:rPr>
          <w:rFonts w:cs="Times New Roman"/>
          <w:szCs w:val="24"/>
        </w:rPr>
        <w:t>, które odnoszą się do aktywów, praw, zobowiązań, indeksów oraz innych wskaźników, które wykazują właściwości pochodnych instrumentów finansowych.</w:t>
      </w:r>
      <w:r w:rsidR="002B34B9" w:rsidRPr="00816E15">
        <w:rPr>
          <w:rFonts w:cs="Times New Roman"/>
          <w:szCs w:val="24"/>
        </w:rPr>
        <w:t xml:space="preserve"> </w:t>
      </w:r>
      <w:r w:rsidR="00121010" w:rsidRPr="00816E15">
        <w:rPr>
          <w:rFonts w:cs="Times New Roman"/>
          <w:szCs w:val="24"/>
        </w:rPr>
        <w:t xml:space="preserve">Wyłączeniu </w:t>
      </w:r>
      <w:r w:rsidR="0010696F" w:rsidRPr="00816E15">
        <w:rPr>
          <w:rFonts w:cs="Times New Roman"/>
          <w:szCs w:val="24"/>
        </w:rPr>
        <w:t xml:space="preserve">podlegać będą </w:t>
      </w:r>
      <w:r w:rsidR="00121010" w:rsidRPr="00816E15">
        <w:rPr>
          <w:rFonts w:cs="Times New Roman"/>
          <w:szCs w:val="24"/>
        </w:rPr>
        <w:t>także strukturyzowane produkty finansowe, które oznaczają papiery wartościowe stworzone do celów sekurytyzacji i</w:t>
      </w:r>
      <w:r w:rsidR="00AD200E" w:rsidRPr="00816E15">
        <w:rPr>
          <w:rFonts w:cs="Times New Roman"/>
          <w:szCs w:val="24"/>
        </w:rPr>
        <w:t> </w:t>
      </w:r>
      <w:r w:rsidR="00121010" w:rsidRPr="00816E15">
        <w:rPr>
          <w:rFonts w:cs="Times New Roman"/>
          <w:szCs w:val="24"/>
        </w:rPr>
        <w:t>przenoszenia ryzyka kredytowego związanego z pulą aktywów finansowych i uprawniające posiadacza papieru wartościowego do otrzymywania regularnych płatności zależnych od przepływów pieniężnych z tytułu aktywów bazowych.</w:t>
      </w:r>
      <w:r w:rsidRPr="00816E15">
        <w:rPr>
          <w:rFonts w:cs="Times New Roman"/>
          <w:szCs w:val="24"/>
        </w:rPr>
        <w:t xml:space="preserve"> Regulacja ma na celu zapewnienie, że instrumenty </w:t>
      </w:r>
      <w:r w:rsidR="003F2AA1" w:rsidRPr="00816E15">
        <w:rPr>
          <w:rFonts w:cs="Times New Roman"/>
          <w:szCs w:val="24"/>
        </w:rPr>
        <w:t>dłużne o zmiennym oprocentowaniu, wynikającym z powszechnie stosowanej stopy referencyjnej</w:t>
      </w:r>
      <w:r w:rsidR="006A2A54">
        <w:rPr>
          <w:rFonts w:cs="Times New Roman"/>
          <w:szCs w:val="24"/>
        </w:rPr>
        <w:t>,</w:t>
      </w:r>
      <w:r w:rsidR="00A6457E" w:rsidRPr="00816E15">
        <w:rPr>
          <w:rFonts w:cs="Times New Roman"/>
          <w:szCs w:val="24"/>
        </w:rPr>
        <w:t xml:space="preserve"> takiej</w:t>
      </w:r>
      <w:r w:rsidR="00816E15">
        <w:rPr>
          <w:rFonts w:cs="Times New Roman"/>
          <w:szCs w:val="24"/>
        </w:rPr>
        <w:t xml:space="preserve"> </w:t>
      </w:r>
      <w:r w:rsidR="003F2AA1" w:rsidRPr="00816E15">
        <w:rPr>
          <w:rFonts w:cs="Times New Roman"/>
          <w:szCs w:val="24"/>
        </w:rPr>
        <w:t>jak Euribor lub Libor, nie powinny być uznawane za instrumenty z</w:t>
      </w:r>
      <w:r w:rsidR="00AD200E" w:rsidRPr="00816E15">
        <w:rPr>
          <w:rFonts w:cs="Times New Roman"/>
          <w:szCs w:val="24"/>
        </w:rPr>
        <w:t> </w:t>
      </w:r>
      <w:r w:rsidR="003F2AA1" w:rsidRPr="00816E15">
        <w:rPr>
          <w:rFonts w:cs="Times New Roman"/>
          <w:szCs w:val="24"/>
        </w:rPr>
        <w:t>wbudowanymi instrumentami pochodnymi.</w:t>
      </w:r>
      <w:r w:rsidR="00816E15">
        <w:rPr>
          <w:rFonts w:cs="Times New Roman"/>
          <w:szCs w:val="24"/>
        </w:rPr>
        <w:t xml:space="preserve"> </w:t>
      </w:r>
    </w:p>
    <w:p w14:paraId="5B83EA60" w14:textId="400B9740" w:rsidR="008E3BF4" w:rsidRPr="00816E15" w:rsidRDefault="002B34B9" w:rsidP="00CF5AAF">
      <w:pPr>
        <w:spacing w:line="360" w:lineRule="auto"/>
        <w:jc w:val="both"/>
        <w:rPr>
          <w:rFonts w:cs="Times New Roman"/>
          <w:szCs w:val="24"/>
        </w:rPr>
      </w:pPr>
      <w:r w:rsidRPr="00816E15">
        <w:rPr>
          <w:rFonts w:cs="Times New Roman"/>
          <w:szCs w:val="24"/>
        </w:rPr>
        <w:t xml:space="preserve">Uzupełnieniem powyższej zasady jest projektowany przepis </w:t>
      </w:r>
      <w:r w:rsidRPr="00816E15">
        <w:rPr>
          <w:rFonts w:cs="Times New Roman"/>
          <w:b/>
          <w:szCs w:val="24"/>
        </w:rPr>
        <w:t>art. 440 ust. 2a</w:t>
      </w:r>
      <w:r w:rsidR="003C288B" w:rsidRPr="00816E15">
        <w:rPr>
          <w:rFonts w:cs="Times New Roman"/>
          <w:szCs w:val="24"/>
        </w:rPr>
        <w:t>,</w:t>
      </w:r>
      <w:r w:rsidR="003C288B" w:rsidRPr="00816E15">
        <w:rPr>
          <w:rFonts w:cs="Times New Roman"/>
          <w:b/>
          <w:szCs w:val="24"/>
        </w:rPr>
        <w:t xml:space="preserve"> </w:t>
      </w:r>
      <w:r w:rsidR="003C288B" w:rsidRPr="00816E15">
        <w:rPr>
          <w:rFonts w:cs="Times New Roman"/>
          <w:szCs w:val="24"/>
        </w:rPr>
        <w:t>który ma na celu zapewnienie</w:t>
      </w:r>
      <w:r w:rsidR="0010696F" w:rsidRPr="00816E15">
        <w:rPr>
          <w:rFonts w:cs="Times New Roman"/>
          <w:szCs w:val="24"/>
        </w:rPr>
        <w:t>,</w:t>
      </w:r>
      <w:r w:rsidR="003C288B" w:rsidRPr="00816E15">
        <w:rPr>
          <w:rFonts w:cs="Times New Roman"/>
          <w:szCs w:val="24"/>
        </w:rPr>
        <w:t xml:space="preserve"> że za </w:t>
      </w:r>
      <w:r w:rsidR="00E23759" w:rsidRPr="00816E15">
        <w:rPr>
          <w:rFonts w:cs="Times New Roman"/>
          <w:szCs w:val="24"/>
        </w:rPr>
        <w:t>instrumenty strukturyzowane</w:t>
      </w:r>
      <w:r w:rsidR="00816E15">
        <w:rPr>
          <w:rFonts w:cs="Times New Roman"/>
          <w:szCs w:val="24"/>
        </w:rPr>
        <w:t xml:space="preserve"> </w:t>
      </w:r>
      <w:r w:rsidR="003C288B" w:rsidRPr="00816E15">
        <w:rPr>
          <w:rFonts w:cs="Times New Roman"/>
          <w:szCs w:val="24"/>
        </w:rPr>
        <w:t>nie zostaną uznane instrumenty</w:t>
      </w:r>
      <w:r w:rsidR="007A462C" w:rsidRPr="00816E15">
        <w:rPr>
          <w:rFonts w:cs="Times New Roman"/>
          <w:szCs w:val="24"/>
        </w:rPr>
        <w:t xml:space="preserve"> dłużne,</w:t>
      </w:r>
      <w:r w:rsidR="003C288B" w:rsidRPr="00816E15">
        <w:rPr>
          <w:rFonts w:cs="Times New Roman"/>
          <w:szCs w:val="24"/>
        </w:rPr>
        <w:t xml:space="preserve"> o zmienny</w:t>
      </w:r>
      <w:r w:rsidR="00A6457E" w:rsidRPr="00816E15">
        <w:rPr>
          <w:rFonts w:cs="Times New Roman"/>
          <w:szCs w:val="24"/>
        </w:rPr>
        <w:t>m</w:t>
      </w:r>
      <w:r w:rsidR="003C288B" w:rsidRPr="00816E15">
        <w:rPr>
          <w:rFonts w:cs="Times New Roman"/>
          <w:szCs w:val="24"/>
        </w:rPr>
        <w:t xml:space="preserve"> oprocentowaniu, wyrażane za pomocą stopy procentowej obliczanej na podstawie</w:t>
      </w:r>
      <w:r w:rsidR="003F2AA1" w:rsidRPr="00816E15">
        <w:rPr>
          <w:rFonts w:cs="Times New Roman"/>
          <w:szCs w:val="24"/>
        </w:rPr>
        <w:t xml:space="preserve"> m.in.</w:t>
      </w:r>
      <w:r w:rsidR="003C288B" w:rsidRPr="00816E15">
        <w:rPr>
          <w:rFonts w:cs="Times New Roman"/>
          <w:szCs w:val="24"/>
        </w:rPr>
        <w:t xml:space="preserve"> ww. wskaźników referencyjnych.</w:t>
      </w:r>
      <w:r w:rsidR="007A462C" w:rsidRPr="00816E15">
        <w:rPr>
          <w:rFonts w:cs="Times New Roman"/>
          <w:szCs w:val="24"/>
        </w:rPr>
        <w:t xml:space="preserve"> </w:t>
      </w:r>
      <w:r w:rsidR="008E3BF4" w:rsidRPr="00816E15">
        <w:rPr>
          <w:rFonts w:cs="Times New Roman"/>
          <w:szCs w:val="24"/>
        </w:rPr>
        <w:t>Planowane jest wprowadzenie rozwiązania podobnego do rozwiązania zastosowanego przy obligacjach podporządkowanych dla inwestora nieprofesjonalnego, który nie powinien nabywać instrumentów ryzykownych jako alternatywy dla depozytów</w:t>
      </w:r>
      <w:r w:rsidR="00A6457E" w:rsidRPr="00816E15">
        <w:rPr>
          <w:rFonts w:cs="Times New Roman"/>
          <w:szCs w:val="24"/>
        </w:rPr>
        <w:t xml:space="preserve">, tj. </w:t>
      </w:r>
      <w:r w:rsidR="008E3BF4" w:rsidRPr="00816E15">
        <w:rPr>
          <w:rFonts w:cs="Times New Roman"/>
          <w:szCs w:val="24"/>
        </w:rPr>
        <w:t>zapewniona zostanie ochrona w postaci wprowadzenia limitu dla jednego instrumentu z długu nieuprzywilejowanego na poziomie 400.000,00 zł.</w:t>
      </w:r>
    </w:p>
    <w:p w14:paraId="733EA8F3" w14:textId="72A0668E" w:rsidR="002B34B9" w:rsidRPr="00816E15" w:rsidRDefault="00F2485D" w:rsidP="00CF5AAF">
      <w:pPr>
        <w:spacing w:line="360" w:lineRule="auto"/>
        <w:jc w:val="both"/>
        <w:rPr>
          <w:rFonts w:cs="Times New Roman"/>
          <w:szCs w:val="24"/>
        </w:rPr>
      </w:pPr>
      <w:r w:rsidRPr="00816E15">
        <w:rPr>
          <w:rFonts w:cs="Times New Roman"/>
          <w:szCs w:val="24"/>
        </w:rPr>
        <w:t>Pozostałe z</w:t>
      </w:r>
      <w:r w:rsidR="00380F66" w:rsidRPr="00816E15">
        <w:rPr>
          <w:rFonts w:cs="Times New Roman"/>
          <w:szCs w:val="24"/>
        </w:rPr>
        <w:t xml:space="preserve">miany </w:t>
      </w:r>
      <w:r w:rsidR="00380F66" w:rsidRPr="00816E15">
        <w:rPr>
          <w:rFonts w:cs="Times New Roman"/>
          <w:b/>
          <w:szCs w:val="24"/>
        </w:rPr>
        <w:t xml:space="preserve">art. 440 ust. 2 pkt 7–10 </w:t>
      </w:r>
      <w:r w:rsidR="00380F66" w:rsidRPr="00816E15">
        <w:rPr>
          <w:rFonts w:cs="Times New Roman"/>
          <w:szCs w:val="24"/>
        </w:rPr>
        <w:t>mają charakter legislacyjny.</w:t>
      </w:r>
    </w:p>
    <w:p w14:paraId="73AFA9D3" w14:textId="1F9E3A15" w:rsidR="00747D37" w:rsidRPr="00816E15" w:rsidRDefault="0083532E" w:rsidP="00CF5AAF">
      <w:pPr>
        <w:spacing w:line="360" w:lineRule="auto"/>
        <w:jc w:val="both"/>
        <w:rPr>
          <w:rStyle w:val="Pogrubienie"/>
          <w:b w:val="0"/>
          <w:szCs w:val="24"/>
        </w:rPr>
      </w:pPr>
      <w:r w:rsidRPr="00816E15">
        <w:rPr>
          <w:szCs w:val="24"/>
        </w:rPr>
        <w:t xml:space="preserve">Zmiany w </w:t>
      </w:r>
      <w:r w:rsidR="00747D37" w:rsidRPr="00816E15">
        <w:rPr>
          <w:szCs w:val="24"/>
        </w:rPr>
        <w:t>dziale</w:t>
      </w:r>
      <w:r w:rsidR="00816E15">
        <w:rPr>
          <w:szCs w:val="24"/>
        </w:rPr>
        <w:t xml:space="preserve"> </w:t>
      </w:r>
      <w:r w:rsidRPr="00816E15">
        <w:rPr>
          <w:szCs w:val="24"/>
        </w:rPr>
        <w:t xml:space="preserve">III </w:t>
      </w:r>
      <w:r w:rsidR="00816E15">
        <w:rPr>
          <w:szCs w:val="24"/>
        </w:rPr>
        <w:t>–</w:t>
      </w:r>
      <w:r w:rsidRPr="00816E15">
        <w:rPr>
          <w:szCs w:val="24"/>
        </w:rPr>
        <w:t xml:space="preserve"> Postępowanie upadłościowe wobec instytucji kredytowych, firm inwestycyjnych, banków zagranicznych oraz banków krajowych prowadzących działalność za granicą mają na celu zapewnienie prawidłowej implementacji art. 117 BRR, który </w:t>
      </w:r>
      <w:r w:rsidRPr="00816E15">
        <w:rPr>
          <w:rFonts w:cs="Times New Roman"/>
          <w:szCs w:val="24"/>
        </w:rPr>
        <w:t xml:space="preserve">odnosi się do zmian w </w:t>
      </w:r>
      <w:r w:rsidR="00747D37" w:rsidRPr="00816E15">
        <w:rPr>
          <w:rFonts w:cs="Times New Roman"/>
          <w:szCs w:val="24"/>
        </w:rPr>
        <w:t>d</w:t>
      </w:r>
      <w:r w:rsidRPr="00816E15">
        <w:rPr>
          <w:rFonts w:cs="Times New Roman"/>
          <w:szCs w:val="24"/>
        </w:rPr>
        <w:t xml:space="preserve">yrektywie 2001/24/WE </w:t>
      </w:r>
      <w:r w:rsidRPr="00816E15">
        <w:rPr>
          <w:rStyle w:val="Pogrubienie"/>
          <w:b w:val="0"/>
          <w:szCs w:val="24"/>
        </w:rPr>
        <w:t>Parlamentu Europejskiego i Rady z dnia 4 kwietnia 2001 r. w sprawie reorganizacji i likwidacji instytucji kredytowyc</w:t>
      </w:r>
      <w:r w:rsidR="001D50CB" w:rsidRPr="00816E15">
        <w:rPr>
          <w:rStyle w:val="Pogrubienie"/>
          <w:b w:val="0"/>
          <w:szCs w:val="24"/>
        </w:rPr>
        <w:t xml:space="preserve">h. </w:t>
      </w:r>
    </w:p>
    <w:p w14:paraId="5260F43D" w14:textId="3573FBC3" w:rsidR="0083532E" w:rsidRPr="00816E15" w:rsidRDefault="0083532E" w:rsidP="00CF5AAF">
      <w:pPr>
        <w:spacing w:line="360" w:lineRule="auto"/>
        <w:jc w:val="both"/>
        <w:rPr>
          <w:rFonts w:cs="Times New Roman"/>
          <w:szCs w:val="24"/>
        </w:rPr>
      </w:pPr>
      <w:r w:rsidRPr="00816E15">
        <w:rPr>
          <w:rFonts w:cs="Times New Roman"/>
          <w:szCs w:val="24"/>
        </w:rPr>
        <w:t>Implementowane przepisy wymagają uzupełnienia o firmy inwestycyjne. Zakres dyrektywy, zgodnie z art. 1 ust. 4</w:t>
      </w:r>
      <w:r w:rsidR="00747D37" w:rsidRPr="00816E15">
        <w:rPr>
          <w:rFonts w:cs="Times New Roman"/>
          <w:szCs w:val="24"/>
        </w:rPr>
        <w:t>,</w:t>
      </w:r>
      <w:r w:rsidRPr="00816E15">
        <w:rPr>
          <w:rFonts w:cs="Times New Roman"/>
          <w:szCs w:val="24"/>
        </w:rPr>
        <w:t xml:space="preserve"> obejmuje bowiem także przypadki podmiotu zastosowania </w:t>
      </w:r>
      <w:r w:rsidRPr="00816E15">
        <w:rPr>
          <w:rStyle w:val="zmieniony"/>
          <w:szCs w:val="24"/>
        </w:rPr>
        <w:t>instrumentów restrukturyzacji i uporządkowanej likwidacji oraz wykonania uprawnień w zakresie prowadzenia restrukturyzacji i uporządkowanej likwidacji (przymusowa restrukturyzacja).</w:t>
      </w:r>
      <w:r w:rsidR="005708D0" w:rsidRPr="00816E15">
        <w:rPr>
          <w:rStyle w:val="zmieniony"/>
          <w:szCs w:val="24"/>
        </w:rPr>
        <w:t xml:space="preserve"> </w:t>
      </w:r>
      <w:r w:rsidRPr="00816E15">
        <w:rPr>
          <w:rFonts w:cs="Times New Roman"/>
          <w:szCs w:val="24"/>
        </w:rPr>
        <w:t>Dodatkowo, z uwagi na zbiór zasad kolizyjnych dot</w:t>
      </w:r>
      <w:r w:rsidR="00747D37" w:rsidRPr="00816E15">
        <w:rPr>
          <w:rFonts w:cs="Times New Roman"/>
          <w:szCs w:val="24"/>
        </w:rPr>
        <w:t xml:space="preserve">yczących </w:t>
      </w:r>
      <w:r w:rsidRPr="00816E15">
        <w:rPr>
          <w:rFonts w:cs="Times New Roman"/>
          <w:szCs w:val="24"/>
        </w:rPr>
        <w:t xml:space="preserve">prawodawstw państw członkowskich, w sytuacji wszczęcia w jednym z nich postępowania upadłościowego zasady te powinny być także stosowane do podmiotów objętych ustawą o BFG w razie stosowania instrumentów przymusowej restrukturyzacji. Wprowadzone w ustawie </w:t>
      </w:r>
      <w:r w:rsidR="00747D37" w:rsidRPr="00816E15">
        <w:rPr>
          <w:rFonts w:cs="Times New Roman"/>
          <w:szCs w:val="24"/>
        </w:rPr>
        <w:t xml:space="preserve">– </w:t>
      </w:r>
      <w:r w:rsidRPr="00816E15">
        <w:rPr>
          <w:rFonts w:cs="Times New Roman"/>
          <w:szCs w:val="24"/>
        </w:rPr>
        <w:t xml:space="preserve">Prawo upadłościowe zmiany będą korespondowały z </w:t>
      </w:r>
      <w:r w:rsidR="00747D37" w:rsidRPr="00816E15">
        <w:rPr>
          <w:rFonts w:cs="Times New Roman"/>
          <w:szCs w:val="24"/>
        </w:rPr>
        <w:t xml:space="preserve">odesłaniem </w:t>
      </w:r>
      <w:r w:rsidR="00816E15">
        <w:rPr>
          <w:rFonts w:cs="Times New Roman"/>
          <w:szCs w:val="24"/>
        </w:rPr>
        <w:t>dodawanym w ustawie o BFG art. </w:t>
      </w:r>
      <w:r w:rsidRPr="00816E15">
        <w:rPr>
          <w:rFonts w:cs="Times New Roman"/>
          <w:szCs w:val="24"/>
        </w:rPr>
        <w:t>258a i odpowiednim stosowaniem przepisów.</w:t>
      </w:r>
    </w:p>
    <w:p w14:paraId="719A8297" w14:textId="43AE4BA0" w:rsidR="0083532E" w:rsidRPr="00816E15" w:rsidRDefault="0083532E" w:rsidP="00CF5AAF">
      <w:pPr>
        <w:spacing w:line="360" w:lineRule="auto"/>
        <w:jc w:val="both"/>
        <w:rPr>
          <w:rFonts w:cs="Times New Roman"/>
          <w:szCs w:val="24"/>
        </w:rPr>
      </w:pPr>
      <w:r w:rsidRPr="00816E15">
        <w:rPr>
          <w:rFonts w:cs="Times New Roman"/>
          <w:szCs w:val="24"/>
        </w:rPr>
        <w:t xml:space="preserve">W </w:t>
      </w:r>
      <w:r w:rsidR="00B44BD7" w:rsidRPr="00816E15">
        <w:rPr>
          <w:szCs w:val="24"/>
        </w:rPr>
        <w:t>c</w:t>
      </w:r>
      <w:r w:rsidRPr="00816E15">
        <w:rPr>
          <w:szCs w:val="24"/>
        </w:rPr>
        <w:t xml:space="preserve">zęści </w:t>
      </w:r>
      <w:r w:rsidR="00B44BD7" w:rsidRPr="00816E15">
        <w:rPr>
          <w:szCs w:val="24"/>
        </w:rPr>
        <w:t>t</w:t>
      </w:r>
      <w:r w:rsidRPr="00816E15">
        <w:rPr>
          <w:szCs w:val="24"/>
        </w:rPr>
        <w:t>rzeciej</w:t>
      </w:r>
      <w:r w:rsidR="00B44BD7" w:rsidRPr="00816E15">
        <w:rPr>
          <w:szCs w:val="24"/>
        </w:rPr>
        <w:t xml:space="preserve"> w t</w:t>
      </w:r>
      <w:r w:rsidRPr="00816E15">
        <w:rPr>
          <w:szCs w:val="24"/>
        </w:rPr>
        <w:t>ytule II</w:t>
      </w:r>
      <w:r w:rsidR="00B44BD7" w:rsidRPr="00816E15">
        <w:rPr>
          <w:szCs w:val="24"/>
        </w:rPr>
        <w:t xml:space="preserve"> w dziale</w:t>
      </w:r>
      <w:r w:rsidR="00816E15">
        <w:rPr>
          <w:szCs w:val="24"/>
        </w:rPr>
        <w:t xml:space="preserve"> </w:t>
      </w:r>
      <w:r w:rsidRPr="00816E15">
        <w:rPr>
          <w:szCs w:val="24"/>
        </w:rPr>
        <w:t>III dodaje się sformułowanie „firmy inwestycyjne”</w:t>
      </w:r>
      <w:r w:rsidR="00593767" w:rsidRPr="00816E15">
        <w:rPr>
          <w:szCs w:val="24"/>
        </w:rPr>
        <w:t>, co odpowiadać ma rozszerzeniu katalogu podmiotowego w przepisach.</w:t>
      </w:r>
    </w:p>
    <w:p w14:paraId="0A4D7C20" w14:textId="4E1AF381" w:rsidR="00593767" w:rsidRPr="00816E15" w:rsidRDefault="00593767" w:rsidP="00CF5AAF">
      <w:pPr>
        <w:spacing w:line="360" w:lineRule="auto"/>
        <w:jc w:val="both"/>
        <w:rPr>
          <w:rFonts w:cs="Times New Roman"/>
          <w:szCs w:val="24"/>
        </w:rPr>
      </w:pPr>
      <w:r w:rsidRPr="00816E15">
        <w:rPr>
          <w:rFonts w:cs="Times New Roman"/>
          <w:szCs w:val="24"/>
        </w:rPr>
        <w:t xml:space="preserve">W art. </w:t>
      </w:r>
      <w:r w:rsidRPr="00816E15">
        <w:rPr>
          <w:szCs w:val="24"/>
        </w:rPr>
        <w:t xml:space="preserve">451 dodawany pkt 4 i 5 rozszerza </w:t>
      </w:r>
      <w:r w:rsidR="00C200EB" w:rsidRPr="00816E15">
        <w:rPr>
          <w:szCs w:val="24"/>
        </w:rPr>
        <w:t xml:space="preserve">przepis </w:t>
      </w:r>
      <w:r w:rsidRPr="00816E15">
        <w:rPr>
          <w:szCs w:val="24"/>
        </w:rPr>
        <w:t>o dom maklerski prowadzący działalność także za granicą Rzeczypospolitej Polskiej oraz firmę inwestycyjną.</w:t>
      </w:r>
    </w:p>
    <w:p w14:paraId="56B04D75" w14:textId="7D5A3905" w:rsidR="00593767" w:rsidRPr="00816E15" w:rsidRDefault="00593767" w:rsidP="00CF5AAF">
      <w:pPr>
        <w:spacing w:line="360" w:lineRule="auto"/>
        <w:jc w:val="both"/>
        <w:rPr>
          <w:rFonts w:cs="Times New Roman"/>
          <w:szCs w:val="24"/>
        </w:rPr>
      </w:pPr>
      <w:r w:rsidRPr="00816E15">
        <w:rPr>
          <w:rFonts w:cs="Times New Roman"/>
          <w:szCs w:val="24"/>
        </w:rPr>
        <w:t>W art. 452 ust. 1a analogicznie ja</w:t>
      </w:r>
      <w:r w:rsidR="00C200EB" w:rsidRPr="00816E15">
        <w:rPr>
          <w:rFonts w:cs="Times New Roman"/>
          <w:szCs w:val="24"/>
        </w:rPr>
        <w:t>k</w:t>
      </w:r>
      <w:r w:rsidRPr="00816E15">
        <w:rPr>
          <w:rFonts w:cs="Times New Roman"/>
          <w:szCs w:val="24"/>
        </w:rPr>
        <w:t xml:space="preserve"> w ust. 1 </w:t>
      </w:r>
      <w:r w:rsidR="00B44BD7" w:rsidRPr="00816E15">
        <w:rPr>
          <w:rFonts w:cs="Times New Roman"/>
          <w:szCs w:val="24"/>
        </w:rPr>
        <w:t xml:space="preserve">do </w:t>
      </w:r>
      <w:r w:rsidRPr="00816E15">
        <w:rPr>
          <w:rFonts w:cs="Times New Roman"/>
          <w:szCs w:val="24"/>
        </w:rPr>
        <w:t xml:space="preserve">przepisu wprowadza się odwołanie systemowe do ustawy </w:t>
      </w:r>
      <w:r w:rsidRPr="00816E15">
        <w:rPr>
          <w:szCs w:val="24"/>
        </w:rPr>
        <w:t>o obrocie instrumentami finansowymi w celu zapewnienia klarownej siatki pojęciowej.</w:t>
      </w:r>
    </w:p>
    <w:p w14:paraId="73EA6AC3" w14:textId="35F6D593" w:rsidR="00E129D1" w:rsidRPr="00816E15" w:rsidRDefault="00593767" w:rsidP="00CF5AAF">
      <w:pPr>
        <w:spacing w:line="360" w:lineRule="auto"/>
        <w:jc w:val="both"/>
        <w:rPr>
          <w:rFonts w:cs="Times New Roman"/>
          <w:szCs w:val="24"/>
        </w:rPr>
      </w:pPr>
      <w:r w:rsidRPr="00816E15">
        <w:rPr>
          <w:szCs w:val="24"/>
        </w:rPr>
        <w:t xml:space="preserve">W art. 453 </w:t>
      </w:r>
      <w:r w:rsidR="00E129D1" w:rsidRPr="00816E15">
        <w:rPr>
          <w:szCs w:val="24"/>
        </w:rPr>
        <w:t>wskazuje się na brak jurysdykcji polski</w:t>
      </w:r>
      <w:r w:rsidR="00B44BD7" w:rsidRPr="00816E15">
        <w:rPr>
          <w:szCs w:val="24"/>
        </w:rPr>
        <w:t>ch</w:t>
      </w:r>
      <w:r w:rsidR="00816E15">
        <w:rPr>
          <w:szCs w:val="24"/>
        </w:rPr>
        <w:t xml:space="preserve"> </w:t>
      </w:r>
      <w:r w:rsidR="00B44BD7" w:rsidRPr="00816E15">
        <w:rPr>
          <w:szCs w:val="24"/>
        </w:rPr>
        <w:t>s</w:t>
      </w:r>
      <w:r w:rsidR="00E129D1" w:rsidRPr="00816E15">
        <w:rPr>
          <w:szCs w:val="24"/>
        </w:rPr>
        <w:t>ądów w zakresie zagranicznej firmy inwestycyjnej.</w:t>
      </w:r>
    </w:p>
    <w:p w14:paraId="0EF3982C" w14:textId="283361D6" w:rsidR="00B44BD7" w:rsidRPr="00816E15" w:rsidRDefault="00E129D1" w:rsidP="00CF5AAF">
      <w:pPr>
        <w:spacing w:line="360" w:lineRule="auto"/>
        <w:jc w:val="both"/>
        <w:rPr>
          <w:rFonts w:cs="Times New Roman"/>
          <w:szCs w:val="24"/>
        </w:rPr>
      </w:pPr>
      <w:r w:rsidRPr="00816E15">
        <w:rPr>
          <w:szCs w:val="24"/>
        </w:rPr>
        <w:t xml:space="preserve">W art. 454 rozszerza się </w:t>
      </w:r>
      <w:r w:rsidR="00B44BD7" w:rsidRPr="00816E15">
        <w:rPr>
          <w:szCs w:val="24"/>
        </w:rPr>
        <w:t xml:space="preserve">stosowanie </w:t>
      </w:r>
      <w:r w:rsidRPr="00816E15">
        <w:rPr>
          <w:szCs w:val="24"/>
        </w:rPr>
        <w:t>zasad</w:t>
      </w:r>
      <w:r w:rsidR="00B44BD7" w:rsidRPr="00816E15">
        <w:rPr>
          <w:szCs w:val="24"/>
        </w:rPr>
        <w:t xml:space="preserve">y dotyczącej </w:t>
      </w:r>
      <w:r w:rsidRPr="00816E15">
        <w:rPr>
          <w:szCs w:val="24"/>
        </w:rPr>
        <w:t>uznani</w:t>
      </w:r>
      <w:r w:rsidR="00B44BD7" w:rsidRPr="00816E15">
        <w:rPr>
          <w:szCs w:val="24"/>
        </w:rPr>
        <w:t>a</w:t>
      </w:r>
      <w:r w:rsidR="00816E15">
        <w:rPr>
          <w:szCs w:val="24"/>
        </w:rPr>
        <w:t xml:space="preserve"> </w:t>
      </w:r>
      <w:r w:rsidRPr="00816E15">
        <w:rPr>
          <w:szCs w:val="24"/>
        </w:rPr>
        <w:t xml:space="preserve">orzeczenia o wszczęciu zagranicznego postępowania upadłościowego, postępowania układowego lub innego podobnego postępowania państw członkowskich UE lub EFTA </w:t>
      </w:r>
      <w:r w:rsidR="00B44BD7" w:rsidRPr="00816E15">
        <w:rPr>
          <w:szCs w:val="24"/>
        </w:rPr>
        <w:t xml:space="preserve">na </w:t>
      </w:r>
      <w:r w:rsidRPr="00816E15">
        <w:rPr>
          <w:szCs w:val="24"/>
        </w:rPr>
        <w:t>zagraniczne firmy inwestycyjne.</w:t>
      </w:r>
      <w:r w:rsidR="00B44BD7" w:rsidRPr="00816E15">
        <w:rPr>
          <w:szCs w:val="24"/>
        </w:rPr>
        <w:t xml:space="preserve"> </w:t>
      </w:r>
    </w:p>
    <w:p w14:paraId="25D8DFA8" w14:textId="0150C491" w:rsidR="00E129D1" w:rsidRPr="00816E15" w:rsidRDefault="00E129D1" w:rsidP="00CF5AAF">
      <w:pPr>
        <w:spacing w:line="360" w:lineRule="auto"/>
        <w:jc w:val="both"/>
        <w:rPr>
          <w:rFonts w:cs="Times New Roman"/>
          <w:szCs w:val="24"/>
        </w:rPr>
      </w:pPr>
      <w:r w:rsidRPr="00816E15">
        <w:rPr>
          <w:szCs w:val="24"/>
        </w:rPr>
        <w:t xml:space="preserve">W art. 455 </w:t>
      </w:r>
      <w:r w:rsidR="009D1AF9" w:rsidRPr="00816E15">
        <w:rPr>
          <w:szCs w:val="24"/>
        </w:rPr>
        <w:t>wskazuje się, że w</w:t>
      </w:r>
      <w:r w:rsidRPr="00816E15">
        <w:rPr>
          <w:szCs w:val="24"/>
        </w:rPr>
        <w:t xml:space="preserve"> skład masy upadłości</w:t>
      </w:r>
      <w:r w:rsidR="009D1AF9" w:rsidRPr="00816E15">
        <w:rPr>
          <w:szCs w:val="24"/>
        </w:rPr>
        <w:t xml:space="preserve"> domu maklerskiego wchodzi także mienie upadłego znajdujące się na terytorium</w:t>
      </w:r>
      <w:r w:rsidRPr="00816E15">
        <w:rPr>
          <w:szCs w:val="24"/>
        </w:rPr>
        <w:t xml:space="preserve"> innych </w:t>
      </w:r>
      <w:r w:rsidR="00B44BD7" w:rsidRPr="00816E15">
        <w:rPr>
          <w:szCs w:val="24"/>
        </w:rPr>
        <w:t>państw</w:t>
      </w:r>
      <w:r w:rsidR="00816E15">
        <w:rPr>
          <w:szCs w:val="24"/>
        </w:rPr>
        <w:t xml:space="preserve"> </w:t>
      </w:r>
      <w:r w:rsidRPr="00816E15">
        <w:rPr>
          <w:szCs w:val="24"/>
        </w:rPr>
        <w:t>członkowskich UE lub EFTA.</w:t>
      </w:r>
    </w:p>
    <w:p w14:paraId="29684D42" w14:textId="62BD941A" w:rsidR="00E129D1" w:rsidRPr="00816E15" w:rsidRDefault="00E129D1" w:rsidP="00CF5AAF">
      <w:pPr>
        <w:spacing w:line="360" w:lineRule="auto"/>
        <w:jc w:val="both"/>
        <w:rPr>
          <w:szCs w:val="24"/>
        </w:rPr>
      </w:pPr>
      <w:r w:rsidRPr="00816E15">
        <w:rPr>
          <w:rFonts w:cs="Times New Roman"/>
          <w:szCs w:val="24"/>
        </w:rPr>
        <w:t>W art. 456 ust. 1 rozszerza się zakres informacyjny</w:t>
      </w:r>
      <w:r w:rsidR="00A97D8D" w:rsidRPr="00816E15">
        <w:rPr>
          <w:rFonts w:cs="Times New Roman"/>
          <w:szCs w:val="24"/>
        </w:rPr>
        <w:t>,</w:t>
      </w:r>
      <w:r w:rsidRPr="00816E15">
        <w:rPr>
          <w:rFonts w:cs="Times New Roman"/>
          <w:szCs w:val="24"/>
        </w:rPr>
        <w:t xml:space="preserve"> </w:t>
      </w:r>
      <w:r w:rsidR="00A97D8D" w:rsidRPr="00816E15">
        <w:rPr>
          <w:rFonts w:cs="Times New Roman"/>
          <w:szCs w:val="24"/>
        </w:rPr>
        <w:t>o którym mowa w tym przepisie</w:t>
      </w:r>
      <w:r w:rsidR="00A14FDF">
        <w:rPr>
          <w:rFonts w:cs="Times New Roman"/>
          <w:szCs w:val="24"/>
        </w:rPr>
        <w:t>,</w:t>
      </w:r>
      <w:r w:rsidR="00A97D8D" w:rsidRPr="00816E15">
        <w:rPr>
          <w:rFonts w:cs="Times New Roman"/>
          <w:szCs w:val="24"/>
        </w:rPr>
        <w:t xml:space="preserve"> o przypadki </w:t>
      </w:r>
      <w:r w:rsidRPr="00816E15">
        <w:rPr>
          <w:rFonts w:cs="Times New Roman"/>
          <w:szCs w:val="24"/>
        </w:rPr>
        <w:t xml:space="preserve">upadłości domu maklerskiego lub zagranicznej firmy inwestycyjnej, </w:t>
      </w:r>
      <w:r w:rsidR="00A97D8D" w:rsidRPr="00816E15">
        <w:rPr>
          <w:rFonts w:cs="Times New Roman"/>
          <w:szCs w:val="24"/>
        </w:rPr>
        <w:t>w przypadku</w:t>
      </w:r>
      <w:r w:rsidRPr="00816E15">
        <w:rPr>
          <w:rFonts w:cs="Times New Roman"/>
          <w:szCs w:val="24"/>
        </w:rPr>
        <w:t xml:space="preserve"> ust. 2 </w:t>
      </w:r>
      <w:r w:rsidR="00A97D8D" w:rsidRPr="00816E15">
        <w:rPr>
          <w:rFonts w:cs="Times New Roman"/>
          <w:szCs w:val="24"/>
        </w:rPr>
        <w:t xml:space="preserve">również o </w:t>
      </w:r>
      <w:r w:rsidRPr="00816E15">
        <w:rPr>
          <w:szCs w:val="24"/>
        </w:rPr>
        <w:t>oddział firmy inwestycyjnej.</w:t>
      </w:r>
    </w:p>
    <w:p w14:paraId="6BE42E73" w14:textId="351FA666" w:rsidR="00E129D1" w:rsidRPr="00816E15" w:rsidRDefault="00B44BD7" w:rsidP="00CF5AAF">
      <w:pPr>
        <w:spacing w:line="360" w:lineRule="auto"/>
        <w:jc w:val="both"/>
        <w:rPr>
          <w:rFonts w:cs="Times New Roman"/>
          <w:szCs w:val="24"/>
        </w:rPr>
      </w:pPr>
      <w:r w:rsidRPr="00816E15">
        <w:rPr>
          <w:rFonts w:cs="Times New Roman"/>
          <w:szCs w:val="24"/>
        </w:rPr>
        <w:t xml:space="preserve">Zgodnie z </w:t>
      </w:r>
      <w:r w:rsidR="00E129D1" w:rsidRPr="00816E15">
        <w:rPr>
          <w:rFonts w:cs="Times New Roman"/>
          <w:szCs w:val="24"/>
        </w:rPr>
        <w:t xml:space="preserve">art. 458 ust. 1 zrównanie w prawach </w:t>
      </w:r>
      <w:r w:rsidRPr="00816E15">
        <w:rPr>
          <w:rFonts w:cs="Times New Roman"/>
          <w:szCs w:val="24"/>
        </w:rPr>
        <w:t xml:space="preserve">wierzycieli będzie dotyczyło także wierzycieli </w:t>
      </w:r>
      <w:r w:rsidR="00E129D1" w:rsidRPr="00816E15">
        <w:rPr>
          <w:rFonts w:cs="Times New Roman"/>
          <w:szCs w:val="24"/>
        </w:rPr>
        <w:t>domu maklerskiego lub zagranicznej firmy inwestycyjnej.</w:t>
      </w:r>
    </w:p>
    <w:p w14:paraId="5809A885" w14:textId="1A3F753E" w:rsidR="002C40E8" w:rsidRPr="00816E15" w:rsidRDefault="002C40E8" w:rsidP="00CF5AAF">
      <w:pPr>
        <w:spacing w:line="360" w:lineRule="auto"/>
        <w:jc w:val="both"/>
        <w:rPr>
          <w:rFonts w:cs="Times New Roman"/>
          <w:szCs w:val="24"/>
        </w:rPr>
      </w:pPr>
      <w:r w:rsidRPr="00816E15">
        <w:rPr>
          <w:rFonts w:cs="Times New Roman"/>
          <w:szCs w:val="24"/>
        </w:rPr>
        <w:t>W art. 459 ust. 1 rozszerzeniu ulega urzędowe poświadczenie uprawnień o zagraniczną firmę inwestycyjną</w:t>
      </w:r>
      <w:r w:rsidR="0084022B" w:rsidRPr="00816E15">
        <w:rPr>
          <w:rFonts w:cs="Times New Roman"/>
          <w:szCs w:val="24"/>
        </w:rPr>
        <w:t xml:space="preserve">, tj. </w:t>
      </w:r>
      <w:r w:rsidR="009941BB" w:rsidRPr="00816E15">
        <w:rPr>
          <w:rFonts w:cs="Times New Roman"/>
          <w:szCs w:val="24"/>
        </w:rPr>
        <w:t>odpisem orzeczenia lub decyzji o jego ustanowieniu wraz z uwierzytelnionym tłumaczeniem na język polski.</w:t>
      </w:r>
    </w:p>
    <w:p w14:paraId="560A7F02" w14:textId="40694113" w:rsidR="00D65E83" w:rsidRPr="00816E15" w:rsidRDefault="00D65E83" w:rsidP="00CF5AAF">
      <w:pPr>
        <w:spacing w:line="360" w:lineRule="auto"/>
        <w:jc w:val="both"/>
        <w:rPr>
          <w:rFonts w:cs="Times New Roman"/>
          <w:szCs w:val="24"/>
        </w:rPr>
      </w:pPr>
      <w:r w:rsidRPr="00816E15">
        <w:rPr>
          <w:w w:val="105"/>
          <w:szCs w:val="24"/>
        </w:rPr>
        <w:t xml:space="preserve">Celem zmian w </w:t>
      </w:r>
      <w:r w:rsidRPr="00816E15">
        <w:rPr>
          <w:b/>
          <w:w w:val="105"/>
          <w:szCs w:val="24"/>
        </w:rPr>
        <w:t xml:space="preserve">art. 523 ust. 2 </w:t>
      </w:r>
      <w:r w:rsidRPr="00816E15">
        <w:rPr>
          <w:w w:val="105"/>
          <w:szCs w:val="24"/>
        </w:rPr>
        <w:t>jest umożliwienie stosowania przez zarządców oraz kuratorów rozporządzenia MAR, tj. art. 17 ust. 1 lub 2 i art. 19 ust. 3 przedmiotowego rozporządzenia (n</w:t>
      </w:r>
      <w:r w:rsidRPr="00816E15">
        <w:rPr>
          <w:szCs w:val="24"/>
        </w:rPr>
        <w:t>adzór nad firmami inwestycyjnymi objętymi odstępstwem od obowiązku stosowania wymogów w zakresie funduszy własnych na zasadzie skonsolidowanej, jednostki wyłączone z zakresu konsolidacji ostrożnościowej).</w:t>
      </w:r>
      <w:r w:rsidRPr="00816E15">
        <w:rPr>
          <w:w w:val="105"/>
          <w:szCs w:val="24"/>
        </w:rPr>
        <w:t xml:space="preserve"> Zmiany polegają na wskazaniu podmiotu </w:t>
      </w:r>
      <w:r w:rsidRPr="00816E15">
        <w:rPr>
          <w:szCs w:val="24"/>
        </w:rPr>
        <w:t>obowiązanego do podawania do publicznej wiadomości informacji wymaganych przepisami rozporządzenia MAR</w:t>
      </w:r>
      <w:r w:rsidR="00E2770C">
        <w:rPr>
          <w:szCs w:val="24"/>
        </w:rPr>
        <w:t>,</w:t>
      </w:r>
      <w:r w:rsidRPr="00816E15">
        <w:rPr>
          <w:szCs w:val="24"/>
        </w:rPr>
        <w:t xml:space="preserve"> w przypadku gdy spółka publiczna jest w stanie upadłości lub restrukturyzacji. Stosowa</w:t>
      </w:r>
      <w:r w:rsidR="00A6457E" w:rsidRPr="00816E15">
        <w:rPr>
          <w:szCs w:val="24"/>
        </w:rPr>
        <w:t xml:space="preserve">nie przepisów wymaga </w:t>
      </w:r>
      <w:r w:rsidRPr="00816E15">
        <w:rPr>
          <w:szCs w:val="24"/>
        </w:rPr>
        <w:t>wprowadzeni</w:t>
      </w:r>
      <w:r w:rsidR="00A6457E" w:rsidRPr="00816E15">
        <w:rPr>
          <w:szCs w:val="24"/>
        </w:rPr>
        <w:t>a</w:t>
      </w:r>
      <w:r w:rsidRPr="00816E15">
        <w:rPr>
          <w:szCs w:val="24"/>
        </w:rPr>
        <w:t xml:space="preserve"> odpowiednich sankcji. </w:t>
      </w:r>
      <w:r w:rsidRPr="00816E15">
        <w:rPr>
          <w:w w:val="105"/>
          <w:szCs w:val="24"/>
        </w:rPr>
        <w:t xml:space="preserve">Przepisy w dotychczasowym kształcie nie dają pełnej możliwości wykonywania obowiązków informacyjnych przez zarządcę lub kuratora, </w:t>
      </w:r>
      <w:r w:rsidRPr="00816E15">
        <w:rPr>
          <w:szCs w:val="24"/>
        </w:rPr>
        <w:t>reprezentujących emitentów, którzy podlegają restrukturyzacji, dlatego zachodzi konieczność ich uzupełnienia.</w:t>
      </w:r>
    </w:p>
    <w:p w14:paraId="5D196791" w14:textId="776B4AD2" w:rsidR="00407BE1" w:rsidRPr="00816E15" w:rsidRDefault="00407BE1" w:rsidP="00CF5AAF">
      <w:pPr>
        <w:spacing w:line="360" w:lineRule="auto"/>
        <w:jc w:val="both"/>
        <w:rPr>
          <w:rFonts w:cs="Times New Roman"/>
          <w:b/>
          <w:szCs w:val="24"/>
        </w:rPr>
      </w:pPr>
      <w:r w:rsidRPr="00816E15">
        <w:rPr>
          <w:rFonts w:cs="Times New Roman"/>
          <w:b/>
          <w:szCs w:val="24"/>
        </w:rPr>
        <w:t>5)</w:t>
      </w:r>
      <w:r w:rsidR="00816E15">
        <w:rPr>
          <w:rFonts w:cs="Times New Roman"/>
          <w:b/>
          <w:szCs w:val="24"/>
        </w:rPr>
        <w:t xml:space="preserve"> </w:t>
      </w:r>
      <w:r w:rsidRPr="00816E15">
        <w:rPr>
          <w:rFonts w:cs="Times New Roman"/>
          <w:b/>
          <w:szCs w:val="24"/>
        </w:rPr>
        <w:t xml:space="preserve">Zmiany w ustawie </w:t>
      </w:r>
      <w:r w:rsidR="00563B7F" w:rsidRPr="00816E15">
        <w:rPr>
          <w:rFonts w:cs="Times New Roman"/>
          <w:b/>
          <w:szCs w:val="24"/>
        </w:rPr>
        <w:t>o niektórych zabezpieczeniach finansowych</w:t>
      </w:r>
    </w:p>
    <w:p w14:paraId="6FF1E8F4" w14:textId="1DE7986B" w:rsidR="001864C8" w:rsidRPr="00816E15" w:rsidRDefault="001864C8" w:rsidP="00CF5AAF">
      <w:pPr>
        <w:pStyle w:val="ARTartustawynprozporzdzenia"/>
        <w:ind w:firstLine="0"/>
        <w:rPr>
          <w:szCs w:val="24"/>
        </w:rPr>
      </w:pPr>
      <w:r w:rsidRPr="00816E15">
        <w:rPr>
          <w:szCs w:val="24"/>
        </w:rPr>
        <w:t xml:space="preserve">Proponowane przepisy usuwają niespójność pomiędzy przepisami </w:t>
      </w:r>
      <w:r w:rsidRPr="00816E15">
        <w:rPr>
          <w:rStyle w:val="Kkursywa"/>
          <w:i w:val="0"/>
          <w:szCs w:val="24"/>
        </w:rPr>
        <w:t>ustawy o niektórych zabezpieczeniach finansowych</w:t>
      </w:r>
      <w:r w:rsidRPr="00816E15">
        <w:rPr>
          <w:szCs w:val="24"/>
        </w:rPr>
        <w:t xml:space="preserve"> i </w:t>
      </w:r>
      <w:r w:rsidR="00A6457E" w:rsidRPr="00816E15">
        <w:rPr>
          <w:szCs w:val="24"/>
        </w:rPr>
        <w:t xml:space="preserve">ustawy </w:t>
      </w:r>
      <w:r w:rsidR="00280324">
        <w:rPr>
          <w:szCs w:val="24"/>
        </w:rPr>
        <w:t>–</w:t>
      </w:r>
      <w:r w:rsidR="00A6457E" w:rsidRPr="00816E15">
        <w:rPr>
          <w:szCs w:val="24"/>
        </w:rPr>
        <w:t xml:space="preserve"> </w:t>
      </w:r>
      <w:r w:rsidRPr="00816E15">
        <w:rPr>
          <w:szCs w:val="24"/>
        </w:rPr>
        <w:t>Praw</w:t>
      </w:r>
      <w:r w:rsidR="00A6457E" w:rsidRPr="00816E15">
        <w:rPr>
          <w:szCs w:val="24"/>
        </w:rPr>
        <w:t>o</w:t>
      </w:r>
      <w:r w:rsidRPr="00816E15">
        <w:rPr>
          <w:szCs w:val="24"/>
        </w:rPr>
        <w:t xml:space="preserve"> bankowe (zmiana w art. 104). Przy obecnym brzmieniu przepisów bank ustanawiający zabezpieczenie może udzielić informacji stanowiących tajemnicę bankową bez zgody klienta innemu bankowi dla potrzeb udzielenia kredytu. Równocześnie takie działanie byłoby niezgodne z ustawą o niektórych zabezpieczeniach finansowych, która wymaga każdorazowo uzyskania zgody klienta banku. Bank</w:t>
      </w:r>
      <w:r w:rsidR="00382BF7" w:rsidRPr="00816E15">
        <w:rPr>
          <w:szCs w:val="24"/>
        </w:rPr>
        <w:t>,</w:t>
      </w:r>
      <w:r w:rsidRPr="00816E15">
        <w:rPr>
          <w:szCs w:val="24"/>
        </w:rPr>
        <w:t xml:space="preserve"> w sytuacji kryzysowej, wtedy gdy najbardziej potrzebuje kredytowania z rynku międzybankowego, nie może więc uzyskać w praktyce kredytu od innego banku, ponieważ musiałby mieć zgodę od klienta na ujawnienie tajemnicy bankowej. </w:t>
      </w:r>
    </w:p>
    <w:p w14:paraId="3DCAABBE" w14:textId="45688277" w:rsidR="001864C8" w:rsidRPr="00816E15" w:rsidRDefault="001864C8" w:rsidP="00CF5AAF">
      <w:pPr>
        <w:pStyle w:val="ARTartustawynprozporzdzenia"/>
        <w:ind w:firstLine="0"/>
        <w:rPr>
          <w:szCs w:val="24"/>
        </w:rPr>
      </w:pPr>
      <w:r w:rsidRPr="00816E15">
        <w:rPr>
          <w:szCs w:val="24"/>
        </w:rPr>
        <w:t xml:space="preserve">Zgodnie z </w:t>
      </w:r>
      <w:r w:rsidRPr="00816E15">
        <w:rPr>
          <w:b/>
          <w:szCs w:val="24"/>
        </w:rPr>
        <w:t>art. 7a</w:t>
      </w:r>
      <w:r w:rsidRPr="00816E15">
        <w:rPr>
          <w:szCs w:val="24"/>
        </w:rPr>
        <w:t xml:space="preserve"> ustawy o niektórych zabezpieczeniach finansowych,</w:t>
      </w:r>
      <w:r w:rsidR="00560C4B" w:rsidRPr="00816E15">
        <w:rPr>
          <w:szCs w:val="24"/>
        </w:rPr>
        <w:t xml:space="preserve"> </w:t>
      </w:r>
      <w:r w:rsidRPr="00816E15">
        <w:rPr>
          <w:szCs w:val="24"/>
        </w:rPr>
        <w:t>jeżeli zabezpieczenie finansowe ustanawiane jest na wierzytelności kredytowej, do umowy o ustanowienie zabezpieczenia finansowego należy dołączyć m.in. wyrażoną uprzednio w formie pisemnej zgodę dłużnika wierzytelności kredytowej na udostępnienie przyjmującemu zabezpieczenie, w celu wykorzystania wierzytelności kredytowej jako zabezpieczenia finansowego, informacji objętych tajemnicą bankową.</w:t>
      </w:r>
    </w:p>
    <w:p w14:paraId="232B6BB8" w14:textId="0D7F2D36" w:rsidR="001864C8" w:rsidRPr="00816E15" w:rsidRDefault="001864C8" w:rsidP="00CF5AAF">
      <w:pPr>
        <w:pStyle w:val="ARTartustawynprozporzdzenia"/>
        <w:ind w:firstLine="0"/>
        <w:rPr>
          <w:szCs w:val="24"/>
        </w:rPr>
      </w:pPr>
      <w:r w:rsidRPr="00816E15">
        <w:rPr>
          <w:szCs w:val="24"/>
        </w:rPr>
        <w:t>Przepis art. 7a został wprowadzony ustawą z dnia 27 stycznia 2012 r. o zmianie ustawy o</w:t>
      </w:r>
      <w:r w:rsidR="00CC2C4E" w:rsidRPr="00816E15">
        <w:rPr>
          <w:szCs w:val="24"/>
        </w:rPr>
        <w:t> </w:t>
      </w:r>
      <w:r w:rsidRPr="00816E15">
        <w:rPr>
          <w:szCs w:val="24"/>
        </w:rPr>
        <w:t>ostateczności rozrachunku w systemach płatności i systemach rozrachunku papierów wartościowych oraz zasadach nadzoru nad tymi systemami, ustawy o niektórych zabezpieczeniach finansowych oraz ustawy – Prawo upadłościowe i naprawcze (Dz.</w:t>
      </w:r>
      <w:r w:rsidR="00BD78A9" w:rsidRPr="00816E15">
        <w:rPr>
          <w:szCs w:val="24"/>
        </w:rPr>
        <w:t xml:space="preserve"> </w:t>
      </w:r>
      <w:r w:rsidR="00E2770C">
        <w:rPr>
          <w:szCs w:val="24"/>
        </w:rPr>
        <w:t>U. poz. </w:t>
      </w:r>
      <w:r w:rsidRPr="00816E15">
        <w:rPr>
          <w:szCs w:val="24"/>
        </w:rPr>
        <w:t xml:space="preserve">173). </w:t>
      </w:r>
      <w:r w:rsidR="00382BF7" w:rsidRPr="00816E15">
        <w:rPr>
          <w:szCs w:val="24"/>
        </w:rPr>
        <w:t>U</w:t>
      </w:r>
      <w:r w:rsidRPr="00816E15">
        <w:rPr>
          <w:szCs w:val="24"/>
        </w:rPr>
        <w:t>staw</w:t>
      </w:r>
      <w:r w:rsidR="00382BF7" w:rsidRPr="00816E15">
        <w:rPr>
          <w:szCs w:val="24"/>
        </w:rPr>
        <w:t xml:space="preserve">a ta </w:t>
      </w:r>
      <w:r w:rsidRPr="00816E15">
        <w:rPr>
          <w:szCs w:val="24"/>
        </w:rPr>
        <w:t>miał</w:t>
      </w:r>
      <w:r w:rsidR="00382BF7" w:rsidRPr="00816E15">
        <w:rPr>
          <w:szCs w:val="24"/>
        </w:rPr>
        <w:t>a</w:t>
      </w:r>
      <w:r w:rsidRPr="00816E15">
        <w:rPr>
          <w:szCs w:val="24"/>
        </w:rPr>
        <w:t xml:space="preserve"> na celu implementację do polskiego systemu prawnego dyrektywy Parlamentu Europejskiego i Rady 2009/44/WE z dnia 6 maja 2009 r. zmieniającej dyrektywę 98/26/WE w sprawie zamknięcia rozliczeń w systemach płatności i</w:t>
      </w:r>
      <w:r w:rsidR="00CC2C4E" w:rsidRPr="00816E15">
        <w:rPr>
          <w:szCs w:val="24"/>
        </w:rPr>
        <w:t> </w:t>
      </w:r>
      <w:r w:rsidRPr="00816E15">
        <w:rPr>
          <w:szCs w:val="24"/>
        </w:rPr>
        <w:t xml:space="preserve">rozrachunku papierów wartościowych oraz dyrektywę 2002/47/WE w sprawie uzgodnień dotyczących zabezpieczeń finansowych w odniesieniu do systemów powiązanych i do wierzytelności kredytowych </w:t>
      </w:r>
      <w:r w:rsidRPr="00816E15">
        <w:rPr>
          <w:rFonts w:ascii="Times New Roman" w:hAnsi="Times New Roman" w:cs="Times New Roman"/>
          <w:szCs w:val="24"/>
        </w:rPr>
        <w:t>(</w:t>
      </w:r>
      <w:r w:rsidR="00CC2C4E" w:rsidRPr="00816E15">
        <w:rPr>
          <w:rFonts w:ascii="Times New Roman" w:hAnsi="Times New Roman" w:cs="Times New Roman"/>
          <w:iCs/>
          <w:szCs w:val="24"/>
        </w:rPr>
        <w:t>OJ L 146</w:t>
      </w:r>
      <w:r w:rsidR="00E2770C">
        <w:rPr>
          <w:rFonts w:ascii="Times New Roman" w:hAnsi="Times New Roman" w:cs="Times New Roman"/>
          <w:iCs/>
          <w:szCs w:val="24"/>
        </w:rPr>
        <w:t xml:space="preserve"> z</w:t>
      </w:r>
      <w:r w:rsidR="00CC2C4E" w:rsidRPr="00816E15">
        <w:rPr>
          <w:rFonts w:ascii="Times New Roman" w:hAnsi="Times New Roman" w:cs="Times New Roman"/>
          <w:iCs/>
          <w:szCs w:val="24"/>
        </w:rPr>
        <w:t xml:space="preserve"> 10.</w:t>
      </w:r>
      <w:r w:rsidR="00AF0C01" w:rsidRPr="00816E15">
        <w:rPr>
          <w:rFonts w:ascii="Times New Roman" w:hAnsi="Times New Roman" w:cs="Times New Roman"/>
          <w:iCs/>
          <w:szCs w:val="24"/>
        </w:rPr>
        <w:t>0</w:t>
      </w:r>
      <w:r w:rsidR="00CC2C4E" w:rsidRPr="00816E15">
        <w:rPr>
          <w:rFonts w:ascii="Times New Roman" w:hAnsi="Times New Roman" w:cs="Times New Roman"/>
          <w:iCs/>
          <w:szCs w:val="24"/>
        </w:rPr>
        <w:t>6.2009, str. 37</w:t>
      </w:r>
      <w:r w:rsidRPr="00816E15">
        <w:rPr>
          <w:rFonts w:ascii="Times New Roman" w:hAnsi="Times New Roman" w:cs="Times New Roman"/>
          <w:szCs w:val="24"/>
        </w:rPr>
        <w:t>).</w:t>
      </w:r>
      <w:r w:rsidRPr="00816E15">
        <w:rPr>
          <w:szCs w:val="24"/>
        </w:rPr>
        <w:t xml:space="preserve"> Przepis art. 7a implementuje art. 2 ust. 6 lit. b ww. dyrektywy, dodający w art. 3 dyrektywy 2002/47/WE</w:t>
      </w:r>
      <w:r w:rsidR="00AF5044" w:rsidRPr="00816E15">
        <w:rPr>
          <w:szCs w:val="24"/>
        </w:rPr>
        <w:t xml:space="preserve"> </w:t>
      </w:r>
      <w:r w:rsidR="00AF5044" w:rsidRPr="00816E15">
        <w:rPr>
          <w:rStyle w:val="Pogrubienie"/>
          <w:b w:val="0"/>
          <w:szCs w:val="24"/>
        </w:rPr>
        <w:t>Parlamentu Europejskiego i Rady z dnia 6 czerwca 2002 r. w sprawie uzgodnień dotyczących zabezpieczeń finansowych</w:t>
      </w:r>
      <w:r w:rsidR="00AF5044" w:rsidRPr="00816E15">
        <w:rPr>
          <w:rFonts w:ascii="Times New Roman" w:hAnsi="Times New Roman" w:cs="Times New Roman"/>
          <w:szCs w:val="24"/>
        </w:rPr>
        <w:t xml:space="preserve"> </w:t>
      </w:r>
      <w:r w:rsidR="00CC2C4E" w:rsidRPr="00816E15">
        <w:rPr>
          <w:rFonts w:ascii="Times New Roman" w:hAnsi="Times New Roman" w:cs="Times New Roman"/>
          <w:szCs w:val="24"/>
        </w:rPr>
        <w:t>(</w:t>
      </w:r>
      <w:r w:rsidR="00CC2C4E" w:rsidRPr="00816E15">
        <w:rPr>
          <w:rFonts w:ascii="Times New Roman" w:hAnsi="Times New Roman" w:cs="Times New Roman"/>
          <w:iCs/>
          <w:szCs w:val="24"/>
        </w:rPr>
        <w:t>OJ L 168, 27.</w:t>
      </w:r>
      <w:r w:rsidR="00AF0C01" w:rsidRPr="00816E15">
        <w:rPr>
          <w:rFonts w:ascii="Times New Roman" w:hAnsi="Times New Roman" w:cs="Times New Roman"/>
          <w:iCs/>
          <w:szCs w:val="24"/>
        </w:rPr>
        <w:t>0</w:t>
      </w:r>
      <w:r w:rsidR="00CC2C4E" w:rsidRPr="00816E15">
        <w:rPr>
          <w:rFonts w:ascii="Times New Roman" w:hAnsi="Times New Roman" w:cs="Times New Roman"/>
          <w:iCs/>
          <w:szCs w:val="24"/>
        </w:rPr>
        <w:t>6.2002, str. 43–50)</w:t>
      </w:r>
      <w:r w:rsidRPr="00816E15">
        <w:rPr>
          <w:rFonts w:ascii="Times New Roman" w:hAnsi="Times New Roman" w:cs="Times New Roman"/>
          <w:szCs w:val="24"/>
        </w:rPr>
        <w:t xml:space="preserve"> nowy</w:t>
      </w:r>
      <w:r w:rsidRPr="00816E15">
        <w:rPr>
          <w:szCs w:val="24"/>
        </w:rPr>
        <w:t xml:space="preserve"> ust. 3 w brzmieniu</w:t>
      </w:r>
      <w:r w:rsidR="00382BF7" w:rsidRPr="00816E15">
        <w:rPr>
          <w:szCs w:val="24"/>
        </w:rPr>
        <w:t xml:space="preserve">, zgodnie z którym </w:t>
      </w:r>
      <w:r w:rsidR="00AF5044" w:rsidRPr="00816E15">
        <w:rPr>
          <w:szCs w:val="24"/>
        </w:rPr>
        <w:t>dłużnicy wierzytelności kredytowych powinni</w:t>
      </w:r>
      <w:r w:rsidR="00A14FDF">
        <w:rPr>
          <w:szCs w:val="24"/>
        </w:rPr>
        <w:t>,</w:t>
      </w:r>
      <w:r w:rsidR="00AF5044" w:rsidRPr="00816E15">
        <w:rPr>
          <w:szCs w:val="24"/>
        </w:rPr>
        <w:t xml:space="preserve"> zachowując formę pisemną lub równoważną</w:t>
      </w:r>
      <w:r w:rsidR="00A14FDF">
        <w:rPr>
          <w:szCs w:val="24"/>
        </w:rPr>
        <w:t>,</w:t>
      </w:r>
      <w:r w:rsidR="00AF5044" w:rsidRPr="00816E15">
        <w:rPr>
          <w:szCs w:val="24"/>
        </w:rPr>
        <w:t xml:space="preserve"> móc zrzec się praw związanych z tajemnicą bankową ze względu na fakt, że jej dotrzymanie uniemożliwiałoby pozyskanie informacji na temat wierzytelności kredytowej lub dłużnika oraz utrudniało wykorzystanie informacji w celu zabezpieczenia wierzytelności kredytowej.</w:t>
      </w:r>
    </w:p>
    <w:p w14:paraId="1DB06C4B" w14:textId="1B571F7A" w:rsidR="001864C8" w:rsidRPr="00816E15" w:rsidRDefault="001864C8" w:rsidP="00CF5AAF">
      <w:pPr>
        <w:pStyle w:val="ARTartustawynprozporzdzenia"/>
        <w:ind w:firstLine="0"/>
        <w:rPr>
          <w:szCs w:val="24"/>
        </w:rPr>
      </w:pPr>
      <w:r w:rsidRPr="00816E15">
        <w:rPr>
          <w:szCs w:val="24"/>
        </w:rPr>
        <w:t xml:space="preserve">Pierwotnie wskazany przepis dyrektywy został transponowany jako „doszczelnienie” tajemnicy bankowej. Wprowadza bowiem dodatkowe ograniczenie w stosunku do ochrony przewidywanej ustawą </w:t>
      </w:r>
      <w:r w:rsidR="00280324">
        <w:rPr>
          <w:szCs w:val="24"/>
        </w:rPr>
        <w:t>–</w:t>
      </w:r>
      <w:r w:rsidR="00382BF7" w:rsidRPr="00816E15">
        <w:rPr>
          <w:szCs w:val="24"/>
        </w:rPr>
        <w:t xml:space="preserve"> </w:t>
      </w:r>
      <w:r w:rsidRPr="00816E15">
        <w:rPr>
          <w:szCs w:val="24"/>
        </w:rPr>
        <w:t>Prawo bankowe. Po zebraniu doświadczeń z kilku dotychczasowych sytuacji kryzysowych, należy go jednak rozumieć jako możliwość uchylenia tajemnicy bankowej w krajach, gdzie reżim tajemnicy bankowej stanowi normę bezwzględnie obowiązującą. Należy podkreślić, że w Polsce ten reżim nie jest bezwzględnie obowiązujący w obrocie pomiędzy podmiotami profesjonalnymi działającymi na rynku międzybankowym. Zważywszy, że poszerzenie dyrektywy 2002/47/WE o możliwość zabezpieczenia kredytów pomiędzy podmiotami profesjonalnymi na wierzytelnościach kredytowych było jednym z</w:t>
      </w:r>
      <w:r w:rsidR="00CC2C4E" w:rsidRPr="00816E15">
        <w:rPr>
          <w:szCs w:val="24"/>
        </w:rPr>
        <w:t> </w:t>
      </w:r>
      <w:r w:rsidRPr="00816E15">
        <w:rPr>
          <w:szCs w:val="24"/>
        </w:rPr>
        <w:t>pierwszych działań antykryzysowych UE, rozumienie przepisu jako konieczność uzyskiwania każdorazowej zgody klienta na wykorzystanie tajemnicy bankowej przeczyłoby istocie tej nowelizacji, przynajmniej w realiach polskiego rynku finansowego.</w:t>
      </w:r>
    </w:p>
    <w:p w14:paraId="5B931C88" w14:textId="165DCF35" w:rsidR="00BA60EE" w:rsidRPr="00816E15" w:rsidRDefault="001864C8" w:rsidP="00CF5AAF">
      <w:pPr>
        <w:pStyle w:val="ARTartustawynprozporzdzenia"/>
        <w:spacing w:after="240"/>
        <w:ind w:firstLine="0"/>
        <w:rPr>
          <w:rFonts w:ascii="Times New Roman" w:hAnsi="Times New Roman" w:cs="Times New Roman"/>
          <w:szCs w:val="24"/>
        </w:rPr>
      </w:pPr>
      <w:r w:rsidRPr="00816E15">
        <w:rPr>
          <w:szCs w:val="24"/>
        </w:rPr>
        <w:t xml:space="preserve">Projektowany </w:t>
      </w:r>
      <w:r w:rsidRPr="00816E15">
        <w:rPr>
          <w:b/>
          <w:szCs w:val="24"/>
        </w:rPr>
        <w:t>art. 11 ust. 1a</w:t>
      </w:r>
      <w:r w:rsidRPr="00816E15">
        <w:rPr>
          <w:szCs w:val="24"/>
        </w:rPr>
        <w:t xml:space="preserve"> ma na celu uporządkowa</w:t>
      </w:r>
      <w:r w:rsidR="00382BF7" w:rsidRPr="00816E15">
        <w:rPr>
          <w:szCs w:val="24"/>
        </w:rPr>
        <w:t xml:space="preserve">nie </w:t>
      </w:r>
      <w:r w:rsidRPr="00816E15">
        <w:rPr>
          <w:szCs w:val="24"/>
        </w:rPr>
        <w:t xml:space="preserve">praktyki </w:t>
      </w:r>
      <w:r w:rsidR="00BA60EE" w:rsidRPr="00816E15">
        <w:rPr>
          <w:szCs w:val="24"/>
        </w:rPr>
        <w:t xml:space="preserve">na rynku finansowym w zakresie </w:t>
      </w:r>
      <w:r w:rsidRPr="00816E15">
        <w:rPr>
          <w:szCs w:val="24"/>
        </w:rPr>
        <w:t>skarbowych papierów wartościowych (SPW)</w:t>
      </w:r>
      <w:r w:rsidR="00BA60EE" w:rsidRPr="00816E15">
        <w:rPr>
          <w:szCs w:val="24"/>
        </w:rPr>
        <w:t>, będących przedmiotem</w:t>
      </w:r>
      <w:r w:rsidRPr="00816E15">
        <w:rPr>
          <w:szCs w:val="24"/>
        </w:rPr>
        <w:t xml:space="preserve"> zabezpieczeń finansowych,</w:t>
      </w:r>
      <w:r w:rsidR="00BA60EE" w:rsidRPr="00816E15">
        <w:rPr>
          <w:szCs w:val="24"/>
        </w:rPr>
        <w:t xml:space="preserve"> gdzie rynek Treasury Bondspot Poland (TBSP) stanowi istotny punkt odniesienia</w:t>
      </w:r>
      <w:r w:rsidRPr="00816E15">
        <w:rPr>
          <w:szCs w:val="24"/>
        </w:rPr>
        <w:t xml:space="preserve"> </w:t>
      </w:r>
      <w:r w:rsidR="00BA60EE" w:rsidRPr="00816E15">
        <w:rPr>
          <w:szCs w:val="24"/>
        </w:rPr>
        <w:t>w zakresie wyceny skarbowych papierów wartościowych.</w:t>
      </w:r>
      <w:r w:rsidR="00382BF7" w:rsidRPr="00816E15">
        <w:rPr>
          <w:szCs w:val="24"/>
        </w:rPr>
        <w:t xml:space="preserve"> </w:t>
      </w:r>
      <w:r w:rsidRPr="00816E15">
        <w:rPr>
          <w:szCs w:val="24"/>
        </w:rPr>
        <w:t xml:space="preserve">W ramach tzw. umów zabezpieczających strony zgłaszają do wyceny skarbowych papierów wartościowych inne rynki niż rynek </w:t>
      </w:r>
      <w:r w:rsidRPr="00816E15">
        <w:rPr>
          <w:rFonts w:ascii="Times New Roman" w:hAnsi="Times New Roman" w:cs="Times New Roman"/>
          <w:szCs w:val="24"/>
        </w:rPr>
        <w:t xml:space="preserve">regulowany, między innymi TBSP. </w:t>
      </w:r>
      <w:r w:rsidR="00BA60EE" w:rsidRPr="00816E15">
        <w:rPr>
          <w:rFonts w:ascii="Times New Roman" w:hAnsi="Times New Roman" w:cs="Times New Roman"/>
          <w:szCs w:val="24"/>
        </w:rPr>
        <w:t>Zarówno wycena dokonywana przez strony zabezpieczeń finansowych (zastawu, blokady) w trakcie umowy, jak i w dniu przejęcia</w:t>
      </w:r>
      <w:r w:rsidR="00382BF7" w:rsidRPr="00816E15">
        <w:rPr>
          <w:rFonts w:ascii="Times New Roman" w:hAnsi="Times New Roman" w:cs="Times New Roman"/>
          <w:szCs w:val="24"/>
        </w:rPr>
        <w:t>,</w:t>
      </w:r>
      <w:r w:rsidR="00BA60EE" w:rsidRPr="00816E15">
        <w:rPr>
          <w:rFonts w:ascii="Times New Roman" w:hAnsi="Times New Roman" w:cs="Times New Roman"/>
          <w:szCs w:val="24"/>
        </w:rPr>
        <w:t xml:space="preserve"> powinna odnosić się do tego samego rynku. Tymczasem wg art. 11 ust. 1 ustawy o niektóry</w:t>
      </w:r>
      <w:r w:rsidR="00A14FDF">
        <w:rPr>
          <w:rFonts w:ascii="Times New Roman" w:hAnsi="Times New Roman" w:cs="Times New Roman"/>
          <w:szCs w:val="24"/>
        </w:rPr>
        <w:t>ch zabezpieczeniach finansowych</w:t>
      </w:r>
      <w:r w:rsidR="00BA60EE" w:rsidRPr="00816E15">
        <w:rPr>
          <w:rFonts w:ascii="Times New Roman" w:hAnsi="Times New Roman" w:cs="Times New Roman"/>
          <w:szCs w:val="24"/>
        </w:rPr>
        <w:t xml:space="preserve"> wartość przejętych instrumentów finansowych dopuszczonych do obrotu na rynku regulowanym ustala się po kursie z końca dnia przejęcia z</w:t>
      </w:r>
      <w:r w:rsidR="004A4C78" w:rsidRPr="00816E15">
        <w:rPr>
          <w:rFonts w:ascii="Times New Roman" w:hAnsi="Times New Roman" w:cs="Times New Roman"/>
          <w:szCs w:val="24"/>
        </w:rPr>
        <w:t> </w:t>
      </w:r>
      <w:r w:rsidR="00BA60EE" w:rsidRPr="00816E15">
        <w:rPr>
          <w:rFonts w:ascii="Times New Roman" w:hAnsi="Times New Roman" w:cs="Times New Roman"/>
          <w:szCs w:val="24"/>
        </w:rPr>
        <w:t>tego rynku regulowanego.</w:t>
      </w:r>
    </w:p>
    <w:p w14:paraId="350A11B6" w14:textId="1A1F0564" w:rsidR="00EE463B" w:rsidRPr="00816E15" w:rsidRDefault="00EE463B" w:rsidP="00CF5AAF">
      <w:pPr>
        <w:spacing w:line="360" w:lineRule="auto"/>
        <w:jc w:val="both"/>
        <w:rPr>
          <w:szCs w:val="24"/>
        </w:rPr>
      </w:pPr>
      <w:r w:rsidRPr="00816E15">
        <w:rPr>
          <w:szCs w:val="24"/>
        </w:rPr>
        <w:t>Obecnie na platformie TBSP ustalane są 2 razy w ciągu dnia kursy fix</w:t>
      </w:r>
      <w:r w:rsidR="00A14FDF">
        <w:rPr>
          <w:szCs w:val="24"/>
        </w:rPr>
        <w:t>i</w:t>
      </w:r>
      <w:r w:rsidRPr="00816E15">
        <w:rPr>
          <w:szCs w:val="24"/>
        </w:rPr>
        <w:t>ngowe.</w:t>
      </w:r>
      <w:r w:rsidR="00816E15">
        <w:rPr>
          <w:szCs w:val="24"/>
        </w:rPr>
        <w:t xml:space="preserve"> </w:t>
      </w:r>
      <w:r w:rsidRPr="00816E15">
        <w:rPr>
          <w:szCs w:val="24"/>
        </w:rPr>
        <w:t xml:space="preserve">Propozycja </w:t>
      </w:r>
      <w:r w:rsidR="00382BF7" w:rsidRPr="00816E15">
        <w:rPr>
          <w:szCs w:val="24"/>
        </w:rPr>
        <w:t xml:space="preserve">zmiany </w:t>
      </w:r>
      <w:r w:rsidRPr="00816E15">
        <w:rPr>
          <w:szCs w:val="24"/>
        </w:rPr>
        <w:t>odnosi się do kursu niezależnie od jego rodzaju czy nazwy kursu (czy jest to kurs zamknięcia, otwarcia, czy fixingowy)</w:t>
      </w:r>
      <w:r w:rsidR="00382BF7" w:rsidRPr="00816E15">
        <w:rPr>
          <w:szCs w:val="24"/>
        </w:rPr>
        <w:t>,</w:t>
      </w:r>
      <w:r w:rsidRPr="00816E15">
        <w:rPr>
          <w:szCs w:val="24"/>
        </w:rPr>
        <w:t xml:space="preserve"> obowiązującego na koniec dnia, podobnie jak w art. 11 ust. 1 ustawy o niektórych zabezpieczeniach finansowych, oraz niezależnie od faktu, czy minister właściwy do spraw budżetu powierzył organizacj</w:t>
      </w:r>
      <w:r w:rsidR="00382BF7" w:rsidRPr="00816E15">
        <w:rPr>
          <w:szCs w:val="24"/>
        </w:rPr>
        <w:t>ę</w:t>
      </w:r>
      <w:r w:rsidRPr="00816E15">
        <w:rPr>
          <w:szCs w:val="24"/>
        </w:rPr>
        <w:t xml:space="preserve"> takiego rynku podmiotowi trzeciemu</w:t>
      </w:r>
      <w:r w:rsidR="008D11B4">
        <w:rPr>
          <w:szCs w:val="24"/>
        </w:rPr>
        <w:t>,</w:t>
      </w:r>
      <w:r w:rsidRPr="00816E15">
        <w:rPr>
          <w:szCs w:val="24"/>
        </w:rPr>
        <w:t xml:space="preserve"> czy też nie, o czym stanowi dodany art. 13c</w:t>
      </w:r>
      <w:r w:rsidR="00816E15">
        <w:rPr>
          <w:szCs w:val="24"/>
        </w:rPr>
        <w:t xml:space="preserve"> </w:t>
      </w:r>
      <w:r w:rsidRPr="00816E15">
        <w:rPr>
          <w:szCs w:val="24"/>
        </w:rPr>
        <w:t>ustawą z dnia 1 marca 2018 r. o zmianie</w:t>
      </w:r>
      <w:r w:rsidR="00816E15">
        <w:rPr>
          <w:szCs w:val="24"/>
        </w:rPr>
        <w:t xml:space="preserve"> </w:t>
      </w:r>
      <w:r w:rsidRPr="00816E15">
        <w:rPr>
          <w:szCs w:val="24"/>
        </w:rPr>
        <w:t>ustawy o obrocie instrumentami finansowymi oraz niektórych innych ustaw (Dz.</w:t>
      </w:r>
      <w:r w:rsidR="00382BF7" w:rsidRPr="00816E15">
        <w:rPr>
          <w:szCs w:val="24"/>
        </w:rPr>
        <w:t xml:space="preserve"> </w:t>
      </w:r>
      <w:r w:rsidRPr="00816E15">
        <w:rPr>
          <w:szCs w:val="24"/>
        </w:rPr>
        <w:t>U. poz. 685). Na rynku TBSP obowiązkowemu kwotowaniu w celu ustalenia kursu fixingowego</w:t>
      </w:r>
      <w:r w:rsidR="00816E15">
        <w:rPr>
          <w:szCs w:val="24"/>
        </w:rPr>
        <w:t xml:space="preserve"> </w:t>
      </w:r>
      <w:r w:rsidRPr="00816E15">
        <w:rPr>
          <w:szCs w:val="24"/>
        </w:rPr>
        <w:t>podlegają tylko emisje bazowe (obligacje skarbowe o stałym dochodzie i terminie wykupu nie krótszym niż jeden rok oraz wartości nominalnej nie mniejszej niż 10 mld zł lub emisje SPW będące w bieżącej sprzedaży na przetargach, które osiągnęły wartość co najmniej 2 mld zł). W związku z tym</w:t>
      </w:r>
      <w:r w:rsidR="00A14FDF">
        <w:rPr>
          <w:szCs w:val="24"/>
        </w:rPr>
        <w:t>,</w:t>
      </w:r>
      <w:r w:rsidRPr="00816E15">
        <w:rPr>
          <w:szCs w:val="24"/>
        </w:rPr>
        <w:t xml:space="preserve"> iż kurs fixingowy nie jest ustalany już kilka miesięcy przed wykupem (obecnie 3 miesiące)</w:t>
      </w:r>
      <w:r w:rsidR="00A14FDF">
        <w:rPr>
          <w:szCs w:val="24"/>
        </w:rPr>
        <w:t>,</w:t>
      </w:r>
      <w:r w:rsidRPr="00816E15">
        <w:rPr>
          <w:szCs w:val="24"/>
        </w:rPr>
        <w:t xml:space="preserve"> propozycja zmierza do dopuszczenia w zakresie wyceny kursu opartego na średnim ważonym wolumenem kursie transakcyjnym.</w:t>
      </w:r>
    </w:p>
    <w:p w14:paraId="3FD29948" w14:textId="337EDBB4" w:rsidR="000B0BCA" w:rsidRPr="00816E15" w:rsidRDefault="000B0BCA" w:rsidP="00CF5AAF">
      <w:pPr>
        <w:spacing w:before="240" w:line="360" w:lineRule="auto"/>
        <w:jc w:val="both"/>
        <w:rPr>
          <w:rFonts w:cs="Times New Roman"/>
          <w:b/>
          <w:szCs w:val="24"/>
        </w:rPr>
      </w:pPr>
      <w:r w:rsidRPr="00816E15">
        <w:rPr>
          <w:rFonts w:cs="Times New Roman"/>
          <w:b/>
          <w:szCs w:val="24"/>
        </w:rPr>
        <w:t>6) Zmiany w ustawie o nadzorze nad rynkiem finansowym</w:t>
      </w:r>
    </w:p>
    <w:p w14:paraId="3F98472A" w14:textId="478A43C5" w:rsidR="000B0BCA" w:rsidRPr="00816E15" w:rsidRDefault="000B0BCA" w:rsidP="00CF5AAF">
      <w:pPr>
        <w:spacing w:line="360" w:lineRule="auto"/>
        <w:jc w:val="both"/>
        <w:rPr>
          <w:rFonts w:cs="Times New Roman"/>
          <w:szCs w:val="24"/>
        </w:rPr>
      </w:pPr>
      <w:r w:rsidRPr="00816E15">
        <w:rPr>
          <w:rFonts w:cs="Times New Roman"/>
          <w:szCs w:val="24"/>
        </w:rPr>
        <w:t xml:space="preserve">Wprowadzane w ustawie </w:t>
      </w:r>
      <w:r w:rsidR="00747D37" w:rsidRPr="00816E15">
        <w:rPr>
          <w:rFonts w:cs="Times New Roman"/>
          <w:szCs w:val="24"/>
        </w:rPr>
        <w:t>–</w:t>
      </w:r>
      <w:r w:rsidR="00382BF7" w:rsidRPr="00816E15">
        <w:rPr>
          <w:rFonts w:cs="Times New Roman"/>
          <w:szCs w:val="24"/>
        </w:rPr>
        <w:t xml:space="preserve"> </w:t>
      </w:r>
      <w:r w:rsidRPr="00816E15">
        <w:rPr>
          <w:rFonts w:cs="Times New Roman"/>
          <w:szCs w:val="24"/>
        </w:rPr>
        <w:t>Prawo bankowe zmiany w zakresie art. 128 mają na celu zapewnienie możliwości doprecyzowania warunków i parametrów stosowanych przez banki przy obliczaniu wymogów kapitałowych. Taka możliwość została przewidziana dla właściwych organów nadzorczych w poszczególnych artykułach rozporządzenia w sprawie wymogów</w:t>
      </w:r>
      <w:r w:rsidR="007B74D8" w:rsidRPr="00816E15">
        <w:rPr>
          <w:rFonts w:cs="Times New Roman"/>
          <w:szCs w:val="24"/>
        </w:rPr>
        <w:t xml:space="preserve"> kapitałowych</w:t>
      </w:r>
      <w:r w:rsidRPr="00816E15">
        <w:rPr>
          <w:rFonts w:cs="Times New Roman"/>
          <w:szCs w:val="24"/>
        </w:rPr>
        <w:t>. Ze względu na uwarunkowania konstytucyjne Komisja Nadzoru Finansowego nie ma jednak możliwości wydawania regulacji powszechnie obowiązujących, co determinuje konieczność wprowadzenia delegacji ustawowych do ustawy</w:t>
      </w:r>
      <w:r w:rsidR="00816E15">
        <w:rPr>
          <w:rFonts w:cs="Times New Roman"/>
          <w:szCs w:val="24"/>
        </w:rPr>
        <w:t xml:space="preserve"> </w:t>
      </w:r>
      <w:r w:rsidR="008D11B4">
        <w:rPr>
          <w:rFonts w:cs="Times New Roman"/>
          <w:szCs w:val="24"/>
        </w:rPr>
        <w:t>–</w:t>
      </w:r>
      <w:r w:rsidR="00382BF7" w:rsidRPr="00816E15">
        <w:rPr>
          <w:rFonts w:cs="Times New Roman"/>
          <w:szCs w:val="24"/>
        </w:rPr>
        <w:t xml:space="preserve"> </w:t>
      </w:r>
      <w:r w:rsidRPr="00816E15">
        <w:rPr>
          <w:rFonts w:cs="Times New Roman"/>
          <w:szCs w:val="24"/>
        </w:rPr>
        <w:t xml:space="preserve">Prawo bankowe do wydania rozporządzeń przez Ministra Finansów. W konsekwencji konieczne jest również dodanie w </w:t>
      </w:r>
      <w:r w:rsidRPr="00816E15">
        <w:rPr>
          <w:rFonts w:cs="Times New Roman"/>
          <w:b/>
          <w:szCs w:val="24"/>
        </w:rPr>
        <w:t>art. 3a</w:t>
      </w:r>
      <w:r w:rsidRPr="00816E15">
        <w:rPr>
          <w:rFonts w:cs="Times New Roman"/>
          <w:szCs w:val="24"/>
        </w:rPr>
        <w:t xml:space="preserve"> ustawy o nadzorze nad rynkiem finansowym wyłączenia Komisji Nadzoru Finansowego jako organu właściwego</w:t>
      </w:r>
      <w:r w:rsidR="00816E15">
        <w:rPr>
          <w:rFonts w:cs="Times New Roman"/>
          <w:szCs w:val="24"/>
        </w:rPr>
        <w:t xml:space="preserve"> </w:t>
      </w:r>
      <w:r w:rsidRPr="00816E15">
        <w:rPr>
          <w:szCs w:val="24"/>
        </w:rPr>
        <w:t>(</w:t>
      </w:r>
      <w:r w:rsidR="00382BF7" w:rsidRPr="00816E15">
        <w:rPr>
          <w:szCs w:val="24"/>
        </w:rPr>
        <w:t xml:space="preserve">jest nim </w:t>
      </w:r>
      <w:r w:rsidRPr="00816E15">
        <w:rPr>
          <w:szCs w:val="24"/>
        </w:rPr>
        <w:t xml:space="preserve">oficjalnie uznany, który na podstawie tego prawa jest upoważniony do sprawowania nadzoru nad instytucjami, w ramach systemu nadzorczego funkcjonującego w danym państwie członkowskim), </w:t>
      </w:r>
      <w:r w:rsidRPr="00816E15">
        <w:rPr>
          <w:rFonts w:cs="Times New Roman"/>
          <w:szCs w:val="24"/>
        </w:rPr>
        <w:t>w odpowiednim zakresie.</w:t>
      </w:r>
    </w:p>
    <w:p w14:paraId="7DDFF32A" w14:textId="17DDF9C2" w:rsidR="001F51EF" w:rsidRPr="00816E15" w:rsidRDefault="000B0BCA" w:rsidP="00CF5AAF">
      <w:pPr>
        <w:spacing w:before="240" w:line="360" w:lineRule="auto"/>
        <w:jc w:val="both"/>
        <w:rPr>
          <w:rFonts w:cs="Times New Roman"/>
          <w:b/>
          <w:szCs w:val="24"/>
        </w:rPr>
      </w:pPr>
      <w:r w:rsidRPr="00816E15">
        <w:rPr>
          <w:rFonts w:cs="Times New Roman"/>
          <w:b/>
          <w:szCs w:val="24"/>
        </w:rPr>
        <w:t>7</w:t>
      </w:r>
      <w:r w:rsidR="00762F24" w:rsidRPr="00816E15">
        <w:rPr>
          <w:rFonts w:cs="Times New Roman"/>
          <w:b/>
          <w:szCs w:val="24"/>
        </w:rPr>
        <w:t>)</w:t>
      </w:r>
      <w:r w:rsidR="001F51EF" w:rsidRPr="00816E15">
        <w:rPr>
          <w:rFonts w:cs="Times New Roman"/>
          <w:b/>
          <w:szCs w:val="24"/>
        </w:rPr>
        <w:t xml:space="preserve"> Zmiany w ustawie o finansach publicznych</w:t>
      </w:r>
    </w:p>
    <w:p w14:paraId="1380856D" w14:textId="334EBB5F" w:rsidR="001F51EF" w:rsidRPr="00816E15" w:rsidRDefault="001F51EF" w:rsidP="00CF5AAF">
      <w:pPr>
        <w:autoSpaceDE w:val="0"/>
        <w:autoSpaceDN w:val="0"/>
        <w:adjustRightInd w:val="0"/>
        <w:spacing w:line="360" w:lineRule="auto"/>
        <w:jc w:val="both"/>
        <w:rPr>
          <w:rFonts w:cs="Times New Roman"/>
          <w:szCs w:val="24"/>
        </w:rPr>
      </w:pPr>
      <w:r w:rsidRPr="00816E15">
        <w:rPr>
          <w:rFonts w:cs="Times New Roman"/>
          <w:szCs w:val="24"/>
        </w:rPr>
        <w:t xml:space="preserve">Z projektowaną zmianą </w:t>
      </w:r>
      <w:r w:rsidR="006F27CA" w:rsidRPr="00816E15">
        <w:rPr>
          <w:rFonts w:cs="Times New Roman"/>
          <w:szCs w:val="24"/>
        </w:rPr>
        <w:t xml:space="preserve">w </w:t>
      </w:r>
      <w:r w:rsidRPr="00816E15">
        <w:rPr>
          <w:rFonts w:cs="Times New Roman"/>
          <w:szCs w:val="24"/>
        </w:rPr>
        <w:t>art. 315 ustawy o BFG związana jest zmiana art. 78b ustawy o</w:t>
      </w:r>
      <w:r w:rsidR="00687468" w:rsidRPr="00816E15">
        <w:rPr>
          <w:rFonts w:cs="Times New Roman"/>
          <w:szCs w:val="24"/>
        </w:rPr>
        <w:t> </w:t>
      </w:r>
      <w:r w:rsidRPr="00816E15">
        <w:rPr>
          <w:rFonts w:cs="Times New Roman"/>
          <w:szCs w:val="24"/>
        </w:rPr>
        <w:t xml:space="preserve">finansach publicznych. Celem jest zapewnienie Ministrowi Finansów możliwości przyjmowania wolnych środków w depozyt od podmiotów niebędących jednostkami sektora finansów </w:t>
      </w:r>
      <w:r w:rsidRPr="00816E15">
        <w:rPr>
          <w:szCs w:val="24"/>
        </w:rPr>
        <w:t xml:space="preserve">publicznych </w:t>
      </w:r>
      <w:r w:rsidR="00390452" w:rsidRPr="00816E15">
        <w:rPr>
          <w:szCs w:val="24"/>
        </w:rPr>
        <w:t xml:space="preserve">w rozumieniu ustawy o finansach publicznych, </w:t>
      </w:r>
      <w:r w:rsidRPr="00816E15">
        <w:rPr>
          <w:szCs w:val="24"/>
        </w:rPr>
        <w:t>a zaliczanych do sektora instytucji rządowych i samorządowych</w:t>
      </w:r>
      <w:r w:rsidR="00390452" w:rsidRPr="00816E15">
        <w:rPr>
          <w:szCs w:val="24"/>
        </w:rPr>
        <w:t xml:space="preserve"> na podstawie odrębnych regulacji</w:t>
      </w:r>
      <w:r w:rsidRPr="00816E15">
        <w:rPr>
          <w:szCs w:val="24"/>
        </w:rPr>
        <w:t>. Powyższy zakres sektora instytucji rządowych i samorządowych nieznacznie różni się od zakresu sektora finansów publicz</w:t>
      </w:r>
      <w:r w:rsidR="00A14FDF">
        <w:rPr>
          <w:szCs w:val="24"/>
        </w:rPr>
        <w:t>nych. Przykładowo</w:t>
      </w:r>
      <w:r w:rsidRPr="00816E15">
        <w:rPr>
          <w:szCs w:val="24"/>
        </w:rPr>
        <w:t xml:space="preserve"> do sektora instytucji rządowych i</w:t>
      </w:r>
      <w:r w:rsidR="00687468" w:rsidRPr="00816E15">
        <w:rPr>
          <w:szCs w:val="24"/>
        </w:rPr>
        <w:t> </w:t>
      </w:r>
      <w:r w:rsidRPr="00816E15">
        <w:rPr>
          <w:szCs w:val="24"/>
        </w:rPr>
        <w:t xml:space="preserve">samorządowych zalicza się Fundusz </w:t>
      </w:r>
      <w:r w:rsidR="00382BF7" w:rsidRPr="00816E15">
        <w:rPr>
          <w:szCs w:val="24"/>
        </w:rPr>
        <w:t xml:space="preserve">oraz </w:t>
      </w:r>
      <w:r w:rsidRPr="00816E15">
        <w:rPr>
          <w:szCs w:val="24"/>
        </w:rPr>
        <w:t xml:space="preserve">fundusze utworzone ustawowo w Banku Gospodarstwa Krajowego, z których środki służą finansowaniu zadań publicznych </w:t>
      </w:r>
      <w:r w:rsidR="00382BF7" w:rsidRPr="00816E15">
        <w:rPr>
          <w:szCs w:val="24"/>
        </w:rPr>
        <w:t>(</w:t>
      </w:r>
      <w:r w:rsidRPr="00816E15">
        <w:rPr>
          <w:szCs w:val="24"/>
        </w:rPr>
        <w:t>np. Krajowy Fundusz Drogowy</w:t>
      </w:r>
      <w:r w:rsidR="00382BF7" w:rsidRPr="00816E15">
        <w:rPr>
          <w:szCs w:val="24"/>
        </w:rPr>
        <w:t>)</w:t>
      </w:r>
      <w:r w:rsidRPr="00816E15">
        <w:rPr>
          <w:szCs w:val="24"/>
        </w:rPr>
        <w:t>. Natomiast według ustawy o finansach publicznych wskazane wyżej jednostki nie są zaliczane do sektora finansów publicznych</w:t>
      </w:r>
      <w:r w:rsidRPr="00816E15">
        <w:rPr>
          <w:rFonts w:cs="Times New Roman"/>
          <w:szCs w:val="24"/>
        </w:rPr>
        <w:t>.</w:t>
      </w:r>
    </w:p>
    <w:p w14:paraId="448B611E" w14:textId="2FA68793" w:rsidR="001F51EF" w:rsidRPr="00816E15" w:rsidRDefault="001F51EF" w:rsidP="00CF5AAF">
      <w:pPr>
        <w:autoSpaceDE w:val="0"/>
        <w:autoSpaceDN w:val="0"/>
        <w:adjustRightInd w:val="0"/>
        <w:spacing w:line="360" w:lineRule="auto"/>
        <w:jc w:val="both"/>
        <w:rPr>
          <w:rFonts w:cs="Times New Roman"/>
          <w:szCs w:val="24"/>
        </w:rPr>
      </w:pPr>
      <w:r w:rsidRPr="00816E15">
        <w:rPr>
          <w:rFonts w:cs="Times New Roman"/>
          <w:szCs w:val="24"/>
        </w:rPr>
        <w:t xml:space="preserve">Środki ulokowane w ramach konsolidacji zarządzania płynnością na rachunkach Ministra Finansów przez </w:t>
      </w:r>
      <w:r w:rsidR="00390452" w:rsidRPr="00816E15">
        <w:rPr>
          <w:rFonts w:cs="Times New Roman"/>
          <w:szCs w:val="24"/>
        </w:rPr>
        <w:t>BFG</w:t>
      </w:r>
      <w:r w:rsidRPr="00816E15">
        <w:rPr>
          <w:rFonts w:cs="Times New Roman"/>
          <w:szCs w:val="24"/>
        </w:rPr>
        <w:t>, fundusze BGK oraz przedsiębiorstwa publiczne zaliczone do</w:t>
      </w:r>
      <w:r w:rsidR="00687468" w:rsidRPr="00816E15">
        <w:rPr>
          <w:rFonts w:cs="Times New Roman"/>
          <w:szCs w:val="24"/>
        </w:rPr>
        <w:t> </w:t>
      </w:r>
      <w:r w:rsidRPr="00816E15">
        <w:rPr>
          <w:rFonts w:cs="Times New Roman"/>
          <w:szCs w:val="24"/>
        </w:rPr>
        <w:t>sektora instytucji rządowych i samorządowych</w:t>
      </w:r>
      <w:r w:rsidRPr="00816E15">
        <w:rPr>
          <w:rFonts w:cs="Times New Roman"/>
          <w:i/>
          <w:iCs/>
          <w:szCs w:val="24"/>
        </w:rPr>
        <w:t xml:space="preserve"> </w:t>
      </w:r>
      <w:r w:rsidRPr="00816E15">
        <w:rPr>
          <w:rFonts w:cs="Times New Roman"/>
          <w:szCs w:val="24"/>
        </w:rPr>
        <w:t xml:space="preserve">potencjalnie mogłyby przyczynić się do zmniejszenia potrzeb pożyczkowych o wartość ulokowanych środków, a tym samym obniżenia długu sektora instytucji rządowych i samorządowych zgodnie z definicją UE, stanowiąc zwiększenie bezpieczeństwa potrzeb pożyczkowych </w:t>
      </w:r>
      <w:r w:rsidR="00055662" w:rsidRPr="00816E15">
        <w:rPr>
          <w:rFonts w:cs="Times New Roman"/>
          <w:szCs w:val="24"/>
        </w:rPr>
        <w:t>b</w:t>
      </w:r>
      <w:r w:rsidRPr="00816E15">
        <w:rPr>
          <w:rFonts w:cs="Times New Roman"/>
          <w:szCs w:val="24"/>
        </w:rPr>
        <w:t xml:space="preserve">udżetu </w:t>
      </w:r>
      <w:r w:rsidR="00055662" w:rsidRPr="00816E15">
        <w:rPr>
          <w:rFonts w:cs="Times New Roman"/>
          <w:szCs w:val="24"/>
        </w:rPr>
        <w:t>p</w:t>
      </w:r>
      <w:r w:rsidRPr="00816E15">
        <w:rPr>
          <w:rFonts w:cs="Times New Roman"/>
          <w:szCs w:val="24"/>
        </w:rPr>
        <w:t>aństwa.</w:t>
      </w:r>
    </w:p>
    <w:p w14:paraId="3219906B" w14:textId="0C0A2EF7" w:rsidR="001F51EF" w:rsidRPr="00816E15" w:rsidRDefault="006F27CA" w:rsidP="00CF5AAF">
      <w:pPr>
        <w:autoSpaceDE w:val="0"/>
        <w:autoSpaceDN w:val="0"/>
        <w:adjustRightInd w:val="0"/>
        <w:spacing w:line="360" w:lineRule="auto"/>
        <w:jc w:val="both"/>
        <w:rPr>
          <w:rFonts w:cs="Times New Roman"/>
          <w:szCs w:val="24"/>
        </w:rPr>
      </w:pPr>
      <w:r w:rsidRPr="00816E15">
        <w:rPr>
          <w:rFonts w:cs="Times New Roman"/>
          <w:szCs w:val="24"/>
        </w:rPr>
        <w:t>Proponowana zmiana</w:t>
      </w:r>
      <w:r w:rsidR="001F51EF" w:rsidRPr="00816E15">
        <w:rPr>
          <w:rFonts w:cs="Times New Roman"/>
          <w:szCs w:val="24"/>
        </w:rPr>
        <w:t xml:space="preserve"> rozszerza katalog podmiotowy funkcjonującego mechanizmu</w:t>
      </w:r>
      <w:r w:rsidR="00DD4105" w:rsidRPr="00816E15">
        <w:rPr>
          <w:rFonts w:cs="Times New Roman"/>
          <w:szCs w:val="24"/>
        </w:rPr>
        <w:t xml:space="preserve"> w ustawie o finansach publicznych pozwalającego na przyjmowanie depozytów od jednostek sektora finansów publicznych.</w:t>
      </w:r>
      <w:r w:rsidR="00816E15">
        <w:rPr>
          <w:rFonts w:cs="Times New Roman"/>
          <w:szCs w:val="24"/>
        </w:rPr>
        <w:t xml:space="preserve"> </w:t>
      </w:r>
      <w:r w:rsidR="001F51EF" w:rsidRPr="00816E15">
        <w:rPr>
          <w:rFonts w:cs="Times New Roman"/>
          <w:szCs w:val="24"/>
        </w:rPr>
        <w:t xml:space="preserve">Wolne środki </w:t>
      </w:r>
      <w:r w:rsidR="00DD4105" w:rsidRPr="00816E15">
        <w:rPr>
          <w:rFonts w:cs="Times New Roman"/>
          <w:szCs w:val="24"/>
        </w:rPr>
        <w:t xml:space="preserve">jednostki sektora finansów publicznych mogą być </w:t>
      </w:r>
      <w:r w:rsidR="00390452" w:rsidRPr="00816E15">
        <w:rPr>
          <w:rFonts w:cs="Times New Roman"/>
          <w:szCs w:val="24"/>
        </w:rPr>
        <w:t xml:space="preserve">lokowane </w:t>
      </w:r>
      <w:r w:rsidR="00DD4105" w:rsidRPr="00816E15">
        <w:rPr>
          <w:rFonts w:cs="Times New Roman"/>
          <w:szCs w:val="24"/>
        </w:rPr>
        <w:t xml:space="preserve">jako </w:t>
      </w:r>
      <w:r w:rsidR="001F51EF" w:rsidRPr="00816E15">
        <w:rPr>
          <w:rFonts w:cs="Times New Roman"/>
          <w:szCs w:val="24"/>
        </w:rPr>
        <w:t xml:space="preserve">depozyty terminowe (zakładane na podstawie dyspozycji jednostki) lub </w:t>
      </w:r>
      <w:r w:rsidR="001F51EF" w:rsidRPr="00816E15">
        <w:rPr>
          <w:rFonts w:cs="Times New Roman"/>
          <w:i/>
          <w:szCs w:val="24"/>
        </w:rPr>
        <w:t xml:space="preserve">overnight </w:t>
      </w:r>
      <w:r w:rsidR="00DD4105" w:rsidRPr="00816E15">
        <w:rPr>
          <w:rFonts w:cs="Times New Roman"/>
          <w:szCs w:val="24"/>
        </w:rPr>
        <w:t>(ale tylko w przypadku jednostek posiadających rachunki w Banku Gospodarstwa Krajowego, z których środki nie zostaną zdeponowane na depozycie terminowym lub wydatkowane do godziny 15:00)</w:t>
      </w:r>
      <w:r w:rsidR="00382BF7" w:rsidRPr="00816E15">
        <w:rPr>
          <w:rFonts w:cs="Times New Roman"/>
          <w:szCs w:val="24"/>
        </w:rPr>
        <w:t>,</w:t>
      </w:r>
      <w:r w:rsidR="00DD4105" w:rsidRPr="00816E15">
        <w:rPr>
          <w:rFonts w:cs="Times New Roman"/>
          <w:szCs w:val="24"/>
        </w:rPr>
        <w:t xml:space="preserve"> działające na zasadzie automatyzmu, czyli bez konieczności codziennego składania dyspozycji ulokowania ich jako depozyt </w:t>
      </w:r>
      <w:r w:rsidR="00DD4105" w:rsidRPr="00816E15">
        <w:rPr>
          <w:rFonts w:cs="Times New Roman"/>
          <w:i/>
          <w:szCs w:val="24"/>
        </w:rPr>
        <w:t>overnight.</w:t>
      </w:r>
      <w:r w:rsidR="00DD4105" w:rsidRPr="00816E15">
        <w:rPr>
          <w:rFonts w:cs="Times New Roman"/>
          <w:szCs w:val="24"/>
        </w:rPr>
        <w:t xml:space="preserve"> Szczegółowe warunki przekazywania i przyjmowania wolnych środków w depozyt określa rozporządzeni</w:t>
      </w:r>
      <w:r w:rsidR="00A14FDF">
        <w:rPr>
          <w:rFonts w:cs="Times New Roman"/>
          <w:szCs w:val="24"/>
        </w:rPr>
        <w:t>e</w:t>
      </w:r>
      <w:r w:rsidR="00DD4105" w:rsidRPr="00816E15">
        <w:rPr>
          <w:rFonts w:cs="Times New Roman"/>
          <w:szCs w:val="24"/>
        </w:rPr>
        <w:t xml:space="preserve"> Ministra Finansów wydane na podstawie</w:t>
      </w:r>
      <w:r w:rsidR="00816E15">
        <w:rPr>
          <w:rFonts w:cs="Times New Roman"/>
          <w:szCs w:val="24"/>
        </w:rPr>
        <w:t xml:space="preserve"> </w:t>
      </w:r>
      <w:r w:rsidR="00DD4105" w:rsidRPr="00816E15">
        <w:rPr>
          <w:rFonts w:cs="Times New Roman"/>
          <w:szCs w:val="24"/>
        </w:rPr>
        <w:t>art. 78g ustawy o finansach publicznych</w:t>
      </w:r>
      <w:r w:rsidR="00A14FDF">
        <w:rPr>
          <w:rFonts w:cs="Times New Roman"/>
          <w:szCs w:val="24"/>
        </w:rPr>
        <w:t>.</w:t>
      </w:r>
      <w:r w:rsidR="00816E15">
        <w:rPr>
          <w:rFonts w:cs="Times New Roman"/>
          <w:szCs w:val="24"/>
        </w:rPr>
        <w:t xml:space="preserve"> </w:t>
      </w:r>
    </w:p>
    <w:p w14:paraId="79D276EB" w14:textId="1408E782" w:rsidR="00585E83" w:rsidRPr="00816E15" w:rsidRDefault="001F51EF" w:rsidP="00CF5AAF">
      <w:pPr>
        <w:autoSpaceDE w:val="0"/>
        <w:autoSpaceDN w:val="0"/>
        <w:adjustRightInd w:val="0"/>
        <w:spacing w:after="0" w:line="360" w:lineRule="auto"/>
        <w:jc w:val="both"/>
        <w:rPr>
          <w:rFonts w:cs="Times New Roman"/>
          <w:szCs w:val="24"/>
        </w:rPr>
      </w:pPr>
      <w:r w:rsidRPr="00816E15">
        <w:rPr>
          <w:rFonts w:cs="Times New Roman"/>
          <w:szCs w:val="24"/>
        </w:rPr>
        <w:t>Szacuje się, że łączna wartość środków posiadanych przez jednostki</w:t>
      </w:r>
      <w:r w:rsidR="002E7DC1" w:rsidRPr="00816E15">
        <w:rPr>
          <w:rFonts w:cs="Times New Roman"/>
          <w:szCs w:val="24"/>
        </w:rPr>
        <w:t xml:space="preserve"> </w:t>
      </w:r>
      <w:r w:rsidR="002E7DC1" w:rsidRPr="00816E15">
        <w:rPr>
          <w:rFonts w:ascii="TimesNewRomanPSMT" w:hAnsi="TimesNewRomanPSMT" w:cs="TimesNewRomanPSMT"/>
          <w:szCs w:val="24"/>
        </w:rPr>
        <w:t>sektora instytucji rządowych i samorządowych</w:t>
      </w:r>
      <w:r w:rsidRPr="00816E15">
        <w:rPr>
          <w:rFonts w:cs="Times New Roman"/>
          <w:szCs w:val="24"/>
        </w:rPr>
        <w:t xml:space="preserve"> w formie gotówki, depozytów oraz bonów pieniężnych NBP wynosi ok. 8,6 mld zł, w tym: środki Funduszu </w:t>
      </w:r>
      <w:r w:rsidR="00280324">
        <w:rPr>
          <w:rFonts w:cs="Times New Roman"/>
          <w:szCs w:val="24"/>
        </w:rPr>
        <w:t>–</w:t>
      </w:r>
      <w:r w:rsidRPr="00816E15">
        <w:rPr>
          <w:rFonts w:cs="Times New Roman"/>
          <w:szCs w:val="24"/>
        </w:rPr>
        <w:t xml:space="preserve"> 2,3 mld zł, środki przedsiębiorstw publicznych zaliczonych do sektora instytucji rządowych i</w:t>
      </w:r>
      <w:r w:rsidR="00687468" w:rsidRPr="00816E15">
        <w:rPr>
          <w:rFonts w:cs="Times New Roman"/>
          <w:szCs w:val="24"/>
        </w:rPr>
        <w:t> </w:t>
      </w:r>
      <w:r w:rsidRPr="00816E15">
        <w:rPr>
          <w:rFonts w:cs="Times New Roman"/>
          <w:szCs w:val="24"/>
        </w:rPr>
        <w:t>samorządowych – 4,5 mld zł, środki funduszy BGK</w:t>
      </w:r>
      <w:r w:rsidR="005B6694" w:rsidRPr="00816E15">
        <w:rPr>
          <w:rFonts w:cs="Times New Roman"/>
          <w:szCs w:val="24"/>
        </w:rPr>
        <w:t xml:space="preserve"> (np. Krajowy Fundusz Drogowy, Fundusz Kolejowy, Fundusz Wsparcia Kredytobiorców)</w:t>
      </w:r>
      <w:r w:rsidRPr="00816E15">
        <w:rPr>
          <w:rFonts w:cs="Times New Roman"/>
          <w:szCs w:val="24"/>
        </w:rPr>
        <w:t xml:space="preserve"> – ok. 1,8 mld zł.</w:t>
      </w:r>
      <w:r w:rsidR="005B6694" w:rsidRPr="00816E15">
        <w:rPr>
          <w:rFonts w:cs="Times New Roman"/>
          <w:szCs w:val="24"/>
        </w:rPr>
        <w:t xml:space="preserve"> </w:t>
      </w:r>
      <w:r w:rsidR="00585E83" w:rsidRPr="00816E15">
        <w:rPr>
          <w:rFonts w:cs="Times New Roman"/>
          <w:szCs w:val="24"/>
        </w:rPr>
        <w:t>Wartość środków posiadanych przez przedsiębiorstwa publiczne zaliczone do sektora instytucji rządowych i</w:t>
      </w:r>
      <w:r w:rsidR="00687468" w:rsidRPr="00816E15">
        <w:rPr>
          <w:rFonts w:cs="Times New Roman"/>
          <w:szCs w:val="24"/>
        </w:rPr>
        <w:t> </w:t>
      </w:r>
      <w:r w:rsidR="00585E83" w:rsidRPr="00816E15">
        <w:rPr>
          <w:rFonts w:cs="Times New Roman"/>
          <w:szCs w:val="24"/>
        </w:rPr>
        <w:t xml:space="preserve">samorządowych w formie gotówki, depozytów oraz bonów pieniężnych NBP została obliczona na podstawie sprawozdań </w:t>
      </w:r>
      <w:r w:rsidR="00585E83" w:rsidRPr="00816E15">
        <w:rPr>
          <w:rFonts w:cs="Times New Roman"/>
          <w:iCs/>
          <w:szCs w:val="24"/>
        </w:rPr>
        <w:t xml:space="preserve">RF-02 </w:t>
      </w:r>
      <w:r w:rsidR="00280324">
        <w:rPr>
          <w:rFonts w:cs="Times New Roman"/>
          <w:iCs/>
          <w:szCs w:val="24"/>
        </w:rPr>
        <w:t>–</w:t>
      </w:r>
      <w:r w:rsidR="00585E83" w:rsidRPr="00816E15">
        <w:rPr>
          <w:rFonts w:cs="Times New Roman"/>
          <w:iCs/>
          <w:szCs w:val="24"/>
        </w:rPr>
        <w:t xml:space="preserve"> sprawozdanie o</w:t>
      </w:r>
      <w:r w:rsidR="00585E83" w:rsidRPr="00816E15">
        <w:rPr>
          <w:rFonts w:cs="Times New Roman"/>
          <w:szCs w:val="24"/>
        </w:rPr>
        <w:t xml:space="preserve"> </w:t>
      </w:r>
      <w:r w:rsidR="00585E83" w:rsidRPr="00816E15">
        <w:rPr>
          <w:rFonts w:cs="Times New Roman"/>
          <w:iCs/>
          <w:szCs w:val="24"/>
        </w:rPr>
        <w:t>stanie należności i zobowiązań,</w:t>
      </w:r>
      <w:r w:rsidR="00585E83" w:rsidRPr="00816E15">
        <w:rPr>
          <w:rFonts w:cs="Times New Roman"/>
          <w:i/>
          <w:iCs/>
          <w:szCs w:val="24"/>
        </w:rPr>
        <w:t xml:space="preserve"> </w:t>
      </w:r>
      <w:r w:rsidR="00585E83" w:rsidRPr="00816E15">
        <w:rPr>
          <w:rFonts w:cs="Times New Roman"/>
          <w:iCs/>
          <w:szCs w:val="24"/>
        </w:rPr>
        <w:t xml:space="preserve">przekazywanych do Głównego Urzędu Statystycznego, a następnie </w:t>
      </w:r>
      <w:r w:rsidR="00055662" w:rsidRPr="00816E15">
        <w:rPr>
          <w:rFonts w:cs="Times New Roman"/>
          <w:iCs/>
          <w:szCs w:val="24"/>
        </w:rPr>
        <w:t xml:space="preserve">zbiorczo do </w:t>
      </w:r>
      <w:r w:rsidR="00585E83" w:rsidRPr="00816E15">
        <w:rPr>
          <w:rFonts w:cs="Times New Roman"/>
          <w:iCs/>
          <w:szCs w:val="24"/>
        </w:rPr>
        <w:t>Ministerstwa Finansów</w:t>
      </w:r>
      <w:r w:rsidR="00382BF7" w:rsidRPr="00816E15">
        <w:rPr>
          <w:rFonts w:cs="Times New Roman"/>
          <w:iCs/>
          <w:szCs w:val="24"/>
        </w:rPr>
        <w:t xml:space="preserve">, według stanu na dzień </w:t>
      </w:r>
      <w:r w:rsidR="002E7DC1" w:rsidRPr="00816E15">
        <w:rPr>
          <w:rFonts w:cs="Times New Roman"/>
          <w:iCs/>
          <w:szCs w:val="24"/>
        </w:rPr>
        <w:t>3</w:t>
      </w:r>
      <w:r w:rsidR="00A14FDF">
        <w:rPr>
          <w:rFonts w:cs="Times New Roman"/>
          <w:iCs/>
          <w:szCs w:val="24"/>
        </w:rPr>
        <w:t>0</w:t>
      </w:r>
      <w:r w:rsidR="002E7DC1" w:rsidRPr="00816E15">
        <w:rPr>
          <w:rFonts w:cs="Times New Roman"/>
          <w:iCs/>
          <w:szCs w:val="24"/>
        </w:rPr>
        <w:t xml:space="preserve"> września 2017 r</w:t>
      </w:r>
      <w:r w:rsidR="00A14FDF">
        <w:rPr>
          <w:rFonts w:cs="Times New Roman"/>
          <w:iCs/>
          <w:szCs w:val="24"/>
        </w:rPr>
        <w:t>.</w:t>
      </w:r>
      <w:r w:rsidR="002E7DC1" w:rsidRPr="00816E15">
        <w:rPr>
          <w:rFonts w:cs="Times New Roman"/>
          <w:iCs/>
          <w:szCs w:val="24"/>
        </w:rPr>
        <w:t xml:space="preserve">, </w:t>
      </w:r>
      <w:r w:rsidR="00747D37" w:rsidRPr="00816E15">
        <w:rPr>
          <w:rFonts w:cs="Times New Roman"/>
          <w:iCs/>
          <w:szCs w:val="24"/>
        </w:rPr>
        <w:t xml:space="preserve">a </w:t>
      </w:r>
      <w:r w:rsidR="002E7DC1" w:rsidRPr="00816E15">
        <w:rPr>
          <w:rFonts w:cs="Times New Roman"/>
          <w:iCs/>
          <w:szCs w:val="24"/>
        </w:rPr>
        <w:t>w przypadku BGK według stanu na dzień 3</w:t>
      </w:r>
      <w:r w:rsidR="00A14FDF">
        <w:rPr>
          <w:rFonts w:cs="Times New Roman"/>
          <w:iCs/>
          <w:szCs w:val="24"/>
        </w:rPr>
        <w:t>1</w:t>
      </w:r>
      <w:r w:rsidR="002E7DC1" w:rsidRPr="00816E15">
        <w:rPr>
          <w:rFonts w:cs="Times New Roman"/>
          <w:iCs/>
          <w:szCs w:val="24"/>
        </w:rPr>
        <w:t xml:space="preserve"> grudnia 2016 r.</w:t>
      </w:r>
    </w:p>
    <w:p w14:paraId="7193A382" w14:textId="65992484" w:rsidR="00DB01EA" w:rsidRPr="00816E15" w:rsidRDefault="00585E83" w:rsidP="00CF5AAF">
      <w:pPr>
        <w:spacing w:line="360" w:lineRule="auto"/>
        <w:jc w:val="both"/>
        <w:rPr>
          <w:rFonts w:cs="Times New Roman"/>
          <w:szCs w:val="24"/>
        </w:rPr>
      </w:pPr>
      <w:r w:rsidRPr="00816E15">
        <w:rPr>
          <w:rFonts w:cs="Times New Roman"/>
          <w:szCs w:val="24"/>
        </w:rPr>
        <w:t>Oszacowanie oparto na założeniu niezmienności stanu środków i wykorzystaniu możliwości składania środków w depozyt na rachunku Ministra Finansów przez ww. podmioty. Wyposażenie podmiotów w możliwość</w:t>
      </w:r>
      <w:r w:rsidR="00A14FDF">
        <w:rPr>
          <w:rFonts w:cs="Times New Roman"/>
          <w:szCs w:val="24"/>
        </w:rPr>
        <w:t>,</w:t>
      </w:r>
      <w:r w:rsidRPr="00816E15">
        <w:rPr>
          <w:rFonts w:cs="Times New Roman"/>
          <w:szCs w:val="24"/>
        </w:rPr>
        <w:t xml:space="preserve"> a nie obowiązek lokowania środków u</w:t>
      </w:r>
      <w:r w:rsidR="00687468" w:rsidRPr="00816E15">
        <w:rPr>
          <w:rFonts w:cs="Times New Roman"/>
          <w:szCs w:val="24"/>
        </w:rPr>
        <w:t> </w:t>
      </w:r>
      <w:r w:rsidRPr="00816E15">
        <w:rPr>
          <w:rFonts w:cs="Times New Roman"/>
          <w:szCs w:val="24"/>
        </w:rPr>
        <w:t>Ministra Finansów powoduje, że</w:t>
      </w:r>
      <w:r w:rsidR="00816E15">
        <w:rPr>
          <w:rFonts w:cs="Times New Roman"/>
          <w:szCs w:val="24"/>
        </w:rPr>
        <w:t xml:space="preserve"> </w:t>
      </w:r>
      <w:r w:rsidRPr="00816E15">
        <w:rPr>
          <w:rFonts w:cs="Times New Roman"/>
          <w:szCs w:val="24"/>
        </w:rPr>
        <w:t>ostateczna wielkość lokat będzie zależała od przyjętej polityki inwestycyjnej.</w:t>
      </w:r>
    </w:p>
    <w:p w14:paraId="43A07CFE" w14:textId="23E1D7EB" w:rsidR="00663B5B" w:rsidRPr="00816E15" w:rsidRDefault="00206F21" w:rsidP="00CF5AAF">
      <w:pPr>
        <w:spacing w:line="360" w:lineRule="auto"/>
        <w:jc w:val="both"/>
        <w:rPr>
          <w:rFonts w:cs="Times New Roman"/>
          <w:b/>
          <w:szCs w:val="24"/>
        </w:rPr>
      </w:pPr>
      <w:r w:rsidRPr="00816E15">
        <w:rPr>
          <w:rFonts w:cs="Times New Roman"/>
          <w:b/>
          <w:szCs w:val="24"/>
        </w:rPr>
        <w:t>8</w:t>
      </w:r>
      <w:r w:rsidR="00762F24" w:rsidRPr="00816E15">
        <w:rPr>
          <w:rFonts w:cs="Times New Roman"/>
          <w:b/>
          <w:szCs w:val="24"/>
        </w:rPr>
        <w:t>)</w:t>
      </w:r>
      <w:r w:rsidR="001F51EF" w:rsidRPr="00816E15">
        <w:rPr>
          <w:rFonts w:cs="Times New Roman"/>
          <w:b/>
          <w:szCs w:val="24"/>
        </w:rPr>
        <w:t xml:space="preserve"> </w:t>
      </w:r>
      <w:r w:rsidR="00663B5B" w:rsidRPr="00816E15">
        <w:rPr>
          <w:rFonts w:cs="Times New Roman"/>
          <w:b/>
          <w:szCs w:val="24"/>
        </w:rPr>
        <w:t>Zmiany w ustawie o spółdz</w:t>
      </w:r>
      <w:r w:rsidR="00723542">
        <w:rPr>
          <w:rFonts w:cs="Times New Roman"/>
          <w:b/>
          <w:szCs w:val="24"/>
        </w:rPr>
        <w:t>ielczych kasach oszczędnościowo-</w:t>
      </w:r>
      <w:r w:rsidR="00663B5B" w:rsidRPr="00816E15">
        <w:rPr>
          <w:rFonts w:cs="Times New Roman"/>
          <w:b/>
          <w:szCs w:val="24"/>
        </w:rPr>
        <w:t>kredytowych</w:t>
      </w:r>
    </w:p>
    <w:p w14:paraId="690E86E0" w14:textId="7F6F9BB7" w:rsidR="00D5586D" w:rsidRPr="00816E15" w:rsidRDefault="00D5586D" w:rsidP="00CF5AAF">
      <w:pPr>
        <w:suppressAutoHyphens/>
        <w:autoSpaceDE w:val="0"/>
        <w:autoSpaceDN w:val="0"/>
        <w:adjustRightInd w:val="0"/>
        <w:spacing w:before="120" w:after="0" w:line="360" w:lineRule="auto"/>
        <w:jc w:val="both"/>
        <w:rPr>
          <w:rFonts w:eastAsia="Times New Roman" w:cs="Times New Roman"/>
          <w:bCs/>
          <w:szCs w:val="24"/>
          <w:lang w:eastAsia="pl-PL"/>
        </w:rPr>
      </w:pPr>
      <w:r w:rsidRPr="00816E15">
        <w:rPr>
          <w:rFonts w:cs="Times New Roman"/>
          <w:szCs w:val="24"/>
        </w:rPr>
        <w:t>W projektowanej ustawie wprowadza się też szereg zmian mających znaczenie z perspektywy procesów restrukturyzacji podmiotów sektora spó</w:t>
      </w:r>
      <w:r w:rsidR="00280324">
        <w:rPr>
          <w:rFonts w:cs="Times New Roman"/>
          <w:szCs w:val="24"/>
        </w:rPr>
        <w:t>łdzielczych kas oszczędnościowo</w:t>
      </w:r>
      <w:r w:rsidR="00280324">
        <w:rPr>
          <w:rFonts w:cs="Times New Roman"/>
          <w:szCs w:val="24"/>
        </w:rPr>
        <w:noBreakHyphen/>
      </w:r>
      <w:r w:rsidRPr="00816E15">
        <w:rPr>
          <w:rFonts w:cs="Times New Roman"/>
          <w:szCs w:val="24"/>
        </w:rPr>
        <w:t>kredytowych</w:t>
      </w:r>
      <w:r w:rsidR="00B12896" w:rsidRPr="00816E15">
        <w:rPr>
          <w:rFonts w:cs="Times New Roman"/>
          <w:szCs w:val="24"/>
        </w:rPr>
        <w:t>,</w:t>
      </w:r>
      <w:r w:rsidRPr="00816E15">
        <w:rPr>
          <w:rFonts w:cs="Times New Roman"/>
          <w:szCs w:val="24"/>
        </w:rPr>
        <w:t xml:space="preserve"> w ramach których stosowanym mechanizmem są przejęcia. Działania te są realizowane na podstawie zatwierdzonego pod koniec 2013 r. przez Komisję Europejską programu pomocowego pn. ,,Program pomocowy uporządkowanej likwidacji kas” (</w:t>
      </w:r>
      <w:r w:rsidRPr="00816E15">
        <w:rPr>
          <w:rStyle w:val="Kkursywa"/>
          <w:rFonts w:cs="Times New Roman"/>
          <w:iCs/>
          <w:szCs w:val="24"/>
        </w:rPr>
        <w:t>Credit Unions Orderly Liquidation Scheme</w:t>
      </w:r>
      <w:r w:rsidRPr="00816E15">
        <w:rPr>
          <w:rStyle w:val="Kkursywa"/>
          <w:rFonts w:cs="Times New Roman"/>
          <w:i w:val="0"/>
          <w:szCs w:val="24"/>
        </w:rPr>
        <w:t xml:space="preserve">), przedłużanego od tego momentu na kolejne półroczne okresy. </w:t>
      </w:r>
      <w:r w:rsidRPr="00816E15">
        <w:rPr>
          <w:rFonts w:cs="Times New Roman"/>
          <w:szCs w:val="24"/>
        </w:rPr>
        <w:t>Akceptacja programu pomocowego dla kas została dokonana pod warunkiem, że będzie on realizowany zgodnie z zasadami uznania pomocy publicznej dla instytucji kredytowych za zgodną z rynkiem wewnętrznym Unii Europejskiej, określonymi w komunikatach Komisji Europejskiej</w:t>
      </w:r>
      <w:r w:rsidR="002E7DC1" w:rsidRPr="00816E15">
        <w:rPr>
          <w:rFonts w:cs="Times New Roman"/>
          <w:szCs w:val="24"/>
        </w:rPr>
        <w:t>.</w:t>
      </w:r>
      <w:r w:rsidRPr="00816E15">
        <w:rPr>
          <w:rFonts w:cs="Times New Roman"/>
          <w:szCs w:val="24"/>
        </w:rPr>
        <w:t xml:space="preserve"> Zgodnie z ogólnymi zasadami Traktatu o funkcjonowaniu Unii Europejskiej oraz praktyką Komisji i orzecznictwem Trybunału Sprawiedliwości Unii Europejskiej, każdy program pomocowy musi spełniać przesłanki niezbędności (</w:t>
      </w:r>
      <w:r w:rsidRPr="00816E15">
        <w:rPr>
          <w:rStyle w:val="Kkursywa"/>
          <w:rFonts w:cs="Times New Roman"/>
          <w:szCs w:val="24"/>
        </w:rPr>
        <w:t>necessity</w:t>
      </w:r>
      <w:r w:rsidRPr="00816E15">
        <w:rPr>
          <w:rFonts w:cs="Times New Roman"/>
          <w:szCs w:val="24"/>
        </w:rPr>
        <w:t>), odpowiedniości (</w:t>
      </w:r>
      <w:r w:rsidRPr="00816E15">
        <w:rPr>
          <w:rStyle w:val="Kkursywa"/>
          <w:rFonts w:cs="Times New Roman"/>
          <w:szCs w:val="24"/>
        </w:rPr>
        <w:t>appropriateness</w:t>
      </w:r>
      <w:r w:rsidRPr="00816E15">
        <w:rPr>
          <w:rFonts w:cs="Times New Roman"/>
          <w:szCs w:val="24"/>
        </w:rPr>
        <w:t>) i proporcjonalności (</w:t>
      </w:r>
      <w:r w:rsidRPr="00816E15">
        <w:rPr>
          <w:rStyle w:val="Kkursywa"/>
          <w:rFonts w:cs="Times New Roman"/>
          <w:szCs w:val="24"/>
        </w:rPr>
        <w:t>proportionality</w:t>
      </w:r>
      <w:r w:rsidRPr="00816E15">
        <w:rPr>
          <w:rFonts w:cs="Times New Roman"/>
          <w:szCs w:val="24"/>
        </w:rPr>
        <w:t>). W odniesieniu do przesłanki niezbędności pomocy należy wskazać, że oznacza ona</w:t>
      </w:r>
      <w:r w:rsidR="00A14FDF">
        <w:rPr>
          <w:rFonts w:cs="Times New Roman"/>
          <w:szCs w:val="24"/>
        </w:rPr>
        <w:t>,</w:t>
      </w:r>
      <w:r w:rsidRPr="00816E15">
        <w:rPr>
          <w:rFonts w:cs="Times New Roman"/>
          <w:szCs w:val="24"/>
        </w:rPr>
        <w:t xml:space="preserve"> iż pomoc państwa powinna być ograniczona do niezbędnego minimum i może być zatwierdzona przez Komisję, jeżeli jest niezbędna dla osiągnięcia celów zdefiniowanych w art. 107 ust. 3 lit. b Traktatu o funkcjonowaniu Unii Europejskiej, a zatem w przypadku</w:t>
      </w:r>
      <w:r w:rsidR="00A14FDF">
        <w:rPr>
          <w:rFonts w:cs="Times New Roman"/>
          <w:szCs w:val="24"/>
        </w:rPr>
        <w:t>,</w:t>
      </w:r>
      <w:r w:rsidRPr="00816E15">
        <w:rPr>
          <w:rFonts w:cs="Times New Roman"/>
          <w:szCs w:val="24"/>
        </w:rPr>
        <w:t xml:space="preserve"> gdy udzielana jest podmiotom potrzebującym wsparcia, a nie instytucjom prawidłowo funkcjonującym. W związku z tym beneficjentami pomocy publicznej na uporządkowaną likwidację są </w:t>
      </w:r>
      <w:r w:rsidRPr="00816E15">
        <w:rPr>
          <w:rStyle w:val="Kkursywa"/>
          <w:rFonts w:cs="Times New Roman"/>
          <w:szCs w:val="24"/>
        </w:rPr>
        <w:t xml:space="preserve">de facto </w:t>
      </w:r>
      <w:r w:rsidRPr="00816E15">
        <w:rPr>
          <w:rFonts w:cs="Times New Roman"/>
          <w:szCs w:val="24"/>
        </w:rPr>
        <w:t xml:space="preserve">instytucje kredytowe, których dotyczy uporządkowana likwidacja, czyli w świetle polskich przepisów o restrukturyzacji kas są to kasy (a ściślej – działalność przejmowanych/likwidowanych kas) jako podmioty, których trudna sytuacja finansowa wymaga interwencji państwa, a nie podmioty przejmujące będące w zasadniczo dobrej kondycji finansowej. </w:t>
      </w:r>
      <w:r w:rsidRPr="00816E15">
        <w:rPr>
          <w:rFonts w:eastAsia="Calibri" w:cs="Times New Roman"/>
          <w:szCs w:val="24"/>
        </w:rPr>
        <w:t>Ponadto</w:t>
      </w:r>
      <w:r w:rsidR="00A14FDF">
        <w:rPr>
          <w:rFonts w:eastAsia="Calibri" w:cs="Times New Roman"/>
          <w:szCs w:val="24"/>
        </w:rPr>
        <w:t>,</w:t>
      </w:r>
      <w:r w:rsidRPr="00816E15">
        <w:rPr>
          <w:rFonts w:eastAsia="Calibri" w:cs="Times New Roman"/>
          <w:szCs w:val="24"/>
        </w:rPr>
        <w:t xml:space="preserve"> w celu wykluczenia pomocy publicznej dla przejmującego w ramach pomocy publicznej na uporządkowaną likwidację, w pkt 79 komunikatu bankowego ustanowiono wymóg, aby sprzedaż instytucji kredytowej podczas uporządkowanej likwidacji została zorganizowana w ramach otwartej, bezwarunkowej i konkurencyjnej procedury. Jeżeli bowiem aktywa przekazuje się oferentowi proponującemu najwyższą cenę sprzedaży, cenę uznaje się za cenę rynkową i możliwe jest stwierdzenie, że podmiot nabywający nie otrzymał pomocy. </w:t>
      </w:r>
      <w:r w:rsidRPr="00816E15">
        <w:rPr>
          <w:rFonts w:cs="Times New Roman"/>
          <w:szCs w:val="24"/>
        </w:rPr>
        <w:t>W kontekście powyższego niektóre przepisy zawarte w ustawie o BFG dotyczące restrukturyzacji kas z wykorzystaniem mechanizmów przejęć wymagają zmiany, ponieważ obecnie wskazują, że wsparcie finansowe jest udzielane podmiotowi przejmującemu kasę, przejmującemu wybrane prawa majątkowe lub wybrane zobowiązania kasy albo nabywcy przedsiębiorstwa kasy w likwidacji, jego zorganizowanej części lub wybranych praw majątkowych. Ponadto w celu uwzględnienia ww. przesłanek dla programu pomocowego zmiany wymaga także szereg przepisów w ustawie o spółdzielczych kasach oszczędnościowo-kredytowych</w:t>
      </w:r>
      <w:r w:rsidR="00ED57AD" w:rsidRPr="00816E15">
        <w:rPr>
          <w:rFonts w:cs="Times New Roman"/>
          <w:szCs w:val="24"/>
        </w:rPr>
        <w:t xml:space="preserve">. </w:t>
      </w:r>
      <w:r w:rsidRPr="00816E15">
        <w:rPr>
          <w:rFonts w:cs="Times New Roman"/>
          <w:szCs w:val="24"/>
        </w:rPr>
        <w:t xml:space="preserve">Zmiany wprowadzane w tej ustawie w ramach </w:t>
      </w:r>
      <w:r w:rsidRPr="00816E15">
        <w:rPr>
          <w:rFonts w:cs="Times New Roman"/>
          <w:b/>
          <w:szCs w:val="24"/>
        </w:rPr>
        <w:t>art.</w:t>
      </w:r>
      <w:r w:rsidRPr="00816E15">
        <w:rPr>
          <w:rFonts w:cs="Times New Roman"/>
          <w:szCs w:val="24"/>
        </w:rPr>
        <w:t xml:space="preserve"> </w:t>
      </w:r>
      <w:r w:rsidR="00326699" w:rsidRPr="00816E15">
        <w:rPr>
          <w:rFonts w:cs="Times New Roman"/>
          <w:b/>
          <w:szCs w:val="24"/>
        </w:rPr>
        <w:t>8</w:t>
      </w:r>
      <w:r w:rsidRPr="00816E15">
        <w:rPr>
          <w:rFonts w:cs="Times New Roman"/>
          <w:b/>
          <w:szCs w:val="24"/>
        </w:rPr>
        <w:t xml:space="preserve"> </w:t>
      </w:r>
      <w:r w:rsidRPr="00816E15">
        <w:rPr>
          <w:rFonts w:cs="Times New Roman"/>
          <w:szCs w:val="24"/>
        </w:rPr>
        <w:t>projektu</w:t>
      </w:r>
      <w:r w:rsidRPr="00816E15">
        <w:rPr>
          <w:rFonts w:cs="Times New Roman"/>
          <w:b/>
          <w:szCs w:val="24"/>
        </w:rPr>
        <w:t xml:space="preserve"> </w:t>
      </w:r>
      <w:r w:rsidRPr="00816E15">
        <w:rPr>
          <w:rFonts w:cs="Times New Roman"/>
          <w:szCs w:val="24"/>
        </w:rPr>
        <w:t xml:space="preserve">mają na celu zapewnienie, aby w procedurze przejęcia kasy albo przejęcia wybranych praw majątkowych lub wybranych zobowiązań kasy, o której mowa w art. 74c ustawy o </w:t>
      </w:r>
      <w:r w:rsidR="00ED57AD" w:rsidRPr="00816E15">
        <w:rPr>
          <w:rFonts w:cs="Times New Roman"/>
          <w:szCs w:val="24"/>
        </w:rPr>
        <w:t>spółdzielczych kasach oszczędnościowo-kredytowych</w:t>
      </w:r>
      <w:r w:rsidRPr="00816E15">
        <w:rPr>
          <w:rFonts w:cs="Times New Roman"/>
          <w:szCs w:val="24"/>
        </w:rPr>
        <w:t>, mogły uczestniczyć podmioty zarówno krajowe, jak i zagraniczne.</w:t>
      </w:r>
    </w:p>
    <w:p w14:paraId="65AECFB5" w14:textId="10FD181D" w:rsidR="000C44E3" w:rsidRPr="00816E15" w:rsidRDefault="000C44E3" w:rsidP="00CF5AAF">
      <w:pPr>
        <w:suppressAutoHyphens/>
        <w:autoSpaceDE w:val="0"/>
        <w:autoSpaceDN w:val="0"/>
        <w:adjustRightInd w:val="0"/>
        <w:spacing w:before="120" w:after="0" w:line="360" w:lineRule="auto"/>
        <w:jc w:val="both"/>
        <w:rPr>
          <w:rFonts w:cs="Times New Roman"/>
          <w:szCs w:val="24"/>
        </w:rPr>
      </w:pPr>
      <w:r w:rsidRPr="00816E15">
        <w:rPr>
          <w:rFonts w:cs="Times New Roman"/>
          <w:szCs w:val="24"/>
        </w:rPr>
        <w:t>W przypadku procesów restrukturyzacyjnych kas, ustawa o BFG przewiduje możliwość udzielania przez Fundusz wsparcia finansowego w dwóch sytuacjach:</w:t>
      </w:r>
    </w:p>
    <w:p w14:paraId="5FF36FD2" w14:textId="0829F01F" w:rsidR="000C44E3" w:rsidRPr="00816E15" w:rsidRDefault="00747D37" w:rsidP="00CF5AAF">
      <w:pPr>
        <w:pStyle w:val="Akapitzlist"/>
        <w:suppressAutoHyphens/>
        <w:autoSpaceDE w:val="0"/>
        <w:autoSpaceDN w:val="0"/>
        <w:adjustRightInd w:val="0"/>
        <w:spacing w:before="120" w:after="0" w:line="360" w:lineRule="auto"/>
        <w:jc w:val="both"/>
        <w:rPr>
          <w:rFonts w:cs="Times New Roman"/>
          <w:iCs/>
          <w:szCs w:val="24"/>
        </w:rPr>
      </w:pPr>
      <w:r w:rsidRPr="00816E15">
        <w:rPr>
          <w:rFonts w:cs="Times New Roman"/>
          <w:szCs w:val="24"/>
        </w:rPr>
        <w:t>–</w:t>
      </w:r>
      <w:r w:rsidR="00ED57AD" w:rsidRPr="00816E15">
        <w:rPr>
          <w:rFonts w:cs="Times New Roman"/>
          <w:szCs w:val="24"/>
        </w:rPr>
        <w:t xml:space="preserve"> </w:t>
      </w:r>
      <w:r w:rsidR="000C44E3" w:rsidRPr="00816E15">
        <w:rPr>
          <w:rFonts w:cs="Times New Roman"/>
          <w:szCs w:val="24"/>
        </w:rPr>
        <w:t>w przypadku zastosowania instrumentu przymusowej restrukturyzacji kasy, w</w:t>
      </w:r>
      <w:r w:rsidR="000A5AB2" w:rsidRPr="00816E15">
        <w:rPr>
          <w:rFonts w:cs="Times New Roman"/>
          <w:szCs w:val="24"/>
        </w:rPr>
        <w:t> </w:t>
      </w:r>
      <w:r w:rsidR="000C44E3" w:rsidRPr="00816E15">
        <w:rPr>
          <w:rFonts w:cs="Times New Roman"/>
          <w:szCs w:val="24"/>
        </w:rPr>
        <w:t>szczególności p</w:t>
      </w:r>
      <w:r w:rsidR="000C44E3" w:rsidRPr="00816E15">
        <w:rPr>
          <w:rFonts w:cs="Times New Roman"/>
          <w:iCs/>
          <w:szCs w:val="24"/>
        </w:rPr>
        <w:t>rzepisów</w:t>
      </w:r>
      <w:r w:rsidR="00D51FAD" w:rsidRPr="00816E15">
        <w:rPr>
          <w:rFonts w:cs="Times New Roman"/>
          <w:iCs/>
          <w:szCs w:val="24"/>
        </w:rPr>
        <w:t xml:space="preserve"> </w:t>
      </w:r>
      <w:r w:rsidR="00663B5B" w:rsidRPr="00816E15">
        <w:rPr>
          <w:rFonts w:cs="Times New Roman"/>
          <w:iCs/>
          <w:szCs w:val="24"/>
        </w:rPr>
        <w:t>Rozdzia</w:t>
      </w:r>
      <w:r w:rsidR="00B12896" w:rsidRPr="00816E15">
        <w:rPr>
          <w:rFonts w:cs="Times New Roman"/>
          <w:iCs/>
          <w:szCs w:val="24"/>
        </w:rPr>
        <w:t>łu</w:t>
      </w:r>
      <w:r w:rsidR="00663B5B" w:rsidRPr="00816E15">
        <w:rPr>
          <w:rFonts w:cs="Times New Roman"/>
          <w:iCs/>
          <w:szCs w:val="24"/>
        </w:rPr>
        <w:t xml:space="preserve"> 13 ustawy o BFG </w:t>
      </w:r>
      <w:r w:rsidR="000C44E3" w:rsidRPr="00816E15">
        <w:rPr>
          <w:rFonts w:cs="Times New Roman"/>
          <w:iCs/>
          <w:szCs w:val="24"/>
        </w:rPr>
        <w:t>(,,Przej</w:t>
      </w:r>
      <w:r w:rsidR="00ED57AD" w:rsidRPr="00816E15">
        <w:rPr>
          <w:rFonts w:cs="Times New Roman"/>
          <w:iCs/>
          <w:szCs w:val="24"/>
        </w:rPr>
        <w:t>ę</w:t>
      </w:r>
      <w:r w:rsidR="000C44E3" w:rsidRPr="00816E15">
        <w:rPr>
          <w:rFonts w:cs="Times New Roman"/>
          <w:iCs/>
          <w:szCs w:val="24"/>
        </w:rPr>
        <w:t>cie przedsiębiorstwa”)</w:t>
      </w:r>
      <w:r w:rsidR="00663B5B" w:rsidRPr="00816E15">
        <w:rPr>
          <w:rFonts w:cs="Times New Roman"/>
          <w:iCs/>
          <w:szCs w:val="24"/>
        </w:rPr>
        <w:t xml:space="preserve">, </w:t>
      </w:r>
    </w:p>
    <w:p w14:paraId="672B78E7" w14:textId="003E9E58" w:rsidR="000C44E3" w:rsidRPr="00816E15" w:rsidRDefault="00747D37" w:rsidP="00CF5AAF">
      <w:pPr>
        <w:pStyle w:val="Akapitzlist"/>
        <w:suppressAutoHyphens/>
        <w:autoSpaceDE w:val="0"/>
        <w:autoSpaceDN w:val="0"/>
        <w:adjustRightInd w:val="0"/>
        <w:spacing w:before="120" w:after="0" w:line="360" w:lineRule="auto"/>
        <w:jc w:val="both"/>
        <w:rPr>
          <w:rFonts w:cs="Times New Roman"/>
          <w:iCs/>
          <w:szCs w:val="24"/>
        </w:rPr>
      </w:pPr>
      <w:r w:rsidRPr="00816E15">
        <w:rPr>
          <w:rFonts w:cs="Times New Roman"/>
          <w:iCs/>
          <w:szCs w:val="24"/>
        </w:rPr>
        <w:t>–</w:t>
      </w:r>
      <w:r w:rsidR="00ED57AD" w:rsidRPr="00816E15">
        <w:rPr>
          <w:rFonts w:cs="Times New Roman"/>
          <w:iCs/>
          <w:szCs w:val="24"/>
        </w:rPr>
        <w:t xml:space="preserve"> </w:t>
      </w:r>
      <w:r w:rsidR="00B12896" w:rsidRPr="00816E15">
        <w:rPr>
          <w:rFonts w:cs="Times New Roman"/>
          <w:iCs/>
          <w:szCs w:val="24"/>
        </w:rPr>
        <w:t>w</w:t>
      </w:r>
      <w:r w:rsidR="000C44E3" w:rsidRPr="00816E15">
        <w:rPr>
          <w:rFonts w:cs="Times New Roman"/>
          <w:iCs/>
          <w:szCs w:val="24"/>
        </w:rPr>
        <w:t xml:space="preserve"> </w:t>
      </w:r>
      <w:r w:rsidR="00B12896" w:rsidRPr="00816E15">
        <w:rPr>
          <w:rFonts w:cs="Times New Roman"/>
          <w:iCs/>
          <w:szCs w:val="24"/>
        </w:rPr>
        <w:t>przypadku</w:t>
      </w:r>
      <w:r w:rsidR="000C44E3" w:rsidRPr="00816E15">
        <w:rPr>
          <w:rFonts w:cs="Times New Roman"/>
          <w:iCs/>
          <w:szCs w:val="24"/>
        </w:rPr>
        <w:t xml:space="preserve"> re</w:t>
      </w:r>
      <w:r w:rsidR="00B9370D" w:rsidRPr="00816E15">
        <w:rPr>
          <w:rFonts w:cs="Times New Roman"/>
          <w:iCs/>
          <w:szCs w:val="24"/>
        </w:rPr>
        <w:t>strukturyzacji prowadzonej na podstawie ustawy o spółdzielczych kasach oszczędnościowo kredytowych, zgodnie z Działem IV ustawy o BFG (,,Restrukturyzacja kas”)</w:t>
      </w:r>
      <w:r w:rsidR="00B12896" w:rsidRPr="00816E15">
        <w:rPr>
          <w:rFonts w:cs="Times New Roman"/>
          <w:iCs/>
          <w:szCs w:val="24"/>
        </w:rPr>
        <w:t xml:space="preserve">; powyższy tryb może być zastosowany pod warunkiem dostosowania prawa krajowego do unijnych ram pomocy publicznej oraz pod warunkiem realizacji, dopuszczalnego na gruncie DGS, zatwierdzonego przez Komisję Europejską </w:t>
      </w:r>
      <w:r w:rsidR="000C44E3" w:rsidRPr="00816E15">
        <w:rPr>
          <w:rFonts w:cs="Times New Roman"/>
          <w:iCs/>
          <w:szCs w:val="24"/>
        </w:rPr>
        <w:t>program</w:t>
      </w:r>
      <w:r w:rsidR="00B12896" w:rsidRPr="00816E15">
        <w:rPr>
          <w:rFonts w:cs="Times New Roman"/>
          <w:iCs/>
          <w:szCs w:val="24"/>
        </w:rPr>
        <w:t>u</w:t>
      </w:r>
      <w:r w:rsidR="000C44E3" w:rsidRPr="00816E15">
        <w:rPr>
          <w:rFonts w:cs="Times New Roman"/>
          <w:iCs/>
          <w:szCs w:val="24"/>
        </w:rPr>
        <w:t xml:space="preserve"> pomocow</w:t>
      </w:r>
      <w:r w:rsidR="00B12896" w:rsidRPr="00816E15">
        <w:rPr>
          <w:rFonts w:cs="Times New Roman"/>
          <w:iCs/>
          <w:szCs w:val="24"/>
        </w:rPr>
        <w:t>ego</w:t>
      </w:r>
      <w:r w:rsidR="000C44E3" w:rsidRPr="00816E15">
        <w:rPr>
          <w:rFonts w:cs="Times New Roman"/>
          <w:iCs/>
          <w:szCs w:val="24"/>
        </w:rPr>
        <w:t xml:space="preserve"> dla SKOK</w:t>
      </w:r>
      <w:r w:rsidR="00B12896" w:rsidRPr="00816E15">
        <w:rPr>
          <w:rFonts w:cs="Times New Roman"/>
          <w:iCs/>
          <w:szCs w:val="24"/>
        </w:rPr>
        <w:t xml:space="preserve"> </w:t>
      </w:r>
      <w:r w:rsidR="008D11B4">
        <w:rPr>
          <w:rFonts w:cs="Times New Roman"/>
          <w:iCs/>
          <w:szCs w:val="24"/>
        </w:rPr>
        <w:t>–</w:t>
      </w:r>
      <w:r w:rsidR="00D83668" w:rsidRPr="00816E15">
        <w:rPr>
          <w:rFonts w:cs="Times New Roman"/>
          <w:iCs/>
          <w:szCs w:val="24"/>
        </w:rPr>
        <w:t xml:space="preserve"> „Credit Unions Orderly Liquidation Scheme”.</w:t>
      </w:r>
      <w:r w:rsidR="000C44E3" w:rsidRPr="00816E15">
        <w:rPr>
          <w:rFonts w:cs="Times New Roman"/>
          <w:iCs/>
          <w:szCs w:val="24"/>
        </w:rPr>
        <w:t xml:space="preserve"> </w:t>
      </w:r>
    </w:p>
    <w:p w14:paraId="6162F090" w14:textId="65000501" w:rsidR="00663B5B" w:rsidRPr="00816E15" w:rsidRDefault="00723542" w:rsidP="00CF5AAF">
      <w:pPr>
        <w:suppressAutoHyphens/>
        <w:autoSpaceDE w:val="0"/>
        <w:autoSpaceDN w:val="0"/>
        <w:adjustRightInd w:val="0"/>
        <w:spacing w:before="120" w:after="0" w:line="360" w:lineRule="auto"/>
        <w:jc w:val="both"/>
        <w:rPr>
          <w:rFonts w:eastAsia="Calibri" w:cs="Times New Roman"/>
          <w:bCs/>
          <w:szCs w:val="24"/>
          <w:lang w:eastAsia="pl-PL"/>
        </w:rPr>
      </w:pPr>
      <w:r>
        <w:rPr>
          <w:b/>
          <w:szCs w:val="24"/>
        </w:rPr>
        <w:t>Art. 1</w:t>
      </w:r>
      <w:r w:rsidR="00D83668" w:rsidRPr="00816E15">
        <w:rPr>
          <w:b/>
          <w:szCs w:val="24"/>
        </w:rPr>
        <w:t>a w pkt 5,</w:t>
      </w:r>
      <w:r w:rsidR="00D83668" w:rsidRPr="00816E15">
        <w:rPr>
          <w:szCs w:val="24"/>
        </w:rPr>
        <w:t xml:space="preserve"> poprzez odwołanie do </w:t>
      </w:r>
      <w:r w:rsidR="000C1F8B" w:rsidRPr="00816E15">
        <w:rPr>
          <w:rFonts w:cs="Times New Roman"/>
          <w:noProof/>
          <w:szCs w:val="24"/>
        </w:rPr>
        <w:t>rozporządzeni</w:t>
      </w:r>
      <w:r w:rsidR="00D460F2">
        <w:rPr>
          <w:rFonts w:cs="Times New Roman"/>
          <w:noProof/>
          <w:szCs w:val="24"/>
        </w:rPr>
        <w:t>a</w:t>
      </w:r>
      <w:r w:rsidR="000C1F8B" w:rsidRPr="00816E15">
        <w:rPr>
          <w:rFonts w:cs="Times New Roman"/>
          <w:noProof/>
          <w:szCs w:val="24"/>
        </w:rPr>
        <w:t xml:space="preserve"> w sprawie wymogów kapitałowych,</w:t>
      </w:r>
      <w:r w:rsidR="00D83668" w:rsidRPr="00816E15">
        <w:rPr>
          <w:szCs w:val="24"/>
        </w:rPr>
        <w:t xml:space="preserve"> </w:t>
      </w:r>
      <w:r w:rsidR="00663B5B" w:rsidRPr="00816E15">
        <w:rPr>
          <w:rFonts w:eastAsia="Calibri" w:cs="Times New Roman"/>
          <w:bCs/>
          <w:szCs w:val="24"/>
          <w:lang w:eastAsia="pl-PL"/>
        </w:rPr>
        <w:t xml:space="preserve">wprowadza do słowniczka definicję </w:t>
      </w:r>
      <w:r w:rsidR="002801FA" w:rsidRPr="00816E15">
        <w:rPr>
          <w:rFonts w:eastAsia="Calibri" w:cs="Times New Roman"/>
          <w:bCs/>
          <w:szCs w:val="24"/>
          <w:lang w:eastAsia="pl-PL"/>
        </w:rPr>
        <w:t>„</w:t>
      </w:r>
      <w:r w:rsidR="00663B5B" w:rsidRPr="00816E15">
        <w:rPr>
          <w:rFonts w:eastAsia="Calibri" w:cs="Times New Roman"/>
          <w:bCs/>
          <w:szCs w:val="24"/>
          <w:lang w:eastAsia="pl-PL"/>
        </w:rPr>
        <w:t>instytucji kredytowej</w:t>
      </w:r>
      <w:r w:rsidR="002801FA" w:rsidRPr="00816E15">
        <w:rPr>
          <w:rFonts w:eastAsia="Calibri" w:cs="Times New Roman"/>
          <w:bCs/>
          <w:szCs w:val="24"/>
          <w:lang w:eastAsia="pl-PL"/>
        </w:rPr>
        <w:t>”</w:t>
      </w:r>
      <w:r w:rsidR="002801FA" w:rsidRPr="00816E15">
        <w:rPr>
          <w:szCs w:val="24"/>
        </w:rPr>
        <w:t xml:space="preserve">, ponieważ w dalszej części ustawa o </w:t>
      </w:r>
      <w:r w:rsidR="00ED57AD" w:rsidRPr="00816E15">
        <w:rPr>
          <w:szCs w:val="24"/>
        </w:rPr>
        <w:t xml:space="preserve">spółdzielczych kasach oszczędnościowo-kredytowych </w:t>
      </w:r>
      <w:r w:rsidR="002801FA" w:rsidRPr="00816E15">
        <w:rPr>
          <w:szCs w:val="24"/>
        </w:rPr>
        <w:t>będzie posługiwała się tym pojęciem.</w:t>
      </w:r>
    </w:p>
    <w:p w14:paraId="2BB39F47" w14:textId="1785BA3C" w:rsidR="00663B5B" w:rsidRPr="00816E15" w:rsidRDefault="000C1F8B" w:rsidP="00CF5AAF">
      <w:pPr>
        <w:suppressAutoHyphens/>
        <w:autoSpaceDE w:val="0"/>
        <w:autoSpaceDN w:val="0"/>
        <w:adjustRightInd w:val="0"/>
        <w:spacing w:before="120" w:after="0" w:line="360" w:lineRule="auto"/>
        <w:jc w:val="both"/>
        <w:rPr>
          <w:rFonts w:eastAsia="Calibri" w:cs="Times New Roman"/>
          <w:bCs/>
          <w:szCs w:val="24"/>
          <w:lang w:eastAsia="pl-PL"/>
        </w:rPr>
      </w:pPr>
      <w:r w:rsidRPr="00816E15">
        <w:rPr>
          <w:rFonts w:eastAsia="Calibri" w:cs="Times New Roman"/>
          <w:bCs/>
          <w:szCs w:val="24"/>
          <w:lang w:eastAsia="pl-PL"/>
        </w:rPr>
        <w:t>W</w:t>
      </w:r>
      <w:r w:rsidR="00663B5B" w:rsidRPr="00816E15">
        <w:rPr>
          <w:rFonts w:eastAsia="Calibri" w:cs="Times New Roman"/>
          <w:bCs/>
          <w:szCs w:val="24"/>
          <w:lang w:eastAsia="pl-PL"/>
        </w:rPr>
        <w:t xml:space="preserve"> </w:t>
      </w:r>
      <w:r w:rsidR="00663B5B" w:rsidRPr="00816E15">
        <w:rPr>
          <w:rFonts w:eastAsia="Calibri" w:cs="Times New Roman"/>
          <w:b/>
          <w:bCs/>
          <w:szCs w:val="24"/>
          <w:lang w:eastAsia="pl-PL"/>
        </w:rPr>
        <w:t>art. 38 ust. 4 pkt 3</w:t>
      </w:r>
      <w:r w:rsidRPr="00816E15">
        <w:rPr>
          <w:rFonts w:eastAsia="Calibri" w:cs="Times New Roman"/>
          <w:bCs/>
          <w:szCs w:val="24"/>
          <w:lang w:eastAsia="pl-PL"/>
        </w:rPr>
        <w:t xml:space="preserve"> poszerzono</w:t>
      </w:r>
      <w:r w:rsidR="00663B5B" w:rsidRPr="00816E15">
        <w:rPr>
          <w:rFonts w:eastAsia="Calibri" w:cs="Times New Roman"/>
          <w:bCs/>
          <w:szCs w:val="24"/>
          <w:lang w:eastAsia="pl-PL"/>
        </w:rPr>
        <w:t xml:space="preserve"> katalog możliwych instrumentów finansowych, w które mogą być inwestowane środki pieniężne stanowiące rezerwę płynną kas</w:t>
      </w:r>
      <w:r w:rsidR="00ED57AD" w:rsidRPr="00816E15">
        <w:rPr>
          <w:rFonts w:eastAsia="Calibri" w:cs="Times New Roman"/>
          <w:bCs/>
          <w:szCs w:val="24"/>
          <w:lang w:eastAsia="pl-PL"/>
        </w:rPr>
        <w:t>,</w:t>
      </w:r>
      <w:r w:rsidR="00663B5B" w:rsidRPr="00816E15">
        <w:rPr>
          <w:rFonts w:eastAsia="Calibri" w:cs="Times New Roman"/>
          <w:bCs/>
          <w:szCs w:val="24"/>
          <w:lang w:eastAsia="pl-PL"/>
        </w:rPr>
        <w:t xml:space="preserve"> o papiery wartościowe emitowane przez rządy lub banki centralne państw Unii Europejskiej oraz państw należących do Europejskiego Obszaru Gospodarczego, innych niż tylko państwa należące do Organizacji Współpracy Gospodarczej i Rozwoju (OECD), a także o papiery wartościowe gwarantowane przez rządy wskazanych wyżej państw. </w:t>
      </w:r>
      <w:r w:rsidR="00663B5B" w:rsidRPr="00816E15">
        <w:rPr>
          <w:rFonts w:eastAsia="Times New Roman" w:cs="Times New Roman"/>
          <w:bCs/>
          <w:szCs w:val="24"/>
          <w:lang w:eastAsia="pl-PL"/>
        </w:rPr>
        <w:t xml:space="preserve">Poprawka </w:t>
      </w:r>
      <w:r w:rsidR="00ED57AD" w:rsidRPr="00816E15">
        <w:rPr>
          <w:rFonts w:eastAsia="Times New Roman" w:cs="Times New Roman"/>
          <w:bCs/>
          <w:szCs w:val="24"/>
          <w:lang w:eastAsia="pl-PL"/>
        </w:rPr>
        <w:t xml:space="preserve">jest </w:t>
      </w:r>
      <w:r w:rsidR="00663B5B" w:rsidRPr="00816E15">
        <w:rPr>
          <w:rFonts w:eastAsia="Times New Roman" w:cs="Times New Roman"/>
          <w:bCs/>
          <w:szCs w:val="24"/>
          <w:lang w:eastAsia="pl-PL"/>
        </w:rPr>
        <w:t>zgodn</w:t>
      </w:r>
      <w:r w:rsidR="00ED57AD" w:rsidRPr="00816E15">
        <w:rPr>
          <w:rFonts w:eastAsia="Times New Roman" w:cs="Times New Roman"/>
          <w:bCs/>
          <w:szCs w:val="24"/>
          <w:lang w:eastAsia="pl-PL"/>
        </w:rPr>
        <w:t xml:space="preserve">a </w:t>
      </w:r>
      <w:r w:rsidR="00663B5B" w:rsidRPr="00816E15">
        <w:rPr>
          <w:rFonts w:eastAsia="Times New Roman" w:cs="Times New Roman"/>
          <w:bCs/>
          <w:szCs w:val="24"/>
          <w:lang w:eastAsia="pl-PL"/>
        </w:rPr>
        <w:t>z unijną zasadą swobody przepływu kapitału, wyrażoną w art. 63 Traktatu o funkcjonowaniu Unii Europejskiej.</w:t>
      </w:r>
    </w:p>
    <w:p w14:paraId="731BA0F2" w14:textId="499B6466" w:rsidR="00ED57AD" w:rsidRPr="00816E15" w:rsidRDefault="00036EFC" w:rsidP="00CF5AAF">
      <w:pPr>
        <w:suppressAutoHyphens/>
        <w:autoSpaceDE w:val="0"/>
        <w:autoSpaceDN w:val="0"/>
        <w:adjustRightInd w:val="0"/>
        <w:spacing w:before="120" w:after="0" w:line="360" w:lineRule="auto"/>
        <w:jc w:val="both"/>
        <w:rPr>
          <w:rFonts w:eastAsia="Calibri" w:cs="Times New Roman"/>
          <w:bCs/>
          <w:szCs w:val="24"/>
          <w:lang w:eastAsia="pl-PL"/>
        </w:rPr>
      </w:pPr>
      <w:r w:rsidRPr="00816E15">
        <w:rPr>
          <w:rFonts w:eastAsia="Calibri" w:cs="Times New Roman"/>
          <w:bCs/>
          <w:szCs w:val="24"/>
          <w:lang w:eastAsia="pl-PL"/>
        </w:rPr>
        <w:t xml:space="preserve">W </w:t>
      </w:r>
      <w:r w:rsidR="00663B5B" w:rsidRPr="00816E15">
        <w:rPr>
          <w:rFonts w:eastAsia="Calibri" w:cs="Times New Roman"/>
          <w:b/>
          <w:bCs/>
          <w:szCs w:val="24"/>
          <w:lang w:eastAsia="pl-PL"/>
        </w:rPr>
        <w:t>art. 74c</w:t>
      </w:r>
      <w:r w:rsidRPr="00816E15">
        <w:rPr>
          <w:rFonts w:eastAsia="Calibri" w:cs="Times New Roman"/>
          <w:b/>
          <w:bCs/>
          <w:szCs w:val="24"/>
          <w:lang w:eastAsia="pl-PL"/>
        </w:rPr>
        <w:t xml:space="preserve"> ust. 4</w:t>
      </w:r>
      <w:r w:rsidR="00663B5B" w:rsidRPr="00816E15">
        <w:rPr>
          <w:rFonts w:eastAsia="Calibri" w:cs="Times New Roman"/>
          <w:bCs/>
          <w:szCs w:val="24"/>
          <w:lang w:eastAsia="pl-PL"/>
        </w:rPr>
        <w:t xml:space="preserve"> dodawana jest możliwość przejmowania kasy również przez instytucję kredytową, dla zapewnienia prawa udziału w procedurze przejmowania kas podmiotów z innych państw członkowskich</w:t>
      </w:r>
      <w:r w:rsidRPr="00816E15">
        <w:rPr>
          <w:rFonts w:eastAsia="Calibri" w:cs="Times New Roman"/>
          <w:bCs/>
          <w:szCs w:val="24"/>
          <w:lang w:eastAsia="pl-PL"/>
        </w:rPr>
        <w:t>, szczególnie w wypadku</w:t>
      </w:r>
      <w:r w:rsidR="003A3422">
        <w:rPr>
          <w:rFonts w:eastAsia="Calibri" w:cs="Times New Roman"/>
          <w:bCs/>
          <w:szCs w:val="24"/>
          <w:lang w:eastAsia="pl-PL"/>
        </w:rPr>
        <w:t>,</w:t>
      </w:r>
      <w:r w:rsidRPr="00816E15">
        <w:rPr>
          <w:rFonts w:eastAsia="Calibri" w:cs="Times New Roman"/>
          <w:bCs/>
          <w:szCs w:val="24"/>
          <w:lang w:eastAsia="pl-PL"/>
        </w:rPr>
        <w:t xml:space="preserve"> kiedy oferta przetargowa nie możne zostać zrealizowana przez inną małą instytucję w ramach przestrzegania zasad spółdzielczości</w:t>
      </w:r>
      <w:r w:rsidR="00663B5B" w:rsidRPr="00816E15">
        <w:rPr>
          <w:rFonts w:eastAsia="Calibri" w:cs="Times New Roman"/>
          <w:bCs/>
          <w:szCs w:val="24"/>
          <w:lang w:eastAsia="pl-PL"/>
        </w:rPr>
        <w:t xml:space="preserve">. </w:t>
      </w:r>
      <w:r w:rsidRPr="00816E15">
        <w:rPr>
          <w:rFonts w:eastAsia="Calibri" w:cs="Times New Roman"/>
          <w:bCs/>
          <w:szCs w:val="24"/>
          <w:lang w:eastAsia="pl-PL"/>
        </w:rPr>
        <w:t xml:space="preserve">Projektowany przepis </w:t>
      </w:r>
      <w:r w:rsidRPr="00816E15">
        <w:rPr>
          <w:rFonts w:eastAsia="Calibri" w:cs="Times New Roman"/>
          <w:b/>
          <w:bCs/>
          <w:szCs w:val="24"/>
          <w:lang w:eastAsia="pl-PL"/>
        </w:rPr>
        <w:t>art. 74c ust. 4a</w:t>
      </w:r>
      <w:r w:rsidR="00663B5B" w:rsidRPr="00816E15">
        <w:rPr>
          <w:rFonts w:eastAsia="Calibri" w:cs="Times New Roman"/>
          <w:bCs/>
          <w:szCs w:val="24"/>
          <w:lang w:eastAsia="pl-PL"/>
        </w:rPr>
        <w:t xml:space="preserve"> zapewnia, aby procedura wyboru podmiotu przejmującego miała charakter konkurencyjny</w:t>
      </w:r>
      <w:r w:rsidRPr="00816E15">
        <w:rPr>
          <w:rFonts w:eastAsia="Calibri" w:cs="Times New Roman"/>
          <w:bCs/>
          <w:szCs w:val="24"/>
          <w:lang w:eastAsia="pl-PL"/>
        </w:rPr>
        <w:t xml:space="preserve"> (</w:t>
      </w:r>
      <w:r w:rsidRPr="00816E15">
        <w:rPr>
          <w:rFonts w:cs="Times New Roman"/>
          <w:color w:val="000000"/>
          <w:szCs w:val="24"/>
        </w:rPr>
        <w:t>charakter otwarty, bezwarunkowy, niedyskryminacyjny</w:t>
      </w:r>
      <w:r w:rsidR="00E31BD4" w:rsidRPr="00816E15">
        <w:rPr>
          <w:rFonts w:cs="Times New Roman"/>
          <w:color w:val="000000"/>
          <w:szCs w:val="24"/>
        </w:rPr>
        <w:t>, na warunkach rynkowych)</w:t>
      </w:r>
      <w:r w:rsidR="00663B5B" w:rsidRPr="00816E15">
        <w:rPr>
          <w:rFonts w:eastAsia="Calibri" w:cs="Times New Roman"/>
          <w:bCs/>
          <w:szCs w:val="24"/>
          <w:lang w:eastAsia="pl-PL"/>
        </w:rPr>
        <w:t xml:space="preserve">. </w:t>
      </w:r>
    </w:p>
    <w:p w14:paraId="2425A187" w14:textId="4456DDB0" w:rsidR="00E31BD4" w:rsidRPr="00816E15" w:rsidRDefault="00ED57AD" w:rsidP="00CF5AAF">
      <w:pPr>
        <w:suppressAutoHyphens/>
        <w:autoSpaceDE w:val="0"/>
        <w:autoSpaceDN w:val="0"/>
        <w:adjustRightInd w:val="0"/>
        <w:spacing w:before="120" w:after="0" w:line="360" w:lineRule="auto"/>
        <w:jc w:val="both"/>
        <w:rPr>
          <w:rFonts w:eastAsia="Calibri" w:cs="Times New Roman"/>
          <w:bCs/>
          <w:szCs w:val="24"/>
          <w:lang w:eastAsia="pl-PL"/>
        </w:rPr>
      </w:pPr>
      <w:r w:rsidRPr="00816E15">
        <w:rPr>
          <w:rFonts w:eastAsia="Calibri" w:cs="Times New Roman"/>
          <w:bCs/>
          <w:szCs w:val="24"/>
          <w:lang w:eastAsia="pl-PL"/>
        </w:rPr>
        <w:t xml:space="preserve">Zmiana </w:t>
      </w:r>
      <w:r w:rsidR="003F6134" w:rsidRPr="00816E15">
        <w:rPr>
          <w:rFonts w:cs="Times New Roman"/>
          <w:b/>
          <w:szCs w:val="24"/>
        </w:rPr>
        <w:t>a</w:t>
      </w:r>
      <w:r w:rsidR="00E31BD4" w:rsidRPr="00816E15">
        <w:rPr>
          <w:rFonts w:cs="Times New Roman"/>
          <w:b/>
          <w:szCs w:val="24"/>
        </w:rPr>
        <w:t>rt. 74c ust. 5</w:t>
      </w:r>
      <w:r w:rsidR="00E31BD4" w:rsidRPr="00816E15">
        <w:rPr>
          <w:rFonts w:cs="Times New Roman"/>
          <w:szCs w:val="24"/>
        </w:rPr>
        <w:t xml:space="preserve"> ma charakter legislacyjny – zaktualizowane zostaje odwołanie do nowej ustawy o BFG, odnośnie</w:t>
      </w:r>
      <w:r w:rsidR="00E31BD4" w:rsidRPr="00816E15">
        <w:rPr>
          <w:rFonts w:eastAsia="Calibri" w:cs="Times New Roman"/>
          <w:bCs/>
          <w:szCs w:val="24"/>
        </w:rPr>
        <w:t xml:space="preserve"> </w:t>
      </w:r>
      <w:r w:rsidR="003A3422">
        <w:rPr>
          <w:rFonts w:eastAsia="Calibri" w:cs="Times New Roman"/>
          <w:bCs/>
          <w:szCs w:val="24"/>
        </w:rPr>
        <w:t xml:space="preserve">do </w:t>
      </w:r>
      <w:r w:rsidR="00E31BD4" w:rsidRPr="00816E15">
        <w:rPr>
          <w:rFonts w:eastAsia="Calibri" w:cs="Times New Roman"/>
          <w:bCs/>
          <w:szCs w:val="24"/>
        </w:rPr>
        <w:t>zasady podejmowania decyzji przez Komisję Nadzoru Finansowego</w:t>
      </w:r>
      <w:r w:rsidR="003A3422">
        <w:rPr>
          <w:rFonts w:eastAsia="Calibri" w:cs="Times New Roman"/>
          <w:bCs/>
          <w:szCs w:val="24"/>
        </w:rPr>
        <w:t>,</w:t>
      </w:r>
      <w:r w:rsidR="00E31BD4" w:rsidRPr="00816E15">
        <w:rPr>
          <w:rFonts w:eastAsia="Calibri" w:cs="Times New Roman"/>
          <w:bCs/>
          <w:szCs w:val="24"/>
        </w:rPr>
        <w:t xml:space="preserve"> oraz</w:t>
      </w:r>
      <w:r w:rsidR="00E31BD4" w:rsidRPr="00816E15">
        <w:rPr>
          <w:rFonts w:ascii="Times" w:eastAsia="Calibri" w:hAnsi="Times" w:cs="Arial"/>
          <w:bCs/>
          <w:szCs w:val="24"/>
        </w:rPr>
        <w:t xml:space="preserve"> określa możliwe formy udzielenia wsparcia przez Bankowy Fundusz Gwarancyjny.</w:t>
      </w:r>
    </w:p>
    <w:p w14:paraId="7D4F16E9" w14:textId="2190E86A" w:rsidR="00B111D7" w:rsidRPr="00816E15" w:rsidRDefault="00E31BD4" w:rsidP="00CF5AAF">
      <w:pPr>
        <w:suppressAutoHyphens/>
        <w:autoSpaceDE w:val="0"/>
        <w:autoSpaceDN w:val="0"/>
        <w:adjustRightInd w:val="0"/>
        <w:spacing w:before="120" w:line="360" w:lineRule="auto"/>
        <w:jc w:val="both"/>
        <w:rPr>
          <w:rFonts w:ascii="Times" w:hAnsi="Times" w:cs="Arial"/>
          <w:bCs/>
          <w:szCs w:val="24"/>
        </w:rPr>
      </w:pPr>
      <w:r w:rsidRPr="00816E15">
        <w:rPr>
          <w:rFonts w:ascii="Times" w:eastAsia="Calibri" w:hAnsi="Times" w:cs="Arial"/>
          <w:b/>
          <w:bCs/>
          <w:szCs w:val="24"/>
        </w:rPr>
        <w:t xml:space="preserve">Art. 74i </w:t>
      </w:r>
      <w:r w:rsidRPr="00816E15">
        <w:rPr>
          <w:rFonts w:ascii="Times" w:eastAsia="Calibri" w:hAnsi="Times" w:cs="Arial"/>
          <w:bCs/>
          <w:szCs w:val="24"/>
        </w:rPr>
        <w:t xml:space="preserve">wprowadza zmiany, które wynikają z uwzględnienia instytucji kredytowych jako podmiotów przejmujących lub nabywających. Doprecyzowano również kwestie związane z określeniem warunków </w:t>
      </w:r>
      <w:r w:rsidRPr="00816E15">
        <w:rPr>
          <w:rFonts w:ascii="Times" w:hAnsi="Times" w:cs="Arial"/>
          <w:bCs/>
          <w:szCs w:val="24"/>
        </w:rPr>
        <w:t>sporządzenia sprawozdania finansowego kasy przejętej albo kasy, której wybrane prawa majątkowe lub zobowiązania zostały przejęte przez inną kasę, bank krajowy albo instytucję kredytową</w:t>
      </w:r>
      <w:r w:rsidR="00B111D7" w:rsidRPr="00816E15">
        <w:rPr>
          <w:rFonts w:ascii="Times" w:hAnsi="Times" w:cs="Arial"/>
          <w:bCs/>
          <w:szCs w:val="24"/>
        </w:rPr>
        <w:t>, w zakresie:</w:t>
      </w:r>
    </w:p>
    <w:p w14:paraId="0ED3DE8F" w14:textId="29FB5B39" w:rsidR="00BD78A9" w:rsidRPr="00816E15" w:rsidRDefault="00B44BD7" w:rsidP="00CF5AAF">
      <w:pPr>
        <w:suppressAutoHyphens/>
        <w:autoSpaceDE w:val="0"/>
        <w:autoSpaceDN w:val="0"/>
        <w:adjustRightInd w:val="0"/>
        <w:spacing w:before="120" w:line="360" w:lineRule="auto"/>
        <w:jc w:val="both"/>
        <w:rPr>
          <w:rFonts w:ascii="Times" w:eastAsia="Calibri" w:hAnsi="Times" w:cs="Arial"/>
          <w:bCs/>
          <w:szCs w:val="24"/>
        </w:rPr>
      </w:pPr>
      <w:r w:rsidRPr="00816E15">
        <w:rPr>
          <w:rFonts w:ascii="Times" w:hAnsi="Times" w:cs="Arial"/>
          <w:bCs/>
          <w:szCs w:val="24"/>
        </w:rPr>
        <w:t>–</w:t>
      </w:r>
      <w:r w:rsidR="00ED57AD" w:rsidRPr="00816E15">
        <w:rPr>
          <w:rFonts w:ascii="Times" w:hAnsi="Times" w:cs="Arial"/>
          <w:bCs/>
          <w:szCs w:val="24"/>
        </w:rPr>
        <w:t xml:space="preserve"> </w:t>
      </w:r>
      <w:r w:rsidR="00C81641" w:rsidRPr="00816E15">
        <w:rPr>
          <w:rFonts w:ascii="Times" w:hAnsi="Times" w:cs="Arial"/>
          <w:bCs/>
          <w:szCs w:val="24"/>
        </w:rPr>
        <w:t>art. 74</w:t>
      </w:r>
      <w:r w:rsidR="008004E3" w:rsidRPr="00816E15">
        <w:rPr>
          <w:rFonts w:ascii="Times" w:hAnsi="Times" w:cs="Arial"/>
          <w:bCs/>
          <w:szCs w:val="24"/>
        </w:rPr>
        <w:t>i</w:t>
      </w:r>
      <w:r w:rsidR="00C81641" w:rsidRPr="00816E15">
        <w:rPr>
          <w:rFonts w:ascii="Times" w:hAnsi="Times" w:cs="Arial"/>
          <w:bCs/>
          <w:szCs w:val="24"/>
        </w:rPr>
        <w:t xml:space="preserve"> ust. 1</w:t>
      </w:r>
      <w:r w:rsidR="00ED57AD" w:rsidRPr="00816E15">
        <w:rPr>
          <w:rFonts w:ascii="Times" w:hAnsi="Times" w:cs="Arial"/>
          <w:bCs/>
          <w:szCs w:val="24"/>
        </w:rPr>
        <w:t xml:space="preserve"> </w:t>
      </w:r>
      <w:r w:rsidR="00747D37" w:rsidRPr="00816E15">
        <w:rPr>
          <w:rFonts w:ascii="Times" w:hAnsi="Times" w:cs="Arial"/>
          <w:bCs/>
          <w:szCs w:val="24"/>
        </w:rPr>
        <w:t>–</w:t>
      </w:r>
      <w:r w:rsidR="00ED57AD" w:rsidRPr="00816E15">
        <w:rPr>
          <w:rFonts w:ascii="Times" w:hAnsi="Times" w:cs="Arial"/>
          <w:bCs/>
          <w:szCs w:val="24"/>
        </w:rPr>
        <w:t xml:space="preserve"> </w:t>
      </w:r>
      <w:r w:rsidR="00C81641" w:rsidRPr="00816E15">
        <w:rPr>
          <w:rFonts w:ascii="Times" w:hAnsi="Times" w:cs="Arial"/>
          <w:bCs/>
          <w:szCs w:val="24"/>
        </w:rPr>
        <w:t>o</w:t>
      </w:r>
      <w:r w:rsidR="005714A6" w:rsidRPr="00816E15">
        <w:rPr>
          <w:rFonts w:ascii="Times" w:hAnsi="Times" w:cs="Arial"/>
          <w:bCs/>
          <w:szCs w:val="24"/>
        </w:rPr>
        <w:t>dwołani</w:t>
      </w:r>
      <w:r w:rsidR="00ED57AD" w:rsidRPr="00816E15">
        <w:rPr>
          <w:rFonts w:ascii="Times" w:hAnsi="Times" w:cs="Arial"/>
          <w:bCs/>
          <w:szCs w:val="24"/>
        </w:rPr>
        <w:t xml:space="preserve">e </w:t>
      </w:r>
      <w:r w:rsidR="005714A6" w:rsidRPr="00816E15">
        <w:rPr>
          <w:rFonts w:ascii="Times" w:hAnsi="Times" w:cs="Arial"/>
          <w:bCs/>
          <w:szCs w:val="24"/>
        </w:rPr>
        <w:t xml:space="preserve">do standardów sprawozdawczości finansowej z ustawy o rachunkowości, w celu uwzględnienia ujednoliconych międzynarodowych norm </w:t>
      </w:r>
      <w:r w:rsidR="00C81641" w:rsidRPr="00816E15">
        <w:rPr>
          <w:rFonts w:ascii="Times" w:hAnsi="Times" w:cs="Arial"/>
          <w:bCs/>
          <w:szCs w:val="24"/>
        </w:rPr>
        <w:t>pozwalających na weryfikację sytuacji i analizę finansową przez podmioty z innych krajów członkowskich</w:t>
      </w:r>
      <w:r w:rsidR="00BD78A9" w:rsidRPr="00816E15">
        <w:rPr>
          <w:rFonts w:ascii="Times" w:hAnsi="Times" w:cs="Arial"/>
          <w:bCs/>
          <w:szCs w:val="24"/>
        </w:rPr>
        <w:t xml:space="preserve">; </w:t>
      </w:r>
      <w:r w:rsidR="005E7FC6" w:rsidRPr="00816E15">
        <w:rPr>
          <w:rFonts w:ascii="Times" w:hAnsi="Times" w:cs="Arial"/>
          <w:bCs/>
          <w:szCs w:val="24"/>
        </w:rPr>
        <w:t>w związku z do</w:t>
      </w:r>
      <w:r w:rsidR="00D4456E" w:rsidRPr="00816E15">
        <w:rPr>
          <w:rFonts w:ascii="Times" w:hAnsi="Times" w:cs="Arial"/>
          <w:bCs/>
          <w:szCs w:val="24"/>
        </w:rPr>
        <w:t>dawanym art. 268 ust. 9 ustawy o BFG proponuje się doprecyzowanie obowiązku uwzględniania w sprawozdaniu informacji stanowiących podstawę do określenia skali umorzenia,</w:t>
      </w:r>
    </w:p>
    <w:p w14:paraId="367EED2C" w14:textId="07690BAA" w:rsidR="00E31BD4" w:rsidRPr="00816E15" w:rsidRDefault="00B44BD7" w:rsidP="00CF5AAF">
      <w:pPr>
        <w:suppressAutoHyphens/>
        <w:autoSpaceDE w:val="0"/>
        <w:autoSpaceDN w:val="0"/>
        <w:adjustRightInd w:val="0"/>
        <w:spacing w:before="120" w:line="360" w:lineRule="auto"/>
        <w:jc w:val="both"/>
        <w:rPr>
          <w:rFonts w:ascii="Times" w:eastAsia="Calibri" w:hAnsi="Times" w:cs="Arial"/>
          <w:bCs/>
          <w:szCs w:val="24"/>
        </w:rPr>
      </w:pPr>
      <w:r w:rsidRPr="00816E15">
        <w:rPr>
          <w:rFonts w:ascii="Times" w:hAnsi="Times" w:cs="Arial"/>
          <w:bCs/>
          <w:szCs w:val="24"/>
        </w:rPr>
        <w:t>–</w:t>
      </w:r>
      <w:r w:rsidR="00ED57AD" w:rsidRPr="00816E15">
        <w:rPr>
          <w:rFonts w:ascii="Times" w:hAnsi="Times" w:cs="Arial"/>
          <w:bCs/>
          <w:szCs w:val="24"/>
        </w:rPr>
        <w:t xml:space="preserve"> </w:t>
      </w:r>
      <w:r w:rsidR="00C81641" w:rsidRPr="00816E15">
        <w:rPr>
          <w:rFonts w:ascii="Times" w:hAnsi="Times" w:cs="Arial"/>
          <w:bCs/>
          <w:szCs w:val="24"/>
        </w:rPr>
        <w:t>art. 74</w:t>
      </w:r>
      <w:r w:rsidR="008004E3" w:rsidRPr="00816E15">
        <w:rPr>
          <w:rFonts w:ascii="Times" w:hAnsi="Times" w:cs="Arial"/>
          <w:bCs/>
          <w:szCs w:val="24"/>
        </w:rPr>
        <w:t>i</w:t>
      </w:r>
      <w:r w:rsidR="00C81641" w:rsidRPr="00816E15">
        <w:rPr>
          <w:rFonts w:ascii="Times" w:hAnsi="Times" w:cs="Arial"/>
          <w:bCs/>
          <w:szCs w:val="24"/>
        </w:rPr>
        <w:t xml:space="preserve"> ust. 2</w:t>
      </w:r>
      <w:r w:rsidR="00ED57AD" w:rsidRPr="00816E15">
        <w:rPr>
          <w:rFonts w:ascii="Times" w:hAnsi="Times" w:cs="Arial"/>
          <w:bCs/>
          <w:szCs w:val="24"/>
        </w:rPr>
        <w:t xml:space="preserve"> </w:t>
      </w:r>
      <w:r w:rsidR="00747D37" w:rsidRPr="00816E15">
        <w:rPr>
          <w:rFonts w:ascii="Times" w:hAnsi="Times" w:cs="Arial"/>
          <w:bCs/>
          <w:szCs w:val="24"/>
        </w:rPr>
        <w:t>–</w:t>
      </w:r>
      <w:r w:rsidR="00ED57AD" w:rsidRPr="00816E15">
        <w:rPr>
          <w:rFonts w:ascii="Times" w:hAnsi="Times" w:cs="Arial"/>
          <w:bCs/>
          <w:szCs w:val="24"/>
        </w:rPr>
        <w:t xml:space="preserve"> </w:t>
      </w:r>
      <w:r w:rsidR="00C81641" w:rsidRPr="00816E15">
        <w:rPr>
          <w:rFonts w:ascii="Times" w:hAnsi="Times" w:cs="Arial"/>
          <w:bCs/>
          <w:szCs w:val="24"/>
        </w:rPr>
        <w:t>uwzględnieni</w:t>
      </w:r>
      <w:r w:rsidR="00ED57AD" w:rsidRPr="00816E15">
        <w:rPr>
          <w:rFonts w:ascii="Times" w:hAnsi="Times" w:cs="Arial"/>
          <w:bCs/>
          <w:szCs w:val="24"/>
        </w:rPr>
        <w:t>e</w:t>
      </w:r>
      <w:r w:rsidR="00C81641" w:rsidRPr="00816E15">
        <w:rPr>
          <w:rFonts w:ascii="Times" w:hAnsi="Times" w:cs="Arial"/>
          <w:bCs/>
          <w:szCs w:val="24"/>
        </w:rPr>
        <w:t xml:space="preserve"> instytucji kredytowych,</w:t>
      </w:r>
      <w:r w:rsidR="002A4AB6" w:rsidRPr="00816E15">
        <w:rPr>
          <w:rFonts w:ascii="Times" w:hAnsi="Times" w:cs="Arial"/>
          <w:bCs/>
          <w:szCs w:val="24"/>
        </w:rPr>
        <w:t xml:space="preserve"> w przypadku przejęcia kasy,</w:t>
      </w:r>
    </w:p>
    <w:p w14:paraId="48E6409A" w14:textId="75E9AD39" w:rsidR="00C81641" w:rsidRPr="00816E15" w:rsidRDefault="00B44BD7" w:rsidP="00CF5AAF">
      <w:pPr>
        <w:suppressAutoHyphens/>
        <w:autoSpaceDE w:val="0"/>
        <w:autoSpaceDN w:val="0"/>
        <w:adjustRightInd w:val="0"/>
        <w:spacing w:before="120" w:line="360" w:lineRule="auto"/>
        <w:jc w:val="both"/>
        <w:rPr>
          <w:rFonts w:ascii="Times" w:eastAsia="Calibri" w:hAnsi="Times" w:cs="Arial"/>
          <w:bCs/>
          <w:szCs w:val="24"/>
        </w:rPr>
      </w:pPr>
      <w:r w:rsidRPr="00816E15">
        <w:rPr>
          <w:rFonts w:ascii="Times" w:hAnsi="Times" w:cs="Arial"/>
          <w:bCs/>
          <w:szCs w:val="24"/>
        </w:rPr>
        <w:t>–</w:t>
      </w:r>
      <w:r w:rsidR="00ED57AD" w:rsidRPr="00816E15">
        <w:rPr>
          <w:rFonts w:ascii="Times" w:hAnsi="Times" w:cs="Arial"/>
          <w:bCs/>
          <w:szCs w:val="24"/>
        </w:rPr>
        <w:t xml:space="preserve"> </w:t>
      </w:r>
      <w:r w:rsidR="00C81641" w:rsidRPr="00816E15">
        <w:rPr>
          <w:rFonts w:ascii="Times" w:hAnsi="Times" w:cs="Arial"/>
          <w:bCs/>
          <w:szCs w:val="24"/>
        </w:rPr>
        <w:t>art. 74</w:t>
      </w:r>
      <w:r w:rsidR="008004E3" w:rsidRPr="00816E15">
        <w:rPr>
          <w:rFonts w:ascii="Times" w:hAnsi="Times" w:cs="Arial"/>
          <w:bCs/>
          <w:szCs w:val="24"/>
        </w:rPr>
        <w:t>i</w:t>
      </w:r>
      <w:r w:rsidR="00C81641" w:rsidRPr="00816E15">
        <w:rPr>
          <w:rFonts w:ascii="Times" w:hAnsi="Times" w:cs="Arial"/>
          <w:bCs/>
          <w:szCs w:val="24"/>
        </w:rPr>
        <w:t xml:space="preserve"> ust. 3</w:t>
      </w:r>
      <w:r w:rsidR="00ED57AD" w:rsidRPr="00816E15">
        <w:rPr>
          <w:rFonts w:ascii="Times" w:hAnsi="Times" w:cs="Arial"/>
          <w:bCs/>
          <w:szCs w:val="24"/>
        </w:rPr>
        <w:t xml:space="preserve"> </w:t>
      </w:r>
      <w:r w:rsidR="00747D37" w:rsidRPr="00816E15">
        <w:rPr>
          <w:rFonts w:ascii="Times" w:hAnsi="Times" w:cs="Arial"/>
          <w:bCs/>
          <w:szCs w:val="24"/>
        </w:rPr>
        <w:t>–</w:t>
      </w:r>
      <w:r w:rsidR="00ED57AD" w:rsidRPr="00816E15">
        <w:rPr>
          <w:rFonts w:ascii="Times" w:hAnsi="Times" w:cs="Arial"/>
          <w:bCs/>
          <w:szCs w:val="24"/>
        </w:rPr>
        <w:t xml:space="preserve"> </w:t>
      </w:r>
      <w:r w:rsidR="00C81641" w:rsidRPr="00816E15">
        <w:rPr>
          <w:rFonts w:ascii="Times" w:hAnsi="Times" w:cs="Arial"/>
          <w:bCs/>
          <w:szCs w:val="24"/>
        </w:rPr>
        <w:t xml:space="preserve">w przypadku </w:t>
      </w:r>
      <w:r w:rsidR="00C81641" w:rsidRPr="00816E15">
        <w:rPr>
          <w:rFonts w:eastAsia="Times New Roman" w:cs="Times New Roman"/>
          <w:szCs w:val="24"/>
          <w:lang w:eastAsia="pl-PL"/>
        </w:rPr>
        <w:t>objęci</w:t>
      </w:r>
      <w:r w:rsidR="00ED57AD" w:rsidRPr="00816E15">
        <w:rPr>
          <w:rFonts w:eastAsia="Times New Roman" w:cs="Times New Roman"/>
          <w:szCs w:val="24"/>
          <w:lang w:eastAsia="pl-PL"/>
        </w:rPr>
        <w:t>a</w:t>
      </w:r>
      <w:r w:rsidR="00C81641" w:rsidRPr="00816E15">
        <w:rPr>
          <w:rFonts w:eastAsia="Times New Roman" w:cs="Times New Roman"/>
          <w:szCs w:val="24"/>
          <w:lang w:eastAsia="pl-PL"/>
        </w:rPr>
        <w:t xml:space="preserve"> akcji banku przejmującego, udzieleni</w:t>
      </w:r>
      <w:r w:rsidR="00ED57AD" w:rsidRPr="00816E15">
        <w:rPr>
          <w:rFonts w:eastAsia="Times New Roman" w:cs="Times New Roman"/>
          <w:szCs w:val="24"/>
          <w:lang w:eastAsia="pl-PL"/>
        </w:rPr>
        <w:t>a</w:t>
      </w:r>
      <w:r w:rsidR="00C81641" w:rsidRPr="00816E15">
        <w:rPr>
          <w:rFonts w:eastAsia="Times New Roman" w:cs="Times New Roman"/>
          <w:szCs w:val="24"/>
          <w:lang w:eastAsia="pl-PL"/>
        </w:rPr>
        <w:t xml:space="preserve"> pożyczki lub gwarancji, udzieleni</w:t>
      </w:r>
      <w:r w:rsidR="00ED57AD" w:rsidRPr="00816E15">
        <w:rPr>
          <w:rFonts w:eastAsia="Times New Roman" w:cs="Times New Roman"/>
          <w:szCs w:val="24"/>
          <w:lang w:eastAsia="pl-PL"/>
        </w:rPr>
        <w:t>a</w:t>
      </w:r>
      <w:r w:rsidR="00C81641" w:rsidRPr="00816E15">
        <w:rPr>
          <w:rFonts w:eastAsia="Times New Roman" w:cs="Times New Roman"/>
          <w:szCs w:val="24"/>
          <w:lang w:eastAsia="pl-PL"/>
        </w:rPr>
        <w:t xml:space="preserve"> gwarancji całkowitego lub częściowego pokrycia strat wynikających z ryzyka związanego z przejmowanymi lub nabywanymi prawami majątkowymi lub przejmowanymi zobowiązaniami, udzielenie dotacji na pokrycie różnicy między wartością przejmowanych lub nabywanych praw majątkowych i przejmowanych zobowiązań z tytułu środków gwarantowanych na rachunkach deponentów kasy</w:t>
      </w:r>
      <w:r w:rsidR="002A4AB6" w:rsidRPr="00816E15">
        <w:rPr>
          <w:rFonts w:eastAsia="Times New Roman" w:cs="Times New Roman"/>
          <w:szCs w:val="24"/>
          <w:lang w:eastAsia="pl-PL"/>
        </w:rPr>
        <w:t>,</w:t>
      </w:r>
      <w:r w:rsidR="00C81641" w:rsidRPr="00816E15">
        <w:rPr>
          <w:rFonts w:eastAsia="Times New Roman" w:cs="Times New Roman"/>
          <w:szCs w:val="24"/>
          <w:lang w:eastAsia="pl-PL"/>
        </w:rPr>
        <w:t xml:space="preserve"> celem zachowania bezstronności i wysokiego stopnia rzetelności sprawozdanie będzie poddawane badaniu przez firmę audytorską, do którego to zgodnie z projektowaną zmianą wgląd będzie miał Bankowy </w:t>
      </w:r>
      <w:r w:rsidR="003A3422">
        <w:rPr>
          <w:rFonts w:eastAsia="Times New Roman" w:cs="Times New Roman"/>
          <w:szCs w:val="24"/>
          <w:lang w:eastAsia="pl-PL"/>
        </w:rPr>
        <w:t>Fundusz</w:t>
      </w:r>
      <w:r w:rsidR="00C81641" w:rsidRPr="00816E15">
        <w:rPr>
          <w:rFonts w:eastAsia="Times New Roman" w:cs="Times New Roman"/>
          <w:szCs w:val="24"/>
          <w:lang w:eastAsia="pl-PL"/>
        </w:rPr>
        <w:t xml:space="preserve"> Gwarancyjny (obecne brzmienie mogło wywoływać wątpliwości w zakresie takich uprawnień),</w:t>
      </w:r>
    </w:p>
    <w:p w14:paraId="45658BB2" w14:textId="66475037" w:rsidR="002A4AB6" w:rsidRPr="00816E15" w:rsidRDefault="00B44BD7" w:rsidP="00CF5AAF">
      <w:pPr>
        <w:suppressAutoHyphens/>
        <w:autoSpaceDE w:val="0"/>
        <w:autoSpaceDN w:val="0"/>
        <w:adjustRightInd w:val="0"/>
        <w:spacing w:before="120" w:line="360" w:lineRule="auto"/>
        <w:jc w:val="both"/>
        <w:rPr>
          <w:rFonts w:ascii="Times" w:eastAsia="Calibri" w:hAnsi="Times" w:cs="Arial"/>
          <w:bCs/>
          <w:szCs w:val="24"/>
        </w:rPr>
      </w:pPr>
      <w:r w:rsidRPr="00816E15">
        <w:rPr>
          <w:rFonts w:ascii="Times" w:eastAsia="Calibri" w:hAnsi="Times" w:cs="Arial"/>
          <w:bCs/>
          <w:szCs w:val="24"/>
        </w:rPr>
        <w:t>–</w:t>
      </w:r>
      <w:r w:rsidR="00ED57AD" w:rsidRPr="00816E15">
        <w:rPr>
          <w:rFonts w:ascii="Times" w:eastAsia="Calibri" w:hAnsi="Times" w:cs="Arial"/>
          <w:bCs/>
          <w:szCs w:val="24"/>
        </w:rPr>
        <w:t xml:space="preserve"> </w:t>
      </w:r>
      <w:r w:rsidR="002A4AB6" w:rsidRPr="00816E15">
        <w:rPr>
          <w:rFonts w:ascii="Times" w:eastAsia="Calibri" w:hAnsi="Times" w:cs="Arial"/>
          <w:bCs/>
          <w:szCs w:val="24"/>
        </w:rPr>
        <w:t>art. 74</w:t>
      </w:r>
      <w:r w:rsidR="008004E3" w:rsidRPr="00816E15">
        <w:rPr>
          <w:rFonts w:ascii="Times" w:eastAsia="Calibri" w:hAnsi="Times" w:cs="Arial"/>
          <w:bCs/>
          <w:szCs w:val="24"/>
        </w:rPr>
        <w:t>i</w:t>
      </w:r>
      <w:r w:rsidR="002A4AB6" w:rsidRPr="00816E15">
        <w:rPr>
          <w:rFonts w:ascii="Times" w:eastAsia="Calibri" w:hAnsi="Times" w:cs="Arial"/>
          <w:bCs/>
          <w:szCs w:val="24"/>
        </w:rPr>
        <w:t xml:space="preserve"> ust. 4</w:t>
      </w:r>
      <w:r w:rsidR="000E3890" w:rsidRPr="00816E15">
        <w:rPr>
          <w:rFonts w:ascii="Times" w:eastAsia="Calibri" w:hAnsi="Times" w:cs="Arial"/>
          <w:bCs/>
          <w:szCs w:val="24"/>
        </w:rPr>
        <w:t xml:space="preserve"> i 5</w:t>
      </w:r>
      <w:r w:rsidR="00ED57AD" w:rsidRPr="00816E15">
        <w:rPr>
          <w:rFonts w:ascii="Times" w:eastAsia="Calibri" w:hAnsi="Times" w:cs="Arial"/>
          <w:bCs/>
          <w:szCs w:val="24"/>
        </w:rPr>
        <w:t xml:space="preserve"> </w:t>
      </w:r>
      <w:r w:rsidR="00747D37" w:rsidRPr="00816E15">
        <w:rPr>
          <w:rFonts w:ascii="Times" w:eastAsia="Calibri" w:hAnsi="Times" w:cs="Arial"/>
          <w:bCs/>
          <w:szCs w:val="24"/>
        </w:rPr>
        <w:t>–</w:t>
      </w:r>
      <w:r w:rsidR="00ED57AD" w:rsidRPr="00816E15">
        <w:rPr>
          <w:rFonts w:ascii="Times" w:eastAsia="Calibri" w:hAnsi="Times" w:cs="Arial"/>
          <w:bCs/>
          <w:szCs w:val="24"/>
        </w:rPr>
        <w:t xml:space="preserve"> </w:t>
      </w:r>
      <w:r w:rsidR="000B74B6" w:rsidRPr="00816E15">
        <w:rPr>
          <w:rFonts w:ascii="Times" w:eastAsia="Calibri" w:hAnsi="Times" w:cs="Arial"/>
          <w:bCs/>
          <w:szCs w:val="24"/>
        </w:rPr>
        <w:t>wyposażeni</w:t>
      </w:r>
      <w:r w:rsidR="00ED57AD" w:rsidRPr="00816E15">
        <w:rPr>
          <w:rFonts w:ascii="Times" w:eastAsia="Calibri" w:hAnsi="Times" w:cs="Arial"/>
          <w:bCs/>
          <w:szCs w:val="24"/>
        </w:rPr>
        <w:t xml:space="preserve">e </w:t>
      </w:r>
      <w:r w:rsidR="002A4AB6" w:rsidRPr="00816E15">
        <w:rPr>
          <w:rFonts w:ascii="Times" w:hAnsi="Times" w:cs="Arial"/>
          <w:bCs/>
          <w:szCs w:val="24"/>
        </w:rPr>
        <w:t>instytucji kredytowych w możliwość zgłoszenia do sądu rejestrowego</w:t>
      </w:r>
      <w:r w:rsidR="000E3890" w:rsidRPr="00816E15">
        <w:rPr>
          <w:rFonts w:ascii="Times" w:hAnsi="Times" w:cs="Arial"/>
          <w:bCs/>
          <w:szCs w:val="24"/>
        </w:rPr>
        <w:t xml:space="preserve"> wniosku o przejęcie oraz wykreślenie</w:t>
      </w:r>
      <w:r w:rsidR="002A4AB6" w:rsidRPr="00816E15">
        <w:rPr>
          <w:rFonts w:ascii="Times" w:hAnsi="Times" w:cs="Arial"/>
          <w:bCs/>
          <w:szCs w:val="24"/>
        </w:rPr>
        <w:t xml:space="preserve">, zachowując równość uprawnień podmiotów </w:t>
      </w:r>
      <w:r w:rsidR="008004E3" w:rsidRPr="00816E15">
        <w:rPr>
          <w:rFonts w:ascii="Times" w:hAnsi="Times" w:cs="Arial"/>
          <w:bCs/>
          <w:szCs w:val="24"/>
        </w:rPr>
        <w:t>zdolnych do przejęcia,</w:t>
      </w:r>
    </w:p>
    <w:p w14:paraId="7D38B8EC" w14:textId="3D01B344" w:rsidR="008004E3" w:rsidRPr="00816E15" w:rsidRDefault="00B44BD7" w:rsidP="00CF5AAF">
      <w:pPr>
        <w:suppressAutoHyphens/>
        <w:autoSpaceDE w:val="0"/>
        <w:autoSpaceDN w:val="0"/>
        <w:adjustRightInd w:val="0"/>
        <w:spacing w:before="120" w:line="360" w:lineRule="auto"/>
        <w:jc w:val="both"/>
        <w:rPr>
          <w:rFonts w:ascii="Times" w:eastAsia="Calibri" w:hAnsi="Times" w:cs="Arial"/>
          <w:bCs/>
          <w:szCs w:val="24"/>
        </w:rPr>
      </w:pPr>
      <w:r w:rsidRPr="00816E15">
        <w:rPr>
          <w:rFonts w:ascii="Times" w:eastAsia="Calibri" w:hAnsi="Times" w:cs="Arial"/>
          <w:bCs/>
          <w:szCs w:val="24"/>
        </w:rPr>
        <w:t>–</w:t>
      </w:r>
      <w:r w:rsidR="00ED57AD" w:rsidRPr="00816E15">
        <w:rPr>
          <w:rFonts w:ascii="Times" w:eastAsia="Calibri" w:hAnsi="Times" w:cs="Arial"/>
          <w:bCs/>
          <w:szCs w:val="24"/>
        </w:rPr>
        <w:t xml:space="preserve"> </w:t>
      </w:r>
      <w:r w:rsidR="008004E3" w:rsidRPr="00816E15">
        <w:rPr>
          <w:rFonts w:ascii="Times" w:eastAsia="Calibri" w:hAnsi="Times" w:cs="Arial"/>
          <w:bCs/>
          <w:szCs w:val="24"/>
        </w:rPr>
        <w:t>art. 74i ust. 7</w:t>
      </w:r>
      <w:r w:rsidR="00ED57AD" w:rsidRPr="00816E15">
        <w:rPr>
          <w:rFonts w:ascii="Times" w:eastAsia="Calibri" w:hAnsi="Times" w:cs="Arial"/>
          <w:bCs/>
          <w:szCs w:val="24"/>
        </w:rPr>
        <w:t xml:space="preserve"> </w:t>
      </w:r>
      <w:r w:rsidR="00747D37" w:rsidRPr="00816E15">
        <w:rPr>
          <w:rFonts w:ascii="Times" w:eastAsia="Calibri" w:hAnsi="Times" w:cs="Arial"/>
          <w:bCs/>
          <w:szCs w:val="24"/>
        </w:rPr>
        <w:t>–</w:t>
      </w:r>
      <w:r w:rsidR="00ED57AD" w:rsidRPr="00816E15">
        <w:rPr>
          <w:rFonts w:ascii="Times" w:eastAsia="Calibri" w:hAnsi="Times" w:cs="Arial"/>
          <w:bCs/>
          <w:szCs w:val="24"/>
        </w:rPr>
        <w:t xml:space="preserve"> </w:t>
      </w:r>
      <w:r w:rsidR="00E07AD9" w:rsidRPr="00816E15">
        <w:rPr>
          <w:rFonts w:ascii="Times" w:eastAsia="Calibri" w:hAnsi="Times" w:cs="Arial"/>
          <w:bCs/>
          <w:szCs w:val="24"/>
        </w:rPr>
        <w:t>uwzględnieni</w:t>
      </w:r>
      <w:r w:rsidR="00ED57AD" w:rsidRPr="00816E15">
        <w:rPr>
          <w:rFonts w:ascii="Times" w:eastAsia="Calibri" w:hAnsi="Times" w:cs="Arial"/>
          <w:bCs/>
          <w:szCs w:val="24"/>
        </w:rPr>
        <w:t xml:space="preserve">e </w:t>
      </w:r>
      <w:r w:rsidR="00E07AD9" w:rsidRPr="00816E15">
        <w:rPr>
          <w:rFonts w:ascii="Times" w:eastAsia="Calibri" w:hAnsi="Times" w:cs="Arial"/>
          <w:bCs/>
          <w:szCs w:val="24"/>
        </w:rPr>
        <w:t>instytucji kredytowych przy dokonywaniu wypłat członkom przejętej kasy przy uwzględnieniu zasady braku dodatkowego pogarszania sytuacji wierzycieli.</w:t>
      </w:r>
    </w:p>
    <w:p w14:paraId="140CA746" w14:textId="4CCCD147" w:rsidR="000B74B6" w:rsidRPr="00816E15" w:rsidRDefault="00ED57AD" w:rsidP="00CF5AAF">
      <w:pPr>
        <w:suppressAutoHyphens/>
        <w:autoSpaceDE w:val="0"/>
        <w:autoSpaceDN w:val="0"/>
        <w:adjustRightInd w:val="0"/>
        <w:spacing w:before="120" w:after="0" w:line="360" w:lineRule="auto"/>
        <w:jc w:val="both"/>
        <w:rPr>
          <w:rFonts w:eastAsia="Calibri" w:cs="Times New Roman"/>
          <w:szCs w:val="24"/>
          <w:lang w:eastAsia="pl-PL"/>
        </w:rPr>
      </w:pPr>
      <w:bookmarkStart w:id="7" w:name="mip40279706"/>
      <w:bookmarkStart w:id="8" w:name="mip40279707"/>
      <w:bookmarkStart w:id="9" w:name="mip40279708"/>
      <w:bookmarkEnd w:id="7"/>
      <w:bookmarkEnd w:id="8"/>
      <w:bookmarkEnd w:id="9"/>
      <w:r w:rsidRPr="00816E15">
        <w:rPr>
          <w:rFonts w:eastAsia="Calibri" w:cs="Times New Roman"/>
          <w:szCs w:val="24"/>
          <w:lang w:eastAsia="pl-PL"/>
        </w:rPr>
        <w:t>Zmiana</w:t>
      </w:r>
      <w:r w:rsidRPr="00816E15">
        <w:rPr>
          <w:rFonts w:eastAsia="Calibri" w:cs="Times New Roman"/>
          <w:b/>
          <w:szCs w:val="24"/>
          <w:lang w:eastAsia="pl-PL"/>
        </w:rPr>
        <w:t xml:space="preserve"> a</w:t>
      </w:r>
      <w:r w:rsidR="00663B5B" w:rsidRPr="00816E15">
        <w:rPr>
          <w:rFonts w:eastAsia="Calibri" w:cs="Times New Roman"/>
          <w:b/>
          <w:szCs w:val="24"/>
          <w:lang w:eastAsia="pl-PL"/>
        </w:rPr>
        <w:t>rt. 74j</w:t>
      </w:r>
      <w:r w:rsidR="00663B5B" w:rsidRPr="00816E15">
        <w:rPr>
          <w:rFonts w:eastAsia="Calibri" w:cs="Times New Roman"/>
          <w:szCs w:val="24"/>
          <w:lang w:eastAsia="pl-PL"/>
        </w:rPr>
        <w:t xml:space="preserve"> </w:t>
      </w:r>
      <w:r w:rsidRPr="00816E15">
        <w:rPr>
          <w:rFonts w:eastAsia="Calibri" w:cs="Times New Roman"/>
          <w:szCs w:val="24"/>
          <w:lang w:eastAsia="pl-PL"/>
        </w:rPr>
        <w:t xml:space="preserve">wynika z </w:t>
      </w:r>
      <w:r w:rsidR="00663B5B" w:rsidRPr="00816E15">
        <w:rPr>
          <w:rFonts w:eastAsia="Calibri" w:cs="Times New Roman"/>
          <w:szCs w:val="24"/>
          <w:lang w:eastAsia="pl-PL"/>
        </w:rPr>
        <w:t>uwzględnieni</w:t>
      </w:r>
      <w:r w:rsidRPr="00816E15">
        <w:rPr>
          <w:rFonts w:eastAsia="Calibri" w:cs="Times New Roman"/>
          <w:szCs w:val="24"/>
          <w:lang w:eastAsia="pl-PL"/>
        </w:rPr>
        <w:t>a</w:t>
      </w:r>
      <w:r w:rsidR="00663B5B" w:rsidRPr="00816E15">
        <w:rPr>
          <w:rFonts w:eastAsia="Calibri" w:cs="Times New Roman"/>
          <w:szCs w:val="24"/>
          <w:lang w:eastAsia="pl-PL"/>
        </w:rPr>
        <w:t xml:space="preserve"> możliwości przejmowania kas lub ich wybranych praw lub zobowiązań, także przez instytucje kre</w:t>
      </w:r>
      <w:r w:rsidR="000B74B6" w:rsidRPr="00816E15">
        <w:rPr>
          <w:rFonts w:eastAsia="Calibri" w:cs="Times New Roman"/>
          <w:szCs w:val="24"/>
          <w:lang w:eastAsia="pl-PL"/>
        </w:rPr>
        <w:t>dytowe, w zakresie:</w:t>
      </w:r>
    </w:p>
    <w:p w14:paraId="5C56EB51" w14:textId="0F2039B6" w:rsidR="000B74B6" w:rsidRPr="00816E15" w:rsidRDefault="00B44BD7" w:rsidP="00CF5AAF">
      <w:pPr>
        <w:suppressAutoHyphens/>
        <w:autoSpaceDE w:val="0"/>
        <w:autoSpaceDN w:val="0"/>
        <w:adjustRightInd w:val="0"/>
        <w:spacing w:before="120" w:after="0" w:line="360" w:lineRule="auto"/>
        <w:jc w:val="both"/>
        <w:rPr>
          <w:rFonts w:eastAsia="Calibri" w:cs="Times New Roman"/>
          <w:szCs w:val="24"/>
          <w:lang w:eastAsia="pl-PL"/>
        </w:rPr>
      </w:pPr>
      <w:r w:rsidRPr="00816E15">
        <w:rPr>
          <w:rFonts w:eastAsia="Calibri" w:cs="Times New Roman"/>
          <w:szCs w:val="24"/>
          <w:lang w:eastAsia="pl-PL"/>
        </w:rPr>
        <w:t>–</w:t>
      </w:r>
      <w:r w:rsidR="00ED57AD" w:rsidRPr="00816E15">
        <w:rPr>
          <w:rFonts w:eastAsia="Calibri" w:cs="Times New Roman"/>
          <w:szCs w:val="24"/>
          <w:lang w:eastAsia="pl-PL"/>
        </w:rPr>
        <w:t xml:space="preserve"> </w:t>
      </w:r>
      <w:r w:rsidR="000B74B6" w:rsidRPr="00816E15">
        <w:rPr>
          <w:rFonts w:eastAsia="Calibri" w:cs="Times New Roman"/>
          <w:szCs w:val="24"/>
          <w:lang w:eastAsia="pl-PL"/>
        </w:rPr>
        <w:t>art. 74j ust. 1 pkt 2</w:t>
      </w:r>
      <w:r w:rsidR="00ED57AD" w:rsidRPr="00816E15">
        <w:rPr>
          <w:rFonts w:eastAsia="Calibri" w:cs="Times New Roman"/>
          <w:szCs w:val="24"/>
          <w:lang w:eastAsia="pl-PL"/>
        </w:rPr>
        <w:t xml:space="preserve"> </w:t>
      </w:r>
      <w:r w:rsidRPr="00816E15">
        <w:rPr>
          <w:rFonts w:eastAsia="Calibri" w:cs="Times New Roman"/>
          <w:szCs w:val="24"/>
          <w:lang w:eastAsia="pl-PL"/>
        </w:rPr>
        <w:t>–</w:t>
      </w:r>
      <w:r w:rsidR="000B74B6" w:rsidRPr="00816E15">
        <w:rPr>
          <w:rFonts w:eastAsia="Calibri" w:cs="Times New Roman"/>
          <w:szCs w:val="24"/>
          <w:lang w:eastAsia="pl-PL"/>
        </w:rPr>
        <w:t xml:space="preserve"> </w:t>
      </w:r>
      <w:r w:rsidR="000B74B6" w:rsidRPr="00816E15">
        <w:rPr>
          <w:szCs w:val="24"/>
        </w:rPr>
        <w:t>przejści</w:t>
      </w:r>
      <w:r w:rsidR="00ED57AD" w:rsidRPr="00816E15">
        <w:rPr>
          <w:szCs w:val="24"/>
        </w:rPr>
        <w:t>e</w:t>
      </w:r>
      <w:r w:rsidR="000B74B6" w:rsidRPr="00816E15">
        <w:rPr>
          <w:szCs w:val="24"/>
        </w:rPr>
        <w:t xml:space="preserve"> z mocy prawa na instytucję kredytową wszelkich praw i obowiązków kasy przejmowanej,</w:t>
      </w:r>
    </w:p>
    <w:p w14:paraId="0E6D4D1B" w14:textId="6252AE97" w:rsidR="000B74B6" w:rsidRPr="00816E15" w:rsidRDefault="00B44BD7" w:rsidP="00CF5AAF">
      <w:pPr>
        <w:suppressAutoHyphens/>
        <w:autoSpaceDE w:val="0"/>
        <w:autoSpaceDN w:val="0"/>
        <w:adjustRightInd w:val="0"/>
        <w:spacing w:before="120" w:after="0" w:line="360" w:lineRule="auto"/>
        <w:jc w:val="both"/>
        <w:rPr>
          <w:rFonts w:eastAsia="Calibri" w:cs="Times New Roman"/>
          <w:szCs w:val="24"/>
          <w:lang w:eastAsia="pl-PL"/>
        </w:rPr>
      </w:pPr>
      <w:r w:rsidRPr="00816E15">
        <w:rPr>
          <w:rFonts w:eastAsia="Calibri" w:cs="Times New Roman"/>
          <w:szCs w:val="24"/>
          <w:lang w:eastAsia="pl-PL"/>
        </w:rPr>
        <w:t>–</w:t>
      </w:r>
      <w:r w:rsidR="00ED57AD" w:rsidRPr="00816E15">
        <w:rPr>
          <w:rFonts w:eastAsia="Calibri" w:cs="Times New Roman"/>
          <w:szCs w:val="24"/>
          <w:lang w:eastAsia="pl-PL"/>
        </w:rPr>
        <w:t xml:space="preserve"> </w:t>
      </w:r>
      <w:r w:rsidR="000B74B6" w:rsidRPr="00816E15">
        <w:rPr>
          <w:rFonts w:eastAsia="Calibri" w:cs="Times New Roman"/>
          <w:szCs w:val="24"/>
          <w:lang w:eastAsia="pl-PL"/>
        </w:rPr>
        <w:t>art. 74j ust. 2</w:t>
      </w:r>
      <w:r w:rsidR="00BC6995" w:rsidRPr="00816E15">
        <w:rPr>
          <w:rFonts w:eastAsia="Calibri" w:cs="Times New Roman"/>
          <w:szCs w:val="24"/>
          <w:lang w:eastAsia="pl-PL"/>
        </w:rPr>
        <w:t xml:space="preserve"> i 4</w:t>
      </w:r>
      <w:r w:rsidR="000B74B6" w:rsidRPr="00816E15">
        <w:rPr>
          <w:rFonts w:eastAsia="Calibri" w:cs="Times New Roman"/>
          <w:szCs w:val="24"/>
          <w:lang w:eastAsia="pl-PL"/>
        </w:rPr>
        <w:t xml:space="preserve"> – zobowiązani</w:t>
      </w:r>
      <w:r w:rsidR="00ED57AD" w:rsidRPr="00816E15">
        <w:rPr>
          <w:rFonts w:eastAsia="Calibri" w:cs="Times New Roman"/>
          <w:szCs w:val="24"/>
          <w:lang w:eastAsia="pl-PL"/>
        </w:rPr>
        <w:t>e</w:t>
      </w:r>
      <w:r w:rsidR="000B74B6" w:rsidRPr="00816E15">
        <w:rPr>
          <w:rFonts w:eastAsia="Calibri" w:cs="Times New Roman"/>
          <w:szCs w:val="24"/>
          <w:lang w:eastAsia="pl-PL"/>
        </w:rPr>
        <w:t xml:space="preserve"> przejmującej instytucji kredytowej do ogłoszenia </w:t>
      </w:r>
      <w:r w:rsidR="000B74B6" w:rsidRPr="00816E15">
        <w:rPr>
          <w:szCs w:val="24"/>
        </w:rPr>
        <w:t>decyzji o przejęciu kasy oraz wezwania jej wierzycieli do zgłoszenia roszczeń w terminie miesiąca od daty ostatniego ogłoszenia</w:t>
      </w:r>
      <w:r w:rsidR="00BC6995" w:rsidRPr="00816E15">
        <w:rPr>
          <w:szCs w:val="24"/>
        </w:rPr>
        <w:t>,</w:t>
      </w:r>
    </w:p>
    <w:p w14:paraId="3DBC159A" w14:textId="1900CEE5" w:rsidR="00BC6995" w:rsidRPr="00816E15" w:rsidRDefault="00B44BD7" w:rsidP="00CF5AAF">
      <w:pPr>
        <w:suppressAutoHyphens/>
        <w:autoSpaceDE w:val="0"/>
        <w:autoSpaceDN w:val="0"/>
        <w:adjustRightInd w:val="0"/>
        <w:spacing w:before="120" w:after="0" w:line="360" w:lineRule="auto"/>
        <w:jc w:val="both"/>
        <w:rPr>
          <w:rFonts w:eastAsia="Calibri" w:cs="Times New Roman"/>
          <w:szCs w:val="24"/>
          <w:lang w:eastAsia="pl-PL"/>
        </w:rPr>
      </w:pPr>
      <w:r w:rsidRPr="00816E15">
        <w:rPr>
          <w:rFonts w:eastAsia="Calibri" w:cs="Times New Roman"/>
          <w:szCs w:val="24"/>
          <w:lang w:eastAsia="pl-PL"/>
        </w:rPr>
        <w:t>–</w:t>
      </w:r>
      <w:r w:rsidR="00ED57AD" w:rsidRPr="00816E15">
        <w:rPr>
          <w:rFonts w:eastAsia="Calibri" w:cs="Times New Roman"/>
          <w:szCs w:val="24"/>
          <w:lang w:eastAsia="pl-PL"/>
        </w:rPr>
        <w:t xml:space="preserve"> </w:t>
      </w:r>
      <w:r w:rsidR="000B74B6" w:rsidRPr="00816E15">
        <w:rPr>
          <w:rFonts w:eastAsia="Calibri" w:cs="Times New Roman"/>
          <w:szCs w:val="24"/>
          <w:lang w:eastAsia="pl-PL"/>
        </w:rPr>
        <w:t>art. 74j ust. 5</w:t>
      </w:r>
      <w:r w:rsidR="00BC6995" w:rsidRPr="00816E15">
        <w:rPr>
          <w:rFonts w:eastAsia="Calibri" w:cs="Times New Roman"/>
          <w:szCs w:val="24"/>
          <w:lang w:eastAsia="pl-PL"/>
        </w:rPr>
        <w:t xml:space="preserve"> – zobowiązani</w:t>
      </w:r>
      <w:r w:rsidR="00ED57AD" w:rsidRPr="00816E15">
        <w:rPr>
          <w:rFonts w:eastAsia="Calibri" w:cs="Times New Roman"/>
          <w:szCs w:val="24"/>
          <w:lang w:eastAsia="pl-PL"/>
        </w:rPr>
        <w:t>e</w:t>
      </w:r>
      <w:r w:rsidR="00BC6995" w:rsidRPr="00816E15">
        <w:rPr>
          <w:rFonts w:eastAsia="Calibri" w:cs="Times New Roman"/>
          <w:szCs w:val="24"/>
          <w:lang w:eastAsia="pl-PL"/>
        </w:rPr>
        <w:t xml:space="preserve"> przejmującej instytucji kredytowej do ogłoszenia </w:t>
      </w:r>
      <w:r w:rsidR="00BC6995" w:rsidRPr="00816E15">
        <w:rPr>
          <w:szCs w:val="24"/>
        </w:rPr>
        <w:t>decyzji o przejęciu kasy na swojej stronie internetowej, siedzibie, placówkach, formach zgodnych z postanowieniami umownymi,</w:t>
      </w:r>
    </w:p>
    <w:p w14:paraId="0EE3EC60" w14:textId="77909465" w:rsidR="00BC6995" w:rsidRPr="00816E15" w:rsidRDefault="00B44BD7" w:rsidP="00CF5AAF">
      <w:pPr>
        <w:suppressAutoHyphens/>
        <w:autoSpaceDE w:val="0"/>
        <w:autoSpaceDN w:val="0"/>
        <w:adjustRightInd w:val="0"/>
        <w:spacing w:before="120" w:after="0" w:line="360" w:lineRule="auto"/>
        <w:jc w:val="both"/>
        <w:rPr>
          <w:rFonts w:cs="Times New Roman"/>
          <w:b/>
          <w:szCs w:val="24"/>
        </w:rPr>
      </w:pPr>
      <w:r w:rsidRPr="00816E15">
        <w:rPr>
          <w:rFonts w:eastAsia="Calibri" w:cs="Times New Roman"/>
          <w:szCs w:val="24"/>
          <w:lang w:eastAsia="pl-PL"/>
        </w:rPr>
        <w:t>–</w:t>
      </w:r>
      <w:r w:rsidR="00ED57AD" w:rsidRPr="00816E15">
        <w:rPr>
          <w:rFonts w:eastAsia="Calibri" w:cs="Times New Roman"/>
          <w:szCs w:val="24"/>
          <w:lang w:eastAsia="pl-PL"/>
        </w:rPr>
        <w:t xml:space="preserve"> </w:t>
      </w:r>
      <w:r w:rsidR="000B74B6" w:rsidRPr="00816E15">
        <w:rPr>
          <w:rFonts w:eastAsia="Calibri" w:cs="Times New Roman"/>
          <w:szCs w:val="24"/>
          <w:lang w:eastAsia="pl-PL"/>
        </w:rPr>
        <w:t>art. 74j ust. 6</w:t>
      </w:r>
      <w:r w:rsidR="00BC6995" w:rsidRPr="00816E15">
        <w:rPr>
          <w:rFonts w:eastAsia="Calibri" w:cs="Times New Roman"/>
          <w:szCs w:val="24"/>
          <w:lang w:eastAsia="pl-PL"/>
        </w:rPr>
        <w:t xml:space="preserve"> – lustrzane zobowiązanie przejmowanej przez instytucję kredytową kasy do zamieszczenia stosownego ogłoszenia na stronie internetowej, </w:t>
      </w:r>
      <w:r w:rsidRPr="00816E15">
        <w:rPr>
          <w:rFonts w:eastAsia="Calibri" w:cs="Times New Roman"/>
          <w:szCs w:val="24"/>
          <w:lang w:eastAsia="pl-PL"/>
        </w:rPr>
        <w:t xml:space="preserve">w </w:t>
      </w:r>
      <w:r w:rsidR="00BC6995" w:rsidRPr="00816E15">
        <w:rPr>
          <w:rFonts w:eastAsia="Calibri" w:cs="Times New Roman"/>
          <w:szCs w:val="24"/>
          <w:lang w:eastAsia="pl-PL"/>
        </w:rPr>
        <w:t>siedzibie</w:t>
      </w:r>
      <w:r w:rsidRPr="00816E15">
        <w:rPr>
          <w:rFonts w:eastAsia="Calibri" w:cs="Times New Roman"/>
          <w:szCs w:val="24"/>
          <w:lang w:eastAsia="pl-PL"/>
        </w:rPr>
        <w:t xml:space="preserve"> i</w:t>
      </w:r>
      <w:r w:rsidR="00816E15">
        <w:rPr>
          <w:rFonts w:eastAsia="Calibri" w:cs="Times New Roman"/>
          <w:szCs w:val="24"/>
          <w:lang w:eastAsia="pl-PL"/>
        </w:rPr>
        <w:t xml:space="preserve"> </w:t>
      </w:r>
      <w:r w:rsidR="00BC6995" w:rsidRPr="00816E15">
        <w:rPr>
          <w:rFonts w:eastAsia="Calibri" w:cs="Times New Roman"/>
          <w:szCs w:val="24"/>
          <w:lang w:eastAsia="pl-PL"/>
        </w:rPr>
        <w:t>placówkach.</w:t>
      </w:r>
    </w:p>
    <w:p w14:paraId="44D5E787" w14:textId="77777777" w:rsidR="006C6A88" w:rsidRPr="00816E15" w:rsidRDefault="00BC6995" w:rsidP="00CF5AAF">
      <w:pPr>
        <w:suppressAutoHyphens/>
        <w:autoSpaceDE w:val="0"/>
        <w:autoSpaceDN w:val="0"/>
        <w:adjustRightInd w:val="0"/>
        <w:spacing w:before="120" w:after="0" w:line="360" w:lineRule="auto"/>
        <w:jc w:val="both"/>
        <w:rPr>
          <w:rFonts w:cs="Times New Roman"/>
          <w:b/>
          <w:szCs w:val="24"/>
        </w:rPr>
      </w:pPr>
      <w:r w:rsidRPr="00816E15">
        <w:rPr>
          <w:rFonts w:ascii="Times" w:eastAsia="Calibri" w:hAnsi="Times" w:cs="Arial"/>
          <w:bCs/>
          <w:szCs w:val="24"/>
        </w:rPr>
        <w:t xml:space="preserve">Zmiana w </w:t>
      </w:r>
      <w:r w:rsidRPr="00816E15">
        <w:rPr>
          <w:rFonts w:ascii="Times" w:eastAsia="Calibri" w:hAnsi="Times" w:cs="Arial"/>
          <w:b/>
          <w:bCs/>
          <w:szCs w:val="24"/>
        </w:rPr>
        <w:t xml:space="preserve">art. 74q ust. 3 </w:t>
      </w:r>
      <w:r w:rsidRPr="00816E15">
        <w:rPr>
          <w:rFonts w:ascii="Times" w:eastAsia="Calibri" w:hAnsi="Times" w:cs="Arial"/>
          <w:bCs/>
          <w:szCs w:val="24"/>
        </w:rPr>
        <w:t>ma na celu umożliwienie uzyskania statusu podmiotu przejmującego również przez instytucję kredytową poprzez wskazanie właściwego gospodarczego wydziału sądu okręgowego do rozpatrzenia spraw dot. wynagrodzenia. Kwestia właściwości w perspektywie przejęć przez podmioty z innych państw pozostaje komplementarna z przepisami prawa pracy.</w:t>
      </w:r>
    </w:p>
    <w:p w14:paraId="3580631B" w14:textId="091400CC" w:rsidR="00561FF8" w:rsidRPr="00816E15" w:rsidRDefault="004907D7" w:rsidP="00CF5AAF">
      <w:pPr>
        <w:suppressAutoHyphens/>
        <w:autoSpaceDE w:val="0"/>
        <w:autoSpaceDN w:val="0"/>
        <w:adjustRightInd w:val="0"/>
        <w:spacing w:before="120" w:after="0" w:line="360" w:lineRule="auto"/>
        <w:jc w:val="both"/>
        <w:rPr>
          <w:rFonts w:cs="Times New Roman"/>
          <w:b/>
          <w:szCs w:val="24"/>
        </w:rPr>
      </w:pPr>
      <w:r w:rsidRPr="00816E15">
        <w:rPr>
          <w:rFonts w:cs="Times New Roman"/>
          <w:b/>
          <w:szCs w:val="24"/>
        </w:rPr>
        <w:t>9</w:t>
      </w:r>
      <w:r w:rsidR="006C6A88" w:rsidRPr="00816E15">
        <w:rPr>
          <w:rFonts w:cs="Times New Roman"/>
          <w:b/>
          <w:szCs w:val="24"/>
        </w:rPr>
        <w:t xml:space="preserve">) Zmiany w ustawie </w:t>
      </w:r>
      <w:r w:rsidR="00B44BD7" w:rsidRPr="00816E15">
        <w:rPr>
          <w:rFonts w:cs="Times New Roman"/>
          <w:b/>
          <w:szCs w:val="24"/>
        </w:rPr>
        <w:t>–</w:t>
      </w:r>
      <w:r w:rsidR="00DB01EA" w:rsidRPr="00816E15">
        <w:rPr>
          <w:rFonts w:cs="Times New Roman"/>
          <w:b/>
          <w:szCs w:val="24"/>
        </w:rPr>
        <w:t xml:space="preserve"> </w:t>
      </w:r>
      <w:r w:rsidR="006C6A88" w:rsidRPr="00816E15">
        <w:rPr>
          <w:rFonts w:cs="Times New Roman"/>
          <w:b/>
          <w:szCs w:val="24"/>
        </w:rPr>
        <w:t>Prawo restrukturyzacyjne</w:t>
      </w:r>
    </w:p>
    <w:p w14:paraId="7B54C6AB" w14:textId="77777777" w:rsidR="00A37E38" w:rsidRPr="00816E15" w:rsidRDefault="00692ED8" w:rsidP="00CF5AAF">
      <w:pPr>
        <w:suppressAutoHyphens/>
        <w:autoSpaceDE w:val="0"/>
        <w:autoSpaceDN w:val="0"/>
        <w:adjustRightInd w:val="0"/>
        <w:spacing w:before="120" w:after="0" w:line="360" w:lineRule="auto"/>
        <w:jc w:val="both"/>
        <w:rPr>
          <w:szCs w:val="24"/>
        </w:rPr>
      </w:pPr>
      <w:r w:rsidRPr="00816E15">
        <w:rPr>
          <w:w w:val="105"/>
          <w:szCs w:val="24"/>
        </w:rPr>
        <w:t xml:space="preserve">Celem zmian w </w:t>
      </w:r>
      <w:r w:rsidRPr="00816E15">
        <w:rPr>
          <w:b/>
          <w:w w:val="105"/>
          <w:szCs w:val="24"/>
        </w:rPr>
        <w:t>art. 54 ust. 2 i 3</w:t>
      </w:r>
      <w:r w:rsidRPr="00816E15">
        <w:rPr>
          <w:w w:val="105"/>
          <w:szCs w:val="24"/>
        </w:rPr>
        <w:t xml:space="preserve"> oraz </w:t>
      </w:r>
      <w:r w:rsidRPr="00816E15">
        <w:rPr>
          <w:b/>
          <w:w w:val="105"/>
          <w:szCs w:val="24"/>
        </w:rPr>
        <w:t xml:space="preserve">art. 399 </w:t>
      </w:r>
      <w:r w:rsidRPr="00816E15">
        <w:rPr>
          <w:w w:val="105"/>
          <w:szCs w:val="24"/>
        </w:rPr>
        <w:t>jest umożliwienie stosowania przez zarządców oraz kuratorów rozporządzenia MAR, tj. art. 17 ust. 1 lub 2 i art. 19 ust. 3 przedmiotowego rozporządzenia (n</w:t>
      </w:r>
      <w:r w:rsidRPr="00816E15">
        <w:rPr>
          <w:szCs w:val="24"/>
        </w:rPr>
        <w:t>adzór nad firmami inwestycyjnymi objętymi odstępstwem od obowiązku stosowania wymogów w zakresie funduszy własnych na zasadzie skonsolidowanej, jednostki wyłączone z zakresu konsolidacji ostrożnościowej).</w:t>
      </w:r>
      <w:r w:rsidRPr="00816E15">
        <w:rPr>
          <w:w w:val="105"/>
          <w:szCs w:val="24"/>
        </w:rPr>
        <w:t xml:space="preserve"> Zmiany polegają na wskazaniu podmiotu </w:t>
      </w:r>
      <w:r w:rsidRPr="00816E15">
        <w:rPr>
          <w:szCs w:val="24"/>
        </w:rPr>
        <w:t xml:space="preserve">obowiązanego do podawania do publicznej wiadomości informacji wymaganych przepisami rozporządzenia MAR, w przypadku gdy spółka publiczna jest w stanie upadłości lub restrukturyzacji. Stosowalności przepisów towarzyszy zapatrywanie, że niezbędne jest także wprowadzenie odpowiednich sankcji. </w:t>
      </w:r>
      <w:r w:rsidRPr="00816E15">
        <w:rPr>
          <w:w w:val="105"/>
          <w:szCs w:val="24"/>
        </w:rPr>
        <w:t xml:space="preserve">Przepisy w dotychczasowym kształcie nie dają pełnej możliwości wykonywania obowiązków informacyjnych przez zarządcę lub kuratora, </w:t>
      </w:r>
      <w:r w:rsidRPr="00816E15">
        <w:rPr>
          <w:szCs w:val="24"/>
        </w:rPr>
        <w:t>reprezentujących emitentów, którzy podlegają restrukturyzacji, dlatego zachodzi konieczność ich uzupełnienia.</w:t>
      </w:r>
    </w:p>
    <w:p w14:paraId="58FDDF24" w14:textId="308034CD" w:rsidR="00A37E38" w:rsidRPr="00816E15" w:rsidRDefault="004907D7" w:rsidP="00CF5AAF">
      <w:pPr>
        <w:suppressAutoHyphens/>
        <w:autoSpaceDE w:val="0"/>
        <w:autoSpaceDN w:val="0"/>
        <w:adjustRightInd w:val="0"/>
        <w:spacing w:before="120" w:line="360" w:lineRule="auto"/>
        <w:jc w:val="both"/>
        <w:rPr>
          <w:rFonts w:cs="Times New Roman"/>
          <w:b/>
          <w:szCs w:val="24"/>
        </w:rPr>
      </w:pPr>
      <w:r w:rsidRPr="00816E15">
        <w:rPr>
          <w:rFonts w:cs="Times New Roman"/>
          <w:b/>
          <w:szCs w:val="24"/>
        </w:rPr>
        <w:t>10</w:t>
      </w:r>
      <w:r w:rsidR="00663B5B" w:rsidRPr="00816E15">
        <w:rPr>
          <w:rFonts w:cs="Times New Roman"/>
          <w:b/>
          <w:szCs w:val="24"/>
        </w:rPr>
        <w:t xml:space="preserve">) </w:t>
      </w:r>
      <w:r w:rsidR="001F51EF" w:rsidRPr="00816E15">
        <w:rPr>
          <w:rFonts w:cs="Times New Roman"/>
          <w:b/>
          <w:szCs w:val="24"/>
        </w:rPr>
        <w:t>Przepisy końcowe i termin wejścia w życie projektowanej regulacji</w:t>
      </w:r>
    </w:p>
    <w:p w14:paraId="38EFC5D0" w14:textId="4EC249A3" w:rsidR="008466FA" w:rsidRPr="00816E15" w:rsidRDefault="008466FA" w:rsidP="00CF5AAF">
      <w:pPr>
        <w:spacing w:after="160" w:line="360" w:lineRule="auto"/>
        <w:jc w:val="both"/>
        <w:rPr>
          <w:szCs w:val="24"/>
        </w:rPr>
      </w:pPr>
      <w:r w:rsidRPr="00816E15">
        <w:rPr>
          <w:szCs w:val="24"/>
        </w:rPr>
        <w:t>Ponieważ przepisy art. 259 ust. 1 pkt 1</w:t>
      </w:r>
      <w:r w:rsidR="00747D37" w:rsidRPr="00816E15">
        <w:rPr>
          <w:szCs w:val="24"/>
        </w:rPr>
        <w:t>–</w:t>
      </w:r>
      <w:r w:rsidRPr="00816E15">
        <w:rPr>
          <w:szCs w:val="24"/>
        </w:rPr>
        <w:t>3 nie kreowały po stronie kas ani praw</w:t>
      </w:r>
      <w:r w:rsidR="003A3422">
        <w:rPr>
          <w:szCs w:val="24"/>
        </w:rPr>
        <w:t>,</w:t>
      </w:r>
      <w:r w:rsidRPr="00816E15">
        <w:rPr>
          <w:szCs w:val="24"/>
        </w:rPr>
        <w:t xml:space="preserve"> ani ich ekspektatywy, modyfikacja tych przepisów nie powoduje zmiany, w tym pogorszenia ich sytuacji prawnej. Nie jest zatem konieczne stosowanie przepisów przejściowych. Natomiast wymagane jest wprowadzenie przepisu przejściowego (</w:t>
      </w:r>
      <w:r w:rsidR="00C760E6" w:rsidRPr="00816E15">
        <w:rPr>
          <w:b/>
          <w:szCs w:val="24"/>
        </w:rPr>
        <w:t>art. 1</w:t>
      </w:r>
      <w:r w:rsidR="00327032" w:rsidRPr="00816E15">
        <w:rPr>
          <w:b/>
          <w:szCs w:val="24"/>
        </w:rPr>
        <w:t>0</w:t>
      </w:r>
      <w:r w:rsidRPr="00816E15">
        <w:rPr>
          <w:szCs w:val="24"/>
        </w:rPr>
        <w:t>) w odniesieniu do sytuacji, o których mowa w art. 259 ust. 1 pkt 4 i art. 263 ust. 1. Działania</w:t>
      </w:r>
      <w:r w:rsidR="008D11B4">
        <w:rPr>
          <w:szCs w:val="24"/>
        </w:rPr>
        <w:t xml:space="preserve"> wskazane w art. 259 ust. 1 pkt </w:t>
      </w:r>
      <w:r w:rsidRPr="00816E15">
        <w:rPr>
          <w:szCs w:val="24"/>
        </w:rPr>
        <w:t>4 będą mogły być podejmowane dopiero</w:t>
      </w:r>
      <w:r w:rsidR="003A3422">
        <w:rPr>
          <w:szCs w:val="24"/>
        </w:rPr>
        <w:t>,</w:t>
      </w:r>
      <w:r w:rsidRPr="00816E15">
        <w:rPr>
          <w:szCs w:val="24"/>
        </w:rPr>
        <w:t xml:space="preserve"> gdy zajdą zdarzenia, o których mowa w art. 263. Jednocześnie także </w:t>
      </w:r>
      <w:r w:rsidR="001D60EA" w:rsidRPr="00816E15">
        <w:rPr>
          <w:szCs w:val="24"/>
        </w:rPr>
        <w:t xml:space="preserve">powstanie </w:t>
      </w:r>
      <w:r w:rsidRPr="00816E15">
        <w:rPr>
          <w:szCs w:val="24"/>
        </w:rPr>
        <w:t>dla kas obowiązków wynikających z tego przepisu jest uzależnion</w:t>
      </w:r>
      <w:r w:rsidR="00DB01EA" w:rsidRPr="00816E15">
        <w:rPr>
          <w:szCs w:val="24"/>
        </w:rPr>
        <w:t>e</w:t>
      </w:r>
      <w:r w:rsidRPr="00816E15">
        <w:rPr>
          <w:szCs w:val="24"/>
        </w:rPr>
        <w:t xml:space="preserve"> od przesłanki osiągnięcia poziomu minimalnego środków funduszy gwarancyjnego kas. </w:t>
      </w:r>
    </w:p>
    <w:p w14:paraId="0CB25DEE" w14:textId="07DB426B" w:rsidR="004907D7" w:rsidRPr="00816E15" w:rsidRDefault="00826F92" w:rsidP="00CF5AAF">
      <w:pPr>
        <w:tabs>
          <w:tab w:val="left" w:pos="2910"/>
        </w:tabs>
        <w:suppressAutoHyphens/>
        <w:autoSpaceDE w:val="0"/>
        <w:autoSpaceDN w:val="0"/>
        <w:adjustRightInd w:val="0"/>
        <w:spacing w:before="120" w:line="360" w:lineRule="auto"/>
        <w:jc w:val="both"/>
        <w:rPr>
          <w:rFonts w:cs="Times New Roman"/>
          <w:szCs w:val="24"/>
        </w:rPr>
      </w:pPr>
      <w:r w:rsidRPr="00816E15">
        <w:rPr>
          <w:rFonts w:cs="Times New Roman"/>
          <w:szCs w:val="24"/>
        </w:rPr>
        <w:t xml:space="preserve">W </w:t>
      </w:r>
      <w:r w:rsidRPr="00816E15">
        <w:rPr>
          <w:rFonts w:cs="Times New Roman"/>
          <w:b/>
          <w:szCs w:val="24"/>
        </w:rPr>
        <w:t>art. 1</w:t>
      </w:r>
      <w:r w:rsidR="00327032" w:rsidRPr="00816E15">
        <w:rPr>
          <w:rFonts w:cs="Times New Roman"/>
          <w:b/>
          <w:szCs w:val="24"/>
        </w:rPr>
        <w:t>1</w:t>
      </w:r>
      <w:r w:rsidRPr="00816E15">
        <w:rPr>
          <w:rFonts w:cs="Times New Roman"/>
          <w:b/>
          <w:szCs w:val="24"/>
        </w:rPr>
        <w:t xml:space="preserve"> </w:t>
      </w:r>
      <w:r w:rsidRPr="00816E15">
        <w:rPr>
          <w:rFonts w:cs="Times New Roman"/>
          <w:szCs w:val="24"/>
        </w:rPr>
        <w:t>wskazano, że dotychczasowe przepisy stosuje się do postępowań wszczętych i niezakończonych przed wejściem w życie ustawy.</w:t>
      </w:r>
      <w:r w:rsidR="003B3197" w:rsidRPr="00816E15">
        <w:rPr>
          <w:rFonts w:cs="Times New Roman"/>
          <w:szCs w:val="24"/>
        </w:rPr>
        <w:t xml:space="preserve"> Projekt aktu został kompleksowo przenalizowany z perspektywy międzyczasowości każdego zmienianego przepisu. Wiele wprowadzanych zmian doprecyzowuje obecnie obowiązujące przepisy na gruncie wykładni językowej, umożliwiając ich prawidłowe stosowanie. Wskazać należy</w:t>
      </w:r>
      <w:r w:rsidR="00BD78A9" w:rsidRPr="00816E15">
        <w:rPr>
          <w:rFonts w:cs="Times New Roman"/>
          <w:szCs w:val="24"/>
        </w:rPr>
        <w:t>,</w:t>
      </w:r>
      <w:r w:rsidR="003B3197" w:rsidRPr="00816E15">
        <w:rPr>
          <w:rFonts w:cs="Times New Roman"/>
          <w:szCs w:val="24"/>
        </w:rPr>
        <w:t xml:space="preserve"> że zastosowanie wielu norm </w:t>
      </w:r>
      <w:r w:rsidR="00E94E66" w:rsidRPr="00816E15">
        <w:rPr>
          <w:rFonts w:cs="Times New Roman"/>
          <w:szCs w:val="24"/>
        </w:rPr>
        <w:t>(</w:t>
      </w:r>
      <w:r w:rsidR="003B3197" w:rsidRPr="00816E15">
        <w:rPr>
          <w:rFonts w:cs="Times New Roman"/>
          <w:szCs w:val="24"/>
        </w:rPr>
        <w:t>w ramach</w:t>
      </w:r>
      <w:r w:rsidR="00307104" w:rsidRPr="00816E15">
        <w:rPr>
          <w:rFonts w:cs="Times New Roman"/>
          <w:szCs w:val="24"/>
        </w:rPr>
        <w:t xml:space="preserve"> obecnego porządku prawnego</w:t>
      </w:r>
      <w:r w:rsidR="003A3422">
        <w:rPr>
          <w:rFonts w:cs="Times New Roman"/>
          <w:szCs w:val="24"/>
        </w:rPr>
        <w:t>,</w:t>
      </w:r>
      <w:r w:rsidR="00307104" w:rsidRPr="00816E15">
        <w:rPr>
          <w:rFonts w:cs="Times New Roman"/>
          <w:szCs w:val="24"/>
        </w:rPr>
        <w:t xml:space="preserve"> np. zaopiniowania przez KNF planu przymusowej restrukturyzacji</w:t>
      </w:r>
      <w:r w:rsidR="00BD78A9" w:rsidRPr="00816E15">
        <w:rPr>
          <w:rFonts w:cs="Times New Roman"/>
          <w:szCs w:val="24"/>
        </w:rPr>
        <w:t xml:space="preserve"> czy </w:t>
      </w:r>
      <w:r w:rsidR="00307104" w:rsidRPr="00816E15">
        <w:rPr>
          <w:rFonts w:cs="Times New Roman"/>
          <w:szCs w:val="24"/>
        </w:rPr>
        <w:t>udzielenie wsparcia</w:t>
      </w:r>
      <w:r w:rsidR="00E94E66" w:rsidRPr="00816E15">
        <w:rPr>
          <w:rFonts w:cs="Times New Roman"/>
          <w:szCs w:val="24"/>
        </w:rPr>
        <w:t>)</w:t>
      </w:r>
      <w:r w:rsidR="00307104" w:rsidRPr="00816E15">
        <w:rPr>
          <w:rFonts w:cs="Times New Roman"/>
          <w:szCs w:val="24"/>
        </w:rPr>
        <w:t xml:space="preserve"> polegać będzie na ograniczonych czasowo rozstrzygnięciach, w ramach których ziszczenie się dyspozycji będzie następować w momencie zbliżonym do wystąpienia hipotezy danej normy. </w:t>
      </w:r>
      <w:r w:rsidR="004907D7" w:rsidRPr="00816E15">
        <w:rPr>
          <w:rFonts w:cs="Times New Roman"/>
          <w:szCs w:val="24"/>
        </w:rPr>
        <w:t>P</w:t>
      </w:r>
      <w:r w:rsidR="00307104" w:rsidRPr="00816E15">
        <w:rPr>
          <w:rFonts w:cs="Times New Roman"/>
          <w:szCs w:val="24"/>
        </w:rPr>
        <w:t xml:space="preserve">rzykładowo zmiany norm dotyczące obowiązków informacyjnych czy </w:t>
      </w:r>
      <w:r w:rsidR="00E94E66" w:rsidRPr="00816E15">
        <w:rPr>
          <w:rFonts w:cs="Times New Roman"/>
          <w:szCs w:val="24"/>
        </w:rPr>
        <w:t xml:space="preserve">szczególnego </w:t>
      </w:r>
      <w:r w:rsidR="00307104" w:rsidRPr="00816E15">
        <w:rPr>
          <w:rFonts w:cs="Times New Roman"/>
          <w:szCs w:val="24"/>
        </w:rPr>
        <w:t>powoływania</w:t>
      </w:r>
      <w:r w:rsidR="00E94E66" w:rsidRPr="00816E15">
        <w:rPr>
          <w:rFonts w:cs="Times New Roman"/>
          <w:szCs w:val="24"/>
        </w:rPr>
        <w:t xml:space="preserve"> i funkcjonowania</w:t>
      </w:r>
      <w:r w:rsidR="00307104" w:rsidRPr="00816E15">
        <w:rPr>
          <w:rFonts w:cs="Times New Roman"/>
          <w:szCs w:val="24"/>
        </w:rPr>
        <w:t xml:space="preserve"> instytucji pomostowej, a więc w zakresie przepisów, które przewidują </w:t>
      </w:r>
      <w:r w:rsidR="00307104" w:rsidRPr="00816E15">
        <w:rPr>
          <w:rFonts w:cs="Times New Roman"/>
          <w:i/>
          <w:szCs w:val="24"/>
        </w:rPr>
        <w:t xml:space="preserve">sensu stricte </w:t>
      </w:r>
      <w:r w:rsidR="00307104" w:rsidRPr="00816E15">
        <w:rPr>
          <w:rFonts w:cs="Times New Roman"/>
          <w:szCs w:val="24"/>
        </w:rPr>
        <w:t>nowe rozwiązania prawne</w:t>
      </w:r>
      <w:r w:rsidR="00BD78A9" w:rsidRPr="00816E15">
        <w:rPr>
          <w:rFonts w:cs="Times New Roman"/>
          <w:szCs w:val="24"/>
        </w:rPr>
        <w:t>,</w:t>
      </w:r>
      <w:r w:rsidR="00307104" w:rsidRPr="00816E15">
        <w:rPr>
          <w:rFonts w:cs="Times New Roman"/>
          <w:szCs w:val="24"/>
        </w:rPr>
        <w:t xml:space="preserve"> nie noszą </w:t>
      </w:r>
      <w:r w:rsidR="00307104" w:rsidRPr="00816E15">
        <w:rPr>
          <w:rFonts w:cs="Times New Roman"/>
          <w:i/>
          <w:szCs w:val="24"/>
        </w:rPr>
        <w:t>per se</w:t>
      </w:r>
      <w:r w:rsidR="00307104" w:rsidRPr="00816E15">
        <w:rPr>
          <w:rFonts w:cs="Times New Roman"/>
          <w:szCs w:val="24"/>
        </w:rPr>
        <w:t xml:space="preserve"> znamion czasowości</w:t>
      </w:r>
      <w:r w:rsidR="00A61EC4" w:rsidRPr="00816E15">
        <w:rPr>
          <w:rFonts w:cs="Times New Roman"/>
          <w:szCs w:val="24"/>
        </w:rPr>
        <w:t xml:space="preserve"> tzn. zastosowanie obecnie obowiązującej normy prawnej poprzez wykreowanie danego stanu faktycznego, uniemożliwi w przyszłości stosowanie nowej normy, której skutkiem ma być podobny stan faktyczny, ale w ramach której zmianie ulegają warunki</w:t>
      </w:r>
      <w:r w:rsidR="00307104" w:rsidRPr="00816E15">
        <w:rPr>
          <w:rFonts w:cs="Times New Roman"/>
          <w:szCs w:val="24"/>
        </w:rPr>
        <w:t xml:space="preserve">. </w:t>
      </w:r>
    </w:p>
    <w:p w14:paraId="7C35885B" w14:textId="78FC732B" w:rsidR="00307104" w:rsidRPr="00816E15" w:rsidRDefault="00F91105" w:rsidP="00CF5AAF">
      <w:pPr>
        <w:tabs>
          <w:tab w:val="left" w:pos="2910"/>
        </w:tabs>
        <w:suppressAutoHyphens/>
        <w:autoSpaceDE w:val="0"/>
        <w:autoSpaceDN w:val="0"/>
        <w:adjustRightInd w:val="0"/>
        <w:spacing w:before="120" w:line="360" w:lineRule="auto"/>
        <w:jc w:val="both"/>
        <w:rPr>
          <w:rFonts w:cs="Times New Roman"/>
          <w:szCs w:val="24"/>
        </w:rPr>
      </w:pPr>
      <w:r w:rsidRPr="00816E15">
        <w:rPr>
          <w:rFonts w:cs="Times New Roman"/>
          <w:szCs w:val="24"/>
        </w:rPr>
        <w:t>Zastosowanie pojęcia postępowań „wszczętych i niezakończonych” jest konieczne z perspektywy utrzymania zasady pewności prawa w świetle zasady demokratycznego państwa prawnego. Podmioty bankowe</w:t>
      </w:r>
      <w:r w:rsidR="00BD78A9" w:rsidRPr="00816E15">
        <w:rPr>
          <w:rFonts w:cs="Times New Roman"/>
          <w:szCs w:val="24"/>
        </w:rPr>
        <w:t>,</w:t>
      </w:r>
      <w:r w:rsidRPr="00816E15">
        <w:rPr>
          <w:rFonts w:cs="Times New Roman"/>
          <w:szCs w:val="24"/>
        </w:rPr>
        <w:t xml:space="preserve"> wobec których </w:t>
      </w:r>
      <w:r w:rsidR="00747D37" w:rsidRPr="00816E15">
        <w:rPr>
          <w:rFonts w:cs="Times New Roman"/>
          <w:szCs w:val="24"/>
        </w:rPr>
        <w:t>–</w:t>
      </w:r>
      <w:r w:rsidR="00BD78A9" w:rsidRPr="00816E15">
        <w:rPr>
          <w:rFonts w:cs="Times New Roman"/>
          <w:szCs w:val="24"/>
        </w:rPr>
        <w:t xml:space="preserve"> </w:t>
      </w:r>
      <w:r w:rsidRPr="00816E15">
        <w:rPr>
          <w:rFonts w:cs="Times New Roman"/>
          <w:szCs w:val="24"/>
        </w:rPr>
        <w:t>w przypadku zagrożenia lub naruszenia właściwych norm dotyczących kapitałów własnych, miar płynności i innych szczególnych wymogów</w:t>
      </w:r>
      <w:r w:rsidR="00BD78A9" w:rsidRPr="00816E15">
        <w:rPr>
          <w:rFonts w:cs="Times New Roman"/>
          <w:szCs w:val="24"/>
        </w:rPr>
        <w:t xml:space="preserve"> </w:t>
      </w:r>
      <w:r w:rsidR="003A3422">
        <w:rPr>
          <w:rFonts w:cs="Times New Roman"/>
          <w:szCs w:val="24"/>
        </w:rPr>
        <w:t xml:space="preserve">– </w:t>
      </w:r>
      <w:r w:rsidRPr="00816E15">
        <w:rPr>
          <w:rFonts w:cs="Times New Roman"/>
          <w:szCs w:val="24"/>
        </w:rPr>
        <w:t>zastosowano instrumenty wczesnej interwencji (plan naprawy)</w:t>
      </w:r>
      <w:r w:rsidR="003A3422">
        <w:rPr>
          <w:rFonts w:cs="Times New Roman"/>
          <w:szCs w:val="24"/>
        </w:rPr>
        <w:t>,</w:t>
      </w:r>
      <w:r w:rsidR="00BD78A9" w:rsidRPr="00816E15">
        <w:rPr>
          <w:rFonts w:cs="Times New Roman"/>
          <w:szCs w:val="24"/>
        </w:rPr>
        <w:t xml:space="preserve"> </w:t>
      </w:r>
      <w:r w:rsidRPr="00816E15">
        <w:rPr>
          <w:rFonts w:cs="Times New Roman"/>
          <w:szCs w:val="24"/>
        </w:rPr>
        <w:t>powinny mieć pewność, że opracowane w ramach aktualnego porządku programy postępowania naprawczego, które mogą stanowić grunt do przymusowej restrukturyzacji</w:t>
      </w:r>
      <w:r w:rsidR="00BD78A9" w:rsidRPr="00816E15">
        <w:rPr>
          <w:rFonts w:cs="Times New Roman"/>
          <w:szCs w:val="24"/>
        </w:rPr>
        <w:t>,</w:t>
      </w:r>
      <w:r w:rsidRPr="00816E15">
        <w:rPr>
          <w:rFonts w:cs="Times New Roman"/>
          <w:szCs w:val="24"/>
        </w:rPr>
        <w:t xml:space="preserve"> powinny być osadzone w dotychczasowym otoczeniu prawnym. </w:t>
      </w:r>
      <w:r w:rsidR="004907D7" w:rsidRPr="00816E15">
        <w:rPr>
          <w:rFonts w:cs="Times New Roman"/>
          <w:szCs w:val="24"/>
        </w:rPr>
        <w:t>B</w:t>
      </w:r>
      <w:r w:rsidRPr="00816E15">
        <w:rPr>
          <w:rFonts w:cs="Times New Roman"/>
          <w:szCs w:val="24"/>
        </w:rPr>
        <w:t>ank realizujący program postępowania naprawczego albo wykazuj</w:t>
      </w:r>
      <w:r w:rsidR="009C5DC6" w:rsidRPr="00816E15">
        <w:rPr>
          <w:rFonts w:cs="Times New Roman"/>
          <w:szCs w:val="24"/>
        </w:rPr>
        <w:t xml:space="preserve">ący stratę powinien dodatkowo </w:t>
      </w:r>
      <w:r w:rsidR="00E94E66" w:rsidRPr="00816E15">
        <w:rPr>
          <w:rFonts w:cs="Times New Roman"/>
          <w:szCs w:val="24"/>
        </w:rPr>
        <w:t xml:space="preserve">podjąć właściwe czynności w </w:t>
      </w:r>
      <w:r w:rsidR="009C5DC6" w:rsidRPr="00816E15">
        <w:rPr>
          <w:rFonts w:cs="Times New Roman"/>
          <w:szCs w:val="24"/>
        </w:rPr>
        <w:t>zakresie</w:t>
      </w:r>
      <w:r w:rsidR="00E94E66" w:rsidRPr="00816E15">
        <w:rPr>
          <w:rFonts w:cs="Times New Roman"/>
          <w:szCs w:val="24"/>
        </w:rPr>
        <w:t xml:space="preserve"> zarządzania</w:t>
      </w:r>
      <w:r w:rsidR="009C5DC6" w:rsidRPr="00816E15">
        <w:rPr>
          <w:rFonts w:cs="Times New Roman"/>
          <w:szCs w:val="24"/>
        </w:rPr>
        <w:t xml:space="preserve"> „</w:t>
      </w:r>
      <w:r w:rsidR="00E94E66" w:rsidRPr="00816E15">
        <w:rPr>
          <w:rFonts w:cs="Times New Roman"/>
          <w:szCs w:val="24"/>
        </w:rPr>
        <w:t>ryzykiem</w:t>
      </w:r>
      <w:r w:rsidR="009C5DC6" w:rsidRPr="00816E15">
        <w:rPr>
          <w:rFonts w:cs="Times New Roman"/>
          <w:szCs w:val="24"/>
        </w:rPr>
        <w:t xml:space="preserve"> prawn</w:t>
      </w:r>
      <w:r w:rsidR="00E94E66" w:rsidRPr="00816E15">
        <w:rPr>
          <w:rFonts w:cs="Times New Roman"/>
          <w:szCs w:val="24"/>
        </w:rPr>
        <w:t>ym</w:t>
      </w:r>
      <w:r w:rsidR="009C5DC6" w:rsidRPr="00816E15">
        <w:rPr>
          <w:rFonts w:cs="Times New Roman"/>
          <w:szCs w:val="24"/>
        </w:rPr>
        <w:t>”</w:t>
      </w:r>
      <w:r w:rsidR="00BD78A9" w:rsidRPr="00816E15">
        <w:rPr>
          <w:rFonts w:cs="Times New Roman"/>
          <w:szCs w:val="24"/>
        </w:rPr>
        <w:t>,</w:t>
      </w:r>
      <w:r w:rsidR="009C5DC6" w:rsidRPr="00816E15">
        <w:rPr>
          <w:rFonts w:cs="Times New Roman"/>
          <w:szCs w:val="24"/>
        </w:rPr>
        <w:t xml:space="preserve"> z jakim </w:t>
      </w:r>
      <w:r w:rsidR="00E94E66" w:rsidRPr="00816E15">
        <w:rPr>
          <w:rFonts w:cs="Times New Roman"/>
          <w:szCs w:val="24"/>
        </w:rPr>
        <w:t xml:space="preserve">może </w:t>
      </w:r>
      <w:r w:rsidR="009C5DC6" w:rsidRPr="00816E15">
        <w:rPr>
          <w:rFonts w:cs="Times New Roman"/>
          <w:szCs w:val="24"/>
        </w:rPr>
        <w:t>wiązać się wszczęcie przymusowej restrukturyzacji po 1 stycznia 2019 r. (termin wejścia w życie ustawy</w:t>
      </w:r>
      <w:r w:rsidR="00BD78A9" w:rsidRPr="00816E15">
        <w:rPr>
          <w:rFonts w:cs="Times New Roman"/>
          <w:szCs w:val="24"/>
        </w:rPr>
        <w:t>,</w:t>
      </w:r>
      <w:r w:rsidR="009C5DC6" w:rsidRPr="00816E15">
        <w:rPr>
          <w:rFonts w:cs="Times New Roman"/>
          <w:szCs w:val="24"/>
        </w:rPr>
        <w:t xml:space="preserve"> poza wyjątkami).</w:t>
      </w:r>
    </w:p>
    <w:p w14:paraId="559290C7" w14:textId="3AC641D2" w:rsidR="009D50A1" w:rsidRPr="00816E15" w:rsidRDefault="009D50A1" w:rsidP="00CF5AAF">
      <w:pPr>
        <w:tabs>
          <w:tab w:val="left" w:pos="2910"/>
        </w:tabs>
        <w:suppressAutoHyphens/>
        <w:autoSpaceDE w:val="0"/>
        <w:autoSpaceDN w:val="0"/>
        <w:adjustRightInd w:val="0"/>
        <w:spacing w:before="120" w:line="360" w:lineRule="auto"/>
        <w:jc w:val="both"/>
        <w:rPr>
          <w:szCs w:val="24"/>
        </w:rPr>
      </w:pPr>
      <w:r w:rsidRPr="00816E15">
        <w:rPr>
          <w:rFonts w:cs="Times New Roman"/>
          <w:b/>
          <w:szCs w:val="24"/>
        </w:rPr>
        <w:t xml:space="preserve">Art. 12 </w:t>
      </w:r>
      <w:r w:rsidRPr="00816E15">
        <w:rPr>
          <w:rFonts w:cs="Times New Roman"/>
          <w:szCs w:val="24"/>
        </w:rPr>
        <w:t>ma na celu umożliwienie w perspektywie czasowej o</w:t>
      </w:r>
      <w:r w:rsidRPr="00816E15">
        <w:rPr>
          <w:szCs w:val="24"/>
        </w:rPr>
        <w:t>siągnięcie zwolnienia banków hipotecznych z obowiązków oraz obciążeń finansowych, informacyjnych i administracyjnych. W tym zakresie zamiast wprowadzenia innego niż 1 stycznia 2019 r. terminu wejścia w życie ustawy proponowane jest dodanie przepisu przejściowego. W związku z pośrednią zmianą art. 330 ust. 7, polegającą na zmianie kręgu podmiotów zobowiązanych do realizacji obowiązków określonych w wydanym na jego podstawie akcie wykonawczym, tj. rozporządzeniu Ministra Rozwoju i Finansów z dnia 22 lutego 2017 r. w sprawie szczegółowego zakresu, trybu i terminów przekazywania Bankowemu Funduszowi Gwarancyjnemu informacji innych niż przekazywane do Narodowego Banku Polskiego i do Komisji Nadzoru Finansowego, niezbędnych do wykonywania zadań Bankowego Funduszu Gwarancyjnego</w:t>
      </w:r>
      <w:r w:rsidRPr="00816E15" w:rsidDel="00DD3CCC">
        <w:rPr>
          <w:szCs w:val="24"/>
        </w:rPr>
        <w:t xml:space="preserve"> </w:t>
      </w:r>
      <w:r w:rsidRPr="00816E15">
        <w:rPr>
          <w:szCs w:val="24"/>
        </w:rPr>
        <w:t>(Dz. U. poz.</w:t>
      </w:r>
      <w:r w:rsidR="00D460F2">
        <w:rPr>
          <w:szCs w:val="24"/>
        </w:rPr>
        <w:t> </w:t>
      </w:r>
      <w:r w:rsidRPr="00816E15">
        <w:rPr>
          <w:szCs w:val="24"/>
        </w:rPr>
        <w:t>470), przepisy te zostaną czasowo utrzymane w mocy.</w:t>
      </w:r>
    </w:p>
    <w:p w14:paraId="7F7840A4" w14:textId="25CCFA67" w:rsidR="00E27D18" w:rsidRPr="00816E15" w:rsidRDefault="009D50A1" w:rsidP="00CF5AAF">
      <w:pPr>
        <w:tabs>
          <w:tab w:val="left" w:pos="2910"/>
        </w:tabs>
        <w:suppressAutoHyphens/>
        <w:autoSpaceDE w:val="0"/>
        <w:autoSpaceDN w:val="0"/>
        <w:adjustRightInd w:val="0"/>
        <w:spacing w:before="120" w:line="360" w:lineRule="auto"/>
        <w:jc w:val="both"/>
        <w:rPr>
          <w:color w:val="000000"/>
          <w:szCs w:val="24"/>
        </w:rPr>
      </w:pPr>
      <w:r w:rsidRPr="00816E15">
        <w:rPr>
          <w:rFonts w:cs="Times New Roman"/>
          <w:szCs w:val="24"/>
        </w:rPr>
        <w:t xml:space="preserve">Odnośnie </w:t>
      </w:r>
      <w:r w:rsidR="00E2770C">
        <w:rPr>
          <w:rFonts w:cs="Times New Roman"/>
          <w:szCs w:val="24"/>
        </w:rPr>
        <w:t xml:space="preserve">do </w:t>
      </w:r>
      <w:r w:rsidRPr="00816E15">
        <w:rPr>
          <w:rFonts w:cs="Times New Roman"/>
          <w:szCs w:val="24"/>
        </w:rPr>
        <w:t>terminu wejścia w życie</w:t>
      </w:r>
      <w:r w:rsidR="00E2770C">
        <w:rPr>
          <w:rFonts w:cs="Times New Roman"/>
          <w:szCs w:val="24"/>
        </w:rPr>
        <w:t>,</w:t>
      </w:r>
      <w:r w:rsidRPr="00816E15">
        <w:rPr>
          <w:rFonts w:cs="Times New Roman"/>
          <w:szCs w:val="24"/>
        </w:rPr>
        <w:t xml:space="preserve"> tj. </w:t>
      </w:r>
      <w:r w:rsidRPr="00816E15">
        <w:rPr>
          <w:rFonts w:cs="Times New Roman"/>
          <w:b/>
          <w:szCs w:val="24"/>
        </w:rPr>
        <w:t xml:space="preserve">art. 13, </w:t>
      </w:r>
      <w:r w:rsidRPr="00816E15">
        <w:rPr>
          <w:rFonts w:cs="Times New Roman"/>
          <w:szCs w:val="24"/>
        </w:rPr>
        <w:t>w</w:t>
      </w:r>
      <w:r w:rsidR="009270B7" w:rsidRPr="00816E15">
        <w:rPr>
          <w:rFonts w:cs="Times New Roman"/>
          <w:szCs w:val="24"/>
        </w:rPr>
        <w:t xml:space="preserve"> przypadku większości przepisów dot. zmian w ustawie o BFG z uwagi na ich stosowalność w ramach przymusowej restrukturyzacji lub pozostających w gestii BFG skrócony termin nie dotyczy bezpośrednio obowiązków podmiotowych rynkowych. Największy ciężar zmian dotyczy </w:t>
      </w:r>
      <w:r w:rsidR="009D15C6" w:rsidRPr="00816E15">
        <w:rPr>
          <w:rFonts w:cs="Times New Roman"/>
          <w:szCs w:val="24"/>
        </w:rPr>
        <w:t>niestosowanej</w:t>
      </w:r>
      <w:r w:rsidR="00F23355" w:rsidRPr="00816E15">
        <w:rPr>
          <w:rFonts w:cs="Times New Roman"/>
          <w:szCs w:val="24"/>
        </w:rPr>
        <w:t xml:space="preserve"> dotychczasowo w Polsce</w:t>
      </w:r>
      <w:r w:rsidR="009D15C6" w:rsidRPr="00816E15">
        <w:rPr>
          <w:rFonts w:cs="Times New Roman"/>
          <w:szCs w:val="24"/>
        </w:rPr>
        <w:t xml:space="preserve"> </w:t>
      </w:r>
      <w:r w:rsidR="009270B7" w:rsidRPr="00816E15">
        <w:rPr>
          <w:rFonts w:cs="Times New Roman"/>
          <w:szCs w:val="24"/>
        </w:rPr>
        <w:t>procedury przymusowej restrukturyzacji. D</w:t>
      </w:r>
      <w:r w:rsidR="009270B7" w:rsidRPr="00816E15">
        <w:rPr>
          <w:color w:val="000000"/>
          <w:szCs w:val="24"/>
        </w:rPr>
        <w:t xml:space="preserve">oprecyzowania, skorygowanie odesłań, ujednolicenie terminologii służą lepszemu przygotowaniu przepisów na wypadek niekorzystnych fluktuacji rynkowych czy zagrożeniu stabilności finansowej. Należy zwrócić w szczególności uwagę, że wejście w życie ustawy </w:t>
      </w:r>
      <w:r w:rsidR="00F76C66" w:rsidRPr="00816E15">
        <w:rPr>
          <w:color w:val="000000"/>
          <w:szCs w:val="24"/>
        </w:rPr>
        <w:t xml:space="preserve">z dniem </w:t>
      </w:r>
      <w:r w:rsidR="009270B7" w:rsidRPr="00816E15">
        <w:rPr>
          <w:color w:val="000000"/>
          <w:szCs w:val="24"/>
        </w:rPr>
        <w:t>1 stycznia 2019 r. w zakresie przepisów dotyczących</w:t>
      </w:r>
      <w:r w:rsidR="00E27D18" w:rsidRPr="00816E15">
        <w:rPr>
          <w:color w:val="000000"/>
          <w:szCs w:val="24"/>
        </w:rPr>
        <w:t>:</w:t>
      </w:r>
    </w:p>
    <w:p w14:paraId="6C569754" w14:textId="0002130B" w:rsidR="00E27D18" w:rsidRPr="00816E15" w:rsidRDefault="00E27D18" w:rsidP="00CF5AAF">
      <w:pPr>
        <w:pStyle w:val="Akapitzlist"/>
        <w:numPr>
          <w:ilvl w:val="0"/>
          <w:numId w:val="23"/>
        </w:numPr>
        <w:tabs>
          <w:tab w:val="left" w:pos="2910"/>
        </w:tabs>
        <w:suppressAutoHyphens/>
        <w:autoSpaceDE w:val="0"/>
        <w:autoSpaceDN w:val="0"/>
        <w:adjustRightInd w:val="0"/>
        <w:spacing w:before="120" w:line="360" w:lineRule="auto"/>
        <w:jc w:val="both"/>
        <w:rPr>
          <w:rFonts w:cs="Times New Roman"/>
          <w:szCs w:val="24"/>
        </w:rPr>
      </w:pPr>
      <w:r w:rsidRPr="00816E15">
        <w:rPr>
          <w:color w:val="000000"/>
          <w:szCs w:val="24"/>
        </w:rPr>
        <w:t>terminów opiniowania w zakresie</w:t>
      </w:r>
      <w:r w:rsidR="009270B7" w:rsidRPr="00816E15">
        <w:rPr>
          <w:color w:val="000000"/>
          <w:szCs w:val="24"/>
        </w:rPr>
        <w:t xml:space="preserve"> </w:t>
      </w:r>
      <w:r w:rsidRPr="00816E15">
        <w:rPr>
          <w:color w:val="000000"/>
          <w:szCs w:val="24"/>
        </w:rPr>
        <w:t xml:space="preserve">przygotowywania planów przymusowej restrukturyzacji, których przegląd co do zasady jest dokonywany raz w roku, </w:t>
      </w:r>
    </w:p>
    <w:p w14:paraId="65749A12" w14:textId="77777777" w:rsidR="00E27D18" w:rsidRPr="00816E15" w:rsidRDefault="00E27D18" w:rsidP="00CF5AAF">
      <w:pPr>
        <w:pStyle w:val="Akapitzlist"/>
        <w:numPr>
          <w:ilvl w:val="0"/>
          <w:numId w:val="23"/>
        </w:numPr>
        <w:tabs>
          <w:tab w:val="left" w:pos="2910"/>
        </w:tabs>
        <w:suppressAutoHyphens/>
        <w:autoSpaceDE w:val="0"/>
        <w:autoSpaceDN w:val="0"/>
        <w:adjustRightInd w:val="0"/>
        <w:spacing w:before="120" w:line="360" w:lineRule="auto"/>
        <w:jc w:val="both"/>
        <w:rPr>
          <w:rFonts w:cs="Times New Roman"/>
          <w:szCs w:val="24"/>
        </w:rPr>
      </w:pPr>
      <w:r w:rsidRPr="00816E15">
        <w:rPr>
          <w:color w:val="000000"/>
          <w:szCs w:val="24"/>
        </w:rPr>
        <w:t xml:space="preserve">instytucji pomostowej banku zrzeszającego, </w:t>
      </w:r>
    </w:p>
    <w:p w14:paraId="64B3AACB" w14:textId="77777777" w:rsidR="00E27D18" w:rsidRPr="00816E15" w:rsidRDefault="00E27D18" w:rsidP="00CF5AAF">
      <w:pPr>
        <w:pStyle w:val="Akapitzlist"/>
        <w:numPr>
          <w:ilvl w:val="0"/>
          <w:numId w:val="23"/>
        </w:numPr>
        <w:tabs>
          <w:tab w:val="left" w:pos="2910"/>
        </w:tabs>
        <w:suppressAutoHyphens/>
        <w:autoSpaceDE w:val="0"/>
        <w:autoSpaceDN w:val="0"/>
        <w:adjustRightInd w:val="0"/>
        <w:spacing w:before="120" w:line="360" w:lineRule="auto"/>
        <w:jc w:val="both"/>
        <w:rPr>
          <w:rFonts w:cs="Times New Roman"/>
          <w:szCs w:val="24"/>
        </w:rPr>
      </w:pPr>
      <w:r w:rsidRPr="00816E15">
        <w:rPr>
          <w:color w:val="000000"/>
          <w:szCs w:val="24"/>
        </w:rPr>
        <w:t xml:space="preserve">programu pomocowego dla kas, </w:t>
      </w:r>
    </w:p>
    <w:p w14:paraId="726BF2C4" w14:textId="77777777" w:rsidR="00E27D18" w:rsidRPr="00816E15" w:rsidRDefault="00E27D18" w:rsidP="00CF5AAF">
      <w:pPr>
        <w:pStyle w:val="Akapitzlist"/>
        <w:numPr>
          <w:ilvl w:val="0"/>
          <w:numId w:val="23"/>
        </w:numPr>
        <w:tabs>
          <w:tab w:val="left" w:pos="2910"/>
        </w:tabs>
        <w:suppressAutoHyphens/>
        <w:autoSpaceDE w:val="0"/>
        <w:autoSpaceDN w:val="0"/>
        <w:adjustRightInd w:val="0"/>
        <w:spacing w:before="120" w:line="360" w:lineRule="auto"/>
        <w:jc w:val="both"/>
        <w:rPr>
          <w:rFonts w:cs="Times New Roman"/>
          <w:szCs w:val="24"/>
        </w:rPr>
      </w:pPr>
      <w:r w:rsidRPr="00816E15">
        <w:rPr>
          <w:szCs w:val="24"/>
        </w:rPr>
        <w:t>wielkość sumy bilansowej podmiotu w restrukturyzacji na poziomie skonsolidowanym,</w:t>
      </w:r>
    </w:p>
    <w:p w14:paraId="76ECAD29" w14:textId="46221FEB" w:rsidR="009270B7" w:rsidRPr="00816E15" w:rsidRDefault="00E27D18" w:rsidP="00CF5AAF">
      <w:pPr>
        <w:pStyle w:val="Akapitzlist"/>
        <w:numPr>
          <w:ilvl w:val="0"/>
          <w:numId w:val="23"/>
        </w:numPr>
        <w:tabs>
          <w:tab w:val="left" w:pos="2910"/>
        </w:tabs>
        <w:suppressAutoHyphens/>
        <w:autoSpaceDE w:val="0"/>
        <w:autoSpaceDN w:val="0"/>
        <w:adjustRightInd w:val="0"/>
        <w:spacing w:before="120" w:line="360" w:lineRule="auto"/>
        <w:jc w:val="both"/>
        <w:rPr>
          <w:rFonts w:cs="Times New Roman"/>
          <w:szCs w:val="24"/>
        </w:rPr>
      </w:pPr>
      <w:r w:rsidRPr="00816E15">
        <w:rPr>
          <w:szCs w:val="24"/>
        </w:rPr>
        <w:t>możliwość lokowania przez Fundusz środków w depozycie u Ministra Finansów,</w:t>
      </w:r>
    </w:p>
    <w:p w14:paraId="0F6EA281" w14:textId="42530308" w:rsidR="00E27D18" w:rsidRPr="00816E15" w:rsidRDefault="00E27D18" w:rsidP="00CF5AAF">
      <w:pPr>
        <w:pStyle w:val="Akapitzlist"/>
        <w:numPr>
          <w:ilvl w:val="0"/>
          <w:numId w:val="23"/>
        </w:numPr>
        <w:tabs>
          <w:tab w:val="left" w:pos="2910"/>
        </w:tabs>
        <w:suppressAutoHyphens/>
        <w:autoSpaceDE w:val="0"/>
        <w:autoSpaceDN w:val="0"/>
        <w:adjustRightInd w:val="0"/>
        <w:spacing w:before="120" w:line="360" w:lineRule="auto"/>
        <w:jc w:val="both"/>
        <w:rPr>
          <w:rFonts w:cs="Times New Roman"/>
          <w:szCs w:val="24"/>
        </w:rPr>
      </w:pPr>
      <w:r w:rsidRPr="00816E15">
        <w:rPr>
          <w:rFonts w:cs="Times New Roman"/>
          <w:szCs w:val="24"/>
        </w:rPr>
        <w:t>rachunków dla rad rodziców,</w:t>
      </w:r>
    </w:p>
    <w:p w14:paraId="3E974EF0" w14:textId="2C01FBB9" w:rsidR="00A00540" w:rsidRPr="00816E15" w:rsidRDefault="00A00540" w:rsidP="00CF5AAF">
      <w:pPr>
        <w:pStyle w:val="Akapitzlist"/>
        <w:numPr>
          <w:ilvl w:val="0"/>
          <w:numId w:val="23"/>
        </w:numPr>
        <w:tabs>
          <w:tab w:val="left" w:pos="2910"/>
        </w:tabs>
        <w:suppressAutoHyphens/>
        <w:autoSpaceDE w:val="0"/>
        <w:autoSpaceDN w:val="0"/>
        <w:adjustRightInd w:val="0"/>
        <w:spacing w:before="120" w:line="360" w:lineRule="auto"/>
        <w:jc w:val="both"/>
        <w:rPr>
          <w:rFonts w:cs="Times New Roman"/>
          <w:szCs w:val="24"/>
        </w:rPr>
      </w:pPr>
      <w:r w:rsidRPr="00816E15">
        <w:rPr>
          <w:rFonts w:cs="Times New Roman"/>
          <w:szCs w:val="24"/>
        </w:rPr>
        <w:t>zmienianych przepisów prawa podatkowego,</w:t>
      </w:r>
    </w:p>
    <w:p w14:paraId="05A81D88" w14:textId="018FB7D9" w:rsidR="00E27D18" w:rsidRPr="00816E15" w:rsidRDefault="00E27D18" w:rsidP="00CF5AAF">
      <w:pPr>
        <w:tabs>
          <w:tab w:val="left" w:pos="2910"/>
        </w:tabs>
        <w:suppressAutoHyphens/>
        <w:autoSpaceDE w:val="0"/>
        <w:autoSpaceDN w:val="0"/>
        <w:adjustRightInd w:val="0"/>
        <w:spacing w:before="120" w:line="360" w:lineRule="auto"/>
        <w:jc w:val="both"/>
        <w:rPr>
          <w:rFonts w:cs="Times New Roman"/>
          <w:szCs w:val="24"/>
        </w:rPr>
      </w:pPr>
      <w:r w:rsidRPr="00816E15">
        <w:rPr>
          <w:rFonts w:cs="Times New Roman"/>
          <w:szCs w:val="24"/>
        </w:rPr>
        <w:t>z perspektywy obowiązków rachunkowych (sprawozdawczości), domyślnego roku podatkowego w przypadku podatku od osób prawnych, kalendarzowe</w:t>
      </w:r>
      <w:r w:rsidR="00A00540" w:rsidRPr="00816E15">
        <w:rPr>
          <w:rFonts w:cs="Times New Roman"/>
          <w:szCs w:val="24"/>
        </w:rPr>
        <w:t>go roku budżetowego</w:t>
      </w:r>
      <w:r w:rsidR="001C7D29" w:rsidRPr="00816E15">
        <w:rPr>
          <w:rFonts w:cs="Times New Roman"/>
          <w:szCs w:val="24"/>
        </w:rPr>
        <w:t xml:space="preserve">, </w:t>
      </w:r>
      <w:r w:rsidR="00F76C66" w:rsidRPr="00816E15">
        <w:rPr>
          <w:rFonts w:cs="Times New Roman"/>
          <w:szCs w:val="24"/>
        </w:rPr>
        <w:t xml:space="preserve">zapewni </w:t>
      </w:r>
      <w:r w:rsidRPr="00816E15">
        <w:rPr>
          <w:rFonts w:cs="Times New Roman"/>
          <w:szCs w:val="24"/>
        </w:rPr>
        <w:t xml:space="preserve">płynne przejście pomiędzy stanem prawnym obowiązującym w ww. zakresie do końca 2018 r. a nowym stanem </w:t>
      </w:r>
      <w:r w:rsidR="00A00540" w:rsidRPr="00816E15">
        <w:rPr>
          <w:rFonts w:cs="Times New Roman"/>
          <w:szCs w:val="24"/>
        </w:rPr>
        <w:t>prawnym obowiązującym od 1 stycznia 2019 r. Projekt ma na celu zapewnienie, że sytuacje międzyczasowe, potencjalne wątpliwości</w:t>
      </w:r>
      <w:r w:rsidR="00F76C66" w:rsidRPr="00816E15">
        <w:rPr>
          <w:rFonts w:cs="Times New Roman"/>
          <w:szCs w:val="24"/>
        </w:rPr>
        <w:t>,</w:t>
      </w:r>
      <w:r w:rsidR="00A00540" w:rsidRPr="00816E15">
        <w:rPr>
          <w:rFonts w:cs="Times New Roman"/>
          <w:szCs w:val="24"/>
        </w:rPr>
        <w:t xml:space="preserve"> które mogłyby się pojawić w przypadku konieczności zaksięgowania wykorzystywanych środków</w:t>
      </w:r>
      <w:r w:rsidR="003A3422">
        <w:rPr>
          <w:rFonts w:cs="Times New Roman"/>
          <w:szCs w:val="24"/>
        </w:rPr>
        <w:t>,</w:t>
      </w:r>
      <w:r w:rsidR="00A00540" w:rsidRPr="00816E15">
        <w:rPr>
          <w:rFonts w:cs="Times New Roman"/>
          <w:szCs w:val="24"/>
        </w:rPr>
        <w:t xml:space="preserve"> zostaną rozwiązane przez zgodność z czasowymi, systemowymi rozwiązaniami rachunkowymi, podatkowymi, a także biznesowymi, które towarzyszą początkowi każdego roku. </w:t>
      </w:r>
    </w:p>
    <w:p w14:paraId="7806BA86" w14:textId="2692617D" w:rsidR="00F95B92" w:rsidRPr="00816E15" w:rsidRDefault="003A3422" w:rsidP="00CF5AAF">
      <w:pPr>
        <w:pStyle w:val="NormalnyWeb"/>
        <w:spacing w:line="360" w:lineRule="auto"/>
        <w:jc w:val="both"/>
      </w:pPr>
      <w:r>
        <w:t xml:space="preserve">W związku z brzmieniem </w:t>
      </w:r>
      <w:r w:rsidR="00006F43" w:rsidRPr="00816E15">
        <w:t>§ 30 ust. 1 pkt 2 Regulaminu pracy Rady Ministrów</w:t>
      </w:r>
      <w:r>
        <w:t>,</w:t>
      </w:r>
      <w:r w:rsidR="00006F43" w:rsidRPr="00816E15">
        <w:t xml:space="preserve"> dot</w:t>
      </w:r>
      <w:r w:rsidR="00BD78A9" w:rsidRPr="00816E15">
        <w:t>yczącym</w:t>
      </w:r>
      <w:r w:rsidR="00816E15">
        <w:t xml:space="preserve"> </w:t>
      </w:r>
      <w:r w:rsidR="00006F43" w:rsidRPr="00816E15">
        <w:t>wyjaśnienia przyczyny terminu wejścia w życie ustawy w zakresie uwzględnienia wymogów w zakresie wdrożenia dyrektyw</w:t>
      </w:r>
      <w:r>
        <w:t>,</w:t>
      </w:r>
      <w:r w:rsidR="00006F43" w:rsidRPr="00816E15">
        <w:t xml:space="preserve"> wskazać należy na tabelę zbieżności, która szczegółowo objaśnia zakres implementacji każdego prze</w:t>
      </w:r>
      <w:r w:rsidR="00F95B92" w:rsidRPr="00816E15">
        <w:t>pisu. W zakresie:</w:t>
      </w:r>
    </w:p>
    <w:p w14:paraId="216C2295" w14:textId="3EF94886" w:rsidR="00006F43" w:rsidRPr="00816E15" w:rsidRDefault="00F95B92" w:rsidP="00CF5AAF">
      <w:pPr>
        <w:pStyle w:val="NormalnyWeb"/>
        <w:numPr>
          <w:ilvl w:val="0"/>
          <w:numId w:val="22"/>
        </w:numPr>
        <w:spacing w:line="360" w:lineRule="auto"/>
        <w:jc w:val="both"/>
      </w:pPr>
      <w:r w:rsidRPr="00816E15">
        <w:t>dyrektywy BCH – termin transpozycji został oznaczony na 29 grudnia</w:t>
      </w:r>
      <w:r w:rsidR="00092E4A" w:rsidRPr="00816E15">
        <w:t xml:space="preserve"> 2018 r.</w:t>
      </w:r>
      <w:r w:rsidRPr="00816E15">
        <w:t>, wejście w życie ustawy będzie spełniać powyższe wymagania w świetle rozwiązań prawa polskiego,</w:t>
      </w:r>
    </w:p>
    <w:p w14:paraId="2CF63D5E" w14:textId="613A0A7A" w:rsidR="00F95B92" w:rsidRPr="00816E15" w:rsidRDefault="00F95B92" w:rsidP="00CF5AAF">
      <w:pPr>
        <w:pStyle w:val="NormalnyWeb"/>
        <w:numPr>
          <w:ilvl w:val="0"/>
          <w:numId w:val="22"/>
        </w:numPr>
        <w:spacing w:line="360" w:lineRule="auto"/>
        <w:jc w:val="both"/>
      </w:pPr>
      <w:r w:rsidRPr="00816E15">
        <w:t>dyrektywy BRR</w:t>
      </w:r>
      <w:r w:rsidR="00774CCB" w:rsidRPr="00816E15">
        <w:t>, dyrektywy DGS, dyrektywy Parlamentu Europejskiego i Rady 2009/44/WE z dnia 6 maja 2009 r.</w:t>
      </w:r>
      <w:r w:rsidR="00E34EF1" w:rsidRPr="00816E15">
        <w:t xml:space="preserve"> zmieniającej dyrektywę 98/26/WE w sprawie zamknięcia rozliczeń w systemach płatności i rozrachunku papierów wartościowych oraz dyrektywę 2002/47/WE w sprawie uzgodnień dotyczących zabezpieczeń finansowych w odniesieniu do systemów powiązanych i do wierzytelności kredytowych</w:t>
      </w:r>
      <w:r w:rsidR="00774CCB" w:rsidRPr="00816E15">
        <w:t>, dyrektywy Wypłacalność II</w:t>
      </w:r>
      <w:r w:rsidR="00BD78A9" w:rsidRPr="00816E15">
        <w:t xml:space="preserve"> </w:t>
      </w:r>
      <w:r w:rsidR="00280324">
        <w:t>–</w:t>
      </w:r>
      <w:r w:rsidR="00816E15">
        <w:t xml:space="preserve"> </w:t>
      </w:r>
      <w:r w:rsidR="00092E4A" w:rsidRPr="00816E15">
        <w:t>termin wdrożenia jest zgodny z terminem transpozycji</w:t>
      </w:r>
      <w:r w:rsidR="00BD78A9" w:rsidRPr="00816E15">
        <w:t>,</w:t>
      </w:r>
      <w:r w:rsidR="00092E4A" w:rsidRPr="00816E15">
        <w:t xml:space="preserve"> ponieważ implementacji stanowi uzupełnienie implementowanych przepisów,</w:t>
      </w:r>
    </w:p>
    <w:p w14:paraId="4AEA55B1" w14:textId="5C994A30" w:rsidR="002965D3" w:rsidRPr="00816E15" w:rsidRDefault="00774CCB" w:rsidP="00CF5AAF">
      <w:pPr>
        <w:pStyle w:val="NormalnyWeb"/>
        <w:numPr>
          <w:ilvl w:val="0"/>
          <w:numId w:val="22"/>
        </w:numPr>
        <w:spacing w:line="360" w:lineRule="auto"/>
        <w:jc w:val="both"/>
      </w:pPr>
      <w:r w:rsidRPr="00816E15">
        <w:rPr>
          <w:noProof/>
        </w:rPr>
        <w:t xml:space="preserve">rozporządzenia w sprawie wymogów kapitałowych, rozporządzenia MAR, </w:t>
      </w:r>
      <w:r w:rsidR="00092E4A" w:rsidRPr="00816E15">
        <w:t xml:space="preserve">rozporządzenia delegowanego Komisji (UE) 2016/1075 </w:t>
      </w:r>
      <w:r w:rsidR="008D11B4">
        <w:t>–</w:t>
      </w:r>
      <w:r w:rsidR="00BD78A9" w:rsidRPr="00816E15">
        <w:t xml:space="preserve"> </w:t>
      </w:r>
      <w:r w:rsidR="00092E4A" w:rsidRPr="00816E15">
        <w:t>termin wdrożenia jest zgodny z terminem transpozycji ponieważ implementacja ma służyć stosowaniu powyższych przepisów</w:t>
      </w:r>
      <w:r w:rsidR="002965D3" w:rsidRPr="00816E15">
        <w:t>,</w:t>
      </w:r>
    </w:p>
    <w:p w14:paraId="62FEA1A4" w14:textId="039C5056" w:rsidR="00774CCB" w:rsidRPr="00816E15" w:rsidRDefault="002965D3" w:rsidP="00CF5AAF">
      <w:pPr>
        <w:pStyle w:val="NormalnyWeb"/>
        <w:numPr>
          <w:ilvl w:val="0"/>
          <w:numId w:val="22"/>
        </w:numPr>
        <w:spacing w:line="360" w:lineRule="auto"/>
        <w:jc w:val="both"/>
      </w:pPr>
      <w:r w:rsidRPr="00816E15">
        <w:t xml:space="preserve">programu pomocowego dla spółdzielczych kas oszczędnościowo-kredytowych </w:t>
      </w:r>
      <w:r w:rsidR="008D11B4">
        <w:t>–</w:t>
      </w:r>
      <w:r w:rsidR="00BD78A9" w:rsidRPr="00816E15">
        <w:t xml:space="preserve"> </w:t>
      </w:r>
      <w:r w:rsidRPr="00816E15">
        <w:t>termin wdrożenia nie wynika ze specyfiki aktu prawnego</w:t>
      </w:r>
      <w:r w:rsidR="00BD78A9" w:rsidRPr="00816E15">
        <w:t>;</w:t>
      </w:r>
      <w:r w:rsidRPr="00816E15">
        <w:t xml:space="preserve"> zmiany służą stosowaniu właściwych regulacji pozostając w zgodzie z obowiązującym już programem pomocowym.</w:t>
      </w:r>
      <w:r w:rsidR="00816E15">
        <w:t xml:space="preserve"> </w:t>
      </w:r>
    </w:p>
    <w:p w14:paraId="5472CDA8" w14:textId="77777777" w:rsidR="001F51EF" w:rsidRPr="00816E15" w:rsidRDefault="001F51EF" w:rsidP="00CF5AAF">
      <w:pPr>
        <w:spacing w:line="360" w:lineRule="auto"/>
        <w:jc w:val="both"/>
        <w:rPr>
          <w:b/>
          <w:szCs w:val="24"/>
        </w:rPr>
      </w:pPr>
      <w:r w:rsidRPr="00816E15">
        <w:rPr>
          <w:b/>
          <w:szCs w:val="24"/>
        </w:rPr>
        <w:t>3. Kwestia zgodności regulacji z prawem Unii Europejskiej</w:t>
      </w:r>
    </w:p>
    <w:p w14:paraId="1875C9A3" w14:textId="465C817D" w:rsidR="0095045D" w:rsidRPr="00816E15" w:rsidRDefault="001F51EF" w:rsidP="00CF5AAF">
      <w:pPr>
        <w:spacing w:line="360" w:lineRule="auto"/>
        <w:jc w:val="both"/>
        <w:rPr>
          <w:szCs w:val="24"/>
          <w:lang w:eastAsia="pl-PL"/>
        </w:rPr>
      </w:pPr>
      <w:r w:rsidRPr="00816E15">
        <w:rPr>
          <w:szCs w:val="24"/>
          <w:lang w:eastAsia="pl-PL"/>
        </w:rPr>
        <w:t xml:space="preserve">Przepisy projektu pozostają w zgodzie z zakresem prawa Unii Europejskiej. </w:t>
      </w:r>
      <w:r w:rsidR="00D40245" w:rsidRPr="00816E15">
        <w:rPr>
          <w:szCs w:val="24"/>
          <w:lang w:eastAsia="pl-PL"/>
        </w:rPr>
        <w:t>Projekt zawiera przepisy, które wykraczają poza minimalny zakres wymagany prawem UE. Przepisy te zostały ujęte w załączonej do projektu odwróconej tabeli zgodności i pozostają bez wpływu na zgodność z prawem UE.</w:t>
      </w:r>
      <w:r w:rsidR="00006F43" w:rsidRPr="00816E15">
        <w:rPr>
          <w:szCs w:val="24"/>
          <w:lang w:eastAsia="pl-PL"/>
        </w:rPr>
        <w:t xml:space="preserve"> </w:t>
      </w:r>
    </w:p>
    <w:p w14:paraId="4342585A" w14:textId="2F67AF39" w:rsidR="00A15FE1" w:rsidRPr="00816E15" w:rsidRDefault="00E80593" w:rsidP="00CF5AAF">
      <w:pPr>
        <w:spacing w:after="160" w:line="360" w:lineRule="auto"/>
        <w:jc w:val="both"/>
        <w:rPr>
          <w:rFonts w:cs="Times New Roman"/>
          <w:szCs w:val="24"/>
        </w:rPr>
      </w:pPr>
      <w:r w:rsidRPr="00816E15">
        <w:rPr>
          <w:rFonts w:cs="Times New Roman"/>
          <w:szCs w:val="24"/>
        </w:rPr>
        <w:t>Projekt ustawy nie wymaga przedstawiania organom i instytucjom Unii Europejskiej w celu uzyskania opinii, dokonania powiadomienia, konsultacji albo uzgodnienia. W szczególności, zgodnie z art. 2 ust. 1 decyzji Rady 98/415/WE z dnia 29 czerwca 1998 r. w sprawie konsultacji Europejskiego Banku Centralnego udzielanych władzom krajowym w sprawie projektów przepisów prawnych (Dz. Urz. WE L 189 z 03.07.1998, str. 42</w:t>
      </w:r>
      <w:r w:rsidR="00CB1407" w:rsidRPr="00816E15">
        <w:rPr>
          <w:rFonts w:cs="Times New Roman"/>
          <w:szCs w:val="24"/>
        </w:rPr>
        <w:t xml:space="preserve"> oraz </w:t>
      </w:r>
      <w:r w:rsidRPr="00816E15">
        <w:rPr>
          <w:rFonts w:cs="Times New Roman"/>
          <w:szCs w:val="24"/>
        </w:rPr>
        <w:t xml:space="preserve">Dz. Urz. UE Polskie Wydanie Specjalne rozdz. 1, t. 1, str. 446). </w:t>
      </w:r>
      <w:r w:rsidR="005135C1" w:rsidRPr="00816E15">
        <w:rPr>
          <w:rFonts w:cs="Times New Roman"/>
          <w:szCs w:val="24"/>
        </w:rPr>
        <w:t>Projekt ustawy nie wywołuje istotnego wpływu na stabilność instytucji finansowych i rynków.</w:t>
      </w:r>
      <w:r w:rsidR="001C7D29" w:rsidRPr="00816E15">
        <w:rPr>
          <w:rFonts w:cs="Times New Roman"/>
          <w:szCs w:val="24"/>
        </w:rPr>
        <w:t xml:space="preserve"> Należy wskazać, że zmiany dot. przymusowej restrukturyzacji zapewnią stabilność finansową, </w:t>
      </w:r>
      <w:r w:rsidR="002B2A04" w:rsidRPr="00816E15">
        <w:rPr>
          <w:rFonts w:cs="Times New Roman"/>
          <w:szCs w:val="24"/>
        </w:rPr>
        <w:t>umożliwiając lepsze zastosowanie instrumentów w przypadku wystąpienia warunków skrajnych.</w:t>
      </w:r>
    </w:p>
    <w:p w14:paraId="1E9AE87B" w14:textId="77777777" w:rsidR="001F51EF" w:rsidRPr="00816E15" w:rsidRDefault="001F51EF" w:rsidP="00CF5AAF">
      <w:pPr>
        <w:spacing w:line="360" w:lineRule="auto"/>
        <w:jc w:val="both"/>
        <w:rPr>
          <w:b/>
          <w:szCs w:val="24"/>
        </w:rPr>
      </w:pPr>
      <w:r w:rsidRPr="00816E15">
        <w:rPr>
          <w:b/>
          <w:szCs w:val="24"/>
        </w:rPr>
        <w:t>4. Wymóg dokonania notyfikacji projektowanej ustawy</w:t>
      </w:r>
    </w:p>
    <w:p w14:paraId="7CC17ED7" w14:textId="65E07FBC" w:rsidR="00D22331" w:rsidRPr="00816E15" w:rsidRDefault="00D22331" w:rsidP="00CF5AAF">
      <w:pPr>
        <w:spacing w:after="160" w:line="360" w:lineRule="auto"/>
        <w:jc w:val="both"/>
        <w:rPr>
          <w:rFonts w:cs="Times New Roman"/>
          <w:szCs w:val="24"/>
        </w:rPr>
      </w:pPr>
      <w:r w:rsidRPr="00816E15">
        <w:rPr>
          <w:rFonts w:cs="Times New Roman"/>
          <w:szCs w:val="24"/>
        </w:rPr>
        <w:t>Projekt ustawy nie zawiera norm technicznych w rozumieniu przepisów rozporządzenia Rady Ministrów z dnia 23 grudnia 2002 r. w sprawie sposobu funkcjonowania krajowego systemu notyfikacji norm i aktów prawnych (Dz. U. poz. 2039</w:t>
      </w:r>
      <w:r w:rsidR="007B4829" w:rsidRPr="00816E15">
        <w:rPr>
          <w:rFonts w:cs="Times New Roman"/>
          <w:szCs w:val="24"/>
        </w:rPr>
        <w:t>, z późn. zm.</w:t>
      </w:r>
      <w:r w:rsidRPr="00816E15">
        <w:rPr>
          <w:rFonts w:cs="Times New Roman"/>
          <w:szCs w:val="24"/>
        </w:rPr>
        <w:t>), w związku z</w:t>
      </w:r>
      <w:r w:rsidR="00687468" w:rsidRPr="00816E15">
        <w:rPr>
          <w:rFonts w:cs="Times New Roman"/>
          <w:szCs w:val="24"/>
        </w:rPr>
        <w:t> </w:t>
      </w:r>
      <w:r w:rsidRPr="00816E15">
        <w:rPr>
          <w:rFonts w:cs="Times New Roman"/>
          <w:szCs w:val="24"/>
        </w:rPr>
        <w:t>czym nie podlega notyfikacji zgodnie z trybem przewidzianym w tych przepisach.</w:t>
      </w:r>
    </w:p>
    <w:p w14:paraId="1305A52C" w14:textId="1CAD3B09" w:rsidR="001F51EF" w:rsidRPr="00816E15" w:rsidRDefault="001F51EF" w:rsidP="00E2770C">
      <w:pPr>
        <w:keepNext/>
        <w:keepLines/>
        <w:spacing w:line="360" w:lineRule="auto"/>
        <w:jc w:val="both"/>
        <w:rPr>
          <w:b/>
          <w:szCs w:val="24"/>
        </w:rPr>
      </w:pPr>
      <w:r w:rsidRPr="00816E15">
        <w:rPr>
          <w:b/>
          <w:szCs w:val="24"/>
        </w:rPr>
        <w:t>5. Możliwość podjęcia alternatywnych w stosunku do projektowanej ustawy środków umożliwiających osiągnięcie celu</w:t>
      </w:r>
      <w:r w:rsidR="00F26750" w:rsidRPr="00816E15">
        <w:rPr>
          <w:b/>
          <w:szCs w:val="24"/>
        </w:rPr>
        <w:t xml:space="preserve">, powstrzymania się od ingerencji prawnej, interesu publicznego, oceny przewidywanych skutków społeczno-gospodarczych </w:t>
      </w:r>
      <w:r w:rsidR="00D55BD5" w:rsidRPr="00816E15">
        <w:rPr>
          <w:b/>
          <w:szCs w:val="24"/>
        </w:rPr>
        <w:t>(wpływ na mikroprzedsiębiorców, małych i średnich przedsiębiorców)</w:t>
      </w:r>
    </w:p>
    <w:p w14:paraId="50E992ED" w14:textId="768F7E4F" w:rsidR="00F26750" w:rsidRPr="00816E15" w:rsidRDefault="001F51EF" w:rsidP="00CF5AAF">
      <w:pPr>
        <w:spacing w:line="360" w:lineRule="auto"/>
        <w:jc w:val="both"/>
        <w:rPr>
          <w:color w:val="000000"/>
          <w:szCs w:val="24"/>
        </w:rPr>
      </w:pPr>
      <w:r w:rsidRPr="00816E15">
        <w:rPr>
          <w:szCs w:val="24"/>
        </w:rPr>
        <w:t xml:space="preserve">W przypadku implementacji </w:t>
      </w:r>
      <w:r w:rsidR="003A3422">
        <w:rPr>
          <w:szCs w:val="24"/>
        </w:rPr>
        <w:t>d</w:t>
      </w:r>
      <w:r w:rsidRPr="00816E15">
        <w:rPr>
          <w:szCs w:val="24"/>
        </w:rPr>
        <w:t>yrektyw</w:t>
      </w:r>
      <w:r w:rsidR="00206F21" w:rsidRPr="00816E15">
        <w:rPr>
          <w:szCs w:val="24"/>
        </w:rPr>
        <w:t>, zapewnieniu stosowalności przepisów rozporządzeń, programu pomocowego dla kas</w:t>
      </w:r>
      <w:r w:rsidR="00816E15">
        <w:rPr>
          <w:szCs w:val="24"/>
        </w:rPr>
        <w:t xml:space="preserve"> </w:t>
      </w:r>
      <w:r w:rsidRPr="00816E15">
        <w:rPr>
          <w:szCs w:val="24"/>
        </w:rPr>
        <w:t>jak i zmian w ustawie o BFG nie istnieje skuteczne odmienne rozwiązanie</w:t>
      </w:r>
      <w:r w:rsidR="00F26750" w:rsidRPr="00816E15">
        <w:rPr>
          <w:szCs w:val="24"/>
        </w:rPr>
        <w:t>, w tym możliwość powstrzymania się od ingerencji prawnej z perspektyw prowadzonej przed podmioty sektora finansowego działalności gospodarczej</w:t>
      </w:r>
      <w:r w:rsidR="00D22331" w:rsidRPr="00816E15">
        <w:rPr>
          <w:szCs w:val="24"/>
        </w:rPr>
        <w:t>.</w:t>
      </w:r>
      <w:r w:rsidR="000E1733" w:rsidRPr="00816E15">
        <w:rPr>
          <w:szCs w:val="24"/>
        </w:rPr>
        <w:t xml:space="preserve"> Uwzględniając ważny interes publiczny</w:t>
      </w:r>
      <w:r w:rsidR="008D11B4">
        <w:rPr>
          <w:szCs w:val="24"/>
        </w:rPr>
        <w:t>,</w:t>
      </w:r>
      <w:r w:rsidR="00F26750" w:rsidRPr="00816E15">
        <w:rPr>
          <w:szCs w:val="24"/>
        </w:rPr>
        <w:t xml:space="preserve"> zgodnie z normą </w:t>
      </w:r>
      <w:r w:rsidR="00F26750" w:rsidRPr="00816E15">
        <w:rPr>
          <w:rFonts w:cs="Times New Roman"/>
          <w:szCs w:val="24"/>
        </w:rPr>
        <w:t>art. 22 Konstytucji RP</w:t>
      </w:r>
      <w:r w:rsidR="008D11B4">
        <w:rPr>
          <w:rFonts w:cs="Times New Roman"/>
          <w:szCs w:val="24"/>
        </w:rPr>
        <w:t>,</w:t>
      </w:r>
      <w:r w:rsidR="00F26750" w:rsidRPr="00816E15">
        <w:rPr>
          <w:rFonts w:cs="Times New Roman"/>
          <w:szCs w:val="24"/>
        </w:rPr>
        <w:t xml:space="preserve"> nie stwierdza się ingerencji w wolność gospodarczą – wprowadzane przepisy stanowią normy o charakterze ostrożnościowym umożliwiającym utrzymanie podmiotów sektora finansowego w dobrej kondycji, zaś w przypadku wystąpienia trudności ich restrukturyzację. Proponowane zmiany pozostają </w:t>
      </w:r>
      <w:r w:rsidR="00F26750" w:rsidRPr="00816E15">
        <w:rPr>
          <w:color w:val="000000"/>
          <w:szCs w:val="24"/>
        </w:rPr>
        <w:t>bez wpływu na konkurencyjność gospodarki i przedsiębiorczość, w tym funkcjonowanie przedsiębiorców</w:t>
      </w:r>
      <w:r w:rsidR="003A3422">
        <w:rPr>
          <w:color w:val="000000"/>
          <w:szCs w:val="24"/>
        </w:rPr>
        <w:t>,</w:t>
      </w:r>
      <w:r w:rsidR="00F26750" w:rsidRPr="00816E15">
        <w:rPr>
          <w:color w:val="000000"/>
          <w:szCs w:val="24"/>
        </w:rPr>
        <w:t xml:space="preserve"> oraz na rodzinę, obywateli i gospodarstwa domowe, z wyjątkiem:</w:t>
      </w:r>
    </w:p>
    <w:p w14:paraId="1F723726" w14:textId="12AFD4E6" w:rsidR="00414705" w:rsidRPr="00816E15" w:rsidRDefault="00414705" w:rsidP="00CF5AAF">
      <w:pPr>
        <w:pStyle w:val="Akapitzlist"/>
        <w:numPr>
          <w:ilvl w:val="0"/>
          <w:numId w:val="18"/>
        </w:numPr>
        <w:spacing w:line="360" w:lineRule="auto"/>
        <w:jc w:val="both"/>
        <w:rPr>
          <w:szCs w:val="24"/>
        </w:rPr>
      </w:pPr>
      <w:r w:rsidRPr="00816E15">
        <w:rPr>
          <w:color w:val="000000"/>
          <w:szCs w:val="24"/>
        </w:rPr>
        <w:t xml:space="preserve">w zakresie dużych przedsiębiorstw </w:t>
      </w:r>
      <w:r w:rsidR="00747D37" w:rsidRPr="00816E15">
        <w:rPr>
          <w:color w:val="000000"/>
          <w:szCs w:val="24"/>
        </w:rPr>
        <w:t>–</w:t>
      </w:r>
      <w:r w:rsidRPr="00816E15">
        <w:rPr>
          <w:color w:val="000000"/>
          <w:szCs w:val="24"/>
        </w:rPr>
        <w:t xml:space="preserve"> zmniejszenie obciążeń dla banków hipotecznych w związku z wyłączeniem ich z obowiązków wynikających z uczestnictwa w systemie gwarantowania depozytów,</w:t>
      </w:r>
    </w:p>
    <w:p w14:paraId="5A7695F7" w14:textId="79ED96C1" w:rsidR="00414705" w:rsidRPr="00816E15" w:rsidRDefault="00414705" w:rsidP="00CF5AAF">
      <w:pPr>
        <w:pStyle w:val="Akapitzlist"/>
        <w:numPr>
          <w:ilvl w:val="0"/>
          <w:numId w:val="18"/>
        </w:numPr>
        <w:spacing w:line="360" w:lineRule="auto"/>
        <w:jc w:val="both"/>
        <w:rPr>
          <w:szCs w:val="24"/>
        </w:rPr>
      </w:pPr>
      <w:r w:rsidRPr="00816E15">
        <w:rPr>
          <w:szCs w:val="24"/>
        </w:rPr>
        <w:t xml:space="preserve">w zakresie </w:t>
      </w:r>
      <w:r w:rsidRPr="00816E15">
        <w:rPr>
          <w:color w:val="000000"/>
          <w:szCs w:val="24"/>
        </w:rPr>
        <w:t>sektora mikro</w:t>
      </w:r>
      <w:r w:rsidR="003A3422">
        <w:rPr>
          <w:color w:val="000000"/>
          <w:szCs w:val="24"/>
        </w:rPr>
        <w:t>-</w:t>
      </w:r>
      <w:r w:rsidRPr="00816E15">
        <w:rPr>
          <w:color w:val="000000"/>
          <w:szCs w:val="24"/>
        </w:rPr>
        <w:t xml:space="preserve">, małych i średnich przedsiębiorstw </w:t>
      </w:r>
      <w:r w:rsidR="00747D37" w:rsidRPr="00816E15">
        <w:rPr>
          <w:color w:val="000000"/>
          <w:szCs w:val="24"/>
        </w:rPr>
        <w:t>–</w:t>
      </w:r>
      <w:r w:rsidRPr="00816E15">
        <w:rPr>
          <w:color w:val="000000"/>
          <w:szCs w:val="24"/>
        </w:rPr>
        <w:t xml:space="preserve"> dostosowanie przepisów regulujących procesy restrukturyzacyjne w sektorze SKOK do unijnych zasad pomocy publicznej pośrednio przyczyni się do zwiększenia skuteczności regulacji, a tym samym do zapewnienia prawidłowego funkcjonowania sektora kas,</w:t>
      </w:r>
    </w:p>
    <w:p w14:paraId="673E7A05" w14:textId="72034710" w:rsidR="00414705" w:rsidRPr="00816E15" w:rsidRDefault="00414705" w:rsidP="00CF5AAF">
      <w:pPr>
        <w:pStyle w:val="Akapitzlist"/>
        <w:numPr>
          <w:ilvl w:val="0"/>
          <w:numId w:val="18"/>
        </w:numPr>
        <w:spacing w:line="360" w:lineRule="auto"/>
        <w:jc w:val="both"/>
        <w:rPr>
          <w:szCs w:val="24"/>
        </w:rPr>
      </w:pPr>
      <w:r w:rsidRPr="00816E15">
        <w:rPr>
          <w:color w:val="000000"/>
          <w:szCs w:val="24"/>
        </w:rPr>
        <w:t xml:space="preserve">zapewnienie ochrony gwarancyjnej dla środków gromadzonych na rachunkach bankowych rad rodziców pozytywnie wpłynie na bezpieczeństwo finansowe </w:t>
      </w:r>
      <w:r w:rsidRPr="00816E15">
        <w:rPr>
          <w:szCs w:val="24"/>
        </w:rPr>
        <w:t>rodziny, obywateli, gospodarstw domowych w przypadku upadłości banku,</w:t>
      </w:r>
    </w:p>
    <w:p w14:paraId="491DD7B0" w14:textId="2E79F94D" w:rsidR="00414705" w:rsidRPr="00816E15" w:rsidRDefault="00414705" w:rsidP="00CF5AAF">
      <w:pPr>
        <w:pStyle w:val="Akapitzlist"/>
        <w:numPr>
          <w:ilvl w:val="0"/>
          <w:numId w:val="18"/>
        </w:numPr>
        <w:spacing w:line="360" w:lineRule="auto"/>
        <w:jc w:val="both"/>
        <w:rPr>
          <w:szCs w:val="24"/>
        </w:rPr>
      </w:pPr>
      <w:r w:rsidRPr="00816E15">
        <w:rPr>
          <w:szCs w:val="24"/>
        </w:rPr>
        <w:t>zmniejszenie obciążeń regulacyjnych dotyczących banków hipotecznych, mniejszych banków, obrotu wierzytelnościami bankowymi zabezpieczonymi hipotecznie, tajemnicy zawodowej Funduszu.</w:t>
      </w:r>
    </w:p>
    <w:p w14:paraId="6E565487" w14:textId="70F8AAD9" w:rsidR="001F51EF" w:rsidRPr="00816E15" w:rsidRDefault="007D163A" w:rsidP="008D11B4">
      <w:pPr>
        <w:keepNext/>
        <w:keepLines/>
        <w:spacing w:line="360" w:lineRule="auto"/>
        <w:jc w:val="both"/>
        <w:rPr>
          <w:b/>
          <w:szCs w:val="24"/>
        </w:rPr>
      </w:pPr>
      <w:r w:rsidRPr="00816E15">
        <w:rPr>
          <w:b/>
          <w:szCs w:val="24"/>
        </w:rPr>
        <w:t>6</w:t>
      </w:r>
      <w:r w:rsidR="001F51EF" w:rsidRPr="00816E15">
        <w:rPr>
          <w:b/>
          <w:szCs w:val="24"/>
        </w:rPr>
        <w:t>. Zgłoszenia lobbingowe</w:t>
      </w:r>
    </w:p>
    <w:p w14:paraId="344E0E4D" w14:textId="7443CD1F" w:rsidR="004907D7" w:rsidRPr="00816E15" w:rsidRDefault="00D22331" w:rsidP="00CF5AAF">
      <w:pPr>
        <w:spacing w:after="160" w:line="360" w:lineRule="auto"/>
        <w:jc w:val="both"/>
        <w:rPr>
          <w:rFonts w:cs="Times New Roman"/>
          <w:szCs w:val="24"/>
        </w:rPr>
      </w:pPr>
      <w:r w:rsidRPr="00816E15">
        <w:rPr>
          <w:rFonts w:cs="Times New Roman"/>
          <w:szCs w:val="24"/>
        </w:rPr>
        <w:t xml:space="preserve">Stosownie do art. 4 ustawy z dnia 7 lipca 2005 r. o działalności lobbingowej w procesie stanowienia prawa (Dz. U. z 2017 r. poz. 248) projekt </w:t>
      </w:r>
      <w:r w:rsidR="007D163A" w:rsidRPr="00816E15">
        <w:rPr>
          <w:rFonts w:cs="Times New Roman"/>
          <w:szCs w:val="24"/>
        </w:rPr>
        <w:t xml:space="preserve">został </w:t>
      </w:r>
      <w:r w:rsidRPr="00816E15">
        <w:rPr>
          <w:rFonts w:cs="Times New Roman"/>
          <w:szCs w:val="24"/>
        </w:rPr>
        <w:t>zamieszczony w wykazie prac legislacyjnych i programowych Rady Ministrów. Natomiast zgodnie z art. 5 tej ustawy oraz §</w:t>
      </w:r>
      <w:r w:rsidR="00AD200E" w:rsidRPr="00816E15">
        <w:rPr>
          <w:rFonts w:cs="Times New Roman"/>
          <w:szCs w:val="24"/>
        </w:rPr>
        <w:t> </w:t>
      </w:r>
      <w:r w:rsidRPr="00816E15">
        <w:rPr>
          <w:rFonts w:cs="Times New Roman"/>
          <w:szCs w:val="24"/>
        </w:rPr>
        <w:t>52 uchwały nr 190 Rady Ministrów z dnia 29 października 2013 r. – Regulamin pracy Rady Ministrów (M.P. z 2016 r. poz. 1006</w:t>
      </w:r>
      <w:r w:rsidR="00CB1407" w:rsidRPr="00816E15">
        <w:rPr>
          <w:rFonts w:cs="Times New Roman"/>
          <w:szCs w:val="24"/>
        </w:rPr>
        <w:t>, z późn. zm.</w:t>
      </w:r>
      <w:r w:rsidRPr="00816E15">
        <w:rPr>
          <w:rFonts w:cs="Times New Roman"/>
          <w:szCs w:val="24"/>
        </w:rPr>
        <w:t xml:space="preserve">) projekt ustawy </w:t>
      </w:r>
      <w:r w:rsidR="007D163A" w:rsidRPr="00816E15">
        <w:rPr>
          <w:rFonts w:cs="Times New Roman"/>
          <w:szCs w:val="24"/>
        </w:rPr>
        <w:t xml:space="preserve">został </w:t>
      </w:r>
      <w:r w:rsidRPr="00816E15">
        <w:rPr>
          <w:rFonts w:cs="Times New Roman"/>
          <w:szCs w:val="24"/>
        </w:rPr>
        <w:t>udostępniony w</w:t>
      </w:r>
      <w:r w:rsidR="00AD200E" w:rsidRPr="00816E15">
        <w:rPr>
          <w:rFonts w:cs="Times New Roman"/>
          <w:szCs w:val="24"/>
        </w:rPr>
        <w:t> B</w:t>
      </w:r>
      <w:r w:rsidRPr="00816E15">
        <w:rPr>
          <w:rFonts w:cs="Times New Roman"/>
          <w:szCs w:val="24"/>
        </w:rPr>
        <w:t>iuletynie Informacji Publicznej na stronie podmiotowej Rządowego Centrum Legislacji</w:t>
      </w:r>
      <w:r w:rsidR="002B2A04" w:rsidRPr="00816E15">
        <w:rPr>
          <w:rFonts w:cs="Times New Roman"/>
          <w:szCs w:val="24"/>
        </w:rPr>
        <w:t xml:space="preserve"> – numer z wykazu UC110</w:t>
      </w:r>
      <w:r w:rsidRPr="00816E15">
        <w:rPr>
          <w:rFonts w:cs="Times New Roman"/>
          <w:szCs w:val="24"/>
        </w:rPr>
        <w:t>.</w:t>
      </w:r>
      <w:r w:rsidR="009919F6" w:rsidRPr="00816E15">
        <w:rPr>
          <w:rFonts w:cs="Times New Roman"/>
          <w:szCs w:val="24"/>
        </w:rPr>
        <w:t xml:space="preserve"> </w:t>
      </w:r>
      <w:r w:rsidR="00E67854" w:rsidRPr="00816E15">
        <w:rPr>
          <w:szCs w:val="24"/>
        </w:rPr>
        <w:t xml:space="preserve">Żaden podmiot nie zgłosił zainteresowania pracami nad projektem w trybie </w:t>
      </w:r>
      <w:r w:rsidR="00217DAC" w:rsidRPr="00816E15">
        <w:rPr>
          <w:szCs w:val="24"/>
        </w:rPr>
        <w:t xml:space="preserve">tej </w:t>
      </w:r>
      <w:r w:rsidR="00E67854" w:rsidRPr="00816E15">
        <w:rPr>
          <w:szCs w:val="24"/>
        </w:rPr>
        <w:t>ustawy.</w:t>
      </w:r>
    </w:p>
    <w:sectPr w:rsidR="004907D7" w:rsidRPr="00816E15">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6F158" w14:textId="77777777" w:rsidR="00C35D81" w:rsidRDefault="00C35D81" w:rsidP="00881752">
      <w:pPr>
        <w:spacing w:after="0" w:line="240" w:lineRule="auto"/>
      </w:pPr>
      <w:r>
        <w:separator/>
      </w:r>
    </w:p>
  </w:endnote>
  <w:endnote w:type="continuationSeparator" w:id="0">
    <w:p w14:paraId="30985E2F" w14:textId="77777777" w:rsidR="00C35D81" w:rsidRDefault="00C35D81" w:rsidP="00881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EE"/>
    <w:family w:val="swiss"/>
    <w:pitch w:val="variable"/>
    <w:sig w:usb0="A00006FF" w:usb1="4000205B" w:usb2="00000010" w:usb3="00000000" w:csb0="000001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541756"/>
      <w:docPartObj>
        <w:docPartGallery w:val="Page Numbers (Bottom of Page)"/>
        <w:docPartUnique/>
      </w:docPartObj>
    </w:sdtPr>
    <w:sdtEndPr/>
    <w:sdtContent>
      <w:p w14:paraId="3784F00C" w14:textId="261F49E1" w:rsidR="00C35D81" w:rsidRDefault="00C35D81">
        <w:pPr>
          <w:pStyle w:val="Stopka"/>
          <w:jc w:val="center"/>
        </w:pPr>
        <w:r>
          <w:fldChar w:fldCharType="begin"/>
        </w:r>
        <w:r>
          <w:instrText>PAGE   \* MERGEFORMAT</w:instrText>
        </w:r>
        <w:r>
          <w:fldChar w:fldCharType="separate"/>
        </w:r>
        <w:r w:rsidR="008A0DCB">
          <w:rPr>
            <w:noProof/>
          </w:rPr>
          <w:t>1</w:t>
        </w:r>
        <w:r>
          <w:fldChar w:fldCharType="end"/>
        </w:r>
      </w:p>
    </w:sdtContent>
  </w:sdt>
  <w:p w14:paraId="142F3467" w14:textId="77777777" w:rsidR="00C35D81" w:rsidRDefault="00C35D8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F9200" w14:textId="77777777" w:rsidR="00C35D81" w:rsidRDefault="00C35D81" w:rsidP="00881752">
      <w:pPr>
        <w:spacing w:after="0" w:line="240" w:lineRule="auto"/>
      </w:pPr>
      <w:r>
        <w:separator/>
      </w:r>
    </w:p>
  </w:footnote>
  <w:footnote w:type="continuationSeparator" w:id="0">
    <w:p w14:paraId="09F6FA0E" w14:textId="77777777" w:rsidR="00C35D81" w:rsidRDefault="00C35D81" w:rsidP="00881752">
      <w:pPr>
        <w:spacing w:after="0" w:line="240" w:lineRule="auto"/>
      </w:pPr>
      <w:r>
        <w:continuationSeparator/>
      </w:r>
    </w:p>
  </w:footnote>
  <w:footnote w:id="1">
    <w:p w14:paraId="0502B9BF" w14:textId="705A74F5" w:rsidR="00C35D81" w:rsidRDefault="00C35D81" w:rsidP="00387361">
      <w:pPr>
        <w:pStyle w:val="Tekstprzypisudolnego"/>
        <w:jc w:val="both"/>
        <w:rPr>
          <w:rFonts w:cs="Times New Roman"/>
        </w:rPr>
      </w:pPr>
      <w:r>
        <w:rPr>
          <w:rStyle w:val="Odwoanieprzypisudolnego"/>
          <w:rFonts w:cs="Times New Roman"/>
        </w:rPr>
        <w:footnoteRef/>
      </w:r>
      <w:r w:rsidRPr="002F3F55">
        <w:rPr>
          <w:rFonts w:cs="Times New Roman"/>
          <w:vertAlign w:val="superscript"/>
        </w:rPr>
        <w:t>)</w:t>
      </w:r>
      <w:r>
        <w:rPr>
          <w:rFonts w:cs="Times New Roman"/>
        </w:rPr>
        <w:t xml:space="preserve"> Również w art. 27 Karty Praw Podstawowych Unii Europejskiej wskazano, że pracownikom i ich przedstawicielom należy zagwarantować, na właściwych poziomach, informację i konsultację we właściwym czasie, w przypadkach i na warunkach przewidzianych w prawie Unii oraz ustawodawstwach i praktykach krajowych.</w:t>
      </w:r>
    </w:p>
  </w:footnote>
  <w:footnote w:id="2">
    <w:p w14:paraId="252587AA" w14:textId="63542756" w:rsidR="00C35D81" w:rsidRDefault="00C35D81" w:rsidP="00816E15">
      <w:pPr>
        <w:pStyle w:val="Tekstprzypisudolnego"/>
        <w:jc w:val="both"/>
      </w:pPr>
      <w:r>
        <w:rPr>
          <w:rStyle w:val="Odwoanieprzypisudolnego"/>
        </w:rPr>
        <w:footnoteRef/>
      </w:r>
      <w:r w:rsidRPr="002F3F55">
        <w:rPr>
          <w:rFonts w:cs="Times New Roman"/>
          <w:vertAlign w:val="superscript"/>
        </w:rPr>
        <w:t>)</w:t>
      </w:r>
      <w:r>
        <w:t xml:space="preserve"> D</w:t>
      </w:r>
      <w:r w:rsidRPr="00103B86">
        <w:t>yrektywa Parlamentu Europejskiego i Rady 2014/59/UE z dnia 15 maja 2014 r. ustanawiająca ramy na potrzeby prowadzenia działań naprawczych oraz restrukturyzacji i uporządkowanej likwidacji w odniesieniu do instytucji kredytowych i firm inwestycyjnych</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D7E81"/>
    <w:multiLevelType w:val="hybridMultilevel"/>
    <w:tmpl w:val="CE5C1CE4"/>
    <w:lvl w:ilvl="0" w:tplc="04150001">
      <w:start w:val="1"/>
      <w:numFmt w:val="bullet"/>
      <w:lvlText w:val=""/>
      <w:lvlJc w:val="left"/>
      <w:pPr>
        <w:ind w:left="1428" w:hanging="360"/>
      </w:pPr>
      <w:rPr>
        <w:rFonts w:ascii="Symbol" w:hAnsi="Symbol" w:hint="default"/>
      </w:rPr>
    </w:lvl>
    <w:lvl w:ilvl="1" w:tplc="04150003">
      <w:start w:val="1"/>
      <w:numFmt w:val="bullet"/>
      <w:lvlText w:val="o"/>
      <w:lvlJc w:val="left"/>
      <w:pPr>
        <w:ind w:left="2148" w:hanging="360"/>
      </w:pPr>
      <w:rPr>
        <w:rFonts w:ascii="Courier New" w:hAnsi="Courier New" w:cs="Courier New" w:hint="default"/>
      </w:rPr>
    </w:lvl>
    <w:lvl w:ilvl="2" w:tplc="04150005">
      <w:start w:val="1"/>
      <w:numFmt w:val="bullet"/>
      <w:lvlText w:val=""/>
      <w:lvlJc w:val="left"/>
      <w:pPr>
        <w:ind w:left="2868" w:hanging="360"/>
      </w:pPr>
      <w:rPr>
        <w:rFonts w:ascii="Wingdings" w:hAnsi="Wingdings" w:hint="default"/>
      </w:rPr>
    </w:lvl>
    <w:lvl w:ilvl="3" w:tplc="04150001">
      <w:start w:val="1"/>
      <w:numFmt w:val="bullet"/>
      <w:lvlText w:val=""/>
      <w:lvlJc w:val="left"/>
      <w:pPr>
        <w:ind w:left="3588" w:hanging="360"/>
      </w:pPr>
      <w:rPr>
        <w:rFonts w:ascii="Symbol" w:hAnsi="Symbol" w:hint="default"/>
      </w:rPr>
    </w:lvl>
    <w:lvl w:ilvl="4" w:tplc="04150003">
      <w:start w:val="1"/>
      <w:numFmt w:val="bullet"/>
      <w:lvlText w:val="o"/>
      <w:lvlJc w:val="left"/>
      <w:pPr>
        <w:ind w:left="4308" w:hanging="360"/>
      </w:pPr>
      <w:rPr>
        <w:rFonts w:ascii="Courier New" w:hAnsi="Courier New" w:cs="Courier New" w:hint="default"/>
      </w:rPr>
    </w:lvl>
    <w:lvl w:ilvl="5" w:tplc="04150005">
      <w:start w:val="1"/>
      <w:numFmt w:val="bullet"/>
      <w:lvlText w:val=""/>
      <w:lvlJc w:val="left"/>
      <w:pPr>
        <w:ind w:left="5028" w:hanging="360"/>
      </w:pPr>
      <w:rPr>
        <w:rFonts w:ascii="Wingdings" w:hAnsi="Wingdings" w:hint="default"/>
      </w:rPr>
    </w:lvl>
    <w:lvl w:ilvl="6" w:tplc="04150001">
      <w:start w:val="1"/>
      <w:numFmt w:val="bullet"/>
      <w:lvlText w:val=""/>
      <w:lvlJc w:val="left"/>
      <w:pPr>
        <w:ind w:left="5748" w:hanging="360"/>
      </w:pPr>
      <w:rPr>
        <w:rFonts w:ascii="Symbol" w:hAnsi="Symbol" w:hint="default"/>
      </w:rPr>
    </w:lvl>
    <w:lvl w:ilvl="7" w:tplc="04150003">
      <w:start w:val="1"/>
      <w:numFmt w:val="bullet"/>
      <w:lvlText w:val="o"/>
      <w:lvlJc w:val="left"/>
      <w:pPr>
        <w:ind w:left="6468" w:hanging="360"/>
      </w:pPr>
      <w:rPr>
        <w:rFonts w:ascii="Courier New" w:hAnsi="Courier New" w:cs="Courier New" w:hint="default"/>
      </w:rPr>
    </w:lvl>
    <w:lvl w:ilvl="8" w:tplc="04150005">
      <w:start w:val="1"/>
      <w:numFmt w:val="bullet"/>
      <w:lvlText w:val=""/>
      <w:lvlJc w:val="left"/>
      <w:pPr>
        <w:ind w:left="7188" w:hanging="360"/>
      </w:pPr>
      <w:rPr>
        <w:rFonts w:ascii="Wingdings" w:hAnsi="Wingdings" w:hint="default"/>
      </w:rPr>
    </w:lvl>
  </w:abstractNum>
  <w:abstractNum w:abstractNumId="1" w15:restartNumberingAfterBreak="0">
    <w:nsid w:val="0A8F3B53"/>
    <w:multiLevelType w:val="hybridMultilevel"/>
    <w:tmpl w:val="49D85D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577264B"/>
    <w:multiLevelType w:val="hybridMultilevel"/>
    <w:tmpl w:val="97E6C694"/>
    <w:lvl w:ilvl="0" w:tplc="0415000F">
      <w:start w:val="1"/>
      <w:numFmt w:val="decimal"/>
      <w:lvlText w:val="%1."/>
      <w:lvlJc w:val="left"/>
      <w:pPr>
        <w:ind w:left="720" w:hanging="360"/>
      </w:pPr>
    </w:lvl>
    <w:lvl w:ilvl="1" w:tplc="C79E83AC">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D25992"/>
    <w:multiLevelType w:val="hybridMultilevel"/>
    <w:tmpl w:val="DE3C50D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1D7D7748"/>
    <w:multiLevelType w:val="hybridMultilevel"/>
    <w:tmpl w:val="CE36A4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E833DFF"/>
    <w:multiLevelType w:val="hybridMultilevel"/>
    <w:tmpl w:val="2AE01DBE"/>
    <w:lvl w:ilvl="0" w:tplc="6962492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 w15:restartNumberingAfterBreak="0">
    <w:nsid w:val="1F442CF4"/>
    <w:multiLevelType w:val="hybridMultilevel"/>
    <w:tmpl w:val="912851E6"/>
    <w:lvl w:ilvl="0" w:tplc="C79E83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2111218"/>
    <w:multiLevelType w:val="hybridMultilevel"/>
    <w:tmpl w:val="C5BC5AA8"/>
    <w:lvl w:ilvl="0" w:tplc="C79E83AC">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8" w15:restartNumberingAfterBreak="0">
    <w:nsid w:val="253936A6"/>
    <w:multiLevelType w:val="hybridMultilevel"/>
    <w:tmpl w:val="817283D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25875633"/>
    <w:multiLevelType w:val="hybridMultilevel"/>
    <w:tmpl w:val="3934DFA8"/>
    <w:lvl w:ilvl="0" w:tplc="6962492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 w15:restartNumberingAfterBreak="0">
    <w:nsid w:val="2B1D2D10"/>
    <w:multiLevelType w:val="hybridMultilevel"/>
    <w:tmpl w:val="763A2AA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B33778B"/>
    <w:multiLevelType w:val="hybridMultilevel"/>
    <w:tmpl w:val="9606E6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4167F3"/>
    <w:multiLevelType w:val="hybridMultilevel"/>
    <w:tmpl w:val="A89E56A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2EE12911"/>
    <w:multiLevelType w:val="hybridMultilevel"/>
    <w:tmpl w:val="7BD66836"/>
    <w:lvl w:ilvl="0" w:tplc="C79E83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5FF2C7F"/>
    <w:multiLevelType w:val="hybridMultilevel"/>
    <w:tmpl w:val="60EE2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3002368"/>
    <w:multiLevelType w:val="hybridMultilevel"/>
    <w:tmpl w:val="F4BEBEA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5DB317B"/>
    <w:multiLevelType w:val="hybridMultilevel"/>
    <w:tmpl w:val="8838730C"/>
    <w:lvl w:ilvl="0" w:tplc="59884DBC">
      <w:start w:val="1"/>
      <w:numFmt w:val="lowerLetter"/>
      <w:lvlText w:val="%1)"/>
      <w:lvlJc w:val="left"/>
      <w:pPr>
        <w:ind w:left="720" w:hanging="360"/>
      </w:pPr>
      <w:rPr>
        <w:rFonts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7610A86"/>
    <w:multiLevelType w:val="hybridMultilevel"/>
    <w:tmpl w:val="B1A0C2A2"/>
    <w:lvl w:ilvl="0" w:tplc="C79E83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8FF241C"/>
    <w:multiLevelType w:val="hybridMultilevel"/>
    <w:tmpl w:val="0D7222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9F62FED"/>
    <w:multiLevelType w:val="hybridMultilevel"/>
    <w:tmpl w:val="B54EFF2E"/>
    <w:lvl w:ilvl="0" w:tplc="C79E83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ABD00A4"/>
    <w:multiLevelType w:val="hybridMultilevel"/>
    <w:tmpl w:val="7B28303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1" w15:restartNumberingAfterBreak="0">
    <w:nsid w:val="4B194459"/>
    <w:multiLevelType w:val="hybridMultilevel"/>
    <w:tmpl w:val="105A8DF8"/>
    <w:lvl w:ilvl="0" w:tplc="DBB44066">
      <w:start w:val="1"/>
      <w:numFmt w:val="decimal"/>
      <w:lvlText w:val="%1)"/>
      <w:lvlJc w:val="left"/>
      <w:pPr>
        <w:ind w:left="360" w:hanging="360"/>
      </w:pPr>
      <w:rPr>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8003911"/>
    <w:multiLevelType w:val="hybridMultilevel"/>
    <w:tmpl w:val="D6E460B8"/>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23" w15:restartNumberingAfterBreak="0">
    <w:nsid w:val="58EF14F0"/>
    <w:multiLevelType w:val="hybridMultilevel"/>
    <w:tmpl w:val="E1E6CD3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4" w15:restartNumberingAfterBreak="0">
    <w:nsid w:val="5F8C3911"/>
    <w:multiLevelType w:val="hybridMultilevel"/>
    <w:tmpl w:val="0FB6F94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65400D81"/>
    <w:multiLevelType w:val="hybridMultilevel"/>
    <w:tmpl w:val="7AB4D144"/>
    <w:lvl w:ilvl="0" w:tplc="6962492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79590BCE"/>
    <w:multiLevelType w:val="hybridMultilevel"/>
    <w:tmpl w:val="307A18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0"/>
  </w:num>
  <w:num w:numId="5">
    <w:abstractNumId w:val="27"/>
  </w:num>
  <w:num w:numId="6">
    <w:abstractNumId w:val="21"/>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8"/>
  </w:num>
  <w:num w:numId="11">
    <w:abstractNumId w:val="20"/>
  </w:num>
  <w:num w:numId="12">
    <w:abstractNumId w:val="3"/>
  </w:num>
  <w:num w:numId="13">
    <w:abstractNumId w:val="26"/>
  </w:num>
  <w:num w:numId="14">
    <w:abstractNumId w:val="15"/>
  </w:num>
  <w:num w:numId="15">
    <w:abstractNumId w:val="14"/>
  </w:num>
  <w:num w:numId="16">
    <w:abstractNumId w:val="8"/>
  </w:num>
  <w:num w:numId="17">
    <w:abstractNumId w:val="19"/>
  </w:num>
  <w:num w:numId="18">
    <w:abstractNumId w:val="6"/>
  </w:num>
  <w:num w:numId="19">
    <w:abstractNumId w:val="1"/>
  </w:num>
  <w:num w:numId="20">
    <w:abstractNumId w:val="23"/>
  </w:num>
  <w:num w:numId="21">
    <w:abstractNumId w:val="13"/>
  </w:num>
  <w:num w:numId="22">
    <w:abstractNumId w:val="5"/>
  </w:num>
  <w:num w:numId="23">
    <w:abstractNumId w:val="9"/>
  </w:num>
  <w:num w:numId="24">
    <w:abstractNumId w:val="25"/>
  </w:num>
  <w:num w:numId="25">
    <w:abstractNumId w:val="2"/>
  </w:num>
  <w:num w:numId="26">
    <w:abstractNumId w:val="7"/>
  </w:num>
  <w:num w:numId="27">
    <w:abstractNumId w:val="4"/>
  </w:num>
  <w:num w:numId="28">
    <w:abstractNumId w:val="17"/>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625"/>
    <w:rsid w:val="00003C13"/>
    <w:rsid w:val="000051FC"/>
    <w:rsid w:val="00006F43"/>
    <w:rsid w:val="00013EFF"/>
    <w:rsid w:val="00016149"/>
    <w:rsid w:val="000202ED"/>
    <w:rsid w:val="000238E0"/>
    <w:rsid w:val="0002613B"/>
    <w:rsid w:val="00026AFF"/>
    <w:rsid w:val="0002741A"/>
    <w:rsid w:val="00027854"/>
    <w:rsid w:val="00031BDD"/>
    <w:rsid w:val="00035253"/>
    <w:rsid w:val="00036EFC"/>
    <w:rsid w:val="00037943"/>
    <w:rsid w:val="0004145E"/>
    <w:rsid w:val="00041945"/>
    <w:rsid w:val="000445EA"/>
    <w:rsid w:val="00044B08"/>
    <w:rsid w:val="000458F2"/>
    <w:rsid w:val="000459A1"/>
    <w:rsid w:val="00045FA9"/>
    <w:rsid w:val="000473A6"/>
    <w:rsid w:val="00047ECC"/>
    <w:rsid w:val="000521A5"/>
    <w:rsid w:val="0005336F"/>
    <w:rsid w:val="00055662"/>
    <w:rsid w:val="000579E5"/>
    <w:rsid w:val="0006018F"/>
    <w:rsid w:val="0006147A"/>
    <w:rsid w:val="00061F3B"/>
    <w:rsid w:val="00063928"/>
    <w:rsid w:val="000647AB"/>
    <w:rsid w:val="00064849"/>
    <w:rsid w:val="00066BC7"/>
    <w:rsid w:val="00070B05"/>
    <w:rsid w:val="0007380B"/>
    <w:rsid w:val="0007634A"/>
    <w:rsid w:val="00076E58"/>
    <w:rsid w:val="000777E3"/>
    <w:rsid w:val="00077840"/>
    <w:rsid w:val="00080043"/>
    <w:rsid w:val="00080E27"/>
    <w:rsid w:val="00082545"/>
    <w:rsid w:val="00083EE4"/>
    <w:rsid w:val="00084F35"/>
    <w:rsid w:val="00086C97"/>
    <w:rsid w:val="00086F64"/>
    <w:rsid w:val="0008792F"/>
    <w:rsid w:val="00091410"/>
    <w:rsid w:val="00091D37"/>
    <w:rsid w:val="00092E4A"/>
    <w:rsid w:val="000939EC"/>
    <w:rsid w:val="00093A44"/>
    <w:rsid w:val="000948A7"/>
    <w:rsid w:val="000971B0"/>
    <w:rsid w:val="000A08C3"/>
    <w:rsid w:val="000A2972"/>
    <w:rsid w:val="000A5AB2"/>
    <w:rsid w:val="000A6F55"/>
    <w:rsid w:val="000A7612"/>
    <w:rsid w:val="000B0BCA"/>
    <w:rsid w:val="000B2E41"/>
    <w:rsid w:val="000B30CE"/>
    <w:rsid w:val="000B4019"/>
    <w:rsid w:val="000B51C9"/>
    <w:rsid w:val="000B65CB"/>
    <w:rsid w:val="000B74B6"/>
    <w:rsid w:val="000C1ED3"/>
    <w:rsid w:val="000C1F8B"/>
    <w:rsid w:val="000C44E3"/>
    <w:rsid w:val="000C47FF"/>
    <w:rsid w:val="000D0806"/>
    <w:rsid w:val="000D2B4E"/>
    <w:rsid w:val="000D2F37"/>
    <w:rsid w:val="000E08EE"/>
    <w:rsid w:val="000E1733"/>
    <w:rsid w:val="000E3890"/>
    <w:rsid w:val="000E73F7"/>
    <w:rsid w:val="000E7B78"/>
    <w:rsid w:val="000F1EFC"/>
    <w:rsid w:val="000F3230"/>
    <w:rsid w:val="000F4E1B"/>
    <w:rsid w:val="000F571B"/>
    <w:rsid w:val="000F673C"/>
    <w:rsid w:val="00101C5C"/>
    <w:rsid w:val="001022D4"/>
    <w:rsid w:val="00102375"/>
    <w:rsid w:val="001056A1"/>
    <w:rsid w:val="0010696F"/>
    <w:rsid w:val="00113EFA"/>
    <w:rsid w:val="00114515"/>
    <w:rsid w:val="00114AA2"/>
    <w:rsid w:val="001159D1"/>
    <w:rsid w:val="0011741C"/>
    <w:rsid w:val="0012006B"/>
    <w:rsid w:val="00120A01"/>
    <w:rsid w:val="00121010"/>
    <w:rsid w:val="00121C0B"/>
    <w:rsid w:val="001238B6"/>
    <w:rsid w:val="00124AA2"/>
    <w:rsid w:val="00124E6B"/>
    <w:rsid w:val="00125101"/>
    <w:rsid w:val="00126944"/>
    <w:rsid w:val="0013666A"/>
    <w:rsid w:val="001411EE"/>
    <w:rsid w:val="00144756"/>
    <w:rsid w:val="0015285B"/>
    <w:rsid w:val="00152CCA"/>
    <w:rsid w:val="00152CFD"/>
    <w:rsid w:val="0015476F"/>
    <w:rsid w:val="0015612F"/>
    <w:rsid w:val="00156B34"/>
    <w:rsid w:val="00156C0D"/>
    <w:rsid w:val="00161114"/>
    <w:rsid w:val="00162CAC"/>
    <w:rsid w:val="00166C4A"/>
    <w:rsid w:val="0016760E"/>
    <w:rsid w:val="0017080F"/>
    <w:rsid w:val="00173ABA"/>
    <w:rsid w:val="00175F31"/>
    <w:rsid w:val="0018012C"/>
    <w:rsid w:val="00182B7B"/>
    <w:rsid w:val="00184806"/>
    <w:rsid w:val="0018488F"/>
    <w:rsid w:val="00184EF4"/>
    <w:rsid w:val="00186490"/>
    <w:rsid w:val="001864C8"/>
    <w:rsid w:val="00186C50"/>
    <w:rsid w:val="00191A30"/>
    <w:rsid w:val="0019603E"/>
    <w:rsid w:val="001A1060"/>
    <w:rsid w:val="001A218E"/>
    <w:rsid w:val="001A5074"/>
    <w:rsid w:val="001A6448"/>
    <w:rsid w:val="001B1181"/>
    <w:rsid w:val="001B2270"/>
    <w:rsid w:val="001B2C2A"/>
    <w:rsid w:val="001B31AC"/>
    <w:rsid w:val="001B376B"/>
    <w:rsid w:val="001B44A7"/>
    <w:rsid w:val="001B4684"/>
    <w:rsid w:val="001B63B5"/>
    <w:rsid w:val="001B72A0"/>
    <w:rsid w:val="001B7A08"/>
    <w:rsid w:val="001C14A1"/>
    <w:rsid w:val="001C36D4"/>
    <w:rsid w:val="001C3798"/>
    <w:rsid w:val="001C58EB"/>
    <w:rsid w:val="001C6ADC"/>
    <w:rsid w:val="001C6BE4"/>
    <w:rsid w:val="001C6C2A"/>
    <w:rsid w:val="001C726F"/>
    <w:rsid w:val="001C7D29"/>
    <w:rsid w:val="001D24FC"/>
    <w:rsid w:val="001D3F91"/>
    <w:rsid w:val="001D50CB"/>
    <w:rsid w:val="001D5CD6"/>
    <w:rsid w:val="001D60EA"/>
    <w:rsid w:val="001D6475"/>
    <w:rsid w:val="001D7DA8"/>
    <w:rsid w:val="001E1FC3"/>
    <w:rsid w:val="001E39C2"/>
    <w:rsid w:val="001E717B"/>
    <w:rsid w:val="001E770E"/>
    <w:rsid w:val="001E7AAA"/>
    <w:rsid w:val="001F1368"/>
    <w:rsid w:val="001F4AA8"/>
    <w:rsid w:val="001F51EF"/>
    <w:rsid w:val="001F524A"/>
    <w:rsid w:val="001F5AA0"/>
    <w:rsid w:val="00200846"/>
    <w:rsid w:val="0020113D"/>
    <w:rsid w:val="00203A39"/>
    <w:rsid w:val="00204D76"/>
    <w:rsid w:val="00205905"/>
    <w:rsid w:val="00206F21"/>
    <w:rsid w:val="002115E6"/>
    <w:rsid w:val="00212060"/>
    <w:rsid w:val="0021482B"/>
    <w:rsid w:val="00215BBB"/>
    <w:rsid w:val="00215D16"/>
    <w:rsid w:val="002168B9"/>
    <w:rsid w:val="00216FD7"/>
    <w:rsid w:val="00217AB6"/>
    <w:rsid w:val="00217DAC"/>
    <w:rsid w:val="00217DE7"/>
    <w:rsid w:val="002208E4"/>
    <w:rsid w:val="0022110D"/>
    <w:rsid w:val="00223CEC"/>
    <w:rsid w:val="002242CE"/>
    <w:rsid w:val="00227E24"/>
    <w:rsid w:val="0023243C"/>
    <w:rsid w:val="00236E69"/>
    <w:rsid w:val="00237E7A"/>
    <w:rsid w:val="00245F4E"/>
    <w:rsid w:val="002509B9"/>
    <w:rsid w:val="00251D6F"/>
    <w:rsid w:val="0025206C"/>
    <w:rsid w:val="00252529"/>
    <w:rsid w:val="00252D81"/>
    <w:rsid w:val="002556FF"/>
    <w:rsid w:val="002575D7"/>
    <w:rsid w:val="00263332"/>
    <w:rsid w:val="00265E36"/>
    <w:rsid w:val="00266D87"/>
    <w:rsid w:val="00267BE6"/>
    <w:rsid w:val="00271556"/>
    <w:rsid w:val="0027258C"/>
    <w:rsid w:val="00274123"/>
    <w:rsid w:val="00275F78"/>
    <w:rsid w:val="00276DB9"/>
    <w:rsid w:val="00277719"/>
    <w:rsid w:val="002801FA"/>
    <w:rsid w:val="00280324"/>
    <w:rsid w:val="002807DA"/>
    <w:rsid w:val="00284598"/>
    <w:rsid w:val="002853E9"/>
    <w:rsid w:val="00286AAF"/>
    <w:rsid w:val="00286B10"/>
    <w:rsid w:val="00290072"/>
    <w:rsid w:val="002903D3"/>
    <w:rsid w:val="002906A5"/>
    <w:rsid w:val="00290B83"/>
    <w:rsid w:val="00290FC6"/>
    <w:rsid w:val="00295A8F"/>
    <w:rsid w:val="002965D3"/>
    <w:rsid w:val="002A29CE"/>
    <w:rsid w:val="002A2DA9"/>
    <w:rsid w:val="002A4AB6"/>
    <w:rsid w:val="002A5E5F"/>
    <w:rsid w:val="002A653F"/>
    <w:rsid w:val="002A6676"/>
    <w:rsid w:val="002A7FB1"/>
    <w:rsid w:val="002B0104"/>
    <w:rsid w:val="002B2A04"/>
    <w:rsid w:val="002B34B9"/>
    <w:rsid w:val="002B3CEB"/>
    <w:rsid w:val="002B444D"/>
    <w:rsid w:val="002B4B83"/>
    <w:rsid w:val="002B680E"/>
    <w:rsid w:val="002B6E02"/>
    <w:rsid w:val="002B763E"/>
    <w:rsid w:val="002C0629"/>
    <w:rsid w:val="002C35D7"/>
    <w:rsid w:val="002C40E8"/>
    <w:rsid w:val="002D0B49"/>
    <w:rsid w:val="002D1D80"/>
    <w:rsid w:val="002D2368"/>
    <w:rsid w:val="002D2478"/>
    <w:rsid w:val="002D2B69"/>
    <w:rsid w:val="002D5146"/>
    <w:rsid w:val="002D6001"/>
    <w:rsid w:val="002D7BE3"/>
    <w:rsid w:val="002E2B02"/>
    <w:rsid w:val="002E5589"/>
    <w:rsid w:val="002E7DC1"/>
    <w:rsid w:val="002F2A9D"/>
    <w:rsid w:val="002F3F55"/>
    <w:rsid w:val="002F6908"/>
    <w:rsid w:val="003033A2"/>
    <w:rsid w:val="00303BF5"/>
    <w:rsid w:val="00307104"/>
    <w:rsid w:val="003111C5"/>
    <w:rsid w:val="00312E5A"/>
    <w:rsid w:val="00315DF1"/>
    <w:rsid w:val="00316EC4"/>
    <w:rsid w:val="0031704E"/>
    <w:rsid w:val="003217EC"/>
    <w:rsid w:val="00322D6B"/>
    <w:rsid w:val="00323DAA"/>
    <w:rsid w:val="0032441F"/>
    <w:rsid w:val="00325232"/>
    <w:rsid w:val="00326699"/>
    <w:rsid w:val="00327032"/>
    <w:rsid w:val="00330FC3"/>
    <w:rsid w:val="00331BAA"/>
    <w:rsid w:val="00332816"/>
    <w:rsid w:val="00333244"/>
    <w:rsid w:val="0033376B"/>
    <w:rsid w:val="00334F6C"/>
    <w:rsid w:val="00336061"/>
    <w:rsid w:val="00342797"/>
    <w:rsid w:val="003428F5"/>
    <w:rsid w:val="00345457"/>
    <w:rsid w:val="00350847"/>
    <w:rsid w:val="00350EC8"/>
    <w:rsid w:val="00352407"/>
    <w:rsid w:val="00352423"/>
    <w:rsid w:val="00352EAE"/>
    <w:rsid w:val="0035412D"/>
    <w:rsid w:val="00356ADB"/>
    <w:rsid w:val="0036191B"/>
    <w:rsid w:val="00362014"/>
    <w:rsid w:val="00362A27"/>
    <w:rsid w:val="00363E80"/>
    <w:rsid w:val="00364A25"/>
    <w:rsid w:val="00371930"/>
    <w:rsid w:val="00371AF4"/>
    <w:rsid w:val="00373779"/>
    <w:rsid w:val="00373ABC"/>
    <w:rsid w:val="00373E03"/>
    <w:rsid w:val="00374026"/>
    <w:rsid w:val="00376B20"/>
    <w:rsid w:val="003772B5"/>
    <w:rsid w:val="00377B5C"/>
    <w:rsid w:val="00380F66"/>
    <w:rsid w:val="00382BF7"/>
    <w:rsid w:val="00387361"/>
    <w:rsid w:val="003877F1"/>
    <w:rsid w:val="00390452"/>
    <w:rsid w:val="003905CD"/>
    <w:rsid w:val="00393F23"/>
    <w:rsid w:val="00397CE6"/>
    <w:rsid w:val="003A0657"/>
    <w:rsid w:val="003A233F"/>
    <w:rsid w:val="003A3422"/>
    <w:rsid w:val="003A4A84"/>
    <w:rsid w:val="003A59E6"/>
    <w:rsid w:val="003B1216"/>
    <w:rsid w:val="003B3197"/>
    <w:rsid w:val="003B349D"/>
    <w:rsid w:val="003B4735"/>
    <w:rsid w:val="003B5C09"/>
    <w:rsid w:val="003C0C5E"/>
    <w:rsid w:val="003C288B"/>
    <w:rsid w:val="003C28DF"/>
    <w:rsid w:val="003C3E23"/>
    <w:rsid w:val="003C4F83"/>
    <w:rsid w:val="003C6D27"/>
    <w:rsid w:val="003C7177"/>
    <w:rsid w:val="003C77F6"/>
    <w:rsid w:val="003D2667"/>
    <w:rsid w:val="003D745C"/>
    <w:rsid w:val="003D7688"/>
    <w:rsid w:val="003D7D37"/>
    <w:rsid w:val="003E07B1"/>
    <w:rsid w:val="003E242E"/>
    <w:rsid w:val="003E3F79"/>
    <w:rsid w:val="003E5D4F"/>
    <w:rsid w:val="003E7E66"/>
    <w:rsid w:val="003F1DD4"/>
    <w:rsid w:val="003F22AD"/>
    <w:rsid w:val="003F2AA1"/>
    <w:rsid w:val="003F30AF"/>
    <w:rsid w:val="003F47FC"/>
    <w:rsid w:val="003F6134"/>
    <w:rsid w:val="003F6460"/>
    <w:rsid w:val="003F6ABF"/>
    <w:rsid w:val="0040159C"/>
    <w:rsid w:val="0040362E"/>
    <w:rsid w:val="004037C3"/>
    <w:rsid w:val="00407BE1"/>
    <w:rsid w:val="00410CDD"/>
    <w:rsid w:val="004129BB"/>
    <w:rsid w:val="00413E65"/>
    <w:rsid w:val="00414705"/>
    <w:rsid w:val="004206E5"/>
    <w:rsid w:val="004214B3"/>
    <w:rsid w:val="00423047"/>
    <w:rsid w:val="00423954"/>
    <w:rsid w:val="00426231"/>
    <w:rsid w:val="0042637A"/>
    <w:rsid w:val="00426B29"/>
    <w:rsid w:val="0043005C"/>
    <w:rsid w:val="0043096A"/>
    <w:rsid w:val="0043321D"/>
    <w:rsid w:val="00433DB8"/>
    <w:rsid w:val="00435826"/>
    <w:rsid w:val="004361E4"/>
    <w:rsid w:val="00441367"/>
    <w:rsid w:val="00441738"/>
    <w:rsid w:val="00442E04"/>
    <w:rsid w:val="00443BDE"/>
    <w:rsid w:val="004442DD"/>
    <w:rsid w:val="0044580F"/>
    <w:rsid w:val="00450D57"/>
    <w:rsid w:val="00452236"/>
    <w:rsid w:val="0045274A"/>
    <w:rsid w:val="00452753"/>
    <w:rsid w:val="00453D18"/>
    <w:rsid w:val="004566A3"/>
    <w:rsid w:val="00460582"/>
    <w:rsid w:val="004639E1"/>
    <w:rsid w:val="004664DB"/>
    <w:rsid w:val="00467786"/>
    <w:rsid w:val="004724F5"/>
    <w:rsid w:val="00473172"/>
    <w:rsid w:val="00474947"/>
    <w:rsid w:val="00476F7E"/>
    <w:rsid w:val="0048127A"/>
    <w:rsid w:val="00483706"/>
    <w:rsid w:val="00483A2F"/>
    <w:rsid w:val="004907D7"/>
    <w:rsid w:val="0049133E"/>
    <w:rsid w:val="00493316"/>
    <w:rsid w:val="00495C81"/>
    <w:rsid w:val="004A09CF"/>
    <w:rsid w:val="004A4C78"/>
    <w:rsid w:val="004A588C"/>
    <w:rsid w:val="004B06AB"/>
    <w:rsid w:val="004B3296"/>
    <w:rsid w:val="004B3B89"/>
    <w:rsid w:val="004B3C28"/>
    <w:rsid w:val="004B655D"/>
    <w:rsid w:val="004B6BB2"/>
    <w:rsid w:val="004B6CAC"/>
    <w:rsid w:val="004B74BB"/>
    <w:rsid w:val="004C1533"/>
    <w:rsid w:val="004C16C8"/>
    <w:rsid w:val="004C293C"/>
    <w:rsid w:val="004C6408"/>
    <w:rsid w:val="004D02CB"/>
    <w:rsid w:val="004D0815"/>
    <w:rsid w:val="004D08E9"/>
    <w:rsid w:val="004D3C4D"/>
    <w:rsid w:val="004D44B5"/>
    <w:rsid w:val="004E09D0"/>
    <w:rsid w:val="004E0A1A"/>
    <w:rsid w:val="004E2150"/>
    <w:rsid w:val="004E2AEB"/>
    <w:rsid w:val="004E4301"/>
    <w:rsid w:val="004E7988"/>
    <w:rsid w:val="004E7AA6"/>
    <w:rsid w:val="004F0A08"/>
    <w:rsid w:val="004F0EF2"/>
    <w:rsid w:val="004F114E"/>
    <w:rsid w:val="004F32C1"/>
    <w:rsid w:val="004F54C6"/>
    <w:rsid w:val="004F584D"/>
    <w:rsid w:val="004F745B"/>
    <w:rsid w:val="00501752"/>
    <w:rsid w:val="0050226F"/>
    <w:rsid w:val="00503571"/>
    <w:rsid w:val="00505519"/>
    <w:rsid w:val="00506159"/>
    <w:rsid w:val="00506509"/>
    <w:rsid w:val="0051072C"/>
    <w:rsid w:val="00512EAF"/>
    <w:rsid w:val="005135C1"/>
    <w:rsid w:val="00513D31"/>
    <w:rsid w:val="005155A0"/>
    <w:rsid w:val="00516283"/>
    <w:rsid w:val="005200F7"/>
    <w:rsid w:val="00520814"/>
    <w:rsid w:val="005230CA"/>
    <w:rsid w:val="00524551"/>
    <w:rsid w:val="00525524"/>
    <w:rsid w:val="00526C92"/>
    <w:rsid w:val="00526F89"/>
    <w:rsid w:val="005272FA"/>
    <w:rsid w:val="005311FB"/>
    <w:rsid w:val="0053135A"/>
    <w:rsid w:val="00531982"/>
    <w:rsid w:val="005363AF"/>
    <w:rsid w:val="005368E5"/>
    <w:rsid w:val="005376FA"/>
    <w:rsid w:val="00542661"/>
    <w:rsid w:val="005426E6"/>
    <w:rsid w:val="00542956"/>
    <w:rsid w:val="00556576"/>
    <w:rsid w:val="0055768E"/>
    <w:rsid w:val="00560551"/>
    <w:rsid w:val="00560C4B"/>
    <w:rsid w:val="00561FF8"/>
    <w:rsid w:val="00562E54"/>
    <w:rsid w:val="005637C1"/>
    <w:rsid w:val="00563B7F"/>
    <w:rsid w:val="00563FA3"/>
    <w:rsid w:val="00564427"/>
    <w:rsid w:val="005660CB"/>
    <w:rsid w:val="005703A0"/>
    <w:rsid w:val="005708D0"/>
    <w:rsid w:val="005714A6"/>
    <w:rsid w:val="0057580C"/>
    <w:rsid w:val="005763AC"/>
    <w:rsid w:val="005766FF"/>
    <w:rsid w:val="00577DF5"/>
    <w:rsid w:val="005806B2"/>
    <w:rsid w:val="00581942"/>
    <w:rsid w:val="005825CA"/>
    <w:rsid w:val="0058385D"/>
    <w:rsid w:val="00585603"/>
    <w:rsid w:val="00585E83"/>
    <w:rsid w:val="0059034A"/>
    <w:rsid w:val="005933F9"/>
    <w:rsid w:val="00593767"/>
    <w:rsid w:val="005962D6"/>
    <w:rsid w:val="005A3895"/>
    <w:rsid w:val="005A5062"/>
    <w:rsid w:val="005A5B57"/>
    <w:rsid w:val="005A663D"/>
    <w:rsid w:val="005A6E42"/>
    <w:rsid w:val="005A6E85"/>
    <w:rsid w:val="005B0053"/>
    <w:rsid w:val="005B08EC"/>
    <w:rsid w:val="005B1F5A"/>
    <w:rsid w:val="005B6694"/>
    <w:rsid w:val="005B699A"/>
    <w:rsid w:val="005C1257"/>
    <w:rsid w:val="005C31F2"/>
    <w:rsid w:val="005C401A"/>
    <w:rsid w:val="005C4509"/>
    <w:rsid w:val="005C5FC4"/>
    <w:rsid w:val="005C64AD"/>
    <w:rsid w:val="005D023E"/>
    <w:rsid w:val="005D2943"/>
    <w:rsid w:val="005D2D32"/>
    <w:rsid w:val="005D31CD"/>
    <w:rsid w:val="005D7EB5"/>
    <w:rsid w:val="005E07D7"/>
    <w:rsid w:val="005E2823"/>
    <w:rsid w:val="005E3090"/>
    <w:rsid w:val="005E575E"/>
    <w:rsid w:val="005E5B3C"/>
    <w:rsid w:val="005E7FC6"/>
    <w:rsid w:val="005F22CC"/>
    <w:rsid w:val="005F422A"/>
    <w:rsid w:val="005F57E9"/>
    <w:rsid w:val="005F6CD8"/>
    <w:rsid w:val="005F77DB"/>
    <w:rsid w:val="00601171"/>
    <w:rsid w:val="006012BE"/>
    <w:rsid w:val="0060377A"/>
    <w:rsid w:val="00603CBD"/>
    <w:rsid w:val="0060588A"/>
    <w:rsid w:val="00606F5B"/>
    <w:rsid w:val="00613EC9"/>
    <w:rsid w:val="00614D32"/>
    <w:rsid w:val="00617A3D"/>
    <w:rsid w:val="00620465"/>
    <w:rsid w:val="00622C80"/>
    <w:rsid w:val="00623DC0"/>
    <w:rsid w:val="006252CB"/>
    <w:rsid w:val="00625437"/>
    <w:rsid w:val="0063196F"/>
    <w:rsid w:val="00635109"/>
    <w:rsid w:val="00635F04"/>
    <w:rsid w:val="00636543"/>
    <w:rsid w:val="00636B0A"/>
    <w:rsid w:val="00643AC2"/>
    <w:rsid w:val="00643EA9"/>
    <w:rsid w:val="006458BF"/>
    <w:rsid w:val="00646401"/>
    <w:rsid w:val="006468AC"/>
    <w:rsid w:val="00647148"/>
    <w:rsid w:val="00647773"/>
    <w:rsid w:val="00653301"/>
    <w:rsid w:val="006538E1"/>
    <w:rsid w:val="00654846"/>
    <w:rsid w:val="006603FF"/>
    <w:rsid w:val="00660F24"/>
    <w:rsid w:val="00662255"/>
    <w:rsid w:val="006626F3"/>
    <w:rsid w:val="0066395F"/>
    <w:rsid w:val="006639D5"/>
    <w:rsid w:val="00663B5B"/>
    <w:rsid w:val="006661F5"/>
    <w:rsid w:val="00667466"/>
    <w:rsid w:val="0067032F"/>
    <w:rsid w:val="00671362"/>
    <w:rsid w:val="00672E7D"/>
    <w:rsid w:val="00673C16"/>
    <w:rsid w:val="00676FC0"/>
    <w:rsid w:val="006778CA"/>
    <w:rsid w:val="00681D08"/>
    <w:rsid w:val="00681FA2"/>
    <w:rsid w:val="006824B0"/>
    <w:rsid w:val="00682C17"/>
    <w:rsid w:val="00684D58"/>
    <w:rsid w:val="00685585"/>
    <w:rsid w:val="00685CDB"/>
    <w:rsid w:val="00687468"/>
    <w:rsid w:val="00691587"/>
    <w:rsid w:val="00692AAD"/>
    <w:rsid w:val="00692B77"/>
    <w:rsid w:val="00692ED8"/>
    <w:rsid w:val="00693169"/>
    <w:rsid w:val="0069418D"/>
    <w:rsid w:val="006953A9"/>
    <w:rsid w:val="006A2A54"/>
    <w:rsid w:val="006B117B"/>
    <w:rsid w:val="006B317F"/>
    <w:rsid w:val="006B39EF"/>
    <w:rsid w:val="006B3B33"/>
    <w:rsid w:val="006B45FE"/>
    <w:rsid w:val="006B48D4"/>
    <w:rsid w:val="006B5898"/>
    <w:rsid w:val="006C0907"/>
    <w:rsid w:val="006C17BF"/>
    <w:rsid w:val="006C6A88"/>
    <w:rsid w:val="006C6EC5"/>
    <w:rsid w:val="006C71A0"/>
    <w:rsid w:val="006D1190"/>
    <w:rsid w:val="006D2954"/>
    <w:rsid w:val="006D2B9D"/>
    <w:rsid w:val="006D50B5"/>
    <w:rsid w:val="006D59A9"/>
    <w:rsid w:val="006D69B0"/>
    <w:rsid w:val="006D7290"/>
    <w:rsid w:val="006E3426"/>
    <w:rsid w:val="006E48D2"/>
    <w:rsid w:val="006E576F"/>
    <w:rsid w:val="006E68AC"/>
    <w:rsid w:val="006E7408"/>
    <w:rsid w:val="006F211C"/>
    <w:rsid w:val="006F27CA"/>
    <w:rsid w:val="006F4F9B"/>
    <w:rsid w:val="006F5DA3"/>
    <w:rsid w:val="007009C5"/>
    <w:rsid w:val="00704996"/>
    <w:rsid w:val="007061CE"/>
    <w:rsid w:val="0070795E"/>
    <w:rsid w:val="00707DDE"/>
    <w:rsid w:val="00712E59"/>
    <w:rsid w:val="00714C96"/>
    <w:rsid w:val="00717A56"/>
    <w:rsid w:val="00720FAD"/>
    <w:rsid w:val="007219AE"/>
    <w:rsid w:val="007234F2"/>
    <w:rsid w:val="007234F3"/>
    <w:rsid w:val="00723542"/>
    <w:rsid w:val="00730758"/>
    <w:rsid w:val="007307FD"/>
    <w:rsid w:val="0073127B"/>
    <w:rsid w:val="007318F9"/>
    <w:rsid w:val="00732351"/>
    <w:rsid w:val="0073439B"/>
    <w:rsid w:val="007379F8"/>
    <w:rsid w:val="00740FC7"/>
    <w:rsid w:val="00742083"/>
    <w:rsid w:val="007434AF"/>
    <w:rsid w:val="00745083"/>
    <w:rsid w:val="007479AC"/>
    <w:rsid w:val="00747D37"/>
    <w:rsid w:val="00753052"/>
    <w:rsid w:val="007552F3"/>
    <w:rsid w:val="00757C20"/>
    <w:rsid w:val="0076237C"/>
    <w:rsid w:val="007627F9"/>
    <w:rsid w:val="00762F24"/>
    <w:rsid w:val="00767D14"/>
    <w:rsid w:val="00770384"/>
    <w:rsid w:val="00770BBA"/>
    <w:rsid w:val="0077469C"/>
    <w:rsid w:val="00774CCB"/>
    <w:rsid w:val="007750A0"/>
    <w:rsid w:val="0077704B"/>
    <w:rsid w:val="00781A04"/>
    <w:rsid w:val="007826E3"/>
    <w:rsid w:val="00786CD3"/>
    <w:rsid w:val="00787C98"/>
    <w:rsid w:val="00790FF6"/>
    <w:rsid w:val="00792AD2"/>
    <w:rsid w:val="00793D70"/>
    <w:rsid w:val="0079465C"/>
    <w:rsid w:val="007946F9"/>
    <w:rsid w:val="00795EF7"/>
    <w:rsid w:val="007A266F"/>
    <w:rsid w:val="007A462C"/>
    <w:rsid w:val="007B036E"/>
    <w:rsid w:val="007B1963"/>
    <w:rsid w:val="007B1D26"/>
    <w:rsid w:val="007B4829"/>
    <w:rsid w:val="007B48CF"/>
    <w:rsid w:val="007B5270"/>
    <w:rsid w:val="007B6844"/>
    <w:rsid w:val="007B74D8"/>
    <w:rsid w:val="007C044D"/>
    <w:rsid w:val="007C4163"/>
    <w:rsid w:val="007C44AC"/>
    <w:rsid w:val="007C56CE"/>
    <w:rsid w:val="007C6295"/>
    <w:rsid w:val="007C6A67"/>
    <w:rsid w:val="007C6FB8"/>
    <w:rsid w:val="007D0A55"/>
    <w:rsid w:val="007D163A"/>
    <w:rsid w:val="007D309B"/>
    <w:rsid w:val="007D61E5"/>
    <w:rsid w:val="007D71AB"/>
    <w:rsid w:val="007E165B"/>
    <w:rsid w:val="007E236E"/>
    <w:rsid w:val="007E4B21"/>
    <w:rsid w:val="007E5DAD"/>
    <w:rsid w:val="007F0557"/>
    <w:rsid w:val="007F54D4"/>
    <w:rsid w:val="007F6207"/>
    <w:rsid w:val="007F67CA"/>
    <w:rsid w:val="007F6EC5"/>
    <w:rsid w:val="007F7E7F"/>
    <w:rsid w:val="008004E3"/>
    <w:rsid w:val="00802F02"/>
    <w:rsid w:val="00804C40"/>
    <w:rsid w:val="00814021"/>
    <w:rsid w:val="00816E15"/>
    <w:rsid w:val="00822B1D"/>
    <w:rsid w:val="008238D7"/>
    <w:rsid w:val="008244C6"/>
    <w:rsid w:val="00824652"/>
    <w:rsid w:val="00825EEE"/>
    <w:rsid w:val="00825EEF"/>
    <w:rsid w:val="00826F92"/>
    <w:rsid w:val="008321C9"/>
    <w:rsid w:val="008324A6"/>
    <w:rsid w:val="008338BE"/>
    <w:rsid w:val="0083532E"/>
    <w:rsid w:val="0084022B"/>
    <w:rsid w:val="008465AD"/>
    <w:rsid w:val="008466FA"/>
    <w:rsid w:val="00846E88"/>
    <w:rsid w:val="00851E87"/>
    <w:rsid w:val="0085305A"/>
    <w:rsid w:val="00854696"/>
    <w:rsid w:val="0085554D"/>
    <w:rsid w:val="00857592"/>
    <w:rsid w:val="008608A0"/>
    <w:rsid w:val="00866098"/>
    <w:rsid w:val="00867631"/>
    <w:rsid w:val="0087186F"/>
    <w:rsid w:val="00872409"/>
    <w:rsid w:val="008775BD"/>
    <w:rsid w:val="00877A28"/>
    <w:rsid w:val="008800F5"/>
    <w:rsid w:val="00881752"/>
    <w:rsid w:val="00881B68"/>
    <w:rsid w:val="00883161"/>
    <w:rsid w:val="00895F82"/>
    <w:rsid w:val="008973A2"/>
    <w:rsid w:val="008A0DCB"/>
    <w:rsid w:val="008A0F92"/>
    <w:rsid w:val="008A2582"/>
    <w:rsid w:val="008A3D9D"/>
    <w:rsid w:val="008B666E"/>
    <w:rsid w:val="008C1AF3"/>
    <w:rsid w:val="008C24E3"/>
    <w:rsid w:val="008C5BDA"/>
    <w:rsid w:val="008C6190"/>
    <w:rsid w:val="008C7853"/>
    <w:rsid w:val="008D07D9"/>
    <w:rsid w:val="008D11B4"/>
    <w:rsid w:val="008D401D"/>
    <w:rsid w:val="008D724E"/>
    <w:rsid w:val="008D77C9"/>
    <w:rsid w:val="008E0332"/>
    <w:rsid w:val="008E2760"/>
    <w:rsid w:val="008E3BF4"/>
    <w:rsid w:val="008E46C5"/>
    <w:rsid w:val="008E5267"/>
    <w:rsid w:val="008E541C"/>
    <w:rsid w:val="008F06CB"/>
    <w:rsid w:val="00904669"/>
    <w:rsid w:val="00904C5D"/>
    <w:rsid w:val="00905ABE"/>
    <w:rsid w:val="00905C23"/>
    <w:rsid w:val="00911A54"/>
    <w:rsid w:val="00917798"/>
    <w:rsid w:val="00921A27"/>
    <w:rsid w:val="0092352E"/>
    <w:rsid w:val="009237CF"/>
    <w:rsid w:val="009270B7"/>
    <w:rsid w:val="0093104C"/>
    <w:rsid w:val="00931D83"/>
    <w:rsid w:val="00933AA6"/>
    <w:rsid w:val="009356D9"/>
    <w:rsid w:val="00936776"/>
    <w:rsid w:val="0093686B"/>
    <w:rsid w:val="009373E8"/>
    <w:rsid w:val="0093742C"/>
    <w:rsid w:val="00937952"/>
    <w:rsid w:val="009400DE"/>
    <w:rsid w:val="00940C29"/>
    <w:rsid w:val="009413BB"/>
    <w:rsid w:val="0094273C"/>
    <w:rsid w:val="00942A43"/>
    <w:rsid w:val="009445A1"/>
    <w:rsid w:val="0094470F"/>
    <w:rsid w:val="009448DF"/>
    <w:rsid w:val="00945920"/>
    <w:rsid w:val="0095045D"/>
    <w:rsid w:val="00950E1C"/>
    <w:rsid w:val="00955C89"/>
    <w:rsid w:val="009578D2"/>
    <w:rsid w:val="0096523B"/>
    <w:rsid w:val="0096645E"/>
    <w:rsid w:val="00973E26"/>
    <w:rsid w:val="00973FEB"/>
    <w:rsid w:val="0097551D"/>
    <w:rsid w:val="00975F09"/>
    <w:rsid w:val="00977C66"/>
    <w:rsid w:val="0098520A"/>
    <w:rsid w:val="009862D2"/>
    <w:rsid w:val="00990294"/>
    <w:rsid w:val="009907E1"/>
    <w:rsid w:val="009911FA"/>
    <w:rsid w:val="00991932"/>
    <w:rsid w:val="009919F6"/>
    <w:rsid w:val="00992AC2"/>
    <w:rsid w:val="009941BB"/>
    <w:rsid w:val="00997638"/>
    <w:rsid w:val="009A1E8C"/>
    <w:rsid w:val="009A2DF2"/>
    <w:rsid w:val="009A2FDF"/>
    <w:rsid w:val="009A38BD"/>
    <w:rsid w:val="009A523C"/>
    <w:rsid w:val="009A779B"/>
    <w:rsid w:val="009B248C"/>
    <w:rsid w:val="009B2CD4"/>
    <w:rsid w:val="009B3715"/>
    <w:rsid w:val="009B3EBC"/>
    <w:rsid w:val="009C2088"/>
    <w:rsid w:val="009C3107"/>
    <w:rsid w:val="009C4834"/>
    <w:rsid w:val="009C5DC6"/>
    <w:rsid w:val="009C65FE"/>
    <w:rsid w:val="009C706E"/>
    <w:rsid w:val="009D15C6"/>
    <w:rsid w:val="009D1AF9"/>
    <w:rsid w:val="009D5014"/>
    <w:rsid w:val="009D50A1"/>
    <w:rsid w:val="009E3470"/>
    <w:rsid w:val="009E38A5"/>
    <w:rsid w:val="009E4894"/>
    <w:rsid w:val="009E7FB1"/>
    <w:rsid w:val="009F0A88"/>
    <w:rsid w:val="009F0C31"/>
    <w:rsid w:val="009F3E96"/>
    <w:rsid w:val="009F66CA"/>
    <w:rsid w:val="00A00199"/>
    <w:rsid w:val="00A00540"/>
    <w:rsid w:val="00A01BD3"/>
    <w:rsid w:val="00A01E5C"/>
    <w:rsid w:val="00A060E3"/>
    <w:rsid w:val="00A1209B"/>
    <w:rsid w:val="00A129EA"/>
    <w:rsid w:val="00A13D12"/>
    <w:rsid w:val="00A14FDF"/>
    <w:rsid w:val="00A15FE1"/>
    <w:rsid w:val="00A16760"/>
    <w:rsid w:val="00A174A7"/>
    <w:rsid w:val="00A20FA7"/>
    <w:rsid w:val="00A22879"/>
    <w:rsid w:val="00A265BB"/>
    <w:rsid w:val="00A26FB9"/>
    <w:rsid w:val="00A27EA4"/>
    <w:rsid w:val="00A321CF"/>
    <w:rsid w:val="00A32E77"/>
    <w:rsid w:val="00A3412F"/>
    <w:rsid w:val="00A347C4"/>
    <w:rsid w:val="00A349EF"/>
    <w:rsid w:val="00A35EE9"/>
    <w:rsid w:val="00A360D3"/>
    <w:rsid w:val="00A37A64"/>
    <w:rsid w:val="00A37E38"/>
    <w:rsid w:val="00A41164"/>
    <w:rsid w:val="00A427D2"/>
    <w:rsid w:val="00A43BC9"/>
    <w:rsid w:val="00A47753"/>
    <w:rsid w:val="00A52DB2"/>
    <w:rsid w:val="00A544C5"/>
    <w:rsid w:val="00A61EC4"/>
    <w:rsid w:val="00A62B4A"/>
    <w:rsid w:val="00A64305"/>
    <w:rsid w:val="00A6457E"/>
    <w:rsid w:val="00A677AA"/>
    <w:rsid w:val="00A67823"/>
    <w:rsid w:val="00A70329"/>
    <w:rsid w:val="00A70854"/>
    <w:rsid w:val="00A7118E"/>
    <w:rsid w:val="00A74687"/>
    <w:rsid w:val="00A74D90"/>
    <w:rsid w:val="00A809DC"/>
    <w:rsid w:val="00A80D5E"/>
    <w:rsid w:val="00A80F04"/>
    <w:rsid w:val="00A824CD"/>
    <w:rsid w:val="00A82B2E"/>
    <w:rsid w:val="00A85888"/>
    <w:rsid w:val="00A85C6F"/>
    <w:rsid w:val="00A871C6"/>
    <w:rsid w:val="00A872C5"/>
    <w:rsid w:val="00A9019B"/>
    <w:rsid w:val="00A9167F"/>
    <w:rsid w:val="00A91C7F"/>
    <w:rsid w:val="00A925EA"/>
    <w:rsid w:val="00A93EA4"/>
    <w:rsid w:val="00A94FF8"/>
    <w:rsid w:val="00A965A3"/>
    <w:rsid w:val="00A97D8D"/>
    <w:rsid w:val="00AA2B57"/>
    <w:rsid w:val="00AA4E6A"/>
    <w:rsid w:val="00AB0356"/>
    <w:rsid w:val="00AB09EA"/>
    <w:rsid w:val="00AB12A1"/>
    <w:rsid w:val="00AB45F0"/>
    <w:rsid w:val="00AB5CE8"/>
    <w:rsid w:val="00AC05DD"/>
    <w:rsid w:val="00AC0F81"/>
    <w:rsid w:val="00AC146B"/>
    <w:rsid w:val="00AC1648"/>
    <w:rsid w:val="00AC6564"/>
    <w:rsid w:val="00AD11E5"/>
    <w:rsid w:val="00AD200E"/>
    <w:rsid w:val="00AD3ACD"/>
    <w:rsid w:val="00AD5188"/>
    <w:rsid w:val="00AD6B9D"/>
    <w:rsid w:val="00AD6E0E"/>
    <w:rsid w:val="00AE124D"/>
    <w:rsid w:val="00AE2525"/>
    <w:rsid w:val="00AE2674"/>
    <w:rsid w:val="00AE4694"/>
    <w:rsid w:val="00AF0C01"/>
    <w:rsid w:val="00AF3CA9"/>
    <w:rsid w:val="00AF3CD1"/>
    <w:rsid w:val="00AF4BA8"/>
    <w:rsid w:val="00AF5044"/>
    <w:rsid w:val="00B003B2"/>
    <w:rsid w:val="00B005CE"/>
    <w:rsid w:val="00B00CB8"/>
    <w:rsid w:val="00B01F24"/>
    <w:rsid w:val="00B03E66"/>
    <w:rsid w:val="00B05E5D"/>
    <w:rsid w:val="00B06223"/>
    <w:rsid w:val="00B064FD"/>
    <w:rsid w:val="00B111D7"/>
    <w:rsid w:val="00B12896"/>
    <w:rsid w:val="00B12DD7"/>
    <w:rsid w:val="00B17FB7"/>
    <w:rsid w:val="00B21614"/>
    <w:rsid w:val="00B22B23"/>
    <w:rsid w:val="00B26654"/>
    <w:rsid w:val="00B33812"/>
    <w:rsid w:val="00B34E55"/>
    <w:rsid w:val="00B414F0"/>
    <w:rsid w:val="00B41FA8"/>
    <w:rsid w:val="00B44BD7"/>
    <w:rsid w:val="00B453B5"/>
    <w:rsid w:val="00B45620"/>
    <w:rsid w:val="00B4685B"/>
    <w:rsid w:val="00B47298"/>
    <w:rsid w:val="00B47EB8"/>
    <w:rsid w:val="00B504B1"/>
    <w:rsid w:val="00B53A81"/>
    <w:rsid w:val="00B53B8A"/>
    <w:rsid w:val="00B605B9"/>
    <w:rsid w:val="00B623FE"/>
    <w:rsid w:val="00B66217"/>
    <w:rsid w:val="00B678C3"/>
    <w:rsid w:val="00B710DB"/>
    <w:rsid w:val="00B711DB"/>
    <w:rsid w:val="00B745A4"/>
    <w:rsid w:val="00B80980"/>
    <w:rsid w:val="00B82282"/>
    <w:rsid w:val="00B823B1"/>
    <w:rsid w:val="00B829A9"/>
    <w:rsid w:val="00B82F60"/>
    <w:rsid w:val="00B83CDF"/>
    <w:rsid w:val="00B85992"/>
    <w:rsid w:val="00B9370D"/>
    <w:rsid w:val="00B94CFF"/>
    <w:rsid w:val="00B972CE"/>
    <w:rsid w:val="00BA161D"/>
    <w:rsid w:val="00BA3D4C"/>
    <w:rsid w:val="00BA4523"/>
    <w:rsid w:val="00BA49E2"/>
    <w:rsid w:val="00BA5262"/>
    <w:rsid w:val="00BA60EE"/>
    <w:rsid w:val="00BB0EFC"/>
    <w:rsid w:val="00BB171C"/>
    <w:rsid w:val="00BB2E6B"/>
    <w:rsid w:val="00BB779D"/>
    <w:rsid w:val="00BC3002"/>
    <w:rsid w:val="00BC5816"/>
    <w:rsid w:val="00BC6995"/>
    <w:rsid w:val="00BC69F5"/>
    <w:rsid w:val="00BC6EF4"/>
    <w:rsid w:val="00BD0BA3"/>
    <w:rsid w:val="00BD273B"/>
    <w:rsid w:val="00BD457F"/>
    <w:rsid w:val="00BD68FA"/>
    <w:rsid w:val="00BD76B1"/>
    <w:rsid w:val="00BD78A9"/>
    <w:rsid w:val="00BE108D"/>
    <w:rsid w:val="00BE2B39"/>
    <w:rsid w:val="00BE5EFC"/>
    <w:rsid w:val="00BF1C8B"/>
    <w:rsid w:val="00BF32C8"/>
    <w:rsid w:val="00BF3CA0"/>
    <w:rsid w:val="00BF3D00"/>
    <w:rsid w:val="00BF7278"/>
    <w:rsid w:val="00C01950"/>
    <w:rsid w:val="00C0228E"/>
    <w:rsid w:val="00C0280F"/>
    <w:rsid w:val="00C02C72"/>
    <w:rsid w:val="00C03A6F"/>
    <w:rsid w:val="00C10623"/>
    <w:rsid w:val="00C1641C"/>
    <w:rsid w:val="00C165D6"/>
    <w:rsid w:val="00C16F7D"/>
    <w:rsid w:val="00C200EB"/>
    <w:rsid w:val="00C20344"/>
    <w:rsid w:val="00C207BB"/>
    <w:rsid w:val="00C22230"/>
    <w:rsid w:val="00C2519E"/>
    <w:rsid w:val="00C25A97"/>
    <w:rsid w:val="00C300C1"/>
    <w:rsid w:val="00C3075E"/>
    <w:rsid w:val="00C34598"/>
    <w:rsid w:val="00C35D81"/>
    <w:rsid w:val="00C364D3"/>
    <w:rsid w:val="00C42587"/>
    <w:rsid w:val="00C42A98"/>
    <w:rsid w:val="00C454F6"/>
    <w:rsid w:val="00C45E0E"/>
    <w:rsid w:val="00C46388"/>
    <w:rsid w:val="00C51AF5"/>
    <w:rsid w:val="00C54261"/>
    <w:rsid w:val="00C54737"/>
    <w:rsid w:val="00C607F0"/>
    <w:rsid w:val="00C62069"/>
    <w:rsid w:val="00C65D73"/>
    <w:rsid w:val="00C6637D"/>
    <w:rsid w:val="00C74116"/>
    <w:rsid w:val="00C760E6"/>
    <w:rsid w:val="00C76A5E"/>
    <w:rsid w:val="00C80A09"/>
    <w:rsid w:val="00C81641"/>
    <w:rsid w:val="00C844EF"/>
    <w:rsid w:val="00C84660"/>
    <w:rsid w:val="00C90618"/>
    <w:rsid w:val="00C91B2D"/>
    <w:rsid w:val="00C9315C"/>
    <w:rsid w:val="00C94878"/>
    <w:rsid w:val="00C9627C"/>
    <w:rsid w:val="00C97A39"/>
    <w:rsid w:val="00CA0BE2"/>
    <w:rsid w:val="00CA3667"/>
    <w:rsid w:val="00CA721E"/>
    <w:rsid w:val="00CA7528"/>
    <w:rsid w:val="00CA7A4D"/>
    <w:rsid w:val="00CB0EAD"/>
    <w:rsid w:val="00CB135A"/>
    <w:rsid w:val="00CB1407"/>
    <w:rsid w:val="00CB2EEA"/>
    <w:rsid w:val="00CB4185"/>
    <w:rsid w:val="00CB645D"/>
    <w:rsid w:val="00CB7EC3"/>
    <w:rsid w:val="00CC2C4E"/>
    <w:rsid w:val="00CC30F9"/>
    <w:rsid w:val="00CC32E1"/>
    <w:rsid w:val="00CC339F"/>
    <w:rsid w:val="00CC484F"/>
    <w:rsid w:val="00CC5065"/>
    <w:rsid w:val="00CC51AF"/>
    <w:rsid w:val="00CC71D6"/>
    <w:rsid w:val="00CD1373"/>
    <w:rsid w:val="00CD1E45"/>
    <w:rsid w:val="00CD3FAD"/>
    <w:rsid w:val="00CD7241"/>
    <w:rsid w:val="00CD7BFB"/>
    <w:rsid w:val="00CE050B"/>
    <w:rsid w:val="00CE20BA"/>
    <w:rsid w:val="00CE5944"/>
    <w:rsid w:val="00CF0104"/>
    <w:rsid w:val="00CF1902"/>
    <w:rsid w:val="00CF2C65"/>
    <w:rsid w:val="00CF5AAF"/>
    <w:rsid w:val="00CF6154"/>
    <w:rsid w:val="00CF691A"/>
    <w:rsid w:val="00CF777A"/>
    <w:rsid w:val="00D00CA0"/>
    <w:rsid w:val="00D023B0"/>
    <w:rsid w:val="00D02A2C"/>
    <w:rsid w:val="00D0474A"/>
    <w:rsid w:val="00D101E8"/>
    <w:rsid w:val="00D1119F"/>
    <w:rsid w:val="00D1334A"/>
    <w:rsid w:val="00D15A82"/>
    <w:rsid w:val="00D17695"/>
    <w:rsid w:val="00D22331"/>
    <w:rsid w:val="00D228F0"/>
    <w:rsid w:val="00D23342"/>
    <w:rsid w:val="00D24732"/>
    <w:rsid w:val="00D2554B"/>
    <w:rsid w:val="00D26160"/>
    <w:rsid w:val="00D27E9E"/>
    <w:rsid w:val="00D34625"/>
    <w:rsid w:val="00D368C6"/>
    <w:rsid w:val="00D37313"/>
    <w:rsid w:val="00D375FD"/>
    <w:rsid w:val="00D37E7A"/>
    <w:rsid w:val="00D40245"/>
    <w:rsid w:val="00D4456E"/>
    <w:rsid w:val="00D460F2"/>
    <w:rsid w:val="00D47AA5"/>
    <w:rsid w:val="00D51FAD"/>
    <w:rsid w:val="00D5317A"/>
    <w:rsid w:val="00D54115"/>
    <w:rsid w:val="00D557B7"/>
    <w:rsid w:val="00D5586D"/>
    <w:rsid w:val="00D55BD5"/>
    <w:rsid w:val="00D5663A"/>
    <w:rsid w:val="00D60B6F"/>
    <w:rsid w:val="00D60E1E"/>
    <w:rsid w:val="00D645BC"/>
    <w:rsid w:val="00D64781"/>
    <w:rsid w:val="00D65E83"/>
    <w:rsid w:val="00D71BB9"/>
    <w:rsid w:val="00D71EA4"/>
    <w:rsid w:val="00D7271D"/>
    <w:rsid w:val="00D74CC7"/>
    <w:rsid w:val="00D759A5"/>
    <w:rsid w:val="00D77331"/>
    <w:rsid w:val="00D77785"/>
    <w:rsid w:val="00D80FEA"/>
    <w:rsid w:val="00D83668"/>
    <w:rsid w:val="00D873B2"/>
    <w:rsid w:val="00D90A63"/>
    <w:rsid w:val="00D92CA2"/>
    <w:rsid w:val="00D93F75"/>
    <w:rsid w:val="00D959C8"/>
    <w:rsid w:val="00D96303"/>
    <w:rsid w:val="00DA1A75"/>
    <w:rsid w:val="00DA256E"/>
    <w:rsid w:val="00DA433B"/>
    <w:rsid w:val="00DA6CF8"/>
    <w:rsid w:val="00DA6CFB"/>
    <w:rsid w:val="00DA7197"/>
    <w:rsid w:val="00DA73A7"/>
    <w:rsid w:val="00DA7703"/>
    <w:rsid w:val="00DB01EA"/>
    <w:rsid w:val="00DB028F"/>
    <w:rsid w:val="00DB090F"/>
    <w:rsid w:val="00DB0917"/>
    <w:rsid w:val="00DB13EA"/>
    <w:rsid w:val="00DB1931"/>
    <w:rsid w:val="00DB3E6D"/>
    <w:rsid w:val="00DC44A2"/>
    <w:rsid w:val="00DC7137"/>
    <w:rsid w:val="00DD08EF"/>
    <w:rsid w:val="00DD0A9F"/>
    <w:rsid w:val="00DD0AA3"/>
    <w:rsid w:val="00DD2281"/>
    <w:rsid w:val="00DD4105"/>
    <w:rsid w:val="00DE69D3"/>
    <w:rsid w:val="00DE6A93"/>
    <w:rsid w:val="00DE7567"/>
    <w:rsid w:val="00DF242E"/>
    <w:rsid w:val="00DF2996"/>
    <w:rsid w:val="00DF31CC"/>
    <w:rsid w:val="00DF51D9"/>
    <w:rsid w:val="00E01F52"/>
    <w:rsid w:val="00E05093"/>
    <w:rsid w:val="00E07AD9"/>
    <w:rsid w:val="00E07BF8"/>
    <w:rsid w:val="00E1162F"/>
    <w:rsid w:val="00E129D1"/>
    <w:rsid w:val="00E15A8A"/>
    <w:rsid w:val="00E16EB2"/>
    <w:rsid w:val="00E20DD9"/>
    <w:rsid w:val="00E23759"/>
    <w:rsid w:val="00E2425C"/>
    <w:rsid w:val="00E25C36"/>
    <w:rsid w:val="00E2761A"/>
    <w:rsid w:val="00E2770C"/>
    <w:rsid w:val="00E27D18"/>
    <w:rsid w:val="00E3042D"/>
    <w:rsid w:val="00E31BD4"/>
    <w:rsid w:val="00E321D3"/>
    <w:rsid w:val="00E34EF1"/>
    <w:rsid w:val="00E3565E"/>
    <w:rsid w:val="00E37CEE"/>
    <w:rsid w:val="00E4460A"/>
    <w:rsid w:val="00E4756C"/>
    <w:rsid w:val="00E4791D"/>
    <w:rsid w:val="00E47ADF"/>
    <w:rsid w:val="00E5666B"/>
    <w:rsid w:val="00E61317"/>
    <w:rsid w:val="00E6482A"/>
    <w:rsid w:val="00E64D1A"/>
    <w:rsid w:val="00E65224"/>
    <w:rsid w:val="00E65278"/>
    <w:rsid w:val="00E652BD"/>
    <w:rsid w:val="00E67854"/>
    <w:rsid w:val="00E71720"/>
    <w:rsid w:val="00E723F2"/>
    <w:rsid w:val="00E7517E"/>
    <w:rsid w:val="00E7677C"/>
    <w:rsid w:val="00E803F6"/>
    <w:rsid w:val="00E80593"/>
    <w:rsid w:val="00E81C6F"/>
    <w:rsid w:val="00E82663"/>
    <w:rsid w:val="00E826DA"/>
    <w:rsid w:val="00E83398"/>
    <w:rsid w:val="00E83A82"/>
    <w:rsid w:val="00E8443D"/>
    <w:rsid w:val="00E8777F"/>
    <w:rsid w:val="00E87817"/>
    <w:rsid w:val="00E87DCB"/>
    <w:rsid w:val="00E90C34"/>
    <w:rsid w:val="00E918E3"/>
    <w:rsid w:val="00E93499"/>
    <w:rsid w:val="00E94E66"/>
    <w:rsid w:val="00E96E9C"/>
    <w:rsid w:val="00EA1321"/>
    <w:rsid w:val="00EA186A"/>
    <w:rsid w:val="00EA398F"/>
    <w:rsid w:val="00EA5DB3"/>
    <w:rsid w:val="00EA5F71"/>
    <w:rsid w:val="00EA7DE6"/>
    <w:rsid w:val="00EB1992"/>
    <w:rsid w:val="00EB282C"/>
    <w:rsid w:val="00EB37A5"/>
    <w:rsid w:val="00EB3ED0"/>
    <w:rsid w:val="00EB6D03"/>
    <w:rsid w:val="00EC542A"/>
    <w:rsid w:val="00EC550F"/>
    <w:rsid w:val="00EC7597"/>
    <w:rsid w:val="00EC7B06"/>
    <w:rsid w:val="00ED0731"/>
    <w:rsid w:val="00ED0A5D"/>
    <w:rsid w:val="00ED28B9"/>
    <w:rsid w:val="00ED3048"/>
    <w:rsid w:val="00ED539E"/>
    <w:rsid w:val="00ED57AD"/>
    <w:rsid w:val="00ED5E51"/>
    <w:rsid w:val="00ED6930"/>
    <w:rsid w:val="00ED713B"/>
    <w:rsid w:val="00EE2DA0"/>
    <w:rsid w:val="00EE463B"/>
    <w:rsid w:val="00EE5597"/>
    <w:rsid w:val="00EE5AFD"/>
    <w:rsid w:val="00EE79F3"/>
    <w:rsid w:val="00EF502F"/>
    <w:rsid w:val="00EF594A"/>
    <w:rsid w:val="00F020B5"/>
    <w:rsid w:val="00F02923"/>
    <w:rsid w:val="00F035A0"/>
    <w:rsid w:val="00F0601F"/>
    <w:rsid w:val="00F0628B"/>
    <w:rsid w:val="00F0767B"/>
    <w:rsid w:val="00F101C7"/>
    <w:rsid w:val="00F1083B"/>
    <w:rsid w:val="00F110E9"/>
    <w:rsid w:val="00F12157"/>
    <w:rsid w:val="00F23355"/>
    <w:rsid w:val="00F2485D"/>
    <w:rsid w:val="00F2596E"/>
    <w:rsid w:val="00F25E90"/>
    <w:rsid w:val="00F26750"/>
    <w:rsid w:val="00F26978"/>
    <w:rsid w:val="00F269BC"/>
    <w:rsid w:val="00F32681"/>
    <w:rsid w:val="00F341F1"/>
    <w:rsid w:val="00F34A78"/>
    <w:rsid w:val="00F407DC"/>
    <w:rsid w:val="00F4113A"/>
    <w:rsid w:val="00F41B05"/>
    <w:rsid w:val="00F41CB7"/>
    <w:rsid w:val="00F42DEA"/>
    <w:rsid w:val="00F50D48"/>
    <w:rsid w:val="00F55019"/>
    <w:rsid w:val="00F62345"/>
    <w:rsid w:val="00F62A71"/>
    <w:rsid w:val="00F66709"/>
    <w:rsid w:val="00F66E5C"/>
    <w:rsid w:val="00F75CEA"/>
    <w:rsid w:val="00F75DA0"/>
    <w:rsid w:val="00F75E11"/>
    <w:rsid w:val="00F76C66"/>
    <w:rsid w:val="00F80B83"/>
    <w:rsid w:val="00F80F37"/>
    <w:rsid w:val="00F814DD"/>
    <w:rsid w:val="00F8243D"/>
    <w:rsid w:val="00F82F63"/>
    <w:rsid w:val="00F83AB0"/>
    <w:rsid w:val="00F83B88"/>
    <w:rsid w:val="00F83D7B"/>
    <w:rsid w:val="00F84432"/>
    <w:rsid w:val="00F84DF8"/>
    <w:rsid w:val="00F908FF"/>
    <w:rsid w:val="00F91105"/>
    <w:rsid w:val="00F92583"/>
    <w:rsid w:val="00F94859"/>
    <w:rsid w:val="00F9534D"/>
    <w:rsid w:val="00F95B92"/>
    <w:rsid w:val="00F97C53"/>
    <w:rsid w:val="00FA105D"/>
    <w:rsid w:val="00FA2034"/>
    <w:rsid w:val="00FA2DDC"/>
    <w:rsid w:val="00FA4E7A"/>
    <w:rsid w:val="00FA54D1"/>
    <w:rsid w:val="00FA7D1C"/>
    <w:rsid w:val="00FB03C4"/>
    <w:rsid w:val="00FB1C4F"/>
    <w:rsid w:val="00FB20CE"/>
    <w:rsid w:val="00FB2E1B"/>
    <w:rsid w:val="00FB3248"/>
    <w:rsid w:val="00FB5AF0"/>
    <w:rsid w:val="00FC01E3"/>
    <w:rsid w:val="00FC0800"/>
    <w:rsid w:val="00FC4438"/>
    <w:rsid w:val="00FC515B"/>
    <w:rsid w:val="00FC71E0"/>
    <w:rsid w:val="00FD0305"/>
    <w:rsid w:val="00FD2417"/>
    <w:rsid w:val="00FD29B8"/>
    <w:rsid w:val="00FD3F70"/>
    <w:rsid w:val="00FD50D7"/>
    <w:rsid w:val="00FD6375"/>
    <w:rsid w:val="00FD720A"/>
    <w:rsid w:val="00FE23D0"/>
    <w:rsid w:val="00FE2FD1"/>
    <w:rsid w:val="00FE6D7B"/>
    <w:rsid w:val="00FE7269"/>
    <w:rsid w:val="00FE7B91"/>
    <w:rsid w:val="00FF00AB"/>
    <w:rsid w:val="00FF30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2819C"/>
  <w15:docId w15:val="{6432AA5D-98F5-4792-929C-3B6596B8E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21A27"/>
    <w:pPr>
      <w:spacing w:after="200" w:line="276" w:lineRule="auto"/>
    </w:pPr>
    <w:rPr>
      <w:rFonts w:ascii="Times New Roman" w:hAnsi="Times New Roman"/>
      <w:sz w:val="24"/>
    </w:rPr>
  </w:style>
  <w:style w:type="paragraph" w:styleId="Nagwek1">
    <w:name w:val="heading 1"/>
    <w:basedOn w:val="Normalny"/>
    <w:next w:val="Normalny"/>
    <w:link w:val="Nagwek1Znak"/>
    <w:qFormat/>
    <w:rsid w:val="000D2F37"/>
    <w:pPr>
      <w:keepNext/>
      <w:spacing w:before="240" w:after="60" w:line="240" w:lineRule="auto"/>
      <w:jc w:val="both"/>
      <w:outlineLvl w:val="0"/>
    </w:pPr>
    <w:rPr>
      <w:rFonts w:ascii="Arial" w:eastAsia="Times New Roman" w:hAnsi="Arial" w:cs="Arial"/>
      <w:b/>
      <w:bCs/>
      <w:kern w:val="32"/>
      <w:sz w:val="32"/>
      <w:szCs w:val="3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710DB"/>
    <w:pPr>
      <w:ind w:left="720"/>
      <w:contextualSpacing/>
    </w:pPr>
  </w:style>
  <w:style w:type="character" w:customStyle="1" w:styleId="Ppogrubienie">
    <w:name w:val="_P_ – pogrubienie"/>
    <w:basedOn w:val="Domylnaczcionkaakapitu"/>
    <w:uiPriority w:val="1"/>
    <w:qFormat/>
    <w:rsid w:val="00921A27"/>
    <w:rPr>
      <w:b/>
      <w:bCs/>
    </w:rPr>
  </w:style>
  <w:style w:type="character" w:customStyle="1" w:styleId="Bodytext">
    <w:name w:val="Body text_"/>
    <w:basedOn w:val="Domylnaczcionkaakapitu"/>
    <w:link w:val="Tekstpodstawowy3"/>
    <w:rsid w:val="00881752"/>
    <w:rPr>
      <w:rFonts w:ascii="Arial" w:eastAsia="Arial" w:hAnsi="Arial" w:cs="Arial"/>
      <w:sz w:val="18"/>
      <w:szCs w:val="18"/>
      <w:shd w:val="clear" w:color="auto" w:fill="FFFFFF"/>
    </w:rPr>
  </w:style>
  <w:style w:type="paragraph" w:customStyle="1" w:styleId="Tekstpodstawowy3">
    <w:name w:val="Tekst podstawowy3"/>
    <w:basedOn w:val="Normalny"/>
    <w:link w:val="Bodytext"/>
    <w:rsid w:val="00881752"/>
    <w:pPr>
      <w:shd w:val="clear" w:color="auto" w:fill="FFFFFF"/>
      <w:spacing w:after="0" w:line="0" w:lineRule="atLeast"/>
      <w:ind w:hanging="720"/>
    </w:pPr>
    <w:rPr>
      <w:rFonts w:ascii="Arial" w:eastAsia="Arial" w:hAnsi="Arial" w:cs="Arial"/>
      <w:sz w:val="18"/>
      <w:szCs w:val="18"/>
    </w:rPr>
  </w:style>
  <w:style w:type="character" w:customStyle="1" w:styleId="Tekstpodstawowy2">
    <w:name w:val="Tekst podstawowy2"/>
    <w:basedOn w:val="Bodytext"/>
    <w:rsid w:val="00881752"/>
    <w:rPr>
      <w:rFonts w:ascii="Arial" w:eastAsia="Arial" w:hAnsi="Arial" w:cs="Arial"/>
      <w:b w:val="0"/>
      <w:bCs w:val="0"/>
      <w:i w:val="0"/>
      <w:iCs w:val="0"/>
      <w:smallCaps w:val="0"/>
      <w:strike w:val="0"/>
      <w:spacing w:val="0"/>
      <w:sz w:val="18"/>
      <w:szCs w:val="18"/>
      <w:u w:val="single"/>
      <w:shd w:val="clear" w:color="auto" w:fill="FFFFFF"/>
    </w:rPr>
  </w:style>
  <w:style w:type="paragraph" w:styleId="Tekstprzypisudolnego">
    <w:name w:val="footnote text"/>
    <w:basedOn w:val="Normalny"/>
    <w:link w:val="TekstprzypisudolnegoZnak"/>
    <w:uiPriority w:val="99"/>
    <w:semiHidden/>
    <w:unhideWhenUsed/>
    <w:rsid w:val="0088175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81752"/>
    <w:rPr>
      <w:rFonts w:ascii="Times New Roman" w:hAnsi="Times New Roman"/>
      <w:sz w:val="20"/>
      <w:szCs w:val="20"/>
    </w:rPr>
  </w:style>
  <w:style w:type="character" w:styleId="Odwoanieprzypisudolnego">
    <w:name w:val="footnote reference"/>
    <w:aliases w:val="OZNAKA OPOMBE,FZ"/>
    <w:basedOn w:val="Domylnaczcionkaakapitu"/>
    <w:uiPriority w:val="99"/>
    <w:unhideWhenUsed/>
    <w:rsid w:val="00881752"/>
    <w:rPr>
      <w:vertAlign w:val="superscript"/>
    </w:rPr>
  </w:style>
  <w:style w:type="character" w:styleId="Odwoaniedokomentarza">
    <w:name w:val="annotation reference"/>
    <w:basedOn w:val="Domylnaczcionkaakapitu"/>
    <w:uiPriority w:val="99"/>
    <w:semiHidden/>
    <w:unhideWhenUsed/>
    <w:rsid w:val="001F524A"/>
    <w:rPr>
      <w:sz w:val="16"/>
      <w:szCs w:val="16"/>
    </w:rPr>
  </w:style>
  <w:style w:type="paragraph" w:styleId="Tekstkomentarza">
    <w:name w:val="annotation text"/>
    <w:basedOn w:val="Normalny"/>
    <w:link w:val="TekstkomentarzaZnak"/>
    <w:uiPriority w:val="99"/>
    <w:unhideWhenUsed/>
    <w:rsid w:val="001F524A"/>
    <w:pPr>
      <w:spacing w:line="240" w:lineRule="auto"/>
    </w:pPr>
    <w:rPr>
      <w:sz w:val="20"/>
      <w:szCs w:val="20"/>
    </w:rPr>
  </w:style>
  <w:style w:type="character" w:customStyle="1" w:styleId="TekstkomentarzaZnak">
    <w:name w:val="Tekst komentarza Znak"/>
    <w:basedOn w:val="Domylnaczcionkaakapitu"/>
    <w:link w:val="Tekstkomentarza"/>
    <w:uiPriority w:val="99"/>
    <w:rsid w:val="001F524A"/>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1F524A"/>
    <w:rPr>
      <w:b/>
      <w:bCs/>
    </w:rPr>
  </w:style>
  <w:style w:type="character" w:customStyle="1" w:styleId="TematkomentarzaZnak">
    <w:name w:val="Temat komentarza Znak"/>
    <w:basedOn w:val="TekstkomentarzaZnak"/>
    <w:link w:val="Tematkomentarza"/>
    <w:uiPriority w:val="99"/>
    <w:semiHidden/>
    <w:rsid w:val="001F524A"/>
    <w:rPr>
      <w:rFonts w:ascii="Times New Roman" w:hAnsi="Times New Roman"/>
      <w:b/>
      <w:bCs/>
      <w:sz w:val="20"/>
      <w:szCs w:val="20"/>
    </w:rPr>
  </w:style>
  <w:style w:type="paragraph" w:styleId="Tekstdymka">
    <w:name w:val="Balloon Text"/>
    <w:basedOn w:val="Normalny"/>
    <w:link w:val="TekstdymkaZnak"/>
    <w:uiPriority w:val="99"/>
    <w:semiHidden/>
    <w:unhideWhenUsed/>
    <w:rsid w:val="001F524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F524A"/>
    <w:rPr>
      <w:rFonts w:ascii="Segoe UI" w:hAnsi="Segoe UI" w:cs="Segoe UI"/>
      <w:sz w:val="18"/>
      <w:szCs w:val="18"/>
    </w:rPr>
  </w:style>
  <w:style w:type="character" w:styleId="Pogrubienie">
    <w:name w:val="Strong"/>
    <w:basedOn w:val="Domylnaczcionkaakapitu"/>
    <w:uiPriority w:val="22"/>
    <w:qFormat/>
    <w:rsid w:val="00714C96"/>
    <w:rPr>
      <w:b/>
      <w:bCs/>
    </w:rPr>
  </w:style>
  <w:style w:type="paragraph" w:customStyle="1" w:styleId="Tekstpodstawowy5">
    <w:name w:val="Tekst podstawowy5"/>
    <w:basedOn w:val="Normalny"/>
    <w:rsid w:val="00FB03C4"/>
    <w:pPr>
      <w:shd w:val="clear" w:color="auto" w:fill="FFFFFF"/>
      <w:spacing w:before="360" w:after="0" w:line="317" w:lineRule="exact"/>
      <w:ind w:hanging="360"/>
    </w:pPr>
    <w:rPr>
      <w:rFonts w:eastAsia="Times New Roman" w:cs="Times New Roman"/>
      <w:color w:val="000000"/>
      <w:sz w:val="22"/>
      <w:lang w:val="pl" w:eastAsia="pl-PL"/>
    </w:rPr>
  </w:style>
  <w:style w:type="character" w:customStyle="1" w:styleId="BodytextItalic">
    <w:name w:val="Body text + Italic"/>
    <w:basedOn w:val="Bodytext"/>
    <w:rsid w:val="00D26160"/>
    <w:rPr>
      <w:rFonts w:ascii="Times New Roman" w:eastAsia="Times New Roman" w:hAnsi="Times New Roman" w:cs="Times New Roman"/>
      <w:b w:val="0"/>
      <w:bCs w:val="0"/>
      <w:i/>
      <w:iCs/>
      <w:smallCaps w:val="0"/>
      <w:strike w:val="0"/>
      <w:spacing w:val="0"/>
      <w:sz w:val="22"/>
      <w:szCs w:val="22"/>
      <w:shd w:val="clear" w:color="auto" w:fill="FFFFFF"/>
    </w:rPr>
  </w:style>
  <w:style w:type="paragraph" w:customStyle="1" w:styleId="ZPKTzmpktartykuempunktem">
    <w:name w:val="Z/PKT – zm. pkt artykułem (punktem)"/>
    <w:basedOn w:val="Normalny"/>
    <w:uiPriority w:val="31"/>
    <w:qFormat/>
    <w:rsid w:val="009862D2"/>
    <w:pPr>
      <w:spacing w:after="0" w:line="360" w:lineRule="auto"/>
      <w:ind w:left="1020" w:hanging="510"/>
      <w:jc w:val="both"/>
    </w:pPr>
    <w:rPr>
      <w:rFonts w:ascii="Times" w:eastAsiaTheme="minorEastAsia" w:hAnsi="Times" w:cs="Arial"/>
      <w:bCs/>
      <w:szCs w:val="20"/>
      <w:lang w:eastAsia="pl-PL"/>
    </w:rPr>
  </w:style>
  <w:style w:type="paragraph" w:customStyle="1" w:styleId="ZUSTzmustartykuempunktem">
    <w:name w:val="Z/UST(§) – zm. ust. (§) artykułem (punktem)"/>
    <w:basedOn w:val="Normalny"/>
    <w:qFormat/>
    <w:rsid w:val="009862D2"/>
    <w:pPr>
      <w:suppressAutoHyphens/>
      <w:autoSpaceDE w:val="0"/>
      <w:autoSpaceDN w:val="0"/>
      <w:adjustRightInd w:val="0"/>
      <w:spacing w:after="0" w:line="360" w:lineRule="auto"/>
      <w:ind w:left="510" w:firstLine="510"/>
      <w:jc w:val="both"/>
    </w:pPr>
    <w:rPr>
      <w:rFonts w:ascii="Times" w:eastAsiaTheme="minorEastAsia" w:hAnsi="Times" w:cs="Arial"/>
      <w:szCs w:val="20"/>
      <w:lang w:eastAsia="pl-PL"/>
    </w:rPr>
  </w:style>
  <w:style w:type="paragraph" w:customStyle="1" w:styleId="ZARTzmartartykuempunktem">
    <w:name w:val="Z/ART(§) – zm. art. (§) artykułem (punktem)"/>
    <w:basedOn w:val="Normalny"/>
    <w:uiPriority w:val="30"/>
    <w:qFormat/>
    <w:rsid w:val="00DA7197"/>
    <w:pPr>
      <w:suppressAutoHyphens/>
      <w:autoSpaceDE w:val="0"/>
      <w:autoSpaceDN w:val="0"/>
      <w:adjustRightInd w:val="0"/>
      <w:spacing w:after="0" w:line="360" w:lineRule="auto"/>
      <w:ind w:left="510" w:firstLine="510"/>
      <w:jc w:val="both"/>
    </w:pPr>
    <w:rPr>
      <w:rFonts w:ascii="Times" w:eastAsiaTheme="minorEastAsia" w:hAnsi="Times" w:cs="Arial"/>
      <w:szCs w:val="20"/>
      <w:lang w:eastAsia="pl-PL"/>
    </w:rPr>
  </w:style>
  <w:style w:type="paragraph" w:customStyle="1" w:styleId="ZLITzmlitartykuempunktem">
    <w:name w:val="Z/LIT – zm. lit. artykułem (punktem)"/>
    <w:basedOn w:val="Normalny"/>
    <w:uiPriority w:val="32"/>
    <w:qFormat/>
    <w:rsid w:val="003F47FC"/>
    <w:pPr>
      <w:spacing w:after="0" w:line="360" w:lineRule="auto"/>
      <w:ind w:left="986" w:hanging="476"/>
      <w:jc w:val="both"/>
    </w:pPr>
    <w:rPr>
      <w:rFonts w:ascii="Times" w:eastAsiaTheme="minorEastAsia" w:hAnsi="Times" w:cs="Arial"/>
      <w:bCs/>
      <w:szCs w:val="20"/>
      <w:lang w:eastAsia="pl-PL"/>
    </w:rPr>
  </w:style>
  <w:style w:type="paragraph" w:styleId="Tekstprzypisukocowego">
    <w:name w:val="endnote text"/>
    <w:basedOn w:val="Normalny"/>
    <w:link w:val="TekstprzypisukocowegoZnak"/>
    <w:uiPriority w:val="99"/>
    <w:semiHidden/>
    <w:unhideWhenUsed/>
    <w:rsid w:val="00E90C3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90C34"/>
    <w:rPr>
      <w:rFonts w:ascii="Times New Roman" w:hAnsi="Times New Roman"/>
      <w:sz w:val="20"/>
      <w:szCs w:val="20"/>
    </w:rPr>
  </w:style>
  <w:style w:type="character" w:styleId="Odwoanieprzypisukocowego">
    <w:name w:val="endnote reference"/>
    <w:basedOn w:val="Domylnaczcionkaakapitu"/>
    <w:uiPriority w:val="99"/>
    <w:semiHidden/>
    <w:unhideWhenUsed/>
    <w:rsid w:val="00E90C34"/>
    <w:rPr>
      <w:vertAlign w:val="superscript"/>
    </w:rPr>
  </w:style>
  <w:style w:type="paragraph" w:customStyle="1" w:styleId="Text2">
    <w:name w:val="Text 2"/>
    <w:basedOn w:val="Normalny"/>
    <w:rsid w:val="00E90C34"/>
    <w:pPr>
      <w:spacing w:before="120" w:after="120" w:line="360" w:lineRule="auto"/>
      <w:ind w:left="1134"/>
    </w:pPr>
    <w:rPr>
      <w:rFonts w:eastAsia="Calibri" w:cs="Times New Roman"/>
      <w:lang w:val="en-GB"/>
    </w:rPr>
  </w:style>
  <w:style w:type="paragraph" w:customStyle="1" w:styleId="Considrant">
    <w:name w:val="Considérant"/>
    <w:basedOn w:val="Normalny"/>
    <w:rsid w:val="00E90C34"/>
    <w:pPr>
      <w:numPr>
        <w:numId w:val="5"/>
      </w:numPr>
      <w:spacing w:before="120" w:after="120" w:line="240" w:lineRule="auto"/>
      <w:jc w:val="both"/>
    </w:pPr>
    <w:rPr>
      <w:rFonts w:cs="Times New Roman"/>
      <w:lang w:val="en-GB"/>
    </w:rPr>
  </w:style>
  <w:style w:type="paragraph" w:styleId="Poprawka">
    <w:name w:val="Revision"/>
    <w:hidden/>
    <w:uiPriority w:val="99"/>
    <w:semiHidden/>
    <w:rsid w:val="00FB2E1B"/>
    <w:pPr>
      <w:spacing w:after="0" w:line="240" w:lineRule="auto"/>
    </w:pPr>
    <w:rPr>
      <w:rFonts w:ascii="Times New Roman" w:hAnsi="Times New Roman"/>
      <w:sz w:val="24"/>
    </w:rPr>
  </w:style>
  <w:style w:type="character" w:customStyle="1" w:styleId="luchili">
    <w:name w:val="luc_hili"/>
    <w:basedOn w:val="Domylnaczcionkaakapitu"/>
    <w:rsid w:val="00CB135A"/>
  </w:style>
  <w:style w:type="paragraph" w:styleId="Bezodstpw">
    <w:name w:val="No Spacing"/>
    <w:rsid w:val="00C0280F"/>
    <w:pPr>
      <w:suppressAutoHyphens/>
      <w:autoSpaceDN w:val="0"/>
      <w:spacing w:after="0" w:line="240" w:lineRule="auto"/>
      <w:jc w:val="both"/>
      <w:textAlignment w:val="baseline"/>
    </w:pPr>
    <w:rPr>
      <w:rFonts w:ascii="Times New Roman" w:eastAsia="Calibri" w:hAnsi="Times New Roman" w:cs="Times New Roman"/>
    </w:rPr>
  </w:style>
  <w:style w:type="paragraph" w:styleId="Nagwek">
    <w:name w:val="header"/>
    <w:basedOn w:val="Normalny"/>
    <w:link w:val="NagwekZnak"/>
    <w:uiPriority w:val="99"/>
    <w:unhideWhenUsed/>
    <w:rsid w:val="00E1162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1162F"/>
    <w:rPr>
      <w:rFonts w:ascii="Times New Roman" w:hAnsi="Times New Roman"/>
      <w:sz w:val="24"/>
    </w:rPr>
  </w:style>
  <w:style w:type="paragraph" w:styleId="Stopka">
    <w:name w:val="footer"/>
    <w:basedOn w:val="Normalny"/>
    <w:link w:val="StopkaZnak"/>
    <w:uiPriority w:val="99"/>
    <w:unhideWhenUsed/>
    <w:rsid w:val="00E1162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1162F"/>
    <w:rPr>
      <w:rFonts w:ascii="Times New Roman" w:hAnsi="Times New Roman"/>
      <w:sz w:val="24"/>
    </w:rPr>
  </w:style>
  <w:style w:type="paragraph" w:customStyle="1" w:styleId="Default">
    <w:name w:val="Default"/>
    <w:rsid w:val="00CA7A4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ksttreci2">
    <w:name w:val="Tekst treści (2)_"/>
    <w:basedOn w:val="Domylnaczcionkaakapitu"/>
    <w:link w:val="Teksttreci20"/>
    <w:locked/>
    <w:rsid w:val="009578D2"/>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9578D2"/>
    <w:pPr>
      <w:widowControl w:val="0"/>
      <w:shd w:val="clear" w:color="auto" w:fill="FFFFFF"/>
      <w:spacing w:after="180" w:line="0" w:lineRule="atLeast"/>
      <w:ind w:hanging="560"/>
      <w:jc w:val="right"/>
    </w:pPr>
    <w:rPr>
      <w:rFonts w:eastAsia="Times New Roman" w:cs="Times New Roman"/>
      <w:sz w:val="22"/>
    </w:rPr>
  </w:style>
  <w:style w:type="character" w:customStyle="1" w:styleId="alb-s">
    <w:name w:val="a_lb-s"/>
    <w:basedOn w:val="Domylnaczcionkaakapitu"/>
    <w:rsid w:val="009578D2"/>
  </w:style>
  <w:style w:type="character" w:styleId="Hipercze">
    <w:name w:val="Hyperlink"/>
    <w:basedOn w:val="Domylnaczcionkaakapitu"/>
    <w:uiPriority w:val="99"/>
    <w:unhideWhenUsed/>
    <w:rsid w:val="009578D2"/>
    <w:rPr>
      <w:color w:val="0000FF"/>
      <w:u w:val="single"/>
    </w:rPr>
  </w:style>
  <w:style w:type="paragraph" w:customStyle="1" w:styleId="NIEARTTEKSTtekstnieartykuowanynppodstprawnarozplubpreambua">
    <w:name w:val="NIEART_TEKST – tekst nieartykułowany (np. podst. prawna rozp. lub preambuła)"/>
    <w:basedOn w:val="Normalny"/>
    <w:next w:val="Normalny"/>
    <w:uiPriority w:val="7"/>
    <w:qFormat/>
    <w:rsid w:val="00263332"/>
    <w:pPr>
      <w:suppressAutoHyphens/>
      <w:autoSpaceDE w:val="0"/>
      <w:autoSpaceDN w:val="0"/>
      <w:adjustRightInd w:val="0"/>
      <w:spacing w:before="120" w:after="0" w:line="360" w:lineRule="auto"/>
      <w:ind w:firstLine="510"/>
      <w:jc w:val="both"/>
    </w:pPr>
    <w:rPr>
      <w:rFonts w:ascii="Times" w:eastAsiaTheme="minorEastAsia" w:hAnsi="Times" w:cs="Arial"/>
      <w:bCs/>
      <w:szCs w:val="20"/>
      <w:lang w:eastAsia="pl-PL"/>
    </w:rPr>
  </w:style>
  <w:style w:type="character" w:customStyle="1" w:styleId="Kkursywa">
    <w:name w:val="_K_ – kursywa"/>
    <w:basedOn w:val="Domylnaczcionkaakapitu"/>
    <w:qFormat/>
    <w:rsid w:val="00263332"/>
    <w:rPr>
      <w:i/>
    </w:rPr>
  </w:style>
  <w:style w:type="paragraph" w:customStyle="1" w:styleId="ARTartustawynprozporzdzenia">
    <w:name w:val="ART(§) – art. ustawy (§ np. rozporządzenia)"/>
    <w:uiPriority w:val="11"/>
    <w:qFormat/>
    <w:rsid w:val="0026333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ODNONIKtreodnonika">
    <w:name w:val="ODNOŚNIK – treść odnośnika"/>
    <w:uiPriority w:val="24"/>
    <w:qFormat/>
    <w:rsid w:val="00274123"/>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roboczyZnak">
    <w:name w:val="roboczy Znak"/>
    <w:basedOn w:val="Domylnaczcionkaakapitu"/>
    <w:link w:val="roboczy"/>
    <w:locked/>
    <w:rsid w:val="0098520A"/>
  </w:style>
  <w:style w:type="paragraph" w:customStyle="1" w:styleId="roboczy">
    <w:name w:val="roboczy"/>
    <w:basedOn w:val="Normalny"/>
    <w:link w:val="roboczyZnak"/>
    <w:rsid w:val="0098520A"/>
    <w:pPr>
      <w:spacing w:after="0" w:line="240" w:lineRule="auto"/>
      <w:jc w:val="both"/>
    </w:pPr>
    <w:rPr>
      <w:rFonts w:asciiTheme="minorHAnsi" w:hAnsiTheme="minorHAnsi"/>
      <w:sz w:val="22"/>
    </w:rPr>
  </w:style>
  <w:style w:type="paragraph" w:customStyle="1" w:styleId="sti-art">
    <w:name w:val="sti-art"/>
    <w:basedOn w:val="Normalny"/>
    <w:rsid w:val="00692ED8"/>
    <w:pPr>
      <w:spacing w:before="100" w:beforeAutospacing="1" w:after="100" w:afterAutospacing="1" w:line="240" w:lineRule="auto"/>
    </w:pPr>
    <w:rPr>
      <w:rFonts w:eastAsia="Times New Roman" w:cs="Times New Roman"/>
      <w:szCs w:val="24"/>
      <w:lang w:eastAsia="pl-PL"/>
    </w:rPr>
  </w:style>
  <w:style w:type="character" w:customStyle="1" w:styleId="TekstkomentarzaZnak1">
    <w:name w:val="Tekst komentarza Znak1"/>
    <w:uiPriority w:val="99"/>
    <w:semiHidden/>
    <w:rsid w:val="00D5586D"/>
    <w:rPr>
      <w:rFonts w:eastAsia="SimSun" w:cs="Mangal"/>
      <w:kern w:val="1"/>
      <w:szCs w:val="18"/>
      <w:lang w:eastAsia="hi-IN" w:bidi="hi-IN"/>
    </w:rPr>
  </w:style>
  <w:style w:type="paragraph" w:customStyle="1" w:styleId="PKTODNONIKApunktodnonika">
    <w:name w:val="PKT_ODNOŚNIKA – punkt odnośnika"/>
    <w:basedOn w:val="ODNONIKtreodnonika"/>
    <w:uiPriority w:val="24"/>
    <w:qFormat/>
    <w:rsid w:val="00C80A09"/>
    <w:pPr>
      <w:ind w:left="568"/>
    </w:pPr>
  </w:style>
  <w:style w:type="character" w:customStyle="1" w:styleId="Nagwek1Znak">
    <w:name w:val="Nagłówek 1 Znak"/>
    <w:basedOn w:val="Domylnaczcionkaakapitu"/>
    <w:link w:val="Nagwek1"/>
    <w:rsid w:val="000D2F37"/>
    <w:rPr>
      <w:rFonts w:ascii="Arial" w:eastAsia="Times New Roman" w:hAnsi="Arial" w:cs="Arial"/>
      <w:b/>
      <w:bCs/>
      <w:kern w:val="32"/>
      <w:sz w:val="32"/>
      <w:szCs w:val="32"/>
      <w:lang w:eastAsia="pl-PL"/>
    </w:rPr>
  </w:style>
  <w:style w:type="paragraph" w:customStyle="1" w:styleId="ZLITPKTzmpktliter">
    <w:name w:val="Z_LIT/PKT – zm. pkt literą"/>
    <w:basedOn w:val="Normalny"/>
    <w:uiPriority w:val="47"/>
    <w:qFormat/>
    <w:rsid w:val="001056A1"/>
    <w:pPr>
      <w:spacing w:after="0" w:line="360" w:lineRule="auto"/>
      <w:ind w:left="1497" w:hanging="510"/>
      <w:jc w:val="both"/>
    </w:pPr>
    <w:rPr>
      <w:rFonts w:ascii="Times" w:eastAsiaTheme="minorEastAsia" w:hAnsi="Times" w:cs="Arial"/>
      <w:bCs/>
      <w:szCs w:val="20"/>
      <w:lang w:eastAsia="pl-PL"/>
    </w:rPr>
  </w:style>
  <w:style w:type="character" w:customStyle="1" w:styleId="IGindeksgrny">
    <w:name w:val="_IG_ – indeks górny"/>
    <w:basedOn w:val="Domylnaczcionkaakapitu"/>
    <w:uiPriority w:val="2"/>
    <w:qFormat/>
    <w:rsid w:val="005825CA"/>
    <w:rPr>
      <w:b w:val="0"/>
      <w:i w:val="0"/>
      <w:vanish w:val="0"/>
      <w:spacing w:val="0"/>
      <w:vertAlign w:val="superscript"/>
    </w:rPr>
  </w:style>
  <w:style w:type="paragraph" w:customStyle="1" w:styleId="LITlitera">
    <w:name w:val="LIT – litera"/>
    <w:basedOn w:val="Normalny"/>
    <w:uiPriority w:val="14"/>
    <w:qFormat/>
    <w:rsid w:val="00704996"/>
    <w:pPr>
      <w:spacing w:after="0" w:line="360" w:lineRule="auto"/>
      <w:ind w:left="986" w:hanging="476"/>
      <w:jc w:val="both"/>
    </w:pPr>
    <w:rPr>
      <w:rFonts w:ascii="Times" w:eastAsiaTheme="minorEastAsia" w:hAnsi="Times" w:cs="Arial"/>
      <w:bCs/>
      <w:szCs w:val="20"/>
      <w:lang w:eastAsia="pl-PL"/>
    </w:rPr>
  </w:style>
  <w:style w:type="paragraph" w:customStyle="1" w:styleId="ZLITUSTzmustliter">
    <w:name w:val="Z_LIT/UST(§) – zm. ust. (§) literą"/>
    <w:basedOn w:val="Normalny"/>
    <w:uiPriority w:val="46"/>
    <w:qFormat/>
    <w:rsid w:val="00704996"/>
    <w:pPr>
      <w:suppressAutoHyphens/>
      <w:autoSpaceDE w:val="0"/>
      <w:autoSpaceDN w:val="0"/>
      <w:adjustRightInd w:val="0"/>
      <w:spacing w:after="0" w:line="360" w:lineRule="auto"/>
      <w:ind w:left="987" w:firstLine="510"/>
      <w:jc w:val="both"/>
    </w:pPr>
    <w:rPr>
      <w:rFonts w:ascii="Times" w:eastAsiaTheme="minorEastAsia" w:hAnsi="Times" w:cs="Arial"/>
      <w:bCs/>
      <w:szCs w:val="20"/>
      <w:lang w:eastAsia="pl-PL"/>
    </w:rPr>
  </w:style>
  <w:style w:type="character" w:customStyle="1" w:styleId="ilfuvd">
    <w:name w:val="ilfuvd"/>
    <w:basedOn w:val="Domylnaczcionkaakapitu"/>
    <w:rsid w:val="0035412D"/>
  </w:style>
  <w:style w:type="paragraph" w:styleId="NormalnyWeb">
    <w:name w:val="Normal (Web)"/>
    <w:basedOn w:val="Normalny"/>
    <w:uiPriority w:val="99"/>
    <w:unhideWhenUsed/>
    <w:rsid w:val="00006F43"/>
    <w:pPr>
      <w:spacing w:before="100" w:beforeAutospacing="1" w:after="100" w:afterAutospacing="1" w:line="240" w:lineRule="auto"/>
    </w:pPr>
    <w:rPr>
      <w:rFonts w:eastAsia="Times New Roman" w:cs="Times New Roman"/>
      <w:szCs w:val="24"/>
      <w:lang w:eastAsia="pl-PL"/>
    </w:rPr>
  </w:style>
  <w:style w:type="paragraph" w:customStyle="1" w:styleId="CM11">
    <w:name w:val="CM1+1"/>
    <w:basedOn w:val="Default"/>
    <w:next w:val="Default"/>
    <w:uiPriority w:val="99"/>
    <w:rsid w:val="00410CDD"/>
    <w:rPr>
      <w:rFonts w:ascii="EUAlbertina" w:hAnsi="EUAlbertina" w:cstheme="minorBidi"/>
      <w:color w:val="auto"/>
    </w:rPr>
  </w:style>
  <w:style w:type="paragraph" w:customStyle="1" w:styleId="CM31">
    <w:name w:val="CM3+1"/>
    <w:basedOn w:val="Default"/>
    <w:next w:val="Default"/>
    <w:uiPriority w:val="99"/>
    <w:rsid w:val="00410CDD"/>
    <w:rPr>
      <w:rFonts w:ascii="EUAlbertina" w:hAnsi="EUAlbertina" w:cstheme="minorBidi"/>
      <w:color w:val="auto"/>
    </w:rPr>
  </w:style>
  <w:style w:type="paragraph" w:customStyle="1" w:styleId="PKTpunkt">
    <w:name w:val="PKT – punkt"/>
    <w:uiPriority w:val="13"/>
    <w:qFormat/>
    <w:rsid w:val="00E4756C"/>
    <w:pPr>
      <w:spacing w:after="0" w:line="360" w:lineRule="auto"/>
      <w:ind w:left="510" w:hanging="510"/>
      <w:jc w:val="both"/>
    </w:pPr>
    <w:rPr>
      <w:rFonts w:ascii="Times" w:eastAsiaTheme="minorEastAsia" w:hAnsi="Times" w:cs="Arial"/>
      <w:bCs/>
      <w:sz w:val="24"/>
      <w:szCs w:val="20"/>
      <w:lang w:eastAsia="pl-PL"/>
    </w:rPr>
  </w:style>
  <w:style w:type="paragraph" w:customStyle="1" w:styleId="ZTYTDZPRZEDMzmprzedmtytuulubdziauartykuempunktem">
    <w:name w:val="Z/TYT(DZ)_PRZEDM – zm. przedm. tytułu lub działu artykułem (punktem)"/>
    <w:next w:val="Normalny"/>
    <w:uiPriority w:val="28"/>
    <w:qFormat/>
    <w:rsid w:val="0083532E"/>
    <w:pPr>
      <w:keepNext/>
      <w:suppressAutoHyphens/>
      <w:spacing w:after="0" w:line="360" w:lineRule="auto"/>
      <w:ind w:left="510"/>
      <w:jc w:val="center"/>
    </w:pPr>
    <w:rPr>
      <w:rFonts w:ascii="Times" w:eastAsia="Times New Roman" w:hAnsi="Times" w:cs="Times New Roman"/>
      <w:sz w:val="24"/>
      <w:szCs w:val="26"/>
      <w:lang w:eastAsia="pl-PL"/>
    </w:rPr>
  </w:style>
  <w:style w:type="character" w:customStyle="1" w:styleId="zmieniony">
    <w:name w:val="zmieniony"/>
    <w:basedOn w:val="Domylnaczcionkaakapitu"/>
    <w:rsid w:val="0083532E"/>
  </w:style>
  <w:style w:type="paragraph" w:customStyle="1" w:styleId="CM1">
    <w:name w:val="CM1"/>
    <w:basedOn w:val="Default"/>
    <w:next w:val="Default"/>
    <w:uiPriority w:val="99"/>
    <w:rsid w:val="007B6844"/>
    <w:rPr>
      <w:rFonts w:ascii="EUAlbertina" w:hAnsi="EUAlbertina" w:cstheme="minorBidi"/>
      <w:color w:val="auto"/>
    </w:rPr>
  </w:style>
  <w:style w:type="paragraph" w:customStyle="1" w:styleId="CM3">
    <w:name w:val="CM3"/>
    <w:basedOn w:val="Default"/>
    <w:next w:val="Default"/>
    <w:uiPriority w:val="99"/>
    <w:rsid w:val="007B6844"/>
    <w:rPr>
      <w:rFonts w:ascii="EUAlbertina" w:hAnsi="EUAlbertina" w:cstheme="minorBidi"/>
      <w:color w:val="auto"/>
    </w:rPr>
  </w:style>
  <w:style w:type="paragraph" w:customStyle="1" w:styleId="USTustnpkodeksu">
    <w:name w:val="UST(§) – ust. (§ np. kodeksu)"/>
    <w:basedOn w:val="ARTartustawynprozporzdzenia"/>
    <w:uiPriority w:val="12"/>
    <w:qFormat/>
    <w:rsid w:val="001E39C2"/>
    <w:pPr>
      <w:spacing w:before="0"/>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05294">
      <w:bodyDiv w:val="1"/>
      <w:marLeft w:val="0"/>
      <w:marRight w:val="0"/>
      <w:marTop w:val="0"/>
      <w:marBottom w:val="0"/>
      <w:divBdr>
        <w:top w:val="none" w:sz="0" w:space="0" w:color="auto"/>
        <w:left w:val="none" w:sz="0" w:space="0" w:color="auto"/>
        <w:bottom w:val="none" w:sz="0" w:space="0" w:color="auto"/>
        <w:right w:val="none" w:sz="0" w:space="0" w:color="auto"/>
      </w:divBdr>
      <w:divsChild>
        <w:div w:id="376783294">
          <w:marLeft w:val="0"/>
          <w:marRight w:val="0"/>
          <w:marTop w:val="0"/>
          <w:marBottom w:val="0"/>
          <w:divBdr>
            <w:top w:val="none" w:sz="0" w:space="0" w:color="auto"/>
            <w:left w:val="none" w:sz="0" w:space="0" w:color="auto"/>
            <w:bottom w:val="none" w:sz="0" w:space="0" w:color="auto"/>
            <w:right w:val="none" w:sz="0" w:space="0" w:color="auto"/>
          </w:divBdr>
        </w:div>
        <w:div w:id="855078621">
          <w:marLeft w:val="0"/>
          <w:marRight w:val="0"/>
          <w:marTop w:val="0"/>
          <w:marBottom w:val="0"/>
          <w:divBdr>
            <w:top w:val="none" w:sz="0" w:space="0" w:color="auto"/>
            <w:left w:val="none" w:sz="0" w:space="0" w:color="auto"/>
            <w:bottom w:val="none" w:sz="0" w:space="0" w:color="auto"/>
            <w:right w:val="none" w:sz="0" w:space="0" w:color="auto"/>
          </w:divBdr>
        </w:div>
      </w:divsChild>
    </w:div>
    <w:div w:id="113522024">
      <w:bodyDiv w:val="1"/>
      <w:marLeft w:val="0"/>
      <w:marRight w:val="0"/>
      <w:marTop w:val="0"/>
      <w:marBottom w:val="0"/>
      <w:divBdr>
        <w:top w:val="none" w:sz="0" w:space="0" w:color="auto"/>
        <w:left w:val="none" w:sz="0" w:space="0" w:color="auto"/>
        <w:bottom w:val="none" w:sz="0" w:space="0" w:color="auto"/>
        <w:right w:val="none" w:sz="0" w:space="0" w:color="auto"/>
      </w:divBdr>
    </w:div>
    <w:div w:id="219751140">
      <w:bodyDiv w:val="1"/>
      <w:marLeft w:val="0"/>
      <w:marRight w:val="0"/>
      <w:marTop w:val="0"/>
      <w:marBottom w:val="0"/>
      <w:divBdr>
        <w:top w:val="none" w:sz="0" w:space="0" w:color="auto"/>
        <w:left w:val="none" w:sz="0" w:space="0" w:color="auto"/>
        <w:bottom w:val="none" w:sz="0" w:space="0" w:color="auto"/>
        <w:right w:val="none" w:sz="0" w:space="0" w:color="auto"/>
      </w:divBdr>
    </w:div>
    <w:div w:id="347756983">
      <w:bodyDiv w:val="1"/>
      <w:marLeft w:val="0"/>
      <w:marRight w:val="0"/>
      <w:marTop w:val="0"/>
      <w:marBottom w:val="0"/>
      <w:divBdr>
        <w:top w:val="none" w:sz="0" w:space="0" w:color="auto"/>
        <w:left w:val="none" w:sz="0" w:space="0" w:color="auto"/>
        <w:bottom w:val="none" w:sz="0" w:space="0" w:color="auto"/>
        <w:right w:val="none" w:sz="0" w:space="0" w:color="auto"/>
      </w:divBdr>
    </w:div>
    <w:div w:id="378630799">
      <w:bodyDiv w:val="1"/>
      <w:marLeft w:val="0"/>
      <w:marRight w:val="0"/>
      <w:marTop w:val="0"/>
      <w:marBottom w:val="0"/>
      <w:divBdr>
        <w:top w:val="none" w:sz="0" w:space="0" w:color="auto"/>
        <w:left w:val="none" w:sz="0" w:space="0" w:color="auto"/>
        <w:bottom w:val="none" w:sz="0" w:space="0" w:color="auto"/>
        <w:right w:val="none" w:sz="0" w:space="0" w:color="auto"/>
      </w:divBdr>
      <w:divsChild>
        <w:div w:id="175845546">
          <w:marLeft w:val="0"/>
          <w:marRight w:val="0"/>
          <w:marTop w:val="0"/>
          <w:marBottom w:val="0"/>
          <w:divBdr>
            <w:top w:val="none" w:sz="0" w:space="0" w:color="auto"/>
            <w:left w:val="none" w:sz="0" w:space="0" w:color="auto"/>
            <w:bottom w:val="none" w:sz="0" w:space="0" w:color="auto"/>
            <w:right w:val="none" w:sz="0" w:space="0" w:color="auto"/>
          </w:divBdr>
        </w:div>
        <w:div w:id="210845064">
          <w:marLeft w:val="0"/>
          <w:marRight w:val="0"/>
          <w:marTop w:val="0"/>
          <w:marBottom w:val="0"/>
          <w:divBdr>
            <w:top w:val="none" w:sz="0" w:space="0" w:color="auto"/>
            <w:left w:val="none" w:sz="0" w:space="0" w:color="auto"/>
            <w:bottom w:val="none" w:sz="0" w:space="0" w:color="auto"/>
            <w:right w:val="none" w:sz="0" w:space="0" w:color="auto"/>
          </w:divBdr>
        </w:div>
        <w:div w:id="712114940">
          <w:marLeft w:val="0"/>
          <w:marRight w:val="0"/>
          <w:marTop w:val="0"/>
          <w:marBottom w:val="0"/>
          <w:divBdr>
            <w:top w:val="none" w:sz="0" w:space="0" w:color="auto"/>
            <w:left w:val="none" w:sz="0" w:space="0" w:color="auto"/>
            <w:bottom w:val="none" w:sz="0" w:space="0" w:color="auto"/>
            <w:right w:val="none" w:sz="0" w:space="0" w:color="auto"/>
          </w:divBdr>
        </w:div>
        <w:div w:id="25714647">
          <w:marLeft w:val="0"/>
          <w:marRight w:val="0"/>
          <w:marTop w:val="0"/>
          <w:marBottom w:val="0"/>
          <w:divBdr>
            <w:top w:val="none" w:sz="0" w:space="0" w:color="auto"/>
            <w:left w:val="none" w:sz="0" w:space="0" w:color="auto"/>
            <w:bottom w:val="none" w:sz="0" w:space="0" w:color="auto"/>
            <w:right w:val="none" w:sz="0" w:space="0" w:color="auto"/>
          </w:divBdr>
        </w:div>
        <w:div w:id="1897818283">
          <w:marLeft w:val="0"/>
          <w:marRight w:val="0"/>
          <w:marTop w:val="0"/>
          <w:marBottom w:val="0"/>
          <w:divBdr>
            <w:top w:val="none" w:sz="0" w:space="0" w:color="auto"/>
            <w:left w:val="none" w:sz="0" w:space="0" w:color="auto"/>
            <w:bottom w:val="none" w:sz="0" w:space="0" w:color="auto"/>
            <w:right w:val="none" w:sz="0" w:space="0" w:color="auto"/>
          </w:divBdr>
        </w:div>
        <w:div w:id="286090424">
          <w:marLeft w:val="0"/>
          <w:marRight w:val="0"/>
          <w:marTop w:val="0"/>
          <w:marBottom w:val="0"/>
          <w:divBdr>
            <w:top w:val="none" w:sz="0" w:space="0" w:color="auto"/>
            <w:left w:val="none" w:sz="0" w:space="0" w:color="auto"/>
            <w:bottom w:val="none" w:sz="0" w:space="0" w:color="auto"/>
            <w:right w:val="none" w:sz="0" w:space="0" w:color="auto"/>
          </w:divBdr>
        </w:div>
        <w:div w:id="41055004">
          <w:marLeft w:val="0"/>
          <w:marRight w:val="0"/>
          <w:marTop w:val="0"/>
          <w:marBottom w:val="0"/>
          <w:divBdr>
            <w:top w:val="none" w:sz="0" w:space="0" w:color="auto"/>
            <w:left w:val="none" w:sz="0" w:space="0" w:color="auto"/>
            <w:bottom w:val="none" w:sz="0" w:space="0" w:color="auto"/>
            <w:right w:val="none" w:sz="0" w:space="0" w:color="auto"/>
          </w:divBdr>
        </w:div>
        <w:div w:id="570040761">
          <w:marLeft w:val="0"/>
          <w:marRight w:val="0"/>
          <w:marTop w:val="0"/>
          <w:marBottom w:val="0"/>
          <w:divBdr>
            <w:top w:val="none" w:sz="0" w:space="0" w:color="auto"/>
            <w:left w:val="none" w:sz="0" w:space="0" w:color="auto"/>
            <w:bottom w:val="none" w:sz="0" w:space="0" w:color="auto"/>
            <w:right w:val="none" w:sz="0" w:space="0" w:color="auto"/>
          </w:divBdr>
        </w:div>
        <w:div w:id="1282876974">
          <w:marLeft w:val="0"/>
          <w:marRight w:val="0"/>
          <w:marTop w:val="0"/>
          <w:marBottom w:val="0"/>
          <w:divBdr>
            <w:top w:val="none" w:sz="0" w:space="0" w:color="auto"/>
            <w:left w:val="none" w:sz="0" w:space="0" w:color="auto"/>
            <w:bottom w:val="none" w:sz="0" w:space="0" w:color="auto"/>
            <w:right w:val="none" w:sz="0" w:space="0" w:color="auto"/>
          </w:divBdr>
        </w:div>
        <w:div w:id="898513604">
          <w:marLeft w:val="0"/>
          <w:marRight w:val="0"/>
          <w:marTop w:val="0"/>
          <w:marBottom w:val="0"/>
          <w:divBdr>
            <w:top w:val="none" w:sz="0" w:space="0" w:color="auto"/>
            <w:left w:val="none" w:sz="0" w:space="0" w:color="auto"/>
            <w:bottom w:val="none" w:sz="0" w:space="0" w:color="auto"/>
            <w:right w:val="none" w:sz="0" w:space="0" w:color="auto"/>
          </w:divBdr>
        </w:div>
        <w:div w:id="488903204">
          <w:marLeft w:val="0"/>
          <w:marRight w:val="0"/>
          <w:marTop w:val="0"/>
          <w:marBottom w:val="0"/>
          <w:divBdr>
            <w:top w:val="none" w:sz="0" w:space="0" w:color="auto"/>
            <w:left w:val="none" w:sz="0" w:space="0" w:color="auto"/>
            <w:bottom w:val="none" w:sz="0" w:space="0" w:color="auto"/>
            <w:right w:val="none" w:sz="0" w:space="0" w:color="auto"/>
          </w:divBdr>
        </w:div>
        <w:div w:id="1902060070">
          <w:marLeft w:val="0"/>
          <w:marRight w:val="0"/>
          <w:marTop w:val="0"/>
          <w:marBottom w:val="0"/>
          <w:divBdr>
            <w:top w:val="none" w:sz="0" w:space="0" w:color="auto"/>
            <w:left w:val="none" w:sz="0" w:space="0" w:color="auto"/>
            <w:bottom w:val="none" w:sz="0" w:space="0" w:color="auto"/>
            <w:right w:val="none" w:sz="0" w:space="0" w:color="auto"/>
          </w:divBdr>
        </w:div>
      </w:divsChild>
    </w:div>
    <w:div w:id="384640444">
      <w:bodyDiv w:val="1"/>
      <w:marLeft w:val="0"/>
      <w:marRight w:val="0"/>
      <w:marTop w:val="0"/>
      <w:marBottom w:val="0"/>
      <w:divBdr>
        <w:top w:val="none" w:sz="0" w:space="0" w:color="auto"/>
        <w:left w:val="none" w:sz="0" w:space="0" w:color="auto"/>
        <w:bottom w:val="none" w:sz="0" w:space="0" w:color="auto"/>
        <w:right w:val="none" w:sz="0" w:space="0" w:color="auto"/>
      </w:divBdr>
    </w:div>
    <w:div w:id="415522626">
      <w:bodyDiv w:val="1"/>
      <w:marLeft w:val="0"/>
      <w:marRight w:val="0"/>
      <w:marTop w:val="0"/>
      <w:marBottom w:val="0"/>
      <w:divBdr>
        <w:top w:val="none" w:sz="0" w:space="0" w:color="auto"/>
        <w:left w:val="none" w:sz="0" w:space="0" w:color="auto"/>
        <w:bottom w:val="none" w:sz="0" w:space="0" w:color="auto"/>
        <w:right w:val="none" w:sz="0" w:space="0" w:color="auto"/>
      </w:divBdr>
    </w:div>
    <w:div w:id="452788458">
      <w:bodyDiv w:val="1"/>
      <w:marLeft w:val="0"/>
      <w:marRight w:val="0"/>
      <w:marTop w:val="0"/>
      <w:marBottom w:val="0"/>
      <w:divBdr>
        <w:top w:val="none" w:sz="0" w:space="0" w:color="auto"/>
        <w:left w:val="none" w:sz="0" w:space="0" w:color="auto"/>
        <w:bottom w:val="none" w:sz="0" w:space="0" w:color="auto"/>
        <w:right w:val="none" w:sz="0" w:space="0" w:color="auto"/>
      </w:divBdr>
    </w:div>
    <w:div w:id="473178088">
      <w:bodyDiv w:val="1"/>
      <w:marLeft w:val="0"/>
      <w:marRight w:val="0"/>
      <w:marTop w:val="0"/>
      <w:marBottom w:val="0"/>
      <w:divBdr>
        <w:top w:val="none" w:sz="0" w:space="0" w:color="auto"/>
        <w:left w:val="none" w:sz="0" w:space="0" w:color="auto"/>
        <w:bottom w:val="none" w:sz="0" w:space="0" w:color="auto"/>
        <w:right w:val="none" w:sz="0" w:space="0" w:color="auto"/>
      </w:divBdr>
    </w:div>
    <w:div w:id="487405849">
      <w:bodyDiv w:val="1"/>
      <w:marLeft w:val="0"/>
      <w:marRight w:val="0"/>
      <w:marTop w:val="0"/>
      <w:marBottom w:val="0"/>
      <w:divBdr>
        <w:top w:val="none" w:sz="0" w:space="0" w:color="auto"/>
        <w:left w:val="none" w:sz="0" w:space="0" w:color="auto"/>
        <w:bottom w:val="none" w:sz="0" w:space="0" w:color="auto"/>
        <w:right w:val="none" w:sz="0" w:space="0" w:color="auto"/>
      </w:divBdr>
    </w:div>
    <w:div w:id="499732982">
      <w:bodyDiv w:val="1"/>
      <w:marLeft w:val="0"/>
      <w:marRight w:val="0"/>
      <w:marTop w:val="0"/>
      <w:marBottom w:val="0"/>
      <w:divBdr>
        <w:top w:val="none" w:sz="0" w:space="0" w:color="auto"/>
        <w:left w:val="none" w:sz="0" w:space="0" w:color="auto"/>
        <w:bottom w:val="none" w:sz="0" w:space="0" w:color="auto"/>
        <w:right w:val="none" w:sz="0" w:space="0" w:color="auto"/>
      </w:divBdr>
    </w:div>
    <w:div w:id="515119424">
      <w:bodyDiv w:val="1"/>
      <w:marLeft w:val="0"/>
      <w:marRight w:val="0"/>
      <w:marTop w:val="0"/>
      <w:marBottom w:val="0"/>
      <w:divBdr>
        <w:top w:val="none" w:sz="0" w:space="0" w:color="auto"/>
        <w:left w:val="none" w:sz="0" w:space="0" w:color="auto"/>
        <w:bottom w:val="none" w:sz="0" w:space="0" w:color="auto"/>
        <w:right w:val="none" w:sz="0" w:space="0" w:color="auto"/>
      </w:divBdr>
      <w:divsChild>
        <w:div w:id="536891438">
          <w:marLeft w:val="0"/>
          <w:marRight w:val="0"/>
          <w:marTop w:val="0"/>
          <w:marBottom w:val="0"/>
          <w:divBdr>
            <w:top w:val="none" w:sz="0" w:space="0" w:color="auto"/>
            <w:left w:val="none" w:sz="0" w:space="0" w:color="auto"/>
            <w:bottom w:val="none" w:sz="0" w:space="0" w:color="auto"/>
            <w:right w:val="none" w:sz="0" w:space="0" w:color="auto"/>
          </w:divBdr>
        </w:div>
        <w:div w:id="388967449">
          <w:marLeft w:val="0"/>
          <w:marRight w:val="0"/>
          <w:marTop w:val="0"/>
          <w:marBottom w:val="0"/>
          <w:divBdr>
            <w:top w:val="none" w:sz="0" w:space="0" w:color="auto"/>
            <w:left w:val="none" w:sz="0" w:space="0" w:color="auto"/>
            <w:bottom w:val="none" w:sz="0" w:space="0" w:color="auto"/>
            <w:right w:val="none" w:sz="0" w:space="0" w:color="auto"/>
          </w:divBdr>
        </w:div>
        <w:div w:id="1228417919">
          <w:marLeft w:val="0"/>
          <w:marRight w:val="0"/>
          <w:marTop w:val="0"/>
          <w:marBottom w:val="0"/>
          <w:divBdr>
            <w:top w:val="none" w:sz="0" w:space="0" w:color="auto"/>
            <w:left w:val="none" w:sz="0" w:space="0" w:color="auto"/>
            <w:bottom w:val="none" w:sz="0" w:space="0" w:color="auto"/>
            <w:right w:val="none" w:sz="0" w:space="0" w:color="auto"/>
          </w:divBdr>
        </w:div>
        <w:div w:id="1187064976">
          <w:marLeft w:val="0"/>
          <w:marRight w:val="0"/>
          <w:marTop w:val="0"/>
          <w:marBottom w:val="0"/>
          <w:divBdr>
            <w:top w:val="none" w:sz="0" w:space="0" w:color="auto"/>
            <w:left w:val="none" w:sz="0" w:space="0" w:color="auto"/>
            <w:bottom w:val="none" w:sz="0" w:space="0" w:color="auto"/>
            <w:right w:val="none" w:sz="0" w:space="0" w:color="auto"/>
          </w:divBdr>
        </w:div>
      </w:divsChild>
    </w:div>
    <w:div w:id="523599263">
      <w:bodyDiv w:val="1"/>
      <w:marLeft w:val="0"/>
      <w:marRight w:val="0"/>
      <w:marTop w:val="0"/>
      <w:marBottom w:val="0"/>
      <w:divBdr>
        <w:top w:val="none" w:sz="0" w:space="0" w:color="auto"/>
        <w:left w:val="none" w:sz="0" w:space="0" w:color="auto"/>
        <w:bottom w:val="none" w:sz="0" w:space="0" w:color="auto"/>
        <w:right w:val="none" w:sz="0" w:space="0" w:color="auto"/>
      </w:divBdr>
    </w:div>
    <w:div w:id="575014136">
      <w:bodyDiv w:val="1"/>
      <w:marLeft w:val="0"/>
      <w:marRight w:val="0"/>
      <w:marTop w:val="0"/>
      <w:marBottom w:val="0"/>
      <w:divBdr>
        <w:top w:val="none" w:sz="0" w:space="0" w:color="auto"/>
        <w:left w:val="none" w:sz="0" w:space="0" w:color="auto"/>
        <w:bottom w:val="none" w:sz="0" w:space="0" w:color="auto"/>
        <w:right w:val="none" w:sz="0" w:space="0" w:color="auto"/>
      </w:divBdr>
    </w:div>
    <w:div w:id="588852084">
      <w:bodyDiv w:val="1"/>
      <w:marLeft w:val="0"/>
      <w:marRight w:val="0"/>
      <w:marTop w:val="0"/>
      <w:marBottom w:val="0"/>
      <w:divBdr>
        <w:top w:val="none" w:sz="0" w:space="0" w:color="auto"/>
        <w:left w:val="none" w:sz="0" w:space="0" w:color="auto"/>
        <w:bottom w:val="none" w:sz="0" w:space="0" w:color="auto"/>
        <w:right w:val="none" w:sz="0" w:space="0" w:color="auto"/>
      </w:divBdr>
    </w:div>
    <w:div w:id="602108757">
      <w:bodyDiv w:val="1"/>
      <w:marLeft w:val="0"/>
      <w:marRight w:val="0"/>
      <w:marTop w:val="0"/>
      <w:marBottom w:val="0"/>
      <w:divBdr>
        <w:top w:val="none" w:sz="0" w:space="0" w:color="auto"/>
        <w:left w:val="none" w:sz="0" w:space="0" w:color="auto"/>
        <w:bottom w:val="none" w:sz="0" w:space="0" w:color="auto"/>
        <w:right w:val="none" w:sz="0" w:space="0" w:color="auto"/>
      </w:divBdr>
    </w:div>
    <w:div w:id="613363291">
      <w:bodyDiv w:val="1"/>
      <w:marLeft w:val="0"/>
      <w:marRight w:val="0"/>
      <w:marTop w:val="0"/>
      <w:marBottom w:val="0"/>
      <w:divBdr>
        <w:top w:val="none" w:sz="0" w:space="0" w:color="auto"/>
        <w:left w:val="none" w:sz="0" w:space="0" w:color="auto"/>
        <w:bottom w:val="none" w:sz="0" w:space="0" w:color="auto"/>
        <w:right w:val="none" w:sz="0" w:space="0" w:color="auto"/>
      </w:divBdr>
    </w:div>
    <w:div w:id="621041260">
      <w:bodyDiv w:val="1"/>
      <w:marLeft w:val="0"/>
      <w:marRight w:val="0"/>
      <w:marTop w:val="0"/>
      <w:marBottom w:val="0"/>
      <w:divBdr>
        <w:top w:val="none" w:sz="0" w:space="0" w:color="auto"/>
        <w:left w:val="none" w:sz="0" w:space="0" w:color="auto"/>
        <w:bottom w:val="none" w:sz="0" w:space="0" w:color="auto"/>
        <w:right w:val="none" w:sz="0" w:space="0" w:color="auto"/>
      </w:divBdr>
    </w:div>
    <w:div w:id="636881038">
      <w:bodyDiv w:val="1"/>
      <w:marLeft w:val="0"/>
      <w:marRight w:val="0"/>
      <w:marTop w:val="0"/>
      <w:marBottom w:val="0"/>
      <w:divBdr>
        <w:top w:val="none" w:sz="0" w:space="0" w:color="auto"/>
        <w:left w:val="none" w:sz="0" w:space="0" w:color="auto"/>
        <w:bottom w:val="none" w:sz="0" w:space="0" w:color="auto"/>
        <w:right w:val="none" w:sz="0" w:space="0" w:color="auto"/>
      </w:divBdr>
    </w:div>
    <w:div w:id="658967975">
      <w:bodyDiv w:val="1"/>
      <w:marLeft w:val="0"/>
      <w:marRight w:val="0"/>
      <w:marTop w:val="0"/>
      <w:marBottom w:val="0"/>
      <w:divBdr>
        <w:top w:val="none" w:sz="0" w:space="0" w:color="auto"/>
        <w:left w:val="none" w:sz="0" w:space="0" w:color="auto"/>
        <w:bottom w:val="none" w:sz="0" w:space="0" w:color="auto"/>
        <w:right w:val="none" w:sz="0" w:space="0" w:color="auto"/>
      </w:divBdr>
    </w:div>
    <w:div w:id="710155779">
      <w:bodyDiv w:val="1"/>
      <w:marLeft w:val="0"/>
      <w:marRight w:val="0"/>
      <w:marTop w:val="0"/>
      <w:marBottom w:val="0"/>
      <w:divBdr>
        <w:top w:val="none" w:sz="0" w:space="0" w:color="auto"/>
        <w:left w:val="none" w:sz="0" w:space="0" w:color="auto"/>
        <w:bottom w:val="none" w:sz="0" w:space="0" w:color="auto"/>
        <w:right w:val="none" w:sz="0" w:space="0" w:color="auto"/>
      </w:divBdr>
      <w:divsChild>
        <w:div w:id="783498932">
          <w:marLeft w:val="0"/>
          <w:marRight w:val="0"/>
          <w:marTop w:val="0"/>
          <w:marBottom w:val="0"/>
          <w:divBdr>
            <w:top w:val="none" w:sz="0" w:space="0" w:color="auto"/>
            <w:left w:val="none" w:sz="0" w:space="0" w:color="auto"/>
            <w:bottom w:val="none" w:sz="0" w:space="0" w:color="auto"/>
            <w:right w:val="none" w:sz="0" w:space="0" w:color="auto"/>
          </w:divBdr>
        </w:div>
        <w:div w:id="263616781">
          <w:marLeft w:val="0"/>
          <w:marRight w:val="0"/>
          <w:marTop w:val="0"/>
          <w:marBottom w:val="0"/>
          <w:divBdr>
            <w:top w:val="none" w:sz="0" w:space="0" w:color="auto"/>
            <w:left w:val="none" w:sz="0" w:space="0" w:color="auto"/>
            <w:bottom w:val="none" w:sz="0" w:space="0" w:color="auto"/>
            <w:right w:val="none" w:sz="0" w:space="0" w:color="auto"/>
          </w:divBdr>
        </w:div>
        <w:div w:id="135072260">
          <w:marLeft w:val="0"/>
          <w:marRight w:val="0"/>
          <w:marTop w:val="0"/>
          <w:marBottom w:val="0"/>
          <w:divBdr>
            <w:top w:val="none" w:sz="0" w:space="0" w:color="auto"/>
            <w:left w:val="none" w:sz="0" w:space="0" w:color="auto"/>
            <w:bottom w:val="none" w:sz="0" w:space="0" w:color="auto"/>
            <w:right w:val="none" w:sz="0" w:space="0" w:color="auto"/>
          </w:divBdr>
        </w:div>
        <w:div w:id="1134713258">
          <w:marLeft w:val="0"/>
          <w:marRight w:val="0"/>
          <w:marTop w:val="0"/>
          <w:marBottom w:val="0"/>
          <w:divBdr>
            <w:top w:val="none" w:sz="0" w:space="0" w:color="auto"/>
            <w:left w:val="none" w:sz="0" w:space="0" w:color="auto"/>
            <w:bottom w:val="none" w:sz="0" w:space="0" w:color="auto"/>
            <w:right w:val="none" w:sz="0" w:space="0" w:color="auto"/>
          </w:divBdr>
        </w:div>
      </w:divsChild>
    </w:div>
    <w:div w:id="730268314">
      <w:bodyDiv w:val="1"/>
      <w:marLeft w:val="0"/>
      <w:marRight w:val="0"/>
      <w:marTop w:val="0"/>
      <w:marBottom w:val="0"/>
      <w:divBdr>
        <w:top w:val="none" w:sz="0" w:space="0" w:color="auto"/>
        <w:left w:val="none" w:sz="0" w:space="0" w:color="auto"/>
        <w:bottom w:val="none" w:sz="0" w:space="0" w:color="auto"/>
        <w:right w:val="none" w:sz="0" w:space="0" w:color="auto"/>
      </w:divBdr>
      <w:divsChild>
        <w:div w:id="62725901">
          <w:marLeft w:val="0"/>
          <w:marRight w:val="0"/>
          <w:marTop w:val="0"/>
          <w:marBottom w:val="0"/>
          <w:divBdr>
            <w:top w:val="none" w:sz="0" w:space="0" w:color="auto"/>
            <w:left w:val="none" w:sz="0" w:space="0" w:color="auto"/>
            <w:bottom w:val="none" w:sz="0" w:space="0" w:color="auto"/>
            <w:right w:val="none" w:sz="0" w:space="0" w:color="auto"/>
          </w:divBdr>
        </w:div>
        <w:div w:id="1456750046">
          <w:marLeft w:val="0"/>
          <w:marRight w:val="0"/>
          <w:marTop w:val="0"/>
          <w:marBottom w:val="0"/>
          <w:divBdr>
            <w:top w:val="none" w:sz="0" w:space="0" w:color="auto"/>
            <w:left w:val="none" w:sz="0" w:space="0" w:color="auto"/>
            <w:bottom w:val="none" w:sz="0" w:space="0" w:color="auto"/>
            <w:right w:val="none" w:sz="0" w:space="0" w:color="auto"/>
          </w:divBdr>
        </w:div>
        <w:div w:id="74783597">
          <w:marLeft w:val="0"/>
          <w:marRight w:val="0"/>
          <w:marTop w:val="0"/>
          <w:marBottom w:val="0"/>
          <w:divBdr>
            <w:top w:val="none" w:sz="0" w:space="0" w:color="auto"/>
            <w:left w:val="none" w:sz="0" w:space="0" w:color="auto"/>
            <w:bottom w:val="none" w:sz="0" w:space="0" w:color="auto"/>
            <w:right w:val="none" w:sz="0" w:space="0" w:color="auto"/>
          </w:divBdr>
        </w:div>
        <w:div w:id="823012997">
          <w:marLeft w:val="0"/>
          <w:marRight w:val="0"/>
          <w:marTop w:val="0"/>
          <w:marBottom w:val="0"/>
          <w:divBdr>
            <w:top w:val="none" w:sz="0" w:space="0" w:color="auto"/>
            <w:left w:val="none" w:sz="0" w:space="0" w:color="auto"/>
            <w:bottom w:val="none" w:sz="0" w:space="0" w:color="auto"/>
            <w:right w:val="none" w:sz="0" w:space="0" w:color="auto"/>
          </w:divBdr>
        </w:div>
      </w:divsChild>
    </w:div>
    <w:div w:id="769350810">
      <w:bodyDiv w:val="1"/>
      <w:marLeft w:val="0"/>
      <w:marRight w:val="0"/>
      <w:marTop w:val="0"/>
      <w:marBottom w:val="0"/>
      <w:divBdr>
        <w:top w:val="none" w:sz="0" w:space="0" w:color="auto"/>
        <w:left w:val="none" w:sz="0" w:space="0" w:color="auto"/>
        <w:bottom w:val="none" w:sz="0" w:space="0" w:color="auto"/>
        <w:right w:val="none" w:sz="0" w:space="0" w:color="auto"/>
      </w:divBdr>
    </w:div>
    <w:div w:id="780075692">
      <w:bodyDiv w:val="1"/>
      <w:marLeft w:val="0"/>
      <w:marRight w:val="0"/>
      <w:marTop w:val="0"/>
      <w:marBottom w:val="0"/>
      <w:divBdr>
        <w:top w:val="none" w:sz="0" w:space="0" w:color="auto"/>
        <w:left w:val="none" w:sz="0" w:space="0" w:color="auto"/>
        <w:bottom w:val="none" w:sz="0" w:space="0" w:color="auto"/>
        <w:right w:val="none" w:sz="0" w:space="0" w:color="auto"/>
      </w:divBdr>
    </w:div>
    <w:div w:id="797532708">
      <w:bodyDiv w:val="1"/>
      <w:marLeft w:val="0"/>
      <w:marRight w:val="0"/>
      <w:marTop w:val="0"/>
      <w:marBottom w:val="0"/>
      <w:divBdr>
        <w:top w:val="none" w:sz="0" w:space="0" w:color="auto"/>
        <w:left w:val="none" w:sz="0" w:space="0" w:color="auto"/>
        <w:bottom w:val="none" w:sz="0" w:space="0" w:color="auto"/>
        <w:right w:val="none" w:sz="0" w:space="0" w:color="auto"/>
      </w:divBdr>
    </w:div>
    <w:div w:id="805245900">
      <w:bodyDiv w:val="1"/>
      <w:marLeft w:val="0"/>
      <w:marRight w:val="0"/>
      <w:marTop w:val="0"/>
      <w:marBottom w:val="0"/>
      <w:divBdr>
        <w:top w:val="none" w:sz="0" w:space="0" w:color="auto"/>
        <w:left w:val="none" w:sz="0" w:space="0" w:color="auto"/>
        <w:bottom w:val="none" w:sz="0" w:space="0" w:color="auto"/>
        <w:right w:val="none" w:sz="0" w:space="0" w:color="auto"/>
      </w:divBdr>
    </w:div>
    <w:div w:id="874731099">
      <w:bodyDiv w:val="1"/>
      <w:marLeft w:val="0"/>
      <w:marRight w:val="0"/>
      <w:marTop w:val="0"/>
      <w:marBottom w:val="0"/>
      <w:divBdr>
        <w:top w:val="none" w:sz="0" w:space="0" w:color="auto"/>
        <w:left w:val="none" w:sz="0" w:space="0" w:color="auto"/>
        <w:bottom w:val="none" w:sz="0" w:space="0" w:color="auto"/>
        <w:right w:val="none" w:sz="0" w:space="0" w:color="auto"/>
      </w:divBdr>
    </w:div>
    <w:div w:id="933902000">
      <w:bodyDiv w:val="1"/>
      <w:marLeft w:val="0"/>
      <w:marRight w:val="0"/>
      <w:marTop w:val="0"/>
      <w:marBottom w:val="0"/>
      <w:divBdr>
        <w:top w:val="none" w:sz="0" w:space="0" w:color="auto"/>
        <w:left w:val="none" w:sz="0" w:space="0" w:color="auto"/>
        <w:bottom w:val="none" w:sz="0" w:space="0" w:color="auto"/>
        <w:right w:val="none" w:sz="0" w:space="0" w:color="auto"/>
      </w:divBdr>
    </w:div>
    <w:div w:id="1039430564">
      <w:bodyDiv w:val="1"/>
      <w:marLeft w:val="0"/>
      <w:marRight w:val="0"/>
      <w:marTop w:val="0"/>
      <w:marBottom w:val="0"/>
      <w:divBdr>
        <w:top w:val="none" w:sz="0" w:space="0" w:color="auto"/>
        <w:left w:val="none" w:sz="0" w:space="0" w:color="auto"/>
        <w:bottom w:val="none" w:sz="0" w:space="0" w:color="auto"/>
        <w:right w:val="none" w:sz="0" w:space="0" w:color="auto"/>
      </w:divBdr>
    </w:div>
    <w:div w:id="1125923102">
      <w:bodyDiv w:val="1"/>
      <w:marLeft w:val="0"/>
      <w:marRight w:val="0"/>
      <w:marTop w:val="0"/>
      <w:marBottom w:val="0"/>
      <w:divBdr>
        <w:top w:val="none" w:sz="0" w:space="0" w:color="auto"/>
        <w:left w:val="none" w:sz="0" w:space="0" w:color="auto"/>
        <w:bottom w:val="none" w:sz="0" w:space="0" w:color="auto"/>
        <w:right w:val="none" w:sz="0" w:space="0" w:color="auto"/>
      </w:divBdr>
    </w:div>
    <w:div w:id="1128014854">
      <w:bodyDiv w:val="1"/>
      <w:marLeft w:val="0"/>
      <w:marRight w:val="0"/>
      <w:marTop w:val="0"/>
      <w:marBottom w:val="0"/>
      <w:divBdr>
        <w:top w:val="none" w:sz="0" w:space="0" w:color="auto"/>
        <w:left w:val="none" w:sz="0" w:space="0" w:color="auto"/>
        <w:bottom w:val="none" w:sz="0" w:space="0" w:color="auto"/>
        <w:right w:val="none" w:sz="0" w:space="0" w:color="auto"/>
      </w:divBdr>
    </w:div>
    <w:div w:id="1159921852">
      <w:bodyDiv w:val="1"/>
      <w:marLeft w:val="0"/>
      <w:marRight w:val="0"/>
      <w:marTop w:val="0"/>
      <w:marBottom w:val="0"/>
      <w:divBdr>
        <w:top w:val="none" w:sz="0" w:space="0" w:color="auto"/>
        <w:left w:val="none" w:sz="0" w:space="0" w:color="auto"/>
        <w:bottom w:val="none" w:sz="0" w:space="0" w:color="auto"/>
        <w:right w:val="none" w:sz="0" w:space="0" w:color="auto"/>
      </w:divBdr>
    </w:div>
    <w:div w:id="1214000008">
      <w:bodyDiv w:val="1"/>
      <w:marLeft w:val="0"/>
      <w:marRight w:val="0"/>
      <w:marTop w:val="0"/>
      <w:marBottom w:val="0"/>
      <w:divBdr>
        <w:top w:val="none" w:sz="0" w:space="0" w:color="auto"/>
        <w:left w:val="none" w:sz="0" w:space="0" w:color="auto"/>
        <w:bottom w:val="none" w:sz="0" w:space="0" w:color="auto"/>
        <w:right w:val="none" w:sz="0" w:space="0" w:color="auto"/>
      </w:divBdr>
    </w:div>
    <w:div w:id="1215122159">
      <w:bodyDiv w:val="1"/>
      <w:marLeft w:val="0"/>
      <w:marRight w:val="0"/>
      <w:marTop w:val="0"/>
      <w:marBottom w:val="0"/>
      <w:divBdr>
        <w:top w:val="none" w:sz="0" w:space="0" w:color="auto"/>
        <w:left w:val="none" w:sz="0" w:space="0" w:color="auto"/>
        <w:bottom w:val="none" w:sz="0" w:space="0" w:color="auto"/>
        <w:right w:val="none" w:sz="0" w:space="0" w:color="auto"/>
      </w:divBdr>
    </w:div>
    <w:div w:id="1299648250">
      <w:bodyDiv w:val="1"/>
      <w:marLeft w:val="0"/>
      <w:marRight w:val="0"/>
      <w:marTop w:val="0"/>
      <w:marBottom w:val="0"/>
      <w:divBdr>
        <w:top w:val="none" w:sz="0" w:space="0" w:color="auto"/>
        <w:left w:val="none" w:sz="0" w:space="0" w:color="auto"/>
        <w:bottom w:val="none" w:sz="0" w:space="0" w:color="auto"/>
        <w:right w:val="none" w:sz="0" w:space="0" w:color="auto"/>
      </w:divBdr>
    </w:div>
    <w:div w:id="1354500153">
      <w:bodyDiv w:val="1"/>
      <w:marLeft w:val="0"/>
      <w:marRight w:val="0"/>
      <w:marTop w:val="0"/>
      <w:marBottom w:val="0"/>
      <w:divBdr>
        <w:top w:val="none" w:sz="0" w:space="0" w:color="auto"/>
        <w:left w:val="none" w:sz="0" w:space="0" w:color="auto"/>
        <w:bottom w:val="none" w:sz="0" w:space="0" w:color="auto"/>
        <w:right w:val="none" w:sz="0" w:space="0" w:color="auto"/>
      </w:divBdr>
    </w:div>
    <w:div w:id="1383362663">
      <w:bodyDiv w:val="1"/>
      <w:marLeft w:val="0"/>
      <w:marRight w:val="0"/>
      <w:marTop w:val="0"/>
      <w:marBottom w:val="0"/>
      <w:divBdr>
        <w:top w:val="none" w:sz="0" w:space="0" w:color="auto"/>
        <w:left w:val="none" w:sz="0" w:space="0" w:color="auto"/>
        <w:bottom w:val="none" w:sz="0" w:space="0" w:color="auto"/>
        <w:right w:val="none" w:sz="0" w:space="0" w:color="auto"/>
      </w:divBdr>
    </w:div>
    <w:div w:id="1407609500">
      <w:bodyDiv w:val="1"/>
      <w:marLeft w:val="0"/>
      <w:marRight w:val="0"/>
      <w:marTop w:val="0"/>
      <w:marBottom w:val="0"/>
      <w:divBdr>
        <w:top w:val="none" w:sz="0" w:space="0" w:color="auto"/>
        <w:left w:val="none" w:sz="0" w:space="0" w:color="auto"/>
        <w:bottom w:val="none" w:sz="0" w:space="0" w:color="auto"/>
        <w:right w:val="none" w:sz="0" w:space="0" w:color="auto"/>
      </w:divBdr>
    </w:div>
    <w:div w:id="1408646595">
      <w:bodyDiv w:val="1"/>
      <w:marLeft w:val="0"/>
      <w:marRight w:val="0"/>
      <w:marTop w:val="0"/>
      <w:marBottom w:val="0"/>
      <w:divBdr>
        <w:top w:val="none" w:sz="0" w:space="0" w:color="auto"/>
        <w:left w:val="none" w:sz="0" w:space="0" w:color="auto"/>
        <w:bottom w:val="none" w:sz="0" w:space="0" w:color="auto"/>
        <w:right w:val="none" w:sz="0" w:space="0" w:color="auto"/>
      </w:divBdr>
    </w:div>
    <w:div w:id="1435979516">
      <w:bodyDiv w:val="1"/>
      <w:marLeft w:val="0"/>
      <w:marRight w:val="0"/>
      <w:marTop w:val="0"/>
      <w:marBottom w:val="0"/>
      <w:divBdr>
        <w:top w:val="none" w:sz="0" w:space="0" w:color="auto"/>
        <w:left w:val="none" w:sz="0" w:space="0" w:color="auto"/>
        <w:bottom w:val="none" w:sz="0" w:space="0" w:color="auto"/>
        <w:right w:val="none" w:sz="0" w:space="0" w:color="auto"/>
      </w:divBdr>
    </w:div>
    <w:div w:id="1452555089">
      <w:bodyDiv w:val="1"/>
      <w:marLeft w:val="0"/>
      <w:marRight w:val="0"/>
      <w:marTop w:val="0"/>
      <w:marBottom w:val="0"/>
      <w:divBdr>
        <w:top w:val="none" w:sz="0" w:space="0" w:color="auto"/>
        <w:left w:val="none" w:sz="0" w:space="0" w:color="auto"/>
        <w:bottom w:val="none" w:sz="0" w:space="0" w:color="auto"/>
        <w:right w:val="none" w:sz="0" w:space="0" w:color="auto"/>
      </w:divBdr>
      <w:divsChild>
        <w:div w:id="1158813088">
          <w:marLeft w:val="0"/>
          <w:marRight w:val="0"/>
          <w:marTop w:val="0"/>
          <w:marBottom w:val="0"/>
          <w:divBdr>
            <w:top w:val="none" w:sz="0" w:space="0" w:color="auto"/>
            <w:left w:val="none" w:sz="0" w:space="0" w:color="auto"/>
            <w:bottom w:val="none" w:sz="0" w:space="0" w:color="auto"/>
            <w:right w:val="none" w:sz="0" w:space="0" w:color="auto"/>
          </w:divBdr>
        </w:div>
        <w:div w:id="542207671">
          <w:marLeft w:val="0"/>
          <w:marRight w:val="0"/>
          <w:marTop w:val="0"/>
          <w:marBottom w:val="0"/>
          <w:divBdr>
            <w:top w:val="none" w:sz="0" w:space="0" w:color="auto"/>
            <w:left w:val="none" w:sz="0" w:space="0" w:color="auto"/>
            <w:bottom w:val="none" w:sz="0" w:space="0" w:color="auto"/>
            <w:right w:val="none" w:sz="0" w:space="0" w:color="auto"/>
          </w:divBdr>
        </w:div>
        <w:div w:id="2139493220">
          <w:marLeft w:val="0"/>
          <w:marRight w:val="0"/>
          <w:marTop w:val="0"/>
          <w:marBottom w:val="0"/>
          <w:divBdr>
            <w:top w:val="none" w:sz="0" w:space="0" w:color="auto"/>
            <w:left w:val="none" w:sz="0" w:space="0" w:color="auto"/>
            <w:bottom w:val="none" w:sz="0" w:space="0" w:color="auto"/>
            <w:right w:val="none" w:sz="0" w:space="0" w:color="auto"/>
          </w:divBdr>
        </w:div>
        <w:div w:id="1924875267">
          <w:marLeft w:val="0"/>
          <w:marRight w:val="0"/>
          <w:marTop w:val="0"/>
          <w:marBottom w:val="0"/>
          <w:divBdr>
            <w:top w:val="none" w:sz="0" w:space="0" w:color="auto"/>
            <w:left w:val="none" w:sz="0" w:space="0" w:color="auto"/>
            <w:bottom w:val="none" w:sz="0" w:space="0" w:color="auto"/>
            <w:right w:val="none" w:sz="0" w:space="0" w:color="auto"/>
          </w:divBdr>
        </w:div>
        <w:div w:id="1248078763">
          <w:marLeft w:val="0"/>
          <w:marRight w:val="0"/>
          <w:marTop w:val="0"/>
          <w:marBottom w:val="0"/>
          <w:divBdr>
            <w:top w:val="none" w:sz="0" w:space="0" w:color="auto"/>
            <w:left w:val="none" w:sz="0" w:space="0" w:color="auto"/>
            <w:bottom w:val="none" w:sz="0" w:space="0" w:color="auto"/>
            <w:right w:val="none" w:sz="0" w:space="0" w:color="auto"/>
          </w:divBdr>
        </w:div>
        <w:div w:id="1543790944">
          <w:marLeft w:val="0"/>
          <w:marRight w:val="0"/>
          <w:marTop w:val="0"/>
          <w:marBottom w:val="0"/>
          <w:divBdr>
            <w:top w:val="none" w:sz="0" w:space="0" w:color="auto"/>
            <w:left w:val="none" w:sz="0" w:space="0" w:color="auto"/>
            <w:bottom w:val="none" w:sz="0" w:space="0" w:color="auto"/>
            <w:right w:val="none" w:sz="0" w:space="0" w:color="auto"/>
          </w:divBdr>
        </w:div>
        <w:div w:id="843472929">
          <w:marLeft w:val="0"/>
          <w:marRight w:val="0"/>
          <w:marTop w:val="0"/>
          <w:marBottom w:val="0"/>
          <w:divBdr>
            <w:top w:val="none" w:sz="0" w:space="0" w:color="auto"/>
            <w:left w:val="none" w:sz="0" w:space="0" w:color="auto"/>
            <w:bottom w:val="none" w:sz="0" w:space="0" w:color="auto"/>
            <w:right w:val="none" w:sz="0" w:space="0" w:color="auto"/>
          </w:divBdr>
        </w:div>
        <w:div w:id="1738286867">
          <w:marLeft w:val="0"/>
          <w:marRight w:val="0"/>
          <w:marTop w:val="0"/>
          <w:marBottom w:val="0"/>
          <w:divBdr>
            <w:top w:val="none" w:sz="0" w:space="0" w:color="auto"/>
            <w:left w:val="none" w:sz="0" w:space="0" w:color="auto"/>
            <w:bottom w:val="none" w:sz="0" w:space="0" w:color="auto"/>
            <w:right w:val="none" w:sz="0" w:space="0" w:color="auto"/>
          </w:divBdr>
        </w:div>
        <w:div w:id="584346279">
          <w:marLeft w:val="0"/>
          <w:marRight w:val="0"/>
          <w:marTop w:val="0"/>
          <w:marBottom w:val="0"/>
          <w:divBdr>
            <w:top w:val="none" w:sz="0" w:space="0" w:color="auto"/>
            <w:left w:val="none" w:sz="0" w:space="0" w:color="auto"/>
            <w:bottom w:val="none" w:sz="0" w:space="0" w:color="auto"/>
            <w:right w:val="none" w:sz="0" w:space="0" w:color="auto"/>
          </w:divBdr>
        </w:div>
        <w:div w:id="753434023">
          <w:marLeft w:val="0"/>
          <w:marRight w:val="0"/>
          <w:marTop w:val="0"/>
          <w:marBottom w:val="0"/>
          <w:divBdr>
            <w:top w:val="none" w:sz="0" w:space="0" w:color="auto"/>
            <w:left w:val="none" w:sz="0" w:space="0" w:color="auto"/>
            <w:bottom w:val="none" w:sz="0" w:space="0" w:color="auto"/>
            <w:right w:val="none" w:sz="0" w:space="0" w:color="auto"/>
          </w:divBdr>
        </w:div>
        <w:div w:id="358554525">
          <w:marLeft w:val="0"/>
          <w:marRight w:val="0"/>
          <w:marTop w:val="0"/>
          <w:marBottom w:val="0"/>
          <w:divBdr>
            <w:top w:val="none" w:sz="0" w:space="0" w:color="auto"/>
            <w:left w:val="none" w:sz="0" w:space="0" w:color="auto"/>
            <w:bottom w:val="none" w:sz="0" w:space="0" w:color="auto"/>
            <w:right w:val="none" w:sz="0" w:space="0" w:color="auto"/>
          </w:divBdr>
        </w:div>
        <w:div w:id="1734355429">
          <w:marLeft w:val="0"/>
          <w:marRight w:val="0"/>
          <w:marTop w:val="0"/>
          <w:marBottom w:val="0"/>
          <w:divBdr>
            <w:top w:val="none" w:sz="0" w:space="0" w:color="auto"/>
            <w:left w:val="none" w:sz="0" w:space="0" w:color="auto"/>
            <w:bottom w:val="none" w:sz="0" w:space="0" w:color="auto"/>
            <w:right w:val="none" w:sz="0" w:space="0" w:color="auto"/>
          </w:divBdr>
        </w:div>
      </w:divsChild>
    </w:div>
    <w:div w:id="1475443894">
      <w:bodyDiv w:val="1"/>
      <w:marLeft w:val="0"/>
      <w:marRight w:val="0"/>
      <w:marTop w:val="0"/>
      <w:marBottom w:val="0"/>
      <w:divBdr>
        <w:top w:val="none" w:sz="0" w:space="0" w:color="auto"/>
        <w:left w:val="none" w:sz="0" w:space="0" w:color="auto"/>
        <w:bottom w:val="none" w:sz="0" w:space="0" w:color="auto"/>
        <w:right w:val="none" w:sz="0" w:space="0" w:color="auto"/>
      </w:divBdr>
    </w:div>
    <w:div w:id="1486167523">
      <w:bodyDiv w:val="1"/>
      <w:marLeft w:val="0"/>
      <w:marRight w:val="0"/>
      <w:marTop w:val="0"/>
      <w:marBottom w:val="0"/>
      <w:divBdr>
        <w:top w:val="none" w:sz="0" w:space="0" w:color="auto"/>
        <w:left w:val="none" w:sz="0" w:space="0" w:color="auto"/>
        <w:bottom w:val="none" w:sz="0" w:space="0" w:color="auto"/>
        <w:right w:val="none" w:sz="0" w:space="0" w:color="auto"/>
      </w:divBdr>
    </w:div>
    <w:div w:id="1543708869">
      <w:bodyDiv w:val="1"/>
      <w:marLeft w:val="0"/>
      <w:marRight w:val="0"/>
      <w:marTop w:val="0"/>
      <w:marBottom w:val="0"/>
      <w:divBdr>
        <w:top w:val="none" w:sz="0" w:space="0" w:color="auto"/>
        <w:left w:val="none" w:sz="0" w:space="0" w:color="auto"/>
        <w:bottom w:val="none" w:sz="0" w:space="0" w:color="auto"/>
        <w:right w:val="none" w:sz="0" w:space="0" w:color="auto"/>
      </w:divBdr>
    </w:div>
    <w:div w:id="1546746898">
      <w:bodyDiv w:val="1"/>
      <w:marLeft w:val="0"/>
      <w:marRight w:val="0"/>
      <w:marTop w:val="0"/>
      <w:marBottom w:val="0"/>
      <w:divBdr>
        <w:top w:val="none" w:sz="0" w:space="0" w:color="auto"/>
        <w:left w:val="none" w:sz="0" w:space="0" w:color="auto"/>
        <w:bottom w:val="none" w:sz="0" w:space="0" w:color="auto"/>
        <w:right w:val="none" w:sz="0" w:space="0" w:color="auto"/>
      </w:divBdr>
    </w:div>
    <w:div w:id="1601988733">
      <w:bodyDiv w:val="1"/>
      <w:marLeft w:val="0"/>
      <w:marRight w:val="0"/>
      <w:marTop w:val="0"/>
      <w:marBottom w:val="0"/>
      <w:divBdr>
        <w:top w:val="none" w:sz="0" w:space="0" w:color="auto"/>
        <w:left w:val="none" w:sz="0" w:space="0" w:color="auto"/>
        <w:bottom w:val="none" w:sz="0" w:space="0" w:color="auto"/>
        <w:right w:val="none" w:sz="0" w:space="0" w:color="auto"/>
      </w:divBdr>
    </w:div>
    <w:div w:id="1631013000">
      <w:bodyDiv w:val="1"/>
      <w:marLeft w:val="0"/>
      <w:marRight w:val="0"/>
      <w:marTop w:val="0"/>
      <w:marBottom w:val="0"/>
      <w:divBdr>
        <w:top w:val="none" w:sz="0" w:space="0" w:color="auto"/>
        <w:left w:val="none" w:sz="0" w:space="0" w:color="auto"/>
        <w:bottom w:val="none" w:sz="0" w:space="0" w:color="auto"/>
        <w:right w:val="none" w:sz="0" w:space="0" w:color="auto"/>
      </w:divBdr>
    </w:div>
    <w:div w:id="1703356406">
      <w:bodyDiv w:val="1"/>
      <w:marLeft w:val="0"/>
      <w:marRight w:val="0"/>
      <w:marTop w:val="0"/>
      <w:marBottom w:val="0"/>
      <w:divBdr>
        <w:top w:val="none" w:sz="0" w:space="0" w:color="auto"/>
        <w:left w:val="none" w:sz="0" w:space="0" w:color="auto"/>
        <w:bottom w:val="none" w:sz="0" w:space="0" w:color="auto"/>
        <w:right w:val="none" w:sz="0" w:space="0" w:color="auto"/>
      </w:divBdr>
    </w:div>
    <w:div w:id="1754155592">
      <w:bodyDiv w:val="1"/>
      <w:marLeft w:val="0"/>
      <w:marRight w:val="0"/>
      <w:marTop w:val="0"/>
      <w:marBottom w:val="0"/>
      <w:divBdr>
        <w:top w:val="none" w:sz="0" w:space="0" w:color="auto"/>
        <w:left w:val="none" w:sz="0" w:space="0" w:color="auto"/>
        <w:bottom w:val="none" w:sz="0" w:space="0" w:color="auto"/>
        <w:right w:val="none" w:sz="0" w:space="0" w:color="auto"/>
      </w:divBdr>
    </w:div>
    <w:div w:id="1792045854">
      <w:bodyDiv w:val="1"/>
      <w:marLeft w:val="0"/>
      <w:marRight w:val="0"/>
      <w:marTop w:val="0"/>
      <w:marBottom w:val="0"/>
      <w:divBdr>
        <w:top w:val="none" w:sz="0" w:space="0" w:color="auto"/>
        <w:left w:val="none" w:sz="0" w:space="0" w:color="auto"/>
        <w:bottom w:val="none" w:sz="0" w:space="0" w:color="auto"/>
        <w:right w:val="none" w:sz="0" w:space="0" w:color="auto"/>
      </w:divBdr>
    </w:div>
    <w:div w:id="1810442619">
      <w:bodyDiv w:val="1"/>
      <w:marLeft w:val="0"/>
      <w:marRight w:val="0"/>
      <w:marTop w:val="0"/>
      <w:marBottom w:val="0"/>
      <w:divBdr>
        <w:top w:val="none" w:sz="0" w:space="0" w:color="auto"/>
        <w:left w:val="none" w:sz="0" w:space="0" w:color="auto"/>
        <w:bottom w:val="none" w:sz="0" w:space="0" w:color="auto"/>
        <w:right w:val="none" w:sz="0" w:space="0" w:color="auto"/>
      </w:divBdr>
      <w:divsChild>
        <w:div w:id="1014263034">
          <w:marLeft w:val="0"/>
          <w:marRight w:val="0"/>
          <w:marTop w:val="0"/>
          <w:marBottom w:val="0"/>
          <w:divBdr>
            <w:top w:val="none" w:sz="0" w:space="0" w:color="auto"/>
            <w:left w:val="none" w:sz="0" w:space="0" w:color="auto"/>
            <w:bottom w:val="none" w:sz="0" w:space="0" w:color="auto"/>
            <w:right w:val="none" w:sz="0" w:space="0" w:color="auto"/>
          </w:divBdr>
        </w:div>
      </w:divsChild>
    </w:div>
    <w:div w:id="1842231771">
      <w:bodyDiv w:val="1"/>
      <w:marLeft w:val="0"/>
      <w:marRight w:val="0"/>
      <w:marTop w:val="0"/>
      <w:marBottom w:val="0"/>
      <w:divBdr>
        <w:top w:val="none" w:sz="0" w:space="0" w:color="auto"/>
        <w:left w:val="none" w:sz="0" w:space="0" w:color="auto"/>
        <w:bottom w:val="none" w:sz="0" w:space="0" w:color="auto"/>
        <w:right w:val="none" w:sz="0" w:space="0" w:color="auto"/>
      </w:divBdr>
    </w:div>
    <w:div w:id="1926918756">
      <w:bodyDiv w:val="1"/>
      <w:marLeft w:val="0"/>
      <w:marRight w:val="0"/>
      <w:marTop w:val="0"/>
      <w:marBottom w:val="0"/>
      <w:divBdr>
        <w:top w:val="none" w:sz="0" w:space="0" w:color="auto"/>
        <w:left w:val="none" w:sz="0" w:space="0" w:color="auto"/>
        <w:bottom w:val="none" w:sz="0" w:space="0" w:color="auto"/>
        <w:right w:val="none" w:sz="0" w:space="0" w:color="auto"/>
      </w:divBdr>
    </w:div>
    <w:div w:id="1963920207">
      <w:bodyDiv w:val="1"/>
      <w:marLeft w:val="0"/>
      <w:marRight w:val="0"/>
      <w:marTop w:val="0"/>
      <w:marBottom w:val="0"/>
      <w:divBdr>
        <w:top w:val="none" w:sz="0" w:space="0" w:color="auto"/>
        <w:left w:val="none" w:sz="0" w:space="0" w:color="auto"/>
        <w:bottom w:val="none" w:sz="0" w:space="0" w:color="auto"/>
        <w:right w:val="none" w:sz="0" w:space="0" w:color="auto"/>
      </w:divBdr>
    </w:div>
    <w:div w:id="1969774648">
      <w:bodyDiv w:val="1"/>
      <w:marLeft w:val="0"/>
      <w:marRight w:val="0"/>
      <w:marTop w:val="0"/>
      <w:marBottom w:val="0"/>
      <w:divBdr>
        <w:top w:val="none" w:sz="0" w:space="0" w:color="auto"/>
        <w:left w:val="none" w:sz="0" w:space="0" w:color="auto"/>
        <w:bottom w:val="none" w:sz="0" w:space="0" w:color="auto"/>
        <w:right w:val="none" w:sz="0" w:space="0" w:color="auto"/>
      </w:divBdr>
    </w:div>
    <w:div w:id="2001885317">
      <w:bodyDiv w:val="1"/>
      <w:marLeft w:val="0"/>
      <w:marRight w:val="0"/>
      <w:marTop w:val="0"/>
      <w:marBottom w:val="0"/>
      <w:divBdr>
        <w:top w:val="none" w:sz="0" w:space="0" w:color="auto"/>
        <w:left w:val="none" w:sz="0" w:space="0" w:color="auto"/>
        <w:bottom w:val="none" w:sz="0" w:space="0" w:color="auto"/>
        <w:right w:val="none" w:sz="0" w:space="0" w:color="auto"/>
      </w:divBdr>
      <w:divsChild>
        <w:div w:id="1042898336">
          <w:marLeft w:val="0"/>
          <w:marRight w:val="0"/>
          <w:marTop w:val="0"/>
          <w:marBottom w:val="0"/>
          <w:divBdr>
            <w:top w:val="none" w:sz="0" w:space="0" w:color="auto"/>
            <w:left w:val="none" w:sz="0" w:space="0" w:color="auto"/>
            <w:bottom w:val="none" w:sz="0" w:space="0" w:color="auto"/>
            <w:right w:val="none" w:sz="0" w:space="0" w:color="auto"/>
          </w:divBdr>
        </w:div>
        <w:div w:id="1783839623">
          <w:marLeft w:val="0"/>
          <w:marRight w:val="0"/>
          <w:marTop w:val="0"/>
          <w:marBottom w:val="0"/>
          <w:divBdr>
            <w:top w:val="none" w:sz="0" w:space="0" w:color="auto"/>
            <w:left w:val="none" w:sz="0" w:space="0" w:color="auto"/>
            <w:bottom w:val="none" w:sz="0" w:space="0" w:color="auto"/>
            <w:right w:val="none" w:sz="0" w:space="0" w:color="auto"/>
          </w:divBdr>
        </w:div>
        <w:div w:id="1116216771">
          <w:marLeft w:val="0"/>
          <w:marRight w:val="0"/>
          <w:marTop w:val="0"/>
          <w:marBottom w:val="0"/>
          <w:divBdr>
            <w:top w:val="none" w:sz="0" w:space="0" w:color="auto"/>
            <w:left w:val="none" w:sz="0" w:space="0" w:color="auto"/>
            <w:bottom w:val="none" w:sz="0" w:space="0" w:color="auto"/>
            <w:right w:val="none" w:sz="0" w:space="0" w:color="auto"/>
          </w:divBdr>
        </w:div>
        <w:div w:id="1621106576">
          <w:marLeft w:val="0"/>
          <w:marRight w:val="0"/>
          <w:marTop w:val="0"/>
          <w:marBottom w:val="0"/>
          <w:divBdr>
            <w:top w:val="none" w:sz="0" w:space="0" w:color="auto"/>
            <w:left w:val="none" w:sz="0" w:space="0" w:color="auto"/>
            <w:bottom w:val="none" w:sz="0" w:space="0" w:color="auto"/>
            <w:right w:val="none" w:sz="0" w:space="0" w:color="auto"/>
          </w:divBdr>
        </w:div>
      </w:divsChild>
    </w:div>
    <w:div w:id="200835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legalis.mf.gov.pl/akt.do?link=AKT%5b%5dBASIC.37116604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8B3133418FDC54BBE74349BB77E5E72" ma:contentTypeVersion="0" ma:contentTypeDescription="Utwórz nowy dokument." ma:contentTypeScope="" ma:versionID="956d9465b5e49166fa10ec05c180da45">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kument" ma:contentTypeID="0x01010048B3133418FDC54BBE74349BB77E5E72" ma:contentTypeVersion="0" ma:contentTypeDescription="Utwórz nowy dokument." ma:contentTypeScope="" ma:versionID="956d9465b5e49166fa10ec05c180da45">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668C8-6636-43FF-AB0C-ADE55106871C}">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166A74A3-2121-4F81-B40F-224EB32CF2DA}">
  <ds:schemaRefs>
    <ds:schemaRef ds:uri="http://schemas.microsoft.com/sharepoint/v3/contenttype/forms"/>
  </ds:schemaRefs>
</ds:datastoreItem>
</file>

<file path=customXml/itemProps3.xml><?xml version="1.0" encoding="utf-8"?>
<ds:datastoreItem xmlns:ds="http://schemas.openxmlformats.org/officeDocument/2006/customXml" ds:itemID="{1137C9D0-6AE1-44BE-A87E-FCED4CBFF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9BF9886-1505-4F6C-9F31-706973F40E2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F21588C-0A34-4143-8BA9-B3A5E99C2367}">
  <ds:schemaRefs>
    <ds:schemaRef ds:uri="http://schemas.microsoft.com/sharepoint/v3/contenttype/forms"/>
  </ds:schemaRefs>
</ds:datastoreItem>
</file>

<file path=customXml/itemProps6.xml><?xml version="1.0" encoding="utf-8"?>
<ds:datastoreItem xmlns:ds="http://schemas.openxmlformats.org/officeDocument/2006/customXml" ds:itemID="{F3E13F68-46F7-4955-9B9E-368872FD4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F6C8599D-323E-4B94-9A40-245963A16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25655</Words>
  <Characters>153935</Characters>
  <Application>Microsoft Office Word</Application>
  <DocSecurity>0</DocSecurity>
  <Lines>1282</Lines>
  <Paragraphs>358</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179232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Staszewski Daniel</dc:creator>
  <cp:lastModifiedBy>Grażyna D. Grabowska</cp:lastModifiedBy>
  <cp:revision>2</cp:revision>
  <cp:lastPrinted>2018-08-01T10:35:00Z</cp:lastPrinted>
  <dcterms:created xsi:type="dcterms:W3CDTF">2018-10-02T11:17:00Z</dcterms:created>
  <dcterms:modified xsi:type="dcterms:W3CDTF">2018-10-02T11:17:00Z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0x01010048B3133418FDC54BBE74349BB77E5E72</vt:lpwstr>
  </property>
  <property fmtid="{D5CDD505-2E9C-101B-9397-08002B2CF9AE}" pid="3" name="_NewReviewCycle">
    <vt:lpwstr/>
  </property>
</Properties>
</file>