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9C7" w:rsidRPr="000F69C7" w:rsidRDefault="000F69C7" w:rsidP="00E34FCE">
      <w:pPr>
        <w:spacing w:after="240" w:line="360" w:lineRule="auto"/>
        <w:ind w:left="2829" w:firstLine="709"/>
        <w:jc w:val="both"/>
        <w:rPr>
          <w:rFonts w:ascii="Times New Roman" w:eastAsia="Calibri" w:hAnsi="Times New Roman" w:cs="Times New Roman"/>
          <w:sz w:val="24"/>
          <w:szCs w:val="24"/>
        </w:rPr>
      </w:pPr>
      <w:bookmarkStart w:id="0" w:name="_GoBack"/>
      <w:bookmarkEnd w:id="0"/>
      <w:r w:rsidRPr="000F69C7">
        <w:rPr>
          <w:rFonts w:ascii="Times New Roman" w:eastAsia="Calibri" w:hAnsi="Times New Roman" w:cs="Times New Roman"/>
          <w:sz w:val="24"/>
          <w:szCs w:val="24"/>
        </w:rPr>
        <w:t>UZASADNIENIE</w:t>
      </w:r>
    </w:p>
    <w:p w:rsidR="00E34FCE" w:rsidRDefault="000F69C7" w:rsidP="00E34FCE">
      <w:pPr>
        <w:spacing w:after="120" w:line="360" w:lineRule="auto"/>
        <w:ind w:firstLine="567"/>
        <w:jc w:val="both"/>
        <w:rPr>
          <w:rFonts w:ascii="Times New Roman" w:eastAsia="Calibri" w:hAnsi="Times New Roman" w:cs="Times New Roman"/>
          <w:sz w:val="24"/>
          <w:szCs w:val="24"/>
        </w:rPr>
      </w:pPr>
      <w:r w:rsidRPr="000F69C7">
        <w:rPr>
          <w:rFonts w:ascii="Times New Roman" w:eastAsia="Calibri" w:hAnsi="Times New Roman" w:cs="Times New Roman"/>
          <w:sz w:val="24"/>
          <w:szCs w:val="24"/>
        </w:rPr>
        <w:t xml:space="preserve">Projekt ustawy o zmianie ustawy o udzielaniu cudzoziemcom ochrony na terytorium Rzeczypospolitej Polskiej, zwany dalej „projektem ustawy”, ma na celu </w:t>
      </w:r>
      <w:r w:rsidR="00107A79">
        <w:rPr>
          <w:rFonts w:ascii="Times New Roman" w:eastAsia="Calibri" w:hAnsi="Times New Roman" w:cs="Times New Roman"/>
          <w:sz w:val="24"/>
          <w:szCs w:val="24"/>
        </w:rPr>
        <w:t xml:space="preserve">dostosowanie regulacji przyjętej w </w:t>
      </w:r>
      <w:r w:rsidR="00107A79" w:rsidRPr="00E34FCE">
        <w:rPr>
          <w:rFonts w:ascii="Times New Roman" w:eastAsia="Calibri" w:hAnsi="Times New Roman" w:cs="Times New Roman"/>
          <w:sz w:val="24"/>
          <w:szCs w:val="24"/>
          <w:lang w:val="x-none"/>
        </w:rPr>
        <w:t>ustaw</w:t>
      </w:r>
      <w:r w:rsidR="00107A79" w:rsidRPr="00E34FCE">
        <w:rPr>
          <w:rFonts w:ascii="Times New Roman" w:eastAsia="Calibri" w:hAnsi="Times New Roman" w:cs="Times New Roman"/>
          <w:sz w:val="24"/>
          <w:szCs w:val="24"/>
        </w:rPr>
        <w:t>ie</w:t>
      </w:r>
      <w:r w:rsidR="00107A79" w:rsidRPr="00E34FCE">
        <w:rPr>
          <w:rFonts w:ascii="Times New Roman" w:eastAsia="Calibri" w:hAnsi="Times New Roman" w:cs="Times New Roman"/>
          <w:sz w:val="24"/>
          <w:szCs w:val="24"/>
          <w:lang w:val="x-none"/>
        </w:rPr>
        <w:t xml:space="preserve"> z dnia 13 czerwca 2003 r. o udzielaniu cudzoziemcom ochrony na terytorium Rzeczypospolitej Polskiej (Dz. U. z 2012 r. poz. 680</w:t>
      </w:r>
      <w:r w:rsidR="00107A79" w:rsidRPr="00E34FCE">
        <w:rPr>
          <w:rFonts w:ascii="Times New Roman" w:eastAsia="Calibri" w:hAnsi="Times New Roman" w:cs="Times New Roman"/>
          <w:sz w:val="24"/>
          <w:szCs w:val="24"/>
        </w:rPr>
        <w:t>, z 2013 r. poz. 1650,</w:t>
      </w:r>
      <w:r w:rsidR="00E34FCE">
        <w:rPr>
          <w:rFonts w:ascii="Times New Roman" w:eastAsia="Calibri" w:hAnsi="Times New Roman" w:cs="Times New Roman"/>
          <w:sz w:val="24"/>
          <w:szCs w:val="24"/>
        </w:rPr>
        <w:t xml:space="preserve"> z </w:t>
      </w:r>
      <w:r w:rsidR="00107A79" w:rsidRPr="00E34FCE">
        <w:rPr>
          <w:rFonts w:ascii="Times New Roman" w:eastAsia="Calibri" w:hAnsi="Times New Roman" w:cs="Times New Roman"/>
          <w:sz w:val="24"/>
          <w:szCs w:val="24"/>
        </w:rPr>
        <w:t>2014 r. poz. 1004 oraz z 2015 r. poz. 1607</w:t>
      </w:r>
      <w:r w:rsidR="00107A79" w:rsidRPr="00E34FCE">
        <w:rPr>
          <w:rFonts w:ascii="Times New Roman" w:eastAsia="Calibri" w:hAnsi="Times New Roman" w:cs="Times New Roman"/>
          <w:sz w:val="24"/>
          <w:szCs w:val="24"/>
          <w:lang w:val="x-none"/>
        </w:rPr>
        <w:t xml:space="preserve">), </w:t>
      </w:r>
      <w:r w:rsidR="00107A79" w:rsidRPr="000F69C7">
        <w:rPr>
          <w:rFonts w:ascii="Times New Roman" w:eastAsia="Calibri" w:hAnsi="Times New Roman" w:cs="Times New Roman"/>
          <w:sz w:val="24"/>
          <w:szCs w:val="24"/>
          <w:lang w:val="x-none"/>
        </w:rPr>
        <w:t xml:space="preserve">zwanej dalej </w:t>
      </w:r>
      <w:r w:rsidR="00107A79" w:rsidRPr="000107DA">
        <w:rPr>
          <w:rFonts w:ascii="Times New Roman" w:eastAsia="Calibri" w:hAnsi="Times New Roman" w:cs="Times New Roman"/>
          <w:sz w:val="24"/>
          <w:szCs w:val="24"/>
          <w:lang w:val="x-none"/>
        </w:rPr>
        <w:t>„ustawą o udzielaniu cudzoziemcom ochrony”</w:t>
      </w:r>
      <w:r w:rsidR="00107A79">
        <w:rPr>
          <w:rFonts w:ascii="Times New Roman" w:eastAsia="Calibri" w:hAnsi="Times New Roman" w:cs="Times New Roman"/>
          <w:sz w:val="24"/>
          <w:szCs w:val="24"/>
        </w:rPr>
        <w:t>, w rozdziale 5a „</w:t>
      </w:r>
      <w:r w:rsidR="009338CE">
        <w:rPr>
          <w:rFonts w:ascii="Times New Roman" w:eastAsia="Calibri" w:hAnsi="Times New Roman" w:cs="Times New Roman"/>
          <w:sz w:val="24"/>
          <w:szCs w:val="24"/>
        </w:rPr>
        <w:t>Przesiedlenie</w:t>
      </w:r>
      <w:r w:rsidR="00107A79">
        <w:rPr>
          <w:rFonts w:ascii="Times New Roman" w:eastAsia="Calibri" w:hAnsi="Times New Roman" w:cs="Times New Roman"/>
          <w:sz w:val="24"/>
          <w:szCs w:val="24"/>
        </w:rPr>
        <w:t xml:space="preserve"> i relokacja”, do unormowań wynikających z </w:t>
      </w:r>
      <w:r w:rsidR="00107A79" w:rsidRPr="00E34FCE">
        <w:rPr>
          <w:rFonts w:ascii="Times New Roman" w:eastAsia="Calibri" w:hAnsi="Times New Roman" w:cs="Times New Roman"/>
          <w:sz w:val="24"/>
          <w:szCs w:val="24"/>
        </w:rPr>
        <w:t>decyzji Rady (UE) 2015/1523 z dnia 14 września 2015 r. ustanawiającej środki tymczasowe w obszarze ochrony międzynarodowej na rzecz Włoch i Grecji</w:t>
      </w:r>
      <w:r w:rsidR="00E34FCE">
        <w:rPr>
          <w:rFonts w:ascii="Times New Roman" w:eastAsia="Calibri" w:hAnsi="Times New Roman" w:cs="Times New Roman"/>
          <w:sz w:val="24"/>
          <w:szCs w:val="24"/>
        </w:rPr>
        <w:t xml:space="preserve"> (Dz. Urz. </w:t>
      </w:r>
      <w:r w:rsidR="002F4127" w:rsidRPr="00E34FCE">
        <w:rPr>
          <w:rFonts w:ascii="Times New Roman" w:eastAsia="Calibri" w:hAnsi="Times New Roman" w:cs="Times New Roman"/>
          <w:sz w:val="24"/>
          <w:szCs w:val="24"/>
        </w:rPr>
        <w:t>UE L 239 z 15.09.2015, str. 146) oraz decyzj</w:t>
      </w:r>
      <w:r w:rsidR="00E34FCE">
        <w:rPr>
          <w:rFonts w:ascii="Times New Roman" w:eastAsia="Calibri" w:hAnsi="Times New Roman" w:cs="Times New Roman"/>
          <w:sz w:val="24"/>
          <w:szCs w:val="24"/>
        </w:rPr>
        <w:t>i Rady (UE) 2015/1601 z dnia 22 </w:t>
      </w:r>
      <w:r w:rsidR="002F4127" w:rsidRPr="00E34FCE">
        <w:rPr>
          <w:rFonts w:ascii="Times New Roman" w:eastAsia="Calibri" w:hAnsi="Times New Roman" w:cs="Times New Roman"/>
          <w:sz w:val="24"/>
          <w:szCs w:val="24"/>
        </w:rPr>
        <w:t>września 2015 r. ustanawiającej środki tymczasowe w obszarze ochrony międzynarodowej na rzecz Włoch i Grecji (Dz. Urz. UE L 248 z 24.09.2015, str. 80)</w:t>
      </w:r>
      <w:r w:rsidR="0026482F" w:rsidRPr="00E34FCE">
        <w:rPr>
          <w:rFonts w:ascii="Times New Roman" w:eastAsia="Calibri" w:hAnsi="Times New Roman" w:cs="Times New Roman"/>
          <w:sz w:val="24"/>
          <w:szCs w:val="24"/>
        </w:rPr>
        <w:t>.</w:t>
      </w:r>
    </w:p>
    <w:p w:rsidR="00E34FCE" w:rsidRDefault="004B73B6" w:rsidP="00E34FCE">
      <w:pPr>
        <w:spacing w:after="12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 </w:t>
      </w:r>
      <w:r w:rsidR="00C043D7">
        <w:rPr>
          <w:rFonts w:ascii="Times New Roman" w:eastAsia="Calibri" w:hAnsi="Times New Roman" w:cs="Times New Roman"/>
          <w:sz w:val="24"/>
          <w:szCs w:val="24"/>
        </w:rPr>
        <w:t>art</w:t>
      </w:r>
      <w:r w:rsidR="00C043D7">
        <w:rPr>
          <w:rFonts w:ascii="Times New Roman" w:eastAsia="Calibri" w:hAnsi="Times New Roman" w:cs="Times New Roman"/>
          <w:sz w:val="24"/>
          <w:szCs w:val="24"/>
          <w:lang w:val="x-none"/>
        </w:rPr>
        <w:t>.</w:t>
      </w:r>
      <w:r w:rsidR="000F69C7" w:rsidRPr="000F69C7">
        <w:rPr>
          <w:rFonts w:ascii="Times New Roman" w:eastAsia="Calibri" w:hAnsi="Times New Roman" w:cs="Times New Roman"/>
          <w:sz w:val="24"/>
          <w:szCs w:val="24"/>
          <w:lang w:val="x-none"/>
        </w:rPr>
        <w:t xml:space="preserve"> 1 projektu ustawy dokonuje </w:t>
      </w:r>
      <w:r w:rsidR="000107DA">
        <w:rPr>
          <w:rFonts w:ascii="Times New Roman" w:eastAsia="Calibri" w:hAnsi="Times New Roman" w:cs="Times New Roman"/>
          <w:sz w:val="24"/>
          <w:szCs w:val="24"/>
        </w:rPr>
        <w:t xml:space="preserve">się </w:t>
      </w:r>
      <w:r w:rsidR="000107DA" w:rsidRPr="000F69C7">
        <w:rPr>
          <w:rFonts w:ascii="Times New Roman" w:eastAsia="Calibri" w:hAnsi="Times New Roman" w:cs="Times New Roman"/>
          <w:sz w:val="24"/>
          <w:szCs w:val="24"/>
          <w:lang w:val="x-none"/>
        </w:rPr>
        <w:t>zmian</w:t>
      </w:r>
      <w:r w:rsidR="000107DA">
        <w:rPr>
          <w:rFonts w:ascii="Times New Roman" w:eastAsia="Calibri" w:hAnsi="Times New Roman" w:cs="Times New Roman"/>
          <w:sz w:val="24"/>
          <w:szCs w:val="24"/>
        </w:rPr>
        <w:t>y</w:t>
      </w:r>
      <w:r w:rsidR="000107DA" w:rsidRPr="000F69C7">
        <w:rPr>
          <w:rFonts w:ascii="Times New Roman" w:eastAsia="Calibri" w:hAnsi="Times New Roman" w:cs="Times New Roman"/>
          <w:sz w:val="24"/>
          <w:szCs w:val="24"/>
          <w:lang w:val="x-none"/>
        </w:rPr>
        <w:t xml:space="preserve"> </w:t>
      </w:r>
      <w:r w:rsidR="00107A79">
        <w:rPr>
          <w:rFonts w:ascii="Times New Roman" w:eastAsia="Calibri" w:hAnsi="Times New Roman" w:cs="Times New Roman"/>
          <w:sz w:val="24"/>
          <w:szCs w:val="24"/>
        </w:rPr>
        <w:t xml:space="preserve">art. 86f </w:t>
      </w:r>
      <w:r w:rsidR="000107DA" w:rsidRPr="000107DA">
        <w:rPr>
          <w:rFonts w:ascii="Times New Roman" w:eastAsia="Calibri" w:hAnsi="Times New Roman" w:cs="Times New Roman"/>
          <w:sz w:val="24"/>
          <w:szCs w:val="24"/>
          <w:lang w:val="x-none"/>
        </w:rPr>
        <w:t>ustaw</w:t>
      </w:r>
      <w:r w:rsidR="007A737C">
        <w:rPr>
          <w:rFonts w:ascii="Times New Roman" w:eastAsia="Calibri" w:hAnsi="Times New Roman" w:cs="Times New Roman"/>
          <w:sz w:val="24"/>
          <w:szCs w:val="24"/>
        </w:rPr>
        <w:t>y</w:t>
      </w:r>
      <w:r w:rsidR="000107DA" w:rsidRPr="000107DA">
        <w:rPr>
          <w:rFonts w:ascii="Times New Roman" w:eastAsia="Calibri" w:hAnsi="Times New Roman" w:cs="Times New Roman"/>
          <w:sz w:val="24"/>
          <w:szCs w:val="24"/>
          <w:lang w:val="x-none"/>
        </w:rPr>
        <w:t xml:space="preserve"> o udzielaniu cudzoziemcom ochrony</w:t>
      </w:r>
      <w:r w:rsidR="000F69C7" w:rsidRPr="000107DA">
        <w:rPr>
          <w:rFonts w:ascii="Times New Roman" w:eastAsia="Calibri" w:hAnsi="Times New Roman" w:cs="Times New Roman"/>
          <w:sz w:val="24"/>
          <w:szCs w:val="24"/>
          <w:lang w:val="x-none"/>
        </w:rPr>
        <w:t xml:space="preserve">. </w:t>
      </w:r>
      <w:r w:rsidR="007C2691">
        <w:rPr>
          <w:rFonts w:ascii="Times New Roman" w:eastAsia="Calibri" w:hAnsi="Times New Roman" w:cs="Times New Roman"/>
          <w:sz w:val="24"/>
          <w:szCs w:val="24"/>
        </w:rPr>
        <w:t>Nadanie nowego brzmienia ca</w:t>
      </w:r>
      <w:r w:rsidR="00E34FCE">
        <w:rPr>
          <w:rFonts w:ascii="Times New Roman" w:eastAsia="Calibri" w:hAnsi="Times New Roman" w:cs="Times New Roman"/>
          <w:sz w:val="24"/>
          <w:szCs w:val="24"/>
        </w:rPr>
        <w:t>łemu przepisowi jest związane z </w:t>
      </w:r>
      <w:r w:rsidR="007C2691">
        <w:rPr>
          <w:rFonts w:ascii="Times New Roman" w:eastAsia="Calibri" w:hAnsi="Times New Roman" w:cs="Times New Roman"/>
          <w:sz w:val="24"/>
          <w:szCs w:val="24"/>
        </w:rPr>
        <w:t xml:space="preserve">projektowanymi licznymi zmianami </w:t>
      </w:r>
      <w:r w:rsidR="00077BEF">
        <w:rPr>
          <w:rFonts w:ascii="Times New Roman" w:eastAsia="Calibri" w:hAnsi="Times New Roman" w:cs="Times New Roman"/>
          <w:sz w:val="24"/>
          <w:szCs w:val="24"/>
        </w:rPr>
        <w:t xml:space="preserve">wprowadzanymi </w:t>
      </w:r>
      <w:r w:rsidR="007C2691">
        <w:rPr>
          <w:rFonts w:ascii="Times New Roman" w:eastAsia="Calibri" w:hAnsi="Times New Roman" w:cs="Times New Roman"/>
          <w:sz w:val="24"/>
          <w:szCs w:val="24"/>
        </w:rPr>
        <w:t>w tej regulacji.</w:t>
      </w:r>
    </w:p>
    <w:p w:rsidR="00E34FCE" w:rsidRDefault="007C2691" w:rsidP="00E34FCE">
      <w:pPr>
        <w:spacing w:after="120" w:line="360" w:lineRule="auto"/>
        <w:ind w:firstLine="567"/>
        <w:jc w:val="both"/>
        <w:rPr>
          <w:rFonts w:ascii="Times New Roman" w:hAnsi="Times New Roman" w:cs="Times New Roman"/>
          <w:sz w:val="24"/>
          <w:szCs w:val="24"/>
        </w:rPr>
      </w:pPr>
      <w:r>
        <w:rPr>
          <w:rFonts w:ascii="Times New Roman" w:eastAsia="Calibri" w:hAnsi="Times New Roman" w:cs="Times New Roman"/>
          <w:sz w:val="24"/>
          <w:szCs w:val="24"/>
        </w:rPr>
        <w:t>Zmianie ulega ust. 2 ww. p</w:t>
      </w:r>
      <w:r w:rsidR="00107A79">
        <w:rPr>
          <w:rFonts w:ascii="Times New Roman" w:eastAsia="Calibri" w:hAnsi="Times New Roman" w:cs="Times New Roman"/>
          <w:sz w:val="24"/>
          <w:szCs w:val="24"/>
        </w:rPr>
        <w:t>rzepis</w:t>
      </w:r>
      <w:r>
        <w:rPr>
          <w:rFonts w:ascii="Times New Roman" w:eastAsia="Calibri" w:hAnsi="Times New Roman" w:cs="Times New Roman"/>
          <w:sz w:val="24"/>
          <w:szCs w:val="24"/>
        </w:rPr>
        <w:t xml:space="preserve">u, który </w:t>
      </w:r>
      <w:r w:rsidR="00107A79">
        <w:rPr>
          <w:rFonts w:ascii="Times New Roman" w:eastAsia="Calibri" w:hAnsi="Times New Roman" w:cs="Times New Roman"/>
          <w:sz w:val="24"/>
          <w:szCs w:val="24"/>
        </w:rPr>
        <w:t xml:space="preserve">w </w:t>
      </w:r>
      <w:r w:rsidR="007A737C">
        <w:rPr>
          <w:rFonts w:ascii="Times New Roman" w:eastAsia="Calibri" w:hAnsi="Times New Roman" w:cs="Times New Roman"/>
          <w:sz w:val="24"/>
          <w:szCs w:val="24"/>
        </w:rPr>
        <w:t>obowiązując</w:t>
      </w:r>
      <w:r w:rsidR="00107A79">
        <w:rPr>
          <w:rFonts w:ascii="Times New Roman" w:eastAsia="Calibri" w:hAnsi="Times New Roman" w:cs="Times New Roman"/>
          <w:sz w:val="24"/>
          <w:szCs w:val="24"/>
        </w:rPr>
        <w:t xml:space="preserve">ym </w:t>
      </w:r>
      <w:r w:rsidR="007A737C">
        <w:rPr>
          <w:rFonts w:ascii="Times New Roman" w:eastAsia="Calibri" w:hAnsi="Times New Roman" w:cs="Times New Roman"/>
          <w:sz w:val="24"/>
          <w:szCs w:val="24"/>
        </w:rPr>
        <w:t xml:space="preserve">obecnie </w:t>
      </w:r>
      <w:r w:rsidR="00107A79">
        <w:rPr>
          <w:rFonts w:ascii="Times New Roman" w:eastAsia="Calibri" w:hAnsi="Times New Roman" w:cs="Times New Roman"/>
          <w:sz w:val="24"/>
          <w:szCs w:val="24"/>
        </w:rPr>
        <w:t>brzmieniu stanowi, że Komendant Główny Policji, Komendant Główny Straży Granicznej lub Szef Agencji Bezpieczeństwa Wewnętrznego przekazują informację, czy wjazd cudzoziemca na terytorium Rzeczypospolitej Polskiej</w:t>
      </w:r>
      <w:r w:rsidR="002F4127">
        <w:rPr>
          <w:rFonts w:ascii="Times New Roman" w:eastAsia="Calibri" w:hAnsi="Times New Roman" w:cs="Times New Roman"/>
          <w:sz w:val="24"/>
          <w:szCs w:val="24"/>
        </w:rPr>
        <w:t xml:space="preserve"> i jego pobyt na tym terytorium mogą stanowić zagrożenie dla obronności lub bezpieczeństwa państwa lub ochrony bezpieczeństwa i porządku publicznego, w terminie 7 dni od dnia otrzymania wniosku. Wprowadzana zmiana polega na wydłużeniu dotychczasowego terminu przewidzianego na przekazanie w</w:t>
      </w:r>
      <w:r w:rsidR="00077BEF">
        <w:rPr>
          <w:rFonts w:ascii="Times New Roman" w:eastAsia="Calibri" w:hAnsi="Times New Roman" w:cs="Times New Roman"/>
          <w:sz w:val="24"/>
          <w:szCs w:val="24"/>
        </w:rPr>
        <w:t xml:space="preserve">w. informacji z 7 dni do </w:t>
      </w:r>
      <w:r w:rsidR="00387749">
        <w:rPr>
          <w:rFonts w:ascii="Times New Roman" w:eastAsia="Calibri" w:hAnsi="Times New Roman" w:cs="Times New Roman"/>
          <w:sz w:val="24"/>
          <w:szCs w:val="24"/>
        </w:rPr>
        <w:t>45</w:t>
      </w:r>
      <w:r w:rsidR="00077BEF">
        <w:rPr>
          <w:rFonts w:ascii="Times New Roman" w:eastAsia="Calibri" w:hAnsi="Times New Roman" w:cs="Times New Roman"/>
          <w:sz w:val="24"/>
          <w:szCs w:val="24"/>
        </w:rPr>
        <w:t xml:space="preserve"> dni</w:t>
      </w:r>
      <w:r w:rsidR="00E406BF">
        <w:rPr>
          <w:rFonts w:ascii="Times New Roman" w:eastAsia="Calibri" w:hAnsi="Times New Roman" w:cs="Times New Roman"/>
          <w:sz w:val="24"/>
          <w:szCs w:val="24"/>
        </w:rPr>
        <w:t>.</w:t>
      </w:r>
      <w:r w:rsidR="00077BEF">
        <w:rPr>
          <w:rFonts w:ascii="Times New Roman" w:eastAsia="Calibri" w:hAnsi="Times New Roman" w:cs="Times New Roman"/>
          <w:sz w:val="24"/>
          <w:szCs w:val="24"/>
        </w:rPr>
        <w:t xml:space="preserve"> </w:t>
      </w:r>
      <w:r w:rsidR="00E406BF">
        <w:rPr>
          <w:rFonts w:ascii="Times New Roman" w:eastAsia="Calibri" w:hAnsi="Times New Roman" w:cs="Times New Roman"/>
          <w:sz w:val="24"/>
          <w:szCs w:val="24"/>
        </w:rPr>
        <w:t xml:space="preserve">Ponadto przewiduje się </w:t>
      </w:r>
      <w:r>
        <w:rPr>
          <w:rFonts w:ascii="Times New Roman" w:eastAsia="Calibri" w:hAnsi="Times New Roman" w:cs="Times New Roman"/>
          <w:sz w:val="24"/>
          <w:szCs w:val="24"/>
        </w:rPr>
        <w:t>możliwoś</w:t>
      </w:r>
      <w:r w:rsidR="00E406BF">
        <w:rPr>
          <w:rFonts w:ascii="Times New Roman" w:eastAsia="Calibri" w:hAnsi="Times New Roman" w:cs="Times New Roman"/>
          <w:sz w:val="24"/>
          <w:szCs w:val="24"/>
        </w:rPr>
        <w:t>ć</w:t>
      </w:r>
      <w:r w:rsidR="00077BEF">
        <w:rPr>
          <w:rFonts w:ascii="Times New Roman" w:eastAsia="Calibri" w:hAnsi="Times New Roman" w:cs="Times New Roman"/>
          <w:sz w:val="24"/>
          <w:szCs w:val="24"/>
        </w:rPr>
        <w:t xml:space="preserve"> </w:t>
      </w:r>
      <w:r>
        <w:rPr>
          <w:rFonts w:ascii="Times New Roman" w:eastAsia="Calibri" w:hAnsi="Times New Roman" w:cs="Times New Roman"/>
          <w:sz w:val="24"/>
          <w:szCs w:val="24"/>
        </w:rPr>
        <w:t>przedłużenia</w:t>
      </w:r>
      <w:r w:rsidR="00E406BF">
        <w:rPr>
          <w:rFonts w:ascii="Times New Roman" w:eastAsia="Calibri" w:hAnsi="Times New Roman" w:cs="Times New Roman"/>
          <w:sz w:val="24"/>
          <w:szCs w:val="24"/>
        </w:rPr>
        <w:t xml:space="preserve"> ww.</w:t>
      </w:r>
      <w:r>
        <w:rPr>
          <w:rFonts w:ascii="Times New Roman" w:eastAsia="Calibri" w:hAnsi="Times New Roman" w:cs="Times New Roman"/>
          <w:sz w:val="24"/>
          <w:szCs w:val="24"/>
        </w:rPr>
        <w:t xml:space="preserve"> </w:t>
      </w:r>
      <w:r w:rsidR="00387749">
        <w:rPr>
          <w:rFonts w:ascii="Times New Roman" w:eastAsia="Calibri" w:hAnsi="Times New Roman" w:cs="Times New Roman"/>
          <w:sz w:val="24"/>
          <w:szCs w:val="24"/>
        </w:rPr>
        <w:t>45</w:t>
      </w:r>
      <w:r w:rsidR="00E406BF">
        <w:rPr>
          <w:rFonts w:ascii="Times New Roman" w:eastAsia="Calibri" w:hAnsi="Times New Roman" w:cs="Times New Roman"/>
          <w:sz w:val="24"/>
          <w:szCs w:val="24"/>
        </w:rPr>
        <w:t xml:space="preserve">-dniowego terminu </w:t>
      </w:r>
      <w:r>
        <w:rPr>
          <w:rFonts w:ascii="Times New Roman" w:eastAsia="Calibri" w:hAnsi="Times New Roman" w:cs="Times New Roman"/>
          <w:sz w:val="24"/>
          <w:szCs w:val="24"/>
        </w:rPr>
        <w:t>o 14 dni</w:t>
      </w:r>
      <w:r w:rsidR="00B3509E">
        <w:rPr>
          <w:rFonts w:ascii="Times New Roman" w:eastAsia="Calibri" w:hAnsi="Times New Roman" w:cs="Times New Roman"/>
          <w:sz w:val="24"/>
          <w:szCs w:val="24"/>
        </w:rPr>
        <w:t xml:space="preserve"> w </w:t>
      </w:r>
      <w:r w:rsidR="00096AF3">
        <w:rPr>
          <w:rFonts w:ascii="Times New Roman" w:eastAsia="Calibri" w:hAnsi="Times New Roman" w:cs="Times New Roman"/>
          <w:sz w:val="24"/>
          <w:szCs w:val="24"/>
        </w:rPr>
        <w:t>sytuacjach szczególnych</w:t>
      </w:r>
      <w:r w:rsidRPr="00CE75DB">
        <w:rPr>
          <w:rFonts w:ascii="Times New Roman" w:hAnsi="Times New Roman" w:cs="Times New Roman"/>
          <w:sz w:val="24"/>
          <w:szCs w:val="24"/>
        </w:rPr>
        <w:t>.</w:t>
      </w:r>
    </w:p>
    <w:p w:rsidR="00E34FCE" w:rsidRDefault="00E406BF" w:rsidP="00E34FCE">
      <w:pPr>
        <w:spacing w:after="120" w:line="360" w:lineRule="auto"/>
        <w:ind w:firstLine="567"/>
        <w:jc w:val="both"/>
        <w:rPr>
          <w:rFonts w:ascii="Times New Roman" w:hAnsi="Times New Roman" w:cs="Times New Roman"/>
          <w:sz w:val="24"/>
          <w:szCs w:val="24"/>
        </w:rPr>
      </w:pPr>
      <w:r>
        <w:rPr>
          <w:rFonts w:ascii="Times New Roman" w:eastAsia="Calibri" w:hAnsi="Times New Roman" w:cs="Times New Roman"/>
          <w:sz w:val="24"/>
          <w:szCs w:val="24"/>
        </w:rPr>
        <w:t>W</w:t>
      </w:r>
      <w:r w:rsidR="00077BEF" w:rsidRPr="0050548F">
        <w:rPr>
          <w:rFonts w:ascii="Times New Roman" w:eastAsia="Calibri" w:hAnsi="Times New Roman" w:cs="Times New Roman"/>
          <w:sz w:val="24"/>
          <w:szCs w:val="24"/>
        </w:rPr>
        <w:t xml:space="preserve"> </w:t>
      </w:r>
      <w:r w:rsidR="00CE0F5B">
        <w:rPr>
          <w:rFonts w:ascii="Times New Roman" w:eastAsia="Calibri" w:hAnsi="Times New Roman" w:cs="Times New Roman"/>
          <w:sz w:val="24"/>
          <w:szCs w:val="24"/>
        </w:rPr>
        <w:t>projektowanym przepisie rezygnuje się z</w:t>
      </w:r>
      <w:r w:rsidR="00077BEF" w:rsidRPr="0050548F">
        <w:rPr>
          <w:rFonts w:ascii="Times New Roman" w:eastAsia="Calibri" w:hAnsi="Times New Roman" w:cs="Times New Roman"/>
          <w:sz w:val="24"/>
          <w:szCs w:val="24"/>
        </w:rPr>
        <w:t xml:space="preserve"> </w:t>
      </w:r>
      <w:r w:rsidR="00077BEF">
        <w:rPr>
          <w:rFonts w:ascii="Times New Roman" w:eastAsia="Calibri" w:hAnsi="Times New Roman" w:cs="Times New Roman"/>
          <w:sz w:val="24"/>
          <w:szCs w:val="24"/>
        </w:rPr>
        <w:t xml:space="preserve">przewidzianego dotychczas w ust. 3 </w:t>
      </w:r>
      <w:r w:rsidR="00077BEF" w:rsidRPr="0050548F">
        <w:rPr>
          <w:rFonts w:ascii="Times New Roman" w:eastAsia="Calibri" w:hAnsi="Times New Roman" w:cs="Times New Roman"/>
          <w:sz w:val="24"/>
          <w:szCs w:val="24"/>
        </w:rPr>
        <w:t xml:space="preserve">domniemania, </w:t>
      </w:r>
      <w:r w:rsidR="00077BEF">
        <w:rPr>
          <w:rFonts w:ascii="Times New Roman" w:eastAsia="Calibri" w:hAnsi="Times New Roman" w:cs="Times New Roman"/>
          <w:sz w:val="24"/>
          <w:szCs w:val="24"/>
        </w:rPr>
        <w:t>i</w:t>
      </w:r>
      <w:r w:rsidR="00077BEF" w:rsidRPr="0050548F">
        <w:rPr>
          <w:rFonts w:ascii="Times New Roman" w:eastAsia="Calibri" w:hAnsi="Times New Roman" w:cs="Times New Roman"/>
          <w:sz w:val="24"/>
          <w:szCs w:val="24"/>
        </w:rPr>
        <w:t>ż w razie braku informacji uważa się, że wjazd</w:t>
      </w:r>
      <w:r w:rsidR="00077BEF">
        <w:rPr>
          <w:rFonts w:ascii="Times New Roman" w:eastAsia="Calibri" w:hAnsi="Times New Roman" w:cs="Times New Roman"/>
          <w:sz w:val="24"/>
          <w:szCs w:val="24"/>
        </w:rPr>
        <w:t xml:space="preserve"> cudzoziemca na terytorium Rzeczypospolitej Polskiej i jego pobyt na tym terytorium nie stanowią zagrożenia dla obronności lub bezpieczeństwa państwa lub ochrony bezpie</w:t>
      </w:r>
      <w:r w:rsidR="00CE0F5B">
        <w:rPr>
          <w:rFonts w:ascii="Times New Roman" w:eastAsia="Calibri" w:hAnsi="Times New Roman" w:cs="Times New Roman"/>
          <w:sz w:val="24"/>
          <w:szCs w:val="24"/>
        </w:rPr>
        <w:t xml:space="preserve">czeństwa i porządku publicznego. </w:t>
      </w:r>
      <w:r w:rsidR="007C512D">
        <w:rPr>
          <w:rFonts w:ascii="Times New Roman" w:eastAsia="Calibri" w:hAnsi="Times New Roman" w:cs="Times New Roman"/>
          <w:sz w:val="24"/>
          <w:szCs w:val="24"/>
        </w:rPr>
        <w:t>Projektowana ustawa nakłada obowiązek wypowiedzenia się organów, do</w:t>
      </w:r>
      <w:r w:rsidR="00B3509E">
        <w:rPr>
          <w:rFonts w:ascii="Times New Roman" w:eastAsia="Calibri" w:hAnsi="Times New Roman" w:cs="Times New Roman"/>
          <w:sz w:val="24"/>
          <w:szCs w:val="24"/>
        </w:rPr>
        <w:t xml:space="preserve"> których zwróci się</w:t>
      </w:r>
      <w:r w:rsidR="006E0D62">
        <w:rPr>
          <w:rFonts w:ascii="Times New Roman" w:eastAsia="Calibri" w:hAnsi="Times New Roman" w:cs="Times New Roman"/>
          <w:sz w:val="24"/>
          <w:szCs w:val="24"/>
        </w:rPr>
        <w:t xml:space="preserve"> </w:t>
      </w:r>
      <w:r w:rsidR="007C512D">
        <w:rPr>
          <w:rFonts w:ascii="Times New Roman" w:eastAsia="Calibri" w:hAnsi="Times New Roman" w:cs="Times New Roman"/>
          <w:sz w:val="24"/>
          <w:szCs w:val="24"/>
        </w:rPr>
        <w:t>Szef Urzędu</w:t>
      </w:r>
      <w:r w:rsidR="006E0D62">
        <w:rPr>
          <w:rFonts w:ascii="Times New Roman" w:eastAsia="Calibri" w:hAnsi="Times New Roman" w:cs="Times New Roman"/>
          <w:sz w:val="24"/>
          <w:szCs w:val="24"/>
        </w:rPr>
        <w:t xml:space="preserve"> do Spraw Cudzoziemców, zwany dalej „Szefem Urzędu”</w:t>
      </w:r>
      <w:r w:rsidR="007C512D">
        <w:rPr>
          <w:rFonts w:ascii="Times New Roman" w:eastAsia="Calibri" w:hAnsi="Times New Roman" w:cs="Times New Roman"/>
          <w:sz w:val="24"/>
          <w:szCs w:val="24"/>
        </w:rPr>
        <w:t xml:space="preserve">. </w:t>
      </w:r>
      <w:r w:rsidR="007C512D">
        <w:rPr>
          <w:rFonts w:ascii="Times New Roman" w:hAnsi="Times New Roman" w:cs="Times New Roman"/>
          <w:sz w:val="24"/>
          <w:szCs w:val="24"/>
        </w:rPr>
        <w:t>N</w:t>
      </w:r>
      <w:r w:rsidR="007C512D" w:rsidRPr="00CE0F5B">
        <w:rPr>
          <w:rFonts w:ascii="Times New Roman" w:hAnsi="Times New Roman" w:cs="Times New Roman"/>
          <w:sz w:val="24"/>
          <w:szCs w:val="24"/>
        </w:rPr>
        <w:t>ie będą</w:t>
      </w:r>
      <w:r w:rsidR="007C512D">
        <w:rPr>
          <w:rFonts w:ascii="Times New Roman" w:hAnsi="Times New Roman" w:cs="Times New Roman"/>
          <w:sz w:val="24"/>
          <w:szCs w:val="24"/>
        </w:rPr>
        <w:t xml:space="preserve"> one</w:t>
      </w:r>
      <w:r w:rsidR="007C512D" w:rsidRPr="00CE0F5B">
        <w:rPr>
          <w:rFonts w:ascii="Times New Roman" w:hAnsi="Times New Roman" w:cs="Times New Roman"/>
          <w:sz w:val="24"/>
          <w:szCs w:val="24"/>
        </w:rPr>
        <w:t xml:space="preserve"> mogły poprzestać na milczeniu, gdy z ich ustaleń </w:t>
      </w:r>
      <w:r w:rsidR="007C512D">
        <w:rPr>
          <w:rFonts w:ascii="Times New Roman" w:hAnsi="Times New Roman" w:cs="Times New Roman"/>
          <w:sz w:val="24"/>
          <w:szCs w:val="24"/>
        </w:rPr>
        <w:t xml:space="preserve">będzie </w:t>
      </w:r>
      <w:r w:rsidR="007C512D" w:rsidRPr="00CE0F5B">
        <w:rPr>
          <w:rFonts w:ascii="Times New Roman" w:hAnsi="Times New Roman" w:cs="Times New Roman"/>
          <w:sz w:val="24"/>
          <w:szCs w:val="24"/>
        </w:rPr>
        <w:t>wynika</w:t>
      </w:r>
      <w:r w:rsidR="007C512D">
        <w:rPr>
          <w:rFonts w:ascii="Times New Roman" w:hAnsi="Times New Roman" w:cs="Times New Roman"/>
          <w:sz w:val="24"/>
          <w:szCs w:val="24"/>
        </w:rPr>
        <w:t>ło</w:t>
      </w:r>
      <w:r w:rsidR="007C512D" w:rsidRPr="00CE0F5B">
        <w:rPr>
          <w:rFonts w:ascii="Times New Roman" w:hAnsi="Times New Roman" w:cs="Times New Roman"/>
          <w:sz w:val="24"/>
          <w:szCs w:val="24"/>
        </w:rPr>
        <w:t xml:space="preserve">, że względy bezpieczeństwa państwa nie stoją na przeszkodzie przyjęciu cudzoziemców na terytorium Rzeczypospolitej </w:t>
      </w:r>
      <w:r w:rsidR="007C512D" w:rsidRPr="00CE0F5B">
        <w:rPr>
          <w:rFonts w:ascii="Times New Roman" w:hAnsi="Times New Roman" w:cs="Times New Roman"/>
          <w:sz w:val="24"/>
          <w:szCs w:val="24"/>
        </w:rPr>
        <w:lastRenderedPageBreak/>
        <w:t xml:space="preserve">Polskiej, lecz będą musiały </w:t>
      </w:r>
      <w:r w:rsidR="00B3509E">
        <w:rPr>
          <w:rFonts w:ascii="Times New Roman" w:hAnsi="Times New Roman" w:cs="Times New Roman"/>
          <w:sz w:val="24"/>
          <w:szCs w:val="24"/>
        </w:rPr>
        <w:t>poinformować o </w:t>
      </w:r>
      <w:r w:rsidR="007C512D" w:rsidRPr="00CE0F5B">
        <w:rPr>
          <w:rFonts w:ascii="Times New Roman" w:hAnsi="Times New Roman" w:cs="Times New Roman"/>
          <w:sz w:val="24"/>
          <w:szCs w:val="24"/>
        </w:rPr>
        <w:t>tym Szefa Urzędu. Ustalenie zaś przez te organy, że pobyt cudzoziemca na terytorium Rzeczypospolitej Polskiej może stwarzać zagrożenie dla obronności lub bezpieczeństwa państwa będzie wiążące dla Szefa Urzędu, choćby taka informacja pochodziła tylko od jednego z zapytanych organów.</w:t>
      </w:r>
      <w:r w:rsidR="007C512D">
        <w:rPr>
          <w:rFonts w:ascii="Times New Roman" w:hAnsi="Times New Roman" w:cs="Times New Roman"/>
          <w:sz w:val="24"/>
          <w:szCs w:val="24"/>
        </w:rPr>
        <w:t xml:space="preserve"> </w:t>
      </w:r>
      <w:r w:rsidR="00121916">
        <w:rPr>
          <w:rFonts w:ascii="Times New Roman" w:hAnsi="Times New Roman" w:cs="Times New Roman"/>
          <w:sz w:val="24"/>
          <w:szCs w:val="24"/>
        </w:rPr>
        <w:t>W</w:t>
      </w:r>
      <w:r w:rsidR="00CE0F5B">
        <w:rPr>
          <w:rFonts w:ascii="Times New Roman" w:hAnsi="Times New Roman" w:cs="Times New Roman"/>
          <w:sz w:val="24"/>
          <w:szCs w:val="24"/>
        </w:rPr>
        <w:t xml:space="preserve"> takim przypadku </w:t>
      </w:r>
      <w:r w:rsidR="00121916">
        <w:rPr>
          <w:rFonts w:ascii="Times New Roman" w:hAnsi="Times New Roman" w:cs="Times New Roman"/>
          <w:sz w:val="24"/>
          <w:szCs w:val="24"/>
        </w:rPr>
        <w:t>cudzoziemiec nie będzie podlegał przesiedleniu</w:t>
      </w:r>
      <w:r w:rsidR="007C512D">
        <w:rPr>
          <w:rFonts w:ascii="Times New Roman" w:hAnsi="Times New Roman" w:cs="Times New Roman"/>
          <w:sz w:val="24"/>
          <w:szCs w:val="24"/>
        </w:rPr>
        <w:t>, a</w:t>
      </w:r>
      <w:r w:rsidR="00121916">
        <w:rPr>
          <w:rFonts w:ascii="Times New Roman" w:hAnsi="Times New Roman" w:cs="Times New Roman"/>
          <w:sz w:val="24"/>
          <w:szCs w:val="24"/>
        </w:rPr>
        <w:t> </w:t>
      </w:r>
      <w:r w:rsidR="007C512D">
        <w:rPr>
          <w:rFonts w:ascii="Times New Roman" w:hAnsi="Times New Roman" w:cs="Times New Roman"/>
          <w:sz w:val="24"/>
          <w:szCs w:val="24"/>
        </w:rPr>
        <w:t>w przypadku relokacji</w:t>
      </w:r>
      <w:r w:rsidR="00CE0F5B">
        <w:rPr>
          <w:rFonts w:ascii="Times New Roman" w:hAnsi="Times New Roman" w:cs="Times New Roman"/>
          <w:sz w:val="24"/>
          <w:szCs w:val="24"/>
        </w:rPr>
        <w:t xml:space="preserve"> </w:t>
      </w:r>
      <w:r w:rsidR="00121916">
        <w:rPr>
          <w:rFonts w:ascii="Times New Roman" w:hAnsi="Times New Roman" w:cs="Times New Roman"/>
          <w:sz w:val="24"/>
          <w:szCs w:val="24"/>
        </w:rPr>
        <w:t xml:space="preserve">Szef Urzędu </w:t>
      </w:r>
      <w:r w:rsidR="00CE0F5B">
        <w:rPr>
          <w:rFonts w:ascii="Times New Roman" w:hAnsi="Times New Roman" w:cs="Times New Roman"/>
          <w:sz w:val="24"/>
          <w:szCs w:val="24"/>
        </w:rPr>
        <w:t xml:space="preserve">będzie </w:t>
      </w:r>
      <w:r w:rsidR="00CE0F5B" w:rsidRPr="00CE0F5B">
        <w:rPr>
          <w:rFonts w:ascii="Times New Roman" w:hAnsi="Times New Roman" w:cs="Times New Roman"/>
          <w:sz w:val="24"/>
          <w:szCs w:val="24"/>
        </w:rPr>
        <w:t>zawiad</w:t>
      </w:r>
      <w:r w:rsidR="007C512D">
        <w:rPr>
          <w:rFonts w:ascii="Times New Roman" w:hAnsi="Times New Roman" w:cs="Times New Roman"/>
          <w:sz w:val="24"/>
          <w:szCs w:val="24"/>
        </w:rPr>
        <w:t>a</w:t>
      </w:r>
      <w:r w:rsidR="00CE0F5B">
        <w:rPr>
          <w:rFonts w:ascii="Times New Roman" w:hAnsi="Times New Roman" w:cs="Times New Roman"/>
          <w:sz w:val="24"/>
          <w:szCs w:val="24"/>
        </w:rPr>
        <w:t>mi</w:t>
      </w:r>
      <w:r w:rsidR="007C512D">
        <w:rPr>
          <w:rFonts w:ascii="Times New Roman" w:hAnsi="Times New Roman" w:cs="Times New Roman"/>
          <w:sz w:val="24"/>
          <w:szCs w:val="24"/>
        </w:rPr>
        <w:t>ał</w:t>
      </w:r>
      <w:r w:rsidR="00CE0F5B" w:rsidRPr="00CE0F5B">
        <w:rPr>
          <w:rFonts w:ascii="Times New Roman" w:hAnsi="Times New Roman" w:cs="Times New Roman"/>
          <w:sz w:val="24"/>
          <w:szCs w:val="24"/>
        </w:rPr>
        <w:t xml:space="preserve"> właściwy organ państwa członkowskiego, z którego terytorium ma nastąpić relokacja</w:t>
      </w:r>
      <w:r w:rsidR="00963108">
        <w:rPr>
          <w:rFonts w:ascii="Times New Roman" w:hAnsi="Times New Roman" w:cs="Times New Roman"/>
          <w:sz w:val="24"/>
          <w:szCs w:val="24"/>
        </w:rPr>
        <w:t>,</w:t>
      </w:r>
      <w:r w:rsidR="00CE0F5B" w:rsidRPr="00CE0F5B">
        <w:rPr>
          <w:rFonts w:ascii="Times New Roman" w:hAnsi="Times New Roman" w:cs="Times New Roman"/>
          <w:sz w:val="24"/>
          <w:szCs w:val="24"/>
        </w:rPr>
        <w:t xml:space="preserve"> </w:t>
      </w:r>
      <w:r w:rsidR="00121916">
        <w:rPr>
          <w:rFonts w:ascii="Times New Roman" w:hAnsi="Times New Roman" w:cs="Times New Roman"/>
          <w:sz w:val="24"/>
          <w:szCs w:val="24"/>
        </w:rPr>
        <w:t>że cudzoziemiec nie został zakwalifikowany do relokacji</w:t>
      </w:r>
      <w:r w:rsidR="00963108">
        <w:rPr>
          <w:rFonts w:ascii="Times New Roman" w:hAnsi="Times New Roman" w:cs="Times New Roman"/>
          <w:sz w:val="24"/>
          <w:szCs w:val="24"/>
        </w:rPr>
        <w:t>.</w:t>
      </w:r>
    </w:p>
    <w:p w:rsidR="00E34FCE" w:rsidRDefault="00FE5AD6" w:rsidP="00E34FCE">
      <w:pPr>
        <w:spacing w:after="120" w:line="360" w:lineRule="auto"/>
        <w:ind w:firstLine="567"/>
        <w:jc w:val="both"/>
        <w:rPr>
          <w:rFonts w:ascii="Times New Roman" w:hAnsi="Times New Roman" w:cs="Times New Roman"/>
          <w:color w:val="262626"/>
          <w:sz w:val="24"/>
          <w:szCs w:val="24"/>
        </w:rPr>
      </w:pPr>
      <w:r w:rsidRPr="0051493D">
        <w:rPr>
          <w:rFonts w:ascii="Times New Roman" w:hAnsi="Times New Roman" w:cs="Times New Roman"/>
          <w:sz w:val="24"/>
          <w:szCs w:val="24"/>
        </w:rPr>
        <w:t xml:space="preserve">W celu ujednolicenia przepisów </w:t>
      </w:r>
      <w:r w:rsidRPr="0051493D">
        <w:rPr>
          <w:rFonts w:ascii="Times New Roman" w:eastAsia="Calibri" w:hAnsi="Times New Roman" w:cs="Times New Roman"/>
          <w:sz w:val="24"/>
          <w:szCs w:val="24"/>
          <w:lang w:val="x-none"/>
        </w:rPr>
        <w:t>ustaw</w:t>
      </w:r>
      <w:r w:rsidRPr="0051493D">
        <w:rPr>
          <w:rFonts w:ascii="Times New Roman" w:eastAsia="Calibri" w:hAnsi="Times New Roman" w:cs="Times New Roman"/>
          <w:sz w:val="24"/>
          <w:szCs w:val="24"/>
        </w:rPr>
        <w:t>y</w:t>
      </w:r>
      <w:r w:rsidRPr="0051493D">
        <w:rPr>
          <w:rFonts w:ascii="Times New Roman" w:eastAsia="Calibri" w:hAnsi="Times New Roman" w:cs="Times New Roman"/>
          <w:sz w:val="24"/>
          <w:szCs w:val="24"/>
          <w:lang w:val="x-none"/>
        </w:rPr>
        <w:t xml:space="preserve"> o udzielaniu cudzoziemcom ochrony</w:t>
      </w:r>
      <w:r w:rsidRPr="0051493D">
        <w:rPr>
          <w:rFonts w:ascii="Times New Roman" w:hAnsi="Times New Roman" w:cs="Times New Roman"/>
          <w:sz w:val="24"/>
          <w:szCs w:val="24"/>
        </w:rPr>
        <w:t xml:space="preserve"> </w:t>
      </w:r>
      <w:r w:rsidR="0051493D" w:rsidRPr="0051493D">
        <w:rPr>
          <w:rFonts w:ascii="Times New Roman" w:hAnsi="Times New Roman"/>
          <w:sz w:val="24"/>
          <w:szCs w:val="24"/>
        </w:rPr>
        <w:t xml:space="preserve">wprowadza </w:t>
      </w:r>
      <w:r w:rsidR="0051493D">
        <w:rPr>
          <w:rFonts w:ascii="Times New Roman" w:hAnsi="Times New Roman"/>
          <w:sz w:val="24"/>
          <w:szCs w:val="24"/>
        </w:rPr>
        <w:t xml:space="preserve">się </w:t>
      </w:r>
      <w:r w:rsidR="0051493D" w:rsidRPr="0051493D">
        <w:rPr>
          <w:rFonts w:ascii="Times New Roman" w:hAnsi="Times New Roman"/>
          <w:sz w:val="24"/>
          <w:szCs w:val="24"/>
        </w:rPr>
        <w:t>rozwiązanie, że obowiązek</w:t>
      </w:r>
      <w:r w:rsidR="0051493D" w:rsidRPr="0051493D">
        <w:rPr>
          <w:rFonts w:ascii="Times New Roman" w:hAnsi="Times New Roman" w:cs="Times New Roman"/>
          <w:sz w:val="24"/>
          <w:szCs w:val="24"/>
        </w:rPr>
        <w:t xml:space="preserve"> uzyskiwania </w:t>
      </w:r>
      <w:r w:rsidR="0051493D" w:rsidRPr="0051493D">
        <w:rPr>
          <w:rFonts w:ascii="Times New Roman" w:eastAsia="Calibri" w:hAnsi="Times New Roman" w:cs="Times New Roman"/>
          <w:sz w:val="24"/>
          <w:szCs w:val="24"/>
        </w:rPr>
        <w:t>informacji, czy wjazd cudzoziemca na terytorium Rzeczypospolitej Polskiej i jego pobyt na tym terytorium mogą stanowić zagrożenie dla obronności lub bezpieczeństwa państ</w:t>
      </w:r>
      <w:r w:rsidR="00E34FCE">
        <w:rPr>
          <w:rFonts w:ascii="Times New Roman" w:eastAsia="Calibri" w:hAnsi="Times New Roman" w:cs="Times New Roman"/>
          <w:sz w:val="24"/>
          <w:szCs w:val="24"/>
        </w:rPr>
        <w:t>wa lub ochrony bezpieczeństwa i </w:t>
      </w:r>
      <w:r w:rsidR="0051493D" w:rsidRPr="0051493D">
        <w:rPr>
          <w:rFonts w:ascii="Times New Roman" w:eastAsia="Calibri" w:hAnsi="Times New Roman" w:cs="Times New Roman"/>
          <w:sz w:val="24"/>
          <w:szCs w:val="24"/>
        </w:rPr>
        <w:t>porządku publicznego</w:t>
      </w:r>
      <w:r w:rsidR="006E0D62">
        <w:rPr>
          <w:rFonts w:ascii="Times New Roman" w:eastAsia="Calibri" w:hAnsi="Times New Roman" w:cs="Times New Roman"/>
          <w:sz w:val="24"/>
          <w:szCs w:val="24"/>
        </w:rPr>
        <w:t>,</w:t>
      </w:r>
      <w:r w:rsidR="0051493D" w:rsidRPr="0051493D">
        <w:rPr>
          <w:rFonts w:ascii="Times New Roman" w:eastAsia="Calibri" w:hAnsi="Times New Roman" w:cs="Times New Roman"/>
          <w:sz w:val="24"/>
          <w:szCs w:val="24"/>
        </w:rPr>
        <w:t xml:space="preserve"> </w:t>
      </w:r>
      <w:r w:rsidR="0051493D" w:rsidRPr="0051493D">
        <w:rPr>
          <w:rFonts w:ascii="Times New Roman" w:hAnsi="Times New Roman"/>
          <w:sz w:val="24"/>
          <w:szCs w:val="24"/>
        </w:rPr>
        <w:t xml:space="preserve">nie będzie dotyczył </w:t>
      </w:r>
      <w:r w:rsidR="0051493D" w:rsidRPr="0051493D">
        <w:rPr>
          <w:rFonts w:ascii="Times New Roman" w:hAnsi="Times New Roman" w:cs="Times New Roman"/>
          <w:color w:val="262626"/>
          <w:sz w:val="24"/>
          <w:szCs w:val="24"/>
        </w:rPr>
        <w:t>cudzoziemca, który nie ukończył 13. roku życia.</w:t>
      </w:r>
    </w:p>
    <w:p w:rsidR="00E34FCE" w:rsidRDefault="007A65E1" w:rsidP="00E34FCE">
      <w:pPr>
        <w:spacing w:after="12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Przepis art. 86f</w:t>
      </w:r>
      <w:r w:rsidR="006E0D62">
        <w:rPr>
          <w:rFonts w:ascii="Times New Roman" w:eastAsia="Calibri" w:hAnsi="Times New Roman" w:cs="Times New Roman"/>
          <w:sz w:val="24"/>
          <w:szCs w:val="24"/>
        </w:rPr>
        <w:t>,</w:t>
      </w:r>
      <w:r>
        <w:rPr>
          <w:rFonts w:ascii="Times New Roman" w:eastAsia="Calibri" w:hAnsi="Times New Roman" w:cs="Times New Roman"/>
          <w:sz w:val="24"/>
          <w:szCs w:val="24"/>
        </w:rPr>
        <w:t xml:space="preserve"> w obowiązującym brzmieniu</w:t>
      </w:r>
      <w:r w:rsidR="006E0D62">
        <w:rPr>
          <w:rFonts w:ascii="Times New Roman" w:eastAsia="Calibri" w:hAnsi="Times New Roman" w:cs="Times New Roman"/>
          <w:sz w:val="24"/>
          <w:szCs w:val="24"/>
        </w:rPr>
        <w:t>,</w:t>
      </w:r>
      <w:r>
        <w:rPr>
          <w:rFonts w:ascii="Times New Roman" w:eastAsia="Calibri" w:hAnsi="Times New Roman" w:cs="Times New Roman"/>
          <w:sz w:val="24"/>
          <w:szCs w:val="24"/>
        </w:rPr>
        <w:t xml:space="preserve"> zost</w:t>
      </w:r>
      <w:r w:rsidR="00E34FCE">
        <w:rPr>
          <w:rFonts w:ascii="Times New Roman" w:eastAsia="Calibri" w:hAnsi="Times New Roman" w:cs="Times New Roman"/>
          <w:sz w:val="24"/>
          <w:szCs w:val="24"/>
        </w:rPr>
        <w:t>ał wprowadzony ustawą z dnia </w:t>
      </w:r>
      <w:r w:rsidR="00586C00">
        <w:rPr>
          <w:rFonts w:ascii="Times New Roman" w:eastAsia="Calibri" w:hAnsi="Times New Roman" w:cs="Times New Roman"/>
          <w:sz w:val="24"/>
          <w:szCs w:val="24"/>
        </w:rPr>
        <w:t>10 </w:t>
      </w:r>
      <w:r>
        <w:rPr>
          <w:rFonts w:ascii="Times New Roman" w:eastAsia="Calibri" w:hAnsi="Times New Roman" w:cs="Times New Roman"/>
          <w:sz w:val="24"/>
          <w:szCs w:val="24"/>
        </w:rPr>
        <w:t>września 2015 r</w:t>
      </w:r>
      <w:r w:rsidRPr="00E34FCE">
        <w:rPr>
          <w:rFonts w:ascii="Times New Roman" w:eastAsia="Calibri" w:hAnsi="Times New Roman" w:cs="Times New Roman"/>
          <w:sz w:val="24"/>
          <w:szCs w:val="24"/>
        </w:rPr>
        <w:t>. o zmianie ustawy o udzielaniu cudzoziemcom ochrony na terytorium Rzeczypospolitej Polskiej oraz niektórych innych ustaw</w:t>
      </w:r>
      <w:r w:rsidR="00E34FCE">
        <w:rPr>
          <w:rFonts w:ascii="Times New Roman" w:eastAsia="Calibri" w:hAnsi="Times New Roman" w:cs="Times New Roman"/>
          <w:sz w:val="24"/>
          <w:szCs w:val="24"/>
        </w:rPr>
        <w:t xml:space="preserve"> (Dz. U. poz. 1607). Ww. </w:t>
      </w:r>
      <w:r>
        <w:rPr>
          <w:rFonts w:ascii="Times New Roman" w:eastAsia="Calibri" w:hAnsi="Times New Roman" w:cs="Times New Roman"/>
          <w:sz w:val="24"/>
          <w:szCs w:val="24"/>
        </w:rPr>
        <w:t xml:space="preserve">ustawą zmieniono część przepisów </w:t>
      </w:r>
      <w:r w:rsidRPr="000107DA">
        <w:rPr>
          <w:rFonts w:ascii="Times New Roman" w:eastAsia="Calibri" w:hAnsi="Times New Roman" w:cs="Times New Roman"/>
          <w:sz w:val="24"/>
          <w:szCs w:val="24"/>
          <w:lang w:val="x-none"/>
        </w:rPr>
        <w:t>ustaw</w:t>
      </w:r>
      <w:r>
        <w:rPr>
          <w:rFonts w:ascii="Times New Roman" w:eastAsia="Calibri" w:hAnsi="Times New Roman" w:cs="Times New Roman"/>
          <w:sz w:val="24"/>
          <w:szCs w:val="24"/>
        </w:rPr>
        <w:t>y</w:t>
      </w:r>
      <w:r w:rsidRPr="000107DA">
        <w:rPr>
          <w:rFonts w:ascii="Times New Roman" w:eastAsia="Calibri" w:hAnsi="Times New Roman" w:cs="Times New Roman"/>
          <w:sz w:val="24"/>
          <w:szCs w:val="24"/>
          <w:lang w:val="x-none"/>
        </w:rPr>
        <w:t xml:space="preserve"> o udzielaniu cudzoziemcom ochrony</w:t>
      </w:r>
      <w:r w:rsidR="006E0D62">
        <w:rPr>
          <w:rFonts w:ascii="Times New Roman" w:eastAsia="Calibri" w:hAnsi="Times New Roman" w:cs="Times New Roman"/>
          <w:sz w:val="24"/>
          <w:szCs w:val="24"/>
        </w:rPr>
        <w:t>,</w:t>
      </w:r>
      <w:r>
        <w:rPr>
          <w:rFonts w:ascii="Times New Roman" w:eastAsia="Calibri" w:hAnsi="Times New Roman" w:cs="Times New Roman"/>
          <w:sz w:val="24"/>
          <w:szCs w:val="24"/>
        </w:rPr>
        <w:t xml:space="preserve"> regulujących </w:t>
      </w:r>
      <w:r w:rsidR="004F70E6">
        <w:rPr>
          <w:rFonts w:ascii="Times New Roman" w:eastAsia="Calibri" w:hAnsi="Times New Roman" w:cs="Times New Roman"/>
          <w:sz w:val="24"/>
          <w:szCs w:val="24"/>
        </w:rPr>
        <w:t>kwestie przesiedleń i relokacji</w:t>
      </w:r>
      <w:r w:rsidR="00A91A41">
        <w:rPr>
          <w:rFonts w:ascii="Times New Roman" w:eastAsia="Calibri" w:hAnsi="Times New Roman" w:cs="Times New Roman"/>
          <w:sz w:val="24"/>
          <w:szCs w:val="24"/>
        </w:rPr>
        <w:t>,</w:t>
      </w:r>
      <w:r w:rsidR="004F70E6">
        <w:rPr>
          <w:rFonts w:ascii="Times New Roman" w:eastAsia="Calibri" w:hAnsi="Times New Roman" w:cs="Times New Roman"/>
          <w:sz w:val="24"/>
          <w:szCs w:val="24"/>
        </w:rPr>
        <w:t xml:space="preserve"> w związku z koniecznością uwzględnienia ustaleń podjętych podczas posiedzenia Rady Europejskiej w dniach 25 i 26 czerwca 2015 r.</w:t>
      </w:r>
      <w:r w:rsidR="006E0D62">
        <w:rPr>
          <w:rFonts w:ascii="Times New Roman" w:eastAsia="Calibri" w:hAnsi="Times New Roman" w:cs="Times New Roman"/>
          <w:sz w:val="24"/>
          <w:szCs w:val="24"/>
        </w:rPr>
        <w:t>,</w:t>
      </w:r>
      <w:r w:rsidR="004F70E6">
        <w:rPr>
          <w:rFonts w:ascii="Times New Roman" w:eastAsia="Calibri" w:hAnsi="Times New Roman" w:cs="Times New Roman"/>
          <w:sz w:val="24"/>
          <w:szCs w:val="24"/>
        </w:rPr>
        <w:t xml:space="preserve"> dotyczącego wprowadzenia środków przejściowych w dziedzinie ochrony między</w:t>
      </w:r>
      <w:r w:rsidR="00DA16D3">
        <w:rPr>
          <w:rFonts w:ascii="Times New Roman" w:eastAsia="Calibri" w:hAnsi="Times New Roman" w:cs="Times New Roman"/>
          <w:sz w:val="24"/>
          <w:szCs w:val="24"/>
        </w:rPr>
        <w:t>narodowej na korzyść Włoch i Gre</w:t>
      </w:r>
      <w:r w:rsidR="004F70E6">
        <w:rPr>
          <w:rFonts w:ascii="Times New Roman" w:eastAsia="Calibri" w:hAnsi="Times New Roman" w:cs="Times New Roman"/>
          <w:sz w:val="24"/>
          <w:szCs w:val="24"/>
        </w:rPr>
        <w:t>cji. Podjęte przez Radę Europejską ustalenia dały wskazówki</w:t>
      </w:r>
      <w:r w:rsidR="00B42DD7">
        <w:rPr>
          <w:rFonts w:ascii="Times New Roman" w:eastAsia="Calibri" w:hAnsi="Times New Roman" w:cs="Times New Roman"/>
          <w:sz w:val="24"/>
          <w:szCs w:val="24"/>
        </w:rPr>
        <w:t>,</w:t>
      </w:r>
      <w:r w:rsidR="004F70E6">
        <w:rPr>
          <w:rFonts w:ascii="Times New Roman" w:eastAsia="Calibri" w:hAnsi="Times New Roman" w:cs="Times New Roman"/>
          <w:sz w:val="24"/>
          <w:szCs w:val="24"/>
        </w:rPr>
        <w:t xml:space="preserve"> jak docelowo powinny zostać ukształtowane przepisy ustawy o udzielaniu cudzoziemcom o</w:t>
      </w:r>
      <w:r w:rsidR="005D4C84">
        <w:rPr>
          <w:rFonts w:ascii="Times New Roman" w:eastAsia="Calibri" w:hAnsi="Times New Roman" w:cs="Times New Roman"/>
          <w:sz w:val="24"/>
          <w:szCs w:val="24"/>
        </w:rPr>
        <w:t>chrony w zakresie przesiedleń i</w:t>
      </w:r>
      <w:r w:rsidR="00E34FCE">
        <w:rPr>
          <w:rFonts w:ascii="Times New Roman" w:eastAsia="Calibri" w:hAnsi="Times New Roman" w:cs="Times New Roman"/>
          <w:sz w:val="24"/>
          <w:szCs w:val="24"/>
        </w:rPr>
        <w:t xml:space="preserve"> </w:t>
      </w:r>
      <w:r w:rsidR="004F70E6">
        <w:rPr>
          <w:rFonts w:ascii="Times New Roman" w:eastAsia="Calibri" w:hAnsi="Times New Roman" w:cs="Times New Roman"/>
          <w:sz w:val="24"/>
          <w:szCs w:val="24"/>
        </w:rPr>
        <w:t>relokacji.</w:t>
      </w:r>
      <w:r w:rsidR="00DA16D3">
        <w:rPr>
          <w:rFonts w:ascii="Times New Roman" w:eastAsia="Calibri" w:hAnsi="Times New Roman" w:cs="Times New Roman"/>
          <w:sz w:val="24"/>
          <w:szCs w:val="24"/>
        </w:rPr>
        <w:t xml:space="preserve"> </w:t>
      </w:r>
      <w:r w:rsidR="00A91A41">
        <w:rPr>
          <w:rFonts w:ascii="Times New Roman" w:eastAsia="Calibri" w:hAnsi="Times New Roman" w:cs="Times New Roman"/>
          <w:sz w:val="24"/>
          <w:szCs w:val="24"/>
        </w:rPr>
        <w:t>Zgodnie</w:t>
      </w:r>
      <w:r w:rsidR="004B73B6">
        <w:rPr>
          <w:rFonts w:ascii="Times New Roman" w:eastAsia="Calibri" w:hAnsi="Times New Roman" w:cs="Times New Roman"/>
          <w:sz w:val="24"/>
          <w:szCs w:val="24"/>
        </w:rPr>
        <w:t xml:space="preserve"> z rozpatrywanym wówczas wnioskiem Komisji Europejskiej</w:t>
      </w:r>
      <w:r w:rsidR="00A91A41">
        <w:rPr>
          <w:rFonts w:ascii="Times New Roman" w:eastAsia="Calibri" w:hAnsi="Times New Roman" w:cs="Times New Roman"/>
          <w:sz w:val="24"/>
          <w:szCs w:val="24"/>
        </w:rPr>
        <w:t xml:space="preserve"> </w:t>
      </w:r>
      <w:r w:rsidR="00A91A41" w:rsidRPr="007C2691">
        <w:rPr>
          <w:rFonts w:ascii="Times New Roman" w:eastAsia="Calibri" w:hAnsi="Times New Roman" w:cs="Times New Roman"/>
          <w:sz w:val="24"/>
          <w:szCs w:val="24"/>
        </w:rPr>
        <w:t>pn</w:t>
      </w:r>
      <w:r w:rsidR="00A91A41" w:rsidRPr="00E34FCE">
        <w:rPr>
          <w:rFonts w:ascii="Times New Roman" w:eastAsia="Calibri" w:hAnsi="Times New Roman" w:cs="Times New Roman"/>
          <w:sz w:val="24"/>
          <w:szCs w:val="24"/>
        </w:rPr>
        <w:t xml:space="preserve">. decyzja Rady wprowadzająca środki przejściowe w dziedzinie ochrony międzynarodowej na korzyść Włoch i Grecji </w:t>
      </w:r>
      <w:r w:rsidR="00A91A41">
        <w:rPr>
          <w:rFonts w:ascii="Times New Roman" w:eastAsia="Calibri" w:hAnsi="Times New Roman" w:cs="Times New Roman"/>
          <w:sz w:val="24"/>
          <w:szCs w:val="24"/>
        </w:rPr>
        <w:t xml:space="preserve">procedura relokacji nie powinna </w:t>
      </w:r>
      <w:r w:rsidR="00C34534">
        <w:rPr>
          <w:rFonts w:ascii="Times New Roman" w:eastAsia="Calibri" w:hAnsi="Times New Roman" w:cs="Times New Roman"/>
          <w:sz w:val="24"/>
          <w:szCs w:val="24"/>
        </w:rPr>
        <w:t xml:space="preserve">była </w:t>
      </w:r>
      <w:r w:rsidR="00A91A41">
        <w:rPr>
          <w:rFonts w:ascii="Times New Roman" w:eastAsia="Calibri" w:hAnsi="Times New Roman" w:cs="Times New Roman"/>
          <w:sz w:val="24"/>
          <w:szCs w:val="24"/>
        </w:rPr>
        <w:t>trwać dłużej niż miesiąc od chwili wskazania wnioskodawców, którzy mają zostać relokowani.</w:t>
      </w:r>
      <w:r w:rsidR="00837CDA">
        <w:rPr>
          <w:rFonts w:ascii="Times New Roman" w:eastAsia="Calibri" w:hAnsi="Times New Roman" w:cs="Times New Roman"/>
          <w:sz w:val="24"/>
          <w:szCs w:val="24"/>
        </w:rPr>
        <w:t xml:space="preserve"> </w:t>
      </w:r>
      <w:r w:rsidR="00475B28">
        <w:rPr>
          <w:rFonts w:ascii="Times New Roman" w:eastAsia="Calibri" w:hAnsi="Times New Roman" w:cs="Times New Roman"/>
          <w:sz w:val="24"/>
          <w:szCs w:val="24"/>
        </w:rPr>
        <w:t xml:space="preserve">W związku z powyższym </w:t>
      </w:r>
      <w:r w:rsidR="00B3509E">
        <w:rPr>
          <w:rFonts w:ascii="Times New Roman" w:eastAsia="Calibri" w:hAnsi="Times New Roman" w:cs="Times New Roman"/>
          <w:sz w:val="24"/>
          <w:szCs w:val="24"/>
        </w:rPr>
        <w:t>w art. </w:t>
      </w:r>
      <w:r w:rsidR="00A91A41">
        <w:rPr>
          <w:rFonts w:ascii="Times New Roman" w:eastAsia="Calibri" w:hAnsi="Times New Roman" w:cs="Times New Roman"/>
          <w:sz w:val="24"/>
          <w:szCs w:val="24"/>
        </w:rPr>
        <w:t xml:space="preserve">86f w ust. 2 </w:t>
      </w:r>
      <w:r w:rsidR="00475B28">
        <w:rPr>
          <w:rFonts w:ascii="Times New Roman" w:eastAsia="Calibri" w:hAnsi="Times New Roman" w:cs="Times New Roman"/>
          <w:sz w:val="24"/>
          <w:szCs w:val="24"/>
        </w:rPr>
        <w:t>przyjęto 7-dniowy termin</w:t>
      </w:r>
      <w:r w:rsidR="00475B28" w:rsidRPr="00475B28">
        <w:rPr>
          <w:rFonts w:ascii="Times New Roman" w:eastAsia="Calibri" w:hAnsi="Times New Roman" w:cs="Times New Roman"/>
          <w:sz w:val="24"/>
          <w:szCs w:val="24"/>
        </w:rPr>
        <w:t xml:space="preserve"> </w:t>
      </w:r>
      <w:r w:rsidR="00475B28">
        <w:rPr>
          <w:rFonts w:ascii="Times New Roman" w:eastAsia="Calibri" w:hAnsi="Times New Roman" w:cs="Times New Roman"/>
          <w:sz w:val="24"/>
          <w:szCs w:val="24"/>
        </w:rPr>
        <w:t xml:space="preserve">na przekazanie przez </w:t>
      </w:r>
      <w:r w:rsidR="00C34534">
        <w:rPr>
          <w:rFonts w:ascii="Times New Roman" w:eastAsia="Calibri" w:hAnsi="Times New Roman" w:cs="Times New Roman"/>
          <w:sz w:val="24"/>
          <w:szCs w:val="24"/>
        </w:rPr>
        <w:t>właściwe organy</w:t>
      </w:r>
      <w:r w:rsidR="00475B28">
        <w:rPr>
          <w:rFonts w:ascii="Times New Roman" w:eastAsia="Calibri" w:hAnsi="Times New Roman" w:cs="Times New Roman"/>
          <w:sz w:val="24"/>
          <w:szCs w:val="24"/>
        </w:rPr>
        <w:t xml:space="preserve"> informacji, czy wjazd cudzoziemca na terytorium Rzeczypospolitej Polskiej i jego pobyt na tym terytorium mogą stanowić zagrożenie dla obronności lub bezpieczeństwa państwa lub ochrony bezpieczeństwa i porządku publicznego</w:t>
      </w:r>
      <w:r w:rsidR="00837CDA">
        <w:rPr>
          <w:rFonts w:ascii="Times New Roman" w:eastAsia="Calibri" w:hAnsi="Times New Roman" w:cs="Times New Roman"/>
          <w:sz w:val="24"/>
          <w:szCs w:val="24"/>
        </w:rPr>
        <w:t>.</w:t>
      </w:r>
      <w:r w:rsidR="00D33023">
        <w:rPr>
          <w:rFonts w:ascii="Times New Roman" w:eastAsia="Calibri" w:hAnsi="Times New Roman" w:cs="Times New Roman"/>
          <w:sz w:val="24"/>
          <w:szCs w:val="24"/>
        </w:rPr>
        <w:t xml:space="preserve"> </w:t>
      </w:r>
      <w:r w:rsidR="00C34534">
        <w:rPr>
          <w:rFonts w:ascii="Times New Roman" w:eastAsia="Calibri" w:hAnsi="Times New Roman" w:cs="Times New Roman"/>
          <w:sz w:val="24"/>
          <w:szCs w:val="24"/>
        </w:rPr>
        <w:t>Ostatecznie treść</w:t>
      </w:r>
      <w:r w:rsidR="00B42DD7">
        <w:rPr>
          <w:rFonts w:ascii="Times New Roman" w:eastAsia="Calibri" w:hAnsi="Times New Roman" w:cs="Times New Roman"/>
          <w:sz w:val="24"/>
          <w:szCs w:val="24"/>
        </w:rPr>
        <w:t xml:space="preserve"> ww.</w:t>
      </w:r>
      <w:r w:rsidR="00C34534">
        <w:rPr>
          <w:rFonts w:ascii="Times New Roman" w:eastAsia="Calibri" w:hAnsi="Times New Roman" w:cs="Times New Roman"/>
          <w:sz w:val="24"/>
          <w:szCs w:val="24"/>
        </w:rPr>
        <w:t xml:space="preserve"> decyzji została ustalona już po uchwaleniu przez Sejm </w:t>
      </w:r>
      <w:r w:rsidR="00B42DD7">
        <w:rPr>
          <w:rFonts w:ascii="Times New Roman" w:eastAsia="Calibri" w:hAnsi="Times New Roman" w:cs="Times New Roman"/>
          <w:sz w:val="24"/>
          <w:szCs w:val="24"/>
        </w:rPr>
        <w:t xml:space="preserve">ustawy </w:t>
      </w:r>
      <w:r w:rsidR="00E34FCE">
        <w:rPr>
          <w:rFonts w:ascii="Times New Roman" w:eastAsia="Calibri" w:hAnsi="Times New Roman" w:cs="Times New Roman"/>
          <w:sz w:val="24"/>
          <w:szCs w:val="24"/>
        </w:rPr>
        <w:t>z dnia 10 </w:t>
      </w:r>
      <w:r w:rsidR="00D33023">
        <w:rPr>
          <w:rFonts w:ascii="Times New Roman" w:eastAsia="Calibri" w:hAnsi="Times New Roman" w:cs="Times New Roman"/>
          <w:sz w:val="24"/>
          <w:szCs w:val="24"/>
        </w:rPr>
        <w:t>września 2015 r. o zmianie ustawy o udzielaniu cudzoziemcom ochrony na terytorium Rzeczypospolitej Polskiej oraz niektórych innych ustaw.</w:t>
      </w:r>
    </w:p>
    <w:p w:rsidR="00E34FCE" w:rsidRDefault="00C34534" w:rsidP="00E34FCE">
      <w:pPr>
        <w:spacing w:after="120" w:line="360" w:lineRule="auto"/>
        <w:ind w:firstLine="567"/>
        <w:jc w:val="both"/>
        <w:rPr>
          <w:rFonts w:ascii="Times New Roman" w:eastAsia="Calibri" w:hAnsi="Times New Roman" w:cs="Times New Roman"/>
          <w:sz w:val="24"/>
          <w:szCs w:val="24"/>
        </w:rPr>
      </w:pPr>
      <w:r w:rsidRPr="00E34FCE">
        <w:rPr>
          <w:rFonts w:ascii="Times New Roman" w:eastAsia="Calibri" w:hAnsi="Times New Roman" w:cs="Times New Roman"/>
          <w:sz w:val="24"/>
          <w:szCs w:val="24"/>
        </w:rPr>
        <w:lastRenderedPageBreak/>
        <w:t>D</w:t>
      </w:r>
      <w:r w:rsidR="001B444A" w:rsidRPr="00E34FCE">
        <w:rPr>
          <w:rFonts w:ascii="Times New Roman" w:eastAsia="Calibri" w:hAnsi="Times New Roman" w:cs="Times New Roman"/>
          <w:sz w:val="24"/>
          <w:szCs w:val="24"/>
        </w:rPr>
        <w:t>ecyzj</w:t>
      </w:r>
      <w:r w:rsidRPr="00E34FCE">
        <w:rPr>
          <w:rFonts w:ascii="Times New Roman" w:eastAsia="Calibri" w:hAnsi="Times New Roman" w:cs="Times New Roman"/>
          <w:sz w:val="24"/>
          <w:szCs w:val="24"/>
        </w:rPr>
        <w:t>a</w:t>
      </w:r>
      <w:r w:rsidR="001B444A" w:rsidRPr="00E34FCE">
        <w:rPr>
          <w:rFonts w:ascii="Times New Roman" w:eastAsia="Calibri" w:hAnsi="Times New Roman" w:cs="Times New Roman"/>
          <w:sz w:val="24"/>
          <w:szCs w:val="24"/>
        </w:rPr>
        <w:t xml:space="preserve"> Rady (UE) 2015/1523 z dnia 14 września 2015 r. ustanawiając</w:t>
      </w:r>
      <w:r w:rsidR="00F039B9" w:rsidRPr="00E34FCE">
        <w:rPr>
          <w:rFonts w:ascii="Times New Roman" w:eastAsia="Calibri" w:hAnsi="Times New Roman" w:cs="Times New Roman"/>
          <w:sz w:val="24"/>
          <w:szCs w:val="24"/>
        </w:rPr>
        <w:t>a</w:t>
      </w:r>
      <w:r w:rsidR="001B444A" w:rsidRPr="00E34FCE">
        <w:rPr>
          <w:rFonts w:ascii="Times New Roman" w:eastAsia="Calibri" w:hAnsi="Times New Roman" w:cs="Times New Roman"/>
          <w:sz w:val="24"/>
          <w:szCs w:val="24"/>
        </w:rPr>
        <w:t xml:space="preserve"> środki tymczasowe w obszarze ochrony międzynarodowej na rzecz Włoch i Grecji</w:t>
      </w:r>
      <w:r w:rsidRPr="00E34FCE">
        <w:rPr>
          <w:rFonts w:ascii="Times New Roman" w:eastAsia="Calibri" w:hAnsi="Times New Roman" w:cs="Times New Roman"/>
          <w:sz w:val="24"/>
          <w:szCs w:val="24"/>
        </w:rPr>
        <w:t xml:space="preserve"> oraz </w:t>
      </w:r>
      <w:r w:rsidR="001B444A" w:rsidRPr="00E34FCE">
        <w:rPr>
          <w:rFonts w:ascii="Times New Roman" w:eastAsia="Calibri" w:hAnsi="Times New Roman" w:cs="Times New Roman"/>
          <w:sz w:val="24"/>
          <w:szCs w:val="24"/>
        </w:rPr>
        <w:t>decyz</w:t>
      </w:r>
      <w:r w:rsidR="00C043D7" w:rsidRPr="00E34FCE">
        <w:rPr>
          <w:rFonts w:ascii="Times New Roman" w:eastAsia="Calibri" w:hAnsi="Times New Roman" w:cs="Times New Roman"/>
          <w:sz w:val="24"/>
          <w:szCs w:val="24"/>
        </w:rPr>
        <w:t>ja</w:t>
      </w:r>
      <w:r w:rsidR="001B444A" w:rsidRPr="00E34FCE">
        <w:rPr>
          <w:rFonts w:ascii="Times New Roman" w:eastAsia="Calibri" w:hAnsi="Times New Roman" w:cs="Times New Roman"/>
          <w:sz w:val="24"/>
          <w:szCs w:val="24"/>
        </w:rPr>
        <w:t xml:space="preserve"> Rady (UE) 2015/1601 z dnia 22 września 2015 r. ustanawiając</w:t>
      </w:r>
      <w:r w:rsidR="00F039B9" w:rsidRPr="00E34FCE">
        <w:rPr>
          <w:rFonts w:ascii="Times New Roman" w:eastAsia="Calibri" w:hAnsi="Times New Roman" w:cs="Times New Roman"/>
          <w:sz w:val="24"/>
          <w:szCs w:val="24"/>
        </w:rPr>
        <w:t>a</w:t>
      </w:r>
      <w:r w:rsidR="00E34FCE">
        <w:rPr>
          <w:rFonts w:ascii="Times New Roman" w:eastAsia="Calibri" w:hAnsi="Times New Roman" w:cs="Times New Roman"/>
          <w:sz w:val="24"/>
          <w:szCs w:val="24"/>
        </w:rPr>
        <w:t xml:space="preserve"> środki tymczasowe w </w:t>
      </w:r>
      <w:r w:rsidR="001B444A" w:rsidRPr="00E34FCE">
        <w:rPr>
          <w:rFonts w:ascii="Times New Roman" w:eastAsia="Calibri" w:hAnsi="Times New Roman" w:cs="Times New Roman"/>
          <w:sz w:val="24"/>
          <w:szCs w:val="24"/>
        </w:rPr>
        <w:t xml:space="preserve">obszarze ochrony międzynarodowej na rzecz Włoch i Grecji </w:t>
      </w:r>
      <w:r w:rsidRPr="00E34FCE">
        <w:rPr>
          <w:rFonts w:ascii="Times New Roman" w:eastAsia="Calibri" w:hAnsi="Times New Roman" w:cs="Times New Roman"/>
          <w:sz w:val="24"/>
          <w:szCs w:val="24"/>
        </w:rPr>
        <w:t>st</w:t>
      </w:r>
      <w:r>
        <w:rPr>
          <w:rFonts w:ascii="Times New Roman" w:eastAsia="Calibri" w:hAnsi="Times New Roman" w:cs="Times New Roman"/>
          <w:sz w:val="24"/>
          <w:szCs w:val="24"/>
        </w:rPr>
        <w:t>anowi</w:t>
      </w:r>
      <w:r w:rsidR="00D33023">
        <w:rPr>
          <w:rFonts w:ascii="Times New Roman" w:eastAsia="Calibri" w:hAnsi="Times New Roman" w:cs="Times New Roman"/>
          <w:sz w:val="24"/>
          <w:szCs w:val="24"/>
        </w:rPr>
        <w:t>ą</w:t>
      </w:r>
      <w:r>
        <w:rPr>
          <w:rFonts w:ascii="Times New Roman" w:eastAsia="Calibri" w:hAnsi="Times New Roman" w:cs="Times New Roman"/>
          <w:sz w:val="24"/>
          <w:szCs w:val="24"/>
        </w:rPr>
        <w:t>,</w:t>
      </w:r>
      <w:r w:rsidR="00C043D7">
        <w:rPr>
          <w:rFonts w:ascii="Times New Roman" w:eastAsia="Calibri" w:hAnsi="Times New Roman" w:cs="Times New Roman"/>
          <w:sz w:val="24"/>
          <w:szCs w:val="24"/>
        </w:rPr>
        <w:t xml:space="preserve"> </w:t>
      </w:r>
      <w:r>
        <w:rPr>
          <w:rFonts w:ascii="Times New Roman" w:eastAsia="Calibri" w:hAnsi="Times New Roman" w:cs="Times New Roman"/>
          <w:sz w:val="24"/>
          <w:szCs w:val="24"/>
        </w:rPr>
        <w:t>że procedurę relokacji należy przeprowadzić jak najszybciej, nie później niż w ciągu dwóch miesięcy od momentu, w którym państwo członkowskie relokacji podało liczbę wnioskodawców, których można szybko relokować.</w:t>
      </w:r>
      <w:r w:rsidR="00D33023">
        <w:rPr>
          <w:rFonts w:ascii="Times New Roman" w:eastAsia="Calibri" w:hAnsi="Times New Roman" w:cs="Times New Roman"/>
          <w:sz w:val="24"/>
          <w:szCs w:val="24"/>
        </w:rPr>
        <w:t xml:space="preserve"> </w:t>
      </w:r>
      <w:r>
        <w:rPr>
          <w:rFonts w:ascii="Times New Roman" w:eastAsia="Calibri" w:hAnsi="Times New Roman" w:cs="Times New Roman"/>
          <w:sz w:val="24"/>
          <w:szCs w:val="24"/>
        </w:rPr>
        <w:t>Obecne brzmienie art. 5 ust. 10 ww. decyzji pozwala na wydłużenie procesu pozyskiwania informacji</w:t>
      </w:r>
      <w:r w:rsidR="00D33023">
        <w:rPr>
          <w:rFonts w:ascii="Times New Roman" w:eastAsia="Calibri" w:hAnsi="Times New Roman" w:cs="Times New Roman"/>
          <w:sz w:val="24"/>
          <w:szCs w:val="24"/>
        </w:rPr>
        <w:t>,</w:t>
      </w:r>
      <w:r>
        <w:rPr>
          <w:rFonts w:ascii="Times New Roman" w:eastAsia="Calibri" w:hAnsi="Times New Roman" w:cs="Times New Roman"/>
          <w:sz w:val="24"/>
          <w:szCs w:val="24"/>
        </w:rPr>
        <w:t xml:space="preserve"> czy pobyt cudzoziemca może stanowić</w:t>
      </w:r>
      <w:r w:rsidRPr="00C34534">
        <w:rPr>
          <w:rFonts w:ascii="Times New Roman" w:eastAsia="Calibri" w:hAnsi="Times New Roman" w:cs="Times New Roman"/>
          <w:sz w:val="24"/>
          <w:szCs w:val="24"/>
        </w:rPr>
        <w:t xml:space="preserve"> </w:t>
      </w:r>
      <w:r>
        <w:rPr>
          <w:rFonts w:ascii="Times New Roman" w:eastAsia="Calibri" w:hAnsi="Times New Roman" w:cs="Times New Roman"/>
          <w:sz w:val="24"/>
          <w:szCs w:val="24"/>
        </w:rPr>
        <w:t>zagrożenie dla obronności lub bezpieczeństwa państ</w:t>
      </w:r>
      <w:r w:rsidR="00E34FCE">
        <w:rPr>
          <w:rFonts w:ascii="Times New Roman" w:eastAsia="Calibri" w:hAnsi="Times New Roman" w:cs="Times New Roman"/>
          <w:sz w:val="24"/>
          <w:szCs w:val="24"/>
        </w:rPr>
        <w:t>wa lub ochrony bezpieczeństwa i </w:t>
      </w:r>
      <w:r>
        <w:rPr>
          <w:rFonts w:ascii="Times New Roman" w:eastAsia="Calibri" w:hAnsi="Times New Roman" w:cs="Times New Roman"/>
          <w:sz w:val="24"/>
          <w:szCs w:val="24"/>
        </w:rPr>
        <w:t>porządku publicznego</w:t>
      </w:r>
      <w:r w:rsidR="00D33023">
        <w:rPr>
          <w:rFonts w:ascii="Times New Roman" w:eastAsia="Calibri" w:hAnsi="Times New Roman" w:cs="Times New Roman"/>
          <w:sz w:val="24"/>
          <w:szCs w:val="24"/>
        </w:rPr>
        <w:t>,</w:t>
      </w:r>
      <w:r>
        <w:rPr>
          <w:rFonts w:ascii="Times New Roman" w:eastAsia="Calibri" w:hAnsi="Times New Roman" w:cs="Times New Roman"/>
          <w:sz w:val="24"/>
          <w:szCs w:val="24"/>
        </w:rPr>
        <w:t xml:space="preserve"> przed wyrażeniem przez Polskę zgody na relokację cudzoziemców.</w:t>
      </w:r>
      <w:r w:rsidR="00D3302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Wydłużenie tego terminu jest nie tylko możliwe, ale i jak najbardziej zasadne, ponieważ </w:t>
      </w:r>
      <w:r w:rsidR="00E34FCE">
        <w:rPr>
          <w:rFonts w:ascii="Times New Roman" w:eastAsia="Calibri" w:hAnsi="Times New Roman" w:cs="Times New Roman"/>
          <w:sz w:val="24"/>
          <w:szCs w:val="24"/>
        </w:rPr>
        <w:br/>
      </w:r>
      <w:r w:rsidR="00C043D7">
        <w:rPr>
          <w:rFonts w:ascii="Times New Roman" w:eastAsia="Calibri" w:hAnsi="Times New Roman" w:cs="Times New Roman"/>
          <w:sz w:val="24"/>
          <w:szCs w:val="24"/>
        </w:rPr>
        <w:t xml:space="preserve">7-dniowy termin przekazywania informacji nie gwarantował rzetelnego ich zebrania. </w:t>
      </w:r>
      <w:r w:rsidR="00DA36E5">
        <w:rPr>
          <w:rFonts w:ascii="Times New Roman" w:eastAsia="Calibri" w:hAnsi="Times New Roman" w:cs="Times New Roman"/>
          <w:sz w:val="24"/>
          <w:szCs w:val="24"/>
        </w:rPr>
        <w:t>Za</w:t>
      </w:r>
      <w:r w:rsidR="00E34FCE">
        <w:rPr>
          <w:rFonts w:ascii="Times New Roman" w:eastAsia="Calibri" w:hAnsi="Times New Roman" w:cs="Times New Roman"/>
          <w:sz w:val="24"/>
          <w:szCs w:val="24"/>
        </w:rPr>
        <w:t> </w:t>
      </w:r>
      <w:r w:rsidR="00DA36E5">
        <w:rPr>
          <w:rFonts w:ascii="Times New Roman" w:eastAsia="Calibri" w:hAnsi="Times New Roman" w:cs="Times New Roman"/>
          <w:sz w:val="24"/>
          <w:szCs w:val="24"/>
        </w:rPr>
        <w:t xml:space="preserve">podstawowy termin do udzielenia informacji przyjęto termin </w:t>
      </w:r>
      <w:r w:rsidR="00387749">
        <w:rPr>
          <w:rFonts w:ascii="Times New Roman" w:eastAsia="Calibri" w:hAnsi="Times New Roman" w:cs="Times New Roman"/>
          <w:sz w:val="24"/>
          <w:szCs w:val="24"/>
        </w:rPr>
        <w:t>45</w:t>
      </w:r>
      <w:r w:rsidR="00DA36E5">
        <w:rPr>
          <w:rFonts w:ascii="Times New Roman" w:eastAsia="Calibri" w:hAnsi="Times New Roman" w:cs="Times New Roman"/>
          <w:sz w:val="24"/>
          <w:szCs w:val="24"/>
        </w:rPr>
        <w:t>-dniowy</w:t>
      </w:r>
      <w:r w:rsidR="00F136BE">
        <w:rPr>
          <w:rFonts w:ascii="Times New Roman" w:eastAsia="Calibri" w:hAnsi="Times New Roman" w:cs="Times New Roman"/>
          <w:sz w:val="24"/>
          <w:szCs w:val="24"/>
        </w:rPr>
        <w:t xml:space="preserve">. </w:t>
      </w:r>
      <w:r w:rsidR="00E34FCE">
        <w:rPr>
          <w:rFonts w:ascii="Times New Roman" w:eastAsia="Calibri" w:hAnsi="Times New Roman" w:cs="Times New Roman"/>
          <w:sz w:val="24"/>
          <w:szCs w:val="24"/>
        </w:rPr>
        <w:t>Termin ten w </w:t>
      </w:r>
      <w:r w:rsidR="00DA36E5">
        <w:rPr>
          <w:rFonts w:ascii="Times New Roman" w:eastAsia="Calibri" w:hAnsi="Times New Roman" w:cs="Times New Roman"/>
          <w:sz w:val="24"/>
          <w:szCs w:val="24"/>
        </w:rPr>
        <w:t>wyjątkowych sytuacjach będzie można przedłużyć</w:t>
      </w:r>
      <w:r w:rsidR="006E0D62">
        <w:rPr>
          <w:rFonts w:ascii="Times New Roman" w:eastAsia="Calibri" w:hAnsi="Times New Roman" w:cs="Times New Roman"/>
          <w:sz w:val="24"/>
          <w:szCs w:val="24"/>
        </w:rPr>
        <w:t>,</w:t>
      </w:r>
      <w:r w:rsidR="00DA36E5">
        <w:rPr>
          <w:rFonts w:ascii="Times New Roman" w:eastAsia="Calibri" w:hAnsi="Times New Roman" w:cs="Times New Roman"/>
          <w:sz w:val="24"/>
          <w:szCs w:val="24"/>
        </w:rPr>
        <w:t xml:space="preserve"> nie więcej jednak niż </w:t>
      </w:r>
      <w:r w:rsidR="006E0D62">
        <w:rPr>
          <w:rFonts w:ascii="Times New Roman" w:eastAsia="Calibri" w:hAnsi="Times New Roman" w:cs="Times New Roman"/>
          <w:sz w:val="24"/>
          <w:szCs w:val="24"/>
        </w:rPr>
        <w:t xml:space="preserve">o </w:t>
      </w:r>
      <w:r w:rsidR="00DA36E5">
        <w:rPr>
          <w:rFonts w:ascii="Times New Roman" w:eastAsia="Calibri" w:hAnsi="Times New Roman" w:cs="Times New Roman"/>
          <w:sz w:val="24"/>
          <w:szCs w:val="24"/>
        </w:rPr>
        <w:t>14 dni, tak aby możliwe było wykonanie obowiązku wynikającego z decyzji Rady (UE).</w:t>
      </w:r>
    </w:p>
    <w:p w:rsidR="00E34FCE" w:rsidRDefault="00E406BF" w:rsidP="00E34FCE">
      <w:pPr>
        <w:spacing w:after="12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Projektowane zmiany, tj. wydłużenie terminu na przekazanie informacji, czy wjazd cudzoziemca na terytorium Rzeczypospolitej Polskiej i jego pobyt na tym terytorium mogą stanowić zagrożenie dla obronności lub bezpieczeństwa państ</w:t>
      </w:r>
      <w:r w:rsidR="00B3509E">
        <w:rPr>
          <w:rFonts w:ascii="Times New Roman" w:eastAsia="Calibri" w:hAnsi="Times New Roman" w:cs="Times New Roman"/>
          <w:sz w:val="24"/>
          <w:szCs w:val="24"/>
        </w:rPr>
        <w:t>wa lub ochrony bezpieczeństwa i </w:t>
      </w:r>
      <w:r>
        <w:rPr>
          <w:rFonts w:ascii="Times New Roman" w:eastAsia="Calibri" w:hAnsi="Times New Roman" w:cs="Times New Roman"/>
          <w:sz w:val="24"/>
          <w:szCs w:val="24"/>
        </w:rPr>
        <w:t>porządku publicznego</w:t>
      </w:r>
      <w:r w:rsidR="006E0D62">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8C6E6F">
        <w:rPr>
          <w:rFonts w:ascii="Times New Roman" w:eastAsia="Calibri" w:hAnsi="Times New Roman" w:cs="Times New Roman"/>
          <w:sz w:val="24"/>
          <w:szCs w:val="24"/>
        </w:rPr>
        <w:t>i związanie tą informacją Szefa Urzędu</w:t>
      </w:r>
      <w:r w:rsidR="006E0D62">
        <w:rPr>
          <w:rFonts w:ascii="Times New Roman" w:eastAsia="Calibri" w:hAnsi="Times New Roman" w:cs="Times New Roman"/>
          <w:sz w:val="24"/>
          <w:szCs w:val="24"/>
        </w:rPr>
        <w:t>,</w:t>
      </w:r>
      <w:r>
        <w:rPr>
          <w:rFonts w:ascii="Times New Roman" w:eastAsia="Calibri" w:hAnsi="Times New Roman" w:cs="Times New Roman"/>
          <w:sz w:val="24"/>
          <w:szCs w:val="24"/>
        </w:rPr>
        <w:t xml:space="preserve"> przyczynią się do zwiększenia bezpieczeństwa </w:t>
      </w:r>
      <w:r w:rsidRPr="002F57BF">
        <w:rPr>
          <w:rFonts w:ascii="Times New Roman" w:eastAsia="Calibri" w:hAnsi="Times New Roman" w:cs="Times New Roman"/>
          <w:sz w:val="24"/>
          <w:szCs w:val="24"/>
        </w:rPr>
        <w:t>państwa</w:t>
      </w:r>
      <w:r w:rsidR="002F57BF" w:rsidRPr="002F57BF">
        <w:rPr>
          <w:rFonts w:ascii="Times New Roman" w:eastAsia="Calibri" w:hAnsi="Times New Roman" w:cs="Times New Roman"/>
          <w:sz w:val="24"/>
          <w:szCs w:val="24"/>
        </w:rPr>
        <w:t xml:space="preserve"> </w:t>
      </w:r>
      <w:r w:rsidR="002F57BF" w:rsidRPr="002F57BF">
        <w:rPr>
          <w:rFonts w:ascii="Times New Roman" w:hAnsi="Times New Roman"/>
          <w:sz w:val="24"/>
          <w:szCs w:val="24"/>
        </w:rPr>
        <w:t>w procesie związanym z relokacją lub przesiedleniem cudzoziemców na terytorium Rzeczypospolitej Polskiej</w:t>
      </w:r>
      <w:r w:rsidRPr="002F57BF">
        <w:rPr>
          <w:rFonts w:ascii="Times New Roman" w:eastAsia="Calibri" w:hAnsi="Times New Roman" w:cs="Times New Roman"/>
          <w:sz w:val="24"/>
          <w:szCs w:val="24"/>
        </w:rPr>
        <w:t>.</w:t>
      </w:r>
    </w:p>
    <w:p w:rsidR="00E34FCE" w:rsidRDefault="000F69C7" w:rsidP="00E34FCE">
      <w:pPr>
        <w:spacing w:after="12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Termin w</w:t>
      </w:r>
      <w:r w:rsidRPr="000F69C7">
        <w:rPr>
          <w:rFonts w:ascii="Times New Roman" w:eastAsia="Calibri" w:hAnsi="Times New Roman" w:cs="Times New Roman"/>
          <w:sz w:val="24"/>
          <w:szCs w:val="24"/>
        </w:rPr>
        <w:t>ejści</w:t>
      </w:r>
      <w:r w:rsidR="00802890">
        <w:rPr>
          <w:rFonts w:ascii="Times New Roman" w:eastAsia="Calibri" w:hAnsi="Times New Roman" w:cs="Times New Roman"/>
          <w:sz w:val="24"/>
          <w:szCs w:val="24"/>
        </w:rPr>
        <w:t>a</w:t>
      </w:r>
      <w:r w:rsidRPr="000F69C7">
        <w:rPr>
          <w:rFonts w:ascii="Times New Roman" w:eastAsia="Calibri" w:hAnsi="Times New Roman" w:cs="Times New Roman"/>
          <w:sz w:val="24"/>
          <w:szCs w:val="24"/>
        </w:rPr>
        <w:t xml:space="preserve"> w życie projektowanej ustawy proponuje się </w:t>
      </w:r>
      <w:r>
        <w:rPr>
          <w:rFonts w:ascii="Times New Roman" w:eastAsia="Calibri" w:hAnsi="Times New Roman" w:cs="Times New Roman"/>
          <w:sz w:val="24"/>
          <w:szCs w:val="24"/>
        </w:rPr>
        <w:t xml:space="preserve">ustalić </w:t>
      </w:r>
      <w:r w:rsidR="003777ED">
        <w:rPr>
          <w:rFonts w:ascii="Times New Roman" w:eastAsia="Calibri" w:hAnsi="Times New Roman" w:cs="Times New Roman"/>
          <w:sz w:val="24"/>
          <w:szCs w:val="24"/>
        </w:rPr>
        <w:t xml:space="preserve">na </w:t>
      </w:r>
      <w:r w:rsidR="0026482F">
        <w:rPr>
          <w:rFonts w:ascii="Times New Roman" w:eastAsia="Calibri" w:hAnsi="Times New Roman" w:cs="Times New Roman"/>
          <w:sz w:val="24"/>
          <w:szCs w:val="24"/>
        </w:rPr>
        <w:t>14 dni od dnia ogłoszenia.</w:t>
      </w:r>
    </w:p>
    <w:p w:rsidR="00E34FCE" w:rsidRDefault="00F16FFF" w:rsidP="00E34FCE">
      <w:pPr>
        <w:spacing w:after="12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Projekt </w:t>
      </w:r>
      <w:r w:rsidRPr="00F16FFF">
        <w:rPr>
          <w:rFonts w:ascii="Times New Roman" w:hAnsi="Times New Roman" w:cs="Times New Roman"/>
          <w:sz w:val="24"/>
          <w:szCs w:val="24"/>
        </w:rPr>
        <w:t>ustawy</w:t>
      </w:r>
      <w:r w:rsidR="007A737C" w:rsidRPr="007A737C">
        <w:rPr>
          <w:rFonts w:ascii="Times New Roman" w:hAnsi="Times New Roman" w:cs="Times New Roman"/>
          <w:sz w:val="24"/>
          <w:szCs w:val="24"/>
        </w:rPr>
        <w:t xml:space="preserve"> </w:t>
      </w:r>
      <w:r w:rsidR="007A737C" w:rsidRPr="007A737C">
        <w:rPr>
          <w:rFonts w:ascii="Times New Roman" w:hAnsi="Times New Roman" w:cs="Times New Roman"/>
          <w:bCs/>
          <w:sz w:val="24"/>
          <w:szCs w:val="24"/>
        </w:rPr>
        <w:t xml:space="preserve">jest zgodny z prawem </w:t>
      </w:r>
      <w:r w:rsidR="007A737C" w:rsidRPr="007A737C">
        <w:rPr>
          <w:rFonts w:ascii="Times New Roman" w:hAnsi="Times New Roman" w:cs="Times New Roman"/>
          <w:sz w:val="24"/>
          <w:szCs w:val="24"/>
        </w:rPr>
        <w:t>Unii Europejskiej.</w:t>
      </w:r>
    </w:p>
    <w:p w:rsidR="00E34FCE" w:rsidRDefault="007A737C" w:rsidP="00E34FCE">
      <w:pPr>
        <w:spacing w:after="120" w:line="360" w:lineRule="auto"/>
        <w:ind w:firstLine="567"/>
        <w:jc w:val="both"/>
        <w:rPr>
          <w:rFonts w:ascii="Times New Roman" w:hAnsi="Times New Roman" w:cs="Times New Roman"/>
          <w:sz w:val="24"/>
          <w:szCs w:val="24"/>
        </w:rPr>
      </w:pPr>
      <w:r w:rsidRPr="007A737C">
        <w:rPr>
          <w:rFonts w:ascii="Times New Roman" w:hAnsi="Times New Roman" w:cs="Times New Roman"/>
          <w:sz w:val="24"/>
          <w:szCs w:val="24"/>
        </w:rPr>
        <w:t xml:space="preserve">Projekt </w:t>
      </w:r>
      <w:r w:rsidR="00F16FFF" w:rsidRPr="00F16FFF">
        <w:rPr>
          <w:rFonts w:ascii="Times New Roman" w:hAnsi="Times New Roman" w:cs="Times New Roman"/>
          <w:sz w:val="24"/>
          <w:szCs w:val="24"/>
        </w:rPr>
        <w:t>ustawy</w:t>
      </w:r>
      <w:r w:rsidRPr="007A737C">
        <w:rPr>
          <w:rFonts w:ascii="Times New Roman" w:hAnsi="Times New Roman" w:cs="Times New Roman"/>
          <w:sz w:val="24"/>
          <w:szCs w:val="24"/>
        </w:rPr>
        <w:t xml:space="preserve"> nie zawiera przepisów technicznych, a zatem nie podlega obowiązkowi notyfikacji, zgodnie z trybem przewidzianym w przepisach </w:t>
      </w:r>
      <w:r w:rsidR="00F06C03">
        <w:rPr>
          <w:rFonts w:ascii="Times New Roman" w:hAnsi="Times New Roman" w:cs="Times New Roman"/>
          <w:sz w:val="24"/>
          <w:szCs w:val="24"/>
        </w:rPr>
        <w:t>rozporządzenia Rady Ministrów z </w:t>
      </w:r>
      <w:r w:rsidRPr="007A737C">
        <w:rPr>
          <w:rFonts w:ascii="Times New Roman" w:hAnsi="Times New Roman" w:cs="Times New Roman"/>
          <w:sz w:val="24"/>
          <w:szCs w:val="24"/>
        </w:rPr>
        <w:t xml:space="preserve">dnia 23 grudnia 2002 r. w sprawie sposobu funkcjonowania krajowego systemu notyfikacji norm i aktów prawnych </w:t>
      </w:r>
      <w:r w:rsidRPr="007A737C">
        <w:rPr>
          <w:rFonts w:ascii="Times New Roman" w:hAnsi="Times New Roman" w:cs="Times New Roman"/>
          <w:bCs/>
          <w:sz w:val="24"/>
          <w:szCs w:val="24"/>
        </w:rPr>
        <w:t>(Dz. U. Nr 239, poz. 2039 oraz z 2004 r. Nr 65, poz. 597)</w:t>
      </w:r>
      <w:r w:rsidRPr="007A737C">
        <w:rPr>
          <w:rFonts w:ascii="Times New Roman" w:hAnsi="Times New Roman" w:cs="Times New Roman"/>
          <w:sz w:val="24"/>
          <w:szCs w:val="24"/>
        </w:rPr>
        <w:t>.</w:t>
      </w:r>
    </w:p>
    <w:p w:rsidR="00617701" w:rsidRDefault="00F16FFF" w:rsidP="00E34FCE">
      <w:pPr>
        <w:spacing w:after="12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Projekt </w:t>
      </w:r>
      <w:r w:rsidRPr="00F16FFF">
        <w:rPr>
          <w:rFonts w:ascii="Times New Roman" w:hAnsi="Times New Roman" w:cs="Times New Roman"/>
          <w:sz w:val="24"/>
          <w:szCs w:val="24"/>
        </w:rPr>
        <w:t xml:space="preserve">ustawy </w:t>
      </w:r>
      <w:r w:rsidR="007A737C" w:rsidRPr="007A737C">
        <w:rPr>
          <w:rFonts w:ascii="Times New Roman" w:hAnsi="Times New Roman" w:cs="Times New Roman"/>
          <w:sz w:val="24"/>
          <w:szCs w:val="24"/>
        </w:rPr>
        <w:t>nie wymaga przedłożenia właściwym instytucjom i organom Unii Europejskiej lub Europejskiemu Bankowi Centralnemu w celu uzyskania opinii, dokonania konsultacji lub uzgodnienia.</w:t>
      </w:r>
    </w:p>
    <w:p w:rsidR="00E34FCE" w:rsidRDefault="00E34FCE" w:rsidP="00E34FCE">
      <w:pPr>
        <w:spacing w:after="120" w:line="360" w:lineRule="auto"/>
        <w:jc w:val="both"/>
        <w:rPr>
          <w:rFonts w:ascii="Times New Roman" w:hAnsi="Times New Roman" w:cs="Times New Roman"/>
          <w:sz w:val="24"/>
          <w:szCs w:val="24"/>
        </w:rPr>
        <w:sectPr w:rsidR="00E34FCE" w:rsidSect="00E34FCE">
          <w:footerReference w:type="default" r:id="rId9"/>
          <w:pgSz w:w="11906" w:h="16838"/>
          <w:pgMar w:top="1417" w:right="1417" w:bottom="1417" w:left="1417" w:header="708" w:footer="708" w:gutter="0"/>
          <w:cols w:space="708"/>
          <w:titlePg/>
          <w:docGrid w:linePitch="360"/>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142"/>
        <w:gridCol w:w="345"/>
        <w:gridCol w:w="250"/>
        <w:gridCol w:w="114"/>
        <w:gridCol w:w="567"/>
        <w:gridCol w:w="425"/>
        <w:gridCol w:w="284"/>
        <w:gridCol w:w="618"/>
        <w:gridCol w:w="90"/>
        <w:gridCol w:w="721"/>
        <w:gridCol w:w="130"/>
        <w:gridCol w:w="283"/>
        <w:gridCol w:w="522"/>
        <w:gridCol w:w="809"/>
        <w:gridCol w:w="370"/>
        <w:gridCol w:w="438"/>
        <w:gridCol w:w="555"/>
        <w:gridCol w:w="255"/>
        <w:gridCol w:w="28"/>
        <w:gridCol w:w="780"/>
        <w:gridCol w:w="1794"/>
        <w:gridCol w:w="9"/>
      </w:tblGrid>
      <w:tr w:rsidR="00E34FCE" w:rsidRPr="006E0D62" w:rsidTr="005277E4">
        <w:trPr>
          <w:gridAfter w:val="1"/>
          <w:wAfter w:w="9" w:type="dxa"/>
          <w:trHeight w:val="1611"/>
        </w:trPr>
        <w:tc>
          <w:tcPr>
            <w:tcW w:w="5909" w:type="dxa"/>
            <w:gridSpan w:val="14"/>
          </w:tcPr>
          <w:p w:rsidR="00E34FCE" w:rsidRPr="006E0D62" w:rsidRDefault="00E34FCE" w:rsidP="00E34FCE">
            <w:pPr>
              <w:spacing w:before="60" w:after="60" w:line="240" w:lineRule="auto"/>
              <w:rPr>
                <w:rFonts w:ascii="Times New Roman" w:eastAsia="Calibri" w:hAnsi="Times New Roman" w:cs="Times New Roman"/>
                <w:color w:val="000000"/>
              </w:rPr>
            </w:pPr>
            <w:bookmarkStart w:id="1" w:name="t1"/>
            <w:r w:rsidRPr="006E0D62">
              <w:rPr>
                <w:rFonts w:ascii="Times New Roman" w:eastAsia="Calibri" w:hAnsi="Times New Roman" w:cs="Times New Roman"/>
                <w:b/>
                <w:color w:val="000000"/>
              </w:rPr>
              <w:t>Nazwa projektu</w:t>
            </w:r>
          </w:p>
          <w:p w:rsidR="00E34FCE" w:rsidRPr="006E0D62" w:rsidRDefault="00E34FCE" w:rsidP="00E34FCE">
            <w:pPr>
              <w:spacing w:before="60" w:after="60" w:line="240" w:lineRule="auto"/>
              <w:rPr>
                <w:rFonts w:ascii="Times New Roman" w:eastAsia="Calibri" w:hAnsi="Times New Roman" w:cs="Times New Roman"/>
                <w:color w:val="000000"/>
              </w:rPr>
            </w:pPr>
            <w:r w:rsidRPr="006E0D62">
              <w:rPr>
                <w:rFonts w:ascii="Times New Roman" w:eastAsia="Calibri" w:hAnsi="Times New Roman" w:cs="Times New Roman"/>
              </w:rPr>
              <w:t>Projekt ustawy o zmianie ustawy o udzielaniu cudzoziemcom ochrony na terytorium Rzeczypospolitej Polskiej</w:t>
            </w:r>
          </w:p>
          <w:p w:rsidR="00E34FCE" w:rsidRPr="006E0D62" w:rsidRDefault="00E34FCE" w:rsidP="00E34FCE">
            <w:pPr>
              <w:spacing w:before="60" w:after="60" w:line="240" w:lineRule="auto"/>
              <w:rPr>
                <w:rFonts w:ascii="Times New Roman" w:eastAsia="Calibri" w:hAnsi="Times New Roman" w:cs="Times New Roman"/>
                <w:b/>
                <w:color w:val="000000"/>
              </w:rPr>
            </w:pPr>
          </w:p>
          <w:p w:rsidR="00E34FCE" w:rsidRPr="006E0D62" w:rsidRDefault="00E34FCE" w:rsidP="00E34FCE">
            <w:pPr>
              <w:spacing w:before="60" w:after="60" w:line="240" w:lineRule="auto"/>
              <w:rPr>
                <w:rFonts w:ascii="Times New Roman" w:eastAsia="Calibri" w:hAnsi="Times New Roman" w:cs="Times New Roman"/>
                <w:b/>
                <w:color w:val="000000"/>
              </w:rPr>
            </w:pPr>
            <w:r w:rsidRPr="006E0D62">
              <w:rPr>
                <w:rFonts w:ascii="Times New Roman" w:eastAsia="Calibri" w:hAnsi="Times New Roman" w:cs="Times New Roman"/>
                <w:b/>
                <w:color w:val="000000"/>
              </w:rPr>
              <w:t>Ministerstwo wiodące i ministerstwa współpracujące</w:t>
            </w:r>
          </w:p>
          <w:bookmarkEnd w:id="1"/>
          <w:p w:rsidR="00E34FCE" w:rsidRPr="006E0D62" w:rsidRDefault="00E34FCE" w:rsidP="00E34FCE">
            <w:pPr>
              <w:spacing w:before="60" w:after="6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t>Ministerstwo Spraw Wewnętrznych i Administracji</w:t>
            </w:r>
          </w:p>
          <w:p w:rsidR="00E34FCE" w:rsidRPr="006E0D62" w:rsidRDefault="00E34FCE" w:rsidP="00E34FCE">
            <w:pPr>
              <w:spacing w:before="60" w:after="60" w:line="240" w:lineRule="auto"/>
              <w:rPr>
                <w:rFonts w:ascii="Times New Roman" w:eastAsia="Calibri" w:hAnsi="Times New Roman" w:cs="Times New Roman"/>
                <w:b/>
                <w:sz w:val="21"/>
                <w:szCs w:val="24"/>
              </w:rPr>
            </w:pPr>
          </w:p>
          <w:p w:rsidR="00E34FCE" w:rsidRPr="006E0D62" w:rsidRDefault="00E34FCE" w:rsidP="00E34FCE">
            <w:pPr>
              <w:spacing w:before="60" w:after="60" w:line="240" w:lineRule="auto"/>
              <w:rPr>
                <w:rFonts w:ascii="Times New Roman" w:eastAsia="Calibri" w:hAnsi="Times New Roman" w:cs="Times New Roman"/>
                <w:b/>
                <w:sz w:val="21"/>
                <w:szCs w:val="21"/>
              </w:rPr>
            </w:pPr>
            <w:r w:rsidRPr="006E0D62">
              <w:rPr>
                <w:rFonts w:ascii="Times New Roman" w:eastAsia="Calibri" w:hAnsi="Times New Roman" w:cs="Times New Roman"/>
                <w:b/>
                <w:sz w:val="21"/>
                <w:szCs w:val="24"/>
              </w:rPr>
              <w:t>Osoba odpowiedzialna za projekt w randze Ministra, Sekretarza Stanu lub Podsekretarza Stanu</w:t>
            </w:r>
            <w:r w:rsidRPr="006E0D62">
              <w:rPr>
                <w:rFonts w:ascii="Times New Roman" w:eastAsia="Calibri" w:hAnsi="Times New Roman" w:cs="Times New Roman"/>
                <w:b/>
                <w:sz w:val="21"/>
                <w:szCs w:val="21"/>
              </w:rPr>
              <w:t xml:space="preserve"> </w:t>
            </w:r>
          </w:p>
          <w:p w:rsidR="00E34FCE" w:rsidRPr="006E0D62" w:rsidRDefault="00E34FCE" w:rsidP="00E34FCE">
            <w:pPr>
              <w:spacing w:before="60" w:after="60" w:line="240" w:lineRule="auto"/>
              <w:rPr>
                <w:rFonts w:ascii="Times New Roman" w:eastAsia="Calibri" w:hAnsi="Times New Roman" w:cs="Times New Roman"/>
              </w:rPr>
            </w:pPr>
            <w:r w:rsidRPr="006E0D62">
              <w:rPr>
                <w:rFonts w:ascii="Times New Roman" w:eastAsia="Calibri" w:hAnsi="Times New Roman" w:cs="Times New Roman"/>
              </w:rPr>
              <w:t>Jakub Skiba – Sekretarz Stanu</w:t>
            </w:r>
          </w:p>
          <w:p w:rsidR="00E34FCE" w:rsidRPr="006E0D62" w:rsidRDefault="00E34FCE" w:rsidP="00E34FCE">
            <w:pPr>
              <w:spacing w:before="60" w:after="60" w:line="240" w:lineRule="auto"/>
              <w:rPr>
                <w:rFonts w:ascii="Times New Roman" w:eastAsia="Calibri" w:hAnsi="Times New Roman" w:cs="Times New Roman"/>
                <w:b/>
                <w:color w:val="000000"/>
              </w:rPr>
            </w:pPr>
          </w:p>
          <w:p w:rsidR="00E34FCE" w:rsidRPr="006E0D62" w:rsidRDefault="00E34FCE" w:rsidP="00E34FCE">
            <w:pPr>
              <w:spacing w:before="60" w:after="60" w:line="240" w:lineRule="auto"/>
              <w:rPr>
                <w:rFonts w:ascii="Times New Roman" w:eastAsia="Calibri" w:hAnsi="Times New Roman" w:cs="Times New Roman"/>
                <w:b/>
                <w:color w:val="000000"/>
              </w:rPr>
            </w:pPr>
            <w:r w:rsidRPr="006E0D62">
              <w:rPr>
                <w:rFonts w:ascii="Times New Roman" w:eastAsia="Calibri" w:hAnsi="Times New Roman" w:cs="Times New Roman"/>
                <w:b/>
                <w:color w:val="000000"/>
              </w:rPr>
              <w:t>Kontakt do opiekuna merytorycznego projektu</w:t>
            </w:r>
          </w:p>
          <w:p w:rsidR="00E34FCE" w:rsidRPr="006E0D62" w:rsidRDefault="00E34FCE" w:rsidP="00E34FCE">
            <w:pPr>
              <w:spacing w:before="60" w:after="60" w:line="240" w:lineRule="auto"/>
              <w:rPr>
                <w:rFonts w:ascii="Times New Roman" w:eastAsia="Calibri" w:hAnsi="Times New Roman" w:cs="Times New Roman"/>
              </w:rPr>
            </w:pPr>
            <w:r w:rsidRPr="006E0D62">
              <w:rPr>
                <w:rFonts w:ascii="Times New Roman" w:eastAsia="Calibri" w:hAnsi="Times New Roman" w:cs="Times New Roman"/>
              </w:rPr>
              <w:t xml:space="preserve">Andrzej Karpiak </w:t>
            </w:r>
          </w:p>
          <w:p w:rsidR="00E34FCE" w:rsidRPr="006E0D62" w:rsidRDefault="00E34FCE" w:rsidP="00E34FCE">
            <w:pPr>
              <w:spacing w:before="60" w:after="60" w:line="240" w:lineRule="auto"/>
              <w:rPr>
                <w:rFonts w:ascii="Times New Roman" w:eastAsia="Calibri" w:hAnsi="Times New Roman" w:cs="Times New Roman"/>
              </w:rPr>
            </w:pPr>
            <w:r w:rsidRPr="006E0D62">
              <w:rPr>
                <w:rFonts w:ascii="Times New Roman" w:eastAsia="Calibri" w:hAnsi="Times New Roman" w:cs="Times New Roman"/>
              </w:rPr>
              <w:t>Dyrektor Departamentu Postępowań Uchodźczych</w:t>
            </w:r>
          </w:p>
          <w:p w:rsidR="00E34FCE" w:rsidRPr="006E0D62" w:rsidRDefault="00E34FCE" w:rsidP="00E34FCE">
            <w:pPr>
              <w:spacing w:before="60" w:after="60" w:line="240" w:lineRule="auto"/>
              <w:rPr>
                <w:rFonts w:ascii="Times New Roman" w:eastAsia="Calibri" w:hAnsi="Times New Roman" w:cs="Times New Roman"/>
              </w:rPr>
            </w:pPr>
            <w:r w:rsidRPr="006E0D62">
              <w:rPr>
                <w:rFonts w:ascii="Times New Roman" w:eastAsia="Calibri" w:hAnsi="Times New Roman" w:cs="Times New Roman"/>
              </w:rPr>
              <w:t xml:space="preserve">Urząd do Spraw Cudzoziemców </w:t>
            </w:r>
          </w:p>
          <w:p w:rsidR="00E34FCE" w:rsidRPr="006E0D62" w:rsidRDefault="00E34FCE" w:rsidP="00E34FCE">
            <w:pPr>
              <w:spacing w:before="60" w:after="60" w:line="240" w:lineRule="auto"/>
              <w:rPr>
                <w:rFonts w:ascii="Times New Roman" w:eastAsia="Calibri" w:hAnsi="Times New Roman" w:cs="Times New Roman"/>
              </w:rPr>
            </w:pPr>
            <w:r w:rsidRPr="006E0D62">
              <w:rPr>
                <w:rFonts w:ascii="Times New Roman" w:eastAsia="Calibri" w:hAnsi="Times New Roman" w:cs="Times New Roman"/>
              </w:rPr>
              <w:t xml:space="preserve">tel. 22 6017407 </w:t>
            </w:r>
          </w:p>
          <w:p w:rsidR="00E34FCE" w:rsidRPr="006E0D62" w:rsidRDefault="00E34FCE" w:rsidP="00E34FCE">
            <w:pPr>
              <w:spacing w:before="60" w:after="60" w:line="240" w:lineRule="auto"/>
              <w:rPr>
                <w:rFonts w:ascii="Times New Roman" w:eastAsia="Calibri" w:hAnsi="Times New Roman" w:cs="Times New Roman"/>
                <w:color w:val="000000"/>
              </w:rPr>
            </w:pPr>
            <w:r w:rsidRPr="006E0D62">
              <w:rPr>
                <w:rFonts w:ascii="Times New Roman" w:eastAsia="Calibri" w:hAnsi="Times New Roman" w:cs="Times New Roman"/>
              </w:rPr>
              <w:t>Andrzej.Karpiak@udsc.gov.pl</w:t>
            </w:r>
          </w:p>
        </w:tc>
        <w:tc>
          <w:tcPr>
            <w:tcW w:w="5029" w:type="dxa"/>
            <w:gridSpan w:val="8"/>
            <w:shd w:val="clear" w:color="auto" w:fill="FFFFFF"/>
          </w:tcPr>
          <w:p w:rsidR="00E34FCE" w:rsidRPr="006E0D62" w:rsidRDefault="00E34FCE" w:rsidP="00E34FCE">
            <w:pPr>
              <w:spacing w:after="0" w:line="276" w:lineRule="auto"/>
              <w:rPr>
                <w:rFonts w:ascii="Times New Roman" w:eastAsia="Calibri" w:hAnsi="Times New Roman" w:cs="Times New Roman"/>
                <w:b/>
              </w:rPr>
            </w:pPr>
            <w:r w:rsidRPr="006E0D62">
              <w:rPr>
                <w:rFonts w:ascii="Times New Roman" w:eastAsia="Calibri" w:hAnsi="Times New Roman" w:cs="Times New Roman"/>
                <w:b/>
              </w:rPr>
              <w:t>Data sporządzenia</w:t>
            </w:r>
            <w:r w:rsidRPr="006E0D62">
              <w:rPr>
                <w:rFonts w:ascii="Times New Roman" w:eastAsia="Calibri" w:hAnsi="Times New Roman" w:cs="Times New Roman"/>
                <w:b/>
              </w:rPr>
              <w:br/>
            </w:r>
            <w:r w:rsidRPr="006E0D62">
              <w:rPr>
                <w:rFonts w:ascii="Times New Roman" w:eastAsia="Calibri" w:hAnsi="Times New Roman" w:cs="Times New Roman"/>
              </w:rPr>
              <w:t xml:space="preserve">15 lutego 2016 r. </w:t>
            </w:r>
          </w:p>
          <w:p w:rsidR="00E34FCE" w:rsidRPr="006E0D62" w:rsidRDefault="00E34FCE" w:rsidP="00E34FCE">
            <w:pPr>
              <w:spacing w:after="0" w:line="276" w:lineRule="auto"/>
              <w:rPr>
                <w:rFonts w:ascii="Times New Roman" w:eastAsia="Calibri" w:hAnsi="Times New Roman" w:cs="Times New Roman"/>
                <w:b/>
              </w:rPr>
            </w:pPr>
          </w:p>
          <w:p w:rsidR="00E34FCE" w:rsidRPr="006E0D62" w:rsidRDefault="00E34FCE" w:rsidP="00E34FCE">
            <w:pPr>
              <w:spacing w:after="0" w:line="276" w:lineRule="auto"/>
              <w:rPr>
                <w:rFonts w:ascii="Times New Roman" w:eastAsia="Calibri" w:hAnsi="Times New Roman" w:cs="Times New Roman"/>
                <w:b/>
              </w:rPr>
            </w:pPr>
            <w:bookmarkStart w:id="2" w:name="Lista1"/>
            <w:r w:rsidRPr="006E0D62">
              <w:rPr>
                <w:rFonts w:ascii="Times New Roman" w:eastAsia="Calibri" w:hAnsi="Times New Roman" w:cs="Times New Roman"/>
                <w:b/>
              </w:rPr>
              <w:t>Źródło</w:t>
            </w:r>
          </w:p>
          <w:bookmarkEnd w:id="2"/>
          <w:p w:rsidR="00E34FCE" w:rsidRPr="006E0D62" w:rsidRDefault="00E34FCE" w:rsidP="00E34FCE">
            <w:pPr>
              <w:spacing w:after="0" w:line="276" w:lineRule="auto"/>
              <w:rPr>
                <w:rFonts w:ascii="Times New Roman" w:eastAsia="Calibri" w:hAnsi="Times New Roman" w:cs="Times New Roman"/>
              </w:rPr>
            </w:pPr>
          </w:p>
          <w:p w:rsidR="00E34FCE" w:rsidRPr="006E0D62" w:rsidRDefault="00E34FCE" w:rsidP="00E34FCE">
            <w:pPr>
              <w:spacing w:after="0" w:line="276" w:lineRule="auto"/>
              <w:rPr>
                <w:rFonts w:ascii="Times New Roman" w:eastAsia="Calibri" w:hAnsi="Times New Roman" w:cs="Times New Roman"/>
              </w:rPr>
            </w:pPr>
          </w:p>
          <w:p w:rsidR="00E34FCE" w:rsidRPr="006E0D62" w:rsidRDefault="00E34FCE" w:rsidP="00E34FCE">
            <w:pPr>
              <w:spacing w:before="120" w:after="0" w:line="276" w:lineRule="auto"/>
              <w:rPr>
                <w:rFonts w:ascii="Times New Roman" w:eastAsia="Calibri" w:hAnsi="Times New Roman" w:cs="Times New Roman"/>
                <w:color w:val="000000"/>
              </w:rPr>
            </w:pPr>
            <w:r w:rsidRPr="006E0D62">
              <w:rPr>
                <w:rFonts w:ascii="Times New Roman" w:eastAsia="Calibri" w:hAnsi="Times New Roman" w:cs="Times New Roman"/>
                <w:b/>
                <w:color w:val="000000"/>
              </w:rPr>
              <w:t>Nr w wykazie prac – UD21</w:t>
            </w:r>
          </w:p>
          <w:p w:rsidR="00E34FCE" w:rsidRPr="006E0D62" w:rsidRDefault="00E34FCE" w:rsidP="00E34FCE">
            <w:pPr>
              <w:spacing w:after="0" w:line="276" w:lineRule="auto"/>
              <w:rPr>
                <w:rFonts w:ascii="Times New Roman" w:eastAsia="Calibri" w:hAnsi="Times New Roman" w:cs="Times New Roman"/>
                <w:color w:val="000000"/>
              </w:rPr>
            </w:pPr>
          </w:p>
          <w:p w:rsidR="00E34FCE" w:rsidRPr="006E0D62" w:rsidRDefault="00E34FCE" w:rsidP="00E34FCE">
            <w:pPr>
              <w:spacing w:after="0" w:line="276" w:lineRule="auto"/>
              <w:rPr>
                <w:rFonts w:ascii="Times New Roman" w:eastAsia="Calibri" w:hAnsi="Times New Roman" w:cs="Times New Roman"/>
                <w:color w:val="000000"/>
                <w:sz w:val="28"/>
                <w:szCs w:val="28"/>
              </w:rPr>
            </w:pPr>
          </w:p>
        </w:tc>
      </w:tr>
      <w:tr w:rsidR="00E34FCE" w:rsidRPr="006E0D62" w:rsidTr="005277E4">
        <w:trPr>
          <w:gridAfter w:val="1"/>
          <w:wAfter w:w="9" w:type="dxa"/>
          <w:trHeight w:val="142"/>
        </w:trPr>
        <w:tc>
          <w:tcPr>
            <w:tcW w:w="10938" w:type="dxa"/>
            <w:gridSpan w:val="22"/>
            <w:shd w:val="clear" w:color="auto" w:fill="99CCFF"/>
          </w:tcPr>
          <w:p w:rsidR="00E34FCE" w:rsidRPr="006E0D62" w:rsidRDefault="00E34FCE" w:rsidP="00E34FCE">
            <w:pPr>
              <w:spacing w:after="0" w:line="240" w:lineRule="auto"/>
              <w:ind w:left="57"/>
              <w:jc w:val="center"/>
              <w:rPr>
                <w:rFonts w:ascii="Times New Roman" w:eastAsia="Calibri" w:hAnsi="Times New Roman" w:cs="Times New Roman"/>
                <w:b/>
                <w:color w:val="FFFFFF"/>
                <w:sz w:val="32"/>
                <w:szCs w:val="32"/>
              </w:rPr>
            </w:pPr>
            <w:r w:rsidRPr="006E0D62">
              <w:rPr>
                <w:rFonts w:ascii="Times New Roman" w:eastAsia="Calibri" w:hAnsi="Times New Roman" w:cs="Times New Roman"/>
                <w:b/>
                <w:color w:val="FFFFFF"/>
                <w:sz w:val="32"/>
                <w:szCs w:val="32"/>
              </w:rPr>
              <w:t>OCENA SKUTKÓW REGULACJI</w:t>
            </w:r>
          </w:p>
        </w:tc>
      </w:tr>
      <w:tr w:rsidR="00E34FCE" w:rsidRPr="006E0D62" w:rsidTr="005277E4">
        <w:trPr>
          <w:gridAfter w:val="1"/>
          <w:wAfter w:w="9" w:type="dxa"/>
          <w:trHeight w:val="333"/>
        </w:trPr>
        <w:tc>
          <w:tcPr>
            <w:tcW w:w="10938" w:type="dxa"/>
            <w:gridSpan w:val="22"/>
            <w:shd w:val="clear" w:color="auto" w:fill="99CCFF"/>
            <w:vAlign w:val="center"/>
          </w:tcPr>
          <w:p w:rsidR="00E34FCE" w:rsidRPr="006E0D62" w:rsidRDefault="00E34FCE" w:rsidP="00E34FCE">
            <w:pPr>
              <w:numPr>
                <w:ilvl w:val="0"/>
                <w:numId w:val="2"/>
              </w:numPr>
              <w:spacing w:before="60" w:after="60" w:line="240" w:lineRule="auto"/>
              <w:ind w:left="318" w:hanging="284"/>
              <w:jc w:val="both"/>
              <w:rPr>
                <w:rFonts w:ascii="Times New Roman" w:eastAsia="Calibri" w:hAnsi="Times New Roman" w:cs="Times New Roman"/>
                <w:b/>
                <w:color w:val="000000"/>
              </w:rPr>
            </w:pPr>
            <w:r w:rsidRPr="006E0D62">
              <w:rPr>
                <w:rFonts w:ascii="Times New Roman" w:eastAsia="Calibri" w:hAnsi="Times New Roman" w:cs="Times New Roman"/>
                <w:b/>
              </w:rPr>
              <w:t>Jaki problem jest rozwiązywany?</w:t>
            </w:r>
            <w:bookmarkStart w:id="3" w:name="Wybór1"/>
            <w:bookmarkEnd w:id="3"/>
          </w:p>
        </w:tc>
      </w:tr>
      <w:tr w:rsidR="00E34FCE" w:rsidRPr="006E0D62" w:rsidTr="005277E4">
        <w:trPr>
          <w:gridAfter w:val="1"/>
          <w:wAfter w:w="9" w:type="dxa"/>
          <w:trHeight w:val="142"/>
        </w:trPr>
        <w:tc>
          <w:tcPr>
            <w:tcW w:w="10938" w:type="dxa"/>
            <w:gridSpan w:val="22"/>
            <w:shd w:val="clear" w:color="auto" w:fill="FFFFFF"/>
          </w:tcPr>
          <w:p w:rsidR="00E34FCE" w:rsidRPr="006E0D62" w:rsidRDefault="00E34FCE" w:rsidP="006E0D62">
            <w:pPr>
              <w:tabs>
                <w:tab w:val="left" w:pos="567"/>
              </w:tabs>
              <w:spacing w:before="120" w:after="120" w:line="240" w:lineRule="auto"/>
              <w:jc w:val="both"/>
              <w:rPr>
                <w:rFonts w:ascii="Times New Roman" w:eastAsia="Calibri" w:hAnsi="Times New Roman" w:cs="Times New Roman"/>
                <w:color w:val="000000"/>
              </w:rPr>
            </w:pPr>
            <w:r w:rsidRPr="006E0D62">
              <w:rPr>
                <w:rFonts w:ascii="Times New Roman" w:eastAsia="Calibri" w:hAnsi="Times New Roman" w:cs="Times New Roman"/>
              </w:rPr>
              <w:t xml:space="preserve">Nowelizacja ustawy z dnia 13 czerwca 2003 r. o udzielaniu cudzoziemcom ochrony na terytorium Rzeczypospolitej Polskiej polega na dostosowaniu regulacji przyjętej w </w:t>
            </w:r>
            <w:r w:rsidRPr="006E0D62">
              <w:rPr>
                <w:rFonts w:ascii="Times New Roman" w:eastAsia="Calibri" w:hAnsi="Times New Roman" w:cs="Times New Roman"/>
                <w:lang w:val="x-none"/>
              </w:rPr>
              <w:t>ustaw</w:t>
            </w:r>
            <w:r w:rsidRPr="006E0D62">
              <w:rPr>
                <w:rFonts w:ascii="Times New Roman" w:eastAsia="Calibri" w:hAnsi="Times New Roman" w:cs="Times New Roman"/>
              </w:rPr>
              <w:t>ie</w:t>
            </w:r>
            <w:r w:rsidRPr="006E0D62">
              <w:rPr>
                <w:rFonts w:ascii="Times New Roman" w:eastAsia="Calibri" w:hAnsi="Times New Roman" w:cs="Times New Roman"/>
                <w:lang w:val="x-none"/>
              </w:rPr>
              <w:t xml:space="preserve"> z dnia 13 czerwca 2003 r. o udzielaniu cudzoziemcom ochrony na terytorium Rzeczypospolitej Polskiej (Dz. U. z 2012 r. poz. 680</w:t>
            </w:r>
            <w:r w:rsidRPr="006E0D62">
              <w:rPr>
                <w:rFonts w:ascii="Times New Roman" w:eastAsia="Calibri" w:hAnsi="Times New Roman" w:cs="Times New Roman"/>
              </w:rPr>
              <w:t>, z 2013 r. poz. 1650, z 2014 r. poz. 1004 oraz z 2015 r. poz. 1607</w:t>
            </w:r>
            <w:r w:rsidRPr="006E0D62">
              <w:rPr>
                <w:rFonts w:ascii="Times New Roman" w:eastAsia="Calibri" w:hAnsi="Times New Roman" w:cs="Times New Roman"/>
                <w:lang w:val="x-none"/>
              </w:rPr>
              <w:t>)</w:t>
            </w:r>
            <w:r w:rsidR="006E0D62" w:rsidRPr="006E0D62">
              <w:rPr>
                <w:rFonts w:ascii="Times New Roman" w:eastAsia="Calibri" w:hAnsi="Times New Roman" w:cs="Times New Roman"/>
              </w:rPr>
              <w:t>,</w:t>
            </w:r>
            <w:r w:rsidRPr="006E0D62">
              <w:rPr>
                <w:rFonts w:ascii="Times New Roman" w:eastAsia="Calibri" w:hAnsi="Times New Roman" w:cs="Times New Roman"/>
                <w:lang w:val="x-none"/>
              </w:rPr>
              <w:t xml:space="preserve"> </w:t>
            </w:r>
            <w:r w:rsidRPr="006E0D62">
              <w:rPr>
                <w:rFonts w:ascii="Times New Roman" w:eastAsia="Calibri" w:hAnsi="Times New Roman" w:cs="Times New Roman"/>
              </w:rPr>
              <w:t>w rozdziale 5a „.Przesiedlenia i relokacja”, do unormowań wynikających z decyzji Rady (UE) 2015/1523 z dnia 14 września 2015 r. ustanawiającej środki tymczasowe w obszarze ochrony międzynarodowej na rzecz Włoch i Grecji (Dz. Urz. UE L 239 z 15.09.2015, str. 146) oraz decyzji Rady (UE) 2015/1601 z dnia 22 września 2015 r. ustanawiającej środki tymczasowe w obszarze ochrony międzynarodowej na rzecz Włoch i Grecji (Dz. Urz. UE L 248 z 24.09.2015, str. 80), w celu zwiększenia możliwości zapewnienia bezpieczeństwa państwa w związku z</w:t>
            </w:r>
            <w:r w:rsidR="006E0D62">
              <w:rPr>
                <w:rFonts w:ascii="Times New Roman" w:eastAsia="Calibri" w:hAnsi="Times New Roman" w:cs="Times New Roman"/>
              </w:rPr>
              <w:t> </w:t>
            </w:r>
            <w:r w:rsidRPr="006E0D62">
              <w:rPr>
                <w:rFonts w:ascii="Times New Roman" w:eastAsia="Calibri" w:hAnsi="Times New Roman" w:cs="Times New Roman"/>
              </w:rPr>
              <w:t>wykonywaniem zadań w zakresie relokacji lub przesiedleń cudzoziemców na terytorium Rzeczypospolitej Polskiej.</w:t>
            </w:r>
          </w:p>
        </w:tc>
      </w:tr>
      <w:tr w:rsidR="00E34FCE" w:rsidRPr="006E0D62" w:rsidTr="005277E4">
        <w:trPr>
          <w:gridAfter w:val="1"/>
          <w:wAfter w:w="9" w:type="dxa"/>
          <w:trHeight w:val="142"/>
        </w:trPr>
        <w:tc>
          <w:tcPr>
            <w:tcW w:w="10938" w:type="dxa"/>
            <w:gridSpan w:val="22"/>
            <w:shd w:val="clear" w:color="auto" w:fill="99CCFF"/>
            <w:vAlign w:val="center"/>
          </w:tcPr>
          <w:p w:rsidR="00E34FCE" w:rsidRPr="006E0D62" w:rsidRDefault="00E34FCE" w:rsidP="00E34FCE">
            <w:pPr>
              <w:numPr>
                <w:ilvl w:val="0"/>
                <w:numId w:val="2"/>
              </w:numPr>
              <w:spacing w:before="60" w:after="60" w:line="240" w:lineRule="auto"/>
              <w:ind w:left="318" w:hanging="284"/>
              <w:jc w:val="both"/>
              <w:rPr>
                <w:rFonts w:ascii="Times New Roman" w:eastAsia="Calibri" w:hAnsi="Times New Roman" w:cs="Times New Roman"/>
                <w:b/>
                <w:color w:val="000000"/>
              </w:rPr>
            </w:pPr>
            <w:r w:rsidRPr="006E0D62">
              <w:rPr>
                <w:rFonts w:ascii="Times New Roman" w:eastAsia="Calibri" w:hAnsi="Times New Roman" w:cs="Times New Roman"/>
                <w:b/>
                <w:color w:val="000000"/>
              </w:rPr>
              <w:t>Rekomendowane rozwiązanie, w tym planowane narzędzia interwencji, i oczekiwany efekt</w:t>
            </w:r>
          </w:p>
        </w:tc>
      </w:tr>
      <w:tr w:rsidR="00E34FCE" w:rsidRPr="006E0D62" w:rsidTr="005277E4">
        <w:trPr>
          <w:gridAfter w:val="1"/>
          <w:wAfter w:w="9" w:type="dxa"/>
          <w:trHeight w:val="142"/>
        </w:trPr>
        <w:tc>
          <w:tcPr>
            <w:tcW w:w="10938" w:type="dxa"/>
            <w:gridSpan w:val="22"/>
            <w:shd w:val="clear" w:color="auto" w:fill="auto"/>
          </w:tcPr>
          <w:p w:rsidR="00E34FCE" w:rsidRPr="006E0D62" w:rsidRDefault="00E34FCE" w:rsidP="00E34FCE">
            <w:pPr>
              <w:spacing w:before="120" w:after="0" w:line="240" w:lineRule="auto"/>
              <w:jc w:val="both"/>
              <w:rPr>
                <w:rFonts w:ascii="Times New Roman" w:eastAsia="Calibri" w:hAnsi="Times New Roman" w:cs="Times New Roman"/>
              </w:rPr>
            </w:pPr>
            <w:r w:rsidRPr="006E0D62">
              <w:rPr>
                <w:rFonts w:ascii="Times New Roman" w:eastAsia="Calibri" w:hAnsi="Times New Roman" w:cs="Times New Roman"/>
              </w:rPr>
              <w:t>Sprawy, które będą uregulowane w przedmiotowym projekcie</w:t>
            </w:r>
            <w:r w:rsidR="006E0D62" w:rsidRPr="006E0D62">
              <w:rPr>
                <w:rFonts w:ascii="Times New Roman" w:eastAsia="Calibri" w:hAnsi="Times New Roman" w:cs="Times New Roman"/>
              </w:rPr>
              <w:t>,</w:t>
            </w:r>
            <w:r w:rsidRPr="006E0D62">
              <w:rPr>
                <w:rFonts w:ascii="Times New Roman" w:eastAsia="Calibri" w:hAnsi="Times New Roman" w:cs="Times New Roman"/>
              </w:rPr>
              <w:t xml:space="preserve"> wymagają regulacji na poziomie ustawowym.</w:t>
            </w:r>
          </w:p>
          <w:p w:rsidR="00E34FCE" w:rsidRPr="006E0D62" w:rsidRDefault="00E34FCE" w:rsidP="00E34FCE">
            <w:pPr>
              <w:tabs>
                <w:tab w:val="num" w:pos="0"/>
              </w:tabs>
              <w:spacing w:after="120" w:line="240" w:lineRule="auto"/>
              <w:jc w:val="both"/>
              <w:rPr>
                <w:rFonts w:ascii="Times New Roman" w:eastAsia="Calibri" w:hAnsi="Times New Roman" w:cs="Times New Roman"/>
              </w:rPr>
            </w:pPr>
            <w:r w:rsidRPr="006E0D62">
              <w:rPr>
                <w:rFonts w:ascii="Times New Roman" w:eastAsia="Calibri" w:hAnsi="Times New Roman" w:cs="Times New Roman"/>
              </w:rPr>
              <w:t>Projektowane zmiany polegają na wydłużeniu dotychczasowego terminu przewidzianego na przekazanie informacji, czy wjazd cudzoziemca na terytorium Rzeczypospolitej Polskiej i jego pobyt na tym terytorium mogą stanowić zagrożenie dla obronności lub bezpieczeństwa państwa lub ochrony bezpieczeństwa i porządku publicznego – z 7 dni od dnia otrzymania wniosku do 45 dni, z możliwością dalszego przedłużenia do 14 dni. Rezygnuje się z domniemania, iż w razie braku informacji ze strony właściwych organów uważa się, że wjazd cudzoziemca na terytorium Rzeczypospolitej Polskiej i jego pobyt na tym terytorium nie stanowią zagrożenia dla obronności lub bezpieczeństwa państwa lub ochrony bezpieczeństwa i porządku publicznego. Wprowadza się związanie Szefa Urzędu</w:t>
            </w:r>
            <w:r w:rsidR="006E0D62" w:rsidRPr="006E0D62">
              <w:rPr>
                <w:rFonts w:ascii="Times New Roman" w:eastAsia="Calibri" w:hAnsi="Times New Roman" w:cs="Times New Roman"/>
              </w:rPr>
              <w:t xml:space="preserve"> do Spraw Cudzoziemców</w:t>
            </w:r>
            <w:r w:rsidRPr="006E0D62">
              <w:rPr>
                <w:rFonts w:ascii="Times New Roman" w:eastAsia="Calibri" w:hAnsi="Times New Roman" w:cs="Times New Roman"/>
              </w:rPr>
              <w:t xml:space="preserve"> przekazaną mu przez właściwe organy informacją, że wjazd cudzoziemca na terytorium Rzeczypospolitej Polskiej może stanowić zagrożenie dla obronności lub bezpieczeństwa państwa lub ochrony bezpieczeństwa i porządku publicznego. Wprowadza się rozwiązanie, że obowiązek uzyskiwania informacji, czy wjazd cudzoziemca na terytorium Rzeczypospolitej Polskiej i jego pobyt na tym terytorium mogą stanowić zagrożenie dla obronności lub bezpieczeństwa państwa lub ochrony bezpieczeństwa i porządku publicznego</w:t>
            </w:r>
            <w:r w:rsidR="006E0D62" w:rsidRPr="006E0D62">
              <w:rPr>
                <w:rFonts w:ascii="Times New Roman" w:eastAsia="Calibri" w:hAnsi="Times New Roman" w:cs="Times New Roman"/>
              </w:rPr>
              <w:t>,</w:t>
            </w:r>
            <w:r w:rsidRPr="006E0D62">
              <w:rPr>
                <w:rFonts w:ascii="Times New Roman" w:eastAsia="Calibri" w:hAnsi="Times New Roman" w:cs="Times New Roman"/>
              </w:rPr>
              <w:t xml:space="preserve"> nie będzie dotyczył </w:t>
            </w:r>
            <w:r w:rsidRPr="006E0D62">
              <w:rPr>
                <w:rFonts w:ascii="Times New Roman" w:eastAsia="Calibri" w:hAnsi="Times New Roman" w:cs="Times New Roman"/>
                <w:color w:val="262626"/>
              </w:rPr>
              <w:t>cudzoziemca, który nie ukończył 13. roku życia.</w:t>
            </w:r>
          </w:p>
        </w:tc>
      </w:tr>
      <w:tr w:rsidR="00E34FCE" w:rsidRPr="006E0D62" w:rsidTr="005277E4">
        <w:trPr>
          <w:gridAfter w:val="1"/>
          <w:wAfter w:w="9" w:type="dxa"/>
          <w:trHeight w:val="307"/>
        </w:trPr>
        <w:tc>
          <w:tcPr>
            <w:tcW w:w="10938" w:type="dxa"/>
            <w:gridSpan w:val="22"/>
            <w:shd w:val="clear" w:color="auto" w:fill="99CCFF"/>
            <w:vAlign w:val="center"/>
          </w:tcPr>
          <w:p w:rsidR="00E34FCE" w:rsidRPr="006E0D62" w:rsidRDefault="00E34FCE" w:rsidP="00E34FCE">
            <w:pPr>
              <w:numPr>
                <w:ilvl w:val="0"/>
                <w:numId w:val="2"/>
              </w:numPr>
              <w:spacing w:before="60" w:after="60" w:line="240" w:lineRule="auto"/>
              <w:ind w:left="318" w:hanging="284"/>
              <w:jc w:val="both"/>
              <w:rPr>
                <w:rFonts w:ascii="Times New Roman" w:eastAsia="Calibri" w:hAnsi="Times New Roman" w:cs="Times New Roman"/>
                <w:b/>
                <w:color w:val="000000"/>
              </w:rPr>
            </w:pPr>
            <w:r w:rsidRPr="006E0D62">
              <w:rPr>
                <w:rFonts w:ascii="Times New Roman" w:eastAsia="Calibri" w:hAnsi="Times New Roman" w:cs="Times New Roman"/>
                <w:b/>
              </w:rPr>
              <w:t>Jak problem został rozwiązany w innych krajach, w szczególności krajach członkowskich OECD/UE</w:t>
            </w:r>
            <w:r w:rsidRPr="006E0D62">
              <w:rPr>
                <w:rFonts w:ascii="Times New Roman" w:eastAsia="Calibri" w:hAnsi="Times New Roman" w:cs="Times New Roman"/>
                <w:b/>
                <w:color w:val="000000"/>
              </w:rPr>
              <w:t>?</w:t>
            </w:r>
            <w:r w:rsidRPr="006E0D62">
              <w:rPr>
                <w:rFonts w:ascii="Times New Roman" w:eastAsia="Calibri" w:hAnsi="Times New Roman" w:cs="Times New Roman"/>
                <w:i/>
                <w:color w:val="000000"/>
              </w:rPr>
              <w:t xml:space="preserve"> </w:t>
            </w:r>
          </w:p>
        </w:tc>
      </w:tr>
      <w:tr w:rsidR="00E34FCE" w:rsidRPr="006E0D62" w:rsidTr="005277E4">
        <w:trPr>
          <w:gridAfter w:val="1"/>
          <w:wAfter w:w="9" w:type="dxa"/>
          <w:trHeight w:val="142"/>
        </w:trPr>
        <w:tc>
          <w:tcPr>
            <w:tcW w:w="10938" w:type="dxa"/>
            <w:gridSpan w:val="22"/>
            <w:shd w:val="clear" w:color="auto" w:fill="auto"/>
          </w:tcPr>
          <w:p w:rsidR="00E34FCE" w:rsidRPr="006E0D62" w:rsidRDefault="00E34FCE" w:rsidP="006E0D62">
            <w:pPr>
              <w:spacing w:before="120" w:after="120" w:line="240" w:lineRule="auto"/>
              <w:jc w:val="both"/>
              <w:rPr>
                <w:rFonts w:ascii="Times New Roman" w:eastAsia="Calibri" w:hAnsi="Times New Roman" w:cs="Times New Roman"/>
                <w:color w:val="000000"/>
              </w:rPr>
            </w:pPr>
            <w:r w:rsidRPr="006E0D62">
              <w:rPr>
                <w:rFonts w:ascii="Times New Roman" w:eastAsia="Calibri" w:hAnsi="Times New Roman" w:cs="Times New Roman"/>
              </w:rPr>
              <w:t>Projektowany akt normatywny dostosowuje polskie przepisy dotyczące przesiedleń i relokacji do rozwiązań przyjętych w aktach prawa unijnego</w:t>
            </w:r>
            <w:r w:rsidR="006E0D62" w:rsidRPr="006E0D62">
              <w:rPr>
                <w:rFonts w:ascii="Times New Roman" w:eastAsia="Calibri" w:hAnsi="Times New Roman" w:cs="Times New Roman"/>
              </w:rPr>
              <w:t>. D</w:t>
            </w:r>
            <w:r w:rsidRPr="006E0D62">
              <w:rPr>
                <w:rFonts w:ascii="Times New Roman" w:eastAsia="Calibri" w:hAnsi="Times New Roman" w:cs="Times New Roman"/>
              </w:rPr>
              <w:t>latego przedmiotowa ocena może odnosić się wyłącznie do państw członkowskich Unii Europejskiej. Jednak z uwagi na fakt, że akty unijne weszły niedawno w życie, brak jest miarodajnych informacji na temat sposobu ich wprowadzenia w innych państwach członkowskich.</w:t>
            </w:r>
          </w:p>
        </w:tc>
      </w:tr>
      <w:tr w:rsidR="00E34FCE" w:rsidRPr="006E0D62" w:rsidTr="005277E4">
        <w:trPr>
          <w:gridAfter w:val="1"/>
          <w:wAfter w:w="9" w:type="dxa"/>
          <w:trHeight w:val="359"/>
        </w:trPr>
        <w:tc>
          <w:tcPr>
            <w:tcW w:w="10938" w:type="dxa"/>
            <w:gridSpan w:val="22"/>
            <w:shd w:val="clear" w:color="auto" w:fill="99CCFF"/>
            <w:vAlign w:val="center"/>
          </w:tcPr>
          <w:p w:rsidR="00E34FCE" w:rsidRPr="006E0D62" w:rsidRDefault="00E34FCE" w:rsidP="00DC32FD">
            <w:pPr>
              <w:keepNext/>
              <w:numPr>
                <w:ilvl w:val="0"/>
                <w:numId w:val="2"/>
              </w:numPr>
              <w:spacing w:before="60" w:after="60" w:line="240" w:lineRule="auto"/>
              <w:ind w:left="318" w:hanging="284"/>
              <w:jc w:val="both"/>
              <w:rPr>
                <w:rFonts w:ascii="Times New Roman" w:eastAsia="Calibri" w:hAnsi="Times New Roman" w:cs="Times New Roman"/>
                <w:b/>
                <w:color w:val="000000"/>
              </w:rPr>
            </w:pPr>
            <w:r w:rsidRPr="006E0D62">
              <w:rPr>
                <w:rFonts w:ascii="Times New Roman" w:eastAsia="Calibri" w:hAnsi="Times New Roman" w:cs="Times New Roman"/>
                <w:b/>
                <w:color w:val="000000"/>
              </w:rPr>
              <w:t>Podmioty, na które oddziałuje projekt</w:t>
            </w:r>
          </w:p>
        </w:tc>
      </w:tr>
      <w:tr w:rsidR="00E34FCE" w:rsidRPr="006E0D62" w:rsidTr="006E0D62">
        <w:trPr>
          <w:gridAfter w:val="1"/>
          <w:wAfter w:w="9" w:type="dxa"/>
          <w:trHeight w:val="142"/>
        </w:trPr>
        <w:tc>
          <w:tcPr>
            <w:tcW w:w="2269" w:type="dxa"/>
            <w:gridSpan w:val="5"/>
            <w:shd w:val="clear" w:color="auto" w:fill="auto"/>
          </w:tcPr>
          <w:p w:rsidR="00E34FCE" w:rsidRPr="006E0D62" w:rsidRDefault="00E34FCE" w:rsidP="00DC32FD">
            <w:pPr>
              <w:keepNext/>
              <w:spacing w:before="40" w:after="0" w:line="240" w:lineRule="auto"/>
              <w:jc w:val="center"/>
              <w:rPr>
                <w:rFonts w:ascii="Times New Roman" w:eastAsia="Calibri" w:hAnsi="Times New Roman" w:cs="Times New Roman"/>
                <w:color w:val="000000"/>
              </w:rPr>
            </w:pPr>
            <w:r w:rsidRPr="006E0D62">
              <w:rPr>
                <w:rFonts w:ascii="Times New Roman" w:eastAsia="Calibri" w:hAnsi="Times New Roman" w:cs="Times New Roman"/>
                <w:color w:val="000000"/>
              </w:rPr>
              <w:t>Grupa</w:t>
            </w:r>
          </w:p>
        </w:tc>
        <w:tc>
          <w:tcPr>
            <w:tcW w:w="3118" w:type="dxa"/>
            <w:gridSpan w:val="8"/>
            <w:shd w:val="clear" w:color="auto" w:fill="auto"/>
          </w:tcPr>
          <w:p w:rsidR="00E34FCE" w:rsidRPr="006E0D62" w:rsidRDefault="00E34FCE" w:rsidP="00DC32FD">
            <w:pPr>
              <w:keepNext/>
              <w:spacing w:before="40" w:after="0" w:line="240" w:lineRule="auto"/>
              <w:jc w:val="center"/>
              <w:rPr>
                <w:rFonts w:ascii="Times New Roman" w:eastAsia="Calibri" w:hAnsi="Times New Roman" w:cs="Times New Roman"/>
                <w:color w:val="000000"/>
              </w:rPr>
            </w:pPr>
            <w:r w:rsidRPr="006E0D62">
              <w:rPr>
                <w:rFonts w:ascii="Times New Roman" w:eastAsia="Calibri" w:hAnsi="Times New Roman" w:cs="Times New Roman"/>
                <w:color w:val="000000"/>
              </w:rPr>
              <w:t>Wielkość</w:t>
            </w:r>
          </w:p>
        </w:tc>
        <w:tc>
          <w:tcPr>
            <w:tcW w:w="2977" w:type="dxa"/>
            <w:gridSpan w:val="7"/>
            <w:shd w:val="clear" w:color="auto" w:fill="auto"/>
          </w:tcPr>
          <w:p w:rsidR="00E34FCE" w:rsidRPr="006E0D62" w:rsidRDefault="00E34FCE" w:rsidP="00DC32FD">
            <w:pPr>
              <w:keepNext/>
              <w:spacing w:before="40" w:after="0" w:line="240" w:lineRule="auto"/>
              <w:jc w:val="center"/>
              <w:rPr>
                <w:rFonts w:ascii="Times New Roman" w:eastAsia="Calibri" w:hAnsi="Times New Roman" w:cs="Times New Roman"/>
                <w:color w:val="000000"/>
              </w:rPr>
            </w:pPr>
            <w:r w:rsidRPr="006E0D62">
              <w:rPr>
                <w:rFonts w:ascii="Times New Roman" w:eastAsia="Calibri" w:hAnsi="Times New Roman" w:cs="Times New Roman"/>
                <w:color w:val="000000"/>
              </w:rPr>
              <w:t>Źródło danych</w:t>
            </w:r>
            <w:r w:rsidRPr="006E0D62" w:rsidDel="00260F33">
              <w:rPr>
                <w:rFonts w:ascii="Times New Roman" w:eastAsia="Calibri" w:hAnsi="Times New Roman" w:cs="Times New Roman"/>
                <w:color w:val="000000"/>
              </w:rPr>
              <w:t xml:space="preserve"> </w:t>
            </w:r>
          </w:p>
        </w:tc>
        <w:tc>
          <w:tcPr>
            <w:tcW w:w="2574" w:type="dxa"/>
            <w:gridSpan w:val="2"/>
            <w:shd w:val="clear" w:color="auto" w:fill="auto"/>
          </w:tcPr>
          <w:p w:rsidR="00E34FCE" w:rsidRPr="006E0D62" w:rsidRDefault="00E34FCE" w:rsidP="00DC32FD">
            <w:pPr>
              <w:keepNext/>
              <w:spacing w:before="40" w:after="0" w:line="240" w:lineRule="auto"/>
              <w:jc w:val="center"/>
              <w:rPr>
                <w:rFonts w:ascii="Times New Roman" w:eastAsia="Calibri" w:hAnsi="Times New Roman" w:cs="Times New Roman"/>
                <w:color w:val="000000"/>
              </w:rPr>
            </w:pPr>
            <w:r w:rsidRPr="006E0D62">
              <w:rPr>
                <w:rFonts w:ascii="Times New Roman" w:eastAsia="Calibri" w:hAnsi="Times New Roman" w:cs="Times New Roman"/>
                <w:color w:val="000000"/>
              </w:rPr>
              <w:t>Oddziaływanie</w:t>
            </w:r>
          </w:p>
        </w:tc>
      </w:tr>
      <w:tr w:rsidR="00E34FCE" w:rsidRPr="006E0D62" w:rsidTr="006E0D62">
        <w:trPr>
          <w:gridAfter w:val="1"/>
          <w:wAfter w:w="9" w:type="dxa"/>
          <w:trHeight w:val="142"/>
        </w:trPr>
        <w:tc>
          <w:tcPr>
            <w:tcW w:w="2269" w:type="dxa"/>
            <w:gridSpan w:val="5"/>
            <w:shd w:val="clear" w:color="auto" w:fill="auto"/>
          </w:tcPr>
          <w:p w:rsidR="00E34FCE" w:rsidRPr="006E0D62" w:rsidRDefault="00E34FCE" w:rsidP="00E34FCE">
            <w:pPr>
              <w:widowControl w:val="0"/>
              <w:autoSpaceDE w:val="0"/>
              <w:autoSpaceDN w:val="0"/>
              <w:adjustRightInd w:val="0"/>
              <w:spacing w:after="60" w:line="240" w:lineRule="auto"/>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organy Policji</w:t>
            </w:r>
          </w:p>
          <w:p w:rsidR="00E34FCE" w:rsidRPr="006E0D62" w:rsidRDefault="00E34FCE" w:rsidP="00E34FCE">
            <w:pPr>
              <w:spacing w:after="0" w:line="240" w:lineRule="auto"/>
              <w:rPr>
                <w:rFonts w:ascii="Times New Roman" w:eastAsia="Calibri" w:hAnsi="Times New Roman" w:cs="Times New Roman"/>
              </w:rPr>
            </w:pPr>
          </w:p>
        </w:tc>
        <w:tc>
          <w:tcPr>
            <w:tcW w:w="3118" w:type="dxa"/>
            <w:gridSpan w:val="8"/>
            <w:shd w:val="clear" w:color="auto" w:fill="auto"/>
          </w:tcPr>
          <w:p w:rsidR="00E34FCE" w:rsidRPr="006E0D62" w:rsidRDefault="00E34FCE" w:rsidP="00E34FCE">
            <w:pPr>
              <w:spacing w:after="0" w:line="240" w:lineRule="auto"/>
              <w:rPr>
                <w:rFonts w:ascii="Times New Roman" w:eastAsia="Calibri" w:hAnsi="Times New Roman" w:cs="Times New Roman"/>
              </w:rPr>
            </w:pPr>
            <w:r w:rsidRPr="006E0D62">
              <w:rPr>
                <w:rFonts w:ascii="Times New Roman" w:eastAsia="Times New Roman" w:hAnsi="Times New Roman" w:cs="Times New Roman"/>
                <w:lang w:eastAsia="pl-PL"/>
              </w:rPr>
              <w:t xml:space="preserve">Komendant Główny Policji </w:t>
            </w:r>
          </w:p>
        </w:tc>
        <w:tc>
          <w:tcPr>
            <w:tcW w:w="2977" w:type="dxa"/>
            <w:gridSpan w:val="7"/>
            <w:shd w:val="clear" w:color="auto" w:fill="auto"/>
          </w:tcPr>
          <w:p w:rsidR="00E34FCE" w:rsidRPr="006E0D62" w:rsidRDefault="00E34FCE" w:rsidP="00E34FCE">
            <w:pPr>
              <w:spacing w:after="0" w:line="240" w:lineRule="auto"/>
              <w:rPr>
                <w:rFonts w:ascii="Times New Roman" w:eastAsia="Calibri" w:hAnsi="Times New Roman" w:cs="Times New Roman"/>
              </w:rPr>
            </w:pPr>
            <w:r w:rsidRPr="006E0D62">
              <w:rPr>
                <w:rFonts w:ascii="Times New Roman" w:eastAsia="Times New Roman" w:hAnsi="Times New Roman" w:cs="Times New Roman"/>
                <w:lang w:eastAsia="pl-PL"/>
              </w:rPr>
              <w:t>Ustawa z dnia 12 grudnia 2013 r. o cudzoziemcach (Dz. U. poz. 1650, z późn. zm.)</w:t>
            </w:r>
          </w:p>
        </w:tc>
        <w:tc>
          <w:tcPr>
            <w:tcW w:w="2574" w:type="dxa"/>
            <w:gridSpan w:val="2"/>
            <w:shd w:val="clear" w:color="auto" w:fill="auto"/>
          </w:tcPr>
          <w:p w:rsidR="00E34FCE" w:rsidRPr="006E0D62" w:rsidRDefault="00E34FCE" w:rsidP="00E34FCE">
            <w:pPr>
              <w:spacing w:after="0" w:line="240" w:lineRule="auto"/>
              <w:rPr>
                <w:rFonts w:ascii="Times New Roman" w:eastAsia="Calibri" w:hAnsi="Times New Roman" w:cs="Times New Roman"/>
              </w:rPr>
            </w:pPr>
            <w:r w:rsidRPr="006E0D62">
              <w:rPr>
                <w:rFonts w:ascii="Times New Roman" w:eastAsia="Times New Roman" w:hAnsi="Times New Roman" w:cs="Times New Roman"/>
                <w:lang w:eastAsia="pl-PL"/>
              </w:rPr>
              <w:t>Udział w konsultacjach.</w:t>
            </w:r>
          </w:p>
        </w:tc>
      </w:tr>
      <w:tr w:rsidR="00E34FCE" w:rsidRPr="006E0D62" w:rsidTr="006E0D62">
        <w:trPr>
          <w:gridAfter w:val="1"/>
          <w:wAfter w:w="9" w:type="dxa"/>
          <w:trHeight w:val="142"/>
        </w:trPr>
        <w:tc>
          <w:tcPr>
            <w:tcW w:w="2269" w:type="dxa"/>
            <w:gridSpan w:val="5"/>
            <w:shd w:val="clear" w:color="auto" w:fill="auto"/>
          </w:tcPr>
          <w:p w:rsidR="00E34FCE" w:rsidRPr="006E0D62" w:rsidRDefault="00E34FCE" w:rsidP="00E34FCE">
            <w:pPr>
              <w:widowControl w:val="0"/>
              <w:autoSpaceDE w:val="0"/>
              <w:autoSpaceDN w:val="0"/>
              <w:adjustRightInd w:val="0"/>
              <w:spacing w:after="60" w:line="240" w:lineRule="auto"/>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organy Straży Granicznej</w:t>
            </w:r>
          </w:p>
          <w:p w:rsidR="00E34FCE" w:rsidRPr="006E0D62" w:rsidRDefault="00E34FCE" w:rsidP="00E34FCE">
            <w:pPr>
              <w:spacing w:after="0" w:line="240" w:lineRule="auto"/>
              <w:rPr>
                <w:rFonts w:ascii="Times New Roman" w:eastAsia="Calibri" w:hAnsi="Times New Roman" w:cs="Times New Roman"/>
              </w:rPr>
            </w:pPr>
          </w:p>
        </w:tc>
        <w:tc>
          <w:tcPr>
            <w:tcW w:w="3118" w:type="dxa"/>
            <w:gridSpan w:val="8"/>
            <w:shd w:val="clear" w:color="auto" w:fill="auto"/>
          </w:tcPr>
          <w:p w:rsidR="00E34FCE" w:rsidRPr="006E0D62" w:rsidRDefault="00E34FCE" w:rsidP="00E34FCE">
            <w:pPr>
              <w:widowControl w:val="0"/>
              <w:autoSpaceDE w:val="0"/>
              <w:autoSpaceDN w:val="0"/>
              <w:adjustRightInd w:val="0"/>
              <w:spacing w:after="60" w:line="240" w:lineRule="auto"/>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Komendant Główny Straży Granicznej</w:t>
            </w:r>
          </w:p>
        </w:tc>
        <w:tc>
          <w:tcPr>
            <w:tcW w:w="2977" w:type="dxa"/>
            <w:gridSpan w:val="7"/>
            <w:shd w:val="clear" w:color="auto" w:fill="auto"/>
          </w:tcPr>
          <w:p w:rsidR="00E34FCE" w:rsidRPr="006E0D62" w:rsidRDefault="00E34FCE" w:rsidP="00E34FCE">
            <w:pPr>
              <w:spacing w:after="0" w:line="240" w:lineRule="auto"/>
              <w:rPr>
                <w:rFonts w:ascii="Times New Roman" w:eastAsia="Calibri" w:hAnsi="Times New Roman" w:cs="Times New Roman"/>
              </w:rPr>
            </w:pPr>
            <w:r w:rsidRPr="006E0D62">
              <w:rPr>
                <w:rFonts w:ascii="Times New Roman" w:eastAsia="Times New Roman" w:hAnsi="Times New Roman" w:cs="Times New Roman"/>
                <w:lang w:eastAsia="pl-PL"/>
              </w:rPr>
              <w:t>Ustawa z dnia 12 grudnia 2013 r. o cudzoziemcach (Dz. U. poz. 1650, z późn. zm.)</w:t>
            </w:r>
          </w:p>
        </w:tc>
        <w:tc>
          <w:tcPr>
            <w:tcW w:w="2574" w:type="dxa"/>
            <w:gridSpan w:val="2"/>
            <w:shd w:val="clear" w:color="auto" w:fill="auto"/>
          </w:tcPr>
          <w:p w:rsidR="00E34FCE" w:rsidRPr="006E0D62" w:rsidRDefault="00E34FCE" w:rsidP="00E34FCE">
            <w:pPr>
              <w:spacing w:after="0" w:line="240" w:lineRule="auto"/>
              <w:rPr>
                <w:rFonts w:ascii="Times New Roman" w:eastAsia="Calibri" w:hAnsi="Times New Roman" w:cs="Times New Roman"/>
              </w:rPr>
            </w:pPr>
            <w:r w:rsidRPr="006E0D62">
              <w:rPr>
                <w:rFonts w:ascii="Times New Roman" w:eastAsia="Times New Roman" w:hAnsi="Times New Roman" w:cs="Times New Roman"/>
                <w:lang w:eastAsia="pl-PL"/>
              </w:rPr>
              <w:t>Udział w konsultacjach.</w:t>
            </w:r>
          </w:p>
        </w:tc>
      </w:tr>
      <w:tr w:rsidR="00E34FCE" w:rsidRPr="006E0D62" w:rsidTr="006E0D62">
        <w:trPr>
          <w:gridAfter w:val="1"/>
          <w:wAfter w:w="9" w:type="dxa"/>
          <w:trHeight w:val="142"/>
        </w:trPr>
        <w:tc>
          <w:tcPr>
            <w:tcW w:w="2269" w:type="dxa"/>
            <w:gridSpan w:val="5"/>
            <w:shd w:val="clear" w:color="auto" w:fill="auto"/>
          </w:tcPr>
          <w:p w:rsidR="00E34FCE" w:rsidRPr="006E0D62" w:rsidRDefault="00E34FCE" w:rsidP="00E34FCE">
            <w:pPr>
              <w:tabs>
                <w:tab w:val="num" w:pos="1080"/>
              </w:tabs>
              <w:spacing w:after="0" w:line="240" w:lineRule="auto"/>
              <w:rPr>
                <w:rFonts w:ascii="Times New Roman" w:eastAsia="MS Mincho" w:hAnsi="Times New Roman" w:cs="Times New Roman"/>
                <w:lang w:eastAsia="pl-PL"/>
              </w:rPr>
            </w:pPr>
            <w:r w:rsidRPr="006E0D62">
              <w:rPr>
                <w:rFonts w:ascii="Times New Roman" w:eastAsia="MS Mincho" w:hAnsi="Times New Roman" w:cs="Times New Roman"/>
                <w:lang w:eastAsia="pl-PL"/>
              </w:rPr>
              <w:t xml:space="preserve">Szef Agencji Bezpieczeństwa Wewnętrznego </w:t>
            </w:r>
          </w:p>
        </w:tc>
        <w:tc>
          <w:tcPr>
            <w:tcW w:w="3118" w:type="dxa"/>
            <w:gridSpan w:val="8"/>
            <w:shd w:val="clear" w:color="auto" w:fill="auto"/>
          </w:tcPr>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t xml:space="preserve">1 Agencja </w:t>
            </w:r>
          </w:p>
        </w:tc>
        <w:tc>
          <w:tcPr>
            <w:tcW w:w="2977" w:type="dxa"/>
            <w:gridSpan w:val="7"/>
            <w:shd w:val="clear" w:color="auto" w:fill="auto"/>
          </w:tcPr>
          <w:p w:rsidR="00E34FCE" w:rsidRPr="006E0D62" w:rsidRDefault="00E34FCE" w:rsidP="006E0D62">
            <w:pPr>
              <w:spacing w:after="0" w:line="240" w:lineRule="auto"/>
              <w:rPr>
                <w:rFonts w:ascii="Times New Roman" w:eastAsia="Calibri" w:hAnsi="Times New Roman" w:cs="Times New Roman"/>
                <w:color w:val="000000"/>
              </w:rPr>
            </w:pPr>
            <w:r w:rsidRPr="006E0D62">
              <w:rPr>
                <w:rFonts w:ascii="Times New Roman" w:eastAsia="Times New Roman" w:hAnsi="Times New Roman" w:cs="Times New Roman"/>
                <w:lang w:eastAsia="pl-PL"/>
              </w:rPr>
              <w:t>Ustawa z dnia 24 maja 2002 r. o Agencji Bezpieczeństwa Wewnętrznego oraz Agencji Wywiadu (</w:t>
            </w:r>
            <w:r w:rsidRPr="006E0D62">
              <w:rPr>
                <w:rFonts w:ascii="Times New Roman" w:eastAsia="Times New Roman" w:hAnsi="Times New Roman" w:cs="Times New Roman"/>
                <w:bCs/>
                <w:lang w:eastAsia="pl-PL"/>
              </w:rPr>
              <w:t>Dz. U. z 201</w:t>
            </w:r>
            <w:r w:rsidR="006E0D62">
              <w:rPr>
                <w:rFonts w:ascii="Times New Roman" w:eastAsia="Times New Roman" w:hAnsi="Times New Roman" w:cs="Times New Roman"/>
                <w:bCs/>
                <w:lang w:eastAsia="pl-PL"/>
              </w:rPr>
              <w:t>5</w:t>
            </w:r>
            <w:r w:rsidRPr="006E0D62">
              <w:rPr>
                <w:rFonts w:ascii="Times New Roman" w:eastAsia="Times New Roman" w:hAnsi="Times New Roman" w:cs="Times New Roman"/>
                <w:bCs/>
                <w:lang w:eastAsia="pl-PL"/>
              </w:rPr>
              <w:t xml:space="preserve"> r. </w:t>
            </w:r>
            <w:r w:rsidR="006E0D62">
              <w:rPr>
                <w:rFonts w:ascii="Times New Roman" w:eastAsia="Times New Roman" w:hAnsi="Times New Roman" w:cs="Times New Roman"/>
                <w:bCs/>
                <w:lang w:eastAsia="pl-PL"/>
              </w:rPr>
              <w:t>poz</w:t>
            </w:r>
            <w:r w:rsidRPr="006E0D62">
              <w:rPr>
                <w:rFonts w:ascii="Times New Roman" w:eastAsia="Times New Roman" w:hAnsi="Times New Roman" w:cs="Times New Roman"/>
                <w:bCs/>
                <w:lang w:eastAsia="pl-PL"/>
              </w:rPr>
              <w:t xml:space="preserve">. </w:t>
            </w:r>
            <w:r w:rsidR="006E0D62">
              <w:rPr>
                <w:rFonts w:ascii="Times New Roman" w:eastAsia="Times New Roman" w:hAnsi="Times New Roman" w:cs="Times New Roman"/>
                <w:bCs/>
                <w:lang w:eastAsia="pl-PL"/>
              </w:rPr>
              <w:t>1929</w:t>
            </w:r>
            <w:r w:rsidRPr="006E0D62">
              <w:rPr>
                <w:rFonts w:ascii="Times New Roman" w:eastAsia="Times New Roman" w:hAnsi="Times New Roman" w:cs="Times New Roman"/>
                <w:bCs/>
                <w:lang w:eastAsia="pl-PL"/>
              </w:rPr>
              <w:t>, z późn. zm.)</w:t>
            </w:r>
          </w:p>
        </w:tc>
        <w:tc>
          <w:tcPr>
            <w:tcW w:w="2574" w:type="dxa"/>
            <w:gridSpan w:val="2"/>
            <w:shd w:val="clear" w:color="auto" w:fill="auto"/>
          </w:tcPr>
          <w:p w:rsidR="00E34FCE" w:rsidRPr="006E0D62" w:rsidRDefault="00E34FCE" w:rsidP="00E34FCE">
            <w:pPr>
              <w:spacing w:after="0" w:line="240" w:lineRule="auto"/>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Udział w konsultacjach.</w:t>
            </w:r>
          </w:p>
        </w:tc>
      </w:tr>
      <w:tr w:rsidR="00E34FCE" w:rsidRPr="006E0D62" w:rsidTr="006E0D62">
        <w:trPr>
          <w:gridAfter w:val="1"/>
          <w:wAfter w:w="9" w:type="dxa"/>
          <w:trHeight w:val="142"/>
        </w:trPr>
        <w:tc>
          <w:tcPr>
            <w:tcW w:w="2269" w:type="dxa"/>
            <w:gridSpan w:val="5"/>
            <w:shd w:val="clear" w:color="auto" w:fill="auto"/>
          </w:tcPr>
          <w:p w:rsidR="00E34FCE" w:rsidRPr="006E0D62" w:rsidRDefault="00E34FCE" w:rsidP="00E34FCE">
            <w:pPr>
              <w:tabs>
                <w:tab w:val="num" w:pos="1080"/>
              </w:tabs>
              <w:spacing w:after="0" w:line="240" w:lineRule="auto"/>
              <w:rPr>
                <w:rFonts w:ascii="Times New Roman" w:eastAsia="MS Mincho" w:hAnsi="Times New Roman" w:cs="Times New Roman"/>
                <w:lang w:eastAsia="pl-PL"/>
              </w:rPr>
            </w:pPr>
            <w:r w:rsidRPr="006E0D62">
              <w:rPr>
                <w:rFonts w:ascii="Times New Roman" w:eastAsia="MS Mincho" w:hAnsi="Times New Roman" w:cs="Times New Roman"/>
                <w:lang w:eastAsia="pl-PL"/>
              </w:rPr>
              <w:t>Szef Agencji Wywiadu</w:t>
            </w:r>
          </w:p>
        </w:tc>
        <w:tc>
          <w:tcPr>
            <w:tcW w:w="3118" w:type="dxa"/>
            <w:gridSpan w:val="8"/>
            <w:shd w:val="clear" w:color="auto" w:fill="auto"/>
          </w:tcPr>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t>1 Agencja</w:t>
            </w:r>
          </w:p>
        </w:tc>
        <w:tc>
          <w:tcPr>
            <w:tcW w:w="2977" w:type="dxa"/>
            <w:gridSpan w:val="7"/>
            <w:shd w:val="clear" w:color="auto" w:fill="auto"/>
          </w:tcPr>
          <w:p w:rsidR="00E34FCE" w:rsidRPr="006E0D62" w:rsidRDefault="00E34FCE" w:rsidP="006E0D62">
            <w:pPr>
              <w:spacing w:after="0" w:line="240" w:lineRule="auto"/>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Ustawa z dnia 24 maja 2002 r. o Agencji Bezpieczeństwa Wewnętrznego oraz Agencji Wywiadu (</w:t>
            </w:r>
            <w:r w:rsidRPr="006E0D62">
              <w:rPr>
                <w:rFonts w:ascii="Times New Roman" w:eastAsia="Times New Roman" w:hAnsi="Times New Roman" w:cs="Times New Roman"/>
                <w:bCs/>
                <w:lang w:eastAsia="pl-PL"/>
              </w:rPr>
              <w:t>Dz. U. z 201</w:t>
            </w:r>
            <w:r w:rsidR="006E0D62">
              <w:rPr>
                <w:rFonts w:ascii="Times New Roman" w:eastAsia="Times New Roman" w:hAnsi="Times New Roman" w:cs="Times New Roman"/>
                <w:bCs/>
                <w:lang w:eastAsia="pl-PL"/>
              </w:rPr>
              <w:t>5</w:t>
            </w:r>
            <w:r w:rsidRPr="006E0D62">
              <w:rPr>
                <w:rFonts w:ascii="Times New Roman" w:eastAsia="Times New Roman" w:hAnsi="Times New Roman" w:cs="Times New Roman"/>
                <w:bCs/>
                <w:lang w:eastAsia="pl-PL"/>
              </w:rPr>
              <w:t xml:space="preserve"> r. poz. </w:t>
            </w:r>
            <w:r w:rsidR="006E0D62">
              <w:rPr>
                <w:rFonts w:ascii="Times New Roman" w:eastAsia="Times New Roman" w:hAnsi="Times New Roman" w:cs="Times New Roman"/>
                <w:bCs/>
                <w:lang w:eastAsia="pl-PL"/>
              </w:rPr>
              <w:t>1929</w:t>
            </w:r>
            <w:r w:rsidRPr="006E0D62">
              <w:rPr>
                <w:rFonts w:ascii="Times New Roman" w:eastAsia="Times New Roman" w:hAnsi="Times New Roman" w:cs="Times New Roman"/>
                <w:bCs/>
                <w:lang w:eastAsia="pl-PL"/>
              </w:rPr>
              <w:t>, z późn. zm.)</w:t>
            </w:r>
          </w:p>
        </w:tc>
        <w:tc>
          <w:tcPr>
            <w:tcW w:w="2574" w:type="dxa"/>
            <w:gridSpan w:val="2"/>
            <w:shd w:val="clear" w:color="auto" w:fill="auto"/>
          </w:tcPr>
          <w:p w:rsidR="00E34FCE" w:rsidRPr="006E0D62" w:rsidRDefault="00E34FCE" w:rsidP="00E34FCE">
            <w:pPr>
              <w:spacing w:after="0" w:line="240" w:lineRule="auto"/>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Udział w konsultacjach.</w:t>
            </w:r>
          </w:p>
        </w:tc>
      </w:tr>
      <w:tr w:rsidR="00E34FCE" w:rsidRPr="006E0D62" w:rsidTr="006E0D62">
        <w:trPr>
          <w:gridAfter w:val="1"/>
          <w:wAfter w:w="9" w:type="dxa"/>
          <w:trHeight w:val="142"/>
        </w:trPr>
        <w:tc>
          <w:tcPr>
            <w:tcW w:w="2269" w:type="dxa"/>
            <w:gridSpan w:val="5"/>
            <w:shd w:val="clear" w:color="auto" w:fill="auto"/>
          </w:tcPr>
          <w:p w:rsidR="00E34FCE" w:rsidRPr="006E0D62" w:rsidRDefault="00E34FCE" w:rsidP="00E34FCE">
            <w:pPr>
              <w:tabs>
                <w:tab w:val="num" w:pos="1080"/>
              </w:tabs>
              <w:spacing w:after="0" w:line="240" w:lineRule="auto"/>
              <w:rPr>
                <w:rFonts w:ascii="Times New Roman" w:eastAsia="MS Mincho" w:hAnsi="Times New Roman" w:cs="Times New Roman"/>
                <w:lang w:eastAsia="pl-PL"/>
              </w:rPr>
            </w:pPr>
            <w:r w:rsidRPr="006E0D62">
              <w:rPr>
                <w:rFonts w:ascii="Times New Roman" w:eastAsia="MS Mincho" w:hAnsi="Times New Roman" w:cs="Times New Roman"/>
                <w:lang w:eastAsia="pl-PL"/>
              </w:rPr>
              <w:t>Szef Służby Wywiadu Wojskowego</w:t>
            </w:r>
          </w:p>
        </w:tc>
        <w:tc>
          <w:tcPr>
            <w:tcW w:w="3118" w:type="dxa"/>
            <w:gridSpan w:val="8"/>
            <w:shd w:val="clear" w:color="auto" w:fill="auto"/>
          </w:tcPr>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t>1 Służba</w:t>
            </w:r>
          </w:p>
        </w:tc>
        <w:tc>
          <w:tcPr>
            <w:tcW w:w="2977" w:type="dxa"/>
            <w:gridSpan w:val="7"/>
            <w:shd w:val="clear" w:color="auto" w:fill="auto"/>
          </w:tcPr>
          <w:p w:rsidR="00E34FCE" w:rsidRPr="006E0D62" w:rsidRDefault="00E34FCE" w:rsidP="00E34FCE">
            <w:pPr>
              <w:spacing w:after="0" w:line="240" w:lineRule="auto"/>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Ustawa z dnia 9 czerwca 2006 r. o Służbie Kontrwywiadu Wojskowego oraz Służbie Wywiadu Wojskowego (</w:t>
            </w:r>
            <w:r w:rsidR="006E0D62">
              <w:rPr>
                <w:rFonts w:ascii="Times New Roman" w:eastAsia="Times New Roman" w:hAnsi="Times New Roman" w:cs="Times New Roman"/>
                <w:bCs/>
                <w:lang w:eastAsia="pl-PL"/>
              </w:rPr>
              <w:t>Dz. </w:t>
            </w:r>
            <w:r w:rsidRPr="006E0D62">
              <w:rPr>
                <w:rFonts w:ascii="Times New Roman" w:eastAsia="Times New Roman" w:hAnsi="Times New Roman" w:cs="Times New Roman"/>
                <w:bCs/>
                <w:lang w:eastAsia="pl-PL"/>
              </w:rPr>
              <w:t xml:space="preserve">U. z 2014 r. poz. 253, </w:t>
            </w:r>
            <w:r w:rsidR="006E0D62">
              <w:rPr>
                <w:rFonts w:ascii="Times New Roman" w:eastAsia="Times New Roman" w:hAnsi="Times New Roman" w:cs="Times New Roman"/>
                <w:bCs/>
                <w:lang w:eastAsia="pl-PL"/>
              </w:rPr>
              <w:t>z </w:t>
            </w:r>
            <w:r w:rsidRPr="006E0D62">
              <w:rPr>
                <w:rFonts w:ascii="Times New Roman" w:eastAsia="Times New Roman" w:hAnsi="Times New Roman" w:cs="Times New Roman"/>
                <w:bCs/>
                <w:lang w:eastAsia="pl-PL"/>
              </w:rPr>
              <w:t>późn. zm.)</w:t>
            </w:r>
          </w:p>
        </w:tc>
        <w:tc>
          <w:tcPr>
            <w:tcW w:w="2574" w:type="dxa"/>
            <w:gridSpan w:val="2"/>
            <w:shd w:val="clear" w:color="auto" w:fill="auto"/>
          </w:tcPr>
          <w:p w:rsidR="00E34FCE" w:rsidRPr="006E0D62" w:rsidRDefault="00E34FCE" w:rsidP="00E34FCE">
            <w:pPr>
              <w:spacing w:after="0" w:line="240" w:lineRule="auto"/>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Udział w konsultacjach.</w:t>
            </w:r>
          </w:p>
        </w:tc>
      </w:tr>
      <w:tr w:rsidR="00E34FCE" w:rsidRPr="006E0D62" w:rsidTr="005277E4">
        <w:trPr>
          <w:gridAfter w:val="1"/>
          <w:wAfter w:w="9" w:type="dxa"/>
          <w:trHeight w:val="302"/>
        </w:trPr>
        <w:tc>
          <w:tcPr>
            <w:tcW w:w="10938" w:type="dxa"/>
            <w:gridSpan w:val="22"/>
            <w:shd w:val="clear" w:color="auto" w:fill="99CCFF"/>
            <w:vAlign w:val="center"/>
          </w:tcPr>
          <w:p w:rsidR="00E34FCE" w:rsidRPr="006E0D62" w:rsidRDefault="00E34FCE" w:rsidP="00E34FCE">
            <w:pPr>
              <w:numPr>
                <w:ilvl w:val="0"/>
                <w:numId w:val="2"/>
              </w:numPr>
              <w:spacing w:before="60" w:after="60" w:line="240" w:lineRule="auto"/>
              <w:ind w:left="318" w:hanging="284"/>
              <w:jc w:val="both"/>
              <w:rPr>
                <w:rFonts w:ascii="Times New Roman" w:eastAsia="Calibri" w:hAnsi="Times New Roman" w:cs="Times New Roman"/>
                <w:b/>
                <w:color w:val="000000"/>
              </w:rPr>
            </w:pPr>
            <w:r w:rsidRPr="006E0D62">
              <w:rPr>
                <w:rFonts w:ascii="Times New Roman" w:eastAsia="Calibri" w:hAnsi="Times New Roman" w:cs="Times New Roman"/>
                <w:b/>
                <w:color w:val="000000"/>
              </w:rPr>
              <w:t>Informacje na temat zakresu, czasu trwania i podsumowanie wyników konsultacji</w:t>
            </w:r>
          </w:p>
        </w:tc>
      </w:tr>
      <w:tr w:rsidR="00E34FCE" w:rsidRPr="006E0D62" w:rsidTr="005277E4">
        <w:trPr>
          <w:gridAfter w:val="1"/>
          <w:wAfter w:w="9" w:type="dxa"/>
          <w:trHeight w:val="342"/>
        </w:trPr>
        <w:tc>
          <w:tcPr>
            <w:tcW w:w="10938" w:type="dxa"/>
            <w:gridSpan w:val="22"/>
            <w:shd w:val="clear" w:color="auto" w:fill="FFFFFF"/>
          </w:tcPr>
          <w:p w:rsidR="00E34FCE" w:rsidRPr="006E0D62" w:rsidRDefault="00E34FCE" w:rsidP="00E34FCE">
            <w:pPr>
              <w:spacing w:before="120" w:after="0" w:line="240" w:lineRule="auto"/>
              <w:jc w:val="both"/>
              <w:rPr>
                <w:rFonts w:ascii="Times New Roman" w:eastAsia="Calibri" w:hAnsi="Times New Roman" w:cs="Times New Roman"/>
                <w:color w:val="000000"/>
              </w:rPr>
            </w:pPr>
            <w:r w:rsidRPr="006E0D62">
              <w:rPr>
                <w:rFonts w:ascii="Times New Roman" w:eastAsia="Calibri" w:hAnsi="Times New Roman" w:cs="Times New Roman"/>
                <w:color w:val="000000"/>
              </w:rPr>
              <w:t>W ramach konsultacji publicznych projekt został przekazany:</w:t>
            </w:r>
          </w:p>
          <w:p w:rsidR="00E34FCE" w:rsidRPr="006E0D62" w:rsidRDefault="00E34FCE" w:rsidP="00E34FCE">
            <w:pPr>
              <w:widowControl w:val="0"/>
              <w:numPr>
                <w:ilvl w:val="0"/>
                <w:numId w:val="3"/>
              </w:numPr>
              <w:autoSpaceDE w:val="0"/>
              <w:autoSpaceDN w:val="0"/>
              <w:adjustRightInd w:val="0"/>
              <w:spacing w:after="0" w:line="240" w:lineRule="auto"/>
              <w:ind w:left="460" w:hanging="426"/>
              <w:jc w:val="both"/>
              <w:rPr>
                <w:rFonts w:ascii="Times New Roman" w:eastAsia="Times New Roman" w:hAnsi="Times New Roman" w:cs="Times New Roman"/>
                <w:lang w:eastAsia="pl-PL"/>
              </w:rPr>
            </w:pPr>
            <w:r w:rsidRPr="006E0D62">
              <w:rPr>
                <w:rFonts w:ascii="Times New Roman" w:eastAsia="Calibri" w:hAnsi="Times New Roman" w:cs="Times New Roman"/>
                <w:color w:val="000000"/>
              </w:rPr>
              <w:t>Rzecznikowi Praw Obywatelskich;</w:t>
            </w:r>
          </w:p>
          <w:p w:rsidR="00E34FCE" w:rsidRPr="006E0D62" w:rsidRDefault="00E34FCE" w:rsidP="00E34FCE">
            <w:pPr>
              <w:widowControl w:val="0"/>
              <w:numPr>
                <w:ilvl w:val="0"/>
                <w:numId w:val="3"/>
              </w:numPr>
              <w:autoSpaceDE w:val="0"/>
              <w:autoSpaceDN w:val="0"/>
              <w:adjustRightInd w:val="0"/>
              <w:spacing w:after="0" w:line="240" w:lineRule="auto"/>
              <w:ind w:left="460" w:hanging="426"/>
              <w:jc w:val="both"/>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Helsińskiej Fundacji Praw Człowieka;</w:t>
            </w:r>
          </w:p>
          <w:p w:rsidR="00E34FCE" w:rsidRPr="006E0D62" w:rsidRDefault="00E34FCE" w:rsidP="00E34FCE">
            <w:pPr>
              <w:widowControl w:val="0"/>
              <w:numPr>
                <w:ilvl w:val="0"/>
                <w:numId w:val="3"/>
              </w:numPr>
              <w:autoSpaceDE w:val="0"/>
              <w:autoSpaceDN w:val="0"/>
              <w:adjustRightInd w:val="0"/>
              <w:spacing w:after="0" w:line="240" w:lineRule="auto"/>
              <w:ind w:left="460" w:hanging="426"/>
              <w:jc w:val="both"/>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Wysokiemu Komisarzowi Narodów Zjednoczonych ds. Uchodźców (UNHCR);</w:t>
            </w:r>
          </w:p>
          <w:p w:rsidR="00E34FCE" w:rsidRPr="006E0D62" w:rsidRDefault="00E34FCE" w:rsidP="00E34FCE">
            <w:pPr>
              <w:widowControl w:val="0"/>
              <w:numPr>
                <w:ilvl w:val="0"/>
                <w:numId w:val="3"/>
              </w:numPr>
              <w:autoSpaceDE w:val="0"/>
              <w:autoSpaceDN w:val="0"/>
              <w:adjustRightInd w:val="0"/>
              <w:spacing w:after="0" w:line="240" w:lineRule="auto"/>
              <w:ind w:left="460" w:hanging="426"/>
              <w:jc w:val="both"/>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Sekcji Praw Człowieka Uniwersyteckiej Poradni Prawnej UJ;</w:t>
            </w:r>
          </w:p>
          <w:p w:rsidR="00E34FCE" w:rsidRPr="006E0D62" w:rsidRDefault="00E34FCE" w:rsidP="00E34FCE">
            <w:pPr>
              <w:widowControl w:val="0"/>
              <w:numPr>
                <w:ilvl w:val="0"/>
                <w:numId w:val="3"/>
              </w:numPr>
              <w:autoSpaceDE w:val="0"/>
              <w:autoSpaceDN w:val="0"/>
              <w:adjustRightInd w:val="0"/>
              <w:spacing w:after="0" w:line="240" w:lineRule="auto"/>
              <w:ind w:left="460" w:hanging="426"/>
              <w:jc w:val="both"/>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 xml:space="preserve">Stowarzyszeniu Interwencji Prawnej; </w:t>
            </w:r>
          </w:p>
          <w:p w:rsidR="00E34FCE" w:rsidRPr="006E0D62" w:rsidRDefault="00E34FCE" w:rsidP="00E34FCE">
            <w:pPr>
              <w:widowControl w:val="0"/>
              <w:numPr>
                <w:ilvl w:val="0"/>
                <w:numId w:val="3"/>
              </w:numPr>
              <w:autoSpaceDE w:val="0"/>
              <w:autoSpaceDN w:val="0"/>
              <w:adjustRightInd w:val="0"/>
              <w:spacing w:after="0" w:line="240" w:lineRule="auto"/>
              <w:ind w:left="460" w:hanging="426"/>
              <w:jc w:val="both"/>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Stowarzyszeniu Uchodźców w Rzeczypospolitej Polskiej;</w:t>
            </w:r>
          </w:p>
          <w:p w:rsidR="00E34FCE" w:rsidRPr="006E0D62" w:rsidRDefault="00E34FCE" w:rsidP="00E34FCE">
            <w:pPr>
              <w:widowControl w:val="0"/>
              <w:numPr>
                <w:ilvl w:val="0"/>
                <w:numId w:val="3"/>
              </w:numPr>
              <w:autoSpaceDE w:val="0"/>
              <w:autoSpaceDN w:val="0"/>
              <w:adjustRightInd w:val="0"/>
              <w:spacing w:after="0" w:line="240" w:lineRule="auto"/>
              <w:ind w:left="460" w:hanging="426"/>
              <w:jc w:val="both"/>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 xml:space="preserve">Centrum Pomocy Prawnej im. Haliny Nieć; </w:t>
            </w:r>
          </w:p>
          <w:p w:rsidR="00E34FCE" w:rsidRPr="006E0D62" w:rsidRDefault="00E34FCE" w:rsidP="00E34FCE">
            <w:pPr>
              <w:widowControl w:val="0"/>
              <w:numPr>
                <w:ilvl w:val="0"/>
                <w:numId w:val="3"/>
              </w:numPr>
              <w:autoSpaceDE w:val="0"/>
              <w:autoSpaceDN w:val="0"/>
              <w:adjustRightInd w:val="0"/>
              <w:spacing w:after="0" w:line="240" w:lineRule="auto"/>
              <w:ind w:left="460" w:hanging="426"/>
              <w:jc w:val="both"/>
              <w:rPr>
                <w:rFonts w:ascii="Times New Roman" w:eastAsia="Times New Roman" w:hAnsi="Times New Roman" w:cs="Times New Roman"/>
                <w:lang w:eastAsia="pl-PL"/>
              </w:rPr>
            </w:pPr>
            <w:r w:rsidRPr="006E0D62">
              <w:rPr>
                <w:rFonts w:ascii="Times New Roman" w:eastAsia="Times New Roman" w:hAnsi="Times New Roman" w:cs="Times New Roman"/>
                <w:lang w:eastAsia="pl-PL"/>
              </w:rPr>
              <w:t>Stowarzyszeniu „Emigrant”.</w:t>
            </w:r>
          </w:p>
          <w:p w:rsidR="00E34FCE" w:rsidRPr="006E0D62" w:rsidRDefault="00E34FCE" w:rsidP="00E34FCE">
            <w:pPr>
              <w:spacing w:after="0" w:line="240" w:lineRule="auto"/>
              <w:jc w:val="both"/>
              <w:rPr>
                <w:rFonts w:ascii="Times New Roman" w:eastAsia="Calibri" w:hAnsi="Times New Roman" w:cs="Times New Roman"/>
                <w:color w:val="000000"/>
              </w:rPr>
            </w:pPr>
          </w:p>
          <w:p w:rsidR="00E34FCE" w:rsidRPr="006E0D62" w:rsidRDefault="00E34FCE" w:rsidP="00E34FCE">
            <w:pPr>
              <w:spacing w:after="0" w:line="240" w:lineRule="auto"/>
              <w:jc w:val="both"/>
              <w:rPr>
                <w:rFonts w:ascii="Times New Roman" w:eastAsia="Calibri" w:hAnsi="Times New Roman" w:cs="Times New Roman"/>
                <w:color w:val="000000"/>
              </w:rPr>
            </w:pPr>
            <w:r w:rsidRPr="006E0D62">
              <w:rPr>
                <w:rFonts w:ascii="Times New Roman" w:eastAsia="Calibri" w:hAnsi="Times New Roman" w:cs="Times New Roman"/>
                <w:color w:val="000000"/>
              </w:rPr>
              <w:t>W celu wykonania obowiązku wynikającego z art. 5 ustawy z dnia 7 lipca 2005 r. o działalności lobbingowej w procesie stanowienia prawa (Dz. U. Nr 169, poz. 1414, z późn. zm.) projekt został umieszczony w Biuletynie Informacji Publicznej na stronie internetowej Ministerstwa Spraw Wewnętrznych i Administracji oraz opublikowany na stronie Rządowego Centrum Legislacji w zakładce Rządowy Proces Legislacyjny.</w:t>
            </w:r>
          </w:p>
          <w:p w:rsidR="00E34FCE" w:rsidRPr="006E0D62" w:rsidRDefault="00E34FCE" w:rsidP="00E34FCE">
            <w:pPr>
              <w:spacing w:after="0" w:line="240" w:lineRule="auto"/>
              <w:jc w:val="both"/>
              <w:rPr>
                <w:rFonts w:ascii="Times New Roman" w:eastAsia="Calibri" w:hAnsi="Times New Roman" w:cs="Times New Roman"/>
                <w:color w:val="000000"/>
              </w:rPr>
            </w:pPr>
          </w:p>
          <w:p w:rsidR="00E34FCE" w:rsidRPr="006E0D62" w:rsidRDefault="00E34FCE" w:rsidP="00E34FCE">
            <w:pPr>
              <w:spacing w:after="0" w:line="240" w:lineRule="auto"/>
              <w:jc w:val="both"/>
              <w:rPr>
                <w:rFonts w:ascii="Times New Roman" w:eastAsia="Calibri" w:hAnsi="Times New Roman" w:cs="Times New Roman"/>
                <w:color w:val="000000"/>
              </w:rPr>
            </w:pPr>
            <w:r w:rsidRPr="006E0D62">
              <w:rPr>
                <w:rFonts w:ascii="Times New Roman" w:eastAsia="Calibri" w:hAnsi="Times New Roman" w:cs="Times New Roman"/>
                <w:color w:val="000000"/>
              </w:rPr>
              <w:t>Konsultacje publiczne zostały przeprowadzone w czasie trwania uzgodnień międzyresortowych przedmiotowego projektu.</w:t>
            </w:r>
          </w:p>
          <w:p w:rsidR="00E34FCE" w:rsidRPr="006E0D62" w:rsidRDefault="00E34FCE" w:rsidP="00E34FCE">
            <w:pPr>
              <w:spacing w:after="0" w:line="240" w:lineRule="auto"/>
              <w:jc w:val="both"/>
              <w:rPr>
                <w:rFonts w:ascii="Times New Roman" w:eastAsia="Calibri" w:hAnsi="Times New Roman" w:cs="Times New Roman"/>
                <w:color w:val="000000"/>
              </w:rPr>
            </w:pPr>
          </w:p>
          <w:p w:rsidR="00E34FCE" w:rsidRPr="006E0D62" w:rsidRDefault="00E34FCE" w:rsidP="00E34FCE">
            <w:pPr>
              <w:spacing w:after="0" w:line="240" w:lineRule="auto"/>
              <w:jc w:val="both"/>
              <w:rPr>
                <w:rFonts w:ascii="Times New Roman" w:eastAsia="Times New Roman" w:hAnsi="Times New Roman" w:cs="Times New Roman"/>
                <w:color w:val="000000"/>
                <w:lang w:eastAsia="pl-PL"/>
              </w:rPr>
            </w:pPr>
            <w:r w:rsidRPr="006E0D62">
              <w:rPr>
                <w:rFonts w:ascii="Times New Roman" w:eastAsia="Times New Roman" w:hAnsi="Times New Roman" w:cs="Times New Roman"/>
                <w:color w:val="000000"/>
                <w:lang w:eastAsia="pl-PL"/>
              </w:rPr>
              <w:t xml:space="preserve">W ramach konsultacji i opiniowania stanowiska w sprawie projektu ustawy przedstawiły następujące podmioty: Stowarzyszenie Interwencji Prawnej i </w:t>
            </w:r>
            <w:r w:rsidRPr="006E0D62">
              <w:rPr>
                <w:rFonts w:ascii="Times New Roman" w:eastAsia="Times New Roman" w:hAnsi="Times New Roman" w:cs="Times New Roman"/>
                <w:lang w:eastAsia="pl-PL"/>
              </w:rPr>
              <w:t>Wysoki Komisarz Narodów Zjednoczonych ds. Uchodźców</w:t>
            </w:r>
            <w:r w:rsidRPr="006E0D62">
              <w:rPr>
                <w:rFonts w:ascii="Times New Roman" w:eastAsia="Times New Roman" w:hAnsi="Times New Roman" w:cs="Times New Roman"/>
                <w:color w:val="000000"/>
                <w:lang w:eastAsia="pl-PL"/>
              </w:rPr>
              <w:t xml:space="preserve"> (UNHCR).</w:t>
            </w:r>
          </w:p>
          <w:p w:rsidR="00E34FCE" w:rsidRPr="006E0D62" w:rsidRDefault="00E34FCE" w:rsidP="00E34FCE">
            <w:pPr>
              <w:spacing w:after="0" w:line="240" w:lineRule="auto"/>
              <w:jc w:val="both"/>
              <w:rPr>
                <w:rFonts w:ascii="Times New Roman" w:eastAsia="Calibri" w:hAnsi="Times New Roman" w:cs="Times New Roman"/>
              </w:rPr>
            </w:pPr>
            <w:r w:rsidRPr="006E0D62">
              <w:rPr>
                <w:rFonts w:ascii="Times New Roman" w:eastAsia="Times New Roman" w:hAnsi="Times New Roman" w:cs="Times New Roman"/>
                <w:color w:val="000000"/>
                <w:lang w:eastAsia="pl-PL"/>
              </w:rPr>
              <w:t>Uwaga zgłoszona przez SIP nie została uwzględniona. Brzmienie przepisu, do którego odnosiła się uwaga SIP</w:t>
            </w:r>
            <w:r w:rsidR="006E0D62">
              <w:rPr>
                <w:rFonts w:ascii="Times New Roman" w:eastAsia="Times New Roman" w:hAnsi="Times New Roman" w:cs="Times New Roman"/>
                <w:color w:val="000000"/>
                <w:lang w:eastAsia="pl-PL"/>
              </w:rPr>
              <w:t>,</w:t>
            </w:r>
            <w:r w:rsidRPr="006E0D62">
              <w:rPr>
                <w:rFonts w:ascii="Times New Roman" w:eastAsia="Times New Roman" w:hAnsi="Times New Roman" w:cs="Times New Roman"/>
                <w:color w:val="000000"/>
                <w:lang w:eastAsia="pl-PL"/>
              </w:rPr>
              <w:t xml:space="preserve"> uległo zmianie. SIP zgłosiło zastrzeżenie do uregulowania wprowadzanego w art. 86f ust. 4, gdyż </w:t>
            </w:r>
            <w:r w:rsidR="0026273E">
              <w:rPr>
                <w:rFonts w:ascii="Times New Roman" w:eastAsia="Times New Roman" w:hAnsi="Times New Roman" w:cs="Times New Roman"/>
                <w:color w:val="000000"/>
                <w:lang w:eastAsia="pl-PL"/>
              </w:rPr>
              <w:t>jego</w:t>
            </w:r>
            <w:r w:rsidRPr="006E0D62">
              <w:rPr>
                <w:rFonts w:ascii="Times New Roman" w:eastAsia="Times New Roman" w:hAnsi="Times New Roman" w:cs="Times New Roman"/>
                <w:color w:val="000000"/>
                <w:lang w:eastAsia="pl-PL"/>
              </w:rPr>
              <w:t xml:space="preserve"> zdaniem nie ma uzasadnienia dla pozostawienia pełnej kontroli nad decyzją o relokacji organom opiniującym. Zdaniem SIP</w:t>
            </w:r>
            <w:r w:rsidR="0026273E">
              <w:rPr>
                <w:rFonts w:ascii="Times New Roman" w:eastAsia="Times New Roman" w:hAnsi="Times New Roman" w:cs="Times New Roman"/>
                <w:color w:val="000000"/>
                <w:lang w:eastAsia="pl-PL"/>
              </w:rPr>
              <w:t>,</w:t>
            </w:r>
            <w:r w:rsidRPr="006E0D62">
              <w:rPr>
                <w:rFonts w:ascii="Times New Roman" w:eastAsia="Times New Roman" w:hAnsi="Times New Roman" w:cs="Times New Roman"/>
                <w:color w:val="000000"/>
                <w:lang w:eastAsia="pl-PL"/>
              </w:rPr>
              <w:t xml:space="preserve"> Szef Urzędu do Spraw Cudzoziemców powinien zachować swobodę w podjęciu ostatecznej decyzji co do tego, czy wyraża zgodę, czy odmawia wyrażenia zgody na rozpoczęcie relokacji.</w:t>
            </w:r>
            <w:r w:rsidRPr="006E0D62">
              <w:rPr>
                <w:rFonts w:ascii="Times New Roman" w:eastAsia="Calibri" w:hAnsi="Times New Roman" w:cs="Times New Roman"/>
              </w:rPr>
              <w:t xml:space="preserve"> Należy zauważyć, że celem ww. przepisu jest ochrona tak istotnych wartości jak obronność, bezpieczeństwo państwa, ochrona bezpieczeństwa i porządku publicznego. Do określenia zaistnienia zagrożenia lub możliwości zaistnienia zagrożenia dla tych wartości powołane są inne niż Szef Urzędu</w:t>
            </w:r>
            <w:r w:rsidR="0026273E">
              <w:rPr>
                <w:rFonts w:ascii="Times New Roman" w:eastAsia="Calibri" w:hAnsi="Times New Roman" w:cs="Times New Roman"/>
              </w:rPr>
              <w:t xml:space="preserve"> do Spraw Cudzoziemców</w:t>
            </w:r>
            <w:r w:rsidRPr="006E0D62">
              <w:rPr>
                <w:rFonts w:ascii="Times New Roman" w:eastAsia="Calibri" w:hAnsi="Times New Roman" w:cs="Times New Roman"/>
              </w:rPr>
              <w:t xml:space="preserve"> organy. </w:t>
            </w:r>
            <w:r w:rsidR="0026273E">
              <w:rPr>
                <w:rFonts w:ascii="Times New Roman" w:eastAsia="Calibri" w:hAnsi="Times New Roman" w:cs="Times New Roman"/>
              </w:rPr>
              <w:t>Jego w</w:t>
            </w:r>
            <w:r w:rsidRPr="006E0D62">
              <w:rPr>
                <w:rFonts w:ascii="Times New Roman" w:eastAsia="Calibri" w:hAnsi="Times New Roman" w:cs="Times New Roman"/>
              </w:rPr>
              <w:t>łaściwość określa enumeratywnie art. 16 ustawy z dnia 12 grudnia 2013 r. o</w:t>
            </w:r>
            <w:r w:rsidR="0026273E">
              <w:rPr>
                <w:rFonts w:ascii="Times New Roman" w:eastAsia="Calibri" w:hAnsi="Times New Roman" w:cs="Times New Roman"/>
              </w:rPr>
              <w:t> </w:t>
            </w:r>
            <w:r w:rsidRPr="006E0D62">
              <w:rPr>
                <w:rFonts w:ascii="Times New Roman" w:eastAsia="Calibri" w:hAnsi="Times New Roman" w:cs="Times New Roman"/>
              </w:rPr>
              <w:t>cudzoziemcach (Dz. U. poz. 1650, z późn. zm.). Mając na względzie powyższe</w:t>
            </w:r>
            <w:r w:rsidR="0026273E">
              <w:rPr>
                <w:rFonts w:ascii="Times New Roman" w:eastAsia="Calibri" w:hAnsi="Times New Roman" w:cs="Times New Roman"/>
              </w:rPr>
              <w:t>,</w:t>
            </w:r>
            <w:r w:rsidRPr="006E0D62">
              <w:rPr>
                <w:rFonts w:ascii="Times New Roman" w:eastAsia="Calibri" w:hAnsi="Times New Roman" w:cs="Times New Roman"/>
              </w:rPr>
              <w:t xml:space="preserve"> Szef Urzędu </w:t>
            </w:r>
            <w:r w:rsidR="0026273E">
              <w:rPr>
                <w:rFonts w:ascii="Times New Roman" w:eastAsia="Calibri" w:hAnsi="Times New Roman" w:cs="Times New Roman"/>
              </w:rPr>
              <w:t>do Spraw Cudzoziemców</w:t>
            </w:r>
            <w:r w:rsidR="0026273E" w:rsidRPr="00E34FCE">
              <w:rPr>
                <w:rFonts w:ascii="Times New Roman" w:eastAsia="Calibri" w:hAnsi="Times New Roman" w:cs="Times New Roman"/>
              </w:rPr>
              <w:t xml:space="preserve"> </w:t>
            </w:r>
            <w:r w:rsidRPr="006E0D62">
              <w:rPr>
                <w:rFonts w:ascii="Times New Roman" w:eastAsia="Calibri" w:hAnsi="Times New Roman" w:cs="Times New Roman"/>
              </w:rPr>
              <w:t xml:space="preserve">nie jest właściwy, aby stwierdzić możliwość przesiedlenia lub relokacji osoby, w stosunku do której którykolwiek upoważniony do tego organ przekazał informację, że </w:t>
            </w:r>
            <w:r w:rsidR="0026273E">
              <w:rPr>
                <w:rFonts w:ascii="Times New Roman" w:eastAsia="Calibri" w:hAnsi="Times New Roman" w:cs="Times New Roman"/>
              </w:rPr>
              <w:t xml:space="preserve">jej </w:t>
            </w:r>
            <w:r w:rsidRPr="006E0D62">
              <w:rPr>
                <w:rFonts w:ascii="Times New Roman" w:eastAsia="Calibri" w:hAnsi="Times New Roman" w:cs="Times New Roman"/>
              </w:rPr>
              <w:t xml:space="preserve">wjazd </w:t>
            </w:r>
            <w:r w:rsidR="0026273E">
              <w:rPr>
                <w:rFonts w:ascii="Times New Roman" w:eastAsia="Calibri" w:hAnsi="Times New Roman" w:cs="Times New Roman"/>
              </w:rPr>
              <w:t>n</w:t>
            </w:r>
            <w:r w:rsidRPr="006E0D62">
              <w:rPr>
                <w:rFonts w:ascii="Times New Roman" w:eastAsia="Calibri" w:hAnsi="Times New Roman" w:cs="Times New Roman"/>
              </w:rPr>
              <w:t>a terytorium Rzeczypospolitej Polskiej i pobyt na tym terytorium mogą stanowić zagrożenie dla obronności lub bezpieczeństwa państwa lub ochrony bezpieczeństwa i</w:t>
            </w:r>
            <w:r w:rsidR="0034740F">
              <w:rPr>
                <w:rFonts w:ascii="Times New Roman" w:eastAsia="Calibri" w:hAnsi="Times New Roman" w:cs="Times New Roman"/>
              </w:rPr>
              <w:t> </w:t>
            </w:r>
            <w:r w:rsidRPr="006E0D62">
              <w:rPr>
                <w:rFonts w:ascii="Times New Roman" w:eastAsia="Calibri" w:hAnsi="Times New Roman" w:cs="Times New Roman"/>
              </w:rPr>
              <w:t>porządku publicznego. Byłoby to działanie wbrew interesom państwa i jego obywateli. Dlatego informacja, z której wynika, że wjazd cudzoziemca na terytorium Rzeczypospolitej Polskiej i jego pobyt na tym terytorium mogą stanowić zagrożenie dla obronności lub bezpieczeństwa państwa lub ochrony bezpieczeństwa i porządku publicznego, powinna być dla Szefa Urzędu</w:t>
            </w:r>
            <w:r w:rsidR="0026273E">
              <w:rPr>
                <w:rFonts w:ascii="Times New Roman" w:eastAsia="Calibri" w:hAnsi="Times New Roman" w:cs="Times New Roman"/>
              </w:rPr>
              <w:t xml:space="preserve"> do Spraw Cudzoziemców</w:t>
            </w:r>
            <w:r w:rsidRPr="006E0D62">
              <w:rPr>
                <w:rFonts w:ascii="Times New Roman" w:eastAsia="Calibri" w:hAnsi="Times New Roman" w:cs="Times New Roman"/>
              </w:rPr>
              <w:t xml:space="preserve"> wiążąca.</w:t>
            </w:r>
          </w:p>
          <w:p w:rsidR="00E34FCE" w:rsidRPr="006E0D62" w:rsidRDefault="00E34FCE" w:rsidP="00E34FCE">
            <w:pPr>
              <w:spacing w:after="0" w:line="240" w:lineRule="auto"/>
              <w:jc w:val="both"/>
              <w:rPr>
                <w:rFonts w:ascii="Times New Roman" w:eastAsia="Times New Roman" w:hAnsi="Times New Roman" w:cs="Times New Roman"/>
                <w:color w:val="000000"/>
                <w:lang w:eastAsia="pl-PL"/>
              </w:rPr>
            </w:pPr>
            <w:r w:rsidRPr="006E0D62">
              <w:rPr>
                <w:rFonts w:ascii="Times New Roman" w:eastAsia="Times New Roman" w:hAnsi="Times New Roman" w:cs="Times New Roman"/>
                <w:lang w:eastAsia="pl-PL"/>
              </w:rPr>
              <w:t>Wysoki Komisarz Narodów Zjednoczonych ds. Uchodźców</w:t>
            </w:r>
            <w:r w:rsidRPr="006E0D62">
              <w:rPr>
                <w:rFonts w:ascii="Times New Roman" w:eastAsia="Times New Roman" w:hAnsi="Times New Roman" w:cs="Times New Roman"/>
                <w:color w:val="000000"/>
                <w:lang w:eastAsia="pl-PL"/>
              </w:rPr>
              <w:t xml:space="preserve"> (UNHCR) nie zgłosił uwag do projektu ustawy.</w:t>
            </w:r>
          </w:p>
          <w:p w:rsidR="00E34FCE" w:rsidRPr="006E0D62" w:rsidRDefault="00E34FCE" w:rsidP="00E34FCE">
            <w:pPr>
              <w:spacing w:after="0" w:line="240" w:lineRule="auto"/>
              <w:jc w:val="both"/>
              <w:rPr>
                <w:rFonts w:ascii="Times New Roman" w:eastAsia="Times New Roman" w:hAnsi="Times New Roman" w:cs="Times New Roman"/>
                <w:color w:val="000000"/>
                <w:lang w:eastAsia="pl-PL"/>
              </w:rPr>
            </w:pPr>
          </w:p>
          <w:p w:rsidR="00E34FCE" w:rsidRPr="006E0D62" w:rsidRDefault="00E34FCE" w:rsidP="00E34FCE">
            <w:pPr>
              <w:spacing w:after="120" w:line="240" w:lineRule="auto"/>
              <w:jc w:val="both"/>
              <w:rPr>
                <w:rFonts w:ascii="Times New Roman" w:eastAsia="Calibri" w:hAnsi="Times New Roman" w:cs="Times New Roman"/>
                <w:color w:val="000000"/>
              </w:rPr>
            </w:pPr>
            <w:r w:rsidRPr="006E0D62">
              <w:rPr>
                <w:rFonts w:ascii="Times New Roman" w:eastAsia="Calibri" w:hAnsi="Times New Roman" w:cs="Times New Roman"/>
              </w:rPr>
              <w:t>Nie odnotowano zgłoszeń zainteresowanych podmiotów w trybie przepisów o działalności lobbingowej w procesie stanowienia prawa.</w:t>
            </w:r>
          </w:p>
        </w:tc>
      </w:tr>
      <w:tr w:rsidR="00E34FCE" w:rsidRPr="006E0D62" w:rsidTr="005277E4">
        <w:trPr>
          <w:gridAfter w:val="1"/>
          <w:wAfter w:w="9" w:type="dxa"/>
          <w:trHeight w:val="363"/>
        </w:trPr>
        <w:tc>
          <w:tcPr>
            <w:tcW w:w="10938" w:type="dxa"/>
            <w:gridSpan w:val="22"/>
            <w:shd w:val="clear" w:color="auto" w:fill="99CCFF"/>
            <w:vAlign w:val="center"/>
          </w:tcPr>
          <w:p w:rsidR="00E34FCE" w:rsidRPr="006E0D62" w:rsidRDefault="00E34FCE" w:rsidP="00E34FCE">
            <w:pPr>
              <w:keepNext/>
              <w:numPr>
                <w:ilvl w:val="0"/>
                <w:numId w:val="2"/>
              </w:numPr>
              <w:spacing w:before="60" w:after="60" w:line="240" w:lineRule="auto"/>
              <w:ind w:left="318" w:hanging="284"/>
              <w:jc w:val="both"/>
              <w:rPr>
                <w:rFonts w:ascii="Times New Roman" w:eastAsia="Calibri" w:hAnsi="Times New Roman" w:cs="Times New Roman"/>
                <w:b/>
                <w:color w:val="000000"/>
              </w:rPr>
            </w:pPr>
            <w:r w:rsidRPr="006E0D62">
              <w:rPr>
                <w:rFonts w:ascii="Times New Roman" w:eastAsia="Calibri" w:hAnsi="Times New Roman" w:cs="Times New Roman"/>
                <w:b/>
                <w:color w:val="000000"/>
              </w:rPr>
              <w:t xml:space="preserve"> Wpływ na sektor finansów publicznych</w:t>
            </w:r>
          </w:p>
        </w:tc>
      </w:tr>
      <w:tr w:rsidR="00E34FCE" w:rsidRPr="006E0D62" w:rsidTr="005277E4">
        <w:trPr>
          <w:gridAfter w:val="1"/>
          <w:wAfter w:w="9" w:type="dxa"/>
          <w:trHeight w:val="142"/>
        </w:trPr>
        <w:tc>
          <w:tcPr>
            <w:tcW w:w="1418" w:type="dxa"/>
            <w:vMerge w:val="restart"/>
            <w:shd w:val="clear" w:color="auto" w:fill="FFFFFF"/>
          </w:tcPr>
          <w:p w:rsidR="00E34FCE" w:rsidRPr="006E0D62" w:rsidRDefault="00E34FCE" w:rsidP="00E34FCE">
            <w:pPr>
              <w:spacing w:before="40" w:after="40" w:line="276" w:lineRule="auto"/>
              <w:rPr>
                <w:rFonts w:ascii="Times New Roman" w:eastAsia="Calibri" w:hAnsi="Times New Roman" w:cs="Times New Roman"/>
                <w:i/>
                <w:color w:val="000000"/>
                <w:sz w:val="21"/>
                <w:szCs w:val="21"/>
              </w:rPr>
            </w:pPr>
            <w:r w:rsidRPr="006E0D62">
              <w:rPr>
                <w:rFonts w:ascii="Times New Roman" w:eastAsia="Calibri" w:hAnsi="Times New Roman" w:cs="Times New Roman"/>
                <w:color w:val="000000"/>
                <w:sz w:val="21"/>
                <w:szCs w:val="21"/>
              </w:rPr>
              <w:t>(ceny stałe z …… r.)</w:t>
            </w:r>
          </w:p>
        </w:tc>
        <w:tc>
          <w:tcPr>
            <w:tcW w:w="9520" w:type="dxa"/>
            <w:gridSpan w:val="21"/>
            <w:shd w:val="clear" w:color="auto" w:fill="FFFFFF"/>
          </w:tcPr>
          <w:p w:rsidR="00E34FCE" w:rsidRPr="006E0D62" w:rsidRDefault="00E34FCE" w:rsidP="00E34FCE">
            <w:pPr>
              <w:spacing w:before="40" w:after="4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Skutki w okresie 10 lat od wejścia w życie zmian</w:t>
            </w:r>
          </w:p>
          <w:p w:rsidR="00E34FCE" w:rsidRPr="006E0D62" w:rsidRDefault="00E34FCE" w:rsidP="00E34FCE">
            <w:pPr>
              <w:spacing w:before="40" w:after="40" w:line="240" w:lineRule="auto"/>
              <w:jc w:val="center"/>
              <w:rPr>
                <w:rFonts w:ascii="Times New Roman" w:eastAsia="Calibri" w:hAnsi="Times New Roman" w:cs="Times New Roman"/>
                <w:i/>
                <w:color w:val="000000"/>
                <w:sz w:val="21"/>
                <w:szCs w:val="21"/>
              </w:rPr>
            </w:pPr>
            <w:r w:rsidRPr="006E0D62">
              <w:rPr>
                <w:rFonts w:ascii="Times New Roman" w:eastAsia="Calibri" w:hAnsi="Times New Roman" w:cs="Times New Roman"/>
                <w:color w:val="000000"/>
                <w:sz w:val="21"/>
                <w:szCs w:val="21"/>
              </w:rPr>
              <w:t xml:space="preserve"> </w:t>
            </w:r>
          </w:p>
        </w:tc>
      </w:tr>
      <w:tr w:rsidR="00E34FCE" w:rsidRPr="006E0D62" w:rsidTr="005277E4">
        <w:trPr>
          <w:gridAfter w:val="1"/>
          <w:wAfter w:w="9" w:type="dxa"/>
          <w:trHeight w:val="285"/>
        </w:trPr>
        <w:tc>
          <w:tcPr>
            <w:tcW w:w="1418" w:type="dxa"/>
            <w:vMerge/>
            <w:shd w:val="clear" w:color="auto" w:fill="FFFFFF"/>
          </w:tcPr>
          <w:p w:rsidR="00E34FCE" w:rsidRPr="006E0D62" w:rsidRDefault="00E34FCE" w:rsidP="00E34FCE">
            <w:pPr>
              <w:spacing w:before="40" w:after="40" w:line="240" w:lineRule="auto"/>
              <w:rPr>
                <w:rFonts w:ascii="Times New Roman" w:eastAsia="Calibri" w:hAnsi="Times New Roman" w:cs="Times New Roman"/>
                <w:i/>
                <w:color w:val="000000"/>
                <w:sz w:val="21"/>
                <w:szCs w:val="21"/>
              </w:rPr>
            </w:pP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2015</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2016</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2017</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2018</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2019</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2020</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2021</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2022</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2023</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16"/>
                <w:szCs w:val="16"/>
              </w:rPr>
            </w:pPr>
            <w:r w:rsidRPr="006E0D62">
              <w:rPr>
                <w:rFonts w:ascii="Times New Roman" w:eastAsia="Calibri" w:hAnsi="Times New Roman" w:cs="Times New Roman"/>
                <w:color w:val="000000"/>
                <w:sz w:val="16"/>
                <w:szCs w:val="16"/>
              </w:rPr>
              <w:t>2024</w:t>
            </w:r>
          </w:p>
        </w:tc>
        <w:tc>
          <w:tcPr>
            <w:tcW w:w="1794" w:type="dxa"/>
            <w:shd w:val="clear" w:color="auto" w:fill="FFFFFF"/>
          </w:tcPr>
          <w:p w:rsidR="00E34FCE" w:rsidRPr="006E0D62" w:rsidRDefault="00E34FCE" w:rsidP="00E34FCE">
            <w:pPr>
              <w:spacing w:before="40" w:after="40" w:line="240" w:lineRule="auto"/>
              <w:jc w:val="center"/>
              <w:rPr>
                <w:rFonts w:ascii="Times New Roman" w:eastAsia="Calibri" w:hAnsi="Times New Roman" w:cs="Times New Roman"/>
                <w:i/>
                <w:color w:val="000000"/>
                <w:sz w:val="16"/>
                <w:szCs w:val="16"/>
              </w:rPr>
            </w:pPr>
            <w:r w:rsidRPr="006E0D62">
              <w:rPr>
                <w:rFonts w:ascii="Times New Roman" w:eastAsia="Calibri" w:hAnsi="Times New Roman" w:cs="Times New Roman"/>
                <w:i/>
                <w:color w:val="000000"/>
                <w:sz w:val="16"/>
                <w:szCs w:val="16"/>
              </w:rPr>
              <w:t>Łącznie (0–10)</w:t>
            </w:r>
          </w:p>
        </w:tc>
      </w:tr>
      <w:tr w:rsidR="00E34FCE" w:rsidRPr="006E0D62" w:rsidTr="005277E4">
        <w:trPr>
          <w:trHeight w:val="321"/>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18"/>
                <w:szCs w:val="18"/>
              </w:rPr>
            </w:pPr>
            <w:r w:rsidRPr="006E0D62">
              <w:rPr>
                <w:rFonts w:ascii="Times New Roman" w:eastAsia="Calibri" w:hAnsi="Times New Roman" w:cs="Times New Roman"/>
                <w:b/>
                <w:color w:val="000000"/>
                <w:sz w:val="18"/>
                <w:szCs w:val="18"/>
              </w:rPr>
              <w:t>Dochody ogółem</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trHeight w:val="321"/>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18"/>
                <w:szCs w:val="18"/>
              </w:rPr>
            </w:pPr>
            <w:r w:rsidRPr="006E0D62">
              <w:rPr>
                <w:rFonts w:ascii="Times New Roman" w:eastAsia="Calibri" w:hAnsi="Times New Roman" w:cs="Times New Roman"/>
                <w:color w:val="000000"/>
                <w:sz w:val="18"/>
                <w:szCs w:val="18"/>
              </w:rPr>
              <w:t>budżet państwa</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trHeight w:val="344"/>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18"/>
                <w:szCs w:val="18"/>
              </w:rPr>
            </w:pPr>
            <w:r w:rsidRPr="006E0D62">
              <w:rPr>
                <w:rFonts w:ascii="Times New Roman" w:eastAsia="Calibri" w:hAnsi="Times New Roman" w:cs="Times New Roman"/>
                <w:color w:val="000000"/>
                <w:sz w:val="18"/>
                <w:szCs w:val="18"/>
              </w:rPr>
              <w:t>JST</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trHeight w:val="344"/>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18"/>
                <w:szCs w:val="18"/>
              </w:rPr>
            </w:pPr>
            <w:r w:rsidRPr="006E0D62">
              <w:rPr>
                <w:rFonts w:ascii="Times New Roman" w:eastAsia="Calibri" w:hAnsi="Times New Roman" w:cs="Times New Roman"/>
                <w:color w:val="000000"/>
                <w:sz w:val="18"/>
                <w:szCs w:val="18"/>
              </w:rPr>
              <w:t>pozostałe jednostki (oddzielnie)</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trHeight w:val="330"/>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16"/>
                <w:szCs w:val="16"/>
              </w:rPr>
            </w:pPr>
            <w:r w:rsidRPr="006E0D62">
              <w:rPr>
                <w:rFonts w:ascii="Times New Roman" w:eastAsia="Calibri" w:hAnsi="Times New Roman" w:cs="Times New Roman"/>
                <w:b/>
                <w:color w:val="000000"/>
                <w:sz w:val="16"/>
                <w:szCs w:val="16"/>
              </w:rPr>
              <w:t>Wydatki ogółem</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6"/>
                <w:szCs w:val="16"/>
              </w:rPr>
            </w:pPr>
            <w:r w:rsidRPr="006E0D62">
              <w:rPr>
                <w:rFonts w:ascii="Times New Roman" w:eastAsia="Calibri" w:hAnsi="Times New Roman" w:cs="Times New Roman"/>
                <w:b/>
                <w:color w:val="000000"/>
                <w:sz w:val="16"/>
                <w:szCs w:val="16"/>
              </w:rPr>
              <w:t>-</w:t>
            </w:r>
          </w:p>
        </w:tc>
      </w:tr>
      <w:tr w:rsidR="00E34FCE" w:rsidRPr="006E0D62" w:rsidTr="005277E4">
        <w:trPr>
          <w:trHeight w:val="351"/>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JST</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trHeight w:val="351"/>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pozostałe jednostki (oddzielnie)</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trHeight w:val="360"/>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b/>
                <w:color w:val="000000"/>
                <w:sz w:val="21"/>
                <w:szCs w:val="21"/>
              </w:rPr>
              <w:t>Saldo ogółem</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b/>
                <w:color w:val="000000"/>
                <w:sz w:val="14"/>
                <w:szCs w:val="14"/>
              </w:rPr>
            </w:pPr>
            <w:r w:rsidRPr="006E0D62">
              <w:rPr>
                <w:rFonts w:ascii="Times New Roman" w:eastAsia="Calibri" w:hAnsi="Times New Roman" w:cs="Times New Roman"/>
                <w:b/>
                <w:color w:val="000000"/>
                <w:sz w:val="14"/>
                <w:szCs w:val="14"/>
              </w:rPr>
              <w:t>-</w:t>
            </w:r>
          </w:p>
        </w:tc>
      </w:tr>
      <w:tr w:rsidR="00E34FCE" w:rsidRPr="006E0D62" w:rsidTr="005277E4">
        <w:trPr>
          <w:trHeight w:val="360"/>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budżet państwa</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trHeight w:val="357"/>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JST</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trHeight w:val="357"/>
        </w:trPr>
        <w:tc>
          <w:tcPr>
            <w:tcW w:w="1418" w:type="dxa"/>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pozostałe jednostki (oddzielnie)</w:t>
            </w:r>
          </w:p>
        </w:tc>
        <w:tc>
          <w:tcPr>
            <w:tcW w:w="737"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68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51"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5"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9"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10"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8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80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gridAfter w:val="1"/>
          <w:wAfter w:w="9" w:type="dxa"/>
          <w:trHeight w:val="348"/>
        </w:trPr>
        <w:tc>
          <w:tcPr>
            <w:tcW w:w="1905" w:type="dxa"/>
            <w:gridSpan w:val="3"/>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 xml:space="preserve">Źródła finansowania </w:t>
            </w:r>
          </w:p>
        </w:tc>
        <w:tc>
          <w:tcPr>
            <w:tcW w:w="9033" w:type="dxa"/>
            <w:gridSpan w:val="19"/>
            <w:shd w:val="clear" w:color="auto" w:fill="FFFFFF"/>
            <w:vAlign w:val="center"/>
          </w:tcPr>
          <w:p w:rsidR="00E34FCE" w:rsidRPr="006E0D62" w:rsidRDefault="00E34FCE" w:rsidP="00E34FCE">
            <w:pPr>
              <w:spacing w:after="0" w:line="240" w:lineRule="auto"/>
              <w:jc w:val="both"/>
              <w:rPr>
                <w:rFonts w:ascii="Times New Roman" w:eastAsia="Calibri" w:hAnsi="Times New Roman" w:cs="Times New Roman"/>
              </w:rPr>
            </w:pPr>
          </w:p>
        </w:tc>
      </w:tr>
      <w:tr w:rsidR="00E34FCE" w:rsidRPr="006E0D62" w:rsidTr="005277E4">
        <w:trPr>
          <w:gridAfter w:val="1"/>
          <w:wAfter w:w="9" w:type="dxa"/>
          <w:trHeight w:val="983"/>
        </w:trPr>
        <w:tc>
          <w:tcPr>
            <w:tcW w:w="1905" w:type="dxa"/>
            <w:gridSpan w:val="3"/>
            <w:shd w:val="clear" w:color="auto" w:fill="FFFFFF"/>
          </w:tcPr>
          <w:p w:rsidR="00E34FCE"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Dodatkowe informacje, w tym wskazanie źródeł danych i przyjętych do obliczeń założeń</w:t>
            </w:r>
          </w:p>
          <w:p w:rsidR="00DC32FD" w:rsidRPr="006E0D62" w:rsidRDefault="00DC32FD" w:rsidP="00E34FCE">
            <w:pPr>
              <w:spacing w:after="0" w:line="240" w:lineRule="auto"/>
              <w:rPr>
                <w:rFonts w:ascii="Times New Roman" w:eastAsia="Calibri" w:hAnsi="Times New Roman" w:cs="Times New Roman"/>
                <w:color w:val="000000"/>
                <w:sz w:val="21"/>
                <w:szCs w:val="21"/>
              </w:rPr>
            </w:pPr>
          </w:p>
        </w:tc>
        <w:tc>
          <w:tcPr>
            <w:tcW w:w="9033" w:type="dxa"/>
            <w:gridSpan w:val="19"/>
            <w:shd w:val="clear" w:color="auto" w:fill="FFFFFF"/>
          </w:tcPr>
          <w:p w:rsidR="00E34FCE" w:rsidRPr="006E0D62" w:rsidRDefault="00E34FCE" w:rsidP="00E34FCE">
            <w:pPr>
              <w:spacing w:before="120" w:after="0" w:line="240" w:lineRule="auto"/>
              <w:jc w:val="both"/>
              <w:rPr>
                <w:rFonts w:ascii="Times New Roman" w:eastAsia="Calibri" w:hAnsi="Times New Roman" w:cs="Times New Roman"/>
                <w:color w:val="000000"/>
              </w:rPr>
            </w:pPr>
            <w:r w:rsidRPr="006E0D62">
              <w:rPr>
                <w:rFonts w:ascii="Times New Roman" w:eastAsia="Calibri" w:hAnsi="Times New Roman" w:cs="Times New Roman"/>
              </w:rPr>
              <w:t>Projektowana regulacja nie będzie miała wpływu na sektor finansów publicznych, w tym budżet państwa i budżety jednostek samorządu terytorialnego.</w:t>
            </w:r>
          </w:p>
        </w:tc>
      </w:tr>
      <w:tr w:rsidR="00E34FCE" w:rsidRPr="006E0D62" w:rsidTr="005277E4">
        <w:trPr>
          <w:gridAfter w:val="1"/>
          <w:wAfter w:w="9" w:type="dxa"/>
          <w:trHeight w:val="345"/>
        </w:trPr>
        <w:tc>
          <w:tcPr>
            <w:tcW w:w="10938" w:type="dxa"/>
            <w:gridSpan w:val="22"/>
            <w:shd w:val="clear" w:color="auto" w:fill="99CCFF"/>
          </w:tcPr>
          <w:p w:rsidR="00E34FCE" w:rsidRPr="006E0D62" w:rsidRDefault="00E34FCE" w:rsidP="00E34FCE">
            <w:pPr>
              <w:numPr>
                <w:ilvl w:val="0"/>
                <w:numId w:val="2"/>
              </w:numPr>
              <w:spacing w:before="120" w:after="120" w:line="240" w:lineRule="auto"/>
              <w:jc w:val="both"/>
              <w:rPr>
                <w:rFonts w:ascii="Times New Roman" w:eastAsia="Calibri" w:hAnsi="Times New Roman" w:cs="Times New Roman"/>
                <w:b/>
                <w:color w:val="000000"/>
              </w:rPr>
            </w:pPr>
            <w:r w:rsidRPr="006E0D62">
              <w:rPr>
                <w:rFonts w:ascii="Times New Roman" w:eastAsia="Calibri" w:hAnsi="Times New Roman" w:cs="Times New Roman"/>
                <w:b/>
                <w:color w:val="000000"/>
              </w:rPr>
              <w:t xml:space="preserve">Wpływ na konkurencyjność gospodarki i przedsiębiorczość, w tym funkcjonowanie przedsiębiorców oraz na rodzinę, obywateli i gospodarstwa domowe </w:t>
            </w:r>
          </w:p>
        </w:tc>
      </w:tr>
      <w:tr w:rsidR="00E34FCE" w:rsidRPr="006E0D62" w:rsidTr="005277E4">
        <w:trPr>
          <w:gridAfter w:val="1"/>
          <w:wAfter w:w="9" w:type="dxa"/>
          <w:trHeight w:val="142"/>
        </w:trPr>
        <w:tc>
          <w:tcPr>
            <w:tcW w:w="10938" w:type="dxa"/>
            <w:gridSpan w:val="2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Skutki</w:t>
            </w:r>
          </w:p>
        </w:tc>
      </w:tr>
      <w:tr w:rsidR="00E34FCE" w:rsidRPr="006E0D62" w:rsidTr="00DC32FD">
        <w:trPr>
          <w:gridAfter w:val="1"/>
          <w:wAfter w:w="9" w:type="dxa"/>
          <w:trHeight w:val="142"/>
        </w:trPr>
        <w:tc>
          <w:tcPr>
            <w:tcW w:w="3545" w:type="dxa"/>
            <w:gridSpan w:val="8"/>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Czas w latach od wejścia w życie zmian</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0</w:t>
            </w:r>
          </w:p>
        </w:tc>
        <w:tc>
          <w:tcPr>
            <w:tcW w:w="721"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1</w:t>
            </w:r>
          </w:p>
        </w:tc>
        <w:tc>
          <w:tcPr>
            <w:tcW w:w="935"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2</w:t>
            </w:r>
          </w:p>
        </w:tc>
        <w:tc>
          <w:tcPr>
            <w:tcW w:w="117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3</w:t>
            </w:r>
          </w:p>
        </w:tc>
        <w:tc>
          <w:tcPr>
            <w:tcW w:w="99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5</w:t>
            </w:r>
          </w:p>
        </w:tc>
        <w:tc>
          <w:tcPr>
            <w:tcW w:w="1063"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10</w:t>
            </w:r>
          </w:p>
        </w:tc>
        <w:tc>
          <w:tcPr>
            <w:tcW w:w="1794"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i/>
                <w:color w:val="000000"/>
                <w:sz w:val="21"/>
                <w:szCs w:val="21"/>
              </w:rPr>
            </w:pPr>
            <w:r w:rsidRPr="006E0D62">
              <w:rPr>
                <w:rFonts w:ascii="Times New Roman" w:eastAsia="Calibri" w:hAnsi="Times New Roman" w:cs="Times New Roman"/>
                <w:i/>
                <w:color w:val="000000"/>
                <w:sz w:val="21"/>
                <w:szCs w:val="21"/>
              </w:rPr>
              <w:t>Łącznie</w:t>
            </w:r>
            <w:r w:rsidRPr="006E0D62" w:rsidDel="0073273A">
              <w:rPr>
                <w:rFonts w:ascii="Times New Roman" w:eastAsia="Calibri" w:hAnsi="Times New Roman" w:cs="Times New Roman"/>
                <w:i/>
                <w:color w:val="000000"/>
                <w:sz w:val="21"/>
                <w:szCs w:val="21"/>
              </w:rPr>
              <w:t xml:space="preserve"> </w:t>
            </w:r>
            <w:r w:rsidRPr="006E0D62">
              <w:rPr>
                <w:rFonts w:ascii="Times New Roman" w:eastAsia="Calibri" w:hAnsi="Times New Roman" w:cs="Times New Roman"/>
                <w:i/>
                <w:color w:val="000000"/>
                <w:sz w:val="21"/>
                <w:szCs w:val="21"/>
              </w:rPr>
              <w:t>(0–10)</w:t>
            </w:r>
          </w:p>
        </w:tc>
      </w:tr>
      <w:tr w:rsidR="00E34FCE" w:rsidRPr="006E0D62" w:rsidTr="00DC32FD">
        <w:trPr>
          <w:gridAfter w:val="1"/>
          <w:wAfter w:w="9" w:type="dxa"/>
          <w:trHeight w:val="142"/>
        </w:trPr>
        <w:tc>
          <w:tcPr>
            <w:tcW w:w="1560" w:type="dxa"/>
            <w:gridSpan w:val="2"/>
            <w:vMerge w:val="restart"/>
            <w:shd w:val="clear" w:color="auto" w:fill="FFFFFF"/>
          </w:tcPr>
          <w:p w:rsidR="00E34FCE" w:rsidRPr="006E0D62" w:rsidRDefault="00E34FCE" w:rsidP="00E34FCE">
            <w:pPr>
              <w:spacing w:after="0" w:line="276"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 ujęciu pieniężnym</w:t>
            </w:r>
          </w:p>
          <w:p w:rsidR="00E34FCE" w:rsidRPr="006E0D62" w:rsidRDefault="00E34FCE" w:rsidP="00E34FCE">
            <w:pPr>
              <w:spacing w:after="0" w:line="276" w:lineRule="auto"/>
              <w:rPr>
                <w:rFonts w:ascii="Times New Roman" w:eastAsia="Calibri" w:hAnsi="Times New Roman" w:cs="Times New Roman"/>
                <w:sz w:val="21"/>
                <w:szCs w:val="21"/>
              </w:rPr>
            </w:pPr>
            <w:r w:rsidRPr="006E0D62">
              <w:rPr>
                <w:rFonts w:ascii="Times New Roman" w:eastAsia="Calibri" w:hAnsi="Times New Roman" w:cs="Times New Roman"/>
                <w:sz w:val="21"/>
                <w:szCs w:val="21"/>
              </w:rPr>
              <w:t xml:space="preserve">(w mln zł, </w:t>
            </w:r>
          </w:p>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sz w:val="21"/>
                <w:szCs w:val="21"/>
              </w:rPr>
              <w:t>ceny stałe z …… r.)</w:t>
            </w:r>
          </w:p>
        </w:tc>
        <w:tc>
          <w:tcPr>
            <w:tcW w:w="1985" w:type="dxa"/>
            <w:gridSpan w:val="6"/>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duże przedsiębiorstwa</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21"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935"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17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99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063"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794"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DC32FD">
        <w:trPr>
          <w:gridAfter w:val="1"/>
          <w:wAfter w:w="9" w:type="dxa"/>
          <w:trHeight w:val="142"/>
        </w:trPr>
        <w:tc>
          <w:tcPr>
            <w:tcW w:w="1560" w:type="dxa"/>
            <w:gridSpan w:val="2"/>
            <w:vMerge/>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p>
        </w:tc>
        <w:tc>
          <w:tcPr>
            <w:tcW w:w="1985" w:type="dxa"/>
            <w:gridSpan w:val="6"/>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sektor mikro-, małych i średnich przedsiębiorstw</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p>
        </w:tc>
        <w:tc>
          <w:tcPr>
            <w:tcW w:w="721"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935"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17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99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063"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794"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DC32FD">
        <w:trPr>
          <w:gridAfter w:val="1"/>
          <w:wAfter w:w="9" w:type="dxa"/>
          <w:trHeight w:val="142"/>
        </w:trPr>
        <w:tc>
          <w:tcPr>
            <w:tcW w:w="1560" w:type="dxa"/>
            <w:gridSpan w:val="2"/>
            <w:vMerge/>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p>
        </w:tc>
        <w:tc>
          <w:tcPr>
            <w:tcW w:w="1985" w:type="dxa"/>
            <w:gridSpan w:val="6"/>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sz w:val="21"/>
                <w:szCs w:val="21"/>
              </w:rPr>
              <w:t>rodzina, obywatele oraz gospodarstwa domowe</w:t>
            </w:r>
          </w:p>
        </w:tc>
        <w:tc>
          <w:tcPr>
            <w:tcW w:w="708"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21"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935"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179"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993" w:type="dxa"/>
            <w:gridSpan w:val="2"/>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063" w:type="dxa"/>
            <w:gridSpan w:val="3"/>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1794" w:type="dxa"/>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p>
        </w:tc>
      </w:tr>
      <w:tr w:rsidR="00E34FCE" w:rsidRPr="006E0D62" w:rsidTr="00DC32FD">
        <w:trPr>
          <w:gridAfter w:val="1"/>
          <w:wAfter w:w="9" w:type="dxa"/>
          <w:trHeight w:val="142"/>
        </w:trPr>
        <w:tc>
          <w:tcPr>
            <w:tcW w:w="1560" w:type="dxa"/>
            <w:gridSpan w:val="2"/>
            <w:vMerge w:val="restart"/>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 ujęciu niepieniężnym</w:t>
            </w:r>
          </w:p>
        </w:tc>
        <w:tc>
          <w:tcPr>
            <w:tcW w:w="1985" w:type="dxa"/>
            <w:gridSpan w:val="6"/>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duże przedsiębiorstwa</w:t>
            </w:r>
          </w:p>
        </w:tc>
        <w:tc>
          <w:tcPr>
            <w:tcW w:w="7393" w:type="dxa"/>
            <w:gridSpan w:val="14"/>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DC32FD">
        <w:trPr>
          <w:gridAfter w:val="1"/>
          <w:wAfter w:w="9" w:type="dxa"/>
          <w:trHeight w:val="142"/>
        </w:trPr>
        <w:tc>
          <w:tcPr>
            <w:tcW w:w="1560" w:type="dxa"/>
            <w:gridSpan w:val="2"/>
            <w:vMerge/>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p>
        </w:tc>
        <w:tc>
          <w:tcPr>
            <w:tcW w:w="1985" w:type="dxa"/>
            <w:gridSpan w:val="6"/>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sektor mikro-, małych i średnich przedsiębiorstw</w:t>
            </w:r>
          </w:p>
        </w:tc>
        <w:tc>
          <w:tcPr>
            <w:tcW w:w="7393" w:type="dxa"/>
            <w:gridSpan w:val="14"/>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DC32FD">
        <w:trPr>
          <w:gridAfter w:val="1"/>
          <w:wAfter w:w="9" w:type="dxa"/>
          <w:trHeight w:val="596"/>
        </w:trPr>
        <w:tc>
          <w:tcPr>
            <w:tcW w:w="1560" w:type="dxa"/>
            <w:gridSpan w:val="2"/>
            <w:vMerge/>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p>
        </w:tc>
        <w:tc>
          <w:tcPr>
            <w:tcW w:w="1985" w:type="dxa"/>
            <w:gridSpan w:val="6"/>
            <w:shd w:val="clear" w:color="auto" w:fill="FFFFFF"/>
          </w:tcPr>
          <w:p w:rsidR="00E34FCE" w:rsidRPr="006E0D62" w:rsidRDefault="00E34FCE" w:rsidP="00E34FCE">
            <w:pPr>
              <w:tabs>
                <w:tab w:val="right" w:pos="1936"/>
              </w:tabs>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sz w:val="21"/>
                <w:szCs w:val="21"/>
              </w:rPr>
              <w:t>rodzina, obywatele oraz gospodarstwa domowe</w:t>
            </w:r>
            <w:r w:rsidRPr="006E0D62">
              <w:rPr>
                <w:rFonts w:ascii="Times New Roman" w:eastAsia="Calibri" w:hAnsi="Times New Roman" w:cs="Times New Roman"/>
                <w:color w:val="000000"/>
                <w:sz w:val="21"/>
                <w:szCs w:val="21"/>
              </w:rPr>
              <w:t xml:space="preserve"> </w:t>
            </w:r>
          </w:p>
        </w:tc>
        <w:tc>
          <w:tcPr>
            <w:tcW w:w="7393" w:type="dxa"/>
            <w:gridSpan w:val="14"/>
            <w:shd w:val="clear" w:color="auto" w:fill="FFFFFF"/>
          </w:tcPr>
          <w:p w:rsidR="00E34FCE" w:rsidRPr="006E0D62" w:rsidRDefault="00E34FCE" w:rsidP="00E34FCE">
            <w:pPr>
              <w:spacing w:after="0" w:line="240" w:lineRule="auto"/>
              <w:jc w:val="center"/>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DC32FD">
        <w:trPr>
          <w:gridAfter w:val="1"/>
          <w:wAfter w:w="9" w:type="dxa"/>
          <w:trHeight w:val="142"/>
        </w:trPr>
        <w:tc>
          <w:tcPr>
            <w:tcW w:w="1560" w:type="dxa"/>
            <w:gridSpan w:val="2"/>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Niemierzalne</w:t>
            </w:r>
          </w:p>
        </w:tc>
        <w:tc>
          <w:tcPr>
            <w:tcW w:w="1985" w:type="dxa"/>
            <w:gridSpan w:val="6"/>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c>
          <w:tcPr>
            <w:tcW w:w="7393" w:type="dxa"/>
            <w:gridSpan w:val="14"/>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w:t>
            </w:r>
          </w:p>
        </w:tc>
      </w:tr>
      <w:tr w:rsidR="00E34FCE" w:rsidRPr="006E0D62" w:rsidTr="005277E4">
        <w:trPr>
          <w:gridAfter w:val="1"/>
          <w:wAfter w:w="9" w:type="dxa"/>
          <w:trHeight w:val="1643"/>
        </w:trPr>
        <w:tc>
          <w:tcPr>
            <w:tcW w:w="1905" w:type="dxa"/>
            <w:gridSpan w:val="3"/>
            <w:shd w:val="clear" w:color="auto" w:fill="FFFFFF"/>
          </w:tcPr>
          <w:p w:rsidR="00E34FCE" w:rsidRPr="006E0D62" w:rsidRDefault="00E34FCE" w:rsidP="00E34FCE">
            <w:pPr>
              <w:spacing w:after="0" w:line="240" w:lineRule="auto"/>
              <w:rPr>
                <w:rFonts w:ascii="Times New Roman" w:eastAsia="Calibri" w:hAnsi="Times New Roman" w:cs="Times New Roman"/>
                <w:color w:val="000000"/>
                <w:sz w:val="21"/>
                <w:szCs w:val="21"/>
              </w:rPr>
            </w:pPr>
            <w:r w:rsidRPr="006E0D62">
              <w:rPr>
                <w:rFonts w:ascii="Times New Roman" w:eastAsia="Calibri" w:hAnsi="Times New Roman" w:cs="Times New Roman"/>
                <w:color w:val="000000"/>
                <w:sz w:val="21"/>
                <w:szCs w:val="21"/>
              </w:rPr>
              <w:t xml:space="preserve">Dodatkowe informacje, w tym wskazanie źródeł danych i przyjętych do obliczeń założeń </w:t>
            </w:r>
          </w:p>
        </w:tc>
        <w:tc>
          <w:tcPr>
            <w:tcW w:w="9033" w:type="dxa"/>
            <w:gridSpan w:val="19"/>
            <w:shd w:val="clear" w:color="auto" w:fill="FFFFFF"/>
            <w:vAlign w:val="center"/>
          </w:tcPr>
          <w:p w:rsidR="00E34FCE" w:rsidRPr="006E0D62" w:rsidRDefault="00E34FCE" w:rsidP="00E34FCE">
            <w:pPr>
              <w:spacing w:after="0" w:line="240" w:lineRule="auto"/>
              <w:jc w:val="both"/>
              <w:rPr>
                <w:rFonts w:ascii="Times New Roman" w:eastAsia="Calibri" w:hAnsi="Times New Roman" w:cs="Times New Roman"/>
                <w:color w:val="000000"/>
                <w:sz w:val="21"/>
                <w:szCs w:val="21"/>
              </w:rPr>
            </w:pPr>
            <w:r w:rsidRPr="006E0D62">
              <w:rPr>
                <w:rFonts w:ascii="Times New Roman" w:eastAsia="Calibri" w:hAnsi="Times New Roman" w:cs="Times New Roman"/>
                <w:color w:val="000000"/>
              </w:rPr>
              <w:t>Wejście w życie projektowanych regulacji nie będzie miało wpływu na</w:t>
            </w:r>
            <w:r w:rsidRPr="006E0D62">
              <w:rPr>
                <w:rFonts w:ascii="Times New Roman" w:eastAsia="Calibri" w:hAnsi="Times New Roman" w:cs="Times New Roman"/>
                <w:b/>
                <w:color w:val="000000"/>
              </w:rPr>
              <w:t xml:space="preserve"> </w:t>
            </w:r>
            <w:r w:rsidRPr="006E0D62">
              <w:rPr>
                <w:rFonts w:ascii="Times New Roman" w:eastAsia="Calibri" w:hAnsi="Times New Roman" w:cs="Times New Roman"/>
                <w:color w:val="000000"/>
              </w:rPr>
              <w:t>konkurencyjność gospodarki i przedsiębiorczość, w tym funkcjonowanie przedsiębiorców oraz na rodzinę, obywateli i gospodarstwa domowe.</w:t>
            </w:r>
          </w:p>
        </w:tc>
      </w:tr>
      <w:tr w:rsidR="00E34FCE" w:rsidRPr="006E0D62" w:rsidTr="005277E4">
        <w:trPr>
          <w:gridAfter w:val="1"/>
          <w:wAfter w:w="9" w:type="dxa"/>
          <w:trHeight w:val="342"/>
        </w:trPr>
        <w:tc>
          <w:tcPr>
            <w:tcW w:w="10938" w:type="dxa"/>
            <w:gridSpan w:val="22"/>
            <w:shd w:val="clear" w:color="auto" w:fill="99CCFF"/>
            <w:vAlign w:val="center"/>
          </w:tcPr>
          <w:p w:rsidR="00E34FCE" w:rsidRPr="006E0D62" w:rsidRDefault="00E34FCE" w:rsidP="00E34FCE">
            <w:pPr>
              <w:numPr>
                <w:ilvl w:val="0"/>
                <w:numId w:val="2"/>
              </w:numPr>
              <w:spacing w:before="60" w:after="60" w:line="240" w:lineRule="auto"/>
              <w:ind w:left="318" w:hanging="284"/>
              <w:jc w:val="both"/>
              <w:rPr>
                <w:rFonts w:ascii="Times New Roman" w:eastAsia="Calibri" w:hAnsi="Times New Roman" w:cs="Times New Roman"/>
                <w:b/>
                <w:color w:val="000000"/>
              </w:rPr>
            </w:pPr>
            <w:r w:rsidRPr="006E0D62">
              <w:rPr>
                <w:rFonts w:ascii="Times New Roman" w:eastAsia="Calibri" w:hAnsi="Times New Roman" w:cs="Times New Roman"/>
                <w:b/>
                <w:color w:val="000000"/>
              </w:rPr>
              <w:t>Zmiana obciążeń regulacyjnych (w tym obowiązków informacyjnych) wynikających z projektu</w:t>
            </w:r>
          </w:p>
        </w:tc>
      </w:tr>
      <w:tr w:rsidR="00E34FCE" w:rsidRPr="006E0D62" w:rsidTr="005277E4">
        <w:trPr>
          <w:gridAfter w:val="1"/>
          <w:wAfter w:w="9" w:type="dxa"/>
          <w:trHeight w:val="151"/>
        </w:trPr>
        <w:tc>
          <w:tcPr>
            <w:tcW w:w="10938" w:type="dxa"/>
            <w:gridSpan w:val="22"/>
            <w:shd w:val="clear" w:color="auto" w:fill="FFFFFF"/>
          </w:tcPr>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t>nie dotyczy</w:t>
            </w:r>
          </w:p>
        </w:tc>
      </w:tr>
      <w:tr w:rsidR="00E34FCE" w:rsidRPr="006E0D62" w:rsidTr="005277E4">
        <w:trPr>
          <w:gridAfter w:val="1"/>
          <w:wAfter w:w="9" w:type="dxa"/>
          <w:trHeight w:val="946"/>
        </w:trPr>
        <w:tc>
          <w:tcPr>
            <w:tcW w:w="4163" w:type="dxa"/>
            <w:gridSpan w:val="9"/>
            <w:shd w:val="clear" w:color="auto" w:fill="FFFFFF"/>
          </w:tcPr>
          <w:p w:rsidR="00E34FCE" w:rsidRPr="006E0D62" w:rsidRDefault="00E34FCE" w:rsidP="00E34FCE">
            <w:pPr>
              <w:spacing w:after="0" w:line="276" w:lineRule="auto"/>
              <w:rPr>
                <w:rFonts w:ascii="Times New Roman" w:eastAsia="Calibri" w:hAnsi="Times New Roman" w:cs="Times New Roman"/>
                <w:color w:val="000000"/>
              </w:rPr>
            </w:pPr>
            <w:r w:rsidRPr="006E0D62">
              <w:rPr>
                <w:rFonts w:ascii="Times New Roman" w:eastAsia="Calibri" w:hAnsi="Times New Roman" w:cs="Times New Roman"/>
                <w:color w:val="000000"/>
              </w:rPr>
              <w:t>Wprowadzane są obciążenia poza bezwzględnie wymaganymi przez UE (szczegóły w odwróconej tabeli zgodności).</w:t>
            </w:r>
          </w:p>
        </w:tc>
        <w:tc>
          <w:tcPr>
            <w:tcW w:w="6775" w:type="dxa"/>
            <w:gridSpan w:val="13"/>
            <w:shd w:val="clear" w:color="auto" w:fill="FFFFFF"/>
          </w:tcPr>
          <w:p w:rsidR="00E34FCE" w:rsidRPr="006E0D62" w:rsidRDefault="00E34FCE" w:rsidP="00E34FCE">
            <w:pPr>
              <w:spacing w:after="0" w:line="276" w:lineRule="auto"/>
              <w:rPr>
                <w:rFonts w:ascii="Times New Roman" w:eastAsia="Calibri" w:hAnsi="Times New Roman" w:cs="Times New Roman"/>
                <w:color w:val="000000"/>
              </w:rPr>
            </w:pPr>
            <w:r w:rsidRPr="006E0D62">
              <w:rPr>
                <w:rFonts w:ascii="Times New Roman" w:eastAsia="Calibri" w:hAnsi="Times New Roman" w:cs="Times New Roman"/>
                <w:color w:val="000000"/>
              </w:rPr>
              <w:t>nie dotyczy</w:t>
            </w:r>
          </w:p>
        </w:tc>
      </w:tr>
      <w:tr w:rsidR="00E34FCE" w:rsidRPr="006E0D62" w:rsidTr="005277E4">
        <w:trPr>
          <w:gridAfter w:val="1"/>
          <w:wAfter w:w="9" w:type="dxa"/>
          <w:trHeight w:val="1245"/>
        </w:trPr>
        <w:tc>
          <w:tcPr>
            <w:tcW w:w="4163" w:type="dxa"/>
            <w:gridSpan w:val="9"/>
            <w:shd w:val="clear" w:color="auto" w:fill="FFFFFF"/>
          </w:tcPr>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 xml:space="preserve">zmniejszenie liczby dokumentów </w:t>
            </w: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zmniejszenie liczby procedur</w:t>
            </w: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skrócenie czasu na załatwienie sprawy</w:t>
            </w:r>
          </w:p>
          <w:p w:rsidR="00E34FCE" w:rsidRPr="006E0D62" w:rsidRDefault="00E34FCE" w:rsidP="00E34FCE">
            <w:pPr>
              <w:spacing w:after="0" w:line="276" w:lineRule="auto"/>
              <w:rPr>
                <w:rFonts w:ascii="Times New Roman" w:eastAsia="Calibri" w:hAnsi="Times New Roman" w:cs="Times New Roman"/>
                <w:b/>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 xml:space="preserve">inne: </w:t>
            </w:r>
            <w:r w:rsidRPr="006E0D62">
              <w:rPr>
                <w:rFonts w:ascii="Times New Roman" w:eastAsia="Calibri" w:hAnsi="Times New Roman" w:cs="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6E0D62">
              <w:rPr>
                <w:rFonts w:ascii="Times New Roman" w:eastAsia="Calibri" w:hAnsi="Times New Roman" w:cs="Times New Roman"/>
                <w:color w:val="000000"/>
              </w:rPr>
              <w:instrText xml:space="preserve"> FORMTEXT </w:instrText>
            </w:r>
            <w:r w:rsidRPr="006E0D62">
              <w:rPr>
                <w:rFonts w:ascii="Times New Roman" w:eastAsia="Calibri" w:hAnsi="Times New Roman" w:cs="Times New Roman"/>
                <w:color w:val="000000"/>
              </w:rPr>
            </w:r>
            <w:r w:rsidRPr="006E0D62">
              <w:rPr>
                <w:rFonts w:ascii="Times New Roman" w:eastAsia="Calibri" w:hAnsi="Times New Roman" w:cs="Times New Roman"/>
                <w:color w:val="000000"/>
              </w:rPr>
              <w:fldChar w:fldCharType="separate"/>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Times New Roman" w:cs="Times New Roman"/>
                <w:color w:val="000000"/>
              </w:rPr>
              <w:fldChar w:fldCharType="end"/>
            </w:r>
          </w:p>
        </w:tc>
        <w:tc>
          <w:tcPr>
            <w:tcW w:w="6775" w:type="dxa"/>
            <w:gridSpan w:val="13"/>
            <w:shd w:val="clear" w:color="auto" w:fill="FFFFFF"/>
          </w:tcPr>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zwiększenie liczby dokumentów</w:t>
            </w: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zwiększenie liczby procedur</w:t>
            </w: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wydłużenie czasu na załatwienie sprawy</w:t>
            </w: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 xml:space="preserve">inne: </w:t>
            </w:r>
            <w:r w:rsidRPr="006E0D62">
              <w:rPr>
                <w:rFonts w:ascii="Times New Roman" w:eastAsia="Calibri" w:hAnsi="Times New Roman" w:cs="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6E0D62">
              <w:rPr>
                <w:rFonts w:ascii="Times New Roman" w:eastAsia="Calibri" w:hAnsi="Times New Roman" w:cs="Times New Roman"/>
                <w:color w:val="000000"/>
              </w:rPr>
              <w:instrText xml:space="preserve"> FORMTEXT </w:instrText>
            </w:r>
            <w:r w:rsidRPr="006E0D62">
              <w:rPr>
                <w:rFonts w:ascii="Times New Roman" w:eastAsia="Calibri" w:hAnsi="Times New Roman" w:cs="Times New Roman"/>
                <w:color w:val="000000"/>
              </w:rPr>
            </w:r>
            <w:r w:rsidRPr="006E0D62">
              <w:rPr>
                <w:rFonts w:ascii="Times New Roman" w:eastAsia="Calibri" w:hAnsi="Times New Roman" w:cs="Times New Roman"/>
                <w:color w:val="000000"/>
              </w:rPr>
              <w:fldChar w:fldCharType="separate"/>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Times New Roman" w:cs="Times New Roman"/>
                <w:color w:val="000000"/>
              </w:rPr>
              <w:fldChar w:fldCharType="end"/>
            </w:r>
          </w:p>
          <w:p w:rsidR="00E34FCE" w:rsidRPr="006E0D62" w:rsidRDefault="00E34FCE" w:rsidP="00E34FCE">
            <w:pPr>
              <w:spacing w:after="0" w:line="240" w:lineRule="auto"/>
              <w:rPr>
                <w:rFonts w:ascii="Times New Roman" w:eastAsia="Calibri" w:hAnsi="Times New Roman" w:cs="Times New Roman"/>
                <w:color w:val="000000"/>
              </w:rPr>
            </w:pPr>
          </w:p>
        </w:tc>
      </w:tr>
      <w:tr w:rsidR="00E34FCE" w:rsidRPr="006E0D62" w:rsidTr="005277E4">
        <w:trPr>
          <w:gridAfter w:val="1"/>
          <w:wAfter w:w="9" w:type="dxa"/>
          <w:trHeight w:val="870"/>
        </w:trPr>
        <w:tc>
          <w:tcPr>
            <w:tcW w:w="4163" w:type="dxa"/>
            <w:gridSpan w:val="9"/>
            <w:shd w:val="clear" w:color="auto" w:fill="FFFFFF"/>
          </w:tcPr>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t xml:space="preserve">Wprowadzane obciążenia są przystosowane do ich elektronizacji. </w:t>
            </w:r>
          </w:p>
        </w:tc>
        <w:tc>
          <w:tcPr>
            <w:tcW w:w="6775" w:type="dxa"/>
            <w:gridSpan w:val="13"/>
            <w:shd w:val="clear" w:color="auto" w:fill="FFFFFF"/>
          </w:tcPr>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t>nie dotyczy</w:t>
            </w:r>
          </w:p>
          <w:p w:rsidR="00E34FCE" w:rsidRPr="006E0D62" w:rsidRDefault="00E34FCE" w:rsidP="00E34FCE">
            <w:pPr>
              <w:spacing w:after="0" w:line="240" w:lineRule="auto"/>
              <w:rPr>
                <w:rFonts w:ascii="Times New Roman" w:eastAsia="Calibri" w:hAnsi="Times New Roman" w:cs="Times New Roman"/>
                <w:color w:val="000000"/>
              </w:rPr>
            </w:pPr>
          </w:p>
        </w:tc>
      </w:tr>
      <w:tr w:rsidR="00E34FCE" w:rsidRPr="006E0D62" w:rsidTr="005277E4">
        <w:trPr>
          <w:gridAfter w:val="1"/>
          <w:wAfter w:w="9" w:type="dxa"/>
          <w:trHeight w:val="630"/>
        </w:trPr>
        <w:tc>
          <w:tcPr>
            <w:tcW w:w="10938" w:type="dxa"/>
            <w:gridSpan w:val="22"/>
            <w:shd w:val="clear" w:color="auto" w:fill="FFFFFF"/>
          </w:tcPr>
          <w:p w:rsidR="00E34FCE" w:rsidRPr="006E0D62" w:rsidRDefault="00E34FCE" w:rsidP="00E34FCE">
            <w:pPr>
              <w:spacing w:after="0" w:line="240" w:lineRule="auto"/>
              <w:jc w:val="both"/>
              <w:rPr>
                <w:rFonts w:ascii="Times New Roman" w:eastAsia="Calibri" w:hAnsi="Times New Roman" w:cs="Times New Roman"/>
                <w:color w:val="000000"/>
              </w:rPr>
            </w:pPr>
            <w:r w:rsidRPr="006E0D62">
              <w:rPr>
                <w:rFonts w:ascii="Times New Roman" w:eastAsia="Calibri" w:hAnsi="Times New Roman" w:cs="Times New Roman"/>
                <w:color w:val="000000"/>
              </w:rPr>
              <w:t>Komentarz: nie dotyczy</w:t>
            </w:r>
          </w:p>
          <w:p w:rsidR="00E34FCE" w:rsidRPr="006E0D62" w:rsidRDefault="00E34FCE" w:rsidP="00E34FCE">
            <w:pPr>
              <w:spacing w:after="0" w:line="240" w:lineRule="auto"/>
              <w:jc w:val="both"/>
              <w:rPr>
                <w:rFonts w:ascii="Times New Roman" w:eastAsia="Calibri" w:hAnsi="Times New Roman" w:cs="Times New Roman"/>
                <w:color w:val="000000"/>
              </w:rPr>
            </w:pPr>
          </w:p>
        </w:tc>
      </w:tr>
      <w:tr w:rsidR="00E34FCE" w:rsidRPr="006E0D62" w:rsidTr="005277E4">
        <w:trPr>
          <w:gridAfter w:val="1"/>
          <w:wAfter w:w="9" w:type="dxa"/>
          <w:trHeight w:val="142"/>
        </w:trPr>
        <w:tc>
          <w:tcPr>
            <w:tcW w:w="10938" w:type="dxa"/>
            <w:gridSpan w:val="22"/>
            <w:shd w:val="clear" w:color="auto" w:fill="99CCFF"/>
          </w:tcPr>
          <w:p w:rsidR="00E34FCE" w:rsidRPr="006E0D62" w:rsidRDefault="00E34FCE" w:rsidP="00E34FCE">
            <w:pPr>
              <w:numPr>
                <w:ilvl w:val="0"/>
                <w:numId w:val="2"/>
              </w:numPr>
              <w:spacing w:before="60" w:after="60" w:line="240" w:lineRule="auto"/>
              <w:jc w:val="both"/>
              <w:rPr>
                <w:rFonts w:ascii="Times New Roman" w:eastAsia="Calibri" w:hAnsi="Times New Roman" w:cs="Times New Roman"/>
                <w:b/>
                <w:color w:val="000000"/>
              </w:rPr>
            </w:pPr>
            <w:r w:rsidRPr="006E0D62">
              <w:rPr>
                <w:rFonts w:ascii="Times New Roman" w:eastAsia="Calibri" w:hAnsi="Times New Roman" w:cs="Times New Roman"/>
                <w:b/>
                <w:color w:val="000000"/>
              </w:rPr>
              <w:t xml:space="preserve">Wpływ na rynek pracy </w:t>
            </w:r>
          </w:p>
        </w:tc>
      </w:tr>
      <w:tr w:rsidR="00E34FCE" w:rsidRPr="006E0D62" w:rsidTr="005277E4">
        <w:trPr>
          <w:gridAfter w:val="1"/>
          <w:wAfter w:w="9" w:type="dxa"/>
          <w:trHeight w:val="142"/>
        </w:trPr>
        <w:tc>
          <w:tcPr>
            <w:tcW w:w="10938" w:type="dxa"/>
            <w:gridSpan w:val="22"/>
            <w:shd w:val="clear" w:color="auto" w:fill="auto"/>
          </w:tcPr>
          <w:p w:rsidR="00E34FCE" w:rsidRPr="006E0D62" w:rsidRDefault="00E34FCE" w:rsidP="00E34FCE">
            <w:pPr>
              <w:spacing w:before="120" w:after="120" w:line="240" w:lineRule="auto"/>
              <w:jc w:val="both"/>
              <w:rPr>
                <w:rFonts w:ascii="Times New Roman" w:eastAsia="Calibri" w:hAnsi="Times New Roman" w:cs="Times New Roman"/>
                <w:color w:val="000000"/>
              </w:rPr>
            </w:pPr>
            <w:r w:rsidRPr="006E0D62">
              <w:rPr>
                <w:rFonts w:ascii="Times New Roman" w:eastAsia="Calibri" w:hAnsi="Times New Roman" w:cs="Times New Roman"/>
                <w:color w:val="000000"/>
              </w:rPr>
              <w:t>Wejście w życie projektowanych regulacji nie będzie miało wpływu na rynek pracy.</w:t>
            </w:r>
          </w:p>
        </w:tc>
      </w:tr>
      <w:tr w:rsidR="00E34FCE" w:rsidRPr="006E0D62" w:rsidTr="005277E4">
        <w:trPr>
          <w:gridAfter w:val="1"/>
          <w:wAfter w:w="9" w:type="dxa"/>
          <w:trHeight w:val="142"/>
        </w:trPr>
        <w:tc>
          <w:tcPr>
            <w:tcW w:w="10938" w:type="dxa"/>
            <w:gridSpan w:val="22"/>
            <w:shd w:val="clear" w:color="auto" w:fill="99CCFF"/>
          </w:tcPr>
          <w:p w:rsidR="00E34FCE" w:rsidRPr="006E0D62" w:rsidRDefault="00E34FCE" w:rsidP="00E34FCE">
            <w:pPr>
              <w:numPr>
                <w:ilvl w:val="0"/>
                <w:numId w:val="2"/>
              </w:numPr>
              <w:spacing w:before="60" w:after="60" w:line="240" w:lineRule="auto"/>
              <w:jc w:val="both"/>
              <w:rPr>
                <w:rFonts w:ascii="Times New Roman" w:eastAsia="Calibri" w:hAnsi="Times New Roman" w:cs="Times New Roman"/>
                <w:b/>
                <w:color w:val="000000"/>
              </w:rPr>
            </w:pPr>
            <w:r w:rsidRPr="006E0D62">
              <w:rPr>
                <w:rFonts w:ascii="Times New Roman" w:eastAsia="Calibri" w:hAnsi="Times New Roman" w:cs="Times New Roman"/>
                <w:b/>
                <w:color w:val="000000"/>
              </w:rPr>
              <w:t>Wpływ na pozostałe obszary</w:t>
            </w:r>
          </w:p>
        </w:tc>
      </w:tr>
      <w:tr w:rsidR="00E34FCE" w:rsidRPr="006E0D62" w:rsidTr="005277E4">
        <w:trPr>
          <w:gridAfter w:val="1"/>
          <w:wAfter w:w="9" w:type="dxa"/>
          <w:trHeight w:val="1031"/>
        </w:trPr>
        <w:tc>
          <w:tcPr>
            <w:tcW w:w="3261" w:type="dxa"/>
            <w:gridSpan w:val="7"/>
            <w:shd w:val="clear" w:color="auto" w:fill="FFFFFF"/>
          </w:tcPr>
          <w:p w:rsidR="00E34FCE" w:rsidRPr="006E0D62" w:rsidRDefault="00E34FCE" w:rsidP="00E34FCE">
            <w:pPr>
              <w:spacing w:after="0" w:line="240" w:lineRule="auto"/>
              <w:rPr>
                <w:rFonts w:ascii="Times New Roman" w:eastAsia="Calibri" w:hAnsi="Times New Roman" w:cs="Times New Roman"/>
                <w:color w:val="000000"/>
              </w:rPr>
            </w:pP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środowisko naturalne</w:t>
            </w: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sytuacja i rozwój regionalny</w:t>
            </w: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 xml:space="preserve">inne: </w:t>
            </w:r>
            <w:r w:rsidRPr="006E0D62">
              <w:rPr>
                <w:rFonts w:ascii="Times New Roman" w:eastAsia="Calibri" w:hAnsi="Times New Roman" w:cs="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6E0D62">
              <w:rPr>
                <w:rFonts w:ascii="Times New Roman" w:eastAsia="Calibri" w:hAnsi="Times New Roman" w:cs="Times New Roman"/>
                <w:color w:val="000000"/>
              </w:rPr>
              <w:instrText xml:space="preserve"> FORMTEXT </w:instrText>
            </w:r>
            <w:r w:rsidRPr="006E0D62">
              <w:rPr>
                <w:rFonts w:ascii="Times New Roman" w:eastAsia="Calibri" w:hAnsi="Times New Roman" w:cs="Times New Roman"/>
                <w:color w:val="000000"/>
              </w:rPr>
            </w:r>
            <w:r w:rsidRPr="006E0D62">
              <w:rPr>
                <w:rFonts w:ascii="Times New Roman" w:eastAsia="Calibri" w:hAnsi="Times New Roman" w:cs="Times New Roman"/>
                <w:color w:val="000000"/>
              </w:rPr>
              <w:fldChar w:fldCharType="separate"/>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Calibri" w:cs="Times New Roman"/>
                <w:noProof/>
                <w:color w:val="000000"/>
              </w:rPr>
              <w:t> </w:t>
            </w:r>
            <w:r w:rsidRPr="006E0D62">
              <w:rPr>
                <w:rFonts w:ascii="Times New Roman" w:eastAsia="Calibri" w:hAnsi="Times New Roman" w:cs="Times New Roman"/>
                <w:color w:val="000000"/>
              </w:rPr>
              <w:fldChar w:fldCharType="end"/>
            </w:r>
          </w:p>
          <w:p w:rsidR="00E34FCE" w:rsidRPr="006E0D62" w:rsidRDefault="00E34FCE" w:rsidP="00E34FCE">
            <w:pPr>
              <w:spacing w:after="0" w:line="240" w:lineRule="auto"/>
              <w:rPr>
                <w:rFonts w:ascii="Times New Roman" w:eastAsia="Calibri" w:hAnsi="Times New Roman" w:cs="Times New Roman"/>
                <w:color w:val="000000"/>
              </w:rPr>
            </w:pPr>
          </w:p>
        </w:tc>
        <w:tc>
          <w:tcPr>
            <w:tcW w:w="3457" w:type="dxa"/>
            <w:gridSpan w:val="8"/>
            <w:shd w:val="clear" w:color="auto" w:fill="FFFFFF"/>
          </w:tcPr>
          <w:p w:rsidR="00E34FCE" w:rsidRPr="006E0D62" w:rsidRDefault="00E34FCE" w:rsidP="00E34FCE">
            <w:pPr>
              <w:spacing w:after="0" w:line="240" w:lineRule="auto"/>
              <w:rPr>
                <w:rFonts w:ascii="Times New Roman" w:eastAsia="Calibri" w:hAnsi="Times New Roman" w:cs="Times New Roman"/>
                <w:color w:val="000000"/>
              </w:rPr>
            </w:pP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demografia</w:t>
            </w: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mienie państwowe</w:t>
            </w:r>
          </w:p>
        </w:tc>
        <w:tc>
          <w:tcPr>
            <w:tcW w:w="4220" w:type="dxa"/>
            <w:gridSpan w:val="7"/>
            <w:shd w:val="clear" w:color="auto" w:fill="FFFFFF"/>
          </w:tcPr>
          <w:p w:rsidR="00E34FCE" w:rsidRPr="006E0D62" w:rsidRDefault="00E34FCE" w:rsidP="00E34FCE">
            <w:pPr>
              <w:spacing w:after="0" w:line="240" w:lineRule="auto"/>
              <w:rPr>
                <w:rFonts w:ascii="Times New Roman" w:eastAsia="Calibri" w:hAnsi="Times New Roman" w:cs="Times New Roman"/>
                <w:color w:val="000000"/>
              </w:rPr>
            </w:pP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informatyzacja</w:t>
            </w:r>
          </w:p>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fldChar w:fldCharType="begin">
                <w:ffData>
                  <w:name w:val="Wybór1"/>
                  <w:enabled/>
                  <w:calcOnExit w:val="0"/>
                  <w:checkBox>
                    <w:sizeAuto/>
                    <w:default w:val="0"/>
                  </w:checkBox>
                </w:ffData>
              </w:fldChar>
            </w:r>
            <w:r w:rsidRPr="006E0D62">
              <w:rPr>
                <w:rFonts w:ascii="Times New Roman" w:eastAsia="Calibri" w:hAnsi="Times New Roman" w:cs="Times New Roman"/>
                <w:color w:val="000000"/>
              </w:rPr>
              <w:instrText xml:space="preserve"> FORMCHECKBOX </w:instrText>
            </w:r>
            <w:r w:rsidR="000F3BA8">
              <w:rPr>
                <w:rFonts w:ascii="Times New Roman" w:eastAsia="Calibri" w:hAnsi="Times New Roman" w:cs="Times New Roman"/>
                <w:color w:val="000000"/>
              </w:rPr>
            </w:r>
            <w:r w:rsidR="000F3BA8">
              <w:rPr>
                <w:rFonts w:ascii="Times New Roman" w:eastAsia="Calibri" w:hAnsi="Times New Roman" w:cs="Times New Roman"/>
                <w:color w:val="000000"/>
              </w:rPr>
              <w:fldChar w:fldCharType="separate"/>
            </w:r>
            <w:r w:rsidRPr="006E0D62">
              <w:rPr>
                <w:rFonts w:ascii="Times New Roman" w:eastAsia="Calibri" w:hAnsi="Times New Roman" w:cs="Times New Roman"/>
                <w:color w:val="000000"/>
              </w:rPr>
              <w:fldChar w:fldCharType="end"/>
            </w:r>
            <w:r w:rsidRPr="006E0D62">
              <w:rPr>
                <w:rFonts w:ascii="Times New Roman" w:eastAsia="Calibri" w:hAnsi="Times New Roman" w:cs="Times New Roman"/>
                <w:color w:val="000000"/>
                <w:sz w:val="20"/>
                <w:szCs w:val="20"/>
              </w:rPr>
              <w:t xml:space="preserve"> </w:t>
            </w:r>
            <w:r w:rsidRPr="006E0D62">
              <w:rPr>
                <w:rFonts w:ascii="Times New Roman" w:eastAsia="Calibri" w:hAnsi="Times New Roman" w:cs="Times New Roman"/>
                <w:color w:val="000000"/>
              </w:rPr>
              <w:t>zdrowie</w:t>
            </w:r>
          </w:p>
        </w:tc>
      </w:tr>
      <w:tr w:rsidR="00E34FCE" w:rsidRPr="006E0D62" w:rsidTr="005277E4">
        <w:trPr>
          <w:gridAfter w:val="1"/>
          <w:wAfter w:w="9" w:type="dxa"/>
          <w:trHeight w:val="712"/>
        </w:trPr>
        <w:tc>
          <w:tcPr>
            <w:tcW w:w="1905" w:type="dxa"/>
            <w:gridSpan w:val="3"/>
            <w:shd w:val="clear" w:color="auto" w:fill="FFFFFF"/>
            <w:vAlign w:val="center"/>
          </w:tcPr>
          <w:p w:rsidR="00E34FCE" w:rsidRPr="006E0D62" w:rsidRDefault="00E34FCE" w:rsidP="00E34FCE">
            <w:pPr>
              <w:spacing w:after="0" w:line="240" w:lineRule="auto"/>
              <w:rPr>
                <w:rFonts w:ascii="Times New Roman" w:eastAsia="Calibri" w:hAnsi="Times New Roman" w:cs="Times New Roman"/>
                <w:color w:val="000000"/>
              </w:rPr>
            </w:pPr>
            <w:r w:rsidRPr="006E0D62">
              <w:rPr>
                <w:rFonts w:ascii="Times New Roman" w:eastAsia="Calibri" w:hAnsi="Times New Roman" w:cs="Times New Roman"/>
                <w:color w:val="000000"/>
              </w:rPr>
              <w:t>Omówienie wpływu</w:t>
            </w:r>
          </w:p>
        </w:tc>
        <w:tc>
          <w:tcPr>
            <w:tcW w:w="9033" w:type="dxa"/>
            <w:gridSpan w:val="19"/>
            <w:shd w:val="clear" w:color="auto" w:fill="FFFFFF"/>
            <w:vAlign w:val="center"/>
          </w:tcPr>
          <w:p w:rsidR="00E34FCE" w:rsidRPr="006E0D62" w:rsidRDefault="00E34FCE" w:rsidP="00E34FCE">
            <w:pPr>
              <w:spacing w:before="120" w:after="120" w:line="240" w:lineRule="auto"/>
              <w:jc w:val="both"/>
              <w:rPr>
                <w:rFonts w:ascii="Times New Roman" w:eastAsia="Calibri" w:hAnsi="Times New Roman" w:cs="Times New Roman"/>
                <w:color w:val="000000"/>
              </w:rPr>
            </w:pPr>
            <w:r w:rsidRPr="006E0D62">
              <w:rPr>
                <w:rFonts w:ascii="Times New Roman" w:eastAsia="Calibri" w:hAnsi="Times New Roman" w:cs="Times New Roman"/>
                <w:color w:val="000000"/>
              </w:rPr>
              <w:t>Brak wpływu.</w:t>
            </w:r>
          </w:p>
        </w:tc>
      </w:tr>
      <w:tr w:rsidR="00E34FCE" w:rsidRPr="006E0D62" w:rsidTr="005277E4">
        <w:trPr>
          <w:gridAfter w:val="1"/>
          <w:wAfter w:w="9" w:type="dxa"/>
          <w:trHeight w:val="142"/>
        </w:trPr>
        <w:tc>
          <w:tcPr>
            <w:tcW w:w="10938" w:type="dxa"/>
            <w:gridSpan w:val="22"/>
            <w:shd w:val="clear" w:color="auto" w:fill="99CCFF"/>
          </w:tcPr>
          <w:p w:rsidR="00E34FCE" w:rsidRPr="006E0D62" w:rsidRDefault="00E34FCE" w:rsidP="00E34FCE">
            <w:pPr>
              <w:numPr>
                <w:ilvl w:val="0"/>
                <w:numId w:val="2"/>
              </w:numPr>
              <w:tabs>
                <w:tab w:val="clear" w:pos="360"/>
                <w:tab w:val="num" w:pos="460"/>
              </w:tabs>
              <w:spacing w:before="60" w:after="60" w:line="240" w:lineRule="auto"/>
              <w:ind w:left="460" w:hanging="426"/>
              <w:jc w:val="both"/>
              <w:rPr>
                <w:rFonts w:ascii="Times New Roman" w:eastAsia="Calibri" w:hAnsi="Times New Roman" w:cs="Times New Roman"/>
                <w:b/>
              </w:rPr>
            </w:pPr>
            <w:r w:rsidRPr="006E0D62">
              <w:rPr>
                <w:rFonts w:ascii="Times New Roman" w:eastAsia="Calibri" w:hAnsi="Times New Roman" w:cs="Times New Roman"/>
                <w:b/>
                <w:sz w:val="21"/>
                <w:szCs w:val="21"/>
              </w:rPr>
              <w:t>Planowane wykonanie przepisów aktu prawnego</w:t>
            </w:r>
          </w:p>
        </w:tc>
      </w:tr>
      <w:tr w:rsidR="00E34FCE" w:rsidRPr="006E0D62" w:rsidTr="005277E4">
        <w:trPr>
          <w:gridAfter w:val="1"/>
          <w:wAfter w:w="9" w:type="dxa"/>
          <w:trHeight w:val="142"/>
        </w:trPr>
        <w:tc>
          <w:tcPr>
            <w:tcW w:w="10938" w:type="dxa"/>
            <w:gridSpan w:val="22"/>
            <w:shd w:val="clear" w:color="auto" w:fill="FFFFFF"/>
          </w:tcPr>
          <w:p w:rsidR="00E34FCE" w:rsidRPr="006E0D62" w:rsidRDefault="00E34FCE" w:rsidP="00E34FCE">
            <w:pPr>
              <w:spacing w:before="120" w:after="120" w:line="240" w:lineRule="auto"/>
              <w:jc w:val="both"/>
              <w:rPr>
                <w:rFonts w:ascii="Times New Roman" w:eastAsia="Calibri" w:hAnsi="Times New Roman" w:cs="Times New Roman"/>
              </w:rPr>
            </w:pPr>
            <w:r w:rsidRPr="006E0D62">
              <w:rPr>
                <w:rFonts w:ascii="Times New Roman" w:eastAsia="Calibri" w:hAnsi="Times New Roman" w:cs="Times New Roman"/>
              </w:rPr>
              <w:t>Termin wejścia w życie projektowanej ustawy proponuje się ustalić na 14 dni od dnia ogłoszenia.</w:t>
            </w:r>
          </w:p>
        </w:tc>
      </w:tr>
      <w:tr w:rsidR="00E34FCE" w:rsidRPr="006E0D62" w:rsidTr="005277E4">
        <w:trPr>
          <w:gridAfter w:val="1"/>
          <w:wAfter w:w="9" w:type="dxa"/>
          <w:trHeight w:val="142"/>
        </w:trPr>
        <w:tc>
          <w:tcPr>
            <w:tcW w:w="10938" w:type="dxa"/>
            <w:gridSpan w:val="22"/>
            <w:shd w:val="clear" w:color="auto" w:fill="99CCFF"/>
          </w:tcPr>
          <w:p w:rsidR="00E34FCE" w:rsidRPr="006E0D62" w:rsidRDefault="00E34FCE" w:rsidP="00E34FCE">
            <w:pPr>
              <w:numPr>
                <w:ilvl w:val="0"/>
                <w:numId w:val="2"/>
              </w:numPr>
              <w:tabs>
                <w:tab w:val="clear" w:pos="360"/>
                <w:tab w:val="num" w:pos="460"/>
              </w:tabs>
              <w:spacing w:before="60" w:after="60" w:line="240" w:lineRule="auto"/>
              <w:ind w:left="460" w:hanging="426"/>
              <w:jc w:val="both"/>
              <w:rPr>
                <w:rFonts w:ascii="Times New Roman" w:eastAsia="Calibri" w:hAnsi="Times New Roman" w:cs="Times New Roman"/>
                <w:b/>
                <w:color w:val="000000"/>
              </w:rPr>
            </w:pPr>
            <w:r w:rsidRPr="006E0D62">
              <w:rPr>
                <w:rFonts w:ascii="Times New Roman" w:eastAsia="Calibri" w:hAnsi="Times New Roman" w:cs="Times New Roman"/>
                <w:b/>
                <w:sz w:val="21"/>
                <w:szCs w:val="21"/>
              </w:rPr>
              <w:t>W jaki sposób i kiedy nastąpi ewaluacja efektów projektu oraz jakie mierniki zostaną zastosowane?</w:t>
            </w:r>
          </w:p>
        </w:tc>
      </w:tr>
      <w:tr w:rsidR="00E34FCE" w:rsidRPr="006E0D62" w:rsidTr="005277E4">
        <w:trPr>
          <w:gridAfter w:val="1"/>
          <w:wAfter w:w="9" w:type="dxa"/>
          <w:trHeight w:val="142"/>
        </w:trPr>
        <w:tc>
          <w:tcPr>
            <w:tcW w:w="10938" w:type="dxa"/>
            <w:gridSpan w:val="22"/>
            <w:shd w:val="clear" w:color="auto" w:fill="FFFFFF"/>
          </w:tcPr>
          <w:p w:rsidR="00E34FCE" w:rsidRPr="006E0D62" w:rsidRDefault="00E34FCE" w:rsidP="00E34FCE">
            <w:pPr>
              <w:spacing w:before="120" w:after="120" w:line="240" w:lineRule="auto"/>
              <w:jc w:val="both"/>
              <w:rPr>
                <w:rFonts w:ascii="Times New Roman" w:eastAsia="Calibri" w:hAnsi="Times New Roman" w:cs="Times New Roman"/>
                <w:color w:val="000000"/>
              </w:rPr>
            </w:pPr>
            <w:r w:rsidRPr="006E0D62">
              <w:rPr>
                <w:rFonts w:ascii="Times New Roman" w:eastAsia="Calibri" w:hAnsi="Times New Roman" w:cs="Times New Roman"/>
                <w:color w:val="000000"/>
              </w:rPr>
              <w:t>Mając na uwadze zakres przedmiotowy projektowanej regulacji, należy wskazać, że przepisy ustawy nie wymagają oceny efektywności oraz skuteczności ich obowiązywania.</w:t>
            </w:r>
          </w:p>
        </w:tc>
      </w:tr>
      <w:tr w:rsidR="00E34FCE" w:rsidRPr="006E0D62" w:rsidTr="005277E4">
        <w:trPr>
          <w:gridAfter w:val="1"/>
          <w:wAfter w:w="9" w:type="dxa"/>
          <w:trHeight w:val="142"/>
        </w:trPr>
        <w:tc>
          <w:tcPr>
            <w:tcW w:w="10938" w:type="dxa"/>
            <w:gridSpan w:val="22"/>
            <w:shd w:val="clear" w:color="auto" w:fill="99CCFF"/>
          </w:tcPr>
          <w:p w:rsidR="00E34FCE" w:rsidRPr="006E0D62" w:rsidRDefault="00E34FCE" w:rsidP="00E34FCE">
            <w:pPr>
              <w:numPr>
                <w:ilvl w:val="0"/>
                <w:numId w:val="2"/>
              </w:numPr>
              <w:tabs>
                <w:tab w:val="clear" w:pos="360"/>
                <w:tab w:val="num" w:pos="460"/>
              </w:tabs>
              <w:spacing w:before="60" w:after="60" w:line="240" w:lineRule="auto"/>
              <w:ind w:left="460" w:hanging="426"/>
              <w:jc w:val="both"/>
              <w:rPr>
                <w:rFonts w:ascii="Times New Roman" w:eastAsia="Calibri" w:hAnsi="Times New Roman" w:cs="Times New Roman"/>
                <w:b/>
                <w:color w:val="000000"/>
              </w:rPr>
            </w:pPr>
            <w:r w:rsidRPr="006E0D62">
              <w:rPr>
                <w:rFonts w:ascii="Times New Roman" w:eastAsia="Calibri" w:hAnsi="Times New Roman" w:cs="Times New Roman"/>
                <w:b/>
                <w:color w:val="000000"/>
              </w:rPr>
              <w:t xml:space="preserve">Załączniki </w:t>
            </w:r>
            <w:r w:rsidRPr="006E0D62">
              <w:rPr>
                <w:rFonts w:ascii="Times New Roman" w:eastAsia="Calibri" w:hAnsi="Times New Roman" w:cs="Times New Roman"/>
                <w:b/>
                <w:sz w:val="21"/>
                <w:szCs w:val="21"/>
              </w:rPr>
              <w:t>(istotne dokumenty źródłowe, badania, analizy itp.</w:t>
            </w:r>
            <w:r w:rsidRPr="006E0D62">
              <w:rPr>
                <w:rFonts w:ascii="Times New Roman" w:eastAsia="Calibri" w:hAnsi="Times New Roman" w:cs="Times New Roman"/>
                <w:b/>
                <w:color w:val="000000"/>
              </w:rPr>
              <w:t xml:space="preserve">) </w:t>
            </w:r>
          </w:p>
        </w:tc>
      </w:tr>
      <w:tr w:rsidR="00E34FCE" w:rsidRPr="006E0D62" w:rsidTr="005277E4">
        <w:trPr>
          <w:gridAfter w:val="1"/>
          <w:wAfter w:w="9" w:type="dxa"/>
          <w:trHeight w:val="142"/>
        </w:trPr>
        <w:tc>
          <w:tcPr>
            <w:tcW w:w="10938" w:type="dxa"/>
            <w:gridSpan w:val="22"/>
            <w:shd w:val="clear" w:color="auto" w:fill="FFFFFF"/>
          </w:tcPr>
          <w:p w:rsidR="00E34FCE" w:rsidRPr="006E0D62" w:rsidRDefault="00E34FCE" w:rsidP="00E34FCE">
            <w:pPr>
              <w:spacing w:before="120" w:after="120" w:line="240" w:lineRule="auto"/>
              <w:jc w:val="both"/>
              <w:rPr>
                <w:rFonts w:ascii="Times New Roman" w:eastAsia="Calibri" w:hAnsi="Times New Roman" w:cs="Times New Roman"/>
                <w:color w:val="000000"/>
              </w:rPr>
            </w:pPr>
            <w:r w:rsidRPr="006E0D62">
              <w:rPr>
                <w:rFonts w:ascii="Times New Roman" w:eastAsia="Calibri" w:hAnsi="Times New Roman" w:cs="Times New Roman"/>
                <w:color w:val="000000"/>
              </w:rPr>
              <w:t>-</w:t>
            </w:r>
          </w:p>
        </w:tc>
      </w:tr>
    </w:tbl>
    <w:p w:rsidR="00E34FCE" w:rsidRPr="007A737C" w:rsidRDefault="00E34FCE" w:rsidP="00E34FCE">
      <w:pPr>
        <w:spacing w:after="120" w:line="360" w:lineRule="auto"/>
        <w:jc w:val="both"/>
        <w:rPr>
          <w:rFonts w:ascii="Times New Roman" w:hAnsi="Times New Roman" w:cs="Times New Roman"/>
          <w:sz w:val="24"/>
          <w:szCs w:val="24"/>
        </w:rPr>
      </w:pPr>
    </w:p>
    <w:sectPr w:rsidR="00E34FCE" w:rsidRPr="007A737C" w:rsidSect="00DC32FD">
      <w:pgSz w:w="11906" w:h="16838"/>
      <w:pgMar w:top="838" w:right="707" w:bottom="568" w:left="720" w:header="847" w:footer="8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FCE" w:rsidRDefault="00E34FCE" w:rsidP="00E34FCE">
      <w:pPr>
        <w:spacing w:after="0" w:line="240" w:lineRule="auto"/>
      </w:pPr>
      <w:r>
        <w:separator/>
      </w:r>
    </w:p>
  </w:endnote>
  <w:endnote w:type="continuationSeparator" w:id="0">
    <w:p w:rsidR="00E34FCE" w:rsidRDefault="00E34FCE" w:rsidP="00E34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7918588"/>
      <w:docPartObj>
        <w:docPartGallery w:val="Page Numbers (Bottom of Page)"/>
        <w:docPartUnique/>
      </w:docPartObj>
    </w:sdtPr>
    <w:sdtEndPr/>
    <w:sdtContent>
      <w:p w:rsidR="00E34FCE" w:rsidRDefault="00E34FCE" w:rsidP="00E34FCE">
        <w:pPr>
          <w:pStyle w:val="Stopka"/>
          <w:jc w:val="center"/>
        </w:pPr>
        <w:r w:rsidRPr="00E34FCE">
          <w:rPr>
            <w:rFonts w:ascii="Times New Roman" w:hAnsi="Times New Roman" w:cs="Times New Roman"/>
            <w:sz w:val="24"/>
            <w:szCs w:val="24"/>
          </w:rPr>
          <w:fldChar w:fldCharType="begin"/>
        </w:r>
        <w:r w:rsidRPr="00E34FCE">
          <w:rPr>
            <w:rFonts w:ascii="Times New Roman" w:hAnsi="Times New Roman" w:cs="Times New Roman"/>
            <w:sz w:val="24"/>
            <w:szCs w:val="24"/>
          </w:rPr>
          <w:instrText>PAGE   \* MERGEFORMAT</w:instrText>
        </w:r>
        <w:r w:rsidRPr="00E34FCE">
          <w:rPr>
            <w:rFonts w:ascii="Times New Roman" w:hAnsi="Times New Roman" w:cs="Times New Roman"/>
            <w:sz w:val="24"/>
            <w:szCs w:val="24"/>
          </w:rPr>
          <w:fldChar w:fldCharType="separate"/>
        </w:r>
        <w:r w:rsidR="000F3BA8">
          <w:rPr>
            <w:rFonts w:ascii="Times New Roman" w:hAnsi="Times New Roman" w:cs="Times New Roman"/>
            <w:noProof/>
            <w:sz w:val="24"/>
            <w:szCs w:val="24"/>
          </w:rPr>
          <w:t>7</w:t>
        </w:r>
        <w:r w:rsidRPr="00E34FC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FCE" w:rsidRDefault="00E34FCE" w:rsidP="00E34FCE">
      <w:pPr>
        <w:spacing w:after="0" w:line="240" w:lineRule="auto"/>
      </w:pPr>
      <w:r>
        <w:separator/>
      </w:r>
    </w:p>
  </w:footnote>
  <w:footnote w:type="continuationSeparator" w:id="0">
    <w:p w:rsidR="00E34FCE" w:rsidRDefault="00E34FCE" w:rsidP="00E34F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3380C"/>
    <w:multiLevelType w:val="hybridMultilevel"/>
    <w:tmpl w:val="8610A8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5BB626B1"/>
    <w:multiLevelType w:val="hybridMultilevel"/>
    <w:tmpl w:val="243443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D43"/>
    <w:rsid w:val="000107DA"/>
    <w:rsid w:val="00077113"/>
    <w:rsid w:val="00077BEF"/>
    <w:rsid w:val="00096AF3"/>
    <w:rsid w:val="000F3BA8"/>
    <w:rsid w:val="000F69C7"/>
    <w:rsid w:val="00107A79"/>
    <w:rsid w:val="00121916"/>
    <w:rsid w:val="001B444A"/>
    <w:rsid w:val="001B7787"/>
    <w:rsid w:val="00203D43"/>
    <w:rsid w:val="0026273E"/>
    <w:rsid w:val="0026482F"/>
    <w:rsid w:val="002A7599"/>
    <w:rsid w:val="002F4127"/>
    <w:rsid w:val="002F57BF"/>
    <w:rsid w:val="0034740F"/>
    <w:rsid w:val="003777ED"/>
    <w:rsid w:val="00387749"/>
    <w:rsid w:val="0039274B"/>
    <w:rsid w:val="00405F2B"/>
    <w:rsid w:val="00416DA8"/>
    <w:rsid w:val="00475B28"/>
    <w:rsid w:val="004B73B6"/>
    <w:rsid w:val="004F70E6"/>
    <w:rsid w:val="0051493D"/>
    <w:rsid w:val="00541E50"/>
    <w:rsid w:val="00586C00"/>
    <w:rsid w:val="005D4C84"/>
    <w:rsid w:val="005E4DFA"/>
    <w:rsid w:val="00630112"/>
    <w:rsid w:val="00662B53"/>
    <w:rsid w:val="006B272F"/>
    <w:rsid w:val="006E0D62"/>
    <w:rsid w:val="007A65E1"/>
    <w:rsid w:val="007A737C"/>
    <w:rsid w:val="007B3842"/>
    <w:rsid w:val="007C2691"/>
    <w:rsid w:val="007C512D"/>
    <w:rsid w:val="00802890"/>
    <w:rsid w:val="00836230"/>
    <w:rsid w:val="00837CDA"/>
    <w:rsid w:val="008C6E6F"/>
    <w:rsid w:val="009338CE"/>
    <w:rsid w:val="00963108"/>
    <w:rsid w:val="00A64B6B"/>
    <w:rsid w:val="00A91A41"/>
    <w:rsid w:val="00AC141C"/>
    <w:rsid w:val="00B3509E"/>
    <w:rsid w:val="00B42DD7"/>
    <w:rsid w:val="00C043D7"/>
    <w:rsid w:val="00C34534"/>
    <w:rsid w:val="00CA644D"/>
    <w:rsid w:val="00CE0F5B"/>
    <w:rsid w:val="00CF53F0"/>
    <w:rsid w:val="00D33023"/>
    <w:rsid w:val="00DA16D3"/>
    <w:rsid w:val="00DA36E5"/>
    <w:rsid w:val="00DC32FD"/>
    <w:rsid w:val="00E34FCE"/>
    <w:rsid w:val="00E406BF"/>
    <w:rsid w:val="00E873CC"/>
    <w:rsid w:val="00F039B9"/>
    <w:rsid w:val="00F06C03"/>
    <w:rsid w:val="00F136BE"/>
    <w:rsid w:val="00F16FFF"/>
    <w:rsid w:val="00F27B16"/>
    <w:rsid w:val="00FE5AD6"/>
    <w:rsid w:val="00FE74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338C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38CE"/>
    <w:rPr>
      <w:rFonts w:ascii="Segoe UI" w:hAnsi="Segoe UI" w:cs="Segoe UI"/>
      <w:sz w:val="18"/>
      <w:szCs w:val="18"/>
    </w:rPr>
  </w:style>
  <w:style w:type="paragraph" w:styleId="Nagwek">
    <w:name w:val="header"/>
    <w:basedOn w:val="Normalny"/>
    <w:link w:val="NagwekZnak"/>
    <w:uiPriority w:val="99"/>
    <w:unhideWhenUsed/>
    <w:rsid w:val="00E34FC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4FCE"/>
  </w:style>
  <w:style w:type="paragraph" w:styleId="Stopka">
    <w:name w:val="footer"/>
    <w:basedOn w:val="Normalny"/>
    <w:link w:val="StopkaZnak"/>
    <w:uiPriority w:val="99"/>
    <w:unhideWhenUsed/>
    <w:rsid w:val="00E34FC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4F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338C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38CE"/>
    <w:rPr>
      <w:rFonts w:ascii="Segoe UI" w:hAnsi="Segoe UI" w:cs="Segoe UI"/>
      <w:sz w:val="18"/>
      <w:szCs w:val="18"/>
    </w:rPr>
  </w:style>
  <w:style w:type="paragraph" w:styleId="Nagwek">
    <w:name w:val="header"/>
    <w:basedOn w:val="Normalny"/>
    <w:link w:val="NagwekZnak"/>
    <w:uiPriority w:val="99"/>
    <w:unhideWhenUsed/>
    <w:rsid w:val="00E34FC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4FCE"/>
  </w:style>
  <w:style w:type="paragraph" w:styleId="Stopka">
    <w:name w:val="footer"/>
    <w:basedOn w:val="Normalny"/>
    <w:link w:val="StopkaZnak"/>
    <w:uiPriority w:val="99"/>
    <w:unhideWhenUsed/>
    <w:rsid w:val="00E34FC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4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15309-5D49-4438-A34D-F64402B1D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2694</Words>
  <Characters>16169</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Pastor-Sosnowska Beata</dc:creator>
  <cp:lastModifiedBy>Grażyna D. Grabowska</cp:lastModifiedBy>
  <cp:revision>2</cp:revision>
  <cp:lastPrinted>2016-02-25T09:34:00Z</cp:lastPrinted>
  <dcterms:created xsi:type="dcterms:W3CDTF">2016-03-01T14:06:00Z</dcterms:created>
  <dcterms:modified xsi:type="dcterms:W3CDTF">2016-03-01T14:06:00Z</dcterms:modified>
</cp:coreProperties>
</file>