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302" w:rsidRPr="00E365D9" w:rsidRDefault="00D33302" w:rsidP="00E365D9">
      <w:pPr>
        <w:keepNext/>
        <w:suppressAutoHyphens/>
        <w:spacing w:after="0" w:line="360" w:lineRule="auto"/>
        <w:jc w:val="center"/>
        <w:rPr>
          <w:rFonts w:ascii="Times New Roman" w:eastAsia="Times New Roman" w:hAnsi="Times New Roman" w:cs="Times New Roman"/>
          <w:bCs/>
          <w:sz w:val="24"/>
          <w:szCs w:val="24"/>
          <w:lang w:eastAsia="pl-PL"/>
        </w:rPr>
      </w:pPr>
      <w:bookmarkStart w:id="0" w:name="_GoBack"/>
      <w:bookmarkEnd w:id="0"/>
      <w:r w:rsidRPr="00E365D9">
        <w:rPr>
          <w:rFonts w:ascii="Times New Roman" w:eastAsia="Times New Roman" w:hAnsi="Times New Roman" w:cs="Times New Roman"/>
          <w:bCs/>
          <w:sz w:val="24"/>
          <w:szCs w:val="24"/>
          <w:lang w:eastAsia="pl-PL"/>
        </w:rPr>
        <w:t xml:space="preserve">UZASADNIENIE </w:t>
      </w:r>
    </w:p>
    <w:p w:rsidR="00D33302" w:rsidRPr="00E365D9" w:rsidRDefault="00D33302" w:rsidP="00E365D9">
      <w:pPr>
        <w:suppressAutoHyphens/>
        <w:autoSpaceDE w:val="0"/>
        <w:autoSpaceDN w:val="0"/>
        <w:adjustRightInd w:val="0"/>
        <w:spacing w:before="120" w:after="0" w:line="360" w:lineRule="auto"/>
        <w:jc w:val="both"/>
        <w:rPr>
          <w:rFonts w:ascii="Times New Roman" w:eastAsia="Times New Roman" w:hAnsi="Times New Roman" w:cs="Times New Roman"/>
          <w:b/>
          <w:bCs/>
          <w:sz w:val="24"/>
          <w:szCs w:val="20"/>
          <w:lang w:eastAsia="pl-PL"/>
        </w:rPr>
      </w:pPr>
      <w:r w:rsidRPr="00E365D9">
        <w:rPr>
          <w:rFonts w:ascii="Times New Roman" w:eastAsia="Times New Roman" w:hAnsi="Times New Roman" w:cs="Times New Roman"/>
          <w:b/>
          <w:bCs/>
          <w:sz w:val="24"/>
          <w:szCs w:val="20"/>
          <w:lang w:eastAsia="pl-PL"/>
        </w:rPr>
        <w:t>1. Potrzeba i cel uchwalenia ustaw</w:t>
      </w:r>
      <w:r w:rsidR="00365ACF">
        <w:rPr>
          <w:rFonts w:ascii="Times New Roman" w:eastAsia="Times New Roman" w:hAnsi="Times New Roman" w:cs="Times New Roman"/>
          <w:b/>
          <w:bCs/>
          <w:sz w:val="24"/>
          <w:szCs w:val="20"/>
          <w:lang w:eastAsia="pl-PL"/>
        </w:rPr>
        <w:t>y oraz proponowane rozwiązania</w:t>
      </w:r>
    </w:p>
    <w:p w:rsidR="00D33302" w:rsidRPr="00E365D9" w:rsidRDefault="00D33302" w:rsidP="00E365D9">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 xml:space="preserve">W związku z decyzją Komisji Europejskiej z dnia 8 lutego 2018 r., wydłużającą finansowanie z budżetu państwa kosztów procesu restrukturyzacji sektora górnictwa węgla kamiennego do 2023 r., koniecznym stało się zaktualizowanie w ustawie z dnia 22 stycznia 2015 r. </w:t>
      </w:r>
      <w:r w:rsidRPr="00E365D9">
        <w:rPr>
          <w:rFonts w:ascii="Times New Roman" w:eastAsia="Times New Roman" w:hAnsi="Times New Roman" w:cs="Times New Roman"/>
          <w:i/>
          <w:sz w:val="24"/>
          <w:szCs w:val="20"/>
          <w:lang w:eastAsia="pl-PL"/>
        </w:rPr>
        <w:t>o</w:t>
      </w:r>
      <w:r w:rsidR="00E365D9">
        <w:rPr>
          <w:rFonts w:ascii="Times New Roman" w:eastAsia="Times New Roman" w:hAnsi="Times New Roman" w:cs="Times New Roman"/>
          <w:i/>
          <w:sz w:val="24"/>
          <w:szCs w:val="20"/>
          <w:lang w:eastAsia="pl-PL"/>
        </w:rPr>
        <w:t xml:space="preserve"> </w:t>
      </w:r>
      <w:r w:rsidRPr="00E365D9">
        <w:rPr>
          <w:rFonts w:ascii="Times New Roman" w:eastAsia="Times New Roman" w:hAnsi="Times New Roman" w:cs="Times New Roman"/>
          <w:i/>
          <w:sz w:val="24"/>
          <w:szCs w:val="20"/>
          <w:lang w:eastAsia="pl-PL"/>
        </w:rPr>
        <w:t>zmianie ustawy o funkcjonowan</w:t>
      </w:r>
      <w:r w:rsidR="00D24392">
        <w:rPr>
          <w:rFonts w:ascii="Times New Roman" w:eastAsia="Times New Roman" w:hAnsi="Times New Roman" w:cs="Times New Roman"/>
          <w:i/>
          <w:sz w:val="24"/>
          <w:szCs w:val="20"/>
          <w:lang w:eastAsia="pl-PL"/>
        </w:rPr>
        <w:t>iu górnictwa węgla kamiennego w </w:t>
      </w:r>
      <w:r w:rsidRPr="00E365D9">
        <w:rPr>
          <w:rFonts w:ascii="Times New Roman" w:eastAsia="Times New Roman" w:hAnsi="Times New Roman" w:cs="Times New Roman"/>
          <w:i/>
          <w:sz w:val="24"/>
          <w:szCs w:val="20"/>
          <w:lang w:eastAsia="pl-PL"/>
        </w:rPr>
        <w:t>latach 2008</w:t>
      </w:r>
      <w:r w:rsidR="009C4D62">
        <w:rPr>
          <w:rFonts w:ascii="Times New Roman" w:eastAsia="Times New Roman" w:hAnsi="Times New Roman" w:cs="Times New Roman"/>
          <w:i/>
          <w:sz w:val="24"/>
          <w:szCs w:val="20"/>
          <w:lang w:eastAsia="pl-PL"/>
        </w:rPr>
        <w:t>–</w:t>
      </w:r>
      <w:r w:rsidRPr="00E365D9">
        <w:rPr>
          <w:rFonts w:ascii="Times New Roman" w:eastAsia="Times New Roman" w:hAnsi="Times New Roman" w:cs="Times New Roman"/>
          <w:i/>
          <w:sz w:val="24"/>
          <w:szCs w:val="20"/>
          <w:lang w:eastAsia="pl-PL"/>
        </w:rPr>
        <w:t>2015 oraz niektórych innych ustaw</w:t>
      </w:r>
      <w:r w:rsidRPr="00E365D9">
        <w:rPr>
          <w:rFonts w:ascii="Times New Roman" w:eastAsia="Times New Roman" w:hAnsi="Times New Roman" w:cs="Times New Roman"/>
          <w:sz w:val="24"/>
          <w:szCs w:val="20"/>
          <w:lang w:eastAsia="pl-PL"/>
        </w:rPr>
        <w:t xml:space="preserve"> (Dz.</w:t>
      </w:r>
      <w:r w:rsidR="00B401E1">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U. poz. 143, z późn. zm.) art. 6, który w dotychczasowym brzmieniu obejmował lata 2015</w:t>
      </w:r>
      <w:r w:rsidR="009C4D62">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 xml:space="preserve">2018. W przedmiotowym projekcie zaproponowano wydłużenie ww. okresu do 2023 r. poprzez zastąpienie wyrazu </w:t>
      </w:r>
      <w:r w:rsidR="00E365D9">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2018</w:t>
      </w:r>
      <w:r w:rsidR="00E365D9">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 xml:space="preserve"> wyrazem </w:t>
      </w:r>
      <w:r w:rsidR="00E365D9">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2023</w:t>
      </w:r>
      <w:r w:rsidR="00E365D9">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 xml:space="preserve">. </w:t>
      </w:r>
    </w:p>
    <w:p w:rsidR="00D33302" w:rsidRPr="00E365D9" w:rsidRDefault="00D33302" w:rsidP="00E365D9">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 xml:space="preserve">Pochodną wprowadzenia zmiany wydłużającej do 2023 r. okres finansowania procesu restrukturyzacji sektora górnictwa węgla kamiennego jest dokonanie zmiany w ustawie z dnia 14 września 2016 r. </w:t>
      </w:r>
      <w:r w:rsidRPr="00E365D9">
        <w:rPr>
          <w:rFonts w:ascii="Times New Roman" w:eastAsia="Times New Roman" w:hAnsi="Times New Roman" w:cs="Times New Roman"/>
          <w:i/>
          <w:sz w:val="24"/>
          <w:szCs w:val="20"/>
          <w:lang w:eastAsia="pl-PL"/>
        </w:rPr>
        <w:t>o zmianie ustawy o funkcjonowaniu górnictwa węgla kamiennego oraz niektórych innych ustaw</w:t>
      </w:r>
      <w:r w:rsidRPr="00E365D9">
        <w:rPr>
          <w:rFonts w:ascii="Times New Roman" w:eastAsia="Times New Roman" w:hAnsi="Times New Roman" w:cs="Times New Roman"/>
          <w:sz w:val="24"/>
          <w:szCs w:val="20"/>
          <w:lang w:eastAsia="pl-PL"/>
        </w:rPr>
        <w:t xml:space="preserve"> (Dz. U. poz. 1592), polegającej na zmianie brzmienia art. 6</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b/>
          <w:sz w:val="24"/>
          <w:szCs w:val="20"/>
          <w:lang w:eastAsia="pl-PL"/>
        </w:rPr>
        <w:t>z obecnego</w:t>
      </w:r>
      <w:r w:rsidRPr="00E365D9">
        <w:rPr>
          <w:rFonts w:ascii="Times New Roman" w:eastAsia="Times New Roman" w:hAnsi="Times New Roman" w:cs="Times New Roman"/>
          <w:sz w:val="24"/>
          <w:szCs w:val="20"/>
          <w:lang w:eastAsia="pl-PL"/>
        </w:rPr>
        <w:t>:</w:t>
      </w:r>
    </w:p>
    <w:p w:rsidR="00D33302" w:rsidRPr="00E365D9" w:rsidRDefault="00E365D9" w:rsidP="00D87B88">
      <w:pPr>
        <w:suppressAutoHyphens/>
        <w:autoSpaceDE w:val="0"/>
        <w:autoSpaceDN w:val="0"/>
        <w:adjustRightInd w:val="0"/>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w:t>
      </w:r>
      <w:r w:rsidR="00D33302" w:rsidRPr="00E365D9">
        <w:rPr>
          <w:rFonts w:ascii="Times New Roman" w:eastAsia="Times New Roman" w:hAnsi="Times New Roman" w:cs="Times New Roman"/>
          <w:sz w:val="24"/>
          <w:szCs w:val="20"/>
          <w:lang w:eastAsia="pl-PL"/>
        </w:rPr>
        <w:t>Art.</w:t>
      </w:r>
      <w:r>
        <w:rPr>
          <w:rFonts w:ascii="Times New Roman" w:eastAsia="Times New Roman" w:hAnsi="Times New Roman" w:cs="Times New Roman"/>
          <w:sz w:val="24"/>
          <w:szCs w:val="20"/>
          <w:lang w:eastAsia="pl-PL"/>
        </w:rPr>
        <w:t xml:space="preserve"> </w:t>
      </w:r>
      <w:r w:rsidR="00D33302" w:rsidRPr="00E365D9">
        <w:rPr>
          <w:rFonts w:ascii="Times New Roman" w:eastAsia="Times New Roman" w:hAnsi="Times New Roman" w:cs="Times New Roman"/>
          <w:sz w:val="24"/>
          <w:szCs w:val="20"/>
          <w:lang w:eastAsia="pl-PL"/>
        </w:rPr>
        <w:t>6.</w:t>
      </w:r>
      <w:r>
        <w:rPr>
          <w:rFonts w:ascii="Times New Roman" w:eastAsia="Times New Roman" w:hAnsi="Times New Roman" w:cs="Times New Roman"/>
          <w:sz w:val="24"/>
          <w:szCs w:val="20"/>
          <w:lang w:eastAsia="pl-PL"/>
        </w:rPr>
        <w:t xml:space="preserve"> </w:t>
      </w:r>
      <w:r w:rsidR="00D33302" w:rsidRPr="00E365D9">
        <w:rPr>
          <w:rFonts w:ascii="Times New Roman" w:eastAsia="Times New Roman" w:hAnsi="Times New Roman" w:cs="Times New Roman"/>
          <w:sz w:val="24"/>
          <w:szCs w:val="20"/>
          <w:lang w:eastAsia="pl-PL"/>
        </w:rPr>
        <w:t>Naprawianie szkód wywołanych ruchem zakładu górniczego, w trakcie i po zakończeniu likwidacji zakładu górniczego, do dnia 31 grudnia 2018 r. jest finansowane także w ramach limitu, o</w:t>
      </w:r>
      <w:r>
        <w:rPr>
          <w:rFonts w:ascii="Times New Roman" w:eastAsia="Times New Roman" w:hAnsi="Times New Roman" w:cs="Times New Roman"/>
          <w:sz w:val="24"/>
          <w:szCs w:val="20"/>
          <w:lang w:eastAsia="pl-PL"/>
        </w:rPr>
        <w:t xml:space="preserve"> </w:t>
      </w:r>
      <w:r w:rsidR="00D33302" w:rsidRPr="00E365D9">
        <w:rPr>
          <w:rFonts w:ascii="Times New Roman" w:eastAsia="Times New Roman" w:hAnsi="Times New Roman" w:cs="Times New Roman"/>
          <w:sz w:val="24"/>
          <w:szCs w:val="20"/>
          <w:lang w:eastAsia="pl-PL"/>
        </w:rPr>
        <w:t xml:space="preserve">którym mowa w art. 6 ustawy z dnia 22 stycznia 2015 r. </w:t>
      </w:r>
      <w:r w:rsidR="00D24392">
        <w:rPr>
          <w:rFonts w:ascii="Times New Roman" w:eastAsia="Times New Roman" w:hAnsi="Times New Roman" w:cs="Times New Roman"/>
          <w:i/>
          <w:sz w:val="24"/>
          <w:szCs w:val="20"/>
          <w:lang w:eastAsia="pl-PL"/>
        </w:rPr>
        <w:t>o </w:t>
      </w:r>
      <w:r w:rsidR="00D33302" w:rsidRPr="00E365D9">
        <w:rPr>
          <w:rFonts w:ascii="Times New Roman" w:eastAsia="Times New Roman" w:hAnsi="Times New Roman" w:cs="Times New Roman"/>
          <w:i/>
          <w:sz w:val="24"/>
          <w:szCs w:val="20"/>
          <w:lang w:eastAsia="pl-PL"/>
        </w:rPr>
        <w:t>zmianie ustawy o</w:t>
      </w:r>
      <w:r>
        <w:rPr>
          <w:rFonts w:ascii="Times New Roman" w:eastAsia="Times New Roman" w:hAnsi="Times New Roman" w:cs="Times New Roman"/>
          <w:i/>
          <w:sz w:val="24"/>
          <w:szCs w:val="20"/>
          <w:lang w:eastAsia="pl-PL"/>
        </w:rPr>
        <w:t xml:space="preserve"> </w:t>
      </w:r>
      <w:r w:rsidR="00D33302" w:rsidRPr="00E365D9">
        <w:rPr>
          <w:rFonts w:ascii="Times New Roman" w:eastAsia="Times New Roman" w:hAnsi="Times New Roman" w:cs="Times New Roman"/>
          <w:i/>
          <w:sz w:val="24"/>
          <w:szCs w:val="20"/>
          <w:lang w:eastAsia="pl-PL"/>
        </w:rPr>
        <w:t>funkcjonowaniu górnictwa węgla kamiennego w latach 2008</w:t>
      </w:r>
      <w:r w:rsidR="009C4D62">
        <w:rPr>
          <w:rFonts w:ascii="Times New Roman" w:eastAsia="Times New Roman" w:hAnsi="Times New Roman" w:cs="Times New Roman"/>
          <w:i/>
          <w:sz w:val="24"/>
          <w:szCs w:val="20"/>
          <w:lang w:eastAsia="pl-PL"/>
        </w:rPr>
        <w:t>–</w:t>
      </w:r>
      <w:r w:rsidR="00D33302" w:rsidRPr="00E365D9">
        <w:rPr>
          <w:rFonts w:ascii="Times New Roman" w:eastAsia="Times New Roman" w:hAnsi="Times New Roman" w:cs="Times New Roman"/>
          <w:i/>
          <w:sz w:val="24"/>
          <w:szCs w:val="20"/>
          <w:lang w:eastAsia="pl-PL"/>
        </w:rPr>
        <w:t>2015 oraz niektórych innych ustaw</w:t>
      </w:r>
      <w:r w:rsidR="00D33302" w:rsidRPr="00E365D9">
        <w:rPr>
          <w:rFonts w:ascii="Times New Roman" w:eastAsia="Times New Roman" w:hAnsi="Times New Roman" w:cs="Times New Roman"/>
          <w:sz w:val="24"/>
          <w:szCs w:val="20"/>
          <w:lang w:eastAsia="pl-PL"/>
        </w:rPr>
        <w:t xml:space="preserve"> (Dz.</w:t>
      </w:r>
      <w:r w:rsidR="00B401E1">
        <w:rPr>
          <w:rFonts w:ascii="Times New Roman" w:eastAsia="Times New Roman" w:hAnsi="Times New Roman" w:cs="Times New Roman"/>
          <w:sz w:val="24"/>
          <w:szCs w:val="20"/>
          <w:lang w:eastAsia="pl-PL"/>
        </w:rPr>
        <w:t xml:space="preserve"> </w:t>
      </w:r>
      <w:r w:rsidR="00D33302" w:rsidRPr="00E365D9">
        <w:rPr>
          <w:rFonts w:ascii="Times New Roman" w:eastAsia="Times New Roman" w:hAnsi="Times New Roman" w:cs="Times New Roman"/>
          <w:sz w:val="24"/>
          <w:szCs w:val="20"/>
          <w:lang w:eastAsia="pl-PL"/>
        </w:rPr>
        <w:t>U. poz. 143).</w:t>
      </w:r>
      <w:r>
        <w:rPr>
          <w:rFonts w:ascii="Times New Roman" w:eastAsia="Times New Roman" w:hAnsi="Times New Roman" w:cs="Times New Roman"/>
          <w:sz w:val="24"/>
          <w:szCs w:val="20"/>
          <w:lang w:eastAsia="pl-PL"/>
        </w:rPr>
        <w:t>”</w:t>
      </w:r>
    </w:p>
    <w:p w:rsidR="00D33302" w:rsidRPr="00E365D9" w:rsidRDefault="00D33302" w:rsidP="00E365D9">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b/>
          <w:sz w:val="24"/>
          <w:szCs w:val="20"/>
          <w:lang w:eastAsia="pl-PL"/>
        </w:rPr>
        <w:t>na następujący</w:t>
      </w:r>
      <w:r w:rsidRPr="00E365D9">
        <w:rPr>
          <w:rFonts w:ascii="Times New Roman" w:eastAsia="Times New Roman" w:hAnsi="Times New Roman" w:cs="Times New Roman"/>
          <w:sz w:val="24"/>
          <w:szCs w:val="20"/>
          <w:lang w:eastAsia="pl-PL"/>
        </w:rPr>
        <w:t>:</w:t>
      </w:r>
    </w:p>
    <w:p w:rsidR="00D33302" w:rsidRPr="00E365D9" w:rsidRDefault="00E365D9" w:rsidP="00D87B88">
      <w:pPr>
        <w:suppressAutoHyphens/>
        <w:autoSpaceDE w:val="0"/>
        <w:autoSpaceDN w:val="0"/>
        <w:adjustRightInd w:val="0"/>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w:t>
      </w:r>
      <w:r w:rsidR="00D33302" w:rsidRPr="00E365D9">
        <w:rPr>
          <w:rFonts w:ascii="Times New Roman" w:eastAsia="Times New Roman" w:hAnsi="Times New Roman" w:cs="Times New Roman"/>
          <w:sz w:val="24"/>
          <w:szCs w:val="20"/>
          <w:lang w:eastAsia="pl-PL"/>
        </w:rPr>
        <w:t>Art.</w:t>
      </w:r>
      <w:r>
        <w:rPr>
          <w:rFonts w:ascii="Times New Roman" w:eastAsia="Times New Roman" w:hAnsi="Times New Roman" w:cs="Times New Roman"/>
          <w:sz w:val="24"/>
          <w:szCs w:val="20"/>
          <w:lang w:eastAsia="pl-PL"/>
        </w:rPr>
        <w:t xml:space="preserve"> </w:t>
      </w:r>
      <w:r w:rsidR="00D33302" w:rsidRPr="00E365D9">
        <w:rPr>
          <w:rFonts w:ascii="Times New Roman" w:eastAsia="Times New Roman" w:hAnsi="Times New Roman" w:cs="Times New Roman"/>
          <w:sz w:val="24"/>
          <w:szCs w:val="20"/>
          <w:lang w:eastAsia="pl-PL"/>
        </w:rPr>
        <w:t>6.</w:t>
      </w:r>
      <w:r>
        <w:rPr>
          <w:rFonts w:ascii="Times New Roman" w:eastAsia="Times New Roman" w:hAnsi="Times New Roman" w:cs="Times New Roman"/>
          <w:sz w:val="24"/>
          <w:szCs w:val="20"/>
          <w:lang w:eastAsia="pl-PL"/>
        </w:rPr>
        <w:t xml:space="preserve"> </w:t>
      </w:r>
      <w:r w:rsidR="00D33302" w:rsidRPr="00E365D9">
        <w:rPr>
          <w:rFonts w:ascii="Times New Roman" w:eastAsia="Times New Roman" w:hAnsi="Times New Roman" w:cs="Times New Roman"/>
          <w:sz w:val="24"/>
          <w:szCs w:val="20"/>
          <w:lang w:eastAsia="pl-PL"/>
        </w:rPr>
        <w:t>Naprawianie szkód wywołanych ruchem zakładu górniczego, w trakcie i po zakończeniu likwidacji zakładu górniczego, jest finansowane także w ramach limitu, o</w:t>
      </w:r>
      <w:r w:rsidR="00D24392">
        <w:rPr>
          <w:rFonts w:ascii="Times New Roman" w:eastAsia="Times New Roman" w:hAnsi="Times New Roman" w:cs="Times New Roman"/>
          <w:sz w:val="24"/>
          <w:szCs w:val="20"/>
          <w:lang w:eastAsia="pl-PL"/>
        </w:rPr>
        <w:t> </w:t>
      </w:r>
      <w:r w:rsidR="00D33302" w:rsidRPr="00E365D9">
        <w:rPr>
          <w:rFonts w:ascii="Times New Roman" w:eastAsia="Times New Roman" w:hAnsi="Times New Roman" w:cs="Times New Roman"/>
          <w:sz w:val="24"/>
          <w:szCs w:val="20"/>
          <w:lang w:eastAsia="pl-PL"/>
        </w:rPr>
        <w:t xml:space="preserve">którym mowa w art. 6 ustawy z dnia 22 stycznia 2015 r. </w:t>
      </w:r>
      <w:r w:rsidR="00D33302" w:rsidRPr="00E365D9">
        <w:rPr>
          <w:rFonts w:ascii="Times New Roman" w:eastAsia="Times New Roman" w:hAnsi="Times New Roman" w:cs="Times New Roman"/>
          <w:i/>
          <w:sz w:val="24"/>
          <w:szCs w:val="20"/>
          <w:lang w:eastAsia="pl-PL"/>
        </w:rPr>
        <w:t>o zmianie ustawy o</w:t>
      </w:r>
      <w:r w:rsidR="00D24392">
        <w:rPr>
          <w:rFonts w:ascii="Times New Roman" w:eastAsia="Times New Roman" w:hAnsi="Times New Roman" w:cs="Times New Roman"/>
          <w:i/>
          <w:sz w:val="24"/>
          <w:szCs w:val="20"/>
          <w:lang w:eastAsia="pl-PL"/>
        </w:rPr>
        <w:t> </w:t>
      </w:r>
      <w:r w:rsidR="00D33302" w:rsidRPr="00E365D9">
        <w:rPr>
          <w:rFonts w:ascii="Times New Roman" w:eastAsia="Times New Roman" w:hAnsi="Times New Roman" w:cs="Times New Roman"/>
          <w:i/>
          <w:sz w:val="24"/>
          <w:szCs w:val="20"/>
          <w:lang w:eastAsia="pl-PL"/>
        </w:rPr>
        <w:t>funkcjonowaniu górnictwa węgla kamiennego w latach 2008</w:t>
      </w:r>
      <w:r w:rsidR="009C4D62">
        <w:rPr>
          <w:rFonts w:ascii="Times New Roman" w:eastAsia="Times New Roman" w:hAnsi="Times New Roman" w:cs="Times New Roman"/>
          <w:i/>
          <w:sz w:val="24"/>
          <w:szCs w:val="20"/>
          <w:lang w:eastAsia="pl-PL"/>
        </w:rPr>
        <w:t>–</w:t>
      </w:r>
      <w:r w:rsidR="00D33302" w:rsidRPr="00E365D9">
        <w:rPr>
          <w:rFonts w:ascii="Times New Roman" w:eastAsia="Times New Roman" w:hAnsi="Times New Roman" w:cs="Times New Roman"/>
          <w:i/>
          <w:sz w:val="24"/>
          <w:szCs w:val="20"/>
          <w:lang w:eastAsia="pl-PL"/>
        </w:rPr>
        <w:t>2015 oraz niektórych innych ustaw</w:t>
      </w:r>
      <w:r w:rsidR="00D33302" w:rsidRPr="00E365D9">
        <w:rPr>
          <w:rFonts w:ascii="Times New Roman" w:eastAsia="Times New Roman" w:hAnsi="Times New Roman" w:cs="Times New Roman"/>
          <w:sz w:val="24"/>
          <w:szCs w:val="20"/>
          <w:lang w:eastAsia="pl-PL"/>
        </w:rPr>
        <w:t xml:space="preserve"> (Dz.</w:t>
      </w:r>
      <w:r w:rsidR="00B401E1">
        <w:rPr>
          <w:rFonts w:ascii="Times New Roman" w:eastAsia="Times New Roman" w:hAnsi="Times New Roman" w:cs="Times New Roman"/>
          <w:sz w:val="24"/>
          <w:szCs w:val="20"/>
          <w:lang w:eastAsia="pl-PL"/>
        </w:rPr>
        <w:t xml:space="preserve"> </w:t>
      </w:r>
      <w:r w:rsidR="00D33302" w:rsidRPr="00E365D9">
        <w:rPr>
          <w:rFonts w:ascii="Times New Roman" w:eastAsia="Times New Roman" w:hAnsi="Times New Roman" w:cs="Times New Roman"/>
          <w:sz w:val="24"/>
          <w:szCs w:val="20"/>
          <w:lang w:eastAsia="pl-PL"/>
        </w:rPr>
        <w:t>U. poz. 143, z 2016 r. poz. 1592 oraz z 2018 r. poz. …).</w:t>
      </w:r>
      <w:r>
        <w:rPr>
          <w:rFonts w:ascii="Times New Roman" w:eastAsia="Times New Roman" w:hAnsi="Times New Roman" w:cs="Times New Roman"/>
          <w:sz w:val="24"/>
          <w:szCs w:val="20"/>
          <w:lang w:eastAsia="pl-PL"/>
        </w:rPr>
        <w:t>”</w:t>
      </w:r>
      <w:r w:rsidR="00D33302" w:rsidRPr="00E365D9">
        <w:rPr>
          <w:rFonts w:ascii="Times New Roman" w:eastAsia="Times New Roman" w:hAnsi="Times New Roman" w:cs="Times New Roman"/>
          <w:sz w:val="24"/>
          <w:szCs w:val="20"/>
          <w:lang w:eastAsia="pl-PL"/>
        </w:rPr>
        <w:t>.</w:t>
      </w:r>
    </w:p>
    <w:p w:rsidR="00D33302" w:rsidRPr="00E365D9" w:rsidRDefault="00D33302" w:rsidP="00E365D9">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 xml:space="preserve">W ocenie projektodawcy, nie jest konieczne dodatkowe określanie terminu finansowania dla zadań związanych z naprawianiem szkód górniczych, realizowanych w ramach całego procesu restrukturyzacji górnictwa węgla kamiennego, w sytuacji, gdy został określony ogólny termin wykorzystania limitu w art. 6 ustawy z dnia 22 stycznia 2015 r. </w:t>
      </w:r>
      <w:r w:rsidRPr="00E365D9">
        <w:rPr>
          <w:rFonts w:ascii="Times New Roman" w:eastAsia="Times New Roman" w:hAnsi="Times New Roman" w:cs="Times New Roman"/>
          <w:i/>
          <w:sz w:val="24"/>
          <w:szCs w:val="20"/>
          <w:lang w:eastAsia="pl-PL"/>
        </w:rPr>
        <w:t>o zmianie ustawy o</w:t>
      </w:r>
      <w:r w:rsidR="00E365D9">
        <w:rPr>
          <w:rFonts w:ascii="Times New Roman" w:eastAsia="Times New Roman" w:hAnsi="Times New Roman" w:cs="Times New Roman"/>
          <w:i/>
          <w:sz w:val="24"/>
          <w:szCs w:val="20"/>
          <w:lang w:eastAsia="pl-PL"/>
        </w:rPr>
        <w:t xml:space="preserve"> </w:t>
      </w:r>
      <w:r w:rsidRPr="00E365D9">
        <w:rPr>
          <w:rFonts w:ascii="Times New Roman" w:eastAsia="Times New Roman" w:hAnsi="Times New Roman" w:cs="Times New Roman"/>
          <w:i/>
          <w:sz w:val="24"/>
          <w:szCs w:val="20"/>
          <w:lang w:eastAsia="pl-PL"/>
        </w:rPr>
        <w:t xml:space="preserve">funkcjonowaniu górnictwa węgla kamiennego w latach </w:t>
      </w:r>
      <w:r w:rsidRPr="00E365D9">
        <w:rPr>
          <w:rFonts w:ascii="Times New Roman" w:eastAsia="Times New Roman" w:hAnsi="Times New Roman" w:cs="Times New Roman"/>
          <w:i/>
          <w:sz w:val="24"/>
          <w:szCs w:val="20"/>
          <w:lang w:eastAsia="pl-PL"/>
        </w:rPr>
        <w:lastRenderedPageBreak/>
        <w:t>2008</w:t>
      </w:r>
      <w:r w:rsidR="009C4D62">
        <w:rPr>
          <w:rFonts w:ascii="Times New Roman" w:eastAsia="Times New Roman" w:hAnsi="Times New Roman" w:cs="Times New Roman"/>
          <w:i/>
          <w:sz w:val="24"/>
          <w:szCs w:val="20"/>
          <w:lang w:eastAsia="pl-PL"/>
        </w:rPr>
        <w:t>–</w:t>
      </w:r>
      <w:r w:rsidRPr="00E365D9">
        <w:rPr>
          <w:rFonts w:ascii="Times New Roman" w:eastAsia="Times New Roman" w:hAnsi="Times New Roman" w:cs="Times New Roman"/>
          <w:i/>
          <w:sz w:val="24"/>
          <w:szCs w:val="20"/>
          <w:lang w:eastAsia="pl-PL"/>
        </w:rPr>
        <w:t>2015 oraz niektórych innych ustaw</w:t>
      </w:r>
      <w:r w:rsidRPr="00E365D9">
        <w:rPr>
          <w:rFonts w:ascii="Times New Roman" w:eastAsia="Times New Roman" w:hAnsi="Times New Roman" w:cs="Times New Roman"/>
          <w:sz w:val="24"/>
          <w:szCs w:val="20"/>
          <w:lang w:eastAsia="pl-PL"/>
        </w:rPr>
        <w:t xml:space="preserve"> (Dz.</w:t>
      </w:r>
      <w:r w:rsidR="00B401E1">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U. poz. 143, z późn. zm.), o czym mowa powyżej.</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Niezbędnym natomiast, zdaniem projektodawcy, jest dokonanie zmiany art. 8a ust. 3 ustawy z dnia 7</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 xml:space="preserve">września 2007 r. </w:t>
      </w:r>
      <w:r w:rsidRPr="00E365D9">
        <w:rPr>
          <w:rFonts w:ascii="Times New Roman" w:eastAsia="Times New Roman" w:hAnsi="Times New Roman" w:cs="Times New Roman"/>
          <w:i/>
          <w:sz w:val="24"/>
          <w:szCs w:val="20"/>
          <w:lang w:eastAsia="pl-PL"/>
        </w:rPr>
        <w:t>o funkcjonowaniu górnictwa węgla kamiennego</w:t>
      </w:r>
      <w:r w:rsidRPr="00E365D9">
        <w:rPr>
          <w:rFonts w:ascii="Times New Roman" w:eastAsia="Times New Roman" w:hAnsi="Times New Roman" w:cs="Times New Roman"/>
          <w:sz w:val="24"/>
          <w:szCs w:val="20"/>
          <w:lang w:eastAsia="pl-PL"/>
        </w:rPr>
        <w:t xml:space="preserve"> (Dz.</w:t>
      </w:r>
      <w:r w:rsidR="00B401E1">
        <w:rPr>
          <w:rFonts w:ascii="Times New Roman" w:eastAsia="Times New Roman" w:hAnsi="Times New Roman" w:cs="Times New Roman"/>
          <w:sz w:val="24"/>
          <w:szCs w:val="20"/>
          <w:lang w:eastAsia="pl-PL"/>
        </w:rPr>
        <w:t> </w:t>
      </w:r>
      <w:r w:rsidRPr="00E365D9">
        <w:rPr>
          <w:rFonts w:ascii="Times New Roman" w:eastAsia="Times New Roman" w:hAnsi="Times New Roman" w:cs="Times New Roman"/>
          <w:sz w:val="24"/>
          <w:szCs w:val="20"/>
          <w:lang w:eastAsia="pl-PL"/>
        </w:rPr>
        <w:t>U.</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z</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 xml:space="preserve">2018 r. poz. 1374) </w:t>
      </w:r>
      <w:r w:rsidRPr="00E365D9">
        <w:rPr>
          <w:rFonts w:ascii="Times New Roman" w:eastAsia="Times New Roman" w:hAnsi="Times New Roman" w:cs="Times New Roman"/>
          <w:b/>
          <w:sz w:val="24"/>
          <w:szCs w:val="20"/>
          <w:lang w:eastAsia="pl-PL"/>
        </w:rPr>
        <w:t>z obecnego</w:t>
      </w:r>
      <w:r w:rsidRPr="00E365D9">
        <w:rPr>
          <w:rFonts w:ascii="Times New Roman" w:eastAsia="Times New Roman" w:hAnsi="Times New Roman" w:cs="Times New Roman"/>
          <w:sz w:val="24"/>
          <w:szCs w:val="20"/>
          <w:lang w:eastAsia="pl-PL"/>
        </w:rPr>
        <w:t>:</w:t>
      </w:r>
    </w:p>
    <w:p w:rsidR="00D33302" w:rsidRPr="00E365D9" w:rsidRDefault="00E365D9" w:rsidP="00D87B88">
      <w:pPr>
        <w:suppressAutoHyphens/>
        <w:autoSpaceDE w:val="0"/>
        <w:autoSpaceDN w:val="0"/>
        <w:adjustRightInd w:val="0"/>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w:t>
      </w:r>
      <w:r w:rsidR="00D33302" w:rsidRPr="00E365D9">
        <w:rPr>
          <w:rFonts w:ascii="Times New Roman" w:eastAsia="Times New Roman" w:hAnsi="Times New Roman" w:cs="Times New Roman"/>
          <w:sz w:val="24"/>
          <w:szCs w:val="20"/>
          <w:lang w:eastAsia="pl-PL"/>
        </w:rPr>
        <w:t>3.</w:t>
      </w:r>
      <w:r>
        <w:rPr>
          <w:rFonts w:ascii="Times New Roman" w:eastAsia="Times New Roman" w:hAnsi="Times New Roman" w:cs="Times New Roman"/>
          <w:sz w:val="24"/>
          <w:szCs w:val="20"/>
          <w:lang w:eastAsia="pl-PL"/>
        </w:rPr>
        <w:t xml:space="preserve"> </w:t>
      </w:r>
      <w:r w:rsidR="00D33302" w:rsidRPr="00E365D9">
        <w:rPr>
          <w:rFonts w:ascii="Times New Roman" w:eastAsia="Times New Roman" w:hAnsi="Times New Roman" w:cs="Times New Roman"/>
          <w:sz w:val="24"/>
          <w:szCs w:val="20"/>
          <w:lang w:eastAsia="pl-PL"/>
        </w:rPr>
        <w:t>Likwidacja kopalni, zakładu górniczego lub jego oznaczonej części przez przedsiębiorstwo, o którym mowa w art. 8 ust. 1, finansowana jest z dotacji budżetowej oraz innych źródeł finansowania.</w:t>
      </w:r>
      <w:r>
        <w:rPr>
          <w:rFonts w:ascii="Times New Roman" w:eastAsia="Times New Roman" w:hAnsi="Times New Roman" w:cs="Times New Roman"/>
          <w:sz w:val="24"/>
          <w:szCs w:val="20"/>
          <w:lang w:eastAsia="pl-PL"/>
        </w:rPr>
        <w:t>”</w:t>
      </w:r>
    </w:p>
    <w:p w:rsidR="00D33302" w:rsidRPr="00E365D9" w:rsidRDefault="00D33302" w:rsidP="00E365D9">
      <w:pPr>
        <w:suppressAutoHyphens/>
        <w:autoSpaceDE w:val="0"/>
        <w:autoSpaceDN w:val="0"/>
        <w:adjustRightInd w:val="0"/>
        <w:spacing w:before="120" w:after="0" w:line="360" w:lineRule="auto"/>
        <w:jc w:val="both"/>
        <w:rPr>
          <w:rFonts w:ascii="Times New Roman" w:eastAsia="Times New Roman" w:hAnsi="Times New Roman" w:cs="Times New Roman"/>
          <w:b/>
          <w:sz w:val="24"/>
          <w:szCs w:val="20"/>
          <w:lang w:eastAsia="pl-PL"/>
        </w:rPr>
      </w:pPr>
      <w:r w:rsidRPr="00E365D9">
        <w:rPr>
          <w:rFonts w:ascii="Times New Roman" w:eastAsia="Times New Roman" w:hAnsi="Times New Roman" w:cs="Times New Roman"/>
          <w:b/>
          <w:sz w:val="24"/>
          <w:szCs w:val="20"/>
          <w:lang w:eastAsia="pl-PL"/>
        </w:rPr>
        <w:t>na następujący:</w:t>
      </w:r>
    </w:p>
    <w:p w:rsidR="00D33302" w:rsidRPr="00E365D9" w:rsidRDefault="00E365D9" w:rsidP="00D87B88">
      <w:pPr>
        <w:suppressAutoHyphens/>
        <w:autoSpaceDE w:val="0"/>
        <w:autoSpaceDN w:val="0"/>
        <w:adjustRightInd w:val="0"/>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w:t>
      </w:r>
      <w:r w:rsidR="00D33302" w:rsidRPr="00E365D9">
        <w:rPr>
          <w:rFonts w:ascii="Times New Roman" w:eastAsia="Times New Roman" w:hAnsi="Times New Roman" w:cs="Times New Roman"/>
          <w:sz w:val="24"/>
          <w:szCs w:val="20"/>
          <w:lang w:eastAsia="pl-PL"/>
        </w:rPr>
        <w:t>3.</w:t>
      </w:r>
      <w:r>
        <w:rPr>
          <w:rFonts w:ascii="Times New Roman" w:eastAsia="Times New Roman" w:hAnsi="Times New Roman" w:cs="Times New Roman"/>
          <w:sz w:val="24"/>
          <w:szCs w:val="20"/>
          <w:lang w:eastAsia="pl-PL"/>
        </w:rPr>
        <w:t xml:space="preserve"> </w:t>
      </w:r>
      <w:r w:rsidR="00D33302" w:rsidRPr="00E365D9">
        <w:rPr>
          <w:rFonts w:ascii="Times New Roman" w:eastAsia="Times New Roman" w:hAnsi="Times New Roman" w:cs="Times New Roman"/>
          <w:sz w:val="24"/>
          <w:szCs w:val="20"/>
          <w:lang w:eastAsia="pl-PL"/>
        </w:rPr>
        <w:t>Likwidacja kopalni, zakładu górniczego lub jego oznaczonej części, a także działania wykonywane po zakończeniu ich likwidacji przez przedsiębiorstwo, o którym mowa w art. 8 ust. 1, finansowane są z dotacji budżetowej oraz innych źródeł finansowania.</w:t>
      </w:r>
      <w:r>
        <w:rPr>
          <w:rFonts w:ascii="Times New Roman" w:eastAsia="Times New Roman" w:hAnsi="Times New Roman" w:cs="Times New Roman"/>
          <w:sz w:val="24"/>
          <w:szCs w:val="20"/>
          <w:lang w:eastAsia="pl-PL"/>
        </w:rPr>
        <w:t>”</w:t>
      </w:r>
      <w:r w:rsidR="00D33302" w:rsidRPr="00E365D9">
        <w:rPr>
          <w:rFonts w:ascii="Times New Roman" w:eastAsia="Times New Roman" w:hAnsi="Times New Roman" w:cs="Times New Roman"/>
          <w:sz w:val="24"/>
          <w:szCs w:val="20"/>
          <w:lang w:eastAsia="pl-PL"/>
        </w:rPr>
        <w:t>.</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 xml:space="preserve">Za przyjęciem takiego brzmienia przepisu przemawia argument w postaci planowanego w 2018 r. zakończenia procesu likwidacji KWK </w:t>
      </w:r>
      <w:r w:rsidR="00E365D9">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Rozbark V</w:t>
      </w:r>
      <w:r w:rsidR="00E365D9">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 xml:space="preserve">, KWK </w:t>
      </w:r>
      <w:r w:rsidR="00E365D9">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Kazimierz Juliusz</w:t>
      </w:r>
      <w:r w:rsidR="00E365D9">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 xml:space="preserve">, KWK </w:t>
      </w:r>
      <w:r w:rsidR="00E365D9">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Anna</w:t>
      </w:r>
      <w:r w:rsidR="00E365D9">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 xml:space="preserve"> oraz KWK </w:t>
      </w:r>
      <w:r w:rsidR="00E365D9">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Wieczorek I</w:t>
      </w:r>
      <w:r w:rsidR="00E365D9">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 Przy czym zakończenie procesu likwidacji ze wskazaniem terminu w programie likwidacji oznacza faktycznie zakończenie likwidacji tylko części podziemnej kopalni, zakładu górniczego lub jego oznaczonej części. Za całkowite zakończenie procesu fizycznej likwidacji należy uznać nie tylko likwidację tzw. dołu kopalni, ale również likwidację infrastruktury powierzchniowej, łącznie ze sprzedażą zbędnego majątku</w:t>
      </w:r>
      <w:r w:rsidR="00365ACF">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 xml:space="preserve"> lub przekazanie niektórych gruntów lub obiektów np. na potrzeby gmin. Jednak ten etap jest najczęściej określany </w:t>
      </w:r>
      <w:r w:rsidR="00365ACF">
        <w:rPr>
          <w:rFonts w:ascii="Times New Roman" w:eastAsia="Times New Roman" w:hAnsi="Times New Roman" w:cs="Times New Roman"/>
          <w:sz w:val="24"/>
          <w:szCs w:val="20"/>
          <w:lang w:eastAsia="pl-PL"/>
        </w:rPr>
        <w:t>mianem działań polikwidacyjnych</w:t>
      </w:r>
      <w:r w:rsidRPr="00E365D9">
        <w:rPr>
          <w:rFonts w:ascii="Times New Roman" w:eastAsia="Times New Roman" w:hAnsi="Times New Roman" w:cs="Times New Roman"/>
          <w:sz w:val="24"/>
          <w:szCs w:val="20"/>
          <w:lang w:eastAsia="pl-PL"/>
        </w:rPr>
        <w:t xml:space="preserve"> i działania te, jako kontynuacja procesu likwidacji kopalń</w:t>
      </w:r>
      <w:r w:rsidR="00365ACF">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 xml:space="preserve"> również powinny mieć zabezpieczone środki na finansowanie w</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ramach limitu, o</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 xml:space="preserve">którym mowa w art. 6 ustawy z dnia 22 stycznia 2015 r. </w:t>
      </w:r>
      <w:r w:rsidRPr="00E365D9">
        <w:rPr>
          <w:rFonts w:ascii="Times New Roman" w:eastAsia="Times New Roman" w:hAnsi="Times New Roman" w:cs="Times New Roman"/>
          <w:i/>
          <w:sz w:val="24"/>
          <w:szCs w:val="20"/>
          <w:lang w:eastAsia="pl-PL"/>
        </w:rPr>
        <w:t>o zmianie ustawy o</w:t>
      </w:r>
      <w:r w:rsidR="00D24392">
        <w:rPr>
          <w:rFonts w:ascii="Times New Roman" w:eastAsia="Times New Roman" w:hAnsi="Times New Roman" w:cs="Times New Roman"/>
          <w:i/>
          <w:sz w:val="24"/>
          <w:szCs w:val="20"/>
          <w:lang w:eastAsia="pl-PL"/>
        </w:rPr>
        <w:t> </w:t>
      </w:r>
      <w:r w:rsidRPr="00E365D9">
        <w:rPr>
          <w:rFonts w:ascii="Times New Roman" w:eastAsia="Times New Roman" w:hAnsi="Times New Roman" w:cs="Times New Roman"/>
          <w:i/>
          <w:sz w:val="24"/>
          <w:szCs w:val="20"/>
          <w:lang w:eastAsia="pl-PL"/>
        </w:rPr>
        <w:t>funkcjonowaniu górnictwa węgla kamiennego w latach 2008</w:t>
      </w:r>
      <w:r w:rsidR="009C4D62">
        <w:rPr>
          <w:rFonts w:ascii="Times New Roman" w:eastAsia="Times New Roman" w:hAnsi="Times New Roman" w:cs="Times New Roman"/>
          <w:i/>
          <w:sz w:val="24"/>
          <w:szCs w:val="20"/>
          <w:lang w:eastAsia="pl-PL"/>
        </w:rPr>
        <w:t>–</w:t>
      </w:r>
      <w:r w:rsidRPr="00E365D9">
        <w:rPr>
          <w:rFonts w:ascii="Times New Roman" w:eastAsia="Times New Roman" w:hAnsi="Times New Roman" w:cs="Times New Roman"/>
          <w:i/>
          <w:sz w:val="24"/>
          <w:szCs w:val="20"/>
          <w:lang w:eastAsia="pl-PL"/>
        </w:rPr>
        <w:t>2015 oraz niektórych innych ustaw</w:t>
      </w:r>
      <w:r w:rsidRPr="00E365D9">
        <w:rPr>
          <w:rFonts w:ascii="Times New Roman" w:eastAsia="Times New Roman" w:hAnsi="Times New Roman" w:cs="Times New Roman"/>
          <w:sz w:val="24"/>
          <w:szCs w:val="20"/>
          <w:lang w:eastAsia="pl-PL"/>
        </w:rPr>
        <w:t>.</w:t>
      </w:r>
      <w:r w:rsidRPr="00E365D9" w:rsidDel="00671EE0">
        <w:rPr>
          <w:rFonts w:ascii="Times New Roman" w:eastAsia="Times New Roman" w:hAnsi="Times New Roman" w:cs="Times New Roman"/>
          <w:sz w:val="24"/>
          <w:szCs w:val="20"/>
          <w:lang w:eastAsia="pl-PL"/>
        </w:rPr>
        <w:t xml:space="preserve"> </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Jednocześnie, z uwagi na prowadzony proces notyfikacji pomocy publicznej dla zabytkowej Kopalni Soli w Bochni na kolejne lata, a w przyszłości również dla Kopalni Soli w</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Wieliczce, niezbędnym jest wprowadzenie zmian do ustawy z dnia 30 sierpnia 2013 r. o</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dotacji przeznaczonej dla niektórych podmiotów (Dz. U. z 2017 r. poz. 1358).</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lastRenderedPageBreak/>
        <w:t>Pomoc publiczna dla tych podmiotów była dotychczas notyfikowana na podstawie zgodności z przepisami rynku wewnętrznego, zgodnie z art. 107 Traktatu o</w:t>
      </w:r>
      <w:r w:rsidR="00D24392">
        <w:rPr>
          <w:rFonts w:ascii="Times New Roman" w:eastAsia="Times New Roman" w:hAnsi="Times New Roman" w:cs="Times New Roman"/>
          <w:sz w:val="24"/>
          <w:szCs w:val="20"/>
          <w:lang w:eastAsia="pl-PL"/>
        </w:rPr>
        <w:t> </w:t>
      </w:r>
      <w:r w:rsidR="00365ACF">
        <w:rPr>
          <w:rFonts w:ascii="Times New Roman" w:eastAsia="Times New Roman" w:hAnsi="Times New Roman" w:cs="Times New Roman"/>
          <w:sz w:val="24"/>
          <w:szCs w:val="20"/>
          <w:lang w:eastAsia="pl-PL"/>
        </w:rPr>
        <w:t>f</w:t>
      </w:r>
      <w:r w:rsidRPr="00E365D9">
        <w:rPr>
          <w:rFonts w:ascii="Times New Roman" w:eastAsia="Times New Roman" w:hAnsi="Times New Roman" w:cs="Times New Roman"/>
          <w:sz w:val="24"/>
          <w:szCs w:val="20"/>
          <w:lang w:eastAsia="pl-PL"/>
        </w:rPr>
        <w:t xml:space="preserve">unkcjonowaniu Unii Europejskiej (TFUE). Pomoc dla Kopalni Soli </w:t>
      </w:r>
      <w:r w:rsidR="00E365D9">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Bochnia</w:t>
      </w:r>
      <w:r w:rsidR="00E365D9">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 xml:space="preserve">, Kopalni Soli </w:t>
      </w:r>
      <w:r w:rsidR="00E365D9">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Wieliczka</w:t>
      </w:r>
      <w:r w:rsidR="00E365D9">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 xml:space="preserve"> i Muzeum Górnictwa Węglowego w Zabrzu została uznana przez Komisję za zgodną</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z</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rynkiem wewnętrznym</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zgodnie z art. 107 ust. 3 lit. d TFUE jako pomoc przeznaczona na wspieranie kultury i zachowanie dziedzictwa kulturowego.</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Komisja Europejska natomiast ma możliwość wydawania rozporządzeń, na podstawie których pewne kategorie pomocy są, niejako z góry, uznane za zgodne z rynkiem wewnętrznym i w związku z tym nie wymagają uzyskania zgody Komisji. Są</w:t>
      </w:r>
      <w:r w:rsidR="00E365D9">
        <w:rPr>
          <w:rFonts w:ascii="Times New Roman" w:eastAsia="Times New Roman" w:hAnsi="Times New Roman" w:cs="Times New Roman"/>
          <w:sz w:val="24"/>
          <w:szCs w:val="20"/>
          <w:lang w:eastAsia="pl-PL"/>
        </w:rPr>
        <w:t xml:space="preserve"> </w:t>
      </w:r>
      <w:r w:rsidR="00D24392">
        <w:rPr>
          <w:rFonts w:ascii="Times New Roman" w:eastAsia="Times New Roman" w:hAnsi="Times New Roman" w:cs="Times New Roman"/>
          <w:sz w:val="24"/>
          <w:szCs w:val="20"/>
          <w:lang w:eastAsia="pl-PL"/>
        </w:rPr>
        <w:t>to np. </w:t>
      </w:r>
      <w:r w:rsidRPr="00E365D9">
        <w:rPr>
          <w:rFonts w:ascii="Times New Roman" w:eastAsia="Times New Roman" w:hAnsi="Times New Roman" w:cs="Times New Roman"/>
          <w:sz w:val="24"/>
          <w:szCs w:val="20"/>
          <w:lang w:eastAsia="pl-PL"/>
        </w:rPr>
        <w:t xml:space="preserve">projekty objęte tzw. włączeniami grupowymi. </w:t>
      </w:r>
      <w:r w:rsidR="00D24392">
        <w:rPr>
          <w:rFonts w:ascii="Times New Roman" w:eastAsia="Times New Roman" w:hAnsi="Times New Roman" w:cs="Times New Roman"/>
          <w:sz w:val="24"/>
          <w:szCs w:val="20"/>
          <w:lang w:eastAsia="pl-PL"/>
        </w:rPr>
        <w:t>W dniu 1 lipca 2014 r. weszło w </w:t>
      </w:r>
      <w:r w:rsidRPr="00E365D9">
        <w:rPr>
          <w:rFonts w:ascii="Times New Roman" w:eastAsia="Times New Roman" w:hAnsi="Times New Roman" w:cs="Times New Roman"/>
          <w:sz w:val="24"/>
          <w:szCs w:val="20"/>
          <w:lang w:eastAsia="pl-PL"/>
        </w:rPr>
        <w:t>życie w krajach Unii Europejskiej nowe rozporządzenie Komisji (UE) nr 651/2014 z</w:t>
      </w:r>
      <w:r w:rsidR="00365ACF">
        <w:rPr>
          <w:rFonts w:ascii="Times New Roman" w:eastAsia="Times New Roman" w:hAnsi="Times New Roman" w:cs="Times New Roman"/>
          <w:sz w:val="24"/>
          <w:szCs w:val="20"/>
          <w:lang w:eastAsia="pl-PL"/>
        </w:rPr>
        <w:t> </w:t>
      </w:r>
      <w:r w:rsidRPr="00E365D9">
        <w:rPr>
          <w:rFonts w:ascii="Times New Roman" w:eastAsia="Times New Roman" w:hAnsi="Times New Roman" w:cs="Times New Roman"/>
          <w:sz w:val="24"/>
          <w:szCs w:val="20"/>
          <w:lang w:eastAsia="pl-PL"/>
        </w:rPr>
        <w:t>dnia 17 czerwca 2014</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r. uznające niektóre rodzaje pomocy za zgodne z rynkiem wewnętrznym w zastosowaniu art. 107 i 108 Traktat</w:t>
      </w:r>
      <w:r w:rsidR="00D24392">
        <w:rPr>
          <w:rFonts w:ascii="Times New Roman" w:eastAsia="Times New Roman" w:hAnsi="Times New Roman" w:cs="Times New Roman"/>
          <w:sz w:val="24"/>
          <w:szCs w:val="20"/>
          <w:lang w:eastAsia="pl-PL"/>
        </w:rPr>
        <w:t>u (Dz. U</w:t>
      </w:r>
      <w:r w:rsidR="00365ACF">
        <w:rPr>
          <w:rFonts w:ascii="Times New Roman" w:eastAsia="Times New Roman" w:hAnsi="Times New Roman" w:cs="Times New Roman"/>
          <w:sz w:val="24"/>
          <w:szCs w:val="20"/>
          <w:lang w:eastAsia="pl-PL"/>
        </w:rPr>
        <w:t>rz</w:t>
      </w:r>
      <w:r w:rsidR="00D24392">
        <w:rPr>
          <w:rFonts w:ascii="Times New Roman" w:eastAsia="Times New Roman" w:hAnsi="Times New Roman" w:cs="Times New Roman"/>
          <w:sz w:val="24"/>
          <w:szCs w:val="20"/>
          <w:lang w:eastAsia="pl-PL"/>
        </w:rPr>
        <w:t>. UE L 187 z 26.06.2014</w:t>
      </w:r>
      <w:r w:rsidRPr="00E365D9">
        <w:rPr>
          <w:rFonts w:ascii="Times New Roman" w:eastAsia="Times New Roman" w:hAnsi="Times New Roman" w:cs="Times New Roman"/>
          <w:sz w:val="24"/>
          <w:szCs w:val="20"/>
          <w:lang w:eastAsia="pl-PL"/>
        </w:rPr>
        <w:t xml:space="preserve">, str. 1), dalej jako </w:t>
      </w:r>
      <w:r w:rsidR="00365ACF">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rozporządzenie nr 651/2014</w:t>
      </w:r>
      <w:r w:rsidR="00365ACF">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 Rozporządze</w:t>
      </w:r>
      <w:r w:rsidR="00D87B88">
        <w:rPr>
          <w:rFonts w:ascii="Times New Roman" w:eastAsia="Times New Roman" w:hAnsi="Times New Roman" w:cs="Times New Roman"/>
          <w:sz w:val="24"/>
          <w:szCs w:val="20"/>
          <w:lang w:eastAsia="pl-PL"/>
        </w:rPr>
        <w:t>nie m.in. </w:t>
      </w:r>
      <w:r w:rsidRPr="00E365D9">
        <w:rPr>
          <w:rFonts w:ascii="Times New Roman" w:eastAsia="Times New Roman" w:hAnsi="Times New Roman" w:cs="Times New Roman"/>
          <w:sz w:val="24"/>
          <w:szCs w:val="20"/>
          <w:lang w:eastAsia="pl-PL"/>
        </w:rPr>
        <w:t xml:space="preserve">rozszerza wyłączenia grupowe o nowe kategorie pomocy państwa. Do takich kategorii należy m.in. pomoc na wspieranie kultury i zachowanie dziedzictwa kulturowego. </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W związku z tym, wprowadzenie do ustawy z dnia 30 sierpnia 2013 r. o dotacji przeznaczonej dla niektórych podmiotów przepisów uznających pomoc publiczną dla wymienionych w niej podmiotów za zgodną z rynkiem wewnętrznym</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na podstawie bezpośrednio obowiązujących przepisów dotyczących pomocy publicznej daje możliwość stosowania ich do pomocy udzielanej podmiotom, bez konieczności prowadzenia długotrwałego procesu notyfikacji. Jedna</w:t>
      </w:r>
      <w:r w:rsidR="00D24392">
        <w:rPr>
          <w:rFonts w:ascii="Times New Roman" w:eastAsia="Times New Roman" w:hAnsi="Times New Roman" w:cs="Times New Roman"/>
          <w:sz w:val="24"/>
          <w:szCs w:val="20"/>
          <w:lang w:eastAsia="pl-PL"/>
        </w:rPr>
        <w:t>k</w:t>
      </w:r>
      <w:r w:rsidR="00365ACF">
        <w:rPr>
          <w:rFonts w:ascii="Times New Roman" w:eastAsia="Times New Roman" w:hAnsi="Times New Roman" w:cs="Times New Roman"/>
          <w:sz w:val="24"/>
          <w:szCs w:val="20"/>
          <w:lang w:eastAsia="pl-PL"/>
        </w:rPr>
        <w:t>,</w:t>
      </w:r>
      <w:r w:rsidR="00D24392">
        <w:rPr>
          <w:rFonts w:ascii="Times New Roman" w:eastAsia="Times New Roman" w:hAnsi="Times New Roman" w:cs="Times New Roman"/>
          <w:sz w:val="24"/>
          <w:szCs w:val="20"/>
          <w:lang w:eastAsia="pl-PL"/>
        </w:rPr>
        <w:t xml:space="preserve"> by móc korzystać w praktyce z </w:t>
      </w:r>
      <w:r w:rsidRPr="00E365D9">
        <w:rPr>
          <w:rFonts w:ascii="Times New Roman" w:eastAsia="Times New Roman" w:hAnsi="Times New Roman" w:cs="Times New Roman"/>
          <w:sz w:val="24"/>
          <w:szCs w:val="20"/>
          <w:lang w:eastAsia="pl-PL"/>
        </w:rPr>
        <w:t>takiego rozwiązania, niezbędne jest dostosowanie obowiązujących przepisów prawa krajowego, które polega na zmianie brzmienia następujących przepisów w ustawie:</w:t>
      </w:r>
    </w:p>
    <w:p w:rsidR="00D33302" w:rsidRPr="00E365D9" w:rsidRDefault="009C4D62" w:rsidP="00D24392">
      <w:pPr>
        <w:tabs>
          <w:tab w:val="left" w:pos="448"/>
        </w:tabs>
        <w:suppressAutoHyphens/>
        <w:autoSpaceDE w:val="0"/>
        <w:autoSpaceDN w:val="0"/>
        <w:adjustRightInd w:val="0"/>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1)</w:t>
      </w:r>
      <w:r>
        <w:rPr>
          <w:rFonts w:ascii="Times New Roman" w:eastAsia="Times New Roman" w:hAnsi="Times New Roman" w:cs="Times New Roman"/>
          <w:sz w:val="24"/>
          <w:szCs w:val="20"/>
          <w:lang w:eastAsia="pl-PL"/>
        </w:rPr>
        <w:tab/>
      </w:r>
      <w:r w:rsidR="00D33302" w:rsidRPr="00E365D9">
        <w:rPr>
          <w:rFonts w:ascii="Times New Roman" w:eastAsia="Times New Roman" w:hAnsi="Times New Roman" w:cs="Times New Roman"/>
          <w:sz w:val="24"/>
          <w:szCs w:val="20"/>
          <w:lang w:eastAsia="pl-PL"/>
        </w:rPr>
        <w:t>w art. 2 pkt 2 otrzymuje brzmienie:</w:t>
      </w:r>
    </w:p>
    <w:p w:rsidR="00D33302" w:rsidRPr="00E365D9" w:rsidRDefault="00E365D9" w:rsidP="009C4D62">
      <w:pPr>
        <w:suppressAutoHyphens/>
        <w:autoSpaceDE w:val="0"/>
        <w:autoSpaceDN w:val="0"/>
        <w:adjustRightInd w:val="0"/>
        <w:spacing w:after="0" w:line="360" w:lineRule="auto"/>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w:t>
      </w:r>
      <w:r w:rsidR="009C4D62">
        <w:rPr>
          <w:rFonts w:ascii="Times New Roman" w:eastAsia="Times New Roman" w:hAnsi="Times New Roman" w:cs="Times New Roman"/>
          <w:sz w:val="24"/>
          <w:szCs w:val="20"/>
          <w:lang w:eastAsia="pl-PL"/>
        </w:rPr>
        <w:t xml:space="preserve">2) </w:t>
      </w:r>
      <w:r w:rsidR="00D33302" w:rsidRPr="00E365D9">
        <w:rPr>
          <w:rFonts w:ascii="Times New Roman" w:eastAsia="Times New Roman" w:hAnsi="Times New Roman" w:cs="Times New Roman"/>
          <w:sz w:val="24"/>
          <w:szCs w:val="20"/>
          <w:lang w:eastAsia="pl-PL"/>
        </w:rPr>
        <w:t xml:space="preserve">dotacja </w:t>
      </w:r>
      <w:r w:rsidR="009C4D62">
        <w:rPr>
          <w:rFonts w:ascii="Times New Roman" w:eastAsia="Times New Roman" w:hAnsi="Times New Roman" w:cs="Times New Roman"/>
          <w:sz w:val="24"/>
          <w:szCs w:val="20"/>
          <w:lang w:eastAsia="pl-PL"/>
        </w:rPr>
        <w:t>–</w:t>
      </w:r>
      <w:r w:rsidR="00D33302" w:rsidRPr="00E365D9">
        <w:rPr>
          <w:rFonts w:ascii="Times New Roman" w:eastAsia="Times New Roman" w:hAnsi="Times New Roman" w:cs="Times New Roman"/>
          <w:sz w:val="24"/>
          <w:szCs w:val="20"/>
          <w:lang w:eastAsia="pl-PL"/>
        </w:rPr>
        <w:t xml:space="preserve"> dotację w rozumieniu przepisów o finansach publicznych, która </w:t>
      </w:r>
      <w:r w:rsidR="009C4D62">
        <w:rPr>
          <w:rFonts w:ascii="Times New Roman" w:eastAsia="Times New Roman" w:hAnsi="Times New Roman" w:cs="Times New Roman"/>
          <w:sz w:val="24"/>
          <w:szCs w:val="20"/>
          <w:lang w:eastAsia="pl-PL"/>
        </w:rPr>
        <w:t>–</w:t>
      </w:r>
      <w:r w:rsidR="00D33302" w:rsidRPr="00E365D9">
        <w:rPr>
          <w:rFonts w:ascii="Times New Roman" w:eastAsia="Times New Roman" w:hAnsi="Times New Roman" w:cs="Times New Roman"/>
          <w:sz w:val="24"/>
          <w:szCs w:val="20"/>
          <w:lang w:eastAsia="pl-PL"/>
        </w:rPr>
        <w:t xml:space="preserve"> w</w:t>
      </w:r>
      <w:r w:rsidR="00D24392">
        <w:rPr>
          <w:rFonts w:ascii="Times New Roman" w:eastAsia="Times New Roman" w:hAnsi="Times New Roman" w:cs="Times New Roman"/>
          <w:sz w:val="24"/>
          <w:szCs w:val="20"/>
          <w:lang w:eastAsia="pl-PL"/>
        </w:rPr>
        <w:t> </w:t>
      </w:r>
      <w:r w:rsidR="00D33302" w:rsidRPr="00E365D9">
        <w:rPr>
          <w:rFonts w:ascii="Times New Roman" w:eastAsia="Times New Roman" w:hAnsi="Times New Roman" w:cs="Times New Roman"/>
          <w:sz w:val="24"/>
          <w:szCs w:val="20"/>
          <w:lang w:eastAsia="pl-PL"/>
        </w:rPr>
        <w:t xml:space="preserve">przypadku gdy stanowi pomoc publiczną </w:t>
      </w:r>
      <w:r w:rsidR="009C4D62">
        <w:rPr>
          <w:rFonts w:ascii="Times New Roman" w:eastAsia="Times New Roman" w:hAnsi="Times New Roman" w:cs="Times New Roman"/>
          <w:sz w:val="24"/>
          <w:szCs w:val="20"/>
          <w:lang w:eastAsia="pl-PL"/>
        </w:rPr>
        <w:t>–</w:t>
      </w:r>
      <w:r w:rsidR="00D33302" w:rsidRPr="00E365D9">
        <w:rPr>
          <w:rFonts w:ascii="Times New Roman" w:eastAsia="Times New Roman" w:hAnsi="Times New Roman" w:cs="Times New Roman"/>
          <w:sz w:val="24"/>
          <w:szCs w:val="20"/>
          <w:lang w:eastAsia="pl-PL"/>
        </w:rPr>
        <w:t xml:space="preserve"> jest zgodna z rynkiem wewnętrznym na podstawie bezpośrednio obowiązujących przepisów dotyczących pomocy publicznej lub decyzji Komisji Europejskiej;</w:t>
      </w:r>
      <w:r>
        <w:rPr>
          <w:rFonts w:ascii="Times New Roman" w:eastAsia="Times New Roman" w:hAnsi="Times New Roman" w:cs="Times New Roman"/>
          <w:sz w:val="24"/>
          <w:szCs w:val="20"/>
          <w:lang w:eastAsia="pl-PL"/>
        </w:rPr>
        <w:t>”</w:t>
      </w:r>
      <w:r w:rsidR="00D33302" w:rsidRPr="00E365D9">
        <w:rPr>
          <w:rFonts w:ascii="Times New Roman" w:eastAsia="Times New Roman" w:hAnsi="Times New Roman" w:cs="Times New Roman"/>
          <w:sz w:val="24"/>
          <w:szCs w:val="20"/>
          <w:lang w:eastAsia="pl-PL"/>
        </w:rPr>
        <w:t>;</w:t>
      </w:r>
    </w:p>
    <w:p w:rsidR="00D33302" w:rsidRPr="00E365D9" w:rsidRDefault="00D33302" w:rsidP="00D24392">
      <w:pPr>
        <w:tabs>
          <w:tab w:val="left" w:pos="448"/>
        </w:tabs>
        <w:suppressAutoHyphens/>
        <w:autoSpaceDE w:val="0"/>
        <w:autoSpaceDN w:val="0"/>
        <w:adjustRightInd w:val="0"/>
        <w:spacing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2)</w:t>
      </w:r>
      <w:r w:rsidRPr="00E365D9">
        <w:rPr>
          <w:rFonts w:ascii="Times New Roman" w:eastAsia="Times New Roman" w:hAnsi="Times New Roman" w:cs="Times New Roman"/>
          <w:sz w:val="24"/>
          <w:szCs w:val="20"/>
          <w:lang w:eastAsia="pl-PL"/>
        </w:rPr>
        <w:tab/>
        <w:t>art. 14 otrzymuje brzmienie:</w:t>
      </w:r>
    </w:p>
    <w:p w:rsidR="00D33302" w:rsidRPr="00E365D9" w:rsidRDefault="00E365D9" w:rsidP="00D87B88">
      <w:pPr>
        <w:suppressAutoHyphens/>
        <w:autoSpaceDE w:val="0"/>
        <w:autoSpaceDN w:val="0"/>
        <w:adjustRightInd w:val="0"/>
        <w:spacing w:after="0" w:line="360" w:lineRule="auto"/>
        <w:ind w:left="14"/>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w:t>
      </w:r>
      <w:r w:rsidR="00D33302" w:rsidRPr="00E365D9">
        <w:rPr>
          <w:rFonts w:ascii="Times New Roman" w:eastAsia="Times New Roman" w:hAnsi="Times New Roman" w:cs="Times New Roman"/>
          <w:sz w:val="24"/>
          <w:szCs w:val="20"/>
          <w:lang w:eastAsia="pl-PL"/>
        </w:rPr>
        <w:t>Art. 14.</w:t>
      </w:r>
      <w:r>
        <w:rPr>
          <w:rFonts w:ascii="Times New Roman" w:eastAsia="Times New Roman" w:hAnsi="Times New Roman" w:cs="Times New Roman"/>
          <w:sz w:val="24"/>
          <w:szCs w:val="20"/>
          <w:lang w:eastAsia="pl-PL"/>
        </w:rPr>
        <w:t xml:space="preserve"> </w:t>
      </w:r>
      <w:r w:rsidR="00D33302" w:rsidRPr="00E365D9">
        <w:rPr>
          <w:rFonts w:ascii="Times New Roman" w:eastAsia="Times New Roman" w:hAnsi="Times New Roman" w:cs="Times New Roman"/>
          <w:sz w:val="24"/>
          <w:szCs w:val="20"/>
          <w:lang w:eastAsia="pl-PL"/>
        </w:rPr>
        <w:t>Przepisy ustawy w zakresie dotyczącym dotacji dla poszczególnych podmiotów, o których mowa w art. 1, w przypadku gdy konieczna jest zgoda Komisji Europejskiej, stosuje się od dnia ogłoszenia przez Komisję Europejską decyzji o</w:t>
      </w:r>
      <w:r w:rsidR="00D24392">
        <w:rPr>
          <w:rFonts w:ascii="Times New Roman" w:eastAsia="Times New Roman" w:hAnsi="Times New Roman" w:cs="Times New Roman"/>
          <w:sz w:val="24"/>
          <w:szCs w:val="20"/>
          <w:lang w:eastAsia="pl-PL"/>
        </w:rPr>
        <w:t> </w:t>
      </w:r>
      <w:r w:rsidR="00D33302" w:rsidRPr="00E365D9">
        <w:rPr>
          <w:rFonts w:ascii="Times New Roman" w:eastAsia="Times New Roman" w:hAnsi="Times New Roman" w:cs="Times New Roman"/>
          <w:sz w:val="24"/>
          <w:szCs w:val="20"/>
          <w:lang w:eastAsia="pl-PL"/>
        </w:rPr>
        <w:t>zgodności tej dotacji z rynkiem wewnętrznym.</w:t>
      </w:r>
      <w:r>
        <w:rPr>
          <w:rFonts w:ascii="Times New Roman" w:eastAsia="Times New Roman" w:hAnsi="Times New Roman" w:cs="Times New Roman"/>
          <w:sz w:val="24"/>
          <w:szCs w:val="20"/>
          <w:lang w:eastAsia="pl-PL"/>
        </w:rPr>
        <w:t>”</w:t>
      </w:r>
      <w:r w:rsidR="00D33302" w:rsidRPr="00E365D9">
        <w:rPr>
          <w:rFonts w:ascii="Times New Roman" w:eastAsia="Times New Roman" w:hAnsi="Times New Roman" w:cs="Times New Roman"/>
          <w:sz w:val="24"/>
          <w:szCs w:val="20"/>
          <w:lang w:eastAsia="pl-PL"/>
        </w:rPr>
        <w:t>.</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W dotychczasowym brzmieniu przepisy krajowe odwoływały się wyłącznie do pozytywnej decyzji Komisji Europejskiej, która uznawała planowaną do udzielenia pomoc publiczną za zgodną z</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regułami wspólnego rynku. Istnieją jednak inne akty prawne UE, które pozwalają na udzielanie pomocy publicznej, dla której można określić jasne warunki zgodności</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i która może być zwolniona z obowiązku zgłoszenia.</w:t>
      </w:r>
      <w:r w:rsidRPr="00E365D9" w:rsidDel="001D0CD0">
        <w:rPr>
          <w:rFonts w:ascii="Times New Roman" w:eastAsia="Times New Roman" w:hAnsi="Times New Roman" w:cs="Times New Roman"/>
          <w:sz w:val="24"/>
          <w:szCs w:val="20"/>
          <w:lang w:eastAsia="pl-PL"/>
        </w:rPr>
        <w:t xml:space="preserve"> </w:t>
      </w:r>
    </w:p>
    <w:p w:rsidR="00D33302" w:rsidRPr="00E365D9" w:rsidRDefault="00365ACF" w:rsidP="009C4D62">
      <w:pPr>
        <w:suppressAutoHyphens/>
        <w:autoSpaceDE w:val="0"/>
        <w:autoSpaceDN w:val="0"/>
        <w:adjustRightInd w:val="0"/>
        <w:spacing w:before="120" w:after="0" w:line="360" w:lineRule="auto"/>
        <w:jc w:val="both"/>
        <w:rPr>
          <w:rFonts w:ascii="Times New Roman" w:eastAsia="Times New Roman" w:hAnsi="Times New Roman" w:cs="Times New Roman"/>
          <w:b/>
          <w:sz w:val="24"/>
          <w:szCs w:val="20"/>
          <w:lang w:eastAsia="pl-PL"/>
        </w:rPr>
      </w:pPr>
      <w:r>
        <w:rPr>
          <w:rFonts w:ascii="Times New Roman" w:eastAsia="Times New Roman" w:hAnsi="Times New Roman" w:cs="Times New Roman"/>
          <w:b/>
          <w:sz w:val="24"/>
          <w:szCs w:val="20"/>
          <w:lang w:eastAsia="pl-PL"/>
        </w:rPr>
        <w:t>2. Ocena projektu</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b/>
          <w:bCs/>
          <w:sz w:val="24"/>
          <w:szCs w:val="20"/>
          <w:lang w:eastAsia="pl-PL"/>
        </w:rPr>
      </w:pPr>
      <w:r w:rsidRPr="00E365D9">
        <w:rPr>
          <w:rFonts w:ascii="Times New Roman" w:eastAsia="Times New Roman" w:hAnsi="Times New Roman" w:cs="Times New Roman"/>
          <w:bCs/>
          <w:sz w:val="24"/>
          <w:szCs w:val="20"/>
          <w:lang w:eastAsia="pl-PL"/>
        </w:rPr>
        <w:t>Przyjęcie proponowanych zmian w ustawie z dnia 7 września 2007 r. o</w:t>
      </w:r>
      <w:r w:rsidR="00E365D9">
        <w:rPr>
          <w:rFonts w:ascii="Times New Roman" w:eastAsia="Times New Roman" w:hAnsi="Times New Roman" w:cs="Times New Roman"/>
          <w:bCs/>
          <w:sz w:val="24"/>
          <w:szCs w:val="20"/>
          <w:lang w:eastAsia="pl-PL"/>
        </w:rPr>
        <w:t xml:space="preserve"> </w:t>
      </w:r>
      <w:r w:rsidRPr="00E365D9">
        <w:rPr>
          <w:rFonts w:ascii="Times New Roman" w:eastAsia="Times New Roman" w:hAnsi="Times New Roman" w:cs="Times New Roman"/>
          <w:bCs/>
          <w:sz w:val="24"/>
          <w:szCs w:val="20"/>
          <w:lang w:eastAsia="pl-PL"/>
        </w:rPr>
        <w:t>funkcjonowaniu górnictwa węgla kamiennego (Dz. U. z 2018 r. poz. 1374) dostosuje krajowe przepisy do decyzji lub rozwiązań przyjętych przez Komisję Europejską w zakresie odpowiednio terminu udzielania pomocy publicznej przez państwo polskie na restrukturyzację sektora górnictwa węgla kamiennego do roku 2023, natomiast w zakresie udzielania pomocy publicznej z budżetu państwa na wspieranie kultury i zachowanie dziedzictwa kulturowego uprości proces udzielania tej pomocy.</w:t>
      </w:r>
      <w:r w:rsidRPr="00E365D9" w:rsidDel="001D0CD0">
        <w:rPr>
          <w:rFonts w:ascii="Times New Roman" w:eastAsia="Times New Roman" w:hAnsi="Times New Roman" w:cs="Times New Roman"/>
          <w:bCs/>
          <w:sz w:val="24"/>
          <w:szCs w:val="20"/>
          <w:lang w:eastAsia="pl-PL"/>
        </w:rPr>
        <w:t xml:space="preserve"> </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b/>
          <w:bCs/>
          <w:sz w:val="24"/>
          <w:szCs w:val="20"/>
          <w:lang w:eastAsia="pl-PL"/>
        </w:rPr>
      </w:pPr>
      <w:r w:rsidRPr="00E365D9">
        <w:rPr>
          <w:rFonts w:ascii="Times New Roman" w:eastAsia="Times New Roman" w:hAnsi="Times New Roman" w:cs="Times New Roman"/>
          <w:b/>
          <w:bCs/>
          <w:sz w:val="24"/>
          <w:szCs w:val="20"/>
          <w:lang w:eastAsia="pl-PL"/>
        </w:rPr>
        <w:t>3. Źródła finansowania, jeżeli projekt ustawy pociąga za sobą obciążenie budżetu państwa lub budżetów jedno</w:t>
      </w:r>
      <w:r w:rsidR="00365ACF">
        <w:rPr>
          <w:rFonts w:ascii="Times New Roman" w:eastAsia="Times New Roman" w:hAnsi="Times New Roman" w:cs="Times New Roman"/>
          <w:b/>
          <w:bCs/>
          <w:sz w:val="24"/>
          <w:szCs w:val="20"/>
          <w:lang w:eastAsia="pl-PL"/>
        </w:rPr>
        <w:t>stek samorządu terytorialnego</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Zmiany zawarte w projekcie nowelizacji ustawy z dnia 7 września 2007 r. o</w:t>
      </w:r>
      <w:r w:rsidR="00D24392">
        <w:rPr>
          <w:rFonts w:ascii="Times New Roman" w:eastAsia="Times New Roman" w:hAnsi="Times New Roman" w:cs="Times New Roman"/>
          <w:sz w:val="24"/>
          <w:szCs w:val="20"/>
          <w:lang w:eastAsia="pl-PL"/>
        </w:rPr>
        <w:t> </w:t>
      </w:r>
      <w:r w:rsidRPr="00E365D9">
        <w:rPr>
          <w:rFonts w:ascii="Times New Roman" w:eastAsia="Times New Roman" w:hAnsi="Times New Roman" w:cs="Times New Roman"/>
          <w:sz w:val="24"/>
          <w:szCs w:val="20"/>
          <w:lang w:eastAsia="pl-PL"/>
        </w:rPr>
        <w:t>funkcjonowaniu górnictwa węgla kamiennego będą finansowane w</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ramach limitu wydatków budżetowych, o</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którym mowa w art. 6 usta</w:t>
      </w:r>
      <w:r w:rsidR="00D24392">
        <w:rPr>
          <w:rFonts w:ascii="Times New Roman" w:eastAsia="Times New Roman" w:hAnsi="Times New Roman" w:cs="Times New Roman"/>
          <w:sz w:val="24"/>
          <w:szCs w:val="20"/>
          <w:lang w:eastAsia="pl-PL"/>
        </w:rPr>
        <w:t>wy z dnia 22 stycznia 2015 r. o </w:t>
      </w:r>
      <w:r w:rsidRPr="00E365D9">
        <w:rPr>
          <w:rFonts w:ascii="Times New Roman" w:eastAsia="Times New Roman" w:hAnsi="Times New Roman" w:cs="Times New Roman"/>
          <w:sz w:val="24"/>
          <w:szCs w:val="20"/>
          <w:lang w:eastAsia="pl-PL"/>
        </w:rPr>
        <w:t>zmianie ustawy</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o funkcjonowaniu górnictwa węgla kamiennego w latach 2008</w:t>
      </w:r>
      <w:r w:rsidR="009C4D62">
        <w:rPr>
          <w:rFonts w:ascii="Times New Roman" w:eastAsia="Times New Roman" w:hAnsi="Times New Roman" w:cs="Times New Roman"/>
          <w:sz w:val="24"/>
          <w:szCs w:val="20"/>
          <w:lang w:eastAsia="pl-PL"/>
        </w:rPr>
        <w:t>–</w:t>
      </w:r>
      <w:r w:rsidRPr="00E365D9">
        <w:rPr>
          <w:rFonts w:ascii="Times New Roman" w:eastAsia="Times New Roman" w:hAnsi="Times New Roman" w:cs="Times New Roman"/>
          <w:sz w:val="24"/>
          <w:szCs w:val="20"/>
          <w:lang w:eastAsia="pl-PL"/>
        </w:rPr>
        <w:t>2015 oraz niektórych innych ustaw. Wydłużenie okresu finansowania nie spowoduje zwiększenia wydatków w ramach limitu określonego w powyższym przepisie.</w:t>
      </w:r>
      <w:r w:rsidRPr="00E365D9" w:rsidDel="00671EE0">
        <w:rPr>
          <w:rFonts w:ascii="Times New Roman" w:eastAsia="Times New Roman" w:hAnsi="Times New Roman" w:cs="Times New Roman"/>
          <w:sz w:val="24"/>
          <w:szCs w:val="20"/>
          <w:lang w:eastAsia="pl-PL"/>
        </w:rPr>
        <w:t xml:space="preserve"> </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b/>
          <w:bCs/>
          <w:sz w:val="24"/>
          <w:szCs w:val="20"/>
          <w:lang w:eastAsia="pl-PL"/>
        </w:rPr>
      </w:pPr>
      <w:r w:rsidRPr="00E365D9">
        <w:rPr>
          <w:rFonts w:ascii="Times New Roman" w:eastAsia="Times New Roman" w:hAnsi="Times New Roman" w:cs="Times New Roman"/>
          <w:b/>
          <w:bCs/>
          <w:sz w:val="24"/>
          <w:szCs w:val="20"/>
          <w:lang w:eastAsia="pl-PL"/>
        </w:rPr>
        <w:t xml:space="preserve">4. Oświadczenie o zgodności projektu ustawy z prawem Unii Europejskiej albo oświadczenie, że przedmiot projektowanej regulacji nie jest </w:t>
      </w:r>
      <w:r w:rsidR="00365ACF">
        <w:rPr>
          <w:rFonts w:ascii="Times New Roman" w:eastAsia="Times New Roman" w:hAnsi="Times New Roman" w:cs="Times New Roman"/>
          <w:b/>
          <w:bCs/>
          <w:sz w:val="24"/>
          <w:szCs w:val="20"/>
          <w:lang w:eastAsia="pl-PL"/>
        </w:rPr>
        <w:t>objęty prawem Unii Europejskiej</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E365D9">
        <w:rPr>
          <w:rFonts w:ascii="Times New Roman" w:eastAsia="Times New Roman" w:hAnsi="Times New Roman" w:cs="Times New Roman"/>
          <w:bCs/>
          <w:sz w:val="24"/>
          <w:szCs w:val="20"/>
          <w:lang w:eastAsia="pl-PL"/>
        </w:rPr>
        <w:t>Zgodnie ze stanowiskiem Ministra Spraw Zagranicznych wyrażonym w piśmie z dnia</w:t>
      </w:r>
      <w:r w:rsidR="00E365D9">
        <w:rPr>
          <w:rFonts w:ascii="Times New Roman" w:eastAsia="Times New Roman" w:hAnsi="Times New Roman" w:cs="Times New Roman"/>
          <w:bCs/>
          <w:sz w:val="24"/>
          <w:szCs w:val="20"/>
          <w:lang w:eastAsia="pl-PL"/>
        </w:rPr>
        <w:t xml:space="preserve"> </w:t>
      </w:r>
      <w:r w:rsidRPr="00E365D9">
        <w:rPr>
          <w:rFonts w:ascii="Times New Roman" w:eastAsia="Times New Roman" w:hAnsi="Times New Roman" w:cs="Times New Roman"/>
          <w:bCs/>
          <w:sz w:val="24"/>
          <w:szCs w:val="20"/>
          <w:lang w:eastAsia="pl-PL"/>
        </w:rPr>
        <w:t xml:space="preserve">19 września 2018 r., znak: DPUE.920.1280.2018/2/mrz, proponowany projekt ustawy nie jest sprzeczny z prawem Unii Europejskiej. </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E365D9">
        <w:rPr>
          <w:rFonts w:ascii="Times New Roman" w:eastAsia="Times New Roman" w:hAnsi="Times New Roman" w:cs="Times New Roman"/>
          <w:bCs/>
          <w:sz w:val="24"/>
          <w:szCs w:val="20"/>
          <w:lang w:eastAsia="pl-PL"/>
        </w:rPr>
        <w:t xml:space="preserve">Działania wprowadzone projektowaną ustawą stanowią dozwoloną pomoc publiczną, której zakres jest określony w </w:t>
      </w:r>
      <w:r w:rsidR="00365ACF">
        <w:rPr>
          <w:rFonts w:ascii="Times New Roman" w:eastAsia="Times New Roman" w:hAnsi="Times New Roman" w:cs="Times New Roman"/>
          <w:bCs/>
          <w:sz w:val="24"/>
          <w:szCs w:val="20"/>
          <w:lang w:eastAsia="pl-PL"/>
        </w:rPr>
        <w:t>d</w:t>
      </w:r>
      <w:r w:rsidRPr="00E365D9">
        <w:rPr>
          <w:rFonts w:ascii="Times New Roman" w:eastAsia="Times New Roman" w:hAnsi="Times New Roman" w:cs="Times New Roman"/>
          <w:bCs/>
          <w:sz w:val="24"/>
          <w:szCs w:val="20"/>
          <w:lang w:eastAsia="pl-PL"/>
        </w:rPr>
        <w:t>ecyzji Rady z dnia 10</w:t>
      </w:r>
      <w:r w:rsidR="00E365D9">
        <w:rPr>
          <w:rFonts w:ascii="Times New Roman" w:eastAsia="Times New Roman" w:hAnsi="Times New Roman" w:cs="Times New Roman"/>
          <w:bCs/>
          <w:sz w:val="24"/>
          <w:szCs w:val="20"/>
          <w:lang w:eastAsia="pl-PL"/>
        </w:rPr>
        <w:t xml:space="preserve"> </w:t>
      </w:r>
      <w:r w:rsidRPr="00E365D9">
        <w:rPr>
          <w:rFonts w:ascii="Times New Roman" w:eastAsia="Times New Roman" w:hAnsi="Times New Roman" w:cs="Times New Roman"/>
          <w:bCs/>
          <w:sz w:val="24"/>
          <w:szCs w:val="20"/>
          <w:lang w:eastAsia="pl-PL"/>
        </w:rPr>
        <w:t>grudnia 2010 r. w sprawie pomocy państwa ułatwiającej zamykanie niekonkurencyjnych kopalń, jak również zostały zatwierdzone przez Komisję Europejską w dniu 8 lutego 2018 r.</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 xml:space="preserve">W przypadku zmian dokonywanych w ustawie z dnia 30 sierpnia 2013 r. o dotacji przeznaczonej dla niektórych podmiotów, chodzi o dostosowanie obowiązujących przepisów prawa krajowego do treści rozporządzenia 651/2014, które z kolei daje możliwość zastosowania tego rozporządzenia dla pomocy udzielanej podmiotom, bez konieczności prowadzenia długotrwałego procesu notyfikacji. </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b/>
          <w:sz w:val="24"/>
          <w:szCs w:val="20"/>
          <w:lang w:eastAsia="pl-PL"/>
        </w:rPr>
      </w:pPr>
      <w:r w:rsidRPr="00E365D9">
        <w:rPr>
          <w:rFonts w:ascii="Times New Roman" w:eastAsia="Times New Roman" w:hAnsi="Times New Roman" w:cs="Times New Roman"/>
          <w:b/>
          <w:sz w:val="24"/>
          <w:szCs w:val="20"/>
          <w:lang w:eastAsia="pl-PL"/>
        </w:rPr>
        <w:t>5. Wskazanie podmiotów, które zgłosiły zainteresowanie pracami nad projektem</w:t>
      </w:r>
      <w:r w:rsidR="00E365D9">
        <w:rPr>
          <w:rFonts w:ascii="Times New Roman" w:eastAsia="Times New Roman" w:hAnsi="Times New Roman" w:cs="Times New Roman"/>
          <w:b/>
          <w:sz w:val="24"/>
          <w:szCs w:val="20"/>
          <w:lang w:eastAsia="pl-PL"/>
        </w:rPr>
        <w:t xml:space="preserve"> </w:t>
      </w:r>
      <w:r w:rsidR="00D24392">
        <w:rPr>
          <w:rFonts w:ascii="Times New Roman" w:eastAsia="Times New Roman" w:hAnsi="Times New Roman" w:cs="Times New Roman"/>
          <w:b/>
          <w:sz w:val="24"/>
          <w:szCs w:val="20"/>
          <w:lang w:eastAsia="pl-PL"/>
        </w:rPr>
        <w:t>w </w:t>
      </w:r>
      <w:r w:rsidRPr="00E365D9">
        <w:rPr>
          <w:rFonts w:ascii="Times New Roman" w:eastAsia="Times New Roman" w:hAnsi="Times New Roman" w:cs="Times New Roman"/>
          <w:b/>
          <w:sz w:val="24"/>
          <w:szCs w:val="20"/>
          <w:lang w:eastAsia="pl-PL"/>
        </w:rPr>
        <w:t>trybie przepisów o działalności lobbingowej w procesie stanowienia prawa, wraz ze wskazaniem kolejności dokonania zgłoszeń albo informacj</w:t>
      </w:r>
      <w:r w:rsidR="00365ACF">
        <w:rPr>
          <w:rFonts w:ascii="Times New Roman" w:eastAsia="Times New Roman" w:hAnsi="Times New Roman" w:cs="Times New Roman"/>
          <w:b/>
          <w:sz w:val="24"/>
          <w:szCs w:val="20"/>
          <w:lang w:eastAsia="pl-PL"/>
        </w:rPr>
        <w:t>a</w:t>
      </w:r>
      <w:r w:rsidRPr="00E365D9">
        <w:rPr>
          <w:rFonts w:ascii="Times New Roman" w:eastAsia="Times New Roman" w:hAnsi="Times New Roman" w:cs="Times New Roman"/>
          <w:b/>
          <w:sz w:val="24"/>
          <w:szCs w:val="20"/>
          <w:lang w:eastAsia="pl-PL"/>
        </w:rPr>
        <w:t xml:space="preserve"> o ich braku</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Zgodnie z art. 5 ustawy z dnia 7 lipca 2005 r. o działalności lobbingowej w procesie stanowienia prawa (Dz. U. z 2017 r. poz. 248) oraz § 52 ust. 1 uchwały nr 190 Rady Ministrów z dnia 29 października 2013 r. – Regulam</w:t>
      </w:r>
      <w:r w:rsidR="00D24392">
        <w:rPr>
          <w:rFonts w:ascii="Times New Roman" w:eastAsia="Times New Roman" w:hAnsi="Times New Roman" w:cs="Times New Roman"/>
          <w:sz w:val="24"/>
          <w:szCs w:val="20"/>
          <w:lang w:eastAsia="pl-PL"/>
        </w:rPr>
        <w:t>in pracy Rady Ministrów (M.P. z </w:t>
      </w:r>
      <w:r w:rsidRPr="00E365D9">
        <w:rPr>
          <w:rFonts w:ascii="Times New Roman" w:eastAsia="Times New Roman" w:hAnsi="Times New Roman" w:cs="Times New Roman"/>
          <w:sz w:val="24"/>
          <w:szCs w:val="20"/>
          <w:lang w:eastAsia="pl-PL"/>
        </w:rPr>
        <w:t xml:space="preserve">2016 r. poz. 1006, z późn. zm.) projekt został udostępniony w Biuletynie Informacji Publicznej na stronach internetowych Rządowego Centrum Legislacji. </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 xml:space="preserve">W odniesieniu do ww. </w:t>
      </w:r>
      <w:r w:rsidR="00365ACF">
        <w:rPr>
          <w:rFonts w:ascii="Times New Roman" w:eastAsia="Times New Roman" w:hAnsi="Times New Roman" w:cs="Times New Roman"/>
          <w:sz w:val="24"/>
          <w:szCs w:val="20"/>
          <w:lang w:eastAsia="pl-PL"/>
        </w:rPr>
        <w:t xml:space="preserve">projektu </w:t>
      </w:r>
      <w:r w:rsidRPr="00E365D9">
        <w:rPr>
          <w:rFonts w:ascii="Times New Roman" w:eastAsia="Times New Roman" w:hAnsi="Times New Roman" w:cs="Times New Roman"/>
          <w:sz w:val="24"/>
          <w:szCs w:val="20"/>
          <w:lang w:eastAsia="pl-PL"/>
        </w:rPr>
        <w:t>ustawy nie było podmiotów, które zgłosiły zainteresowanie pracami nad projektem w trybie przepisów o działalności lobbingowej w procesie stanowienia prawa.</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b/>
          <w:sz w:val="24"/>
          <w:szCs w:val="20"/>
          <w:lang w:eastAsia="pl-PL"/>
        </w:rPr>
      </w:pPr>
      <w:r w:rsidRPr="00E365D9">
        <w:rPr>
          <w:rFonts w:ascii="Times New Roman" w:eastAsia="Times New Roman" w:hAnsi="Times New Roman" w:cs="Times New Roman"/>
          <w:b/>
          <w:sz w:val="24"/>
          <w:szCs w:val="20"/>
          <w:lang w:eastAsia="pl-PL"/>
        </w:rPr>
        <w:t>6.</w:t>
      </w:r>
      <w:r w:rsidR="00E365D9">
        <w:rPr>
          <w:rFonts w:ascii="Times New Roman" w:eastAsia="Times New Roman" w:hAnsi="Times New Roman" w:cs="Times New Roman"/>
          <w:b/>
          <w:sz w:val="24"/>
          <w:szCs w:val="20"/>
          <w:lang w:eastAsia="pl-PL"/>
        </w:rPr>
        <w:t xml:space="preserve"> </w:t>
      </w:r>
      <w:r w:rsidRPr="00E365D9">
        <w:rPr>
          <w:rFonts w:ascii="Times New Roman" w:eastAsia="Times New Roman" w:hAnsi="Times New Roman" w:cs="Times New Roman"/>
          <w:b/>
          <w:sz w:val="24"/>
          <w:szCs w:val="20"/>
          <w:lang w:eastAsia="pl-PL"/>
        </w:rPr>
        <w:t>Rozwiązania w okresie przejściowym</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Projektowana ustawa nie przewiduje przepisów przejściowych.</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b/>
          <w:sz w:val="24"/>
          <w:szCs w:val="20"/>
          <w:lang w:eastAsia="pl-PL"/>
        </w:rPr>
        <w:t>7. Data wejścia w życie ustawy</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Proponuje się wejście w życie projektowanej ustawy po upływie 14 dni od dnia ogłoszenia.</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Projekt zmiany ustawy będzie wywierał wpływ na sytuację i konkurencyjność polskiego górnictwa węgla kamiennego w taki sposób, że ilość podaży węgla krajowego na rynku ulegnie zmniejszeniu, co może poprawić sprzedaż w pozostałych kopalniach.</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Regulacja pozostaje bez wpływu na sytuację ekonomiczną i społeczną rodziny,</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a także osób niepełnosprawnych oraz osób starszych.</w:t>
      </w:r>
    </w:p>
    <w:p w:rsidR="00D33302" w:rsidRPr="00E365D9" w:rsidRDefault="00D33302" w:rsidP="009C4D62">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E365D9">
        <w:rPr>
          <w:rFonts w:ascii="Times New Roman" w:eastAsia="Times New Roman" w:hAnsi="Times New Roman" w:cs="Times New Roman"/>
          <w:sz w:val="24"/>
          <w:szCs w:val="20"/>
          <w:lang w:eastAsia="pl-PL"/>
        </w:rPr>
        <w:t>Projekt ustawy nie zawiera przepisów technicznych, w związku z powyższym nie podlega</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procedurze notyfikacji w rozumieniu przepisów rozporządzenia Rady Ministrów z dnia</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23 grudnia 2002 r. w sprawie sposobu funkcjonowania krajowego systemu notyfikacji norm</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i aktów prawnych (Dz. U. poz. 2039 oraz z 2004 r. poz. 597).</w:t>
      </w:r>
    </w:p>
    <w:p w:rsidR="003C1860" w:rsidRPr="00D24392" w:rsidRDefault="00D33302" w:rsidP="00365ACF">
      <w:pPr>
        <w:suppressAutoHyphens/>
        <w:autoSpaceDE w:val="0"/>
        <w:autoSpaceDN w:val="0"/>
        <w:adjustRightInd w:val="0"/>
        <w:spacing w:before="120" w:after="0" w:line="360" w:lineRule="auto"/>
        <w:jc w:val="both"/>
        <w:rPr>
          <w:rFonts w:ascii="Times New Roman" w:hAnsi="Times New Roman" w:cs="Times New Roman"/>
        </w:rPr>
      </w:pPr>
      <w:r w:rsidRPr="00E365D9">
        <w:rPr>
          <w:rFonts w:ascii="Times New Roman" w:eastAsia="Times New Roman" w:hAnsi="Times New Roman" w:cs="Times New Roman"/>
          <w:sz w:val="24"/>
          <w:szCs w:val="20"/>
          <w:lang w:eastAsia="pl-PL"/>
        </w:rPr>
        <w:t>Projekt ustawy nie podlega obowiązkowi przedstawienia właściwym instytucjom Unii Europejskiej,</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w</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tym</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Europejskiemu</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Bankowi</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Centralnemu,</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w</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celu</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uzyskania</w:t>
      </w:r>
      <w:r w:rsidR="00E365D9">
        <w:rPr>
          <w:rFonts w:ascii="Times New Roman" w:eastAsia="Times New Roman" w:hAnsi="Times New Roman" w:cs="Times New Roman"/>
          <w:sz w:val="24"/>
          <w:szCs w:val="20"/>
          <w:lang w:eastAsia="pl-PL"/>
        </w:rPr>
        <w:t xml:space="preserve"> </w:t>
      </w:r>
      <w:r w:rsidRPr="00E365D9">
        <w:rPr>
          <w:rFonts w:ascii="Times New Roman" w:eastAsia="Times New Roman" w:hAnsi="Times New Roman" w:cs="Times New Roman"/>
          <w:sz w:val="24"/>
          <w:szCs w:val="20"/>
          <w:lang w:eastAsia="pl-PL"/>
        </w:rPr>
        <w:t>opinii, dokonania powiadomienia, konsultacji albo uzgodnienia.</w:t>
      </w:r>
    </w:p>
    <w:sectPr w:rsidR="003C1860" w:rsidRPr="00D24392" w:rsidSect="00E365D9">
      <w:footerReference w:type="default" r:id="rId6"/>
      <w:footerReference w:type="first" r:id="rId7"/>
      <w:footnotePr>
        <w:numRestart w:val="eachSect"/>
      </w:footnotePr>
      <w:pgSz w:w="11906" w:h="16838" w:code="9"/>
      <w:pgMar w:top="1588" w:right="1418" w:bottom="1418" w:left="1985"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109" w:rsidRDefault="00E365D9">
      <w:pPr>
        <w:spacing w:after="0" w:line="240" w:lineRule="auto"/>
      </w:pPr>
      <w:r>
        <w:separator/>
      </w:r>
    </w:p>
  </w:endnote>
  <w:endnote w:type="continuationSeparator" w:id="0">
    <w:p w:rsidR="00B92109" w:rsidRDefault="00E36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6271174"/>
      <w:docPartObj>
        <w:docPartGallery w:val="Page Numbers (Bottom of Page)"/>
        <w:docPartUnique/>
      </w:docPartObj>
    </w:sdtPr>
    <w:sdtEndPr>
      <w:rPr>
        <w:rFonts w:ascii="Times New Roman" w:hAnsi="Times New Roman" w:cs="Times New Roman"/>
        <w:sz w:val="24"/>
        <w:szCs w:val="24"/>
      </w:rPr>
    </w:sdtEndPr>
    <w:sdtContent>
      <w:p w:rsidR="00E365D9" w:rsidRPr="00E365D9" w:rsidRDefault="00E365D9">
        <w:pPr>
          <w:pStyle w:val="Stopka"/>
          <w:jc w:val="center"/>
          <w:rPr>
            <w:rFonts w:ascii="Times New Roman" w:hAnsi="Times New Roman" w:cs="Times New Roman"/>
            <w:sz w:val="24"/>
            <w:szCs w:val="24"/>
          </w:rPr>
        </w:pPr>
        <w:r w:rsidRPr="00E365D9">
          <w:rPr>
            <w:rFonts w:ascii="Times New Roman" w:hAnsi="Times New Roman" w:cs="Times New Roman"/>
            <w:sz w:val="24"/>
            <w:szCs w:val="24"/>
          </w:rPr>
          <w:fldChar w:fldCharType="begin"/>
        </w:r>
        <w:r w:rsidRPr="00E365D9">
          <w:rPr>
            <w:rFonts w:ascii="Times New Roman" w:hAnsi="Times New Roman" w:cs="Times New Roman"/>
            <w:sz w:val="24"/>
            <w:szCs w:val="24"/>
          </w:rPr>
          <w:instrText>PAGE   \* MERGEFORMAT</w:instrText>
        </w:r>
        <w:r w:rsidRPr="00E365D9">
          <w:rPr>
            <w:rFonts w:ascii="Times New Roman" w:hAnsi="Times New Roman" w:cs="Times New Roman"/>
            <w:sz w:val="24"/>
            <w:szCs w:val="24"/>
          </w:rPr>
          <w:fldChar w:fldCharType="separate"/>
        </w:r>
        <w:r w:rsidR="005025C3">
          <w:rPr>
            <w:rFonts w:ascii="Times New Roman" w:hAnsi="Times New Roman" w:cs="Times New Roman"/>
            <w:noProof/>
            <w:sz w:val="24"/>
            <w:szCs w:val="24"/>
          </w:rPr>
          <w:t>2</w:t>
        </w:r>
        <w:r w:rsidRPr="00E365D9">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5D9" w:rsidRDefault="00E365D9">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109" w:rsidRDefault="00E365D9">
      <w:pPr>
        <w:spacing w:after="0" w:line="240" w:lineRule="auto"/>
      </w:pPr>
      <w:r>
        <w:separator/>
      </w:r>
    </w:p>
  </w:footnote>
  <w:footnote w:type="continuationSeparator" w:id="0">
    <w:p w:rsidR="00B92109" w:rsidRDefault="00E365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302"/>
    <w:rsid w:val="00112AE0"/>
    <w:rsid w:val="001A0157"/>
    <w:rsid w:val="001B1982"/>
    <w:rsid w:val="00365ACF"/>
    <w:rsid w:val="00373182"/>
    <w:rsid w:val="003C1860"/>
    <w:rsid w:val="004E36CC"/>
    <w:rsid w:val="005025C3"/>
    <w:rsid w:val="005B1A0A"/>
    <w:rsid w:val="0064402F"/>
    <w:rsid w:val="009C4D62"/>
    <w:rsid w:val="00A6318A"/>
    <w:rsid w:val="00B401E1"/>
    <w:rsid w:val="00B92109"/>
    <w:rsid w:val="00D24392"/>
    <w:rsid w:val="00D33302"/>
    <w:rsid w:val="00D87B88"/>
    <w:rsid w:val="00E365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B92725-6332-47BE-93D5-EB86670B5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3330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33302"/>
  </w:style>
  <w:style w:type="paragraph" w:styleId="Stopka">
    <w:name w:val="footer"/>
    <w:basedOn w:val="Normalny"/>
    <w:link w:val="StopkaZnak"/>
    <w:uiPriority w:val="99"/>
    <w:unhideWhenUsed/>
    <w:rsid w:val="00D3330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33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1630</Words>
  <Characters>9782</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11390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Ćwiek Katarzyna</dc:creator>
  <cp:lastModifiedBy>Grażyna D. Grabowska</cp:lastModifiedBy>
  <cp:revision>2</cp:revision>
  <dcterms:created xsi:type="dcterms:W3CDTF">2018-10-16T09:30:00Z</dcterms:created>
  <dcterms:modified xsi:type="dcterms:W3CDTF">2018-10-16T09:30:00Z</dcterms:modified>
</cp:coreProperties>
</file>