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C52" w:rsidRDefault="009F2C52" w:rsidP="009F2C52">
      <w:pPr>
        <w:pStyle w:val="OZNPROJEKTUwskazaniedatylubwersjiprojektu"/>
      </w:pPr>
      <w:bookmarkStart w:id="0" w:name="_GoBack"/>
      <w:bookmarkEnd w:id="0"/>
      <w:r>
        <w:t>Projekt</w:t>
      </w:r>
    </w:p>
    <w:p w:rsidR="00EA4E71" w:rsidRPr="009246DB" w:rsidRDefault="00EA4E71" w:rsidP="00EA4E71">
      <w:pPr>
        <w:pStyle w:val="OZNRODZAKTUtznustawalubrozporzdzenieiorganwydajcy"/>
      </w:pPr>
      <w:r w:rsidRPr="009246DB">
        <w:t>Ustawa</w:t>
      </w:r>
    </w:p>
    <w:p w:rsidR="00EA4E71" w:rsidRPr="009246DB" w:rsidRDefault="00EA4E71" w:rsidP="00EA4E71">
      <w:pPr>
        <w:pStyle w:val="DATAAKTUdatauchwalenialubwydaniaaktu"/>
      </w:pPr>
      <w:r>
        <w:t xml:space="preserve">z dnia </w:t>
      </w:r>
    </w:p>
    <w:p w:rsidR="00EA4E71" w:rsidRPr="009246DB" w:rsidRDefault="00EA4E71" w:rsidP="00EA4E71">
      <w:pPr>
        <w:pStyle w:val="TYTUAKTUprzedmiotregulacjiustawylubrozporzdzenia"/>
      </w:pPr>
      <w:r w:rsidRPr="009246DB">
        <w:t xml:space="preserve">o zmianie ustawy </w:t>
      </w:r>
      <w:r>
        <w:t>–</w:t>
      </w:r>
      <w:r w:rsidRPr="009246DB">
        <w:t xml:space="preserve"> Prawo o postępowaniu przed sądami administracyjnymi</w:t>
      </w:r>
      <w:r w:rsidRPr="00695D1A">
        <w:rPr>
          <w:rStyle w:val="IGPindeksgrnyipogrubienie"/>
        </w:rPr>
        <w:footnoteReference w:id="1"/>
      </w:r>
      <w:r w:rsidRPr="00695D1A">
        <w:rPr>
          <w:rStyle w:val="IGPindeksgrnyipogrubienie"/>
        </w:rPr>
        <w:t>)</w:t>
      </w:r>
    </w:p>
    <w:p w:rsidR="00EA4E71" w:rsidRPr="009246DB" w:rsidRDefault="00EA4E71" w:rsidP="00EA4E71">
      <w:pPr>
        <w:pStyle w:val="ARTartustawynprozporzdzenia"/>
        <w:keepNext/>
      </w:pPr>
      <w:r w:rsidRPr="00EA4E71">
        <w:rPr>
          <w:rStyle w:val="Ppogrubienie"/>
        </w:rPr>
        <w:t>Art.</w:t>
      </w:r>
      <w:r>
        <w:rPr>
          <w:rStyle w:val="Ppogrubienie"/>
        </w:rPr>
        <w:t> </w:t>
      </w:r>
      <w:r w:rsidRPr="00EA4E71">
        <w:rPr>
          <w:rStyle w:val="Ppogrubienie"/>
        </w:rPr>
        <w:t>1.</w:t>
      </w:r>
      <w:r>
        <w:t xml:space="preserve"> W ustawie z dnia </w:t>
      </w:r>
      <w:r w:rsidRPr="009246DB">
        <w:t xml:space="preserve">30 sierpnia 2002 r. </w:t>
      </w:r>
      <w:r>
        <w:t>–</w:t>
      </w:r>
      <w:r w:rsidRPr="009246DB">
        <w:t xml:space="preserve"> Prawo o postępowaniu przed sądami administracyjnymi (Dz. U. z 201</w:t>
      </w:r>
      <w:r>
        <w:t>8</w:t>
      </w:r>
      <w:r w:rsidRPr="009246DB">
        <w:t xml:space="preserve"> r. poz. </w:t>
      </w:r>
      <w:r>
        <w:t>1302, 1467, 1544 i 1629)</w:t>
      </w:r>
      <w:r w:rsidRPr="009246DB">
        <w:t xml:space="preserve"> wprowadza się następujące zmiany:</w:t>
      </w:r>
    </w:p>
    <w:p w:rsidR="00EA4E71" w:rsidRPr="009246DB" w:rsidRDefault="00EA4E71" w:rsidP="00EA4E71">
      <w:pPr>
        <w:pStyle w:val="PKTpunkt"/>
        <w:keepNext/>
      </w:pPr>
      <w:r>
        <w:t>1)</w:t>
      </w:r>
      <w:r>
        <w:tab/>
      </w:r>
      <w:r w:rsidRPr="009246DB">
        <w:t>w art. 5 pkt 4 otrzymuje brzmienie:</w:t>
      </w:r>
    </w:p>
    <w:p w:rsidR="00EA4E71" w:rsidRPr="009246DB" w:rsidRDefault="00EA4E71" w:rsidP="00EA4E71">
      <w:pPr>
        <w:pStyle w:val="ZPKTzmpktartykuempunktem"/>
        <w:keepNext/>
      </w:pPr>
      <w:r>
        <w:t>„</w:t>
      </w:r>
      <w:r w:rsidRPr="009246DB">
        <w:t>4)</w:t>
      </w:r>
      <w:r>
        <w:tab/>
      </w:r>
      <w:r w:rsidRPr="009246DB">
        <w:t>wiz wydawanych przez konsulów, z wyjątkiem:</w:t>
      </w:r>
    </w:p>
    <w:p w:rsidR="00EA4E71" w:rsidRPr="009246DB" w:rsidRDefault="00EA4E71" w:rsidP="00EA4E71">
      <w:pPr>
        <w:pStyle w:val="ZLITwPKTzmlitwpktartykuempunktem"/>
      </w:pPr>
      <w:r w:rsidRPr="009246DB">
        <w:t>a)</w:t>
      </w:r>
      <w:r>
        <w:tab/>
      </w:r>
      <w:r w:rsidRPr="009246DB">
        <w:t>wiz, o których mowa w art. 2 pkt 2</w:t>
      </w:r>
      <w:r>
        <w:t>–</w:t>
      </w:r>
      <w:r w:rsidRPr="009246DB">
        <w:t xml:space="preserve">5 rozporządzenia Parlamentu Europejskiego i Rady (WE) nr 810/2009 z dnia 13 lipca 2009 r. ustanawiającego Wspólnotowy Kodeks Wizowy (kodeks wizowy) (Dz. Urz. UE L 243 z 15.09.2009, str. 1, Dz. Urz. UE L 258 z </w:t>
      </w:r>
      <w:r>
        <w:t>04.10.2011, str. 9, Dz. </w:t>
      </w:r>
      <w:r w:rsidRPr="009246DB">
        <w:t xml:space="preserve">Urz. UE L 58 z </w:t>
      </w:r>
      <w:r>
        <w:t>29</w:t>
      </w:r>
      <w:r w:rsidRPr="009246DB">
        <w:t>.02.2012, str. 3</w:t>
      </w:r>
      <w:r>
        <w:t>,</w:t>
      </w:r>
      <w:r w:rsidRPr="009246DB">
        <w:t xml:space="preserve"> Dz. Urz. UE L 182 z 2</w:t>
      </w:r>
      <w:r>
        <w:t>9</w:t>
      </w:r>
      <w:r w:rsidRPr="009246DB">
        <w:t>.06.2013, str. 1</w:t>
      </w:r>
      <w:r>
        <w:t xml:space="preserve"> oraz Dz. Urz. UE L 77 z 23.03.2016, str. 1</w:t>
      </w:r>
      <w:r w:rsidRPr="009246DB">
        <w:t>);</w:t>
      </w:r>
    </w:p>
    <w:p w:rsidR="00EA4E71" w:rsidRPr="009246DB" w:rsidRDefault="00EA4E71" w:rsidP="00EA4E71">
      <w:pPr>
        <w:pStyle w:val="ZLITwPKTzmlitwpktartykuempunktem"/>
      </w:pPr>
      <w:r>
        <w:t>b)</w:t>
      </w:r>
      <w:r>
        <w:tab/>
      </w:r>
      <w:r w:rsidRPr="009246DB">
        <w:t xml:space="preserve">wiz wydanych cudzoziemcowi będącemu członkiem rodziny obywatela państwa członkowskiego Unii Europejskiej, państwa członkowskiego Europejskiego Porozumienia o Wolnym Handlu (EFTA) </w:t>
      </w:r>
      <w:r>
        <w:t>–</w:t>
      </w:r>
      <w:r w:rsidRPr="009246DB">
        <w:t xml:space="preserve"> strony umowy o</w:t>
      </w:r>
      <w:r>
        <w:t> </w:t>
      </w:r>
      <w:r w:rsidRPr="009246DB">
        <w:t>Europejskim Obszarze Gospodarczym lub Konfederacji Szwajcarskiej, w</w:t>
      </w:r>
      <w:r>
        <w:t> </w:t>
      </w:r>
      <w:r w:rsidRPr="009246DB">
        <w:t xml:space="preserve">rozumieniu </w:t>
      </w:r>
      <w:bookmarkStart w:id="1" w:name="#hiperlinkText.rpc?hiperlink=type=tresc:"/>
      <w:r w:rsidRPr="009246DB">
        <w:t>art. 2 pkt 4</w:t>
      </w:r>
      <w:bookmarkEnd w:id="1"/>
      <w:r w:rsidRPr="009246DB">
        <w:t xml:space="preserve"> ustawy z dnia 14 lipca 2006 r. o wjeździe na terytorium Rzeczypospolitej Polskiej, pobycie oraz wyjeździe z tego terytorium obywateli państw członkowskich Unii Europejskiej i członków ich rodzin (Dz. U. z 2017 r. poz. 900</w:t>
      </w:r>
      <w:r w:rsidR="003A33D8">
        <w:t xml:space="preserve"> oraz z 2018 r. poz. 650</w:t>
      </w:r>
      <w:r w:rsidRPr="009246DB">
        <w:t>);</w:t>
      </w:r>
      <w:r>
        <w:t>”;</w:t>
      </w:r>
    </w:p>
    <w:p w:rsidR="00EA4E71" w:rsidRPr="009246DB" w:rsidRDefault="00EA4E71" w:rsidP="00EA4E71">
      <w:pPr>
        <w:pStyle w:val="PKTpunkt"/>
        <w:keepNext/>
      </w:pPr>
      <w:r>
        <w:t>2)</w:t>
      </w:r>
      <w:r>
        <w:tab/>
      </w:r>
      <w:r w:rsidRPr="009246DB">
        <w:t>w art. 13 po § 2 dodaje się § 2a w brzmieniu:</w:t>
      </w:r>
    </w:p>
    <w:p w:rsidR="00EA4E71" w:rsidRPr="009246DB" w:rsidRDefault="00EA4E71" w:rsidP="00EA4E71">
      <w:pPr>
        <w:pStyle w:val="ZARTzmartartykuempunktem"/>
      </w:pPr>
      <w:r>
        <w:t>„</w:t>
      </w:r>
      <w:r w:rsidRPr="009246DB">
        <w:t>§</w:t>
      </w:r>
      <w:r>
        <w:t xml:space="preserve"> </w:t>
      </w:r>
      <w:r w:rsidRPr="009246DB">
        <w:t xml:space="preserve">2a. </w:t>
      </w:r>
      <w:r>
        <w:t>W</w:t>
      </w:r>
      <w:r w:rsidRPr="009246DB">
        <w:t>ojewódzki sąd administracyjny, na którego obszarze właściwości ma siedzibę urząd obsługujący ministra właściwego do spraw zagranicznych</w:t>
      </w:r>
      <w:r>
        <w:t>, jest właściwy do rozpoznania skargi na działalność konsula.”;</w:t>
      </w:r>
    </w:p>
    <w:p w:rsidR="00EA4E71" w:rsidRPr="009246DB" w:rsidRDefault="00EA4E71" w:rsidP="00EA4E71">
      <w:pPr>
        <w:pStyle w:val="PKTpunkt"/>
        <w:keepNext/>
      </w:pPr>
      <w:r w:rsidRPr="009246DB">
        <w:lastRenderedPageBreak/>
        <w:t>3)</w:t>
      </w:r>
      <w:r>
        <w:tab/>
        <w:t xml:space="preserve">w art. 28 </w:t>
      </w:r>
      <w:r w:rsidRPr="009246DB">
        <w:t>dodaje się § 4 w brzmieniu:</w:t>
      </w:r>
    </w:p>
    <w:p w:rsidR="00EA4E71" w:rsidRPr="009246DB" w:rsidRDefault="00EA4E71" w:rsidP="00EA4E71">
      <w:pPr>
        <w:pStyle w:val="ZARTzmartartykuempunktem"/>
      </w:pPr>
      <w:r>
        <w:t>„</w:t>
      </w:r>
      <w:r w:rsidRPr="009246DB">
        <w:t>§</w:t>
      </w:r>
      <w:r>
        <w:t xml:space="preserve"> </w:t>
      </w:r>
      <w:r w:rsidRPr="009246DB">
        <w:t>4</w:t>
      </w:r>
      <w:r>
        <w:t xml:space="preserve">. </w:t>
      </w:r>
      <w:r w:rsidRPr="009246DB">
        <w:t>Za konsula czynności w postępowaniu podejmuje minister właściwy do spraw zagranicznych.</w:t>
      </w:r>
      <w:r>
        <w:t>”;</w:t>
      </w:r>
    </w:p>
    <w:p w:rsidR="00EA4E71" w:rsidRPr="009246DB" w:rsidRDefault="00EA4E71" w:rsidP="00EA4E71">
      <w:pPr>
        <w:pStyle w:val="PKTpunkt"/>
        <w:keepNext/>
      </w:pPr>
      <w:r w:rsidRPr="009246DB">
        <w:t>4)</w:t>
      </w:r>
      <w:r>
        <w:tab/>
      </w:r>
      <w:r w:rsidRPr="009246DB">
        <w:t>w a</w:t>
      </w:r>
      <w:r>
        <w:t>rt. 52 w § 3 dodaje się zdanie drugie</w:t>
      </w:r>
      <w:r w:rsidRPr="009246DB">
        <w:t xml:space="preserve"> w brzmieniu:</w:t>
      </w:r>
    </w:p>
    <w:p w:rsidR="00EA4E71" w:rsidRPr="00EA4E71" w:rsidRDefault="00EA4E71" w:rsidP="00EA4E71">
      <w:pPr>
        <w:pStyle w:val="ZFRAGzmfragmentunpzdaniaartykuempunktem"/>
      </w:pPr>
      <w:r>
        <w:t>„</w:t>
      </w:r>
      <w:r w:rsidRPr="009246DB">
        <w:t>Prawo do wniesienia skargi bez zwrócenia się do organu, który wydał decyzję</w:t>
      </w:r>
      <w:r w:rsidRPr="00EA4E71">
        <w:t>, z</w:t>
      </w:r>
      <w:r>
        <w:t> </w:t>
      </w:r>
      <w:r w:rsidRPr="00EA4E71">
        <w:t>wnioskiem o ponowne rozpatrzenie sprawy nie przysługuje stronie, gdy organem, który wydał decyzję, jest konsul.ˮ;</w:t>
      </w:r>
    </w:p>
    <w:p w:rsidR="00EA4E71" w:rsidRPr="009246DB" w:rsidRDefault="00EA4E71" w:rsidP="00EA4E71">
      <w:pPr>
        <w:pStyle w:val="PKTpunkt"/>
        <w:keepNext/>
      </w:pPr>
      <w:r w:rsidRPr="009246DB">
        <w:t>5)</w:t>
      </w:r>
      <w:r>
        <w:tab/>
      </w:r>
      <w:r w:rsidRPr="009246DB">
        <w:t>w art. 54 po § 2</w:t>
      </w:r>
      <w:r>
        <w:t xml:space="preserve">c </w:t>
      </w:r>
      <w:r w:rsidRPr="009246DB">
        <w:t>dodaje się § 2d w brzmieniu:</w:t>
      </w:r>
    </w:p>
    <w:p w:rsidR="00EA4E71" w:rsidRPr="009246DB" w:rsidRDefault="00EA4E71" w:rsidP="00EA4E71">
      <w:pPr>
        <w:pStyle w:val="ZARTzmartartykuempunktem"/>
      </w:pPr>
      <w:r>
        <w:t>„</w:t>
      </w:r>
      <w:r w:rsidRPr="009246DB">
        <w:t>§</w:t>
      </w:r>
      <w:r>
        <w:t xml:space="preserve"> </w:t>
      </w:r>
      <w:r w:rsidRPr="009246DB">
        <w:t>2d. Skargę wniesioną za pośrednictwem konsula minister właściwy do spraw zagranicznych przekazuje sądowi wraz z kompletnymi i uporządkowanymi aktami sprawy i odpowiedzią na skargę w terminie sześćdziesięciu dni od dnia jej otrzymania przez konsula.</w:t>
      </w:r>
      <w:r w:rsidRPr="00EA4E71">
        <w:t>ˮ</w:t>
      </w:r>
      <w:r>
        <w:t>;</w:t>
      </w:r>
    </w:p>
    <w:p w:rsidR="00EA4E71" w:rsidRPr="009246DB" w:rsidRDefault="00EA4E71" w:rsidP="00EA4E71">
      <w:pPr>
        <w:pStyle w:val="PKTpunkt"/>
        <w:keepNext/>
      </w:pPr>
      <w:r w:rsidRPr="009246DB">
        <w:t>6)</w:t>
      </w:r>
      <w:r>
        <w:tab/>
      </w:r>
      <w:r w:rsidRPr="009246DB">
        <w:t>w art.</w:t>
      </w:r>
      <w:r>
        <w:t xml:space="preserve"> </w:t>
      </w:r>
      <w:r w:rsidRPr="009246DB">
        <w:t>55:</w:t>
      </w:r>
    </w:p>
    <w:p w:rsidR="00EA4E71" w:rsidRDefault="00EA4E71" w:rsidP="00EA4E71">
      <w:pPr>
        <w:pStyle w:val="LITlitera"/>
      </w:pPr>
      <w:r>
        <w:t>a)</w:t>
      </w:r>
      <w:r>
        <w:tab/>
        <w:t xml:space="preserve">w </w:t>
      </w:r>
      <w:r w:rsidRPr="00947CF6">
        <w:t>§</w:t>
      </w:r>
      <w:r>
        <w:t xml:space="preserve"> </w:t>
      </w:r>
      <w:r w:rsidRPr="00947CF6">
        <w:t>1</w:t>
      </w:r>
      <w:r>
        <w:t xml:space="preserve"> odesłanie do „</w:t>
      </w:r>
      <w:r w:rsidRPr="00947CF6">
        <w:t>art. 54 § 2</w:t>
      </w:r>
      <w:r>
        <w:t xml:space="preserve">” zastępuje się odesłaniem do „art. 54 </w:t>
      </w:r>
      <w:r w:rsidRPr="009E274E">
        <w:t>§</w:t>
      </w:r>
      <w:r>
        <w:t xml:space="preserve"> 2 i </w:t>
      </w:r>
      <w:r w:rsidRPr="00394296">
        <w:t>2</w:t>
      </w:r>
      <w:r>
        <w:t>d”,</w:t>
      </w:r>
    </w:p>
    <w:p w:rsidR="00EA4E71" w:rsidRDefault="00EA4E71" w:rsidP="00EA4E71">
      <w:pPr>
        <w:pStyle w:val="LITlitera"/>
      </w:pPr>
      <w:r>
        <w:t>b)</w:t>
      </w:r>
      <w:r>
        <w:tab/>
        <w:t xml:space="preserve">w </w:t>
      </w:r>
      <w:r w:rsidRPr="00394296">
        <w:t xml:space="preserve">§ </w:t>
      </w:r>
      <w:r>
        <w:t>3 odesłanie do „</w:t>
      </w:r>
      <w:r w:rsidRPr="00947CF6">
        <w:t>art. 54 § 2</w:t>
      </w:r>
      <w:r>
        <w:t xml:space="preserve">” zastępuje się odesłaniem do „art. 54 </w:t>
      </w:r>
      <w:r w:rsidRPr="0048733B">
        <w:t>§</w:t>
      </w:r>
      <w:r>
        <w:t xml:space="preserve"> 2 i </w:t>
      </w:r>
      <w:r w:rsidRPr="00394296">
        <w:t>2</w:t>
      </w:r>
      <w:r>
        <w:t>d”.</w:t>
      </w:r>
    </w:p>
    <w:p w:rsidR="00EA4E71" w:rsidRPr="00E21D07" w:rsidRDefault="00EA4E71" w:rsidP="00EA4E71">
      <w:pPr>
        <w:pStyle w:val="ARTartustawynprozporzdzenia"/>
      </w:pPr>
      <w:r w:rsidRPr="00EA4E71">
        <w:rPr>
          <w:rStyle w:val="Ppogrubienie"/>
        </w:rPr>
        <w:t>Art.</w:t>
      </w:r>
      <w:r>
        <w:rPr>
          <w:rStyle w:val="Ppogrubienie"/>
        </w:rPr>
        <w:t> </w:t>
      </w:r>
      <w:r w:rsidRPr="00EA4E71">
        <w:rPr>
          <w:rStyle w:val="Ppogrubienie"/>
        </w:rPr>
        <w:t>2.</w:t>
      </w:r>
      <w:r>
        <w:t xml:space="preserve"> </w:t>
      </w:r>
      <w:r w:rsidRPr="002904C1">
        <w:t>Przepisy ustawy zmienianej w art. 1, w brzmieniu nadanym niniejszą ustawą, stosuje się w sprawach postępowań o wydanie wiz, o których mowa w art. 2 pkt 2</w:t>
      </w:r>
      <w:r>
        <w:t>–</w:t>
      </w:r>
      <w:r w:rsidRPr="002904C1">
        <w:t>5 rozporządzenia Parlamentu Europejskiego i Rady (WE) nr 810/2009 z dnia 13 lipca 2009 r. ustanawiającego Wspólnotowy Kodeks Wizowy (kodeks wizowy), wszczętych i</w:t>
      </w:r>
      <w:r>
        <w:t> </w:t>
      </w:r>
      <w:r w:rsidRPr="002904C1">
        <w:t>niezakończonych do dnia wejścia w życie niniejszej ustawy.</w:t>
      </w:r>
    </w:p>
    <w:p w:rsidR="00EA4E71" w:rsidRDefault="00EA4E71" w:rsidP="00EA4E71">
      <w:pPr>
        <w:pStyle w:val="ARTartustawynprozporzdzenia"/>
        <w:keepNext/>
      </w:pPr>
      <w:r w:rsidRPr="00EA4E71">
        <w:rPr>
          <w:rStyle w:val="Ppogrubienie"/>
        </w:rPr>
        <w:t>Art.</w:t>
      </w:r>
      <w:r>
        <w:rPr>
          <w:rStyle w:val="Ppogrubienie"/>
        </w:rPr>
        <w:t> </w:t>
      </w:r>
      <w:r w:rsidRPr="00EA4E71">
        <w:rPr>
          <w:rStyle w:val="Ppogrubienie"/>
        </w:rPr>
        <w:t>3.</w:t>
      </w:r>
      <w:r w:rsidRPr="00990B7E">
        <w:rPr>
          <w:rStyle w:val="Ppogrubienie"/>
        </w:rPr>
        <w:t xml:space="preserve"> </w:t>
      </w:r>
      <w:r w:rsidRPr="00A14510">
        <w:t>1.</w:t>
      </w:r>
      <w:r>
        <w:rPr>
          <w:rStyle w:val="Ppogrubienie"/>
        </w:rPr>
        <w:t xml:space="preserve"> </w:t>
      </w:r>
      <w:r w:rsidRPr="00990B7E">
        <w:t>W latach 2019</w:t>
      </w:r>
      <w:r>
        <w:t>–</w:t>
      </w:r>
      <w:r w:rsidRPr="00990B7E">
        <w:t>2028</w:t>
      </w:r>
      <w:r>
        <w:t xml:space="preserve"> maksymalny limit wydatków budżetu państwa będący skutkiem finansowym wejścia w życie niniejszej ustawy wynosi 34 550 000 zł, z tym, że w:</w:t>
      </w:r>
    </w:p>
    <w:p w:rsidR="00EA4E71" w:rsidRDefault="000B394D" w:rsidP="00EA4E71">
      <w:pPr>
        <w:pStyle w:val="PKTpunkt"/>
      </w:pPr>
      <w:r>
        <w:t>1)</w:t>
      </w:r>
      <w:r>
        <w:tab/>
        <w:t>2019 r. – 3 730 </w:t>
      </w:r>
      <w:r w:rsidR="00EA4E71">
        <w:t>000 zł;</w:t>
      </w:r>
    </w:p>
    <w:p w:rsidR="00EA4E71" w:rsidRDefault="00EA4E71" w:rsidP="00EA4E71">
      <w:pPr>
        <w:pStyle w:val="PKTpunkt"/>
      </w:pPr>
      <w:r>
        <w:t>2)</w:t>
      </w:r>
      <w:r>
        <w:tab/>
        <w:t xml:space="preserve">2020 r. – </w:t>
      </w:r>
      <w:r w:rsidR="000B394D">
        <w:t>3 320 </w:t>
      </w:r>
      <w:r>
        <w:t>000 zł;</w:t>
      </w:r>
    </w:p>
    <w:p w:rsidR="00EA4E71" w:rsidRDefault="000B394D" w:rsidP="00EA4E71">
      <w:pPr>
        <w:pStyle w:val="PKTpunkt"/>
      </w:pPr>
      <w:r>
        <w:t>3)</w:t>
      </w:r>
      <w:r>
        <w:tab/>
        <w:t>2021 r. – 3 320 </w:t>
      </w:r>
      <w:r w:rsidR="00EA4E71">
        <w:t>000 zł;</w:t>
      </w:r>
    </w:p>
    <w:p w:rsidR="00EA4E71" w:rsidRDefault="000B394D" w:rsidP="00EA4E71">
      <w:pPr>
        <w:pStyle w:val="PKTpunkt"/>
      </w:pPr>
      <w:r>
        <w:t>4)</w:t>
      </w:r>
      <w:r>
        <w:tab/>
        <w:t>2022 r. – 3 320 </w:t>
      </w:r>
      <w:r w:rsidR="00EA4E71">
        <w:t>000 zł;</w:t>
      </w:r>
    </w:p>
    <w:p w:rsidR="00EA4E71" w:rsidRDefault="000B394D" w:rsidP="00EA4E71">
      <w:pPr>
        <w:pStyle w:val="PKTpunkt"/>
      </w:pPr>
      <w:r>
        <w:t>5)</w:t>
      </w:r>
      <w:r>
        <w:tab/>
        <w:t>2023 r. – 3 790 </w:t>
      </w:r>
      <w:r w:rsidR="00EA4E71">
        <w:t>000 zł;</w:t>
      </w:r>
    </w:p>
    <w:p w:rsidR="00EA4E71" w:rsidRDefault="000B394D" w:rsidP="00EA4E71">
      <w:pPr>
        <w:pStyle w:val="PKTpunkt"/>
      </w:pPr>
      <w:r>
        <w:t>6)</w:t>
      </w:r>
      <w:r>
        <w:tab/>
        <w:t>2024 r. – 3 320 </w:t>
      </w:r>
      <w:r w:rsidR="00EA4E71">
        <w:t>000 zł;</w:t>
      </w:r>
    </w:p>
    <w:p w:rsidR="00EA4E71" w:rsidRDefault="000B394D" w:rsidP="00EA4E71">
      <w:pPr>
        <w:pStyle w:val="PKTpunkt"/>
      </w:pPr>
      <w:r>
        <w:t>7)</w:t>
      </w:r>
      <w:r>
        <w:tab/>
        <w:t>2025 r. – 3 320 </w:t>
      </w:r>
      <w:r w:rsidR="00EA4E71">
        <w:t>000 zł;</w:t>
      </w:r>
    </w:p>
    <w:p w:rsidR="00EA4E71" w:rsidRDefault="000B394D" w:rsidP="00EA4E71">
      <w:pPr>
        <w:pStyle w:val="PKTpunkt"/>
      </w:pPr>
      <w:r>
        <w:t>8)</w:t>
      </w:r>
      <w:r>
        <w:tab/>
        <w:t>2026 r. – 3 320 </w:t>
      </w:r>
      <w:r w:rsidR="00EA4E71">
        <w:t>000 zł;</w:t>
      </w:r>
    </w:p>
    <w:p w:rsidR="00EA4E71" w:rsidRDefault="000B394D" w:rsidP="00EA4E71">
      <w:pPr>
        <w:pStyle w:val="PKTpunkt"/>
      </w:pPr>
      <w:r>
        <w:t>9)</w:t>
      </w:r>
      <w:r>
        <w:tab/>
        <w:t>2027 r. – 3 790 </w:t>
      </w:r>
      <w:r w:rsidR="00EA4E71">
        <w:t>000 zł;</w:t>
      </w:r>
    </w:p>
    <w:p w:rsidR="00EA4E71" w:rsidRDefault="000B394D" w:rsidP="00EA4E71">
      <w:pPr>
        <w:pStyle w:val="PKTpunkt"/>
      </w:pPr>
      <w:r>
        <w:t>10)</w:t>
      </w:r>
      <w:r>
        <w:tab/>
        <w:t>2028 r. – 3 320 </w:t>
      </w:r>
      <w:r w:rsidR="00EA4E71">
        <w:t>000 zł.</w:t>
      </w:r>
    </w:p>
    <w:p w:rsidR="00EA4E71" w:rsidRDefault="00EA4E71" w:rsidP="00EA4E71">
      <w:pPr>
        <w:pStyle w:val="USTustnpkodeksu"/>
      </w:pPr>
      <w:r>
        <w:lastRenderedPageBreak/>
        <w:t>2</w:t>
      </w:r>
      <w:r w:rsidRPr="003151DB">
        <w:t>.</w:t>
      </w:r>
      <w:r>
        <w:t xml:space="preserve"> </w:t>
      </w:r>
      <w:r w:rsidRPr="00CC4BF1">
        <w:t xml:space="preserve">Wydatki związane z funkcjonowaniem </w:t>
      </w:r>
      <w:r>
        <w:t>ustawy pokrywane są z budżetu państwa, z </w:t>
      </w:r>
      <w:r w:rsidRPr="00CC4BF1">
        <w:t>części, której dysponentem jest minister</w:t>
      </w:r>
      <w:r>
        <w:t xml:space="preserve"> </w:t>
      </w:r>
      <w:r w:rsidRPr="00CC4BF1">
        <w:t xml:space="preserve">właściwy do spraw </w:t>
      </w:r>
      <w:r>
        <w:t>zagranicznych.</w:t>
      </w:r>
    </w:p>
    <w:p w:rsidR="00EA4E71" w:rsidRPr="004A4C1A" w:rsidRDefault="00EA4E71" w:rsidP="00EA4E71">
      <w:pPr>
        <w:pStyle w:val="USTustnpkodeksu"/>
      </w:pPr>
      <w:r>
        <w:t>3. M</w:t>
      </w:r>
      <w:r w:rsidRPr="00CC4BF1">
        <w:t xml:space="preserve">inister właściwy do spraw zagranicznych monitoruje wykorzystanie limitów wydatków, </w:t>
      </w:r>
      <w:r>
        <w:t>o</w:t>
      </w:r>
      <w:r w:rsidR="003A33D8">
        <w:t>kreślonych</w:t>
      </w:r>
      <w:r>
        <w:t xml:space="preserve"> w ust. 1</w:t>
      </w:r>
      <w:r w:rsidRPr="00CC4BF1">
        <w:t>.</w:t>
      </w:r>
      <w:r>
        <w:t xml:space="preserve"> </w:t>
      </w:r>
      <w:r w:rsidRPr="004A4C1A">
        <w:t xml:space="preserve">W przypadku gdy wielkość wydatków po pierwszym półroczu danego roku budżetowego wyniesie więcej niż 65% limitu wydatków przewidzianych na dany rok, </w:t>
      </w:r>
      <w:r>
        <w:t>minister właściwy do spraw zagranicznych obniża</w:t>
      </w:r>
      <w:r w:rsidRPr="004A4C1A">
        <w:t xml:space="preserve"> wielkość środ</w:t>
      </w:r>
      <w:r>
        <w:t xml:space="preserve">ków przeznaczonych na wydatki w </w:t>
      </w:r>
      <w:r w:rsidRPr="004A4C1A">
        <w:t>drugim półroczu o kwotę stanowiącą różnicę pomiędzy wielkością tego limitu a kwotą przekroczenia wydatków</w:t>
      </w:r>
      <w:r>
        <w:t>, określając zakres ograniczeń dla poszczególnych zadań realizowanych na podstawie ustawy.</w:t>
      </w:r>
    </w:p>
    <w:p w:rsidR="00EA4E71" w:rsidRPr="00CC33ED" w:rsidRDefault="00EA4E71" w:rsidP="00EA4E71">
      <w:pPr>
        <w:pStyle w:val="USTustnpkodeksu"/>
      </w:pPr>
      <w:r>
        <w:t>4</w:t>
      </w:r>
      <w:r w:rsidRPr="00CC33ED">
        <w:t>.</w:t>
      </w:r>
      <w:r>
        <w:t xml:space="preserve"> </w:t>
      </w:r>
      <w:r w:rsidRPr="00CC33ED">
        <w:t xml:space="preserve">W przypadku gdy wielkość wydatków w poszczególnych miesiącach </w:t>
      </w:r>
      <w:r>
        <w:t>jest zgodna</w:t>
      </w:r>
      <w:r w:rsidRPr="00CC33ED">
        <w:t xml:space="preserve"> z</w:t>
      </w:r>
      <w:r>
        <w:t> </w:t>
      </w:r>
      <w:r w:rsidRPr="00CC33ED">
        <w:t>p</w:t>
      </w:r>
      <w:r>
        <w:t>lanem finansowym, przepisu ust. 3</w:t>
      </w:r>
      <w:r w:rsidRPr="00CC33ED">
        <w:t xml:space="preserve"> nie stosuje się.</w:t>
      </w:r>
    </w:p>
    <w:p w:rsidR="00EA4E71" w:rsidRPr="001B40B9" w:rsidRDefault="00EA4E71" w:rsidP="00EA4E71">
      <w:pPr>
        <w:pStyle w:val="ARTartustawynprozporzdzenia"/>
      </w:pPr>
      <w:r w:rsidRPr="00EA4E71">
        <w:rPr>
          <w:rStyle w:val="Ppogrubienie"/>
        </w:rPr>
        <w:t>Art.</w:t>
      </w:r>
      <w:r>
        <w:rPr>
          <w:rStyle w:val="Ppogrubienie"/>
        </w:rPr>
        <w:t> </w:t>
      </w:r>
      <w:r w:rsidRPr="00EA4E71">
        <w:rPr>
          <w:rStyle w:val="Ppogrubienie"/>
        </w:rPr>
        <w:t>4.</w:t>
      </w:r>
      <w:r>
        <w:t xml:space="preserve"> </w:t>
      </w:r>
      <w:r w:rsidRPr="001B40B9">
        <w:t xml:space="preserve">Ustawa wchodzi w życie </w:t>
      </w:r>
      <w:r>
        <w:t>z dniem</w:t>
      </w:r>
      <w:r w:rsidRPr="001B40B9">
        <w:t xml:space="preserve"> 1 stycznia 2019 r.</w:t>
      </w:r>
    </w:p>
    <w:sectPr w:rsidR="00EA4E71" w:rsidRPr="001B40B9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E71" w:rsidRDefault="00EA4E71">
      <w:r>
        <w:separator/>
      </w:r>
    </w:p>
  </w:endnote>
  <w:endnote w:type="continuationSeparator" w:id="0">
    <w:p w:rsidR="00EA4E71" w:rsidRDefault="00EA4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E71" w:rsidRDefault="00EA4E71">
      <w:r>
        <w:separator/>
      </w:r>
    </w:p>
  </w:footnote>
  <w:footnote w:type="continuationSeparator" w:id="0">
    <w:p w:rsidR="00EA4E71" w:rsidRDefault="00EA4E71">
      <w:r>
        <w:continuationSeparator/>
      </w:r>
    </w:p>
  </w:footnote>
  <w:footnote w:id="1">
    <w:p w:rsidR="00EA4E71" w:rsidRDefault="00EA4E71" w:rsidP="00EA4E71">
      <w:pPr>
        <w:pStyle w:val="ODNONIKtreodnonika"/>
      </w:pPr>
      <w:r w:rsidRPr="00D73B46">
        <w:rPr>
          <w:rStyle w:val="IGindeksgrny"/>
        </w:rPr>
        <w:footnoteRef/>
      </w:r>
      <w:r w:rsidRPr="00D73B46">
        <w:rPr>
          <w:rStyle w:val="IGindeksgrny"/>
        </w:rPr>
        <w:t>)</w:t>
      </w:r>
      <w:r>
        <w:tab/>
      </w:r>
      <w:r w:rsidRPr="00A606FD">
        <w:t>Niniejsza ustawa służy stosowaniu rozporządzenia Parlamentu Europejskiego i Rady (WE) nr 810/2009 z</w:t>
      </w:r>
      <w:r>
        <w:t> </w:t>
      </w:r>
      <w:r w:rsidRPr="00A606FD">
        <w:t>dnia 13 lipca 2009 r. ustanawiającego Wspólnotowy Kodeks Wizowy (kodeks wizowy) (Dz. Urz. UE L 243 z</w:t>
      </w:r>
      <w:r>
        <w:t xml:space="preserve"> </w:t>
      </w:r>
      <w:r w:rsidRPr="00A606FD">
        <w:t>15.09.2009, str. 1, Dz. Urz. UE L 258 z 04.10.2011, str. 9, Dz. Urz. UE L 58 z 29.02.2012, str. 3, Dz.</w:t>
      </w:r>
      <w:r>
        <w:t> </w:t>
      </w:r>
      <w:r w:rsidRPr="00A606FD">
        <w:t>Urz. UE L 182 z 29.06.2013, str. 1 oraz Dz. Urz. UE L 77 z 23.03.2016,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7566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E71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394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33D8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5D1A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2C52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4AB9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4E71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2E5C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66A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0BEBD5-25A6-4E5E-9622-50FB2514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64CE762-9E12-46FC-838A-BC545BB85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590</Words>
  <Characters>3545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Grażyna D. Grabowska</cp:lastModifiedBy>
  <cp:revision>2</cp:revision>
  <cp:lastPrinted>2012-04-23T06:39:00Z</cp:lastPrinted>
  <dcterms:created xsi:type="dcterms:W3CDTF">2018-10-16T09:47:00Z</dcterms:created>
  <dcterms:modified xsi:type="dcterms:W3CDTF">2018-10-16T09:47:00Z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