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951" w:rsidRPr="00DF3951" w:rsidRDefault="00DF3951" w:rsidP="00DF3951">
      <w:pPr>
        <w:pStyle w:val="TYTDZPRZEDMprzedmiotregulacjitytuulubdziau"/>
        <w:rPr>
          <w:rFonts w:ascii="Times New Roman" w:hAnsi="Times New Roman"/>
          <w:b w:val="0"/>
        </w:rPr>
      </w:pPr>
      <w:bookmarkStart w:id="0" w:name="_GoBack"/>
      <w:bookmarkEnd w:id="0"/>
      <w:r w:rsidRPr="00DF3951">
        <w:rPr>
          <w:rFonts w:ascii="Times New Roman" w:hAnsi="Times New Roman"/>
          <w:b w:val="0"/>
        </w:rPr>
        <w:t>UZASADNIENIE</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Wprowadzenie zmian w ustawie z dnia 10 marca 2006 r. o zwrocie podatku akcyzowego zawartego w cenie oleju napędowego wykorzystywanego do produkcji rolnej (Dz. U. z 2015 r. poz. 1340), zwanej dalej „ustawą”, ma na celu zwiększenie limitu zużywanego oleju napędowego na 1 ha upraw rolnych oraz wprowadzenie limitu zużycia oleju napędowego w odniesieniu do 1 dużej jednostki przeliczeniowej (DJP) bydła, w przypadku prowadzenia przez producenta rolnego chowu lub hodowli bydła, do którego przysługuje zwrot części podatku akcyzowego zawartego w cenie paliwa zakupionego do tej produkcji.</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 xml:space="preserve">Zwiększenie pomocy finansowej dla producentów rolnych w formie zwrotu podatku akcyzowego uzasadnione jest potrzebą zwiększenia konkurencyjności polskich gospodarstw rolnych na unijnym rynku. </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Zmiany zaproponowane w ustawie przyczynią się do z</w:t>
      </w:r>
      <w:r>
        <w:rPr>
          <w:rFonts w:ascii="Times New Roman" w:hAnsi="Times New Roman" w:cs="Times New Roman"/>
        </w:rPr>
        <w:t>mniejszenia kosztów produkcji w </w:t>
      </w:r>
      <w:r w:rsidRPr="00DF3951">
        <w:rPr>
          <w:rFonts w:ascii="Times New Roman" w:hAnsi="Times New Roman" w:cs="Times New Roman"/>
        </w:rPr>
        <w:t xml:space="preserve">gospodarstwach rolnych, przez zwiększenie wsparcia finansowego do paliwa wykorzystywanego w produkcji rolnej. W ostatnich latach wzrosły koszty produkcji rolnej, w tym związane z wykorzystaniem paliwa. Wzrost kosztów produkcji przy niskich cenach produktów rolnych, jakie uzyskują producenci rolni z ich sprzedaży, powoduje, że produkcja rolna staje się coraz mniej opłacalna. Z roku na rok wzrasta udział kosztów paliwa w kosztach ogółem produkcji rolnej. Ocenia się, że ma to związek z nowymi technologiami produkcji, często z większą intensywnością produkcji i dążeniem do uzyskania lepszych wyników ekonomicznych, jak i również wzrostem cen paliw, szczególnie w okresach największego zapotrzebowania na nie </w:t>
      </w:r>
      <w:r>
        <w:rPr>
          <w:rFonts w:ascii="Times New Roman" w:hAnsi="Times New Roman" w:cs="Times New Roman"/>
        </w:rPr>
        <w:t xml:space="preserve">w </w:t>
      </w:r>
      <w:r w:rsidRPr="00DF3951">
        <w:rPr>
          <w:rFonts w:ascii="Times New Roman" w:hAnsi="Times New Roman" w:cs="Times New Roman"/>
        </w:rPr>
        <w:t>rolnictwie, tj. w tr</w:t>
      </w:r>
      <w:r>
        <w:rPr>
          <w:rFonts w:ascii="Times New Roman" w:hAnsi="Times New Roman" w:cs="Times New Roman"/>
        </w:rPr>
        <w:t>akcie wzmożonych prac polowych,</w:t>
      </w:r>
      <w:r w:rsidRPr="00DF3951">
        <w:rPr>
          <w:rFonts w:ascii="Times New Roman" w:hAnsi="Times New Roman" w:cs="Times New Roman"/>
        </w:rPr>
        <w:t xml:space="preserve"> szczególnie żniw. Większa liczba zabiegów ochronnych czy specjalistyczne zabiegi wiążą się z zaangażowaniem odpowiedniego sprzętu i automatycznie z większym zużyciem paliwa. </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Intensyfikacja produkcji roślinnej i zwierzęcej w małych gospodarstwach rodzinnych oraz wielkoobszarowych wymaga zastosowania nowoczesnych technologi</w:t>
      </w:r>
      <w:r>
        <w:rPr>
          <w:rFonts w:ascii="Times New Roman" w:hAnsi="Times New Roman" w:cs="Times New Roman"/>
        </w:rPr>
        <w:t>i z wzrastającym udziałem paliw</w:t>
      </w:r>
      <w:r w:rsidRPr="00DF3951">
        <w:rPr>
          <w:rFonts w:ascii="Times New Roman" w:hAnsi="Times New Roman" w:cs="Times New Roman"/>
        </w:rPr>
        <w:t xml:space="preserve"> w wykonywaniu prac polowych i transportowych oraz przez urządzenia mechaniczne w gospodarstwie. Wzr</w:t>
      </w:r>
      <w:r>
        <w:rPr>
          <w:rFonts w:ascii="Times New Roman" w:hAnsi="Times New Roman" w:cs="Times New Roman"/>
        </w:rPr>
        <w:t>astające wymagania jakościowe i </w:t>
      </w:r>
      <w:r w:rsidRPr="00DF3951">
        <w:rPr>
          <w:rFonts w:ascii="Times New Roman" w:hAnsi="Times New Roman" w:cs="Times New Roman"/>
        </w:rPr>
        <w:t xml:space="preserve">standardy technologiczne w produkcji zwierzęcej również przyczyniają się do wzrostu zapotrzebowania na nośniki energii do celów grzewczych, do oświetlenia czy też napędu maszyn i urządzeń. Natomiast, w przypadku gospodarstw produkujących mleko </w:t>
      </w:r>
      <w:r w:rsidRPr="00DF3951">
        <w:rPr>
          <w:rFonts w:ascii="Times New Roman" w:hAnsi="Times New Roman" w:cs="Times New Roman"/>
        </w:rPr>
        <w:lastRenderedPageBreak/>
        <w:t>na dużą skalę, w dawce żywieniowej krów duży udział mają pasze wysoko nakładochłonne, tzn. kiszonki i sianokiszonki. Taka technologia żywienia zwierząt ma</w:t>
      </w:r>
      <w:r>
        <w:rPr>
          <w:rFonts w:ascii="Times New Roman" w:hAnsi="Times New Roman" w:cs="Times New Roman"/>
        </w:rPr>
        <w:t xml:space="preserve"> bezpośredni związek z większym</w:t>
      </w:r>
      <w:r w:rsidRPr="00DF3951">
        <w:rPr>
          <w:rFonts w:ascii="Times New Roman" w:hAnsi="Times New Roman" w:cs="Times New Roman"/>
        </w:rPr>
        <w:t xml:space="preserve"> ponoszeniem kosztów paliwa w kosztach ogółem utrzymania krów.</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Zgodnie z ekspertyzami przesłanymi przez je</w:t>
      </w:r>
      <w:r>
        <w:rPr>
          <w:rFonts w:ascii="Times New Roman" w:hAnsi="Times New Roman" w:cs="Times New Roman"/>
        </w:rPr>
        <w:t xml:space="preserve">dnostki badawczo-rozwojowe, tj. </w:t>
      </w:r>
      <w:r w:rsidRPr="00DF3951">
        <w:rPr>
          <w:rFonts w:ascii="Times New Roman" w:hAnsi="Times New Roman" w:cs="Times New Roman"/>
        </w:rPr>
        <w:t>Instytut Technologiczno-Przyrodniczy w Falentach,</w:t>
      </w:r>
      <w:r>
        <w:rPr>
          <w:rFonts w:ascii="Times New Roman" w:hAnsi="Times New Roman" w:cs="Times New Roman"/>
        </w:rPr>
        <w:t xml:space="preserve"> Instytut Ekonomiki Rolnictwa i </w:t>
      </w:r>
      <w:r w:rsidRPr="00DF3951">
        <w:rPr>
          <w:rFonts w:ascii="Times New Roman" w:hAnsi="Times New Roman" w:cs="Times New Roman"/>
        </w:rPr>
        <w:t xml:space="preserve">Gospodarki Żywnościowej – Państwowy Instytut Badawczy w Warszawie, Instytut Zootechniki </w:t>
      </w:r>
      <w:r w:rsidRPr="00DF3951">
        <w:rPr>
          <w:rFonts w:ascii="Times New Roman" w:hAnsi="Times New Roman" w:cs="Times New Roman"/>
        </w:rPr>
        <w:sym w:font="Symbol" w:char="F02D"/>
      </w:r>
      <w:r w:rsidRPr="00DF3951">
        <w:rPr>
          <w:rFonts w:ascii="Times New Roman" w:hAnsi="Times New Roman" w:cs="Times New Roman"/>
        </w:rPr>
        <w:t xml:space="preserve"> Państwowy Instytut Badawczy w Krakowie oraz Instytut Uprawy Nawożenia </w:t>
      </w:r>
      <w:r>
        <w:rPr>
          <w:rFonts w:ascii="Times New Roman" w:hAnsi="Times New Roman" w:cs="Times New Roman"/>
        </w:rPr>
        <w:t>i </w:t>
      </w:r>
      <w:r w:rsidRPr="00DF3951">
        <w:rPr>
          <w:rFonts w:ascii="Times New Roman" w:hAnsi="Times New Roman" w:cs="Times New Roman"/>
        </w:rPr>
        <w:t xml:space="preserve">Gleboznawstwa </w:t>
      </w:r>
      <w:r w:rsidRPr="00DF3951">
        <w:rPr>
          <w:rFonts w:ascii="Times New Roman" w:hAnsi="Times New Roman" w:cs="Times New Roman"/>
        </w:rPr>
        <w:sym w:font="Symbol" w:char="F02D"/>
      </w:r>
      <w:r w:rsidRPr="00DF3951">
        <w:rPr>
          <w:rFonts w:ascii="Times New Roman" w:hAnsi="Times New Roman" w:cs="Times New Roman"/>
        </w:rPr>
        <w:t xml:space="preserve"> Państwowy Instytut Badawczy w Puławach, średnie zużycie oleju napędowego wykorzystywanego do produkcji rolnej na 1 ha użytków rolnych kształtuje się na poziomie 82</w:t>
      </w:r>
      <w:r w:rsidRPr="00DF3951">
        <w:rPr>
          <w:rFonts w:ascii="Times New Roman" w:hAnsi="Times New Roman" w:cs="Times New Roman"/>
        </w:rPr>
        <w:sym w:font="Symbol" w:char="F02D"/>
      </w:r>
      <w:r w:rsidRPr="00DF3951">
        <w:rPr>
          <w:rFonts w:ascii="Times New Roman" w:hAnsi="Times New Roman" w:cs="Times New Roman"/>
        </w:rPr>
        <w:t>138 litrów na ha. Natomiast średnie zużycie oleju napędowego wykorzystywanego do prac związany</w:t>
      </w:r>
      <w:r>
        <w:rPr>
          <w:rFonts w:ascii="Times New Roman" w:hAnsi="Times New Roman" w:cs="Times New Roman"/>
        </w:rPr>
        <w:t xml:space="preserve">ch z chowem lub hodowlą bydła w </w:t>
      </w:r>
      <w:r w:rsidRPr="00DF3951">
        <w:rPr>
          <w:rFonts w:ascii="Times New Roman" w:hAnsi="Times New Roman" w:cs="Times New Roman"/>
        </w:rPr>
        <w:t>przeliczeniu na 1 DJP kształtuje się na poziomie 30</w:t>
      </w:r>
      <w:r w:rsidRPr="00DF3951">
        <w:rPr>
          <w:rFonts w:ascii="Times New Roman" w:hAnsi="Times New Roman" w:cs="Times New Roman"/>
        </w:rPr>
        <w:sym w:font="Symbol" w:char="F02D"/>
      </w:r>
      <w:r w:rsidRPr="00DF3951">
        <w:rPr>
          <w:rFonts w:ascii="Times New Roman" w:hAnsi="Times New Roman" w:cs="Times New Roman"/>
        </w:rPr>
        <w:t xml:space="preserve">105 litrów. Dlatego w projekcie ustawy przyjęto zużycie oleju napędowego wykorzystywanego do produkcji rolnej </w:t>
      </w:r>
      <w:r>
        <w:rPr>
          <w:rFonts w:ascii="Times New Roman" w:hAnsi="Times New Roman" w:cs="Times New Roman"/>
        </w:rPr>
        <w:t>na poziomie 100 </w:t>
      </w:r>
      <w:r w:rsidRPr="00DF3951">
        <w:rPr>
          <w:rFonts w:ascii="Times New Roman" w:hAnsi="Times New Roman" w:cs="Times New Roman"/>
        </w:rPr>
        <w:t>litrów na 1 ha użytków rolnych oraz 30 litrów na 1 DJP bydła.</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W projekcie ustawy proponuje się nadanie nowego brzmienia ust. 2 w art. 4 ustawy. Zgodnie z nowym brzmieniem tego przepisu kwota zwrotu podatku ustalana będzie jako iloczyn ilości oleju napędowego zakupionego przez producenta rolnego, wynikającej z posiadanych przez niego faktur VAT, i stawki zwrotu podatku akcyzowego określonej na 1 litr oleju napędowego. Kwota zwrotu podatku akcyzowego będzie przysługiwała producentowi rolnemu w ramach rocznego limitu ustalonego dla użytków rolnych oraz w odniesieniu do DJP posia</w:t>
      </w:r>
      <w:r>
        <w:rPr>
          <w:rFonts w:ascii="Times New Roman" w:hAnsi="Times New Roman" w:cs="Times New Roman"/>
        </w:rPr>
        <w:t>danego w gospodarstwie bydła. W </w:t>
      </w:r>
      <w:r w:rsidRPr="00DF3951">
        <w:rPr>
          <w:rFonts w:ascii="Times New Roman" w:hAnsi="Times New Roman" w:cs="Times New Roman"/>
        </w:rPr>
        <w:t xml:space="preserve">przypadku rocznego limitu ustalanego dla powierzchni użytków rolnych wprowadzona zmiana polega na zwiększeniu limitu zużycia oleju napędowego wykorzystywanego do prac w gospodarstwie z 86 do 100 litrów na 1 ha użytków rolnych. Ponadto w art. 1 pkt 1 lit. a projektu wprowadzającego zmianę w art. 4 ust. 2 ustawy uregulowano sposób określenia limitu zużycia oleju napędowego w przypadku chowu lub hodowli bydła. Zgodnie z tym przepisem limit ustalany będzie jako kwota stanowiąca iloczyn stawki zwrotu podatku akcyzowego na 1 litr oleju napędowego oraz liczby 30, stanowiącej zużycie oleju napędowego do prac związanych z chowem lub hodowlą bydła oraz średniej rocznej liczby DJP bydła będącego w posiadaniu producenta rolnego w roku poprzedzającym rok złożenia wniosku o zwrot podatku </w:t>
      </w:r>
      <w:r w:rsidRPr="00DF3951">
        <w:rPr>
          <w:rFonts w:ascii="Times New Roman" w:hAnsi="Times New Roman" w:cs="Times New Roman"/>
        </w:rPr>
        <w:lastRenderedPageBreak/>
        <w:t>akcyzowego. Zatem producent rolny ubiegający się</w:t>
      </w:r>
      <w:r>
        <w:rPr>
          <w:rFonts w:ascii="Times New Roman" w:hAnsi="Times New Roman" w:cs="Times New Roman"/>
        </w:rPr>
        <w:t xml:space="preserve"> o zwrot podatku akcyzowego w </w:t>
      </w:r>
      <w:r w:rsidRPr="00DF3951">
        <w:rPr>
          <w:rFonts w:ascii="Times New Roman" w:hAnsi="Times New Roman" w:cs="Times New Roman"/>
        </w:rPr>
        <w:t>przypadku bydła będzie musiał określić we wniosku o zwrot podatku średnią roczną liczbę DJP bydła w swoim gospodarstwie. Będzie mógł określić ten stan na podstawie wystawionego przez kierownika powiatowego biura Agencji Restru</w:t>
      </w:r>
      <w:r>
        <w:rPr>
          <w:rFonts w:ascii="Times New Roman" w:hAnsi="Times New Roman" w:cs="Times New Roman"/>
        </w:rPr>
        <w:t>kturyzacji i </w:t>
      </w:r>
      <w:r w:rsidRPr="00DF3951">
        <w:rPr>
          <w:rFonts w:ascii="Times New Roman" w:hAnsi="Times New Roman" w:cs="Times New Roman"/>
        </w:rPr>
        <w:t>Modernizacji Rolnictwa dokumentu zawierającego informację o liczbie DJP bydła na koniec każdego miesiąca w roku poprzedzającym rok złożenia wniosku o zwrot podatku. Informacja ta będzie wydawana producentowi rolnemu na jego wniosek przez powiatowe biura Agencji Restrukturyzacji i Modernizacji Rolnictwa w podziale na poszczególne siedziby stada, zgodnie z danymi posiadanymi przez Agencję Restrukturyzacji i Modernizacji Rolnictwa w rejestrze zwierząt gospodarskich oznakowanych i uzyskanych na podstawie przepisów ust</w:t>
      </w:r>
      <w:r>
        <w:rPr>
          <w:rFonts w:ascii="Times New Roman" w:hAnsi="Times New Roman" w:cs="Times New Roman"/>
        </w:rPr>
        <w:t>awy z dnia 2 kwietnia 2004 r. o </w:t>
      </w:r>
      <w:r w:rsidRPr="00DF3951">
        <w:rPr>
          <w:rFonts w:ascii="Times New Roman" w:hAnsi="Times New Roman" w:cs="Times New Roman"/>
        </w:rPr>
        <w:t xml:space="preserve">systemie identyfikacji i rejestracji zwierząt (Dz. U. z 2017 r. poz. 546 oraz z 2018 r. poz. 1642). Przy określaniu wartości DJP, Agencja Restrukturyzacji i Modernizacji Rolnictwa do wyliczenia DJP będzie stosowała współczynniki przeliczeniowe sztuk bydła określone w załączniku do niniejszej ustawy. Współczynniki te zostały ustalone na podstawie grup technologicznych bydła, które Agencja </w:t>
      </w:r>
      <w:r>
        <w:rPr>
          <w:rFonts w:ascii="Times New Roman" w:hAnsi="Times New Roman" w:cs="Times New Roman"/>
        </w:rPr>
        <w:t>Restrukturyzacji i </w:t>
      </w:r>
      <w:r w:rsidRPr="00DF3951">
        <w:rPr>
          <w:rFonts w:ascii="Times New Roman" w:hAnsi="Times New Roman" w:cs="Times New Roman"/>
        </w:rPr>
        <w:t>Modernizacji Rolnictwa jest w stanie wyliczyć na podstawie systemu rejestracji zwierząt. Natomiast współczynniki przeliczenia sztuk rzeczywistych na DJP zostały opracowane przy wykorzystaniu współczynników zastosowanych w rozporządzeniu Rady Ministrów z dnia 5 czerwca 2018 r. w sprawie przyjęcia „Programu działań mających na celu zmniejszenie zanieczyszczenia wód azotanami pochodzącymi ze źródeł rolniczych oraz zapobieganie dalszemu zanieczyszczeniu” (Dz. U. poz.1339).</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W związku z koniecznością określenia przez producenta rolnego średniej rocznej liczby DJP bydła w swoim gospodarstwie, w art. 4 zmie</w:t>
      </w:r>
      <w:r>
        <w:rPr>
          <w:rFonts w:ascii="Times New Roman" w:hAnsi="Times New Roman" w:cs="Times New Roman"/>
        </w:rPr>
        <w:t>nianej ustawy dodano ust. 3a, w </w:t>
      </w:r>
      <w:r w:rsidRPr="00DF3951">
        <w:rPr>
          <w:rFonts w:ascii="Times New Roman" w:hAnsi="Times New Roman" w:cs="Times New Roman"/>
        </w:rPr>
        <w:t>którym określono sposób obliczania tej wartości.</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 xml:space="preserve">W art. 4 ust. 4 ustawy wprowadza się zmianę dotyczącą terminu określania przez Radę Ministrów stawki zwrotu podatku na 1 litr oleju napędowego na rok następny. Zgodnie z nowym brzmieniem tego ustępu Rada Ministrów będzie określała stawkę zwrotu podatku do dnia 31 grudnia, a nie jak dotychczas </w:t>
      </w:r>
      <w:r w:rsidRPr="00DF3951">
        <w:rPr>
          <w:rFonts w:ascii="Times New Roman" w:hAnsi="Times New Roman" w:cs="Times New Roman"/>
        </w:rPr>
        <w:sym w:font="Symbol" w:char="F02D"/>
      </w:r>
      <w:r w:rsidRPr="00DF3951">
        <w:rPr>
          <w:rFonts w:ascii="Times New Roman" w:hAnsi="Times New Roman" w:cs="Times New Roman"/>
        </w:rPr>
        <w:t xml:space="preserve"> do dnia 30 listopada, roku poprzedzającego rok, na który jest określana. Określając stawkę zwrotu podatku akcyzowego, Rada Ministrów nadal będzie miała na względzie projekt ustawy budżetowej na następny rok i obowiązującą stawkę podatku akcyzowego od oleju napędowego. Zmiana ta związana jest z krótkim obecnie czasem na procedowanie projektu rozporządzenia w sprawie stawki zwrotu</w:t>
      </w:r>
      <w:r>
        <w:rPr>
          <w:rFonts w:ascii="Times New Roman" w:hAnsi="Times New Roman" w:cs="Times New Roman"/>
        </w:rPr>
        <w:t xml:space="preserve"> podatku akcyzowego zawartego w </w:t>
      </w:r>
      <w:r w:rsidRPr="00DF3951">
        <w:rPr>
          <w:rFonts w:ascii="Times New Roman" w:hAnsi="Times New Roman" w:cs="Times New Roman"/>
        </w:rPr>
        <w:t>cenie oleju napędowego wykorzystywanego do produkcji rolnej na 1 litr oleju na rok następny, co wynika z term</w:t>
      </w:r>
      <w:r>
        <w:rPr>
          <w:rFonts w:ascii="Times New Roman" w:hAnsi="Times New Roman" w:cs="Times New Roman"/>
        </w:rPr>
        <w:t>inu, w jakim</w:t>
      </w:r>
      <w:r w:rsidRPr="00DF3951">
        <w:rPr>
          <w:rFonts w:ascii="Times New Roman" w:hAnsi="Times New Roman" w:cs="Times New Roman"/>
        </w:rPr>
        <w:t xml:space="preserve"> Komisja Europejska ogłasza kurs euro niezbędny do wyliczenia tej stawki. Kurs euro niezbędny do wyliczenia stawki zwrotu podatku określany jest na dzień 1 października danego roku, a jego publikacja następuje kilka dni później. Dlatego istnieje potrzeba przesunięcia tego terminu na późniejszy okres, co pozwoli na prowadzenie prac legislacyjnych w tym zakresie z zachowaniem obowiązujących terminów poszczególnych etapów legislacyjnych.</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 xml:space="preserve">W związku z wprowadzeniem możliwości zwrotu podatku akcyzowego zawartego </w:t>
      </w:r>
      <w:r>
        <w:rPr>
          <w:rFonts w:ascii="Times New Roman" w:hAnsi="Times New Roman" w:cs="Times New Roman"/>
        </w:rPr>
        <w:t>w </w:t>
      </w:r>
      <w:r w:rsidRPr="00DF3951">
        <w:rPr>
          <w:rFonts w:ascii="Times New Roman" w:hAnsi="Times New Roman" w:cs="Times New Roman"/>
        </w:rPr>
        <w:t>cenie paliwa zakupionego i wykorzystanego przy chowie lub hodowli bydła zmianie uległ również ust. 2 w art. 6 ustawy, w którym określa się co zawiera wniosek o zwrot podatku. Zmiana ta związana jest z wprowadzeniem konieczności określenia we wniosku średniej rocznej liczby DJP bydła będącego w posiadaniu producenta rolnego w roku poprzedzającym rok złożenia wniosku. Zatem producent rolny, składając wniosek o zwrot podatku akcyzowego, w przypadku ubiegania się również o zwrot tego podatku z tytułu posiadanego bydła, będzie obowiązany do podania we wniosku również informacji o średniej rocznej liczbie DJ</w:t>
      </w:r>
      <w:r>
        <w:rPr>
          <w:rFonts w:ascii="Times New Roman" w:hAnsi="Times New Roman" w:cs="Times New Roman"/>
        </w:rPr>
        <w:t>P bydła w swoim gospodarstwie w </w:t>
      </w:r>
      <w:r w:rsidRPr="00DF3951">
        <w:rPr>
          <w:rFonts w:ascii="Times New Roman" w:hAnsi="Times New Roman" w:cs="Times New Roman"/>
        </w:rPr>
        <w:t xml:space="preserve">poprzednim roku. Informację tę będzie podawał na podstawie uzyskanego z Agencji Restrukturyzacji i Modernizacji Rolnictwa dokumentu zawierającego informację w tym zakresie. </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 xml:space="preserve">W projekcie ustawy wprowadzono również zmiany w </w:t>
      </w:r>
      <w:r>
        <w:rPr>
          <w:rFonts w:ascii="Times New Roman" w:hAnsi="Times New Roman" w:cs="Times New Roman"/>
        </w:rPr>
        <w:t>art. 6 ust. 3 ustawy. Zgodnie z </w:t>
      </w:r>
      <w:r w:rsidRPr="00DF3951">
        <w:rPr>
          <w:rFonts w:ascii="Times New Roman" w:hAnsi="Times New Roman" w:cs="Times New Roman"/>
        </w:rPr>
        <w:t>nowym brzmieniem tego przepisu producent rolny ubiegający się o zwrot podatku akcyzowego z tytułu wykorzystania oleju napędowego w chowie lub hodowli bydła, obowiązany będzie do dołączenia do wniosku o zwrot podatku dokumentu wystawionego przez kierownika biura powiatowego Agencji</w:t>
      </w:r>
      <w:r>
        <w:rPr>
          <w:rFonts w:ascii="Times New Roman" w:hAnsi="Times New Roman" w:cs="Times New Roman"/>
        </w:rPr>
        <w:t xml:space="preserve"> Restrukturyzacji i </w:t>
      </w:r>
      <w:r w:rsidRPr="00DF3951">
        <w:rPr>
          <w:rFonts w:ascii="Times New Roman" w:hAnsi="Times New Roman" w:cs="Times New Roman"/>
        </w:rPr>
        <w:t>Modernizacji Rolnictwa o średniej rocznej liczbie DJP bydła w posiadanym gospodarstwie rolnym, ustalonej z uwzględnieniem wartości współczynników przeliczeniowych sztuk bydła na duże jednostki przeliczeniowe określonych</w:t>
      </w:r>
      <w:r>
        <w:rPr>
          <w:rFonts w:ascii="Times New Roman" w:hAnsi="Times New Roman" w:cs="Times New Roman"/>
        </w:rPr>
        <w:t xml:space="preserve"> w </w:t>
      </w:r>
      <w:r w:rsidRPr="00DF3951">
        <w:rPr>
          <w:rFonts w:ascii="Times New Roman" w:hAnsi="Times New Roman" w:cs="Times New Roman"/>
        </w:rPr>
        <w:t>załączniku do ustawy, według stanu na koniec każdego miesiąca roku poprzedzającego rok zł</w:t>
      </w:r>
      <w:r>
        <w:rPr>
          <w:rFonts w:ascii="Times New Roman" w:hAnsi="Times New Roman" w:cs="Times New Roman"/>
        </w:rPr>
        <w:t>ożenia wniosku o zwrot podatku.</w:t>
      </w:r>
      <w:r w:rsidRPr="00DF3951">
        <w:rPr>
          <w:rFonts w:ascii="Times New Roman" w:hAnsi="Times New Roman" w:cs="Times New Roman"/>
        </w:rPr>
        <w:t xml:space="preserve"> Informacja ta będzie sporządzona dla każdego stada bydła posiadanego przez producenta rolnego według siedziby tego stada, na podstawie informacji zawartych w rejestrze zwierząt gospodarskich oznakowanych prowadzonym przez Agencję</w:t>
      </w:r>
      <w:r>
        <w:rPr>
          <w:rFonts w:ascii="Times New Roman" w:hAnsi="Times New Roman" w:cs="Times New Roman"/>
        </w:rPr>
        <w:t xml:space="preserve"> Restrukturyzacji i </w:t>
      </w:r>
      <w:r w:rsidRPr="00DF3951">
        <w:rPr>
          <w:rFonts w:ascii="Times New Roman" w:hAnsi="Times New Roman" w:cs="Times New Roman"/>
        </w:rPr>
        <w:t>Modernizacji Rolnictwa. Powyższe wynika z konieczności udokumentowania posiadanej przez producenta rolnego średniej rocznej liczby DJP bydła w roku poprzedzającym rok, w którym został złożony wniosek o zwrot podatku, w celu obliczenia limitu zużycia oleju napędowego do 1 DJP bydła, w przypadku prowadzenia przez producenta rolnego chowu i hodowli bydła, do którego przysługuje zwrot części podatku akcyzowego zawartego w cenie paliwa zakupionego do tej produkcji.</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W związku z potrzebą wpisywania we wniosku informacji o średniej rocznej liczbie DJP bydła, dodano nowy ustęp w art. 6 (ust. 3a), w którym określono kompetencję dla kierownika powiatowego biura Agencji Restrukturyzacji i Modernizacji Rolnictwa do przygotowania i przekazania producentowi rolnemu, na jego wniosek, dokumentu zawierającego informację o średniej rocznej liczbie DJP bydła w jego gospodarstwie w</w:t>
      </w:r>
      <w:r>
        <w:rPr>
          <w:rFonts w:ascii="Times New Roman" w:hAnsi="Times New Roman" w:cs="Times New Roman"/>
        </w:rPr>
        <w:t> </w:t>
      </w:r>
      <w:r w:rsidRPr="00DF3951">
        <w:rPr>
          <w:rFonts w:ascii="Times New Roman" w:hAnsi="Times New Roman" w:cs="Times New Roman"/>
        </w:rPr>
        <w:t>ostatnim dniu każdego miesiąca roku poprzedzającego rok, w którym składany będzie wniosek o zwrot podatku akcyzowego.</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W art. 2 projektu zawarto przepis przejściowy, zgodnie z którym przepisy projektowanej ustawy nie będą miały zastosowania do postępowań w sprawach o zwrot podatku akcyzowego zawartego w cenie oleju napędowego wykorzystywanego do produkcji rolnej, wszczętych i niezakończonych do dnia wejścia w życie projektowanej ustawy. Zgodnie z ustawą producent rolny składa wniosek o zwrot podatku dwa razy do roku, tj. w lutym i sierpniu, dołączając faktury dokumentujące zakup oleju napędowego za okres sześciu miesięcy poprzedzających miesiąc złożenia wniosku. Natomiast zwrot podatku następuje zgodnie ze stawką na 1 litr oleju określoną przez Radę Ministrów na konkretny rok oraz limitem zużycia na jeden hektar użytków rolnych. Zatem przepis przejściowy ma na celu uregulowanie ewentualnie niezakończonych do końca 2018 r. postępowań w sprawie zwrotu podatku akcyzowego, wszczętych na podstawie wniosków złożonych zgodnie z obowiązującymi przepisami. Natomiast wszystkie postępowania o zwrot podatku akcyzowego wszczęte na podstawie wniosków złożonych od dnia 1 lutego 2019 r. będą rozpatrywane na podstawie przepisów znowelizowanej ustawy.</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Z uwagi na zmianę poziomu wydatków budżetu państwa w stosunku do wielkości wynikających z</w:t>
      </w:r>
      <w:r>
        <w:rPr>
          <w:rFonts w:ascii="Times New Roman" w:hAnsi="Times New Roman" w:cs="Times New Roman"/>
        </w:rPr>
        <w:t xml:space="preserve"> </w:t>
      </w:r>
      <w:r w:rsidRPr="00DF3951">
        <w:rPr>
          <w:rFonts w:ascii="Times New Roman" w:hAnsi="Times New Roman" w:cs="Times New Roman"/>
        </w:rPr>
        <w:t>obowiązujących przepisów ustawy, zgodnie z art. 50 ust. 1a, 4 i 5 ustawy z dnia 27 sierpnia 2009 r. o finansach publicznych (Dz. U. z 2017 r. poz.</w:t>
      </w:r>
      <w:r>
        <w:rPr>
          <w:rFonts w:ascii="Times New Roman" w:hAnsi="Times New Roman" w:cs="Times New Roman"/>
        </w:rPr>
        <w:t xml:space="preserve"> </w:t>
      </w:r>
      <w:r w:rsidRPr="00DF3951">
        <w:rPr>
          <w:rFonts w:ascii="Times New Roman" w:hAnsi="Times New Roman" w:cs="Times New Roman"/>
        </w:rPr>
        <w:t>2077, z</w:t>
      </w:r>
      <w:r>
        <w:rPr>
          <w:rFonts w:ascii="Times New Roman" w:hAnsi="Times New Roman" w:cs="Times New Roman"/>
        </w:rPr>
        <w:t> </w:t>
      </w:r>
      <w:r w:rsidRPr="00DF3951">
        <w:rPr>
          <w:rFonts w:ascii="Times New Roman" w:hAnsi="Times New Roman" w:cs="Times New Roman"/>
        </w:rPr>
        <w:t>późn. zm.), określono w art. 4 projektu ustawy maksymalny limit tych wydatków oddzielnie dla każdego roku. Ponadto w przepisie tym określono mechanizm korygujący, mający zastosowanie w przypadku przekroczenia lub zagrożenia przekroczenia przyjętego na dany rok budżetowy maks</w:t>
      </w:r>
      <w:r>
        <w:rPr>
          <w:rFonts w:ascii="Times New Roman" w:hAnsi="Times New Roman" w:cs="Times New Roman"/>
        </w:rPr>
        <w:t>ymalnego limitu wydatków, jak i </w:t>
      </w:r>
      <w:r w:rsidRPr="00DF3951">
        <w:rPr>
          <w:rFonts w:ascii="Times New Roman" w:hAnsi="Times New Roman" w:cs="Times New Roman"/>
        </w:rPr>
        <w:t>określono właściwy organ, który monitoruje wykorzystanie limitu wydatków na wykonywanie zadania publicznego przez jednostki sektora finansów publicznych oraz odpowiada za wdrożenie mechanizmów korygujących.</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 xml:space="preserve">Za monitorowanie wydatków na zwrot podatku akcyzowego zawartego w cenie oleju napędowego wykorzystywanego do produkcji rolnej jest odpowiedzialny minister właściwy do spraw rozwoju wsi. Zgodnie z obecnie obowiązującymi przepisami minister właściwy do spraw rozwoju wsi, na wniosek poszczególnych wojewodów, występuje do ministra właściwego do spraw finansów publicznych o przekazanie gminom za pośrednictwem wojewodów dotacji na postępowanie w sprawie zwrotu podatku akcyzowego i jego wypłatę producentom rolnym. </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A zatem, tak jak to ma miejsce obecnie, minister właściwy do spraw finansów publicznych, na wniosek ministra właściwego do spraw rozwoju wsi</w:t>
      </w:r>
      <w:r w:rsidR="00604A2C">
        <w:rPr>
          <w:rFonts w:ascii="Times New Roman" w:hAnsi="Times New Roman" w:cs="Times New Roman"/>
        </w:rPr>
        <w:t>,</w:t>
      </w:r>
      <w:r w:rsidRPr="00DF3951">
        <w:rPr>
          <w:rFonts w:ascii="Times New Roman" w:hAnsi="Times New Roman" w:cs="Times New Roman"/>
        </w:rPr>
        <w:t xml:space="preserve"> będzie przekazywał gminom za pośrednictwem wojewodów dotację na postę</w:t>
      </w:r>
      <w:r>
        <w:rPr>
          <w:rFonts w:ascii="Times New Roman" w:hAnsi="Times New Roman" w:cs="Times New Roman"/>
        </w:rPr>
        <w:t>powanie w </w:t>
      </w:r>
      <w:r w:rsidRPr="00DF3951">
        <w:rPr>
          <w:rFonts w:ascii="Times New Roman" w:hAnsi="Times New Roman" w:cs="Times New Roman"/>
        </w:rPr>
        <w:t>sprawie zwrotu podatku akcyzowego i jego wypłatę producentom rolnym.</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 xml:space="preserve">W przypadku złożenia przez wojewodów wniosków o zwrot podatku akcyzowego przekraczających limit dotacji zaplanowanej na ten cel, zostanie wprowadzony mechanizm korygujący, polegający na zmniejszeniu stawki zwrotu podatku akcyzowego zawartego w cenie oleju napędowego wykorzystywanego do produkcji rolnej w następnym roku. </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Podczas posiedzenia Stały Komitet Rady Ministrów uwzględnił stanowisko Ministra Rolnictwa i Rozwoju Wsi dotyczące zgłosz</w:t>
      </w:r>
      <w:r>
        <w:rPr>
          <w:rFonts w:ascii="Times New Roman" w:hAnsi="Times New Roman" w:cs="Times New Roman"/>
        </w:rPr>
        <w:t>onych do projektu ustawy uwag i </w:t>
      </w:r>
      <w:r w:rsidRPr="00DF3951">
        <w:rPr>
          <w:rFonts w:ascii="Times New Roman" w:hAnsi="Times New Roman" w:cs="Times New Roman"/>
        </w:rPr>
        <w:t xml:space="preserve">rekomendował projekt ustawy Radzie Ministrów. W związku z powyższym projekt ustawy został uzupełniony o regułę wydatkową oraz doprecyzowany pod względem legislacyjnym zgodnie z uwagami Rządowego Centrum Legislacji. </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Proponuje się, aby projektowana ustawa weszła w życie z dniem 1 stycznia 2019 r.</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 xml:space="preserve">Przedkładany projekt ustawy jest zgodny z prawem Unii Europejskiej. </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Zgodnie z dyrektywą Rady 2003/96/WE z dnia 27 października 2003 r. w sprawie restrukturyzacji wspólnotowych przepisów ramowych dotyczących opodatkowania produktów energetycznych i energii elektrycznej (Dz. Urz. U</w:t>
      </w:r>
      <w:r>
        <w:rPr>
          <w:rFonts w:ascii="Times New Roman" w:hAnsi="Times New Roman" w:cs="Times New Roman"/>
        </w:rPr>
        <w:t>E L 283 z 31.10.2003, z </w:t>
      </w:r>
      <w:r w:rsidRPr="00DF3951">
        <w:rPr>
          <w:rFonts w:ascii="Times New Roman" w:hAnsi="Times New Roman" w:cs="Times New Roman"/>
        </w:rPr>
        <w:t xml:space="preserve">późn. zm.) państwa członkowskie mogą stosować minimalną stawkę akcyzy do produktów energetycznych i elektryczności używanych w rolnictwie, ogrodnictwie, hodowli ryb i leśnictwie, w tym do olejów </w:t>
      </w:r>
      <w:r>
        <w:rPr>
          <w:rFonts w:ascii="Times New Roman" w:hAnsi="Times New Roman" w:cs="Times New Roman"/>
        </w:rPr>
        <w:t>napędowych oznaczonych kodem CN 2710 </w:t>
      </w:r>
      <w:r w:rsidRPr="00DF3951">
        <w:rPr>
          <w:rFonts w:ascii="Times New Roman" w:hAnsi="Times New Roman" w:cs="Times New Roman"/>
        </w:rPr>
        <w:t xml:space="preserve">19 41 do 2710 19 49, w wysokości 21 euro/1 000 l. Do ustalenia minimalnej stawki akcyzy stosuje się kurs euro ogłaszany na dzień 1 października każdego roku zgodnie z zawiadomieniem Komisji Europejskiej. </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 xml:space="preserve">Program pomocowy dotyczący zwrotu części podatku akcyzowego zawartego w cenie oleju napędowego wykorzystywanego do produkcji rolnej, który od 2015 r. udzielany jest na podstawie </w:t>
      </w:r>
      <w:r w:rsidRPr="00DF3951">
        <w:rPr>
          <w:rFonts w:ascii="Times New Roman" w:hAnsi="Times New Roman" w:cs="Times New Roman"/>
          <w:color w:val="000000"/>
        </w:rPr>
        <w:t>programu pomocowego nr SA.39937 (2014/X), został zgłoszony Komisji Europejskiej jako pomoc państwa zgodna z rozporządzeniem Komisji (UE) n</w:t>
      </w:r>
      <w:r>
        <w:rPr>
          <w:rFonts w:ascii="Times New Roman" w:hAnsi="Times New Roman" w:cs="Times New Roman"/>
          <w:color w:val="000000"/>
        </w:rPr>
        <w:t>r </w:t>
      </w:r>
      <w:r w:rsidRPr="00DF3951">
        <w:rPr>
          <w:rFonts w:ascii="Times New Roman" w:hAnsi="Times New Roman" w:cs="Times New Roman"/>
          <w:color w:val="000000"/>
        </w:rPr>
        <w:t>651/2014 z dnia 17 czerwca 2014 r. uznającego niek</w:t>
      </w:r>
      <w:r>
        <w:rPr>
          <w:rFonts w:ascii="Times New Roman" w:hAnsi="Times New Roman" w:cs="Times New Roman"/>
          <w:color w:val="000000"/>
        </w:rPr>
        <w:t>tóre rodzaje pomocy za zgodne z </w:t>
      </w:r>
      <w:r w:rsidRPr="00DF3951">
        <w:rPr>
          <w:rFonts w:ascii="Times New Roman" w:hAnsi="Times New Roman" w:cs="Times New Roman"/>
          <w:color w:val="000000"/>
        </w:rPr>
        <w:t xml:space="preserve">rynkiem wewnętrznym w zastosowaniu art. 107 i 108 Traktatu. Natomiast czas trwania pomocy w ramach programu nr SA.39937 (2014/X) obejmuje okres od </w:t>
      </w:r>
      <w:r>
        <w:rPr>
          <w:rFonts w:ascii="Times New Roman" w:hAnsi="Times New Roman" w:cs="Times New Roman"/>
          <w:color w:val="000000"/>
        </w:rPr>
        <w:t>dnia 1 </w:t>
      </w:r>
      <w:r w:rsidRPr="00DF3951">
        <w:rPr>
          <w:rFonts w:ascii="Times New Roman" w:hAnsi="Times New Roman" w:cs="Times New Roman"/>
          <w:color w:val="000000"/>
        </w:rPr>
        <w:t>stycznia 2015 r. do dnia 31 grudnia 2020 r., dlatego też Komisji Europejskiej zostaną zgłoszone zmiany w stosowanym programie pomocowym.</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Projekt ustawy nie zawiera norm technicznych w rozumieniu przepisów rozporządzenia Rady Ministrów z dnia 23 grudnia 2002 r. w sprawie sposobu funkcjonowania krajowego systemu notyfikacji norm i aktów prawnych (Dz. U. poz. 2039, z późn. zm.) i w związku z tym nie podlega obowiązkowi notyfikacji.</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eastAsia="Times New Roman" w:hAnsi="Times New Roman" w:cs="Times New Roman"/>
        </w:rPr>
        <w:t xml:space="preserve">Projekt ustawy został udostępniony w Biuletynie Informacji Publicznej na stronie podmiotowej Rządowego Centrum Legislacji </w:t>
      </w:r>
      <w:r w:rsidRPr="00DF3951">
        <w:rPr>
          <w:rFonts w:ascii="Times New Roman" w:eastAsia="Times New Roman" w:hAnsi="Times New Roman" w:cs="Times New Roman"/>
          <w:spacing w:val="7"/>
        </w:rPr>
        <w:t xml:space="preserve">w zakładce Rządowy Proces Legislacyjny w celu zgłaszania </w:t>
      </w:r>
      <w:r w:rsidRPr="00DF3951">
        <w:rPr>
          <w:rFonts w:ascii="Times New Roman" w:eastAsia="Times New Roman" w:hAnsi="Times New Roman" w:cs="Times New Roman"/>
          <w:spacing w:val="6"/>
        </w:rPr>
        <w:t xml:space="preserve">w trakcie trwania prac legislacyjnych zainteresowania w trybie przepisów ustawy </w:t>
      </w:r>
      <w:r w:rsidRPr="00DF3951">
        <w:rPr>
          <w:rFonts w:ascii="Times New Roman" w:eastAsia="Times New Roman" w:hAnsi="Times New Roman" w:cs="Times New Roman"/>
          <w:spacing w:val="7"/>
        </w:rPr>
        <w:t xml:space="preserve">z dnia 7 lipca 2005 r. o działalności lobbingowej w procesie stanowienia prawa </w:t>
      </w:r>
      <w:r w:rsidRPr="00DF3951">
        <w:rPr>
          <w:rFonts w:ascii="Times New Roman" w:eastAsia="Times New Roman" w:hAnsi="Times New Roman" w:cs="Times New Roman"/>
          <w:spacing w:val="-1"/>
        </w:rPr>
        <w:t xml:space="preserve">(Dz. U. </w:t>
      </w:r>
      <w:r w:rsidR="00604A2C">
        <w:rPr>
          <w:rFonts w:ascii="Times New Roman" w:eastAsia="Times New Roman" w:hAnsi="Times New Roman" w:cs="Times New Roman"/>
          <w:spacing w:val="-1"/>
        </w:rPr>
        <w:t>z</w:t>
      </w:r>
      <w:r w:rsidRPr="00DF3951">
        <w:rPr>
          <w:rFonts w:ascii="Times New Roman" w:eastAsia="Times New Roman" w:hAnsi="Times New Roman" w:cs="Times New Roman"/>
          <w:spacing w:val="-1"/>
        </w:rPr>
        <w:t xml:space="preserve"> 2017 r. poz. 248). </w:t>
      </w:r>
      <w:r w:rsidRPr="00DF3951">
        <w:rPr>
          <w:rFonts w:ascii="Times New Roman" w:eastAsia="Times New Roman" w:hAnsi="Times New Roman" w:cs="Times New Roman"/>
          <w:spacing w:val="1"/>
        </w:rPr>
        <w:t>Żaden podmiot nie zgłosił zainteresowania pracami nad projektem przedmiotowej ustawy</w:t>
      </w:r>
      <w:r>
        <w:rPr>
          <w:rFonts w:ascii="Times New Roman" w:eastAsia="Times New Roman" w:hAnsi="Times New Roman" w:cs="Times New Roman"/>
          <w:spacing w:val="-1"/>
        </w:rPr>
        <w:t xml:space="preserve"> w </w:t>
      </w:r>
      <w:r w:rsidRPr="00DF3951">
        <w:rPr>
          <w:rFonts w:ascii="Times New Roman" w:eastAsia="Times New Roman" w:hAnsi="Times New Roman" w:cs="Times New Roman"/>
          <w:spacing w:val="-1"/>
        </w:rPr>
        <w:t xml:space="preserve">trybie przepisów o działalności lobbingowej w procesie stanowienia </w:t>
      </w:r>
      <w:r w:rsidRPr="00DF3951">
        <w:rPr>
          <w:rFonts w:ascii="Times New Roman" w:eastAsia="Times New Roman" w:hAnsi="Times New Roman" w:cs="Times New Roman"/>
          <w:spacing w:val="-6"/>
        </w:rPr>
        <w:t>prawa.</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Wprowadzenie projektowanych przepisów będzie miało wpływ na działalność mikro przedsiębiorców oraz małych i średnich przedsiębiorców. Wprowadzenie zmian zaproponowanych w projekcie wpłynie na wzrost konkurencyjności polskich gospodarstw rolnych na rynku Unii Europejskiej, przez zmniejszenie kosztów produkcji rolnej.</w:t>
      </w:r>
    </w:p>
    <w:p w:rsidR="00DF3951" w:rsidRPr="00DF3951" w:rsidRDefault="00DF3951" w:rsidP="00DF3951">
      <w:pPr>
        <w:pStyle w:val="USTustnpkodeksu"/>
        <w:spacing w:before="120"/>
        <w:ind w:firstLine="0"/>
        <w:rPr>
          <w:rFonts w:ascii="Times New Roman" w:hAnsi="Times New Roman" w:cs="Times New Roman"/>
        </w:rPr>
      </w:pPr>
      <w:r w:rsidRPr="00DF3951">
        <w:rPr>
          <w:rFonts w:ascii="Times New Roman" w:hAnsi="Times New Roman" w:cs="Times New Roman"/>
        </w:rPr>
        <w:t xml:space="preserve">Projekt ustawy został uwzględniony w Wykazie Prac Legislacyjnych Rady Ministrów na 2018 r. pod numerem UD417. </w:t>
      </w:r>
    </w:p>
    <w:sectPr w:rsidR="00DF3951" w:rsidRPr="00DF3951" w:rsidSect="00DF3951">
      <w:footerReference w:type="default" r:id="rId6"/>
      <w:footnotePr>
        <w:numRestart w:val="eachSect"/>
      </w:footnotePr>
      <w:pgSz w:w="11906" w:h="16838" w:code="9"/>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951" w:rsidRDefault="00DF3951" w:rsidP="00DF3951">
      <w:pPr>
        <w:spacing w:line="240" w:lineRule="auto"/>
      </w:pPr>
      <w:r>
        <w:separator/>
      </w:r>
    </w:p>
  </w:endnote>
  <w:endnote w:type="continuationSeparator" w:id="0">
    <w:p w:rsidR="00DF3951" w:rsidRDefault="00DF3951" w:rsidP="00DF39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251383"/>
      <w:docPartObj>
        <w:docPartGallery w:val="Page Numbers (Bottom of Page)"/>
        <w:docPartUnique/>
      </w:docPartObj>
    </w:sdtPr>
    <w:sdtEndPr/>
    <w:sdtContent>
      <w:p w:rsidR="00DF3951" w:rsidRDefault="00DF3951">
        <w:pPr>
          <w:pStyle w:val="Stopka"/>
          <w:jc w:val="center"/>
        </w:pPr>
        <w:r>
          <w:fldChar w:fldCharType="begin"/>
        </w:r>
        <w:r>
          <w:instrText>PAGE   \* MERGEFORMAT</w:instrText>
        </w:r>
        <w:r>
          <w:fldChar w:fldCharType="separate"/>
        </w:r>
        <w:r w:rsidR="00AA64C6">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951" w:rsidRDefault="00DF3951" w:rsidP="00DF3951">
      <w:pPr>
        <w:spacing w:line="240" w:lineRule="auto"/>
      </w:pPr>
      <w:r>
        <w:separator/>
      </w:r>
    </w:p>
  </w:footnote>
  <w:footnote w:type="continuationSeparator" w:id="0">
    <w:p w:rsidR="00DF3951" w:rsidRDefault="00DF3951" w:rsidP="00DF39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951"/>
    <w:rsid w:val="00604A2C"/>
    <w:rsid w:val="009844A9"/>
    <w:rsid w:val="00AA64C6"/>
    <w:rsid w:val="00BD7CAA"/>
    <w:rsid w:val="00DF3951"/>
    <w:rsid w:val="00E52963"/>
    <w:rsid w:val="00F5231C"/>
    <w:rsid w:val="00FA6F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A5AF17-A947-411B-98D2-EFC8D183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F3951"/>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DF395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DF3951"/>
    <w:rPr>
      <w:rFonts w:ascii="Times" w:eastAsia="Times New Roman" w:hAnsi="Times" w:cs="Times New Roman"/>
      <w:kern w:val="1"/>
      <w:sz w:val="24"/>
      <w:szCs w:val="24"/>
      <w:lang w:eastAsia="ar-SA"/>
    </w:rPr>
  </w:style>
  <w:style w:type="paragraph" w:customStyle="1" w:styleId="USTustnpkodeksu">
    <w:name w:val="UST(§) – ust. (§ np. kodeksu)"/>
    <w:basedOn w:val="Normalny"/>
    <w:uiPriority w:val="12"/>
    <w:qFormat/>
    <w:rsid w:val="00DF3951"/>
    <w:pPr>
      <w:widowControl/>
      <w:suppressAutoHyphens/>
      <w:ind w:firstLine="510"/>
      <w:jc w:val="both"/>
    </w:pPr>
    <w:rPr>
      <w:rFonts w:ascii="Times" w:hAnsi="Times"/>
      <w:bCs/>
    </w:rPr>
  </w:style>
  <w:style w:type="paragraph" w:customStyle="1" w:styleId="TYTDZPRZEDMprzedmiotregulacjitytuulubdziau">
    <w:name w:val="TYT(DZ)_PRZEDM – przedmiot regulacji tytułu lub działu"/>
    <w:next w:val="Normalny"/>
    <w:uiPriority w:val="9"/>
    <w:qFormat/>
    <w:rsid w:val="00DF3951"/>
    <w:pPr>
      <w:keepNext/>
      <w:suppressAutoHyphens/>
      <w:spacing w:before="120" w:after="0" w:line="360" w:lineRule="auto"/>
      <w:jc w:val="center"/>
    </w:pPr>
    <w:rPr>
      <w:rFonts w:ascii="Times" w:eastAsia="Times New Roman" w:hAnsi="Times" w:cs="Times New Roman"/>
      <w:b/>
      <w:sz w:val="24"/>
      <w:szCs w:val="26"/>
      <w:lang w:eastAsia="pl-PL"/>
    </w:rPr>
  </w:style>
  <w:style w:type="paragraph" w:styleId="Stopka">
    <w:name w:val="footer"/>
    <w:basedOn w:val="Normalny"/>
    <w:link w:val="StopkaZnak"/>
    <w:uiPriority w:val="99"/>
    <w:unhideWhenUsed/>
    <w:rsid w:val="00DF3951"/>
    <w:pPr>
      <w:tabs>
        <w:tab w:val="center" w:pos="4536"/>
        <w:tab w:val="right" w:pos="9072"/>
      </w:tabs>
      <w:spacing w:line="240" w:lineRule="auto"/>
    </w:pPr>
  </w:style>
  <w:style w:type="character" w:customStyle="1" w:styleId="StopkaZnak">
    <w:name w:val="Stopka Znak"/>
    <w:basedOn w:val="Domylnaczcionkaakapitu"/>
    <w:link w:val="Stopka"/>
    <w:uiPriority w:val="99"/>
    <w:rsid w:val="00DF3951"/>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2437</Words>
  <Characters>14625</Characters>
  <Application>Microsoft Office Word</Application>
  <DocSecurity>0</DocSecurity>
  <Lines>121</Lines>
  <Paragraphs>34</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Trafisz Kinga</dc:creator>
  <cp:lastModifiedBy>Grażyna D. Grabowska</cp:lastModifiedBy>
  <cp:revision>2</cp:revision>
  <dcterms:created xsi:type="dcterms:W3CDTF">2018-10-17T08:53:00Z</dcterms:created>
  <dcterms:modified xsi:type="dcterms:W3CDTF">2018-10-17T08:53:00Z</dcterms:modified>
</cp:coreProperties>
</file>