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F0" w:rsidRPr="00144006" w:rsidRDefault="005C0AF0" w:rsidP="00C040DA">
      <w:pPr>
        <w:widowControl/>
        <w:autoSpaceDE/>
        <w:autoSpaceDN/>
        <w:adjustRightInd/>
      </w:pPr>
      <w:bookmarkStart w:id="0" w:name="_GoBack"/>
      <w:bookmarkEnd w:id="0"/>
    </w:p>
    <w:p w:rsidR="005C0AF0" w:rsidRPr="00DF4220" w:rsidRDefault="005C0AF0" w:rsidP="00DE56D7">
      <w:pPr>
        <w:jc w:val="center"/>
      </w:pPr>
      <w:r w:rsidRPr="00E663EA">
        <w:rPr>
          <w:rStyle w:val="Ppogrubienie"/>
        </w:rPr>
        <w:t>UZASADNIENIE</w:t>
      </w:r>
    </w:p>
    <w:p w:rsidR="005C0AF0" w:rsidRPr="00DF4220" w:rsidRDefault="005C0AF0" w:rsidP="005C0AF0"/>
    <w:p w:rsidR="005C0AF0" w:rsidRPr="00DF4220" w:rsidRDefault="005C0AF0" w:rsidP="005C0AF0">
      <w:pPr>
        <w:pStyle w:val="ZDANIENASTNOWYWIERSZnpzddrugienowywierszwust"/>
      </w:pPr>
    </w:p>
    <w:p w:rsidR="005C0AF0" w:rsidRPr="00E663EA" w:rsidRDefault="005C0AF0" w:rsidP="00DE56D7">
      <w:pPr>
        <w:pStyle w:val="ZDANIENASTNOWYWIERSZnpzddrugienowywierszwust"/>
        <w:numPr>
          <w:ilvl w:val="0"/>
          <w:numId w:val="1"/>
        </w:numPr>
        <w:ind w:hanging="720"/>
        <w:rPr>
          <w:rStyle w:val="Ppogrubienie"/>
        </w:rPr>
      </w:pPr>
      <w:r>
        <w:rPr>
          <w:rStyle w:val="Ppogrubienie"/>
        </w:rPr>
        <w:t>P</w:t>
      </w:r>
      <w:r w:rsidRPr="00E663EA">
        <w:rPr>
          <w:rStyle w:val="Ppogrubienie"/>
        </w:rPr>
        <w:t>otrzeb</w:t>
      </w:r>
      <w:r>
        <w:rPr>
          <w:rStyle w:val="Ppogrubienie"/>
        </w:rPr>
        <w:t>a</w:t>
      </w:r>
      <w:r w:rsidRPr="00E663EA">
        <w:rPr>
          <w:rStyle w:val="Ppogrubienie"/>
        </w:rPr>
        <w:t xml:space="preserve"> i cel wydania ustawy</w:t>
      </w:r>
    </w:p>
    <w:p w:rsidR="005C0AF0" w:rsidRDefault="005C0AF0" w:rsidP="005C0AF0">
      <w:pPr>
        <w:pStyle w:val="ZDANIENASTNOWYWIERSZnpzddrugienowywierszwust"/>
      </w:pPr>
      <w:r>
        <w:t>Celem przyjętej w 1999 r. reformy p</w:t>
      </w:r>
      <w:r w:rsidRPr="00F46E37">
        <w:t>olski</w:t>
      </w:r>
      <w:r>
        <w:t>ego</w:t>
      </w:r>
      <w:r w:rsidRPr="00F46E37">
        <w:t xml:space="preserve"> system</w:t>
      </w:r>
      <w:r>
        <w:t>u</w:t>
      </w:r>
      <w:r w:rsidRPr="00F46E37">
        <w:t xml:space="preserve"> emerytaln</w:t>
      </w:r>
      <w:r>
        <w:t>ego</w:t>
      </w:r>
      <w:r w:rsidRPr="00F46E37">
        <w:t xml:space="preserve"> </w:t>
      </w:r>
      <w:r>
        <w:t xml:space="preserve">było </w:t>
      </w:r>
      <w:r w:rsidRPr="00F46E37">
        <w:t>zapewni</w:t>
      </w:r>
      <w:r>
        <w:t>enie</w:t>
      </w:r>
      <w:r w:rsidRPr="00F46E37">
        <w:t xml:space="preserve"> maksymalne</w:t>
      </w:r>
      <w:r>
        <w:t>go</w:t>
      </w:r>
      <w:r w:rsidRPr="00F46E37">
        <w:t xml:space="preserve"> bezpieczeństw</w:t>
      </w:r>
      <w:r>
        <w:t>a</w:t>
      </w:r>
      <w:r w:rsidRPr="00F46E37">
        <w:t xml:space="preserve"> jego uczestników, przez dywersyfikację źródeł pochodzenia emerytur. </w:t>
      </w:r>
      <w:r>
        <w:t xml:space="preserve">W efekcie przekształceń tego systemu istotnej modyfikacji uległ jego II filar - kapitałowy. Zmiany wprowadzone ustawą </w:t>
      </w:r>
      <w:r w:rsidRPr="00F46E37">
        <w:t>z dnia 6 grudnia 2013 r.</w:t>
      </w:r>
      <w:r>
        <w:t xml:space="preserve"> </w:t>
      </w:r>
      <w:r w:rsidRPr="00F46E37">
        <w:t>o zmianie niektórych ustaw w związku z określeniem zasad wypłaty emerytur ze środków zgromadzonych</w:t>
      </w:r>
      <w:r>
        <w:t xml:space="preserve"> </w:t>
      </w:r>
      <w:r w:rsidRPr="00F46E37">
        <w:t>w otwartych funduszach emerytalnyc</w:t>
      </w:r>
      <w:r>
        <w:t xml:space="preserve">h (Dz. U. poz. 1717) zniosły obowiązkowe uczestnictwo w tym filarze, obniżyły udział składki przekazywany do otwartego funduszu emerytalnego oraz dokonały znaczącego obniżenia aktywów OFE poprzez umorzenie 51,5% wartości jednostek rozrachunkowych znajdujących się na rachunku każdego członka OFE i zastąpienie ich zapisami, o takiej samej początkowej wartości, na indywidualnych kontach w FUS. W efekcie tych zmian znaczenie II filaru systemu emerytalnego uległo istotnemu zmniejszeniu. </w:t>
      </w:r>
    </w:p>
    <w:p w:rsidR="005C0AF0" w:rsidRDefault="005C0AF0" w:rsidP="005C0AF0">
      <w:pPr>
        <w:pStyle w:val="USTustnpkodeksu"/>
        <w:ind w:firstLine="0"/>
      </w:pPr>
      <w:r>
        <w:t>Powyższe nie oznacza, że gromadzenie kapitału emerytalnego na rachunkach w otwartych funduszy emerytalnych nie ma znaczenia dla wysokości przyszłych emerytur. Nawet ograniczone kwotowo transfery składek na rachunki OFE, przy właściwej polityce funduszy, mogą zwiększyć wysokość przyszłych emerytur. Tymczasem, jeszcze w grudniu</w:t>
      </w:r>
      <w:r w:rsidRPr="00506DF9">
        <w:t xml:space="preserve"> 2016 roku Rada Ministrów </w:t>
      </w:r>
      <w:r>
        <w:t xml:space="preserve">w ramach </w:t>
      </w:r>
      <w:r w:rsidRPr="00506DF9">
        <w:t>przegląd</w:t>
      </w:r>
      <w:r>
        <w:t>u</w:t>
      </w:r>
      <w:r w:rsidRPr="00506DF9">
        <w:t xml:space="preserve"> systemu emerytalnego wskaza</w:t>
      </w:r>
      <w:r>
        <w:t>ła</w:t>
      </w:r>
      <w:r w:rsidRPr="00506DF9">
        <w:t xml:space="preserve"> </w:t>
      </w:r>
      <w:r>
        <w:t xml:space="preserve">na </w:t>
      </w:r>
      <w:r w:rsidRPr="00506DF9">
        <w:t>możliw</w:t>
      </w:r>
      <w:r>
        <w:t>ą</w:t>
      </w:r>
      <w:r w:rsidRPr="00506DF9">
        <w:t xml:space="preserve"> zmian</w:t>
      </w:r>
      <w:r>
        <w:t>ę</w:t>
      </w:r>
      <w:r w:rsidRPr="00506DF9">
        <w:t xml:space="preserve"> polegając</w:t>
      </w:r>
      <w:r>
        <w:t>ą</w:t>
      </w:r>
      <w:r w:rsidRPr="00506DF9">
        <w:t xml:space="preserve"> na przekształceniu OFE w fundusze inwestycyjne polskich akcji, które w ramach Indywidualnych Kont Emerytalnych zarządzałyby 75% aktywów przekazanych z OFE. Pozostałe 25% środków z OFE miałoby zostać przekazane do Funduszu Rezerwy Demograficznej.</w:t>
      </w:r>
      <w:r>
        <w:t xml:space="preserve"> Taki kierunek zmian należy ocenić jako błędny i zaprzeczający pierwotnej idei reformy z 1999 r. Zmiana polegająca na zastąpieniu jednego podmiotu inwestycyjnego drugim i przekazanie 1/4 środków z OFE na Fundusz Rezerwy Demograficznej to w istocie częściowe "znacjonalizowanie" środków pozostających na rachunkach członków OFE. Zamiast likwidować OFE i odbierać środki zgromadzone z inwestowania kapitałowego należy - uwzględniając ich szczególny charakter - wprowadzić do ustawodawstwa przepisy zapewniające ich ochronę przed instrumentalnym wykorzystywaniem do poprawy bieżącego stanu finansów publicznych lub funduszy przeznaczanych na bieżące wypłaty emerytur.</w:t>
      </w:r>
    </w:p>
    <w:p w:rsidR="005C0AF0" w:rsidRPr="00D13EA5" w:rsidRDefault="005C0AF0" w:rsidP="005C0AF0">
      <w:pPr>
        <w:pStyle w:val="USTustnpkodeksu"/>
        <w:ind w:firstLine="0"/>
      </w:pPr>
      <w:r>
        <w:lastRenderedPageBreak/>
        <w:t xml:space="preserve">Dlatego też, proponuje się wprowadzić do ustawy </w:t>
      </w:r>
      <w:r w:rsidRPr="00A810F5">
        <w:t>z dnia 28 sierpnia 1997 r. o organizacji i funkcjonowaniu funduszy emerytalnych</w:t>
      </w:r>
      <w:r>
        <w:t xml:space="preserve"> nowe przepisy jednoznacznie przesądzające, że środki pozostające na rachunkach członków funduszy emerytalnych nie mają charakteru środków publicznych w rozumieniu przepisów o finansach publicznych i co za tym idzie nie mogą być przedmiotem żadnych operacji finansowych skutkujących ich uszczupleniem.</w:t>
      </w:r>
    </w:p>
    <w:p w:rsidR="005C0AF0" w:rsidRPr="00F46E37" w:rsidRDefault="005C0AF0" w:rsidP="005C0AF0">
      <w:pPr>
        <w:pStyle w:val="ZDANIENASTNOWYWIERSZnpzddrugienowywierszwust"/>
      </w:pPr>
    </w:p>
    <w:p w:rsidR="005C0AF0" w:rsidRDefault="005C0AF0" w:rsidP="005C0AF0">
      <w:pPr>
        <w:pStyle w:val="ZDANIENASTNOWYWIERSZnpzddrugienowywierszwust"/>
        <w:rPr>
          <w:rStyle w:val="Ppogrubienie"/>
        </w:rPr>
      </w:pPr>
      <w:r w:rsidRPr="00E663EA">
        <w:rPr>
          <w:rStyle w:val="Ppogrubienie"/>
        </w:rPr>
        <w:t xml:space="preserve">2. Przedstawienie rzeczywistego stanu w dziedzinie, która ma być unormowana oraz </w:t>
      </w:r>
      <w:r>
        <w:rPr>
          <w:rStyle w:val="Ppogrubienie"/>
        </w:rPr>
        <w:t>r</w:t>
      </w:r>
      <w:r w:rsidRPr="00E663EA">
        <w:rPr>
          <w:rStyle w:val="Ppogrubienie"/>
        </w:rPr>
        <w:t>óżnice pomiędzy dotychczasowym a projektowanym stanem prawnym</w:t>
      </w:r>
    </w:p>
    <w:p w:rsidR="005C0AF0" w:rsidRDefault="005C0AF0" w:rsidP="005C0AF0">
      <w:pPr>
        <w:pStyle w:val="ZDANIENASTNOWYWIERSZnpzddrugienowywierszwust"/>
      </w:pPr>
    </w:p>
    <w:p w:rsidR="005C0AF0" w:rsidRDefault="005C0AF0" w:rsidP="005C0AF0">
      <w:pPr>
        <w:pStyle w:val="ZDANIENASTNOWYWIERSZnpzddrugienowywierszwust"/>
      </w:pPr>
      <w:r>
        <w:t>Charakter środków zgromadzonych na rachunkach OFE od początku budził spory i kontrowersje, zarówno w dyskusji prawniczej jak i debacie publicznej. Na gruncie rozstrzygnięć prawnych</w:t>
      </w:r>
      <w:r w:rsidRPr="007A2FA8">
        <w:t xml:space="preserve"> przeważyła</w:t>
      </w:r>
      <w:r>
        <w:t xml:space="preserve"> w nich teza, że mają one charakter publiczny. </w:t>
      </w:r>
      <w:r w:rsidRPr="00F61B45">
        <w:t xml:space="preserve">W uzasadnieniu do wyroku Sądu Najwyższego z dnia 4 czerwca 2008 r. (sygn. akt II UK 12/08) stwierdzono, że składki na ubezpieczenie emerytalne odprowadzane do OFE nie są prywatną własnością poszczególnych członków OFE, a pochodzą z podziału składki przekazanej ZUS i przeliczone na jednostki rozrachunkowe stanowią podstawę nabycia przez członków OFE uprawnień cząstkowych do przyszłych emerytur. </w:t>
      </w:r>
      <w:r>
        <w:t xml:space="preserve">Z kolei </w:t>
      </w:r>
      <w:r w:rsidRPr="007A2FA8">
        <w:t>w wyroku z dnia 8 kwietnia 2009 r., sygn. II UK 346/08</w:t>
      </w:r>
      <w:r w:rsidRPr="00F61B45">
        <w:t xml:space="preserve"> </w:t>
      </w:r>
      <w:r>
        <w:t xml:space="preserve">SN </w:t>
      </w:r>
      <w:r w:rsidRPr="00F61B45">
        <w:t>podkreślił tezę o publicznym charakterze środków gromadzonych w OFE, zaznaczając, iż składka emerytalna zachowuje swój publicznoprawny ubezpieczeniowy charakter po przekazaniu przez ZUS jej części do OFE, z uwagi na jej przeznaczenie na utworzenie ogólnego funduszu emerytalnego, z którego prawo do świadczeń czerpią ci ubezpieczeni, którym ziści się określone ryzyko socjalne, w pewnej proporcji do wcześniej opłacanych składek.</w:t>
      </w:r>
      <w:r>
        <w:t xml:space="preserve"> </w:t>
      </w:r>
    </w:p>
    <w:p w:rsidR="005C0AF0" w:rsidRPr="007A2FA8" w:rsidRDefault="005C0AF0" w:rsidP="005C0AF0">
      <w:pPr>
        <w:pStyle w:val="ZDANIENASTNOWYWIERSZnpzddrugienowywierszwust"/>
      </w:pPr>
      <w:r>
        <w:t xml:space="preserve">Podobnie </w:t>
      </w:r>
      <w:r w:rsidRPr="007A2FA8">
        <w:t>Trybunał Konstytucyjny</w:t>
      </w:r>
      <w:r>
        <w:t xml:space="preserve"> w wyroku </w:t>
      </w:r>
      <w:r w:rsidRPr="007A2FA8">
        <w:t>z dnia 4 listopada 2015 r.</w:t>
      </w:r>
      <w:r>
        <w:t xml:space="preserve"> </w:t>
      </w:r>
      <w:r w:rsidRPr="007A2FA8">
        <w:t xml:space="preserve">Sygn. akt K 1/14 stwierdził, że </w:t>
      </w:r>
      <w:r>
        <w:t>"</w:t>
      </w:r>
      <w:r w:rsidRPr="007A2FA8">
        <w:t xml:space="preserve">składka emerytalna (w części opłacanej przez ubezpieczonego) – chociaż stanowi część prawa majątkowego pracownika do wynagrodzenia brutto, a w sensie ekonomicznym zalicza się do jego przychodu – jest, podobnie jak podatek dochodowy, ciężarem publicznym w rozumieniu art. 84 Konstytucji, a jednocześnie daniną publiczną w rozumieniu art. 217 Konstytucji. Ma ona charakter przymusowego, generalnie bezzwrotnego i powszechnego świadczenia pieniężnego, stanowiącego dochód państwowego funduszu celowego, jakim jest FUS. Jest nakładana jednostronnie (władczo) przez organ wykonujący zadania publiczne i służy wypełnianiu zadań publicznych wynikających z Konstytucji i ustaw </w:t>
      </w:r>
      <w:r w:rsidRPr="007A2FA8">
        <w:lastRenderedPageBreak/>
        <w:t>– w tym wypadku urzeczywistniania konstytucyjnego prawa do zabezpieczenia społecznego, o którym mowa w art. 67 ust. 1 Konstytucji.</w:t>
      </w:r>
      <w:r>
        <w:t>"</w:t>
      </w:r>
      <w:r w:rsidRPr="007A2FA8">
        <w:t xml:space="preserve"> </w:t>
      </w:r>
    </w:p>
    <w:p w:rsidR="005C0AF0" w:rsidRDefault="005C0AF0" w:rsidP="005C0AF0">
      <w:pPr>
        <w:pStyle w:val="ZDANIENASTNOWYWIERSZnpzddrugienowywierszwust"/>
      </w:pPr>
      <w:r>
        <w:t>Uznając, że na gruncie obecnie obowiązujących przepisów tezy powyższe są uzasadnione, nie można jednocześnie stwierdzić</w:t>
      </w:r>
      <w:r w:rsidRPr="00F61B45">
        <w:t>, iż ustawodawca ma pełn</w:t>
      </w:r>
      <w:r>
        <w:t>ą</w:t>
      </w:r>
      <w:r w:rsidRPr="00F61B45">
        <w:t xml:space="preserve"> swobod</w:t>
      </w:r>
      <w:r>
        <w:t>ę</w:t>
      </w:r>
      <w:r w:rsidRPr="00F61B45">
        <w:t xml:space="preserve"> co do ich przeznaczenia i sposobu zarządzania nimi. </w:t>
      </w:r>
      <w:r>
        <w:t>Przyjmując zgodnie z poglądem Trybunału Konstytucyjnego, że p</w:t>
      </w:r>
      <w:r w:rsidRPr="00F61B45">
        <w:t>ochodzą one z prywatnego źród</w:t>
      </w:r>
      <w:r>
        <w:t>ła, jakim jest wynagrodzenie (przy</w:t>
      </w:r>
      <w:r w:rsidRPr="00F61B45">
        <w:t>chód) ubezpieczonego i są przeznaczone na sfinansowanie części jego emerytury</w:t>
      </w:r>
      <w:r>
        <w:t xml:space="preserve">, właściwa jest konkluzja, że to co zostało już przekazane na rachunek członka OFE i przeliczone na jednostki rozrachunkowe powinno tracić charakter środka publicznego. Pogląd o publicznym charakterze składki na ubezpieczenie społeczne w żadnym przypadku nie może usprawiedliwiać regulacji ustawowej, wskutek której "wypracowane" w drugim filarze środki ubezpieczonego uległyby nominalnemu obniżeniu z mocy ustawy, jak dopuszczono to w dokumencie Rady Ministrów z grudnia 2016 r. Z całą pewnością byłoby to jaskrawe naruszenie art. 67 ust. 1 Konstytucji, ale też zasad demokratycznego państwa prawnego takich jak zasada ochrony praw nabytych, czy zaufania do państwa i stanowionego przez nie prawa. </w:t>
      </w:r>
    </w:p>
    <w:p w:rsidR="005C0AF0" w:rsidRDefault="005C0AF0" w:rsidP="005C0AF0">
      <w:pPr>
        <w:pStyle w:val="ZDANIENASTNOWYWIERSZnpzddrugienowywierszwust"/>
      </w:pPr>
      <w:r>
        <w:t>Proponuje się wprowadzenie do ustawy o</w:t>
      </w:r>
      <w:r w:rsidRPr="00502B07">
        <w:t xml:space="preserve"> organizacji i funkcjonowaniu funduszy emerytalnych</w:t>
      </w:r>
      <w:r>
        <w:t xml:space="preserve"> przepisów, które wprost zakazywałyby ingerencji w wartość aktywów przeliczonych na jednostki rozrachunkowe. Wprowadzona w dodawanym art. 6a zasada, że środki zgromadzone na rachunku członka funduszu nie są środkami publicznymi w rozumieniu przepisów o finansach publicznych wprost wyłączy taką możliwość. Dodatkowo zasada ta będzie uszczegółowiona w nowym art. 99a gwarantującym, że w</w:t>
      </w:r>
      <w:r w:rsidRPr="00E75C4E">
        <w:t>artość jednostek rozrachunkowych znajdujących się na rachunku członka funduszu nie może być obniżona poprzez ich umorzenie, przekazanie do innego podmiotu lub przekształcenie w inny instrument finansowy</w:t>
      </w:r>
      <w:r>
        <w:t>. Jednocześnie należy podkreślić, że wprowadzenie do ustawy proponowanych zmian nie oznacza zniesienia ograniczeń w dysponowaniu przez członka funduszu środkami na rachunku w OFE. Ograniczenia te będą nadal wynikały z przepisów nowelizowanej ustawy, jak i przepisów szczególnych zawartych w ustawach z zakresu ubezpieczenia społecznego.</w:t>
      </w:r>
    </w:p>
    <w:p w:rsidR="005C0AF0" w:rsidRDefault="005C0AF0" w:rsidP="005C0AF0">
      <w:pPr>
        <w:pStyle w:val="ZDANIENASTNOWYWIERSZnpzddrugienowywierszwust"/>
      </w:pPr>
    </w:p>
    <w:p w:rsidR="005C0AF0" w:rsidRPr="006854B0" w:rsidRDefault="005C0AF0" w:rsidP="005C0AF0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3</w:t>
      </w:r>
      <w:r w:rsidRPr="006854B0">
        <w:rPr>
          <w:rStyle w:val="Ppogrubienie"/>
        </w:rPr>
        <w:t>. Skutki społeczne, gospodarcze, finansowe i prawne</w:t>
      </w:r>
    </w:p>
    <w:p w:rsidR="005C0AF0" w:rsidRDefault="005C0AF0" w:rsidP="005C0AF0">
      <w:pPr>
        <w:pStyle w:val="ZDANIENASTNOWYWIERSZnpzddrugienowywierszwust"/>
      </w:pPr>
    </w:p>
    <w:p w:rsidR="005C0AF0" w:rsidRDefault="005C0AF0" w:rsidP="005C0AF0">
      <w:pPr>
        <w:pStyle w:val="ZDANIENASTNOWYWIERSZnpzddrugienowywierszwust"/>
      </w:pPr>
      <w:r w:rsidRPr="00DF4220">
        <w:t>Ustawa będzie miała</w:t>
      </w:r>
      <w:r>
        <w:t xml:space="preserve"> pośrednie</w:t>
      </w:r>
      <w:r w:rsidRPr="00DF4220">
        <w:t xml:space="preserve"> pozytywne skutki społeczne</w:t>
      </w:r>
      <w:r>
        <w:t xml:space="preserve">, gospodarcze i finansowe. Społecznymi skutkami ustawy będzie wzrost zaufania do systemu emerytalnego w drugim filarze i wzrost aktywnego zaangażowania. Aktywni członkowie funduszy emerytalnych   </w:t>
      </w:r>
      <w:r>
        <w:lastRenderedPageBreak/>
        <w:t xml:space="preserve">uzyskają gwarancję skutecznego długookresowego inwestowania posiadanych na rachunkach OFE środków, co przełoży się na potencjalne podwyższenie konkretnych emerytur kapitałowych. </w:t>
      </w:r>
    </w:p>
    <w:p w:rsidR="005C0AF0" w:rsidRPr="00DF4220" w:rsidRDefault="005C0AF0" w:rsidP="005C0AF0">
      <w:pPr>
        <w:pStyle w:val="ZDANIENASTNOWYWIERSZnpzddrugienowywierszwust"/>
      </w:pPr>
      <w:r>
        <w:t xml:space="preserve">Pośrednim skutkiem ustawy będzie ustabilizowanie sytuacji otwartych funduszy emerytalnych, co pozytywnie wpłynie na rynek publicznego obrotu papierami wartościowymi i polepszy warunki inwestowania w podmioty rynku giełdowego, co wpłynie korzystnie na rozwój gospodarki i zwiększy wpływy podatkowe budżetu państwa. </w:t>
      </w:r>
    </w:p>
    <w:p w:rsidR="005C0AF0" w:rsidRDefault="005C0AF0" w:rsidP="005C0AF0">
      <w:pPr>
        <w:pStyle w:val="ZDANIENASTNOWYWIERSZnpzddrugienowywierszwust"/>
      </w:pPr>
      <w:r>
        <w:t xml:space="preserve">Wejście w życie ustawy nie pociągnie za sobą bezpośrednich skutków prawnych. Przepisy zawarte w projekcie nie przewidują wydania aktów wykonawczych do ustawy. </w:t>
      </w:r>
    </w:p>
    <w:p w:rsidR="005C0AF0" w:rsidRPr="006854B0" w:rsidRDefault="005C0AF0" w:rsidP="005C0AF0">
      <w:pPr>
        <w:pStyle w:val="ZDANIENASTNOWYWIERSZnpzddrugienowywierszwust"/>
      </w:pPr>
      <w:r w:rsidRPr="006854B0">
        <w:t>Proponuje się, aby ustawa weszła w życie po upływie 14 od dnia ogłoszenia.</w:t>
      </w:r>
    </w:p>
    <w:p w:rsidR="005C0AF0" w:rsidRPr="00DF4220" w:rsidRDefault="005C0AF0" w:rsidP="005C0AF0">
      <w:pPr>
        <w:pStyle w:val="ZDANIENASTNOWYWIERSZnpzddrugienowywierszwust"/>
      </w:pPr>
    </w:p>
    <w:p w:rsidR="005C0AF0" w:rsidRPr="006854B0" w:rsidRDefault="005C0AF0" w:rsidP="005C0AF0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>4</w:t>
      </w:r>
      <w:r w:rsidRPr="006854B0">
        <w:rPr>
          <w:rStyle w:val="Ppogrubienie"/>
        </w:rPr>
        <w:t>. Obciążenie finansowe budżetu państwa i budżetów jednostek samorządu terytorialnego.</w:t>
      </w:r>
    </w:p>
    <w:p w:rsidR="005C0AF0" w:rsidRPr="006854B0" w:rsidRDefault="005C0AF0" w:rsidP="005C0AF0">
      <w:pPr>
        <w:pStyle w:val="ZDANIENASTNOWYWIERSZnpzddrugienowywierszwust"/>
      </w:pPr>
      <w:r w:rsidRPr="006854B0">
        <w:t>Projekt nie pociąga za sobą obciążenia finansowego budżetu państwa i budżetów jednostek samorządu terytorialnego.</w:t>
      </w:r>
    </w:p>
    <w:p w:rsidR="005C0AF0" w:rsidRPr="00DF4220" w:rsidRDefault="005C0AF0" w:rsidP="005C0AF0">
      <w:pPr>
        <w:pStyle w:val="ZDANIENASTNOWYWIERSZnpzddrugienowywierszwust"/>
      </w:pPr>
    </w:p>
    <w:p w:rsidR="005C0AF0" w:rsidRPr="006854B0" w:rsidRDefault="005C0AF0" w:rsidP="005C0AF0">
      <w:pPr>
        <w:pStyle w:val="Tekstpodstawowy2"/>
        <w:rPr>
          <w:rStyle w:val="Ppogrubienie"/>
        </w:rPr>
      </w:pPr>
      <w:r>
        <w:rPr>
          <w:rStyle w:val="Ppogrubienie"/>
        </w:rPr>
        <w:t>5</w:t>
      </w:r>
      <w:r w:rsidRPr="006854B0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854B0">
        <w:rPr>
          <w:rStyle w:val="Ppogrubienie"/>
        </w:rPr>
        <w:t xml:space="preserve">Projekt jest </w:t>
      </w:r>
      <w:r>
        <w:rPr>
          <w:rStyle w:val="Ppogrubienie"/>
        </w:rPr>
        <w:t xml:space="preserve">zgodny z </w:t>
      </w:r>
      <w:r w:rsidRPr="006854B0">
        <w:rPr>
          <w:rStyle w:val="Ppogrubienie"/>
        </w:rPr>
        <w:t>prawem Unii Europejskiej.</w:t>
      </w:r>
    </w:p>
    <w:p w:rsidR="005C0AF0" w:rsidRPr="006A1B7B" w:rsidRDefault="005C0AF0" w:rsidP="00620F01">
      <w:pPr>
        <w:pStyle w:val="Tekstpodstawowy"/>
        <w:jc w:val="both"/>
        <w:rPr>
          <w:rStyle w:val="Ppogrubienie"/>
        </w:rPr>
      </w:pPr>
      <w:r>
        <w:rPr>
          <w:rStyle w:val="Ppogrubienie"/>
        </w:rPr>
        <w:t>6.</w:t>
      </w:r>
      <w:r w:rsidRPr="006A1B7B">
        <w:rPr>
          <w:rStyle w:val="Ppogrubienie"/>
        </w:rPr>
        <w:t xml:space="preserve"> Projekt ustawy nie zawiera przepisów technicznych w rozumieniu rozporządzenia Rady Ministrów z dnia 23 grudnia 2002 r. w sprawie funkcjonowania krajowego systemu notyfikacji norm i aktów prawnych (Dz. U. poz. 2039 oraz z 2004 r. poz. 597), w związku z tym nie podlega notyfikacji.</w:t>
      </w:r>
    </w:p>
    <w:p w:rsidR="005C0AF0" w:rsidRDefault="005C0AF0" w:rsidP="005C0AF0">
      <w:pPr>
        <w:pStyle w:val="ZDANIENASTNOWYWIERSZnpzddrugienowywierszwust"/>
        <w:rPr>
          <w:rStyle w:val="Ppogrubienie"/>
        </w:rPr>
      </w:pPr>
    </w:p>
    <w:p w:rsidR="005C0AF0" w:rsidRPr="006854B0" w:rsidRDefault="005C0AF0" w:rsidP="005C0AF0">
      <w:pPr>
        <w:pStyle w:val="ZDANIENASTNOWYWIERSZnpzddrugienowywierszwust"/>
        <w:rPr>
          <w:rStyle w:val="Ppogrubienie"/>
        </w:rPr>
      </w:pPr>
      <w:r>
        <w:rPr>
          <w:rStyle w:val="Ppogrubienie"/>
        </w:rPr>
        <w:t xml:space="preserve">7. </w:t>
      </w:r>
      <w:r w:rsidRPr="006854B0">
        <w:rPr>
          <w:rStyle w:val="Ppogrubienie"/>
        </w:rPr>
        <w:t>Projekt ustawy nie wywiera wpływu na działalność mikroprzedsiębiorców oraz małych i średnich przedsiębiorców.</w:t>
      </w:r>
    </w:p>
    <w:p w:rsidR="005C0AF0" w:rsidRPr="00303193" w:rsidRDefault="005C0AF0" w:rsidP="005C0AF0">
      <w:pPr>
        <w:pStyle w:val="ZDANIENASTNOWYWIERSZnpzddrugienowywierszwust"/>
      </w:pPr>
    </w:p>
    <w:p w:rsidR="006E6E0B" w:rsidRDefault="006E6E0B"/>
    <w:sectPr w:rsidR="006E6E0B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6B8" w:rsidRDefault="000B76B8">
      <w:pPr>
        <w:spacing w:line="240" w:lineRule="auto"/>
      </w:pPr>
      <w:r>
        <w:separator/>
      </w:r>
    </w:p>
  </w:endnote>
  <w:endnote w:type="continuationSeparator" w:id="0">
    <w:p w:rsidR="000B76B8" w:rsidRDefault="000B76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6B8" w:rsidRDefault="000B76B8">
      <w:pPr>
        <w:spacing w:line="240" w:lineRule="auto"/>
      </w:pPr>
      <w:r>
        <w:separator/>
      </w:r>
    </w:p>
  </w:footnote>
  <w:footnote w:type="continuationSeparator" w:id="0">
    <w:p w:rsidR="000B76B8" w:rsidRDefault="000B76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C4E" w:rsidRPr="00B371CC" w:rsidRDefault="005C0AF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040DA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342F2"/>
    <w:multiLevelType w:val="hybridMultilevel"/>
    <w:tmpl w:val="D3D88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0E"/>
    <w:rsid w:val="000B76B8"/>
    <w:rsid w:val="005B6F0E"/>
    <w:rsid w:val="005C0AF0"/>
    <w:rsid w:val="00620F01"/>
    <w:rsid w:val="006E6E0B"/>
    <w:rsid w:val="00C040DA"/>
    <w:rsid w:val="00D60609"/>
    <w:rsid w:val="00DE56D7"/>
    <w:rsid w:val="00E3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E8C52-F41B-4C3D-B59E-D29F270D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AF0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5C0AF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C0AF0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C0AF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C0AF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C0AF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C0AF0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C0AF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C0AF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C0AF0"/>
    <w:pPr>
      <w:widowControl/>
      <w:suppressAutoHyphens/>
      <w:ind w:left="510" w:firstLine="510"/>
      <w:jc w:val="both"/>
    </w:pPr>
    <w:rPr>
      <w:rFonts w:ascii="Times" w:hAnsi="Times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C0AF0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5C0AF0"/>
    <w:pPr>
      <w:widowControl/>
      <w:autoSpaceDE/>
      <w:autoSpaceDN/>
      <w:adjustRightInd/>
      <w:jc w:val="both"/>
    </w:pPr>
    <w:rPr>
      <w:rFonts w:ascii="Times" w:hAnsi="Times"/>
      <w:bCs/>
    </w:rPr>
  </w:style>
  <w:style w:type="character" w:customStyle="1" w:styleId="Ppogrubienie">
    <w:name w:val="_P_ – pogrubienie"/>
    <w:basedOn w:val="Domylnaczcionkaakapitu"/>
    <w:uiPriority w:val="1"/>
    <w:qFormat/>
    <w:rsid w:val="005C0AF0"/>
    <w:rPr>
      <w:b/>
    </w:rPr>
  </w:style>
  <w:style w:type="paragraph" w:styleId="Tekstpodstawowy2">
    <w:name w:val="Body Text 2"/>
    <w:basedOn w:val="Normalny"/>
    <w:link w:val="Tekstpodstawowy2Znak"/>
    <w:uiPriority w:val="99"/>
    <w:unhideWhenUsed/>
    <w:rsid w:val="005C0A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C0AF0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C0A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C0AF0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1249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4</cp:revision>
  <dcterms:created xsi:type="dcterms:W3CDTF">2018-09-18T11:38:00Z</dcterms:created>
  <dcterms:modified xsi:type="dcterms:W3CDTF">2018-10-23T09:17:00Z</dcterms:modified>
</cp:coreProperties>
</file>