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D31" w:rsidRDefault="00D31456">
      <w:pPr>
        <w:spacing w:after="1" w:line="259" w:lineRule="auto"/>
        <w:jc w:val="right"/>
      </w:pPr>
      <w:r>
        <w:t xml:space="preserve">Projekt </w:t>
      </w:r>
    </w:p>
    <w:p w:rsidR="00B73D31" w:rsidRDefault="00D3145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B73D31" w:rsidRDefault="00D3145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B73D31" w:rsidRDefault="00D3145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B73D31" w:rsidRDefault="00D3145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B73D31" w:rsidRDefault="00D3145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B73D31" w:rsidRDefault="00D3145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B73D31" w:rsidRDefault="00D3145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B73D31" w:rsidRDefault="00D31456">
      <w:pPr>
        <w:spacing w:after="0" w:line="259" w:lineRule="auto"/>
        <w:ind w:right="5"/>
        <w:jc w:val="center"/>
      </w:pPr>
      <w:r>
        <w:rPr>
          <w:b/>
        </w:rPr>
        <w:t xml:space="preserve">USTAWA </w:t>
      </w:r>
    </w:p>
    <w:p w:rsidR="00B73D31" w:rsidRDefault="00D31456">
      <w:pPr>
        <w:spacing w:after="0" w:line="259" w:lineRule="auto"/>
        <w:ind w:left="52" w:right="0" w:firstLine="0"/>
        <w:jc w:val="center"/>
      </w:pPr>
      <w:r>
        <w:t xml:space="preserve"> </w:t>
      </w:r>
    </w:p>
    <w:p w:rsidR="00B73D31" w:rsidRDefault="00D31456">
      <w:pPr>
        <w:spacing w:after="44" w:line="238" w:lineRule="auto"/>
        <w:ind w:left="3005" w:right="2951" w:firstLine="0"/>
        <w:jc w:val="center"/>
      </w:pPr>
      <w:r>
        <w:t>z dnia .............................2018</w:t>
      </w:r>
      <w:bookmarkStart w:id="0" w:name="_GoBack"/>
      <w:bookmarkEnd w:id="0"/>
      <w:r>
        <w:t xml:space="preserve"> r.  </w:t>
      </w:r>
    </w:p>
    <w:p w:rsidR="00B73D31" w:rsidRDefault="00D31456">
      <w:pPr>
        <w:spacing w:after="0" w:line="259" w:lineRule="auto"/>
        <w:ind w:right="11"/>
        <w:jc w:val="center"/>
      </w:pPr>
      <w:r>
        <w:rPr>
          <w:b/>
        </w:rPr>
        <w:t xml:space="preserve">o zmianie ustawy – Prawo ochrony środowiska oraz niektórych innych ustaw </w:t>
      </w:r>
    </w:p>
    <w:p w:rsidR="00B73D31" w:rsidRDefault="00D31456">
      <w:pPr>
        <w:spacing w:after="0" w:line="259" w:lineRule="auto"/>
        <w:ind w:left="59" w:right="0" w:firstLine="0"/>
        <w:jc w:val="center"/>
      </w:pPr>
      <w:r>
        <w:rPr>
          <w:rFonts w:ascii="Arial" w:eastAsia="Arial" w:hAnsi="Arial" w:cs="Arial"/>
          <w:b/>
        </w:rPr>
        <w:t xml:space="preserve"> </w:t>
      </w:r>
    </w:p>
    <w:p w:rsidR="00B73D31" w:rsidRDefault="00D31456">
      <w:pPr>
        <w:spacing w:after="0" w:line="259" w:lineRule="auto"/>
        <w:ind w:left="59" w:right="0" w:firstLine="0"/>
        <w:jc w:val="center"/>
      </w:pPr>
      <w:r>
        <w:rPr>
          <w:rFonts w:ascii="Arial" w:eastAsia="Arial" w:hAnsi="Arial" w:cs="Arial"/>
          <w:b/>
        </w:rPr>
        <w:t xml:space="preserve"> </w:t>
      </w:r>
    </w:p>
    <w:p w:rsidR="00B73D31" w:rsidRDefault="00D31456">
      <w:pPr>
        <w:spacing w:after="0" w:line="259" w:lineRule="auto"/>
        <w:ind w:left="59" w:right="0" w:firstLine="0"/>
        <w:jc w:val="center"/>
      </w:pPr>
      <w:r>
        <w:rPr>
          <w:rFonts w:ascii="Arial" w:eastAsia="Arial" w:hAnsi="Arial" w:cs="Arial"/>
          <w:b/>
        </w:rPr>
        <w:t xml:space="preserve"> </w:t>
      </w:r>
    </w:p>
    <w:p w:rsidR="00B73D31" w:rsidRDefault="00D31456">
      <w:pPr>
        <w:spacing w:after="149" w:line="259" w:lineRule="auto"/>
        <w:ind w:right="-1"/>
        <w:jc w:val="right"/>
      </w:pPr>
      <w:r>
        <w:rPr>
          <w:b/>
        </w:rPr>
        <w:t>Art. 1.</w:t>
      </w:r>
      <w:r>
        <w:t xml:space="preserve"> W ustawie z dnia 27 kwietnia 2001 r. – Prawo ochrony środowiska (Dz. U.  </w:t>
      </w:r>
    </w:p>
    <w:p w:rsidR="00B73D31" w:rsidRDefault="00D31456">
      <w:pPr>
        <w:spacing w:after="132" w:line="259" w:lineRule="auto"/>
        <w:ind w:right="0"/>
      </w:pPr>
      <w:r>
        <w:t xml:space="preserve">z 2017 </w:t>
      </w:r>
      <w:r>
        <w:t>r. poz. 519, z późn. zm.</w:t>
      </w:r>
      <w:r>
        <w:rPr>
          <w:vertAlign w:val="superscript"/>
        </w:rPr>
        <w:footnoteReference w:id="1"/>
      </w:r>
      <w:r>
        <w:rPr>
          <w:vertAlign w:val="superscript"/>
        </w:rPr>
        <w:t>)</w:t>
      </w:r>
      <w:r>
        <w:t xml:space="preserve">) wprowadza się następujące zmiany: </w:t>
      </w:r>
    </w:p>
    <w:p w:rsidR="00B73D31" w:rsidRDefault="00D31456">
      <w:pPr>
        <w:spacing w:after="112" w:line="259" w:lineRule="auto"/>
        <w:ind w:left="708" w:right="0" w:firstLine="0"/>
        <w:jc w:val="left"/>
      </w:pPr>
      <w:r>
        <w:t xml:space="preserve"> </w:t>
      </w:r>
    </w:p>
    <w:p w:rsidR="00B73D31" w:rsidRDefault="00D31456">
      <w:pPr>
        <w:numPr>
          <w:ilvl w:val="0"/>
          <w:numId w:val="1"/>
        </w:numPr>
        <w:spacing w:after="115" w:line="259" w:lineRule="auto"/>
        <w:ind w:right="0" w:hanging="319"/>
      </w:pPr>
      <w:r>
        <w:t xml:space="preserve">w art. 14 ust. 2 otrzymuje brzmienie: </w:t>
      </w:r>
    </w:p>
    <w:p w:rsidR="00B73D31" w:rsidRDefault="00D31456">
      <w:pPr>
        <w:spacing w:after="87"/>
        <w:ind w:left="1411" w:right="0"/>
      </w:pPr>
      <w:r>
        <w:t xml:space="preserve">„Polityka ochrony środowiska jest prowadzona również za pomocą wojewódzkich, powiatowych i gminnych programów ochrony środowiska,  a w zakresie ochrony </w:t>
      </w:r>
      <w:r>
        <w:t xml:space="preserve">powietrza także za pomocą Krajowego Programu Ochrony Powietrza, o którym mowa w art. 91c.”; </w:t>
      </w:r>
    </w:p>
    <w:p w:rsidR="00B73D31" w:rsidRDefault="00D31456">
      <w:pPr>
        <w:spacing w:after="156" w:line="259" w:lineRule="auto"/>
        <w:ind w:left="1416" w:right="0" w:firstLine="0"/>
        <w:jc w:val="left"/>
      </w:pPr>
      <w:r>
        <w:t xml:space="preserve"> </w:t>
      </w:r>
    </w:p>
    <w:p w:rsidR="00B73D31" w:rsidRDefault="00D31456">
      <w:pPr>
        <w:numPr>
          <w:ilvl w:val="0"/>
          <w:numId w:val="1"/>
        </w:numPr>
        <w:spacing w:after="115" w:line="259" w:lineRule="auto"/>
        <w:ind w:right="0" w:hanging="319"/>
      </w:pPr>
      <w:r>
        <w:t xml:space="preserve">po art. 85 dodaje się art. 85a w brzmieniu: </w:t>
      </w:r>
    </w:p>
    <w:p w:rsidR="00B73D31" w:rsidRDefault="00D31456">
      <w:pPr>
        <w:ind w:left="1411" w:right="0"/>
      </w:pPr>
      <w:r>
        <w:t>„85a. Na finansowanie ochrony powietrza przeznacza się corocznie środki publiczne w wysokości nie niższej niż 0,5% P</w:t>
      </w:r>
      <w:r>
        <w:t xml:space="preserve">roduktu Krajowego Brutto z roku poprzedniego, które obejmują w szczególności: </w:t>
      </w:r>
    </w:p>
    <w:p w:rsidR="00B73D31" w:rsidRDefault="00D31456">
      <w:pPr>
        <w:numPr>
          <w:ilvl w:val="1"/>
          <w:numId w:val="1"/>
        </w:numPr>
        <w:ind w:right="0" w:hanging="361"/>
      </w:pPr>
      <w:r>
        <w:t xml:space="preserve">wydatki budżetowe z części budżetu państwa, której dysponentem jest minister właściwy do spraw środowiska;  </w:t>
      </w:r>
    </w:p>
    <w:p w:rsidR="00B73D31" w:rsidRDefault="00D31456">
      <w:pPr>
        <w:numPr>
          <w:ilvl w:val="1"/>
          <w:numId w:val="1"/>
        </w:numPr>
        <w:ind w:right="0" w:hanging="361"/>
      </w:pPr>
      <w:r>
        <w:t>środki pochodzące z Narodowego Funduszu Ochrony Środowiska  i Gospod</w:t>
      </w:r>
      <w:r>
        <w:t xml:space="preserve">arki Wodnej; </w:t>
      </w:r>
    </w:p>
    <w:p w:rsidR="00B73D31" w:rsidRDefault="00D31456">
      <w:pPr>
        <w:numPr>
          <w:ilvl w:val="1"/>
          <w:numId w:val="1"/>
        </w:numPr>
        <w:ind w:right="0" w:hanging="361"/>
      </w:pPr>
      <w:r>
        <w:t xml:space="preserve">środki pochodzące z wojewódzkich funduszy ochrony środowiska  i gospodarki wodnej; </w:t>
      </w:r>
    </w:p>
    <w:p w:rsidR="00B73D31" w:rsidRDefault="00D31456">
      <w:pPr>
        <w:numPr>
          <w:ilvl w:val="1"/>
          <w:numId w:val="1"/>
        </w:numPr>
        <w:ind w:right="0" w:hanging="361"/>
      </w:pPr>
      <w:r>
        <w:lastRenderedPageBreak/>
        <w:t xml:space="preserve">środki pochodzące ze sprzedaży praw do emisji CO2; </w:t>
      </w:r>
    </w:p>
    <w:p w:rsidR="00B73D31" w:rsidRDefault="00D31456">
      <w:pPr>
        <w:numPr>
          <w:ilvl w:val="1"/>
          <w:numId w:val="1"/>
        </w:numPr>
        <w:ind w:right="0" w:hanging="361"/>
      </w:pPr>
      <w:r>
        <w:t xml:space="preserve">środki pochodzące ze źródeł zagranicznych, w tym z funduszy pomocowych Unii Europejskiej.”; </w:t>
      </w:r>
    </w:p>
    <w:p w:rsidR="00B73D31" w:rsidRDefault="00D31456">
      <w:pPr>
        <w:spacing w:after="112" w:line="259" w:lineRule="auto"/>
        <w:ind w:left="2485" w:right="0" w:firstLine="0"/>
        <w:jc w:val="left"/>
      </w:pPr>
      <w:r>
        <w:t xml:space="preserve"> </w:t>
      </w:r>
    </w:p>
    <w:p w:rsidR="00B73D31" w:rsidRDefault="00D31456">
      <w:pPr>
        <w:numPr>
          <w:ilvl w:val="0"/>
          <w:numId w:val="2"/>
        </w:numPr>
        <w:spacing w:after="161" w:line="259" w:lineRule="auto"/>
        <w:ind w:right="0" w:hanging="259"/>
      </w:pPr>
      <w:r>
        <w:t xml:space="preserve">w art. </w:t>
      </w:r>
      <w:r>
        <w:t xml:space="preserve">86 w ust. 1 pkt 4a otrzymuje brzmienie: </w:t>
      </w:r>
    </w:p>
    <w:p w:rsidR="00B73D31" w:rsidRDefault="00D31456">
      <w:pPr>
        <w:ind w:left="1411" w:right="0"/>
      </w:pPr>
      <w:r>
        <w:t>„4a) poziomy informowania dla niektórych substancji w powietrzu,  z zastrzeżeniem, że dla pyłu zawieszonego PM10 poziom informowania nie jest wyższy, niż dwukrotność poziomu dopuszczalnego a poziom alarmowy nie jest</w:t>
      </w:r>
      <w:r>
        <w:t xml:space="preserve"> wyższy, niż trzykrotny;”;  </w:t>
      </w:r>
    </w:p>
    <w:p w:rsidR="00B73D31" w:rsidRDefault="00D31456">
      <w:pPr>
        <w:spacing w:after="112" w:line="259" w:lineRule="auto"/>
        <w:ind w:left="2485" w:right="0" w:firstLine="0"/>
        <w:jc w:val="left"/>
      </w:pPr>
      <w:r>
        <w:t xml:space="preserve"> </w:t>
      </w:r>
    </w:p>
    <w:p w:rsidR="00B73D31" w:rsidRDefault="00D31456">
      <w:pPr>
        <w:numPr>
          <w:ilvl w:val="0"/>
          <w:numId w:val="2"/>
        </w:numPr>
        <w:spacing w:after="143" w:line="259" w:lineRule="auto"/>
        <w:ind w:right="0" w:hanging="259"/>
      </w:pPr>
      <w:r>
        <w:t xml:space="preserve">art. 91c otrzymuje brzmienie: </w:t>
      </w:r>
    </w:p>
    <w:p w:rsidR="00B73D31" w:rsidRDefault="00D31456">
      <w:pPr>
        <w:ind w:left="1411" w:right="0"/>
      </w:pPr>
      <w:r>
        <w:t>„Art. 91c. 1. Minister właściwy do spraw środowiska ustala, w drodze rozporządzenia, Krajowy Program Ochrony Powietrza,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wyznaczający cele  i kierunki działań dotyczące:  </w:t>
      </w:r>
    </w:p>
    <w:p w:rsidR="00B73D31" w:rsidRDefault="00D31456">
      <w:pPr>
        <w:numPr>
          <w:ilvl w:val="1"/>
          <w:numId w:val="3"/>
        </w:numPr>
        <w:ind w:right="0" w:hanging="361"/>
      </w:pPr>
      <w:r>
        <w:t>wymiany źródeł ciepła n</w:t>
      </w:r>
      <w:r>
        <w:t xml:space="preserve">a ekologiczne, w tym podłączenia i budowy sieci ciepłowniczych;  </w:t>
      </w:r>
    </w:p>
    <w:p w:rsidR="00B73D31" w:rsidRDefault="00D31456">
      <w:pPr>
        <w:numPr>
          <w:ilvl w:val="1"/>
          <w:numId w:val="3"/>
        </w:numPr>
        <w:ind w:right="0" w:hanging="361"/>
      </w:pPr>
      <w:r>
        <w:t>zwiększenia efektywności energetycznej, w rozumieniu art. 52 ust. 1 ustawy z dnia 10 kwietnia 1997 r. Prawo energetyczne (Dz. U.  z 2017 r. poz. 220, 791, 1089 i 1387), tym przedsięwzięcia t</w:t>
      </w:r>
      <w:r>
        <w:t xml:space="preserve">ermomodernizacyjnego w rozumieniu ustawy z dnia 21 listopada </w:t>
      </w:r>
    </w:p>
    <w:p w:rsidR="00B73D31" w:rsidRDefault="00D31456">
      <w:pPr>
        <w:ind w:left="2495" w:right="0"/>
      </w:pPr>
      <w:r>
        <w:t xml:space="preserve">2008 r. o wspieraniu termomodernizacji i remontów (Dz. U. z 2017 r. poz. 130 i 1529) ; </w:t>
      </w:r>
    </w:p>
    <w:p w:rsidR="00B73D31" w:rsidRDefault="00D31456">
      <w:pPr>
        <w:numPr>
          <w:ilvl w:val="1"/>
          <w:numId w:val="5"/>
        </w:numPr>
        <w:ind w:right="0" w:hanging="361"/>
      </w:pPr>
      <w:r>
        <w:t>zastosowania odnawialnych źródeł energii, w rozumieniu ustawy  z dnia 20 lutego 2015 r. o odnawialnych źró</w:t>
      </w:r>
      <w:r>
        <w:t xml:space="preserve">dłach energii (Dz. U.  z 2017 r. poz. 1148, 1213 i1593), w szczególności w zakresie energetyki obywatelskiej; </w:t>
      </w:r>
    </w:p>
    <w:p w:rsidR="00B73D31" w:rsidRDefault="00D31456">
      <w:pPr>
        <w:numPr>
          <w:ilvl w:val="1"/>
          <w:numId w:val="5"/>
        </w:numPr>
        <w:spacing w:after="133" w:line="259" w:lineRule="auto"/>
        <w:ind w:right="0" w:hanging="361"/>
      </w:pPr>
      <w:r>
        <w:t xml:space="preserve">edukacji ekologicznej i zdrowotnej. </w:t>
      </w:r>
    </w:p>
    <w:p w:rsidR="00B73D31" w:rsidRDefault="00D31456">
      <w:pPr>
        <w:numPr>
          <w:ilvl w:val="1"/>
          <w:numId w:val="2"/>
        </w:numPr>
        <w:ind w:right="0" w:hanging="361"/>
      </w:pPr>
      <w:r>
        <w:t xml:space="preserve">Załącznikiem do programu jest roczny plan finansowy obejmujący wskazanie źródeł </w:t>
      </w:r>
      <w:r>
        <w:t xml:space="preserve">i wysokości wydatków oraz wysokości środków,  o których mowa w art. 85a, przeznaczanych na finansowanie ochrony powietrza.  </w:t>
      </w:r>
    </w:p>
    <w:p w:rsidR="00B73D31" w:rsidRDefault="00D31456">
      <w:pPr>
        <w:numPr>
          <w:ilvl w:val="1"/>
          <w:numId w:val="2"/>
        </w:numPr>
        <w:ind w:right="0" w:hanging="361"/>
      </w:pPr>
      <w:r>
        <w:lastRenderedPageBreak/>
        <w:t xml:space="preserve">Plan finansowy, o którym mowa w ust. 2,  aktualizuje się co rok. </w:t>
      </w:r>
      <w:r>
        <w:t xml:space="preserve">Do aktualizacji planu stosuje się odpowiednio przepisy rozporządzenia wydanego na podstawie art. 138 ust. 6 ustawy z dnia 27 sierpnia 2009 r. o finansach publicznych.”; </w:t>
      </w:r>
    </w:p>
    <w:p w:rsidR="00B73D31" w:rsidRDefault="00D31456">
      <w:pPr>
        <w:spacing w:after="140" w:line="259" w:lineRule="auto"/>
        <w:ind w:left="708" w:right="0" w:firstLine="0"/>
        <w:jc w:val="left"/>
      </w:pPr>
      <w:r>
        <w:t xml:space="preserve"> </w:t>
      </w:r>
    </w:p>
    <w:p w:rsidR="00B73D31" w:rsidRDefault="00D31456">
      <w:pPr>
        <w:numPr>
          <w:ilvl w:val="0"/>
          <w:numId w:val="2"/>
        </w:numPr>
        <w:spacing w:after="148" w:line="259" w:lineRule="auto"/>
        <w:ind w:right="0" w:hanging="259"/>
      </w:pPr>
      <w:r>
        <w:t xml:space="preserve">po art. 94 dodaje się art. 94a i 94b w brzmieniu: </w:t>
      </w:r>
    </w:p>
    <w:p w:rsidR="00B73D31" w:rsidRDefault="00D31456">
      <w:pPr>
        <w:ind w:left="1411" w:right="0"/>
      </w:pPr>
      <w:r>
        <w:t xml:space="preserve"> „Art. 94a.</w:t>
      </w:r>
      <w:r>
        <w:rPr>
          <w:b/>
        </w:rPr>
        <w:t xml:space="preserve"> </w:t>
      </w:r>
      <w:r>
        <w:t>1.</w:t>
      </w:r>
      <w:r>
        <w:rPr>
          <w:b/>
        </w:rPr>
        <w:t xml:space="preserve"> </w:t>
      </w:r>
      <w:r>
        <w:t>Zabrania się wprow</w:t>
      </w:r>
      <w:r>
        <w:t>adzania do obrotu dla odbiorców indywidualnych instalacji, w których następuje spalanie paliw stałych  w rozumieniu art. 3 pkt 3 ustawy z dnia 10 kwietnia 1997 r. Prawo energetyczne (Dz. U. z 2017 r. poz. 220, 791, 1089 i 1387), w szczególności takich jak:</w:t>
      </w:r>
      <w:r>
        <w:t xml:space="preserve"> kocioł, kominek i piec dostarczających ciepło do systemu centralnego ogrzewania, które nie spełniają minimum standardu emisyjnego  zgodnego z 5 klasą pod względem granicznych wartości emisji zanieczyszczeń normy PN-EN 303-5:2012. </w:t>
      </w:r>
    </w:p>
    <w:p w:rsidR="00B73D31" w:rsidRDefault="00D31456">
      <w:pPr>
        <w:numPr>
          <w:ilvl w:val="1"/>
          <w:numId w:val="2"/>
        </w:numPr>
        <w:ind w:right="0" w:hanging="361"/>
      </w:pPr>
      <w:r>
        <w:t>Minister właściwy do spr</w:t>
      </w:r>
      <w:r>
        <w:t>aw gospodarki, w porozumieniu z ministrem właściwym do spraw środowiska, mając na uwadze ochronę środowiska oraz wpływ na zdrowie ludzi, określi w drodze rozporządzenia parametry techniczne, rozwiązania techniczne, standardy emisyjne urządzeń, o których mo</w:t>
      </w:r>
      <w:r>
        <w:t xml:space="preserve">wa w ust. 1. </w:t>
      </w:r>
    </w:p>
    <w:p w:rsidR="00B73D31" w:rsidRDefault="00D31456">
      <w:pPr>
        <w:spacing w:after="152" w:line="259" w:lineRule="auto"/>
        <w:ind w:left="1416" w:right="0" w:firstLine="0"/>
        <w:jc w:val="left"/>
      </w:pPr>
      <w:r>
        <w:t xml:space="preserve"> </w:t>
      </w:r>
    </w:p>
    <w:p w:rsidR="00B73D31" w:rsidRDefault="00D31456">
      <w:pPr>
        <w:ind w:left="1411" w:right="0"/>
      </w:pPr>
      <w:r>
        <w:t>Art. 94b.</w:t>
      </w:r>
      <w:r>
        <w:rPr>
          <w:b/>
        </w:rPr>
        <w:t xml:space="preserve"> </w:t>
      </w:r>
      <w:r>
        <w:t>Zabrania się wprowadzania do obrotu  dla odbiorców indywidualnych w celu spalania - w instalacjach, o których mowa w art. 94a - w sektorze bytowo- komunalnym:</w:t>
      </w:r>
      <w:r>
        <w:rPr>
          <w:rFonts w:ascii="Calibri" w:eastAsia="Calibri" w:hAnsi="Calibri" w:cs="Calibri"/>
          <w:sz w:val="22"/>
        </w:rPr>
        <w:t xml:space="preserve"> </w:t>
      </w:r>
    </w:p>
    <w:p w:rsidR="00B73D31" w:rsidRDefault="00D31456">
      <w:pPr>
        <w:numPr>
          <w:ilvl w:val="2"/>
          <w:numId w:val="4"/>
        </w:numPr>
        <w:spacing w:after="153"/>
        <w:ind w:right="0" w:hanging="487"/>
      </w:pPr>
      <w:r>
        <w:t>węgla brunatnego oraz paliw stałych produkowanych  z wykorzystaniem te</w:t>
      </w:r>
      <w:r>
        <w:t xml:space="preserve">go węgla; </w:t>
      </w:r>
    </w:p>
    <w:p w:rsidR="00B73D31" w:rsidRDefault="00D31456">
      <w:pPr>
        <w:numPr>
          <w:ilvl w:val="2"/>
          <w:numId w:val="4"/>
        </w:numPr>
        <w:spacing w:after="119" w:line="259" w:lineRule="auto"/>
        <w:ind w:right="0" w:hanging="487"/>
      </w:pPr>
      <w:r>
        <w:t xml:space="preserve">mułów </w:t>
      </w:r>
      <w:r>
        <w:tab/>
        <w:t xml:space="preserve">i </w:t>
      </w:r>
      <w:r>
        <w:tab/>
        <w:t xml:space="preserve">flotokoncentratów </w:t>
      </w:r>
      <w:r>
        <w:tab/>
        <w:t xml:space="preserve">węglowych </w:t>
      </w:r>
      <w:r>
        <w:tab/>
        <w:t xml:space="preserve">oraz </w:t>
      </w:r>
      <w:r>
        <w:tab/>
        <w:t xml:space="preserve">mieszanek </w:t>
      </w:r>
    </w:p>
    <w:p w:rsidR="00B73D31" w:rsidRDefault="00D31456">
      <w:pPr>
        <w:spacing w:after="273" w:line="259" w:lineRule="auto"/>
        <w:ind w:left="2134" w:right="0"/>
      </w:pPr>
      <w:r>
        <w:t xml:space="preserve">produkowanych z ich wykorzystaniem; </w:t>
      </w:r>
    </w:p>
    <w:p w:rsidR="00B73D31" w:rsidRDefault="00D31456">
      <w:pPr>
        <w:numPr>
          <w:ilvl w:val="2"/>
          <w:numId w:val="4"/>
        </w:numPr>
        <w:spacing w:after="169"/>
        <w:ind w:right="0" w:hanging="487"/>
      </w:pPr>
      <w:r>
        <w:t xml:space="preserve">paliw, w których udział masowy węgla kamiennego o uziarnieniu poniżej 3 mm wynosi więcej niż 15%; </w:t>
      </w:r>
    </w:p>
    <w:p w:rsidR="00B73D31" w:rsidRDefault="00D31456">
      <w:pPr>
        <w:numPr>
          <w:ilvl w:val="2"/>
          <w:numId w:val="4"/>
        </w:numPr>
        <w:spacing w:after="131"/>
        <w:ind w:right="0" w:hanging="487"/>
      </w:pPr>
      <w:r>
        <w:t xml:space="preserve">biomasy stałej, której wilgotność w stanie roboczym przekracza 20%.”; </w:t>
      </w:r>
    </w:p>
    <w:p w:rsidR="00B73D31" w:rsidRDefault="00D31456">
      <w:pPr>
        <w:numPr>
          <w:ilvl w:val="0"/>
          <w:numId w:val="2"/>
        </w:numPr>
        <w:spacing w:after="157" w:line="259" w:lineRule="auto"/>
        <w:ind w:right="0" w:hanging="259"/>
      </w:pPr>
      <w:r>
        <w:lastRenderedPageBreak/>
        <w:t xml:space="preserve">w art. 400a:  </w:t>
      </w:r>
    </w:p>
    <w:p w:rsidR="00B73D31" w:rsidRDefault="00D31456">
      <w:pPr>
        <w:numPr>
          <w:ilvl w:val="1"/>
          <w:numId w:val="6"/>
        </w:numPr>
        <w:spacing w:after="119" w:line="259" w:lineRule="auto"/>
        <w:ind w:right="0" w:hanging="260"/>
      </w:pPr>
      <w:r>
        <w:t xml:space="preserve">w ust. 1 po pkt 1 dodaje się pkt 1a w brzmieniu: </w:t>
      </w:r>
    </w:p>
    <w:p w:rsidR="00B73D31" w:rsidRDefault="00D31456">
      <w:pPr>
        <w:ind w:left="2134" w:right="0"/>
      </w:pPr>
      <w:r>
        <w:t>„1a) finansowanie Krajowego Programu Ochrony Powietrza na podstawie planu finansowego, o którym mowa w art. 91c ust. 2 i</w:t>
      </w:r>
      <w:r>
        <w:t xml:space="preserve"> 3;”, </w:t>
      </w:r>
    </w:p>
    <w:p w:rsidR="00B73D31" w:rsidRDefault="00D31456">
      <w:pPr>
        <w:numPr>
          <w:ilvl w:val="1"/>
          <w:numId w:val="6"/>
        </w:numPr>
        <w:spacing w:after="158" w:line="259" w:lineRule="auto"/>
        <w:ind w:right="0" w:hanging="260"/>
      </w:pPr>
      <w:r>
        <w:t xml:space="preserve">po ust. 2 dodaje się ust 3 w brzmieniu: </w:t>
      </w:r>
    </w:p>
    <w:p w:rsidR="00B73D31" w:rsidRDefault="00D31456">
      <w:pPr>
        <w:ind w:left="2134" w:right="0"/>
      </w:pPr>
      <w:r>
        <w:t>„3. Minister właściwy do spraw środowiska - uwzględniając konieczność zapewnienia jak największej poprawy jakości powietrza w możliwie najkrótszym czasie - określi, w drodze rozporządzenia, szczegółowe warunk</w:t>
      </w:r>
      <w:r>
        <w:t>i udzielania pomocy publicznej na realizację Krajowego Programu Ochrony Powietrza ze środków pozostających w dyspozycji Narodowego Funduszu oraz wojewódzkich funduszy, uwzględniając konieczność zapewnienia przejrzystości udzielania tej pomocy,  oraz zapewn</w:t>
      </w:r>
      <w:r>
        <w:t xml:space="preserve">ienia zgodności udzielanej pomocy z warunkami jej dopuszczalności.”. </w:t>
      </w:r>
    </w:p>
    <w:p w:rsidR="00B73D31" w:rsidRDefault="00D31456">
      <w:pPr>
        <w:spacing w:after="158" w:line="259" w:lineRule="auto"/>
        <w:ind w:left="2124" w:right="0" w:firstLine="0"/>
        <w:jc w:val="left"/>
      </w:pPr>
      <w:r>
        <w:t xml:space="preserve"> </w:t>
      </w:r>
    </w:p>
    <w:p w:rsidR="00B73D31" w:rsidRDefault="00D31456">
      <w:pPr>
        <w:ind w:left="0" w:right="0" w:firstLine="708"/>
      </w:pPr>
      <w:r>
        <w:rPr>
          <w:b/>
        </w:rPr>
        <w:t xml:space="preserve">Art. 2. </w:t>
      </w:r>
      <w:r>
        <w:t>W ustawie z dnia 26 lipca 1991 r. o podatku dochodowym od osób fizycznych (Dz. U. z 2016 r. poz. 2032, z późn. zm.</w:t>
      </w:r>
      <w:r>
        <w:rPr>
          <w:vertAlign w:val="superscript"/>
        </w:rPr>
        <w:t>2)</w:t>
      </w:r>
      <w:r>
        <w:t xml:space="preserve">) po art. 26f dodaje się art. 26g i 26h w brzmieniu:  </w:t>
      </w:r>
    </w:p>
    <w:p w:rsidR="00B73D31" w:rsidRDefault="00D31456">
      <w:pPr>
        <w:ind w:left="1411" w:right="0"/>
      </w:pPr>
      <w:r>
        <w:t>„Art.</w:t>
      </w:r>
      <w:r>
        <w:t xml:space="preserve"> 26g. 1. Od podstawy obliczenia podatku, ustalonej zgodnie z art. 26 ust. 1, odlicza się wydatki poniesione faktycznie w roku podatkowym na pokrycie wyższych kosztów ogrzewania w odniesieniu do kosztów ogrzewania na dotychczasowym poziomie udziału w dochod</w:t>
      </w:r>
      <w:r>
        <w:t xml:space="preserve">zie rozporządzalnym dla osób  i gospodarstw domowych, przez podatnika, o którym mowa w art. 3 ust. 1,  w związku z zastosowaniem w budynku mieszkalnym niskoemisyjnego źródła ogrzewania.  </w:t>
      </w:r>
    </w:p>
    <w:p w:rsidR="00B73D31" w:rsidRDefault="00D31456">
      <w:pPr>
        <w:numPr>
          <w:ilvl w:val="1"/>
          <w:numId w:val="2"/>
        </w:numPr>
        <w:ind w:right="0" w:hanging="361"/>
      </w:pPr>
      <w:r>
        <w:t>Do zeznania, o którym mowa w art. 45, składanego za rok, w którym po</w:t>
      </w:r>
      <w:r>
        <w:t xml:space="preserve"> raz pierwszy dokonuje się odliczenia, o którym mowa w ust. 1, podatnik dołącza oświadczenie o zastosowaniu w budynku mieszkalnym niskoemisyjnego źródła ogrzewania, według określonego wzoru, oraz kopie faktur potwierdzających wyższe wydatki poniesione w zw</w:t>
      </w:r>
      <w:r>
        <w:t xml:space="preserve">iązku z zastosowaniem w budynku mieszkalnym niskoemisyjnego źródła ogrzewania. </w:t>
      </w:r>
    </w:p>
    <w:p w:rsidR="00B73D31" w:rsidRDefault="00D31456">
      <w:pPr>
        <w:numPr>
          <w:ilvl w:val="1"/>
          <w:numId w:val="2"/>
        </w:numPr>
        <w:ind w:right="0" w:hanging="361"/>
      </w:pPr>
      <w:r>
        <w:lastRenderedPageBreak/>
        <w:t>Wydatki, o których mowa w ust. 1, dotyczą wyższych kosztów ogrzewania poniesionych łącznie przez oboje małżonków. Jeżeli małżonkowie podlegają odrębnemu opodatkowaniu - odlicze</w:t>
      </w:r>
      <w:r>
        <w:t xml:space="preserve">ń dokonuje się, zgodnie z wnioskami zawartymi w zeznaniach rocznych, bądź od dochodu każdego z małżonków,  w proporcji wskazanej we wniosku, bądź od dochodu jednego z małżonków. </w:t>
      </w:r>
    </w:p>
    <w:p w:rsidR="00B73D31" w:rsidRDefault="00D31456">
      <w:pPr>
        <w:numPr>
          <w:ilvl w:val="1"/>
          <w:numId w:val="2"/>
        </w:numPr>
        <w:spacing w:after="562"/>
        <w:ind w:right="0" w:hanging="361"/>
      </w:pPr>
      <w:r>
        <w:t xml:space="preserve">Minister właściwy do spraw finansów publicznych określi, w drodze rozporządzenia, tryb i sposób obliczania wyższych kosztów ogrzewania,  </w:t>
      </w:r>
    </w:p>
    <w:p w:rsidR="00B73D31" w:rsidRDefault="00D31456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trike/>
          <w:sz w:val="22"/>
        </w:rPr>
        <w:t xml:space="preserve">                                                         </w:t>
      </w:r>
      <w:r>
        <w:rPr>
          <w:rFonts w:ascii="Calibri" w:eastAsia="Calibri" w:hAnsi="Calibri" w:cs="Calibri"/>
          <w:sz w:val="22"/>
        </w:rPr>
        <w:t xml:space="preserve"> </w:t>
      </w:r>
    </w:p>
    <w:p w:rsidR="00B73D31" w:rsidRDefault="00D31456">
      <w:pPr>
        <w:spacing w:after="9" w:line="249" w:lineRule="auto"/>
        <w:ind w:left="-5" w:right="-8"/>
        <w:jc w:val="left"/>
      </w:pPr>
      <w:r>
        <w:rPr>
          <w:rFonts w:ascii="Calibri" w:eastAsia="Calibri" w:hAnsi="Calibri" w:cs="Calibri"/>
          <w:sz w:val="20"/>
          <w:vertAlign w:val="superscript"/>
        </w:rPr>
        <w:t>2</w:t>
      </w:r>
      <w:r>
        <w:rPr>
          <w:rFonts w:ascii="Calibri" w:eastAsia="Calibri" w:hAnsi="Calibri" w:cs="Calibri"/>
          <w:sz w:val="20"/>
        </w:rPr>
        <w:t xml:space="preserve"> </w:t>
      </w:r>
      <w:r>
        <w:rPr>
          <w:sz w:val="20"/>
        </w:rPr>
        <w:t>Zmiany tekstu jednolitego wymienionej ustawy zostały ogło</w:t>
      </w:r>
      <w:r>
        <w:rPr>
          <w:sz w:val="20"/>
        </w:rPr>
        <w:t xml:space="preserve">szone w Dz. U. z 2016 r. poz. 188, 195, 615, 780, </w:t>
      </w:r>
    </w:p>
    <w:p w:rsidR="00B73D31" w:rsidRDefault="00D31456">
      <w:pPr>
        <w:spacing w:after="9" w:line="249" w:lineRule="auto"/>
        <w:ind w:left="-5" w:right="-8"/>
        <w:jc w:val="left"/>
      </w:pPr>
      <w:r>
        <w:rPr>
          <w:sz w:val="20"/>
        </w:rPr>
        <w:t>823, 929, 1010, 1206, 1550, 1860, 1926, 1933, 1948, 1961, 2032 i</w:t>
      </w:r>
      <w:r>
        <w:rPr>
          <w:rFonts w:ascii="Calibri" w:eastAsia="Calibri" w:hAnsi="Calibri" w:cs="Calibri"/>
          <w:sz w:val="20"/>
        </w:rPr>
        <w:t xml:space="preserve"> </w:t>
      </w:r>
      <w:r>
        <w:rPr>
          <w:sz w:val="20"/>
        </w:rPr>
        <w:t>2048 oraz z 2017 r. poz. 60, 528, 648, 859, 1089, 1428, 1448 i 1530.</w:t>
      </w:r>
      <w:r>
        <w:rPr>
          <w:rFonts w:ascii="Calibri" w:eastAsia="Calibri" w:hAnsi="Calibri" w:cs="Calibri"/>
          <w:sz w:val="20"/>
        </w:rPr>
        <w:t xml:space="preserve"> </w:t>
      </w:r>
    </w:p>
    <w:p w:rsidR="00B73D31" w:rsidRDefault="00D31456">
      <w:pPr>
        <w:numPr>
          <w:ilvl w:val="0"/>
          <w:numId w:val="7"/>
        </w:numPr>
        <w:ind w:right="0" w:hanging="180"/>
      </w:pPr>
      <w:r>
        <w:t xml:space="preserve">których mowa w ust. 1, oraz wzór oświadczenia, o którym mowa w ust. 2 </w:t>
      </w:r>
      <w:r>
        <w:t xml:space="preserve">wraz z objaśnieniem sposobu jego wypełnienia. </w:t>
      </w:r>
    </w:p>
    <w:p w:rsidR="00B73D31" w:rsidRDefault="00D31456">
      <w:pPr>
        <w:numPr>
          <w:ilvl w:val="0"/>
          <w:numId w:val="8"/>
        </w:numPr>
        <w:ind w:right="0"/>
      </w:pPr>
      <w:r>
        <w:t xml:space="preserve">Odliczenie, o którym mowa w ust. 1, przysługuje przez okres 5 lat, począwszy od dnia 1 stycznia roku, w którym ustawa weszła w życie.  </w:t>
      </w:r>
    </w:p>
    <w:p w:rsidR="00B73D31" w:rsidRDefault="00D31456">
      <w:pPr>
        <w:numPr>
          <w:ilvl w:val="0"/>
          <w:numId w:val="8"/>
        </w:numPr>
        <w:ind w:right="0"/>
      </w:pPr>
      <w:r>
        <w:t>Podatnik korzystający z odliczenia, o którym mowa w ust. 1, zobowiązany j</w:t>
      </w:r>
      <w:r>
        <w:t xml:space="preserve">est do użytkowania niskoemisyjnego źródła ogrzewania budynku mieszkalnego, jako podstawowego źródła ogrzewania, minimum przez cały okres korzystania z odliczenia.”. </w:t>
      </w:r>
    </w:p>
    <w:p w:rsidR="00B73D31" w:rsidRDefault="00D31456">
      <w:pPr>
        <w:spacing w:after="118" w:line="259" w:lineRule="auto"/>
        <w:ind w:left="1416" w:right="0" w:firstLine="0"/>
        <w:jc w:val="left"/>
      </w:pPr>
      <w:r>
        <w:t xml:space="preserve"> </w:t>
      </w:r>
    </w:p>
    <w:p w:rsidR="00B73D31" w:rsidRDefault="00D31456">
      <w:pPr>
        <w:spacing w:after="46"/>
        <w:ind w:left="1411" w:right="0"/>
      </w:pPr>
      <w:r>
        <w:t>„Art. 26h. 1. Od podstawy obliczenia podatku, ustalonej zgodnie z art. 26 ust. 1, odlicza się wydatki poniesione faktycznie w roku podatkowym na pokrycie udziału własnego w wydatkach związanych z planem zaopatrzenia w ciepło, energię elektryczną i paliwa g</w:t>
      </w:r>
      <w:r>
        <w:t>azowe, o którym mowa w art. 19 ust. 1 ustawy z dnia 10 kwietnia 1997 r. Prawo energetyczne (Dz. U. z 2017 r. poz. 220, z późn. zm.</w:t>
      </w:r>
      <w:r>
        <w:rPr>
          <w:vertAlign w:val="superscript"/>
        </w:rPr>
        <w:footnoteReference w:id="2"/>
      </w:r>
      <w:r>
        <w:t xml:space="preserve">). </w:t>
      </w:r>
    </w:p>
    <w:p w:rsidR="00B73D31" w:rsidRDefault="00D31456">
      <w:pPr>
        <w:numPr>
          <w:ilvl w:val="0"/>
          <w:numId w:val="9"/>
        </w:numPr>
        <w:ind w:right="0"/>
      </w:pPr>
      <w:r>
        <w:t xml:space="preserve">Do zeznania, o którym mowa w art. 45, składanego za rok, w którym dokonuje się odliczenia  podatnik dołącza oświadczenie </w:t>
      </w:r>
      <w:r>
        <w:t xml:space="preserve">o poniesieniu </w:t>
      </w:r>
      <w:r>
        <w:lastRenderedPageBreak/>
        <w:t xml:space="preserve">wydatków,  o którym mowa w ust. 1, według określonego wzoru, oraz kopie faktur potwierdzających te wydatki. </w:t>
      </w:r>
    </w:p>
    <w:p w:rsidR="00B73D31" w:rsidRDefault="00D31456">
      <w:pPr>
        <w:numPr>
          <w:ilvl w:val="0"/>
          <w:numId w:val="9"/>
        </w:numPr>
        <w:ind w:right="0"/>
      </w:pPr>
      <w:r>
        <w:t>Minister właściwy do spraw finansów publicznych określi, w drodze rozporządzenia, wzór oświadczenia, o którym mowa w ust. 2 wraz  z o</w:t>
      </w:r>
      <w:r>
        <w:t xml:space="preserve">bjaśnieniem sposobu jego wypełnienia. </w:t>
      </w:r>
    </w:p>
    <w:p w:rsidR="00B73D31" w:rsidRDefault="00D31456">
      <w:pPr>
        <w:numPr>
          <w:ilvl w:val="0"/>
          <w:numId w:val="9"/>
        </w:numPr>
        <w:ind w:right="0"/>
      </w:pPr>
      <w:r>
        <w:t xml:space="preserve">Odliczenie, o którym mowa w ust. 1 nie dotyczy osób, którym przyznano zasiłek celowy, o którym mowa w art. 39 ust. 5 ustawy z dnia 12 marca 2004 r. </w:t>
      </w:r>
    </w:p>
    <w:p w:rsidR="00B73D31" w:rsidRDefault="00D31456">
      <w:pPr>
        <w:numPr>
          <w:ilvl w:val="0"/>
          <w:numId w:val="7"/>
        </w:numPr>
        <w:spacing w:after="132" w:line="259" w:lineRule="auto"/>
        <w:ind w:right="0" w:hanging="180"/>
      </w:pPr>
      <w:r>
        <w:t>pomocy społecznej (Dz. U. z 2017 r. poz. 1769).”.</w:t>
      </w:r>
      <w:r>
        <w:rPr>
          <w:vertAlign w:val="superscript"/>
        </w:rPr>
        <w:footnoteReference w:id="3"/>
      </w:r>
      <w:r>
        <w:t xml:space="preserve"> </w:t>
      </w:r>
    </w:p>
    <w:p w:rsidR="00B73D31" w:rsidRDefault="00D31456">
      <w:pPr>
        <w:spacing w:after="112" w:line="259" w:lineRule="auto"/>
        <w:ind w:left="1416" w:right="0" w:firstLine="0"/>
        <w:jc w:val="left"/>
      </w:pPr>
      <w:r>
        <w:t xml:space="preserve"> </w:t>
      </w:r>
    </w:p>
    <w:p w:rsidR="00B73D31" w:rsidRDefault="00D31456">
      <w:pPr>
        <w:spacing w:after="134" w:line="259" w:lineRule="auto"/>
        <w:ind w:right="-1"/>
        <w:jc w:val="right"/>
      </w:pPr>
      <w:r>
        <w:rPr>
          <w:b/>
        </w:rPr>
        <w:t>Art. 3.</w:t>
      </w:r>
      <w:r>
        <w:t xml:space="preserve"> </w:t>
      </w:r>
      <w:r>
        <w:t xml:space="preserve">W ustawie z dnia 10 kwietnia 1997 r. Prawo energetyczne (Dz. U. z 2017 r.  </w:t>
      </w:r>
    </w:p>
    <w:p w:rsidR="00B73D31" w:rsidRDefault="00D31456">
      <w:pPr>
        <w:spacing w:after="158" w:line="259" w:lineRule="auto"/>
        <w:ind w:right="0"/>
      </w:pPr>
      <w:r>
        <w:t>poz. 220, z późn. zm.</w:t>
      </w:r>
      <w:r>
        <w:rPr>
          <w:vertAlign w:val="superscript"/>
        </w:rPr>
        <w:footnoteReference w:id="4"/>
      </w:r>
      <w:r>
        <w:t xml:space="preserve">) art. 19 otrzymuje brzmienie: </w:t>
      </w:r>
    </w:p>
    <w:p w:rsidR="00B73D31" w:rsidRDefault="00D31456">
      <w:pPr>
        <w:ind w:left="1411" w:right="0"/>
      </w:pPr>
      <w:r>
        <w:t>„Art. 19. 1. Rada gminy określa w drodze uchwały - która jest aktem prawa miejscowego - plan zaopatrzenia w ciepło, energię el</w:t>
      </w:r>
      <w:r>
        <w:t xml:space="preserve">ektryczną i paliwa gazowe. </w:t>
      </w:r>
    </w:p>
    <w:p w:rsidR="00B73D31" w:rsidRDefault="00D31456">
      <w:pPr>
        <w:ind w:left="1411" w:right="0"/>
      </w:pPr>
      <w:r>
        <w:t xml:space="preserve">Plan sporządza się dla obszaru gminy co najmniej na okres 15 lat i aktualizuje co najmniej raz na 3 lata.  </w:t>
      </w:r>
    </w:p>
    <w:p w:rsidR="00B73D31" w:rsidRDefault="00D31456">
      <w:pPr>
        <w:numPr>
          <w:ilvl w:val="0"/>
          <w:numId w:val="10"/>
        </w:numPr>
        <w:ind w:right="0" w:hanging="456"/>
      </w:pPr>
      <w:r>
        <w:t>Plan, o którym mowa w ust. 1, powinien uwzględnić przepisy uchwał sejmiku województwa wydanych na podstawie art. 91 ust.</w:t>
      </w:r>
      <w:r>
        <w:t xml:space="preserve"> 3 i 96 ust. 1 ustawy z dnia  27 kwietnia 2001 r. – Prawo ochrony środowiska. </w:t>
      </w:r>
    </w:p>
    <w:p w:rsidR="00B73D31" w:rsidRDefault="00D31456">
      <w:pPr>
        <w:numPr>
          <w:ilvl w:val="0"/>
          <w:numId w:val="10"/>
        </w:numPr>
        <w:ind w:right="0" w:hanging="456"/>
      </w:pPr>
      <w:r>
        <w:t xml:space="preserve">Projekt uchwały, o której mowa w ust. 1, zwany dalej „projektem uchwały” opracowuje Wójt (burmistrz, prezydent miasta). </w:t>
      </w:r>
    </w:p>
    <w:p w:rsidR="00B73D31" w:rsidRDefault="00D31456">
      <w:pPr>
        <w:numPr>
          <w:ilvl w:val="0"/>
          <w:numId w:val="10"/>
        </w:numPr>
        <w:ind w:right="0" w:hanging="456"/>
      </w:pPr>
      <w:r>
        <w:t>W postępowaniu, którego przedmiotem jest opracowanie pro</w:t>
      </w:r>
      <w:r>
        <w:t xml:space="preserve">jektu uchwały stosuje się odpowiednio przepisy działu III rozdziału 3 ustawy z dnia 3 października 2008 r. o udostępnianiu informacji o środowisku i jego ochronie, udziale społeczeństwa w ochronie środowiska oraz o ocenach oddziaływania na środowisko. </w:t>
      </w:r>
    </w:p>
    <w:p w:rsidR="00B73D31" w:rsidRDefault="00D31456">
      <w:pPr>
        <w:numPr>
          <w:ilvl w:val="0"/>
          <w:numId w:val="10"/>
        </w:numPr>
        <w:spacing w:after="144" w:line="259" w:lineRule="auto"/>
        <w:ind w:right="0" w:hanging="456"/>
      </w:pPr>
      <w:r>
        <w:t>Pro</w:t>
      </w:r>
      <w:r>
        <w:t xml:space="preserve">jekt uchwały powinien określać: </w:t>
      </w:r>
    </w:p>
    <w:p w:rsidR="00B73D31" w:rsidRDefault="00D31456">
      <w:pPr>
        <w:numPr>
          <w:ilvl w:val="1"/>
          <w:numId w:val="10"/>
        </w:numPr>
        <w:ind w:right="0"/>
      </w:pPr>
      <w:r>
        <w:t>opis aktualnego stanu zapotrzebowania na ciepło, energię elektryczną i paliwa gazowe,  w tym pełną ewidencję źródeł ciepła na terenie gminy;  2) docelowe zapotrzebowanie na energię, o której mowa w pkt 1  i docelowy stan ja</w:t>
      </w:r>
      <w:r>
        <w:t xml:space="preserve">kości powietrza; </w:t>
      </w:r>
    </w:p>
    <w:p w:rsidR="00B73D31" w:rsidRDefault="00D31456">
      <w:pPr>
        <w:numPr>
          <w:ilvl w:val="1"/>
          <w:numId w:val="11"/>
        </w:numPr>
        <w:ind w:right="0" w:hanging="271"/>
      </w:pPr>
      <w:r>
        <w:t xml:space="preserve">docelowe standardy emisji instalacji i urządzeń wytwarzających ciepło; </w:t>
      </w:r>
    </w:p>
    <w:p w:rsidR="00B73D31" w:rsidRDefault="00D31456">
      <w:pPr>
        <w:numPr>
          <w:ilvl w:val="1"/>
          <w:numId w:val="11"/>
        </w:numPr>
        <w:spacing w:after="151" w:line="259" w:lineRule="auto"/>
        <w:ind w:right="0" w:hanging="271"/>
      </w:pPr>
      <w:r>
        <w:t xml:space="preserve">docelowe standardy efektywności energetycznej budynków; </w:t>
      </w:r>
    </w:p>
    <w:p w:rsidR="00B73D31" w:rsidRDefault="00D31456">
      <w:pPr>
        <w:numPr>
          <w:ilvl w:val="1"/>
          <w:numId w:val="11"/>
        </w:numPr>
        <w:ind w:right="0" w:hanging="271"/>
      </w:pPr>
      <w:r>
        <w:t xml:space="preserve">wykorzystanie lokalnych zasobów paliw i energii, z uwzględnieniem energii elektrycznej i ciepła wytwarzanych </w:t>
      </w:r>
      <w:r>
        <w:t xml:space="preserve">w instalacjach odnawialnego źródła energii, energii elektrycznej i ciepła użytkowego wytwarzanych w kogeneracji oraz zagospodarowania ciepła odpadowego z instalacji przemysłowych; </w:t>
      </w:r>
    </w:p>
    <w:p w:rsidR="00B73D31" w:rsidRDefault="00D31456">
      <w:pPr>
        <w:numPr>
          <w:ilvl w:val="1"/>
          <w:numId w:val="11"/>
        </w:numPr>
        <w:spacing w:after="147" w:line="259" w:lineRule="auto"/>
        <w:ind w:right="0" w:hanging="271"/>
      </w:pPr>
      <w:r>
        <w:t xml:space="preserve">środki poprawy efektywności energetycznej w rozumieniu art. 6 ust. </w:t>
      </w:r>
    </w:p>
    <w:p w:rsidR="00B73D31" w:rsidRDefault="00D31456">
      <w:pPr>
        <w:numPr>
          <w:ilvl w:val="1"/>
          <w:numId w:val="10"/>
        </w:numPr>
        <w:ind w:right="0"/>
      </w:pPr>
      <w:r>
        <w:t xml:space="preserve">ustawy z dnia 20 maja 2016 r. o efektywności energetycznej; 7) wykaz przedsięwzięć zmierzających do podniesienia standardów jakości powietrza, w tym racjonalizujących użytkowanie ciepła, energii elektrycznej i paliw gazowych; </w:t>
      </w:r>
    </w:p>
    <w:p w:rsidR="00B73D31" w:rsidRDefault="00D31456">
      <w:pPr>
        <w:spacing w:after="161" w:line="259" w:lineRule="auto"/>
        <w:ind w:left="2134" w:right="0"/>
      </w:pPr>
      <w:r>
        <w:t>8</w:t>
      </w:r>
      <w:r>
        <w:rPr>
          <w:b/>
        </w:rPr>
        <w:t xml:space="preserve">) </w:t>
      </w:r>
      <w:r>
        <w:t>zakres współpracy z innymi</w:t>
      </w:r>
      <w:r>
        <w:t xml:space="preserve"> gminami.  </w:t>
      </w:r>
    </w:p>
    <w:p w:rsidR="00B73D31" w:rsidRDefault="00D31456">
      <w:pPr>
        <w:numPr>
          <w:ilvl w:val="0"/>
          <w:numId w:val="10"/>
        </w:numPr>
        <w:spacing w:after="139" w:line="259" w:lineRule="auto"/>
        <w:ind w:right="0" w:hanging="456"/>
      </w:pPr>
      <w:r>
        <w:t xml:space="preserve">Przedsiębiorstwa </w:t>
      </w:r>
      <w:r>
        <w:tab/>
        <w:t xml:space="preserve">energetyczne </w:t>
      </w:r>
      <w:r>
        <w:tab/>
        <w:t xml:space="preserve">udostępniają </w:t>
      </w:r>
      <w:r>
        <w:tab/>
        <w:t xml:space="preserve">nieodpłatnie </w:t>
      </w:r>
      <w:r>
        <w:tab/>
        <w:t xml:space="preserve">wójtowi </w:t>
      </w:r>
    </w:p>
    <w:p w:rsidR="00B73D31" w:rsidRDefault="00D31456">
      <w:pPr>
        <w:ind w:left="1411" w:right="0"/>
      </w:pPr>
      <w:r>
        <w:t xml:space="preserve">(burmistrzowi, prezydentowi miasta) plany, o których mowa w art. 16 ust. 1,  w zakresie dotyczącym terenu tej gminy oraz propozycje niezbędne do opracowania projektu uchwały. </w:t>
      </w:r>
    </w:p>
    <w:p w:rsidR="00B73D31" w:rsidRDefault="00D31456">
      <w:pPr>
        <w:numPr>
          <w:ilvl w:val="0"/>
          <w:numId w:val="10"/>
        </w:numPr>
        <w:spacing w:after="160" w:line="259" w:lineRule="auto"/>
        <w:ind w:right="0" w:hanging="456"/>
      </w:pPr>
      <w:r>
        <w:t xml:space="preserve">Projekt uchwały podlega opiniowaniu przez samorząd województwa  </w:t>
      </w:r>
    </w:p>
    <w:p w:rsidR="00B73D31" w:rsidRDefault="00D31456">
      <w:pPr>
        <w:ind w:left="1411" w:right="0"/>
      </w:pPr>
      <w:r>
        <w:t xml:space="preserve">w zakresie koordynacji współpracy z innymi gminami oraz w zakresie zgodności z polityką energetyczną państwa. </w:t>
      </w:r>
    </w:p>
    <w:p w:rsidR="00B73D31" w:rsidRDefault="00D31456">
      <w:pPr>
        <w:numPr>
          <w:ilvl w:val="0"/>
          <w:numId w:val="10"/>
        </w:numPr>
        <w:ind w:right="0" w:hanging="456"/>
      </w:pPr>
      <w:r>
        <w:t xml:space="preserve">Osoby i jednostki organizacyjne zainteresowane zaopatrzeniem w ciepło, energię </w:t>
      </w:r>
      <w:r>
        <w:t xml:space="preserve">elektryczną i paliwa gazowe na obszarze gminy mają prawo składać wnioski, zastrzeżenia i uwagi do projektu uchwały. </w:t>
      </w:r>
    </w:p>
    <w:p w:rsidR="00B73D31" w:rsidRDefault="00D31456">
      <w:pPr>
        <w:numPr>
          <w:ilvl w:val="0"/>
          <w:numId w:val="10"/>
        </w:numPr>
        <w:ind w:right="0" w:hanging="456"/>
      </w:pPr>
      <w:r>
        <w:t>Plan, o którym mowa w ust. 1, stanowi podstawę do ubiegania się o jego dofinansowanie - za pośrednictwem Narodowego Funduszu Ochrony Środow</w:t>
      </w:r>
      <w:r>
        <w:t xml:space="preserve">iska i Gospodarki Wodnej oraz właściwego wojewódzkiego funduszu ochrony środowiska i gospodarki wodnej - ze środków wymienionych w art. 85a ustawy z dnia 27 kwietnia 2001 r. – Prawo ochrony środowiska.”. </w:t>
      </w:r>
    </w:p>
    <w:p w:rsidR="00B73D31" w:rsidRDefault="00D31456">
      <w:pPr>
        <w:spacing w:after="115" w:line="259" w:lineRule="auto"/>
        <w:ind w:left="1416" w:right="0" w:firstLine="0"/>
        <w:jc w:val="left"/>
      </w:pPr>
      <w:r>
        <w:t xml:space="preserve"> </w:t>
      </w:r>
    </w:p>
    <w:p w:rsidR="00B73D31" w:rsidRDefault="00D31456">
      <w:pPr>
        <w:ind w:left="0" w:right="0" w:firstLine="708"/>
      </w:pPr>
      <w:r>
        <w:rPr>
          <w:b/>
        </w:rPr>
        <w:t xml:space="preserve"> Art.</w:t>
      </w:r>
      <w:r>
        <w:t xml:space="preserve"> </w:t>
      </w:r>
      <w:r>
        <w:rPr>
          <w:b/>
        </w:rPr>
        <w:t>4.</w:t>
      </w:r>
      <w:r>
        <w:t xml:space="preserve"> W ustawie z dnia 21 czerwca 2001 r. o do</w:t>
      </w:r>
      <w:r>
        <w:t xml:space="preserve">datkach mieszkaniowych (Dz. U.   z 2017 r. poz. 180)  w art. 6 po ust. 11 dodaje się ust. 12 i 13:  </w:t>
      </w:r>
    </w:p>
    <w:p w:rsidR="00B73D31" w:rsidRDefault="00D31456">
      <w:pPr>
        <w:ind w:left="718" w:right="0"/>
      </w:pPr>
      <w:r>
        <w:t>„12. Jeżeli w lokalu mieszkalnym zastosowano niskoemisyjne źródła ogrzewania, osobie uprawnionej do dodatku mieszkaniowego przyznaje się proekologiczny dod</w:t>
      </w:r>
      <w:r>
        <w:t xml:space="preserve">atek wyrównawczy. </w:t>
      </w:r>
    </w:p>
    <w:p w:rsidR="00B73D31" w:rsidRDefault="00D31456">
      <w:pPr>
        <w:ind w:left="718" w:right="0"/>
      </w:pPr>
      <w:r>
        <w:t xml:space="preserve">13. Minister właściwy do spraw energii określi, w drodze rozporządzenia, wysokość dodatku, o którym mowa  w ust. 12, biorąc pod uwagę wysokość wzrostu wydatków  w przeciętnym miesięcznym dochodzie rozporządzalnym </w:t>
      </w:r>
      <w:r>
        <w:t xml:space="preserve">na 1 osobę w gospodarstwie domowym z tytułu zastosowania w lokalu mieszkalnym niskoemisyjnego źródła ogrzewania.”. </w:t>
      </w:r>
    </w:p>
    <w:p w:rsidR="00B73D31" w:rsidRDefault="00D31456">
      <w:pPr>
        <w:spacing w:after="153" w:line="259" w:lineRule="auto"/>
        <w:ind w:left="708" w:right="0" w:firstLine="0"/>
        <w:jc w:val="left"/>
      </w:pPr>
      <w:r>
        <w:rPr>
          <w:b/>
        </w:rPr>
        <w:t xml:space="preserve"> </w:t>
      </w:r>
    </w:p>
    <w:p w:rsidR="00B73D31" w:rsidRDefault="00D31456">
      <w:pPr>
        <w:spacing w:after="148" w:line="259" w:lineRule="auto"/>
        <w:ind w:left="718" w:right="0"/>
      </w:pPr>
      <w:r>
        <w:rPr>
          <w:b/>
        </w:rPr>
        <w:t xml:space="preserve">Art. 5. </w:t>
      </w:r>
      <w:r>
        <w:t xml:space="preserve">W ustawie z dnia 30 sierpnia 2002 r. o systemie oceny zgodności (Dz. U.  </w:t>
      </w:r>
    </w:p>
    <w:p w:rsidR="00B73D31" w:rsidRDefault="00D31456">
      <w:pPr>
        <w:spacing w:after="115" w:line="259" w:lineRule="auto"/>
        <w:ind w:right="0"/>
      </w:pPr>
      <w:r>
        <w:t xml:space="preserve">z 2017 r. poz. 1226) w art. 1 w ust. 1a po pkt 2 dodaje </w:t>
      </w:r>
      <w:r>
        <w:t xml:space="preserve">się pkt 2a w brzmieniu: </w:t>
      </w:r>
    </w:p>
    <w:p w:rsidR="00B73D31" w:rsidRDefault="00D31456">
      <w:pPr>
        <w:ind w:left="718" w:right="0"/>
      </w:pPr>
      <w:r>
        <w:t xml:space="preserve">„2a) nowych kotłów opalanych paliwami stałymi wprowadzanych na rynek jako produkt w sprzedaży indywidualnej;”. </w:t>
      </w:r>
    </w:p>
    <w:p w:rsidR="00B73D31" w:rsidRDefault="00D31456">
      <w:pPr>
        <w:spacing w:after="156" w:line="259" w:lineRule="auto"/>
        <w:ind w:left="708" w:right="0" w:firstLine="0"/>
        <w:jc w:val="left"/>
      </w:pPr>
      <w:r>
        <w:t xml:space="preserve"> </w:t>
      </w:r>
    </w:p>
    <w:p w:rsidR="00B73D31" w:rsidRDefault="00D31456">
      <w:pPr>
        <w:spacing w:after="149" w:line="259" w:lineRule="auto"/>
        <w:ind w:left="718" w:right="0"/>
      </w:pPr>
      <w:r>
        <w:rPr>
          <w:b/>
        </w:rPr>
        <w:t>Art. 6.</w:t>
      </w:r>
      <w:r>
        <w:t xml:space="preserve"> W ustawie z dnia 12 marca 2004 r. o pomocy społecznej (Dz. U. z 2017 r. poz. </w:t>
      </w:r>
    </w:p>
    <w:p w:rsidR="00B73D31" w:rsidRDefault="00D31456">
      <w:pPr>
        <w:spacing w:after="112" w:line="259" w:lineRule="auto"/>
        <w:ind w:right="0"/>
      </w:pPr>
      <w:r>
        <w:t>1769) w art. 39 po ust. 4 dodaj</w:t>
      </w:r>
      <w:r>
        <w:t xml:space="preserve">e się ust. 5-7 w brzmieniu: </w:t>
      </w:r>
    </w:p>
    <w:p w:rsidR="00B73D31" w:rsidRDefault="00D31456">
      <w:pPr>
        <w:ind w:right="0"/>
      </w:pPr>
      <w:r>
        <w:t>„5. Zasiłek celowy jest przyznawany również na pokrycie wkładu własnego w zakresie wydatków związanych z planem zaopatrzenia w ciepło, energię elektryczną i paliwa gazowe,  o którym mowa w art. 19 ust. 1 ustawy z dnia 10 kwietn</w:t>
      </w:r>
      <w:r>
        <w:t>ia 1997 r. Prawo energetyczne (Dz. U. z 2017 r. poz. 220, z późn. zm.</w:t>
      </w:r>
      <w:r>
        <w:rPr>
          <w:vertAlign w:val="superscript"/>
        </w:rPr>
        <w:footnoteReference w:id="5"/>
      </w:r>
      <w:r>
        <w:t xml:space="preserve">). </w:t>
      </w:r>
    </w:p>
    <w:p w:rsidR="00B73D31" w:rsidRDefault="00D31456">
      <w:pPr>
        <w:numPr>
          <w:ilvl w:val="0"/>
          <w:numId w:val="12"/>
        </w:numPr>
        <w:ind w:right="0"/>
      </w:pPr>
      <w:r>
        <w:t xml:space="preserve">Zasiłek celowy, o którym mowa w ust. 1, jest przyznawany jednorazowo, na wniosek i nie podlega zwrotowi. </w:t>
      </w:r>
    </w:p>
    <w:p w:rsidR="00B73D31" w:rsidRDefault="00D31456">
      <w:pPr>
        <w:numPr>
          <w:ilvl w:val="0"/>
          <w:numId w:val="12"/>
        </w:numPr>
        <w:ind w:right="0"/>
      </w:pPr>
      <w:r>
        <w:t>Minister właściwy do spraw zabezpieczenia społecznego, w porozumieniu z ministrem właściwym do energii,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określi w drodze rozporządzenia wzór wniosku, o którym mowa w ust. </w:t>
      </w:r>
    </w:p>
    <w:p w:rsidR="00B73D31" w:rsidRDefault="00D31456">
      <w:pPr>
        <w:spacing w:after="132" w:line="259" w:lineRule="auto"/>
        <w:ind w:right="0"/>
      </w:pPr>
      <w:r>
        <w:t>6 wraz z objaśnieniem sposobu jego wypełnienia. ”.</w:t>
      </w:r>
      <w:r>
        <w:rPr>
          <w:vertAlign w:val="superscript"/>
        </w:rPr>
        <w:footnoteReference w:id="6"/>
      </w:r>
      <w:r>
        <w:t xml:space="preserve"> </w:t>
      </w:r>
    </w:p>
    <w:p w:rsidR="00B73D31" w:rsidRDefault="00D31456">
      <w:pPr>
        <w:spacing w:after="115" w:line="259" w:lineRule="auto"/>
        <w:ind w:left="708" w:right="0" w:firstLine="0"/>
        <w:jc w:val="left"/>
      </w:pPr>
      <w:r>
        <w:t xml:space="preserve"> </w:t>
      </w:r>
    </w:p>
    <w:p w:rsidR="00B73D31" w:rsidRDefault="00D31456">
      <w:pPr>
        <w:ind w:left="0" w:right="0" w:firstLine="708"/>
      </w:pPr>
      <w:r>
        <w:rPr>
          <w:b/>
        </w:rPr>
        <w:t>Art. 7.</w:t>
      </w:r>
      <w:r>
        <w:t xml:space="preserve"> </w:t>
      </w:r>
      <w:r>
        <w:t xml:space="preserve">W ustawie z dnia 25 sierpnia 2006 r. o systemie monitorowania i kontrolowania jakości paliw (Dz. U. z 2016 r. poz. 1928 i 1948 oraz z 2017 r. poz. 624) wprowadza się następujące zmiany: </w:t>
      </w:r>
    </w:p>
    <w:p w:rsidR="00B73D31" w:rsidRDefault="00D31456">
      <w:pPr>
        <w:spacing w:after="163" w:line="259" w:lineRule="auto"/>
        <w:ind w:left="708" w:right="0" w:firstLine="0"/>
        <w:jc w:val="left"/>
      </w:pPr>
      <w:r>
        <w:t xml:space="preserve"> </w:t>
      </w:r>
    </w:p>
    <w:p w:rsidR="00B73D31" w:rsidRDefault="00D31456">
      <w:pPr>
        <w:numPr>
          <w:ilvl w:val="1"/>
          <w:numId w:val="14"/>
        </w:numPr>
        <w:spacing w:after="133" w:line="259" w:lineRule="auto"/>
        <w:ind w:right="0" w:hanging="360"/>
      </w:pPr>
      <w:r>
        <w:t xml:space="preserve">w art. 1 w pkt 1 po lit. d dodaje się lit. e w brzmieniu: </w:t>
      </w:r>
    </w:p>
    <w:p w:rsidR="00B73D31" w:rsidRDefault="00D31456">
      <w:pPr>
        <w:spacing w:after="115" w:line="259" w:lineRule="auto"/>
        <w:ind w:left="1411" w:right="0"/>
      </w:pPr>
      <w:r>
        <w:t>„e) w se</w:t>
      </w:r>
      <w:r>
        <w:t xml:space="preserve">ktorze bytowo- komunalnym;”; </w:t>
      </w:r>
    </w:p>
    <w:p w:rsidR="00B73D31" w:rsidRDefault="00D31456">
      <w:pPr>
        <w:spacing w:after="139" w:line="259" w:lineRule="auto"/>
        <w:ind w:left="1416" w:right="0" w:firstLine="0"/>
        <w:jc w:val="left"/>
      </w:pPr>
      <w:r>
        <w:t xml:space="preserve"> </w:t>
      </w:r>
    </w:p>
    <w:p w:rsidR="00B73D31" w:rsidRDefault="00D31456">
      <w:pPr>
        <w:numPr>
          <w:ilvl w:val="1"/>
          <w:numId w:val="14"/>
        </w:numPr>
        <w:spacing w:after="162" w:line="259" w:lineRule="auto"/>
        <w:ind w:right="0" w:hanging="360"/>
      </w:pPr>
      <w:r>
        <w:t xml:space="preserve">po art. 3a dodaje się art. 3b w brzmieniu: </w:t>
      </w:r>
    </w:p>
    <w:p w:rsidR="00B73D31" w:rsidRDefault="00D31456">
      <w:pPr>
        <w:ind w:left="1411" w:right="0"/>
      </w:pPr>
      <w:r>
        <w:t>„Art. 3b. 1. Paliwa dopuszczone do obrotu i stosowania przez odbiorców indywidualnych w sektorze bytowo- komunalnym, z uwzględnieniem zakazu,  o którym mowa w art. 94b ustawy z dni</w:t>
      </w:r>
      <w:r>
        <w:t xml:space="preserve">a 27 kwietnia 2001 r. – Prawo ochrony środowiska (Dz. U. z 2017 r. poz. 519), powinny spełniać wymagania jakościowe określone dla danego paliwa ze względu na ochronę środowiska oraz wpływ na zdrowie ludzi.  </w:t>
      </w:r>
    </w:p>
    <w:p w:rsidR="00B73D31" w:rsidRDefault="00D31456">
      <w:pPr>
        <w:ind w:left="1411" w:right="0"/>
      </w:pPr>
      <w:r>
        <w:t>2. Minister właściwy do spraw energii określi, w</w:t>
      </w:r>
      <w:r>
        <w:t xml:space="preserve"> drodze rozporządzenia, wymagania jakościowe dla paliw, o których mowa w ust. 1, biorąc pod uwagę wartości parametrów jakościowych, określone w odpowiednich normach w tym zakresie”. </w:t>
      </w:r>
    </w:p>
    <w:p w:rsidR="00B73D31" w:rsidRDefault="00D31456">
      <w:pPr>
        <w:spacing w:after="115" w:line="259" w:lineRule="auto"/>
        <w:ind w:left="1416" w:right="0" w:firstLine="0"/>
        <w:jc w:val="left"/>
      </w:pPr>
      <w:r>
        <w:t xml:space="preserve"> </w:t>
      </w:r>
    </w:p>
    <w:p w:rsidR="00B73D31" w:rsidRDefault="00D31456">
      <w:pPr>
        <w:spacing w:after="149" w:line="259" w:lineRule="auto"/>
        <w:ind w:left="718" w:right="0"/>
      </w:pPr>
      <w:r>
        <w:rPr>
          <w:b/>
        </w:rPr>
        <w:t>Art. 8.</w:t>
      </w:r>
      <w:r>
        <w:t xml:space="preserve"> W ustawie z dnia 27 sierpnia 2009 r. o finansach publicznych </w:t>
      </w:r>
      <w:r>
        <w:t xml:space="preserve">(Dz. U. z 2016 r. </w:t>
      </w:r>
    </w:p>
    <w:p w:rsidR="00B73D31" w:rsidRDefault="00D31456">
      <w:pPr>
        <w:ind w:right="0"/>
      </w:pPr>
      <w:r>
        <w:t>poz. 1870, z późn. zm.</w:t>
      </w:r>
      <w:r>
        <w:rPr>
          <w:vertAlign w:val="superscript"/>
        </w:rPr>
        <w:footnoteReference w:id="7"/>
      </w:r>
      <w:r>
        <w:t xml:space="preserve">) w art. 116 w ust. 2 po pkt 3 kropkę zastępuje się średnikiem i dodaje się pkt 4 w brzmieniu: </w:t>
      </w:r>
    </w:p>
    <w:p w:rsidR="00B73D31" w:rsidRDefault="00D31456">
      <w:pPr>
        <w:ind w:left="718" w:right="0"/>
      </w:pPr>
      <w:r>
        <w:t xml:space="preserve">„4) realizację programu, o którym w art. 91c ustawy z dnia 27 kwietnia 2001 r. – Prawo ochrony środowiska.”. </w:t>
      </w:r>
    </w:p>
    <w:p w:rsidR="00B73D31" w:rsidRDefault="00D31456">
      <w:pPr>
        <w:spacing w:after="112" w:line="259" w:lineRule="auto"/>
        <w:ind w:left="708" w:right="0" w:firstLine="0"/>
        <w:jc w:val="left"/>
      </w:pPr>
      <w:r>
        <w:t xml:space="preserve"> </w:t>
      </w:r>
    </w:p>
    <w:p w:rsidR="00B73D31" w:rsidRDefault="00D31456">
      <w:pPr>
        <w:ind w:left="0" w:right="0" w:firstLine="708"/>
      </w:pPr>
      <w:r>
        <w:rPr>
          <w:b/>
        </w:rPr>
        <w:t>Art. 9</w:t>
      </w:r>
      <w:r>
        <w:rPr>
          <w:b/>
        </w:rPr>
        <w:t>.</w:t>
      </w:r>
      <w:r>
        <w:t xml:space="preserve"> W ustawie z dnia 12 czerwca 2015 r. o systemie handlu uprawnieniami do emisji gazów cieplarnianych (Dz. U. z 2017 r. poz. 568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sz w:val="22"/>
        </w:rPr>
        <w:t xml:space="preserve">i </w:t>
      </w:r>
      <w:r>
        <w:t xml:space="preserve">1089) w art. 49:  </w:t>
      </w:r>
    </w:p>
    <w:p w:rsidR="00B73D31" w:rsidRDefault="00D31456">
      <w:pPr>
        <w:spacing w:after="118" w:line="259" w:lineRule="auto"/>
        <w:ind w:left="708" w:right="0" w:firstLine="0"/>
        <w:jc w:val="left"/>
      </w:pPr>
      <w:r>
        <w:t xml:space="preserve"> </w:t>
      </w:r>
    </w:p>
    <w:p w:rsidR="00B73D31" w:rsidRDefault="00D31456">
      <w:pPr>
        <w:spacing w:after="124" w:line="259" w:lineRule="auto"/>
        <w:ind w:left="370" w:right="0"/>
      </w:pPr>
      <w:r>
        <w:t>1)</w:t>
      </w:r>
      <w:r>
        <w:rPr>
          <w:rFonts w:ascii="Arial" w:eastAsia="Arial" w:hAnsi="Arial" w:cs="Arial"/>
        </w:rPr>
        <w:t xml:space="preserve"> </w:t>
      </w:r>
      <w:r>
        <w:t xml:space="preserve">ust. 6 otrzymuje brzmienie: </w:t>
      </w:r>
    </w:p>
    <w:p w:rsidR="00B73D31" w:rsidRDefault="00D31456">
      <w:pPr>
        <w:ind w:left="1411" w:right="0"/>
      </w:pPr>
      <w:r>
        <w:t>„6. Środki pieniężne uzyskane z aukcji w danym roku kalendarzowym lub ich</w:t>
      </w:r>
      <w:r>
        <w:t xml:space="preserve"> równowartość przeznacza się przynajmniej na jeden spośród następujących celów: </w:t>
      </w:r>
    </w:p>
    <w:p w:rsidR="00B73D31" w:rsidRDefault="00D31456">
      <w:pPr>
        <w:numPr>
          <w:ilvl w:val="2"/>
          <w:numId w:val="13"/>
        </w:numPr>
        <w:ind w:right="0" w:hanging="489"/>
      </w:pPr>
      <w:r>
        <w:t xml:space="preserve">realizację programu, o którym w art. 91c ustawy z dnia 27 kwietnia 2001 r. – Prawo ochrony środowiska; </w:t>
      </w:r>
    </w:p>
    <w:p w:rsidR="00B73D31" w:rsidRDefault="00D31456">
      <w:pPr>
        <w:numPr>
          <w:ilvl w:val="2"/>
          <w:numId w:val="13"/>
        </w:numPr>
        <w:spacing w:after="112" w:line="259" w:lineRule="auto"/>
        <w:ind w:right="0" w:hanging="489"/>
      </w:pPr>
      <w:r>
        <w:t xml:space="preserve">redukcję emisji gazów cieplarnianych, w tym przez wkład na rzecz </w:t>
      </w:r>
    </w:p>
    <w:p w:rsidR="00B73D31" w:rsidRDefault="00D31456">
      <w:pPr>
        <w:ind w:left="2134" w:right="0"/>
      </w:pPr>
      <w:r>
        <w:t>Globa</w:t>
      </w:r>
      <w:r>
        <w:t>lnego Funduszu Efektywności Energetycznej oraz Energii Odnawialnej oraz na rzecz Funduszu Adaptacyjnego wprowadzonego  w życie na konferencji w sprawie zmian klimatu w Poznaniu (COP 14  i COP/MOP 4), adaptację do skutków zmian klimatu oraz finansowanie pra</w:t>
      </w:r>
      <w:r>
        <w:t>c badawczo-rozwojowych oraz projektów demonstracyjnych  w zakresie zmniejszenia emisji i adaptacji do skutków zmian klimatu,  w tym udział w inicjatywach realizowanych w ramach europejskiego strategicznego planu w dziedzinie technologii energetycznych  i E</w:t>
      </w:r>
      <w:r>
        <w:t xml:space="preserve">uropejskich Platform Technologicznych; </w:t>
      </w:r>
    </w:p>
    <w:p w:rsidR="00B73D31" w:rsidRDefault="00D31456">
      <w:pPr>
        <w:numPr>
          <w:ilvl w:val="2"/>
          <w:numId w:val="13"/>
        </w:numPr>
        <w:ind w:right="0" w:hanging="489"/>
      </w:pPr>
      <w:r>
        <w:t xml:space="preserve">rozwój energii ze źródeł odnawialnych w celu realizacji zobowiązań Unii Europejskiej dotyczących wykorzystania </w:t>
      </w:r>
      <w:r>
        <w:t xml:space="preserve">w 20% energii ze źródeł odnawialnych do roku 2020, jak również rozwój innych technologii przyczyniających się do przejścia do bezpiecznej i zrównoważonej gospodarki niskoemisyjnej oraz pomoc w realizacji zobowiązań Unii </w:t>
      </w:r>
    </w:p>
    <w:p w:rsidR="00B73D31" w:rsidRDefault="00D31456">
      <w:pPr>
        <w:ind w:left="2134" w:right="274"/>
      </w:pPr>
      <w:r>
        <w:t>Europejskiej dotyczących zwiększeni</w:t>
      </w:r>
      <w:r>
        <w:t xml:space="preserve">a efektywności energetycznej  o 20% do roku 2020; </w:t>
      </w:r>
    </w:p>
    <w:p w:rsidR="00B73D31" w:rsidRDefault="00D31456">
      <w:pPr>
        <w:numPr>
          <w:ilvl w:val="2"/>
          <w:numId w:val="13"/>
        </w:numPr>
        <w:spacing w:after="40"/>
        <w:ind w:right="0" w:hanging="489"/>
      </w:pPr>
      <w:r>
        <w:t>unikanie wylesiania oraz zwiększenie zalesiania i ponownego zalesiania w krajach rozwijających się, które ratyfikowały Ramową konwencję Narodów Zjednoczonych w sprawie zmian klimatu, sporządzoną w Nowym Jo</w:t>
      </w:r>
      <w:r>
        <w:t xml:space="preserve">rku dnia 9 maja 1992 r. (Dz. U. z 1996 r. poz. 238); transfer technologii i ułatwienie adaptacji do niekorzystnych skutków zmian klimatu w tych krajach; </w:t>
      </w:r>
    </w:p>
    <w:p w:rsidR="00B73D31" w:rsidRDefault="00D31456">
      <w:pPr>
        <w:numPr>
          <w:ilvl w:val="2"/>
          <w:numId w:val="13"/>
        </w:numPr>
        <w:ind w:right="0" w:hanging="489"/>
      </w:pPr>
      <w:r>
        <w:t>pochłanianie dwutlenku węgla (CO2) związane z zalesianiem oraz antropogenicznymi działaniami z zakresu</w:t>
      </w:r>
      <w:r>
        <w:t xml:space="preserve"> gospodarki leśnej w Unii Europejskiej; </w:t>
      </w:r>
    </w:p>
    <w:p w:rsidR="00B73D31" w:rsidRDefault="00D31456">
      <w:pPr>
        <w:numPr>
          <w:ilvl w:val="2"/>
          <w:numId w:val="13"/>
        </w:numPr>
        <w:spacing w:after="1" w:line="395" w:lineRule="auto"/>
        <w:ind w:right="0" w:hanging="489"/>
      </w:pPr>
      <w:r>
        <w:t xml:space="preserve">bezpieczne </w:t>
      </w:r>
      <w:r>
        <w:tab/>
        <w:t xml:space="preserve">dla </w:t>
      </w:r>
      <w:r>
        <w:tab/>
        <w:t xml:space="preserve">środowiska </w:t>
      </w:r>
      <w:r>
        <w:tab/>
        <w:t xml:space="preserve">wychwytywanie </w:t>
      </w:r>
      <w:r>
        <w:tab/>
        <w:t xml:space="preserve">i </w:t>
      </w:r>
      <w:r>
        <w:tab/>
        <w:t>geologiczne składowanie dwutlenku węgla (CO2), w szczególności pochodzącego  z elektrowni opalanych stałym paliwem kopalnym oraz z sektorów  i podsektorów przemysłu, ró</w:t>
      </w:r>
      <w:r>
        <w:t xml:space="preserve">wnież w krajach trzecich; </w:t>
      </w:r>
    </w:p>
    <w:p w:rsidR="00B73D31" w:rsidRDefault="00D31456">
      <w:pPr>
        <w:numPr>
          <w:ilvl w:val="2"/>
          <w:numId w:val="13"/>
        </w:numPr>
        <w:spacing w:after="169" w:line="259" w:lineRule="auto"/>
        <w:ind w:right="0" w:hanging="489"/>
      </w:pPr>
      <w:r>
        <w:t xml:space="preserve">finansowanie </w:t>
      </w:r>
      <w:r>
        <w:tab/>
        <w:t xml:space="preserve">rozwiązań </w:t>
      </w:r>
      <w:r>
        <w:tab/>
        <w:t xml:space="preserve">zachęcających </w:t>
      </w:r>
      <w:r>
        <w:tab/>
        <w:t xml:space="preserve">do </w:t>
      </w:r>
      <w:r>
        <w:tab/>
        <w:t xml:space="preserve">wprowadzania </w:t>
      </w:r>
    </w:p>
    <w:p w:rsidR="00B73D31" w:rsidRDefault="00D31456">
      <w:pPr>
        <w:spacing w:after="159" w:line="259" w:lineRule="auto"/>
        <w:ind w:left="2134" w:right="0"/>
      </w:pPr>
      <w:r>
        <w:t xml:space="preserve">niskoemisyjnych oraz publicznych środków transportu; </w:t>
      </w:r>
    </w:p>
    <w:p w:rsidR="00B73D31" w:rsidRDefault="00D31456">
      <w:pPr>
        <w:numPr>
          <w:ilvl w:val="2"/>
          <w:numId w:val="13"/>
        </w:numPr>
        <w:ind w:right="0" w:hanging="489"/>
      </w:pPr>
      <w:r>
        <w:t>finansowanie badań i rozwoju w zakresie efektywności energetycznej oraz czystych technologii w sektorach objętych sys</w:t>
      </w:r>
      <w:r>
        <w:t xml:space="preserve">temem; </w:t>
      </w:r>
    </w:p>
    <w:p w:rsidR="00B73D31" w:rsidRDefault="00D31456">
      <w:pPr>
        <w:numPr>
          <w:ilvl w:val="2"/>
          <w:numId w:val="13"/>
        </w:numPr>
        <w:ind w:right="0" w:hanging="489"/>
      </w:pPr>
      <w:r>
        <w:t xml:space="preserve">zwiększanie efektywności energetycznej i termomodernizację budynków, w tym poprzez dostarczanie wsparcia finansowego w celu uwzględnienia aspektów społecznych w przypadku gospodarstw domowych o niskich i średnich dochodach; </w:t>
      </w:r>
    </w:p>
    <w:p w:rsidR="00B73D31" w:rsidRDefault="00D31456">
      <w:pPr>
        <w:numPr>
          <w:ilvl w:val="2"/>
          <w:numId w:val="13"/>
        </w:numPr>
        <w:ind w:right="0" w:hanging="489"/>
      </w:pPr>
      <w:r>
        <w:t>finansowanie badań i ro</w:t>
      </w:r>
      <w:r>
        <w:t xml:space="preserve">zwoju w zakresie łagodzenia zmian klimatu i adaptacji do skutków tych zmian w dziedzinie aeronautyki i transportu lotniczego; </w:t>
      </w:r>
    </w:p>
    <w:p w:rsidR="00B73D31" w:rsidRDefault="00D31456">
      <w:pPr>
        <w:numPr>
          <w:ilvl w:val="2"/>
          <w:numId w:val="13"/>
        </w:numPr>
        <w:spacing w:after="34" w:line="369" w:lineRule="auto"/>
        <w:ind w:right="0" w:hanging="489"/>
      </w:pPr>
      <w:r>
        <w:t xml:space="preserve">pokrywanie </w:t>
      </w:r>
      <w:r>
        <w:tab/>
        <w:t xml:space="preserve">wydatków </w:t>
      </w:r>
      <w:r>
        <w:tab/>
        <w:t xml:space="preserve">administracyjnych </w:t>
      </w:r>
      <w:r>
        <w:tab/>
        <w:t xml:space="preserve">związanych  z administrowaniem systemem przez Krajowy ośrodek.”.  </w:t>
      </w:r>
    </w:p>
    <w:p w:rsidR="00B73D31" w:rsidRDefault="00D31456">
      <w:pPr>
        <w:spacing w:after="158" w:line="259" w:lineRule="auto"/>
        <w:ind w:left="718" w:right="0"/>
      </w:pPr>
      <w:r>
        <w:t xml:space="preserve">2) po ust 6 dodaje się ust. 6a w brzmieniu: </w:t>
      </w:r>
    </w:p>
    <w:p w:rsidR="00B73D31" w:rsidRDefault="00D31456">
      <w:pPr>
        <w:ind w:left="1411" w:right="0"/>
      </w:pPr>
      <w:r>
        <w:t xml:space="preserve">„6a. Co najmniej połowę środków pieniężnych, o których mowa w ust. 6 przeznacza się na cele wymienione w ust. 6 pkt 1 i 9.”. </w:t>
      </w:r>
    </w:p>
    <w:p w:rsidR="00B73D31" w:rsidRDefault="00D31456">
      <w:pPr>
        <w:spacing w:after="120" w:line="259" w:lineRule="auto"/>
        <w:ind w:left="0" w:right="0" w:firstLine="0"/>
        <w:jc w:val="left"/>
      </w:pPr>
      <w:r>
        <w:t xml:space="preserve"> </w:t>
      </w:r>
    </w:p>
    <w:p w:rsidR="00B73D31" w:rsidRDefault="00D31456">
      <w:pPr>
        <w:spacing w:after="115" w:line="259" w:lineRule="auto"/>
        <w:ind w:left="718" w:right="0"/>
      </w:pPr>
      <w:r>
        <w:rPr>
          <w:b/>
        </w:rPr>
        <w:t>Art. 10.</w:t>
      </w:r>
      <w:r>
        <w:t xml:space="preserve"> Ustawa wchodzi w życie z dniem 1 stycznia 2019 r.  </w:t>
      </w:r>
    </w:p>
    <w:p w:rsidR="00B73D31" w:rsidRDefault="00D31456">
      <w:pPr>
        <w:spacing w:after="113" w:line="259" w:lineRule="auto"/>
        <w:ind w:left="708" w:right="0" w:firstLine="0"/>
        <w:jc w:val="left"/>
      </w:pPr>
      <w:r>
        <w:t xml:space="preserve"> </w:t>
      </w:r>
    </w:p>
    <w:p w:rsidR="00B73D31" w:rsidRDefault="00D31456">
      <w:pPr>
        <w:spacing w:after="115" w:line="259" w:lineRule="auto"/>
        <w:ind w:left="0" w:right="0" w:firstLine="0"/>
        <w:jc w:val="left"/>
      </w:pPr>
      <w:r>
        <w:t xml:space="preserve"> </w:t>
      </w:r>
    </w:p>
    <w:p w:rsidR="00B73D31" w:rsidRDefault="00D31456">
      <w:pPr>
        <w:spacing w:after="0" w:line="259" w:lineRule="auto"/>
        <w:ind w:left="0" w:right="0" w:firstLine="0"/>
        <w:jc w:val="left"/>
      </w:pPr>
      <w:r>
        <w:rPr>
          <w:color w:val="FF0000"/>
        </w:rPr>
        <w:t xml:space="preserve"> </w:t>
      </w:r>
    </w:p>
    <w:sectPr w:rsidR="00B73D31">
      <w:footerReference w:type="even" r:id="rId7"/>
      <w:footerReference w:type="default" r:id="rId8"/>
      <w:footerReference w:type="first" r:id="rId9"/>
      <w:pgSz w:w="11906" w:h="16838"/>
      <w:pgMar w:top="1421" w:right="1411" w:bottom="1423" w:left="1419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31456">
      <w:pPr>
        <w:spacing w:after="0" w:line="240" w:lineRule="auto"/>
      </w:pPr>
      <w:r>
        <w:separator/>
      </w:r>
    </w:p>
  </w:endnote>
  <w:endnote w:type="continuationSeparator" w:id="0">
    <w:p w:rsidR="00000000" w:rsidRDefault="00D31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3D31" w:rsidRDefault="00D31456">
    <w:pPr>
      <w:spacing w:after="0" w:line="259" w:lineRule="auto"/>
      <w:ind w:left="0" w:right="6" w:firstLine="0"/>
      <w:jc w:val="center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B73D31" w:rsidRDefault="00D31456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3D31" w:rsidRDefault="00D31456">
    <w:pPr>
      <w:spacing w:after="0" w:line="259" w:lineRule="auto"/>
      <w:ind w:left="0" w:right="6" w:firstLine="0"/>
      <w:jc w:val="center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noProof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B73D31" w:rsidRDefault="00D31456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3D31" w:rsidRDefault="00B73D31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3D31" w:rsidRDefault="00D31456">
      <w:pPr>
        <w:spacing w:after="0" w:line="259" w:lineRule="auto"/>
        <w:ind w:left="0" w:right="0" w:firstLine="0"/>
      </w:pPr>
      <w:r>
        <w:separator/>
      </w:r>
    </w:p>
  </w:footnote>
  <w:footnote w:type="continuationSeparator" w:id="0">
    <w:p w:rsidR="00B73D31" w:rsidRDefault="00D31456">
      <w:pPr>
        <w:spacing w:after="0" w:line="259" w:lineRule="auto"/>
        <w:ind w:left="0" w:right="0" w:firstLine="0"/>
      </w:pPr>
      <w:r>
        <w:continuationSeparator/>
      </w:r>
    </w:p>
  </w:footnote>
  <w:footnote w:id="1">
    <w:p w:rsidR="00B73D31" w:rsidRDefault="00D31456">
      <w:pPr>
        <w:pStyle w:val="footnotedescription"/>
      </w:pPr>
      <w:r>
        <w:rPr>
          <w:rStyle w:val="footnotemark"/>
        </w:rPr>
        <w:footnoteRef/>
      </w:r>
      <w:r>
        <w:t xml:space="preserve"> </w:t>
      </w:r>
      <w:r>
        <w:rPr>
          <w:rFonts w:ascii="Calibri" w:eastAsia="Calibri" w:hAnsi="Calibri" w:cs="Calibri"/>
          <w:vertAlign w:val="superscript"/>
        </w:rPr>
        <w:t>)</w:t>
      </w:r>
      <w:r>
        <w:rPr>
          <w:rFonts w:ascii="Calibri" w:eastAsia="Calibri" w:hAnsi="Calibri" w:cs="Calibri"/>
        </w:rPr>
        <w:t xml:space="preserve"> </w:t>
      </w:r>
      <w:r>
        <w:t>Zmiany tekstu jednolitego wymienionej ustawy zostały ogłoszone w Dz. U. z 2017 r. poz. 785, 898, 1089, 1529 i 1566.</w:t>
      </w:r>
      <w:r>
        <w:rPr>
          <w:rFonts w:ascii="Calibri" w:eastAsia="Calibri" w:hAnsi="Calibri" w:cs="Calibri"/>
        </w:rPr>
        <w:t xml:space="preserve"> </w:t>
      </w:r>
    </w:p>
  </w:footnote>
  <w:footnote w:id="2">
    <w:p w:rsidR="00B73D31" w:rsidRDefault="00D31456">
      <w:pPr>
        <w:pStyle w:val="footnotedescription"/>
      </w:pPr>
      <w:r>
        <w:rPr>
          <w:rStyle w:val="footnotemark"/>
        </w:rPr>
        <w:footnoteRef/>
      </w:r>
      <w:r>
        <w:t xml:space="preserve"> Zmiany tekstu jednolitego wymienionej ustawy zostały ogłoszone w Dz. U. z 2017 r. poz. 791, 1089, 1387  i 1566.</w:t>
      </w:r>
      <w:r>
        <w:rPr>
          <w:rFonts w:ascii="Calibri" w:eastAsia="Calibri" w:hAnsi="Calibri" w:cs="Calibri"/>
        </w:rPr>
        <w:t xml:space="preserve"> </w:t>
      </w:r>
    </w:p>
  </w:footnote>
  <w:footnote w:id="3">
    <w:p w:rsidR="00B73D31" w:rsidRDefault="00D31456">
      <w:pPr>
        <w:pStyle w:val="footnotedescription"/>
        <w:spacing w:after="30"/>
        <w:jc w:val="left"/>
      </w:pPr>
      <w:r>
        <w:rPr>
          <w:rStyle w:val="footnotemark"/>
        </w:rPr>
        <w:footnoteRef/>
      </w:r>
      <w:r>
        <w:t xml:space="preserve"> Przepis wymaga dalszych uzgodnień.</w:t>
      </w:r>
      <w:r>
        <w:rPr>
          <w:rFonts w:ascii="Calibri" w:eastAsia="Calibri" w:hAnsi="Calibri" w:cs="Calibri"/>
        </w:rPr>
        <w:t xml:space="preserve"> </w:t>
      </w:r>
    </w:p>
  </w:footnote>
  <w:footnote w:id="4">
    <w:p w:rsidR="00B73D31" w:rsidRDefault="00D31456">
      <w:pPr>
        <w:pStyle w:val="footnotedescription"/>
        <w:spacing w:line="262" w:lineRule="auto"/>
      </w:pPr>
      <w:r>
        <w:rPr>
          <w:rStyle w:val="footnotemark"/>
        </w:rPr>
        <w:footnoteRef/>
      </w:r>
      <w:r>
        <w:t xml:space="preserve"> Zmiany tekstu jednolitego wymienionej ustawy zostały ogłoszone w Dz. U. z 2017 r. poz. 791, 1089, 1</w:t>
      </w:r>
      <w:r>
        <w:t>387  i 1566.</w:t>
      </w:r>
      <w:r>
        <w:rPr>
          <w:rFonts w:ascii="Calibri" w:eastAsia="Calibri" w:hAnsi="Calibri" w:cs="Calibri"/>
        </w:rPr>
        <w:t xml:space="preserve"> </w:t>
      </w:r>
    </w:p>
  </w:footnote>
  <w:footnote w:id="5">
    <w:p w:rsidR="00B73D31" w:rsidRDefault="00D31456">
      <w:pPr>
        <w:pStyle w:val="footnotedescription"/>
        <w:spacing w:line="262" w:lineRule="auto"/>
      </w:pPr>
      <w:r>
        <w:rPr>
          <w:rStyle w:val="footnotemark"/>
        </w:rPr>
        <w:footnoteRef/>
      </w:r>
      <w:r>
        <w:t xml:space="preserve"> Zmiany tekstu jednolitego wymienionej ustawy zostały ogłoszone w Dz. U. z 2017 r. poz. 791, 1089, 1387  i 1566.</w:t>
      </w:r>
      <w:r>
        <w:rPr>
          <w:rFonts w:ascii="Calibri" w:eastAsia="Calibri" w:hAnsi="Calibri" w:cs="Calibri"/>
        </w:rPr>
        <w:t xml:space="preserve"> </w:t>
      </w:r>
    </w:p>
  </w:footnote>
  <w:footnote w:id="6">
    <w:p w:rsidR="00B73D31" w:rsidRDefault="00D31456">
      <w:pPr>
        <w:pStyle w:val="footnotedescription"/>
        <w:spacing w:after="66"/>
        <w:jc w:val="left"/>
      </w:pPr>
      <w:r>
        <w:rPr>
          <w:rStyle w:val="footnotemark"/>
        </w:rPr>
        <w:footnoteRef/>
      </w:r>
      <w:r>
        <w:t xml:space="preserve"> Przepis wymaga dalszych uzgodnień.</w:t>
      </w:r>
      <w:r>
        <w:rPr>
          <w:rFonts w:ascii="Calibri" w:eastAsia="Calibri" w:hAnsi="Calibri" w:cs="Calibri"/>
        </w:rPr>
        <w:t xml:space="preserve"> </w:t>
      </w:r>
    </w:p>
  </w:footnote>
  <w:footnote w:id="7">
    <w:p w:rsidR="00B73D31" w:rsidRDefault="00D31456">
      <w:pPr>
        <w:pStyle w:val="footnotedescription"/>
        <w:spacing w:line="255" w:lineRule="auto"/>
      </w:pPr>
      <w:r>
        <w:rPr>
          <w:rStyle w:val="footnotemark"/>
        </w:rPr>
        <w:footnoteRef/>
      </w:r>
      <w:r>
        <w:t xml:space="preserve"> Zmiany tekstu jednolitego wymienionej ustawy zostały ogłoszone w Dz. U. z 2016 r. poz.</w:t>
      </w:r>
      <w:r>
        <w:rPr>
          <w:sz w:val="24"/>
        </w:rPr>
        <w:t xml:space="preserve"> </w:t>
      </w:r>
      <w:r>
        <w:t>1948, 1984 i 2260 oraz z 2017 r. poz. 60, 191, 659, 933, 935, 1089,</w:t>
      </w:r>
      <w:r>
        <w:rPr>
          <w:rFonts w:ascii="Calibri" w:eastAsia="Calibri" w:hAnsi="Calibri" w:cs="Calibri"/>
        </w:rPr>
        <w:t xml:space="preserve"> </w:t>
      </w:r>
      <w:r>
        <w:t>1475, 1529 i 1537.</w:t>
      </w:r>
      <w:r>
        <w:rPr>
          <w:rFonts w:ascii="Calibri" w:eastAsia="Calibri" w:hAnsi="Calibri" w:cs="Calibri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2E1A29"/>
    <w:multiLevelType w:val="hybridMultilevel"/>
    <w:tmpl w:val="BF76CABA"/>
    <w:lvl w:ilvl="0" w:tplc="D04A5A78">
      <w:start w:val="5"/>
      <w:numFmt w:val="decimal"/>
      <w:lvlText w:val="%1."/>
      <w:lvlJc w:val="left"/>
      <w:pPr>
        <w:ind w:left="1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3A46FA">
      <w:start w:val="1"/>
      <w:numFmt w:val="lowerLetter"/>
      <w:lvlText w:val="%2"/>
      <w:lvlJc w:val="left"/>
      <w:pPr>
        <w:ind w:left="2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307648">
      <w:start w:val="1"/>
      <w:numFmt w:val="lowerRoman"/>
      <w:lvlText w:val="%3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3A09B4">
      <w:start w:val="1"/>
      <w:numFmt w:val="decimal"/>
      <w:lvlText w:val="%4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FC77C6">
      <w:start w:val="1"/>
      <w:numFmt w:val="lowerLetter"/>
      <w:lvlText w:val="%5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F03F40">
      <w:start w:val="1"/>
      <w:numFmt w:val="lowerRoman"/>
      <w:lvlText w:val="%6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66CB8A">
      <w:start w:val="1"/>
      <w:numFmt w:val="decimal"/>
      <w:lvlText w:val="%7"/>
      <w:lvlJc w:val="left"/>
      <w:pPr>
        <w:ind w:left="6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FAC1B8">
      <w:start w:val="1"/>
      <w:numFmt w:val="lowerLetter"/>
      <w:lvlText w:val="%8"/>
      <w:lvlJc w:val="left"/>
      <w:pPr>
        <w:ind w:left="6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2C6896">
      <w:start w:val="1"/>
      <w:numFmt w:val="lowerRoman"/>
      <w:lvlText w:val="%9"/>
      <w:lvlJc w:val="left"/>
      <w:pPr>
        <w:ind w:left="7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FCA1B83"/>
    <w:multiLevelType w:val="hybridMultilevel"/>
    <w:tmpl w:val="53FA235C"/>
    <w:lvl w:ilvl="0" w:tplc="EBB2C7B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3EA68E">
      <w:start w:val="1"/>
      <w:numFmt w:val="decimal"/>
      <w:lvlText w:val="%2)"/>
      <w:lvlJc w:val="left"/>
      <w:pPr>
        <w:ind w:left="2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006C5A">
      <w:start w:val="1"/>
      <w:numFmt w:val="lowerRoman"/>
      <w:lvlText w:val="%3"/>
      <w:lvlJc w:val="left"/>
      <w:pPr>
        <w:ind w:left="2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DEAA5C">
      <w:start w:val="1"/>
      <w:numFmt w:val="decimal"/>
      <w:lvlText w:val="%4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F60978">
      <w:start w:val="1"/>
      <w:numFmt w:val="lowerLetter"/>
      <w:lvlText w:val="%5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A2F5E8">
      <w:start w:val="1"/>
      <w:numFmt w:val="lowerRoman"/>
      <w:lvlText w:val="%6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FA1B6E">
      <w:start w:val="1"/>
      <w:numFmt w:val="decimal"/>
      <w:lvlText w:val="%7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04E8DE">
      <w:start w:val="1"/>
      <w:numFmt w:val="lowerLetter"/>
      <w:lvlText w:val="%8"/>
      <w:lvlJc w:val="left"/>
      <w:pPr>
        <w:ind w:left="6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487E86">
      <w:start w:val="1"/>
      <w:numFmt w:val="lowerRoman"/>
      <w:lvlText w:val="%9"/>
      <w:lvlJc w:val="left"/>
      <w:pPr>
        <w:ind w:left="6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0014153"/>
    <w:multiLevelType w:val="hybridMultilevel"/>
    <w:tmpl w:val="94A8683A"/>
    <w:lvl w:ilvl="0" w:tplc="0D68D19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627A64">
      <w:start w:val="1"/>
      <w:numFmt w:val="lowerLetter"/>
      <w:lvlText w:val="%2"/>
      <w:lvlJc w:val="left"/>
      <w:pPr>
        <w:ind w:left="1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18187A">
      <w:start w:val="1"/>
      <w:numFmt w:val="decimal"/>
      <w:lvlRestart w:val="0"/>
      <w:lvlText w:val="%3)"/>
      <w:lvlJc w:val="left"/>
      <w:pPr>
        <w:ind w:left="2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D09F42">
      <w:start w:val="1"/>
      <w:numFmt w:val="decimal"/>
      <w:lvlText w:val="%4"/>
      <w:lvlJc w:val="left"/>
      <w:pPr>
        <w:ind w:left="3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BA0660">
      <w:start w:val="1"/>
      <w:numFmt w:val="lowerLetter"/>
      <w:lvlText w:val="%5"/>
      <w:lvlJc w:val="left"/>
      <w:pPr>
        <w:ind w:left="3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806244">
      <w:start w:val="1"/>
      <w:numFmt w:val="lowerRoman"/>
      <w:lvlText w:val="%6"/>
      <w:lvlJc w:val="left"/>
      <w:pPr>
        <w:ind w:left="4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9E8780">
      <w:start w:val="1"/>
      <w:numFmt w:val="decimal"/>
      <w:lvlText w:val="%7"/>
      <w:lvlJc w:val="left"/>
      <w:pPr>
        <w:ind w:left="5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D40A3E">
      <w:start w:val="1"/>
      <w:numFmt w:val="lowerLetter"/>
      <w:lvlText w:val="%8"/>
      <w:lvlJc w:val="left"/>
      <w:pPr>
        <w:ind w:left="6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6081C2">
      <w:start w:val="1"/>
      <w:numFmt w:val="lowerRoman"/>
      <w:lvlText w:val="%9"/>
      <w:lvlJc w:val="left"/>
      <w:pPr>
        <w:ind w:left="6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2CF6FDB"/>
    <w:multiLevelType w:val="hybridMultilevel"/>
    <w:tmpl w:val="ED7AEBDA"/>
    <w:lvl w:ilvl="0" w:tplc="8C644D5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CE961A">
      <w:start w:val="1"/>
      <w:numFmt w:val="decimal"/>
      <w:lvlRestart w:val="0"/>
      <w:lvlText w:val="%2)"/>
      <w:lvlJc w:val="left"/>
      <w:pPr>
        <w:ind w:left="1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4AE170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E2A8F4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36ACCE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FA0FD4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2E5B8C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CEA434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78CC46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5A11F48"/>
    <w:multiLevelType w:val="hybridMultilevel"/>
    <w:tmpl w:val="8648198E"/>
    <w:lvl w:ilvl="0" w:tplc="E6062A4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D82DC6">
      <w:start w:val="3"/>
      <w:numFmt w:val="decimal"/>
      <w:lvlText w:val="%2)"/>
      <w:lvlJc w:val="left"/>
      <w:pPr>
        <w:ind w:left="2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289D30">
      <w:start w:val="1"/>
      <w:numFmt w:val="lowerRoman"/>
      <w:lvlText w:val="%3"/>
      <w:lvlJc w:val="left"/>
      <w:pPr>
        <w:ind w:left="2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DE3B84">
      <w:start w:val="1"/>
      <w:numFmt w:val="decimal"/>
      <w:lvlText w:val="%4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04864C">
      <w:start w:val="1"/>
      <w:numFmt w:val="lowerLetter"/>
      <w:lvlText w:val="%5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88C88C">
      <w:start w:val="1"/>
      <w:numFmt w:val="lowerRoman"/>
      <w:lvlText w:val="%6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0C9A0E">
      <w:start w:val="1"/>
      <w:numFmt w:val="decimal"/>
      <w:lvlText w:val="%7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0E4844">
      <w:start w:val="1"/>
      <w:numFmt w:val="lowerLetter"/>
      <w:lvlText w:val="%8"/>
      <w:lvlJc w:val="left"/>
      <w:pPr>
        <w:ind w:left="6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0EF904">
      <w:start w:val="1"/>
      <w:numFmt w:val="lowerRoman"/>
      <w:lvlText w:val="%9"/>
      <w:lvlJc w:val="left"/>
      <w:pPr>
        <w:ind w:left="6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A79653E"/>
    <w:multiLevelType w:val="hybridMultilevel"/>
    <w:tmpl w:val="8D28ADE6"/>
    <w:lvl w:ilvl="0" w:tplc="C2EC91C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8254A4">
      <w:start w:val="1"/>
      <w:numFmt w:val="lowerLetter"/>
      <w:lvlText w:val="%2"/>
      <w:lvlJc w:val="left"/>
      <w:pPr>
        <w:ind w:left="1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EA9E9E">
      <w:start w:val="1"/>
      <w:numFmt w:val="decimal"/>
      <w:lvlRestart w:val="0"/>
      <w:lvlText w:val="%3)"/>
      <w:lvlJc w:val="left"/>
      <w:pPr>
        <w:ind w:left="2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567220">
      <w:start w:val="1"/>
      <w:numFmt w:val="decimal"/>
      <w:lvlText w:val="%4"/>
      <w:lvlJc w:val="left"/>
      <w:pPr>
        <w:ind w:left="3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D0407E">
      <w:start w:val="1"/>
      <w:numFmt w:val="lowerLetter"/>
      <w:lvlText w:val="%5"/>
      <w:lvlJc w:val="left"/>
      <w:pPr>
        <w:ind w:left="3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C69FCC">
      <w:start w:val="1"/>
      <w:numFmt w:val="lowerRoman"/>
      <w:lvlText w:val="%6"/>
      <w:lvlJc w:val="left"/>
      <w:pPr>
        <w:ind w:left="4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BA6392">
      <w:start w:val="1"/>
      <w:numFmt w:val="decimal"/>
      <w:lvlText w:val="%7"/>
      <w:lvlJc w:val="left"/>
      <w:pPr>
        <w:ind w:left="5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D658A4">
      <w:start w:val="1"/>
      <w:numFmt w:val="lowerLetter"/>
      <w:lvlText w:val="%8"/>
      <w:lvlJc w:val="left"/>
      <w:pPr>
        <w:ind w:left="6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4818B0">
      <w:start w:val="1"/>
      <w:numFmt w:val="lowerRoman"/>
      <w:lvlText w:val="%9"/>
      <w:lvlJc w:val="left"/>
      <w:pPr>
        <w:ind w:left="6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935451D"/>
    <w:multiLevelType w:val="hybridMultilevel"/>
    <w:tmpl w:val="4E46344C"/>
    <w:lvl w:ilvl="0" w:tplc="B51C942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4A8188">
      <w:start w:val="3"/>
      <w:numFmt w:val="decimal"/>
      <w:lvlText w:val="%2)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D663C6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4C5A7A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A2F50A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A06872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783AA4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328192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CAE74A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0E3D76"/>
    <w:multiLevelType w:val="hybridMultilevel"/>
    <w:tmpl w:val="0FACBA26"/>
    <w:lvl w:ilvl="0" w:tplc="F5125854">
      <w:start w:val="1"/>
      <w:numFmt w:val="decimal"/>
      <w:lvlText w:val="%1)"/>
      <w:lvlJc w:val="left"/>
      <w:pPr>
        <w:ind w:left="1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1845F2">
      <w:start w:val="1"/>
      <w:numFmt w:val="decimal"/>
      <w:lvlText w:val="%2)"/>
      <w:lvlJc w:val="left"/>
      <w:pPr>
        <w:ind w:left="2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B088AC">
      <w:start w:val="1"/>
      <w:numFmt w:val="lowerRoman"/>
      <w:lvlText w:val="%3"/>
      <w:lvlJc w:val="left"/>
      <w:pPr>
        <w:ind w:left="30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D2D5CA">
      <w:start w:val="1"/>
      <w:numFmt w:val="decimal"/>
      <w:lvlText w:val="%4"/>
      <w:lvlJc w:val="left"/>
      <w:pPr>
        <w:ind w:left="3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4C4E5C">
      <w:start w:val="1"/>
      <w:numFmt w:val="lowerLetter"/>
      <w:lvlText w:val="%5"/>
      <w:lvlJc w:val="left"/>
      <w:pPr>
        <w:ind w:left="4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962A2E">
      <w:start w:val="1"/>
      <w:numFmt w:val="lowerRoman"/>
      <w:lvlText w:val="%6"/>
      <w:lvlJc w:val="left"/>
      <w:pPr>
        <w:ind w:left="5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86505A">
      <w:start w:val="1"/>
      <w:numFmt w:val="decimal"/>
      <w:lvlText w:val="%7"/>
      <w:lvlJc w:val="left"/>
      <w:pPr>
        <w:ind w:left="5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BC40C0">
      <w:start w:val="1"/>
      <w:numFmt w:val="lowerLetter"/>
      <w:lvlText w:val="%8"/>
      <w:lvlJc w:val="left"/>
      <w:pPr>
        <w:ind w:left="6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067DE4">
      <w:start w:val="1"/>
      <w:numFmt w:val="lowerRoman"/>
      <w:lvlText w:val="%9"/>
      <w:lvlJc w:val="left"/>
      <w:pPr>
        <w:ind w:left="7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C5D2409"/>
    <w:multiLevelType w:val="hybridMultilevel"/>
    <w:tmpl w:val="2F8A17EA"/>
    <w:lvl w:ilvl="0" w:tplc="B0C62DAC">
      <w:start w:val="6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78D8F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28746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D8E2C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64E4C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5AF29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3A3D6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E289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C6C79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2B75FBA"/>
    <w:multiLevelType w:val="hybridMultilevel"/>
    <w:tmpl w:val="76087172"/>
    <w:lvl w:ilvl="0" w:tplc="97041224">
      <w:start w:val="2"/>
      <w:numFmt w:val="decimal"/>
      <w:lvlText w:val="%1."/>
      <w:lvlJc w:val="left"/>
      <w:pPr>
        <w:ind w:left="1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805ED2">
      <w:start w:val="1"/>
      <w:numFmt w:val="decimal"/>
      <w:lvlText w:val="%2)"/>
      <w:lvlJc w:val="left"/>
      <w:pPr>
        <w:ind w:left="2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14DB08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B098C0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0ADF9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865B12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82D43A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D0CDEA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CC824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35864E8"/>
    <w:multiLevelType w:val="hybridMultilevel"/>
    <w:tmpl w:val="AB207D70"/>
    <w:lvl w:ilvl="0" w:tplc="C816683E">
      <w:start w:val="1"/>
      <w:numFmt w:val="bullet"/>
      <w:lvlText w:val="o"/>
      <w:lvlJc w:val="left"/>
      <w:pPr>
        <w:ind w:left="1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26A6A2">
      <w:start w:val="1"/>
      <w:numFmt w:val="bullet"/>
      <w:lvlText w:val="o"/>
      <w:lvlJc w:val="left"/>
      <w:pPr>
        <w:ind w:left="2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A445A4">
      <w:start w:val="1"/>
      <w:numFmt w:val="bullet"/>
      <w:lvlText w:val="▪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3017D0">
      <w:start w:val="1"/>
      <w:numFmt w:val="bullet"/>
      <w:lvlText w:val="•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D66612">
      <w:start w:val="1"/>
      <w:numFmt w:val="bullet"/>
      <w:lvlText w:val="o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D249C8">
      <w:start w:val="1"/>
      <w:numFmt w:val="bullet"/>
      <w:lvlText w:val="▪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F608C0">
      <w:start w:val="1"/>
      <w:numFmt w:val="bullet"/>
      <w:lvlText w:val="•"/>
      <w:lvlJc w:val="left"/>
      <w:pPr>
        <w:ind w:left="6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388DE2">
      <w:start w:val="1"/>
      <w:numFmt w:val="bullet"/>
      <w:lvlText w:val="o"/>
      <w:lvlJc w:val="left"/>
      <w:pPr>
        <w:ind w:left="6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E2F032">
      <w:start w:val="1"/>
      <w:numFmt w:val="bullet"/>
      <w:lvlText w:val="▪"/>
      <w:lvlJc w:val="left"/>
      <w:pPr>
        <w:ind w:left="7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44202FF"/>
    <w:multiLevelType w:val="hybridMultilevel"/>
    <w:tmpl w:val="37728D02"/>
    <w:lvl w:ilvl="0" w:tplc="F0DA9F8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C28C4A">
      <w:start w:val="1"/>
      <w:numFmt w:val="lowerLetter"/>
      <w:lvlText w:val="%2)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227748">
      <w:start w:val="1"/>
      <w:numFmt w:val="lowerRoman"/>
      <w:lvlText w:val="%3"/>
      <w:lvlJc w:val="left"/>
      <w:pPr>
        <w:ind w:left="2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3E383C">
      <w:start w:val="1"/>
      <w:numFmt w:val="decimal"/>
      <w:lvlText w:val="%4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2454E4">
      <w:start w:val="1"/>
      <w:numFmt w:val="lowerLetter"/>
      <w:lvlText w:val="%5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9ADC06">
      <w:start w:val="1"/>
      <w:numFmt w:val="lowerRoman"/>
      <w:lvlText w:val="%6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66E3FE">
      <w:start w:val="1"/>
      <w:numFmt w:val="decimal"/>
      <w:lvlText w:val="%7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AC1AE0">
      <w:start w:val="1"/>
      <w:numFmt w:val="lowerLetter"/>
      <w:lvlText w:val="%8"/>
      <w:lvlJc w:val="left"/>
      <w:pPr>
        <w:ind w:left="6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E24168">
      <w:start w:val="1"/>
      <w:numFmt w:val="lowerRoman"/>
      <w:lvlText w:val="%9"/>
      <w:lvlJc w:val="left"/>
      <w:pPr>
        <w:ind w:left="6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ADC3E3A"/>
    <w:multiLevelType w:val="hybridMultilevel"/>
    <w:tmpl w:val="0F14AFEC"/>
    <w:lvl w:ilvl="0" w:tplc="969AFCAE">
      <w:start w:val="2"/>
      <w:numFmt w:val="decimal"/>
      <w:lvlText w:val="%1."/>
      <w:lvlJc w:val="left"/>
      <w:pPr>
        <w:ind w:left="1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EA21B6">
      <w:start w:val="1"/>
      <w:numFmt w:val="lowerLetter"/>
      <w:lvlText w:val="%2"/>
      <w:lvlJc w:val="left"/>
      <w:pPr>
        <w:ind w:left="2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4C6534">
      <w:start w:val="1"/>
      <w:numFmt w:val="lowerRoman"/>
      <w:lvlText w:val="%3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CA78BE">
      <w:start w:val="1"/>
      <w:numFmt w:val="decimal"/>
      <w:lvlText w:val="%4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3ABC7C">
      <w:start w:val="1"/>
      <w:numFmt w:val="lowerLetter"/>
      <w:lvlText w:val="%5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5A46CA">
      <w:start w:val="1"/>
      <w:numFmt w:val="lowerRoman"/>
      <w:lvlText w:val="%6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F25862">
      <w:start w:val="1"/>
      <w:numFmt w:val="decimal"/>
      <w:lvlText w:val="%7"/>
      <w:lvlJc w:val="left"/>
      <w:pPr>
        <w:ind w:left="6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2435BA">
      <w:start w:val="1"/>
      <w:numFmt w:val="lowerLetter"/>
      <w:lvlText w:val="%8"/>
      <w:lvlJc w:val="left"/>
      <w:pPr>
        <w:ind w:left="6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602BC6">
      <w:start w:val="1"/>
      <w:numFmt w:val="lowerRoman"/>
      <w:lvlText w:val="%9"/>
      <w:lvlJc w:val="left"/>
      <w:pPr>
        <w:ind w:left="7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9477275"/>
    <w:multiLevelType w:val="hybridMultilevel"/>
    <w:tmpl w:val="97647DB6"/>
    <w:lvl w:ilvl="0" w:tplc="54BE8776">
      <w:start w:val="3"/>
      <w:numFmt w:val="decimal"/>
      <w:lvlText w:val="%1)"/>
      <w:lvlJc w:val="left"/>
      <w:pPr>
        <w:ind w:left="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14BF2E">
      <w:start w:val="2"/>
      <w:numFmt w:val="decimal"/>
      <w:lvlText w:val="%2."/>
      <w:lvlJc w:val="left"/>
      <w:pPr>
        <w:ind w:left="1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AEB02E">
      <w:start w:val="1"/>
      <w:numFmt w:val="lowerRoman"/>
      <w:lvlText w:val="%3"/>
      <w:lvlJc w:val="left"/>
      <w:pPr>
        <w:ind w:left="2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5C0F9E">
      <w:start w:val="1"/>
      <w:numFmt w:val="decimal"/>
      <w:lvlText w:val="%4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36EE8E">
      <w:start w:val="1"/>
      <w:numFmt w:val="lowerLetter"/>
      <w:lvlText w:val="%5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EA2AA0">
      <w:start w:val="1"/>
      <w:numFmt w:val="lowerRoman"/>
      <w:lvlText w:val="%6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8447A6">
      <w:start w:val="1"/>
      <w:numFmt w:val="decimal"/>
      <w:lvlText w:val="%7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BA6C3A">
      <w:start w:val="1"/>
      <w:numFmt w:val="lowerLetter"/>
      <w:lvlText w:val="%8"/>
      <w:lvlJc w:val="left"/>
      <w:pPr>
        <w:ind w:left="6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A0DA8A">
      <w:start w:val="1"/>
      <w:numFmt w:val="lowerRoman"/>
      <w:lvlText w:val="%9"/>
      <w:lvlJc w:val="left"/>
      <w:pPr>
        <w:ind w:left="6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13"/>
  </w:num>
  <w:num w:numId="3">
    <w:abstractNumId w:val="1"/>
  </w:num>
  <w:num w:numId="4">
    <w:abstractNumId w:val="5"/>
  </w:num>
  <w:num w:numId="5">
    <w:abstractNumId w:val="4"/>
  </w:num>
  <w:num w:numId="6">
    <w:abstractNumId w:val="11"/>
  </w:num>
  <w:num w:numId="7">
    <w:abstractNumId w:val="10"/>
  </w:num>
  <w:num w:numId="8">
    <w:abstractNumId w:val="0"/>
  </w:num>
  <w:num w:numId="9">
    <w:abstractNumId w:val="12"/>
  </w:num>
  <w:num w:numId="10">
    <w:abstractNumId w:val="9"/>
  </w:num>
  <w:num w:numId="11">
    <w:abstractNumId w:val="6"/>
  </w:num>
  <w:num w:numId="12">
    <w:abstractNumId w:val="8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D31"/>
    <w:rsid w:val="00B73D31"/>
    <w:rsid w:val="00D3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05AD27-2F3A-4480-AF37-FD9A7085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5" w:line="387" w:lineRule="auto"/>
      <w:ind w:left="10" w:right="1303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2510</Words>
  <Characters>15065</Characters>
  <Application>Microsoft Office Word</Application>
  <DocSecurity>0</DocSecurity>
  <Lines>125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</dc:creator>
  <cp:keywords/>
  <cp:lastModifiedBy>Olga Bułhak</cp:lastModifiedBy>
  <cp:revision>2</cp:revision>
  <dcterms:created xsi:type="dcterms:W3CDTF">2018-10-24T12:50:00Z</dcterms:created>
  <dcterms:modified xsi:type="dcterms:W3CDTF">2018-10-24T12:50:00Z</dcterms:modified>
</cp:coreProperties>
</file>