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D22B99">
        <w:t>26 października 2018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D22B99" w:rsidRPr="002C1E66">
        <w:t>o zmianie ustawy – Kodeks karny wykonawczy</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D22B99" w:rsidRPr="002C1E66">
        <w:t>o zmianie ustawy – Kodeks karny wykonawczy</w:t>
      </w:r>
      <w:r w:rsidRPr="005333D2">
        <w:t>.</w:t>
      </w:r>
    </w:p>
    <w:p w:rsidR="00186E4C" w:rsidRPr="005333D2" w:rsidRDefault="00186E4C" w:rsidP="00186E4C">
      <w:pPr>
        <w:pStyle w:val="NIEARTTEKSTtekstnieartykuowanynppreambua"/>
      </w:pPr>
      <w:r w:rsidRPr="005333D2">
        <w:t xml:space="preserve">Jednocześnie upoważnia senatora </w:t>
      </w:r>
      <w:r w:rsidR="00D22B99" w:rsidRPr="00B275C7">
        <w:t>Rafał</w:t>
      </w:r>
      <w:r w:rsidR="00D22B99">
        <w:t>a</w:t>
      </w:r>
      <w:r w:rsidR="00D22B99" w:rsidRPr="00B275C7">
        <w:t xml:space="preserve"> </w:t>
      </w:r>
      <w:hyperlink r:id="rId8" w:history="1">
        <w:r w:rsidR="00D22B99" w:rsidRPr="00B275C7">
          <w:t>Ambrozik</w:t>
        </w:r>
      </w:hyperlink>
      <w:r w:rsidR="00D22B99">
        <w:t>a</w:t>
      </w:r>
      <w:r w:rsidRPr="005333D2">
        <w:t xml:space="preserve"> do reprezentowania Senatu w pracach nad projektem.</w:t>
      </w:r>
    </w:p>
    <w:p w:rsidR="00C70646" w:rsidRPr="00621566" w:rsidRDefault="00C70646" w:rsidP="00C70646"/>
    <w:p w:rsidR="00D22B99" w:rsidRPr="00D22B99" w:rsidRDefault="00D22B99" w:rsidP="00D22B99">
      <w:pPr>
        <w:rPr>
          <w:color w:val="000000" w:themeColor="text1"/>
        </w:rPr>
      </w:pPr>
    </w:p>
    <w:p w:rsidR="00D22B99" w:rsidRPr="00D22B99" w:rsidRDefault="00D22B99" w:rsidP="00D22B99">
      <w:pPr>
        <w:rPr>
          <w:color w:val="000000" w:themeColor="text1"/>
        </w:rPr>
      </w:pPr>
    </w:p>
    <w:p w:rsidR="00D22B99" w:rsidRPr="00D22B99" w:rsidRDefault="00D22B99" w:rsidP="00D22B99">
      <w:pPr>
        <w:widowControl/>
        <w:tabs>
          <w:tab w:val="center" w:pos="6237"/>
        </w:tabs>
        <w:autoSpaceDE/>
        <w:autoSpaceDN/>
        <w:adjustRightInd/>
        <w:spacing w:line="240" w:lineRule="auto"/>
        <w:ind w:right="-2"/>
        <w:rPr>
          <w:rFonts w:eastAsia="Times New Roman" w:cs="Times New Roman"/>
          <w:b/>
          <w:color w:val="000000" w:themeColor="text1"/>
        </w:rPr>
      </w:pPr>
      <w:r w:rsidRPr="00D22B99">
        <w:rPr>
          <w:rFonts w:eastAsia="Times New Roman" w:cs="Times New Roman"/>
          <w:b/>
          <w:color w:val="000000" w:themeColor="text1"/>
        </w:rPr>
        <w:tab/>
        <w:t>MARSZAŁEK SENATU</w:t>
      </w:r>
    </w:p>
    <w:p w:rsidR="00D22B99" w:rsidRPr="00D22B99" w:rsidRDefault="00D22B99" w:rsidP="00D22B99">
      <w:pPr>
        <w:widowControl/>
        <w:tabs>
          <w:tab w:val="center" w:pos="6237"/>
        </w:tabs>
        <w:autoSpaceDE/>
        <w:autoSpaceDN/>
        <w:adjustRightInd/>
        <w:spacing w:line="240" w:lineRule="auto"/>
        <w:rPr>
          <w:rFonts w:eastAsia="Times New Roman" w:cs="Times New Roman"/>
          <w:b/>
          <w:color w:val="000000" w:themeColor="text1"/>
        </w:rPr>
      </w:pPr>
    </w:p>
    <w:p w:rsidR="00D22B99" w:rsidRPr="00D22B99" w:rsidRDefault="00D22B99" w:rsidP="00D22B99">
      <w:pPr>
        <w:widowControl/>
        <w:tabs>
          <w:tab w:val="center" w:pos="6237"/>
        </w:tabs>
        <w:autoSpaceDE/>
        <w:autoSpaceDN/>
        <w:adjustRightInd/>
        <w:spacing w:line="240" w:lineRule="auto"/>
        <w:rPr>
          <w:rFonts w:eastAsia="Times New Roman" w:cs="Times New Roman"/>
          <w:b/>
          <w:color w:val="000000" w:themeColor="text1"/>
        </w:rPr>
      </w:pPr>
    </w:p>
    <w:p w:rsidR="00D22B99" w:rsidRPr="00D22B99" w:rsidRDefault="00D22B99" w:rsidP="00D22B99">
      <w:pPr>
        <w:widowControl/>
        <w:tabs>
          <w:tab w:val="center" w:pos="6237"/>
        </w:tabs>
        <w:autoSpaceDE/>
        <w:autoSpaceDN/>
        <w:adjustRightInd/>
        <w:spacing w:line="240" w:lineRule="auto"/>
        <w:rPr>
          <w:rFonts w:eastAsia="Times New Roman" w:cs="Times New Roman"/>
          <w:b/>
          <w:color w:val="000000" w:themeColor="text1"/>
        </w:rPr>
      </w:pPr>
    </w:p>
    <w:p w:rsidR="00D22B99" w:rsidRPr="00D22B99" w:rsidRDefault="00D22B99" w:rsidP="00D22B99">
      <w:pPr>
        <w:widowControl/>
        <w:tabs>
          <w:tab w:val="center" w:pos="6237"/>
        </w:tabs>
        <w:autoSpaceDE/>
        <w:autoSpaceDN/>
        <w:adjustRightInd/>
        <w:spacing w:line="240" w:lineRule="auto"/>
        <w:ind w:right="-2"/>
        <w:rPr>
          <w:rFonts w:eastAsia="Times New Roman" w:cs="Times New Roman"/>
          <w:b/>
          <w:color w:val="000000" w:themeColor="text1"/>
        </w:rPr>
      </w:pPr>
      <w:r w:rsidRPr="00D22B99">
        <w:rPr>
          <w:rFonts w:eastAsia="Times New Roman" w:cs="Times New Roman"/>
          <w:b/>
          <w:color w:val="000000" w:themeColor="text1"/>
        </w:rPr>
        <w:tab/>
        <w:t>Stanisław KARCZEWSKI</w:t>
      </w:r>
    </w:p>
    <w:p w:rsidR="00D22B99" w:rsidRPr="00D22B99" w:rsidRDefault="00D22B99" w:rsidP="00D22B99">
      <w:pPr>
        <w:rPr>
          <w:color w:val="000000" w:themeColor="text1"/>
        </w:rPr>
      </w:pPr>
    </w:p>
    <w:p w:rsidR="00D22B99" w:rsidRPr="00D22B99" w:rsidRDefault="00D22B99" w:rsidP="00D22B99"/>
    <w:p w:rsidR="00A8550E" w:rsidRDefault="00A8550E" w:rsidP="00C70646">
      <w:pPr>
        <w:sectPr w:rsidR="00A8550E" w:rsidSect="001A7F15">
          <w:headerReference w:type="default" r:id="rId9"/>
          <w:pgSz w:w="11906" w:h="16838"/>
          <w:pgMar w:top="1560" w:right="1434" w:bottom="1560" w:left="1418" w:header="709" w:footer="709" w:gutter="0"/>
          <w:cols w:space="708"/>
          <w:titlePg/>
          <w:docGrid w:linePitch="254"/>
        </w:sectPr>
      </w:pPr>
    </w:p>
    <w:p w:rsidR="00A8550E" w:rsidRDefault="00A8550E" w:rsidP="00D42A0D">
      <w:pPr>
        <w:pStyle w:val="OZNPROJEKTUwskazaniedatylubwersjiprojektu"/>
      </w:pPr>
      <w:r>
        <w:lastRenderedPageBreak/>
        <w:t>projekt</w:t>
      </w:r>
    </w:p>
    <w:p w:rsidR="00A8550E" w:rsidRPr="00E000DC" w:rsidRDefault="00A8550E" w:rsidP="004810D7">
      <w:pPr>
        <w:pStyle w:val="OZNRODZAKTUtznustawalubrozporzdzenieiorganwydajcy"/>
      </w:pPr>
      <w:r w:rsidRPr="004810D7">
        <w:t>ustawa</w:t>
      </w:r>
    </w:p>
    <w:p w:rsidR="00A8550E" w:rsidRDefault="00A8550E" w:rsidP="00912118">
      <w:pPr>
        <w:pStyle w:val="DATAAKTUdatauchwalenialubwydaniaaktu"/>
      </w:pPr>
      <w:r w:rsidRPr="00E000DC">
        <w:t>z dnia</w:t>
      </w:r>
      <w:r>
        <w:t xml:space="preserve"> </w:t>
      </w:r>
    </w:p>
    <w:p w:rsidR="00A8550E" w:rsidRDefault="00A8550E" w:rsidP="004810D7">
      <w:pPr>
        <w:pStyle w:val="TYTUAKTUprzedmiotregulacjiustawylubrozporzdzenia"/>
      </w:pPr>
      <w:r>
        <w:t>o zmianie ustawy – Kodeks karny wykonawczy</w:t>
      </w:r>
    </w:p>
    <w:p w:rsidR="00A8550E" w:rsidRDefault="00A8550E" w:rsidP="008E7E82">
      <w:pPr>
        <w:pStyle w:val="ARTartustawynprozporzdzenia"/>
      </w:pPr>
      <w:r w:rsidRPr="006443F8">
        <w:rPr>
          <w:rStyle w:val="Ppogrubienie"/>
        </w:rPr>
        <w:t>Art. 1.</w:t>
      </w:r>
      <w:r>
        <w:rPr>
          <w:rStyle w:val="Ppogrubienie"/>
        </w:rPr>
        <w:t xml:space="preserve"> </w:t>
      </w:r>
      <w:r>
        <w:t>W ustawie z dnia 6 czerwca 1997 r. – Kodeks karny wykonawczy (Dz. U. z 2018 r. poz. 652, 1010 i 1387) wprowadza się następujące zmiany:</w:t>
      </w:r>
    </w:p>
    <w:p w:rsidR="00A8550E" w:rsidRDefault="00A8550E" w:rsidP="008E7E82">
      <w:pPr>
        <w:pStyle w:val="PKTpunkt"/>
      </w:pPr>
      <w:r w:rsidRPr="002966D8">
        <w:t>1)</w:t>
      </w:r>
      <w:r>
        <w:tab/>
        <w:t xml:space="preserve">w art. 199a </w:t>
      </w:r>
      <w:r>
        <w:rPr>
          <w:rFonts w:cs="Times"/>
        </w:rPr>
        <w:t>§</w:t>
      </w:r>
      <w:r>
        <w:t xml:space="preserve"> 2 </w:t>
      </w:r>
      <w:r w:rsidRPr="008E7E82">
        <w:t>otrzymuje</w:t>
      </w:r>
      <w:r>
        <w:t xml:space="preserve"> brzmienie:</w:t>
      </w:r>
    </w:p>
    <w:p w:rsidR="00A8550E" w:rsidRDefault="00A8550E" w:rsidP="008E7E82">
      <w:pPr>
        <w:pStyle w:val="ZUSTzmustartykuempunktem"/>
      </w:pPr>
      <w:r>
        <w:t>„</w:t>
      </w:r>
      <w:r>
        <w:rPr>
          <w:rFonts w:cs="Times"/>
        </w:rPr>
        <w:t>§</w:t>
      </w:r>
      <w:r>
        <w:t xml:space="preserve"> 2. W sprawach dotyczących wykonania środka zabezpieczającego w postaci pobytu w zakładzie psychiatrycznym właściwy jest sąd, w którego okręgu sprawca przebywa, będący sądem tego samego rzędu co sąd, który wydał orzeczenie w pierwszej instancji. Sąd ten jest również właściwy w przedmiocie zmiany tego środka zabezpieczającego na inny środek zabezpieczający.”;</w:t>
      </w:r>
    </w:p>
    <w:p w:rsidR="00A8550E" w:rsidRDefault="00A8550E" w:rsidP="001B1185">
      <w:pPr>
        <w:pStyle w:val="PKTpunkt"/>
      </w:pPr>
      <w:r>
        <w:t>2)</w:t>
      </w:r>
      <w:r>
        <w:tab/>
        <w:t>w art. 203:</w:t>
      </w:r>
    </w:p>
    <w:p w:rsidR="00A8550E" w:rsidRPr="002966D8" w:rsidRDefault="00A8550E" w:rsidP="000D1BA7">
      <w:pPr>
        <w:pStyle w:val="LITlitera"/>
      </w:pPr>
      <w:r>
        <w:t>a)</w:t>
      </w:r>
      <w:r>
        <w:tab/>
      </w:r>
      <w:r>
        <w:rPr>
          <w:rFonts w:cs="Times"/>
        </w:rPr>
        <w:t>§</w:t>
      </w:r>
      <w:r>
        <w:t xml:space="preserve"> 1 otrzymuje brzmienie:</w:t>
      </w:r>
    </w:p>
    <w:p w:rsidR="00A8550E" w:rsidRDefault="00A8550E" w:rsidP="00B85FE1">
      <w:pPr>
        <w:pStyle w:val="ZLITUSTzmustliter"/>
      </w:pPr>
      <w:r>
        <w:t>„</w:t>
      </w:r>
      <w:r>
        <w:rPr>
          <w:rFonts w:cs="Times"/>
        </w:rPr>
        <w:t>§</w:t>
      </w:r>
      <w:r>
        <w:t xml:space="preserve"> 1. Kierownik zakładu psychiatrycznego, w którym wykonuje się środek zabezpieczający w postaci pobytu w zakładzie psychiatrycznym, nie rzadziej niż co </w:t>
      </w:r>
      <w:r w:rsidRPr="006135D7">
        <w:t>6</w:t>
      </w:r>
      <w:r>
        <w:t> </w:t>
      </w:r>
      <w:r w:rsidRPr="006135D7">
        <w:t>miesięcy</w:t>
      </w:r>
      <w:r>
        <w:t xml:space="preserve"> przesyła do sądu opinię o stanie zdrowia sprawcy umieszczonego w tym zakładzie oraz o postępach w leczeniu lub terapii. Opinię taką k</w:t>
      </w:r>
      <w:r w:rsidRPr="003233B4">
        <w:t xml:space="preserve">ierownik zakładu psychiatrycznego </w:t>
      </w:r>
      <w:r>
        <w:t>obowiązany jest przesłać bezzwłocznie, jeżeli w związku ze zmianą stanu zdrowia sprawcy uzna, że jego dalsze pozostawanie w zakładzie nie jest konieczne.”,</w:t>
      </w:r>
    </w:p>
    <w:p w:rsidR="00A8550E" w:rsidRDefault="00A8550E" w:rsidP="000D1BA7">
      <w:pPr>
        <w:pStyle w:val="LITlitera"/>
      </w:pPr>
      <w:r>
        <w:t>b)</w:t>
      </w:r>
      <w:r>
        <w:tab/>
        <w:t xml:space="preserve">po </w:t>
      </w:r>
      <w:r w:rsidRPr="000D1BA7">
        <w:t xml:space="preserve">§ </w:t>
      </w:r>
      <w:r>
        <w:t xml:space="preserve">2 dodaje się </w:t>
      </w:r>
      <w:r w:rsidRPr="000D1BA7">
        <w:t xml:space="preserve">§ </w:t>
      </w:r>
      <w:r>
        <w:t>2a w brzmieniu:</w:t>
      </w:r>
    </w:p>
    <w:p w:rsidR="00A8550E" w:rsidRDefault="00A8550E" w:rsidP="00B85FE1">
      <w:pPr>
        <w:pStyle w:val="ZLITUSTzmustliter"/>
      </w:pPr>
      <w:r>
        <w:t>„</w:t>
      </w:r>
      <w:r w:rsidRPr="000D1BA7">
        <w:t xml:space="preserve">§ </w:t>
      </w:r>
      <w:r>
        <w:t xml:space="preserve">2a. W opiniach, o których mowa w </w:t>
      </w:r>
      <w:r w:rsidRPr="000D1BA7">
        <w:t>§ 1</w:t>
      </w:r>
      <w:r>
        <w:t xml:space="preserve"> i 2, zamieszcza się również opinię </w:t>
      </w:r>
      <w:r w:rsidRPr="000D1BA7">
        <w:t>o</w:t>
      </w:r>
      <w:r>
        <w:t> </w:t>
      </w:r>
      <w:r w:rsidRPr="000D1BA7">
        <w:t xml:space="preserve">tym, czy </w:t>
      </w:r>
      <w:r>
        <w:t xml:space="preserve">ze względu na </w:t>
      </w:r>
      <w:r w:rsidRPr="000D1BA7">
        <w:t xml:space="preserve">stan zdrowia sprawcy </w:t>
      </w:r>
      <w:r>
        <w:t>jego</w:t>
      </w:r>
      <w:r w:rsidRPr="000D1BA7">
        <w:t xml:space="preserve"> udział w posiedzeniu, o</w:t>
      </w:r>
      <w:r>
        <w:t> </w:t>
      </w:r>
      <w:r w:rsidRPr="000D1BA7">
        <w:t>którym mowa w</w:t>
      </w:r>
      <w:r>
        <w:t> </w:t>
      </w:r>
      <w:r w:rsidRPr="000D1BA7">
        <w:t>art.</w:t>
      </w:r>
      <w:r>
        <w:t> </w:t>
      </w:r>
      <w:r w:rsidRPr="000D1BA7">
        <w:t>204</w:t>
      </w:r>
      <w:r>
        <w:t> </w:t>
      </w:r>
      <w:r w:rsidRPr="000D1BA7">
        <w:t>§</w:t>
      </w:r>
      <w:r>
        <w:t> </w:t>
      </w:r>
      <w:r w:rsidRPr="000D1BA7">
        <w:t>2</w:t>
      </w:r>
      <w:r>
        <w:t>, byłby niewskazany. W razie potrzeby sąd zasięga opinii innych biegłych.”;</w:t>
      </w:r>
    </w:p>
    <w:p w:rsidR="00A8550E" w:rsidRDefault="00A8550E" w:rsidP="0025742F">
      <w:pPr>
        <w:pStyle w:val="PKTpunkt"/>
      </w:pPr>
      <w:r>
        <w:t>3)</w:t>
      </w:r>
      <w:r>
        <w:tab/>
        <w:t xml:space="preserve">w art. 204 po </w:t>
      </w:r>
      <w:r>
        <w:rPr>
          <w:rFonts w:cs="Times"/>
        </w:rPr>
        <w:t>§</w:t>
      </w:r>
      <w:r>
        <w:t xml:space="preserve"> 2 dodaje się </w:t>
      </w:r>
      <w:r>
        <w:rPr>
          <w:rFonts w:cs="Times"/>
        </w:rPr>
        <w:t>§</w:t>
      </w:r>
      <w:r>
        <w:t xml:space="preserve"> 2a–2d w brzmieniu:</w:t>
      </w:r>
    </w:p>
    <w:p w:rsidR="00A8550E" w:rsidRDefault="00A8550E" w:rsidP="00646874">
      <w:pPr>
        <w:pStyle w:val="ZUSTzmustartykuempunktem"/>
      </w:pPr>
      <w:r>
        <w:t>„</w:t>
      </w:r>
      <w:r>
        <w:rPr>
          <w:rFonts w:cs="Times"/>
        </w:rPr>
        <w:t>§</w:t>
      </w:r>
      <w:r>
        <w:t xml:space="preserve"> 2a. Sprawca ma prawo wziąć udział w posiedzeniu, o którym mowa w </w:t>
      </w:r>
      <w:r>
        <w:rPr>
          <w:rFonts w:cs="Times"/>
        </w:rPr>
        <w:t>§</w:t>
      </w:r>
      <w:r>
        <w:t xml:space="preserve"> 2. Sprawca nie bierze udziału w posiedzeniu, jeżeli z opinii biegłych wynika, że byłoby to niewskazane, chyba że sąd uzna jego udział za konieczny.</w:t>
      </w:r>
    </w:p>
    <w:p w:rsidR="00A8550E" w:rsidRDefault="00A8550E" w:rsidP="00646874">
      <w:pPr>
        <w:pStyle w:val="ZUSTzmustartykuempunktem"/>
      </w:pPr>
      <w:r>
        <w:t>§ 2b.</w:t>
      </w:r>
      <w:r w:rsidRPr="006B52AD">
        <w:t xml:space="preserve"> Doręczając </w:t>
      </w:r>
      <w:r>
        <w:t>sprawcy</w:t>
      </w:r>
      <w:r w:rsidRPr="007B28B0">
        <w:t xml:space="preserve"> zawiadomienie o terminie </w:t>
      </w:r>
      <w:r>
        <w:t>posiedzenia</w:t>
      </w:r>
      <w:r w:rsidRPr="007B28B0">
        <w:t xml:space="preserve">, należy go pouczyć o prawie do złożenia wniosku o doprowadzenie go na </w:t>
      </w:r>
      <w:r>
        <w:t>posiedzenie</w:t>
      </w:r>
      <w:r w:rsidRPr="007B28B0">
        <w:t>.</w:t>
      </w:r>
    </w:p>
    <w:p w:rsidR="00A8550E" w:rsidRDefault="00A8550E" w:rsidP="00646874">
      <w:pPr>
        <w:pStyle w:val="ZUSTzmustartykuempunktem"/>
      </w:pPr>
      <w:r>
        <w:lastRenderedPageBreak/>
        <w:t xml:space="preserve">§ 2c. Wniosek, o którym mowa w </w:t>
      </w:r>
      <w:r w:rsidRPr="00BB4A00">
        <w:t>§</w:t>
      </w:r>
      <w:r>
        <w:t xml:space="preserve"> 2b, powinien być złożony w terminie 7 dni od daty doręczenia zawiadomienia. Wniosek złożony po terminie podlega rozpoznaniu, jeżeli nie powoduje to konieczności zmiany terminu posiedzenia, o którym mowa w </w:t>
      </w:r>
      <w:r>
        <w:rPr>
          <w:rFonts w:cs="Times"/>
        </w:rPr>
        <w:t>§</w:t>
      </w:r>
      <w:r>
        <w:t xml:space="preserve"> 2.</w:t>
      </w:r>
    </w:p>
    <w:p w:rsidR="00A8550E" w:rsidRDefault="00A8550E" w:rsidP="00646874">
      <w:pPr>
        <w:pStyle w:val="ZUSTzmustartykuempunktem"/>
      </w:pPr>
      <w:r>
        <w:t xml:space="preserve">§ 2d. Wniosek, o którym mowa w </w:t>
      </w:r>
      <w:r>
        <w:rPr>
          <w:rFonts w:cs="Times"/>
        </w:rPr>
        <w:t>§</w:t>
      </w:r>
      <w:r>
        <w:t xml:space="preserve"> 2b, może być złożony również kierownikowi zakładu psychiatrycznego, w którym sprawca jest umieszczony. Kierownik</w:t>
      </w:r>
      <w:r w:rsidRPr="0043452B">
        <w:t xml:space="preserve"> zakładu psychiatrycznego</w:t>
      </w:r>
      <w:r>
        <w:t xml:space="preserve"> niezwłocznie przekazuje wniosek do właściwego sądu.”.</w:t>
      </w:r>
    </w:p>
    <w:p w:rsidR="00A8550E" w:rsidRPr="00BB54B5" w:rsidRDefault="00A8550E" w:rsidP="00BB54B5">
      <w:pPr>
        <w:pStyle w:val="ARTartustawynprozporzdzenia"/>
      </w:pPr>
      <w:r>
        <w:rPr>
          <w:rStyle w:val="Ppogrubienie"/>
        </w:rPr>
        <w:t>A</w:t>
      </w:r>
      <w:r w:rsidRPr="006443F8">
        <w:rPr>
          <w:rStyle w:val="Ppogrubienie"/>
        </w:rPr>
        <w:t>rt. 2.</w:t>
      </w:r>
      <w:r w:rsidRPr="00BB54B5">
        <w:t xml:space="preserve"> Ustawa wchodzi w życie po upływie 14 dni od dnia ogłoszenia.</w:t>
      </w:r>
    </w:p>
    <w:p w:rsidR="00C70646" w:rsidRDefault="00C70646" w:rsidP="00C70646"/>
    <w:p w:rsidR="00A34E81" w:rsidRDefault="00A34E81" w:rsidP="00C70646"/>
    <w:p w:rsidR="00A34E81" w:rsidRDefault="00A34E81" w:rsidP="00C70646">
      <w:pPr>
        <w:sectPr w:rsidR="00A34E81" w:rsidSect="00A8550E">
          <w:headerReference w:type="default" r:id="rId10"/>
          <w:pgSz w:w="11906" w:h="16838"/>
          <w:pgMar w:top="1560" w:right="1434" w:bottom="1560" w:left="1418" w:header="709" w:footer="709" w:gutter="0"/>
          <w:pgNumType w:start="1"/>
          <w:cols w:space="708"/>
          <w:titlePg/>
          <w:docGrid w:linePitch="254"/>
        </w:sectPr>
      </w:pPr>
    </w:p>
    <w:p w:rsidR="00A34E81" w:rsidRPr="00613011" w:rsidRDefault="00A34E81" w:rsidP="00613011">
      <w:pPr>
        <w:pStyle w:val="OZNRODZAKTUtznustawalubrozporzdzenieiorganwydajcy"/>
      </w:pPr>
      <w:r w:rsidRPr="00613011">
        <w:t>UZASADNIENIE</w:t>
      </w:r>
    </w:p>
    <w:p w:rsidR="00A34E81" w:rsidRDefault="00A34E81" w:rsidP="0015321A">
      <w:pPr>
        <w:pStyle w:val="NIEARTTEKSTtekstnieartykuowanynppodstprawnarozplubpreambua"/>
      </w:pPr>
    </w:p>
    <w:p w:rsidR="00A34E81" w:rsidRPr="0015321A" w:rsidRDefault="00A34E81" w:rsidP="0015321A">
      <w:pPr>
        <w:pStyle w:val="NIEARTTEKSTtekstnieartykuowanynppodstprawnarozplubpreambua"/>
        <w:ind w:firstLine="0"/>
        <w:rPr>
          <w:rStyle w:val="Ppogrubienie"/>
        </w:rPr>
      </w:pPr>
      <w:r w:rsidRPr="0015321A">
        <w:rPr>
          <w:rStyle w:val="Ppogrubienie"/>
        </w:rPr>
        <w:t>1. Cel projektowanej ustawy</w:t>
      </w:r>
    </w:p>
    <w:p w:rsidR="00A34E81" w:rsidRDefault="00A34E81" w:rsidP="00221CC4">
      <w:pPr>
        <w:pStyle w:val="NIEARTTEKSTtekstnieartykuowanynppodstprawnarozplubpreambua"/>
      </w:pPr>
      <w:r w:rsidRPr="00B14E14">
        <w:t xml:space="preserve">Projektowana ustawa o zmianie ustawy </w:t>
      </w:r>
      <w:r>
        <w:t xml:space="preserve">– Kodeks karny wykonawczy </w:t>
      </w:r>
      <w:r w:rsidRPr="00B14E14">
        <w:t xml:space="preserve">ma na celu </w:t>
      </w:r>
      <w:r>
        <w:t>dostosowanie systemu prawa do</w:t>
      </w:r>
      <w:r w:rsidRPr="00B14E14">
        <w:t xml:space="preserve"> wyroku Trybunału Konstytucyjnego</w:t>
      </w:r>
      <w:r w:rsidRPr="00510A18">
        <w:t xml:space="preserve"> z dnia </w:t>
      </w:r>
      <w:r>
        <w:t>22</w:t>
      </w:r>
      <w:r w:rsidRPr="00510A18">
        <w:t xml:space="preserve"> </w:t>
      </w:r>
      <w:r>
        <w:t>marca</w:t>
      </w:r>
      <w:r w:rsidRPr="00510A18">
        <w:t xml:space="preserve"> 201</w:t>
      </w:r>
      <w:r>
        <w:t>7</w:t>
      </w:r>
      <w:r w:rsidRPr="00510A18">
        <w:t xml:space="preserve"> r. (sygn. akt </w:t>
      </w:r>
      <w:r>
        <w:t>SK</w:t>
      </w:r>
      <w:r w:rsidRPr="00510A18">
        <w:t xml:space="preserve"> </w:t>
      </w:r>
      <w:r>
        <w:t>13</w:t>
      </w:r>
      <w:r w:rsidRPr="00510A18">
        <w:t>/1</w:t>
      </w:r>
      <w:r>
        <w:t>4</w:t>
      </w:r>
      <w:r w:rsidRPr="00510A18">
        <w:t>)</w:t>
      </w:r>
      <w:r>
        <w:t xml:space="preserve">, </w:t>
      </w:r>
      <w:r w:rsidRPr="00B14E14">
        <w:t>stwierdzając</w:t>
      </w:r>
      <w:r>
        <w:t>ego</w:t>
      </w:r>
      <w:r w:rsidRPr="00B14E14">
        <w:t xml:space="preserve"> niezgodność</w:t>
      </w:r>
      <w:r>
        <w:t xml:space="preserve"> </w:t>
      </w:r>
      <w:r w:rsidRPr="005259D4">
        <w:t xml:space="preserve">art. 204 § 1 i 2 w związku z art. 22 § 1 </w:t>
      </w:r>
      <w:r w:rsidRPr="00221CC4">
        <w:t>ustawy z dnia 6 czerwca 1997 r. – Kodeks karny wykonawczy (Dz. U. z 2017 r. poz. 665 z</w:t>
      </w:r>
      <w:r>
        <w:t>  </w:t>
      </w:r>
      <w:r w:rsidRPr="00221CC4">
        <w:t>późn. zm.; dalej jako k.k.w.)</w:t>
      </w:r>
      <w:r>
        <w:t xml:space="preserve"> z Konstytucją. </w:t>
      </w:r>
      <w:r w:rsidRPr="00510A18">
        <w:t xml:space="preserve">Sentencja </w:t>
      </w:r>
      <w:r>
        <w:t>powołanego orzeczenia</w:t>
      </w:r>
      <w:r w:rsidRPr="00510A18">
        <w:t xml:space="preserve"> została opublikowana w Dz. U. </w:t>
      </w:r>
      <w:r>
        <w:t xml:space="preserve">z dnia 29 marca 2017 r., </w:t>
      </w:r>
      <w:r w:rsidRPr="00510A18">
        <w:t xml:space="preserve">poz. </w:t>
      </w:r>
      <w:r>
        <w:t>666</w:t>
      </w:r>
      <w:r w:rsidRPr="00510A18">
        <w:t xml:space="preserve">. Pełny tekst </w:t>
      </w:r>
      <w:r>
        <w:t>rozstrzygnięcia wraz z </w:t>
      </w:r>
      <w:r w:rsidRPr="00510A18">
        <w:t xml:space="preserve">uzasadnieniem ukazał się w OTK ZU </w:t>
      </w:r>
      <w:r>
        <w:t>A poz. 19</w:t>
      </w:r>
      <w:r w:rsidRPr="00510A18">
        <w:t>.</w:t>
      </w:r>
    </w:p>
    <w:p w:rsidR="00A34E81" w:rsidRPr="0015321A" w:rsidRDefault="00A34E81" w:rsidP="0015321A"/>
    <w:p w:rsidR="00A34E81" w:rsidRPr="0015321A" w:rsidRDefault="00A34E81" w:rsidP="00C50587">
      <w:pPr>
        <w:rPr>
          <w:rStyle w:val="Ppogrubienie"/>
        </w:rPr>
      </w:pPr>
      <w:r w:rsidRPr="0015321A">
        <w:rPr>
          <w:rStyle w:val="Ppogrubienie"/>
        </w:rPr>
        <w:t>2. Przedmiot i istota wypowiedzi Trybunału Konstytucyjnego</w:t>
      </w:r>
    </w:p>
    <w:p w:rsidR="00A34E81" w:rsidRDefault="00A34E81" w:rsidP="000C244F">
      <w:pPr>
        <w:pStyle w:val="NIEARTTEKSTtekstnieartykuowanynppodstprawnarozplubpreambua"/>
      </w:pPr>
      <w:r>
        <w:t xml:space="preserve">2.1. Trybunał orzekł, że </w:t>
      </w:r>
      <w:r w:rsidRPr="000C244F">
        <w:t>art. 204 § 1 i 2 w zw</w:t>
      </w:r>
      <w:r>
        <w:t>.</w:t>
      </w:r>
      <w:r w:rsidRPr="000C244F">
        <w:t xml:space="preserve"> z art. 22 § 1 k.k.w.</w:t>
      </w:r>
      <w:r>
        <w:t xml:space="preserve"> w zakresie, w </w:t>
      </w:r>
      <w:r w:rsidRPr="000C244F">
        <w:t>jakim nie przewiduje prawa do osobistego udziału sprawcy, wobec którego st</w:t>
      </w:r>
      <w:r>
        <w:t xml:space="preserve">osowany jest </w:t>
      </w:r>
      <w:r w:rsidRPr="000C244F">
        <w:t>środek zabezpieczający polegający na umieszczeniu w zamkniętym zakładzie psychiatrycznym, w  posiedzeniu sądu w sprawie dalszego stosowania tego środka zabezpieczającego, jest niezgodny z art. 45 ust. 1 w zw</w:t>
      </w:r>
      <w:r>
        <w:t>.</w:t>
      </w:r>
      <w:r w:rsidRPr="000C244F">
        <w:t xml:space="preserve"> z art. 41 ust. 1 i art. 31 ust. 3 Konstytucji Rzeczypospolitej Polskiej.</w:t>
      </w:r>
    </w:p>
    <w:p w:rsidR="00A34E81" w:rsidRDefault="00A34E81" w:rsidP="00D9104D">
      <w:pPr>
        <w:pStyle w:val="ARTartustawynprozporzdzenia"/>
      </w:pPr>
      <w:r>
        <w:t xml:space="preserve">2.2. Stosownie do art. 204 § 1 k.k.w., w przypadku gdy wobec sprawcy orzeczono </w:t>
      </w:r>
      <w:r w:rsidRPr="00D9104D">
        <w:t>pobyt w zakładzie psychiatrycznym, sąd, nie rzadziej niż co 6 miesięcy, orzeka w przedmiocie</w:t>
      </w:r>
      <w:r>
        <w:t xml:space="preserve"> dalszego stosowania tego środka, a w razie uzyskania opinii, że dalsze pozostawanie sprawcy w zakładzie nie jest konieczne – bezzwłocznie. W razie potrzeby sąd zasięga opinii innych </w:t>
      </w:r>
      <w:r w:rsidRPr="00D9104D">
        <w:t>biegłych (obowiązek przedłożenia sądowi opinii o stanie zdrowia sprawcy umieszczonego w </w:t>
      </w:r>
      <w:r>
        <w:t>zakładzie psychiatrycznym i o postępach w leczeniu lub terapii statuuje art. 203 § 1 k.k.w.)</w:t>
      </w:r>
      <w:r w:rsidRPr="00D9104D">
        <w:t xml:space="preserve">. Z kolei </w:t>
      </w:r>
      <w:r>
        <w:t xml:space="preserve">§ 2 analizowanego artykułu </w:t>
      </w:r>
      <w:r w:rsidRPr="00D9104D">
        <w:t xml:space="preserve">przewiduje, że w posiedzeniu w przedmiocie dalszego </w:t>
      </w:r>
      <w:r w:rsidRPr="00AB5767">
        <w:rPr>
          <w:spacing w:val="-3"/>
        </w:rPr>
        <w:t>stosowania pobytu sprawcy w zakładzie psychiatrycznym obowiązkowy jest udział prokuratora,</w:t>
      </w:r>
      <w:r>
        <w:t xml:space="preserve"> a w sytuacjach określonych w art. 8 § 2 k.k.w. (tzw. obrona obligatoryjna) także obrońcy, chyba że sąd orzeka na korzyść lub zgodnie z wnioskiem skazanego.</w:t>
      </w:r>
    </w:p>
    <w:p w:rsidR="00A34E81" w:rsidRDefault="00A34E81" w:rsidP="00B61DAF">
      <w:pPr>
        <w:pStyle w:val="ARTartustawynprozporzdzenia"/>
      </w:pPr>
      <w:r w:rsidRPr="00576F20">
        <w:rPr>
          <w:spacing w:val="-2"/>
        </w:rPr>
        <w:t>Z art. 204 § 2 k.k.w. nie wynika, by sprawcy przysługiwało prawo udziału w posiedzeniu</w:t>
      </w:r>
      <w:r>
        <w:t xml:space="preserve"> w przedmiocie dalszego stosowania środka zabezpieczającego w postaci pobytu w zakładzie psychiatrycznym. Gwarancji takiej nie wyraża również ogólny przepis art. 22 § 1 k.k.w. ani też art. 199b § 4 k.k.w., zamieszczony w tym samym rozdziale co art. 204 (tj. rozdziale XIII poświęconym problematyce wykonywania środków zabezpieczających). Zgodnie bowiem z postanowieniem tego pierwszego przepisu, prokurator, skazany oraz jego obrońca, sądowy kurator zawodowy, pokrzywdzony, a także inne osoby, o których mowa w art. 19 § 1 (tzn. </w:t>
      </w:r>
      <w:r w:rsidRPr="00284174">
        <w:rPr>
          <w:spacing w:val="-3"/>
        </w:rPr>
        <w:t>uprawnione w myśl przepisów szczególnych do inicjowania postępowania przed sądem poprzez</w:t>
      </w:r>
      <w:r w:rsidRPr="008D6A3E">
        <w:rPr>
          <w:spacing w:val="-2"/>
        </w:rPr>
        <w:t xml:space="preserve"> złożenie wniosku),</w:t>
      </w:r>
      <w:r>
        <w:t xml:space="preserve"> mają prawo wziąć udział w posiedzeniu, </w:t>
      </w:r>
      <w:r w:rsidRPr="00284174">
        <w:rPr>
          <w:spacing w:val="30"/>
        </w:rPr>
        <w:t>gdy ustawa tak stanow</w:t>
      </w:r>
      <w:r>
        <w:t xml:space="preserve">i; w posiedzeniu sądu wyższej instancji mają prawo wziąć udział osoby, którym przysługuje prawo do udziału w posiedzeniu sądu pierwszej instancji. Natomiast art. 199b § 3 k.k.w., przesądza, że </w:t>
      </w:r>
      <w:r w:rsidRPr="00993CFF">
        <w:t>prokurator, sprawca lub jego obrońca</w:t>
      </w:r>
      <w:r>
        <w:t>, a ponadto</w:t>
      </w:r>
      <w:r w:rsidRPr="00993CFF">
        <w:t xml:space="preserve"> </w:t>
      </w:r>
      <w:r>
        <w:t xml:space="preserve">m.in. kierownik zakładu psychiatrycznego (jeżeli złożył wniosek) mają </w:t>
      </w:r>
      <w:r w:rsidRPr="00993CFF">
        <w:t xml:space="preserve">prawo wziąć udział </w:t>
      </w:r>
      <w:r>
        <w:t xml:space="preserve">w posiedzeniu sądu w  sprawie </w:t>
      </w:r>
      <w:r w:rsidRPr="00082103">
        <w:rPr>
          <w:spacing w:val="30"/>
        </w:rPr>
        <w:t>orzeczenia, zmiany lub uchylenia środka zabezpieczająceg</w:t>
      </w:r>
      <w:r>
        <w:t>o. Jednak postępowanie kontrolne, mające na celu ustalenie zasadności przedłużenia internacji psychiatrycznej, jest odrębną instytucją kodeksową niż te, do których odnosi się art. 199b k.k.w.</w:t>
      </w:r>
    </w:p>
    <w:p w:rsidR="00A34E81" w:rsidRDefault="00A34E81" w:rsidP="00EC7DAC">
      <w:pPr>
        <w:pStyle w:val="ARTartustawynprozporzdzenia"/>
        <w:rPr>
          <w:szCs w:val="24"/>
        </w:rPr>
      </w:pPr>
      <w:r>
        <w:t xml:space="preserve">2.3. Ocenę konstytucyjności zaskarżonej normy prawnej TK poprzedził refleksją na temat internacji psychiatrycznej stosowanej jako środek zabezpieczający. Otóż Trybunał podkreślił, że orzeczenie tego środka nie jest karą w sensie ścisłym. „Nie stanowi </w:t>
      </w:r>
      <w:r w:rsidRPr="00DC44CA">
        <w:rPr>
          <w:szCs w:val="24"/>
        </w:rPr>
        <w:t>ani wyrazu potępienia sprawcy oraz jego czynu, ani</w:t>
      </w:r>
      <w:r>
        <w:rPr>
          <w:szCs w:val="24"/>
        </w:rPr>
        <w:t xml:space="preserve"> </w:t>
      </w:r>
      <w:r>
        <w:rPr>
          <w:rFonts w:cs="Times"/>
          <w:szCs w:val="24"/>
        </w:rPr>
        <w:t>«</w:t>
      </w:r>
      <w:r w:rsidRPr="00DC44CA">
        <w:rPr>
          <w:szCs w:val="24"/>
        </w:rPr>
        <w:t>odpłaty</w:t>
      </w:r>
      <w:r>
        <w:rPr>
          <w:rFonts w:cs="Times"/>
          <w:szCs w:val="24"/>
        </w:rPr>
        <w:t>»</w:t>
      </w:r>
      <w:r w:rsidRPr="00DC44CA">
        <w:rPr>
          <w:szCs w:val="24"/>
        </w:rPr>
        <w:t xml:space="preserve"> za naruszenie dób</w:t>
      </w:r>
      <w:r>
        <w:rPr>
          <w:szCs w:val="24"/>
        </w:rPr>
        <w:t xml:space="preserve">r objętych ochroną karnoprawną (…) </w:t>
      </w:r>
      <w:r w:rsidRPr="00DC44CA">
        <w:rPr>
          <w:szCs w:val="24"/>
        </w:rPr>
        <w:t>wskazany środek zabezpieczający realizuje zupełnie inne funkcje niż kara penalna, mianowicie funkcję ochronną – zarówno</w:t>
      </w:r>
      <w:r>
        <w:rPr>
          <w:szCs w:val="24"/>
        </w:rPr>
        <w:t xml:space="preserve"> w </w:t>
      </w:r>
      <w:r w:rsidRPr="00DC44CA">
        <w:rPr>
          <w:szCs w:val="24"/>
        </w:rPr>
        <w:t>stosunku do</w:t>
      </w:r>
      <w:r>
        <w:rPr>
          <w:szCs w:val="24"/>
        </w:rPr>
        <w:t xml:space="preserve"> </w:t>
      </w:r>
      <w:r w:rsidRPr="00DC44CA">
        <w:rPr>
          <w:szCs w:val="24"/>
        </w:rPr>
        <w:t xml:space="preserve">osób trzecich, których dobra </w:t>
      </w:r>
      <w:r w:rsidRPr="00373B17">
        <w:rPr>
          <w:spacing w:val="-2"/>
          <w:szCs w:val="24"/>
        </w:rPr>
        <w:t>mogą być ponownie naruszone przez sprawcę ze względu na jego dysfunkcję psychiczną, jak i</w:t>
      </w:r>
      <w:r>
        <w:rPr>
          <w:szCs w:val="24"/>
        </w:rPr>
        <w:t xml:space="preserve"> </w:t>
      </w:r>
      <w:r w:rsidRPr="004D6386">
        <w:rPr>
          <w:spacing w:val="-2"/>
          <w:szCs w:val="24"/>
        </w:rPr>
        <w:t>wobec samego sprawcy (</w:t>
      </w:r>
      <w:r w:rsidRPr="004D6386">
        <w:rPr>
          <w:rFonts w:cs="Times"/>
          <w:spacing w:val="-2"/>
          <w:szCs w:val="24"/>
        </w:rPr>
        <w:t>«</w:t>
      </w:r>
      <w:r w:rsidRPr="004D6386">
        <w:rPr>
          <w:spacing w:val="-2"/>
          <w:szCs w:val="24"/>
        </w:rPr>
        <w:t>ochrona przed samym sobą</w:t>
      </w:r>
      <w:r w:rsidRPr="004D6386">
        <w:rPr>
          <w:rFonts w:cs="Times"/>
          <w:spacing w:val="-2"/>
          <w:szCs w:val="24"/>
        </w:rPr>
        <w:t>»</w:t>
      </w:r>
      <w:r w:rsidRPr="004D6386">
        <w:rPr>
          <w:spacing w:val="-2"/>
          <w:szCs w:val="24"/>
        </w:rPr>
        <w:t>) – a także funkcję leczniczą”. Niemniej,</w:t>
      </w:r>
      <w:r>
        <w:rPr>
          <w:szCs w:val="24"/>
        </w:rPr>
        <w:t xml:space="preserve"> podobnie jak inne środki zabezpieczające, umieszczenie w zakładzie psychiatrycznym jest „instytucją </w:t>
      </w:r>
      <w:r w:rsidRPr="00DC44CA">
        <w:rPr>
          <w:szCs w:val="24"/>
        </w:rPr>
        <w:t>prawa karnego stosowaną wobec sprawcy</w:t>
      </w:r>
      <w:r>
        <w:rPr>
          <w:szCs w:val="24"/>
        </w:rPr>
        <w:t xml:space="preserve"> w </w:t>
      </w:r>
      <w:r w:rsidRPr="00DC44CA">
        <w:rPr>
          <w:szCs w:val="24"/>
        </w:rPr>
        <w:t xml:space="preserve">związku z popełnieniem czynu zabronionego przez ustawę karną. Należy zatem do kategorii środków reakcji karnoprawnej, </w:t>
      </w:r>
      <w:r w:rsidRPr="00263A6A">
        <w:rPr>
          <w:spacing w:val="-2"/>
          <w:szCs w:val="24"/>
        </w:rPr>
        <w:t>przez co musi podlegać obudowaniu szczególnie silnymi rozwiązaniami gwarancyjnymi, które</w:t>
      </w:r>
      <w:r w:rsidRPr="00DC44CA">
        <w:rPr>
          <w:szCs w:val="24"/>
        </w:rPr>
        <w:t xml:space="preserve"> wykluczą ryzyko stosowania ich</w:t>
      </w:r>
      <w:r>
        <w:rPr>
          <w:szCs w:val="24"/>
        </w:rPr>
        <w:t xml:space="preserve"> w </w:t>
      </w:r>
      <w:r w:rsidRPr="00DC44CA">
        <w:rPr>
          <w:szCs w:val="24"/>
        </w:rPr>
        <w:t>sposób arbitralny, z naruszeniem zasad adekwatności oraz konieczności</w:t>
      </w:r>
      <w:r>
        <w:rPr>
          <w:szCs w:val="24"/>
        </w:rPr>
        <w:t xml:space="preserve">”. TK zwrócił ponadto uwagę, że środek zabezpieczający w postaci internacji psychiatrycznej wykazuje wyraźne podobieństwo z karą penalną pozbawienia wolności, gdyż </w:t>
      </w:r>
      <w:r w:rsidRPr="009A37F3">
        <w:rPr>
          <w:spacing w:val="-2"/>
          <w:szCs w:val="24"/>
        </w:rPr>
        <w:t>polega na izolacji sprawcy i pozbawieniu go możliwości korzystania z konstytucyjnej wolności</w:t>
      </w:r>
      <w:r>
        <w:rPr>
          <w:szCs w:val="24"/>
        </w:rPr>
        <w:t xml:space="preserve"> osobistej (art. 41 ust. 1 Konstytucji).</w:t>
      </w:r>
    </w:p>
    <w:p w:rsidR="00A34E81" w:rsidRDefault="00A34E81" w:rsidP="00EC7DAC">
      <w:pPr>
        <w:pStyle w:val="ARTartustawynprozporzdzenia"/>
        <w:rPr>
          <w:szCs w:val="24"/>
        </w:rPr>
      </w:pPr>
      <w:r>
        <w:rPr>
          <w:szCs w:val="24"/>
        </w:rPr>
        <w:t xml:space="preserve">Kolejno Trybunał dokonał porównania rozwiązań wynikających z art. 354 pkt 2 ustawy z dnia 6 czerwca 1997 r. – Kodeks postępowania karnego (dalej jako k.p.k.), czyli przepisu odnoszącego się do orzekania po raz pierwszy o zastosowaniu środka zabezpieczającego (w  tym przymusowego umieszczenia w zakładzie psychiatrycznym) oraz zaskarżonych przepisów art. 204 </w:t>
      </w:r>
      <w:r w:rsidRPr="00FC5156">
        <w:rPr>
          <w:spacing w:val="-2"/>
        </w:rPr>
        <w:t>§ 1 i 2 w</w:t>
      </w:r>
      <w:r>
        <w:rPr>
          <w:spacing w:val="-2"/>
        </w:rPr>
        <w:t xml:space="preserve"> </w:t>
      </w:r>
      <w:r w:rsidRPr="00FC5156">
        <w:rPr>
          <w:spacing w:val="-2"/>
        </w:rPr>
        <w:t>zw</w:t>
      </w:r>
      <w:r>
        <w:rPr>
          <w:spacing w:val="-2"/>
        </w:rPr>
        <w:t>.</w:t>
      </w:r>
      <w:r w:rsidRPr="00FC5156">
        <w:rPr>
          <w:spacing w:val="-2"/>
        </w:rPr>
        <w:t xml:space="preserve"> z art. 22 § 1 </w:t>
      </w:r>
      <w:r>
        <w:rPr>
          <w:spacing w:val="-2"/>
        </w:rPr>
        <w:t>k.k.w. Jak ustalił TK, procedura karna przewiduje „</w:t>
      </w:r>
      <w:r w:rsidRPr="00DC44CA">
        <w:rPr>
          <w:rFonts w:eastAsia="MS Mincho"/>
          <w:szCs w:val="24"/>
        </w:rPr>
        <w:t>prawo udziału sprawcy czynu popełnionego</w:t>
      </w:r>
      <w:r>
        <w:rPr>
          <w:rFonts w:eastAsia="MS Mincho"/>
          <w:szCs w:val="24"/>
        </w:rPr>
        <w:t xml:space="preserve"> w </w:t>
      </w:r>
      <w:r w:rsidRPr="00DC44CA">
        <w:rPr>
          <w:rFonts w:eastAsia="MS Mincho"/>
          <w:szCs w:val="24"/>
        </w:rPr>
        <w:t>stanie niepoczytalności</w:t>
      </w:r>
      <w:r>
        <w:rPr>
          <w:rFonts w:eastAsia="MS Mincho"/>
          <w:szCs w:val="24"/>
        </w:rPr>
        <w:t xml:space="preserve"> w </w:t>
      </w:r>
      <w:r w:rsidRPr="00DC44CA">
        <w:rPr>
          <w:rFonts w:eastAsia="MS Mincho"/>
          <w:szCs w:val="24"/>
        </w:rPr>
        <w:t>rozprawie lub posiedzeniu sądu</w:t>
      </w:r>
      <w:r>
        <w:rPr>
          <w:rFonts w:eastAsia="MS Mincho"/>
          <w:szCs w:val="24"/>
        </w:rPr>
        <w:t xml:space="preserve"> w </w:t>
      </w:r>
      <w:r w:rsidRPr="00DC44CA">
        <w:rPr>
          <w:rFonts w:eastAsia="MS Mincho"/>
          <w:szCs w:val="24"/>
        </w:rPr>
        <w:t>tej sprawie, zakładając jednocześnie możliwość wyłączenia tego prawa</w:t>
      </w:r>
      <w:r>
        <w:rPr>
          <w:rFonts w:eastAsia="MS Mincho"/>
          <w:szCs w:val="24"/>
        </w:rPr>
        <w:t xml:space="preserve"> w </w:t>
      </w:r>
      <w:r w:rsidRPr="00DC44CA">
        <w:rPr>
          <w:rFonts w:eastAsia="MS Mincho"/>
          <w:szCs w:val="24"/>
        </w:rPr>
        <w:t xml:space="preserve">tych </w:t>
      </w:r>
      <w:r>
        <w:rPr>
          <w:rFonts w:eastAsia="MS Mincho"/>
          <w:szCs w:val="24"/>
        </w:rPr>
        <w:t>prz</w:t>
      </w:r>
      <w:r w:rsidRPr="00DC44CA">
        <w:rPr>
          <w:rFonts w:eastAsia="MS Mincho"/>
          <w:szCs w:val="24"/>
        </w:rPr>
        <w:t>ypadkach,</w:t>
      </w:r>
      <w:r>
        <w:rPr>
          <w:rFonts w:eastAsia="MS Mincho"/>
          <w:szCs w:val="24"/>
        </w:rPr>
        <w:t xml:space="preserve"> w </w:t>
      </w:r>
      <w:r w:rsidRPr="00DC44CA">
        <w:rPr>
          <w:rFonts w:eastAsia="MS Mincho"/>
          <w:szCs w:val="24"/>
        </w:rPr>
        <w:t>których</w:t>
      </w:r>
      <w:r>
        <w:rPr>
          <w:rFonts w:eastAsia="MS Mincho"/>
          <w:szCs w:val="24"/>
        </w:rPr>
        <w:t xml:space="preserve"> </w:t>
      </w:r>
      <w:r w:rsidRPr="00DC44CA">
        <w:rPr>
          <w:rFonts w:eastAsia="MS Mincho"/>
          <w:szCs w:val="24"/>
        </w:rPr>
        <w:t>udział</w:t>
      </w:r>
      <w:r>
        <w:rPr>
          <w:rFonts w:eastAsia="MS Mincho"/>
          <w:szCs w:val="24"/>
        </w:rPr>
        <w:t xml:space="preserve"> w </w:t>
      </w:r>
      <w:r w:rsidRPr="00DC44CA">
        <w:rPr>
          <w:rFonts w:eastAsia="MS Mincho"/>
          <w:szCs w:val="24"/>
        </w:rPr>
        <w:t>posiedzeniu sądu byłby –</w:t>
      </w:r>
      <w:r>
        <w:rPr>
          <w:rFonts w:eastAsia="MS Mincho"/>
          <w:szCs w:val="24"/>
        </w:rPr>
        <w:t xml:space="preserve"> w </w:t>
      </w:r>
      <w:r w:rsidRPr="00DC44CA">
        <w:rPr>
          <w:rFonts w:eastAsia="MS Mincho"/>
          <w:szCs w:val="24"/>
        </w:rPr>
        <w:t>świetle opinii biegłych – niewskazany. Jednak zasadą jest nadal udział sprawcy</w:t>
      </w:r>
      <w:r>
        <w:rPr>
          <w:rFonts w:eastAsia="MS Mincho"/>
          <w:szCs w:val="24"/>
        </w:rPr>
        <w:t>”</w:t>
      </w:r>
      <w:r w:rsidRPr="00DC44CA">
        <w:rPr>
          <w:rFonts w:eastAsia="MS Mincho"/>
          <w:szCs w:val="24"/>
        </w:rPr>
        <w:t>.</w:t>
      </w:r>
      <w:r>
        <w:rPr>
          <w:rFonts w:eastAsia="MS Mincho"/>
          <w:szCs w:val="24"/>
        </w:rPr>
        <w:t xml:space="preserve"> Natomiast kontrolowane przepisy k.k.w. takiego </w:t>
      </w:r>
      <w:r w:rsidRPr="00BF3B5D">
        <w:rPr>
          <w:rFonts w:eastAsia="MS Mincho"/>
          <w:spacing w:val="-4"/>
          <w:szCs w:val="24"/>
        </w:rPr>
        <w:t>prawa nie przewidują. „Brak gwarancji osobistego uczestnictwa osoby umieszczonej w</w:t>
      </w:r>
      <w:r>
        <w:rPr>
          <w:rFonts w:eastAsia="MS Mincho"/>
          <w:spacing w:val="-4"/>
          <w:szCs w:val="24"/>
        </w:rPr>
        <w:t xml:space="preserve"> </w:t>
      </w:r>
      <w:r w:rsidRPr="00BF3B5D">
        <w:rPr>
          <w:rFonts w:eastAsia="MS Mincho"/>
          <w:spacing w:val="-4"/>
          <w:szCs w:val="24"/>
        </w:rPr>
        <w:t>zakładzie</w:t>
      </w:r>
      <w:r w:rsidRPr="00DC44CA">
        <w:rPr>
          <w:rFonts w:eastAsia="MS Mincho"/>
          <w:szCs w:val="24"/>
        </w:rPr>
        <w:t xml:space="preserve"> psychiatrycznym</w:t>
      </w:r>
      <w:r>
        <w:rPr>
          <w:rFonts w:eastAsia="MS Mincho"/>
          <w:szCs w:val="24"/>
        </w:rPr>
        <w:t xml:space="preserve"> w </w:t>
      </w:r>
      <w:r w:rsidRPr="00DC44CA">
        <w:rPr>
          <w:rFonts w:eastAsia="MS Mincho"/>
          <w:szCs w:val="24"/>
        </w:rPr>
        <w:t>posiedzeniu, o</w:t>
      </w:r>
      <w:r>
        <w:rPr>
          <w:szCs w:val="24"/>
        </w:rPr>
        <w:t xml:space="preserve"> </w:t>
      </w:r>
      <w:r w:rsidRPr="00DC44CA">
        <w:rPr>
          <w:rFonts w:eastAsia="MS Mincho"/>
          <w:szCs w:val="24"/>
        </w:rPr>
        <w:t>którym mowa</w:t>
      </w:r>
      <w:r>
        <w:rPr>
          <w:rFonts w:eastAsia="MS Mincho"/>
          <w:szCs w:val="24"/>
        </w:rPr>
        <w:t xml:space="preserve"> w art. </w:t>
      </w:r>
      <w:r w:rsidRPr="00DC44CA">
        <w:rPr>
          <w:rFonts w:eastAsia="MS Mincho"/>
          <w:szCs w:val="24"/>
        </w:rPr>
        <w:t>204 § 1 k.k.w., ma</w:t>
      </w:r>
      <w:r>
        <w:rPr>
          <w:rFonts w:eastAsia="MS Mincho"/>
          <w:szCs w:val="24"/>
        </w:rPr>
        <w:t xml:space="preserve"> </w:t>
      </w:r>
      <w:r w:rsidRPr="00DC44CA">
        <w:rPr>
          <w:rFonts w:eastAsia="MS Mincho"/>
          <w:szCs w:val="24"/>
        </w:rPr>
        <w:t>przy tym charakter generalny (bezwzględny)</w:t>
      </w:r>
      <w:r>
        <w:rPr>
          <w:rFonts w:eastAsia="MS Mincho"/>
          <w:szCs w:val="24"/>
        </w:rPr>
        <w:t xml:space="preserve"> w </w:t>
      </w:r>
      <w:r w:rsidRPr="00DC44CA">
        <w:rPr>
          <w:rFonts w:eastAsia="MS Mincho"/>
          <w:szCs w:val="24"/>
        </w:rPr>
        <w:t xml:space="preserve">tym sensie, że </w:t>
      </w:r>
      <w:r w:rsidRPr="00DC44CA">
        <w:rPr>
          <w:szCs w:val="24"/>
        </w:rPr>
        <w:t>dotyczy wszystkich stanów faktycznych</w:t>
      </w:r>
      <w:r>
        <w:rPr>
          <w:szCs w:val="24"/>
        </w:rPr>
        <w:t xml:space="preserve"> i </w:t>
      </w:r>
      <w:r w:rsidRPr="00DC44CA">
        <w:rPr>
          <w:szCs w:val="24"/>
        </w:rPr>
        <w:t>nie jest uzależniony od stanu zdrowia ani zachowania sprawcy. Ustawodawca nie dokonał dyferencja</w:t>
      </w:r>
      <w:r>
        <w:rPr>
          <w:szCs w:val="24"/>
        </w:rPr>
        <w:t>cji</w:t>
      </w:r>
      <w:r w:rsidRPr="00DC44CA">
        <w:rPr>
          <w:szCs w:val="24"/>
        </w:rPr>
        <w:t xml:space="preserve"> hipotez</w:t>
      </w:r>
      <w:r>
        <w:rPr>
          <w:szCs w:val="24"/>
        </w:rPr>
        <w:t xml:space="preserve"> w </w:t>
      </w:r>
      <w:r w:rsidRPr="00DC44CA">
        <w:rPr>
          <w:szCs w:val="24"/>
        </w:rPr>
        <w:t>zależności od tego, czy istnieją medyczne przeciwskazania do czynności (mogących mieć stresogenny charakter dla osoby poddanej terapii) polegających na przewiezieniu sprawcy poza teren zakładu psychiatrycznego oraz dopuszczenia go do uczestnictwa</w:t>
      </w:r>
      <w:r>
        <w:rPr>
          <w:szCs w:val="24"/>
        </w:rPr>
        <w:t xml:space="preserve"> w </w:t>
      </w:r>
      <w:r w:rsidRPr="00DC44CA">
        <w:rPr>
          <w:szCs w:val="24"/>
        </w:rPr>
        <w:t>posiedzeniu sądu</w:t>
      </w:r>
      <w:r>
        <w:rPr>
          <w:szCs w:val="24"/>
        </w:rPr>
        <w:t xml:space="preserve"> w </w:t>
      </w:r>
      <w:r w:rsidRPr="00DC44CA">
        <w:rPr>
          <w:szCs w:val="24"/>
        </w:rPr>
        <w:t>sprawie dalszego stosowania internacji psychiatrycznej. Ograniczenie gwarancji proceduralnych, z</w:t>
      </w:r>
      <w:r>
        <w:rPr>
          <w:szCs w:val="24"/>
        </w:rPr>
        <w:t xml:space="preserve"> </w:t>
      </w:r>
      <w:r w:rsidRPr="00DC44CA">
        <w:rPr>
          <w:szCs w:val="24"/>
        </w:rPr>
        <w:t>jakich korzysta osoba umieszczona</w:t>
      </w:r>
      <w:r>
        <w:rPr>
          <w:szCs w:val="24"/>
        </w:rPr>
        <w:t xml:space="preserve"> w </w:t>
      </w:r>
      <w:r w:rsidRPr="00DC44CA">
        <w:rPr>
          <w:szCs w:val="24"/>
        </w:rPr>
        <w:t>zakładzie psychiatrycznym, ma więc ogólne zastosowanie</w:t>
      </w:r>
      <w:r>
        <w:rPr>
          <w:szCs w:val="24"/>
        </w:rPr>
        <w:t xml:space="preserve"> w </w:t>
      </w:r>
      <w:r w:rsidRPr="00DC44CA">
        <w:rPr>
          <w:szCs w:val="24"/>
        </w:rPr>
        <w:t>odniesieniu do wszystkich wypadków orzekania o dalszym stosowaniu środka zabezpieczającego o izolacyjnym charakterze</w:t>
      </w:r>
      <w:r>
        <w:rPr>
          <w:szCs w:val="24"/>
        </w:rPr>
        <w:t>”</w:t>
      </w:r>
      <w:r w:rsidRPr="00DC44CA">
        <w:rPr>
          <w:szCs w:val="24"/>
        </w:rPr>
        <w:t>.</w:t>
      </w:r>
    </w:p>
    <w:p w:rsidR="00A34E81" w:rsidRDefault="00A34E81" w:rsidP="00EC7DAC">
      <w:pPr>
        <w:pStyle w:val="ARTartustawynprozporzdzenia"/>
        <w:rPr>
          <w:szCs w:val="24"/>
        </w:rPr>
      </w:pPr>
      <w:r>
        <w:rPr>
          <w:szCs w:val="24"/>
        </w:rPr>
        <w:t>Zdaniem Trybunału, opisywanej sytuacji nie rekompensuje zapewnienie w art. 204 § 2 k.k.w. udziału obrońcy (ograniczonego wszak do przypadków obrony obligatoryjnej). W</w:t>
      </w:r>
      <w:r w:rsidRPr="00DC44CA">
        <w:rPr>
          <w:szCs w:val="24"/>
        </w:rPr>
        <w:t>prowadzenie obowiązkowego uczestnictwa</w:t>
      </w:r>
      <w:r>
        <w:rPr>
          <w:szCs w:val="24"/>
        </w:rPr>
        <w:t xml:space="preserve"> w </w:t>
      </w:r>
      <w:r w:rsidRPr="00DC44CA">
        <w:rPr>
          <w:szCs w:val="24"/>
        </w:rPr>
        <w:t>posiedzeniu sądu obrońcy</w:t>
      </w:r>
      <w:r>
        <w:rPr>
          <w:szCs w:val="24"/>
        </w:rPr>
        <w:t xml:space="preserve"> – według TK – „</w:t>
      </w:r>
      <w:r w:rsidRPr="00DC44CA">
        <w:rPr>
          <w:szCs w:val="24"/>
        </w:rPr>
        <w:t xml:space="preserve">nie może stanowić </w:t>
      </w:r>
      <w:r w:rsidRPr="00DC44CA">
        <w:rPr>
          <w:i/>
          <w:szCs w:val="24"/>
        </w:rPr>
        <w:t>per se</w:t>
      </w:r>
      <w:r w:rsidRPr="00DC44CA">
        <w:rPr>
          <w:szCs w:val="24"/>
        </w:rPr>
        <w:t xml:space="preserve"> uzasadnienia dopuszczalności wyłączenia tego prawa</w:t>
      </w:r>
      <w:r>
        <w:rPr>
          <w:szCs w:val="24"/>
        </w:rPr>
        <w:t xml:space="preserve"> w </w:t>
      </w:r>
      <w:r w:rsidRPr="00DC44CA">
        <w:rPr>
          <w:szCs w:val="24"/>
        </w:rPr>
        <w:t>stosunku do skazanego (sprawcy umieszczonego</w:t>
      </w:r>
      <w:r>
        <w:rPr>
          <w:szCs w:val="24"/>
        </w:rPr>
        <w:t xml:space="preserve"> w </w:t>
      </w:r>
      <w:r w:rsidRPr="00DC44CA">
        <w:rPr>
          <w:szCs w:val="24"/>
        </w:rPr>
        <w:t>zamkniętym zakładzie psychiatrycznym). Zasada dostępu do sprawiedliwej</w:t>
      </w:r>
      <w:r>
        <w:rPr>
          <w:szCs w:val="24"/>
        </w:rPr>
        <w:t xml:space="preserve"> i </w:t>
      </w:r>
      <w:r w:rsidRPr="00DC44CA">
        <w:rPr>
          <w:szCs w:val="24"/>
        </w:rPr>
        <w:t>jawnej procedury, obejmująca prawo do udziału</w:t>
      </w:r>
      <w:r>
        <w:rPr>
          <w:szCs w:val="24"/>
        </w:rPr>
        <w:t xml:space="preserve"> w </w:t>
      </w:r>
      <w:r w:rsidRPr="00DC44CA">
        <w:rPr>
          <w:szCs w:val="24"/>
        </w:rPr>
        <w:t>posiedzeniu</w:t>
      </w:r>
      <w:r>
        <w:rPr>
          <w:szCs w:val="24"/>
        </w:rPr>
        <w:t xml:space="preserve"> i  </w:t>
      </w:r>
      <w:r w:rsidRPr="00DC44CA">
        <w:rPr>
          <w:szCs w:val="24"/>
        </w:rPr>
        <w:t>bycia wysłuchanym, odnosi się bowiem bezpośrednio do osoby, o której prawach lub obowiązkach („sprawie”) sąd rozstrzyga (</w:t>
      </w:r>
      <w:r>
        <w:rPr>
          <w:szCs w:val="24"/>
        </w:rPr>
        <w:t>art. 45 ust. 1 Konstytucji)”. Co więcej: w opinii Trybunału również</w:t>
      </w:r>
      <w:r w:rsidRPr="00DC44CA">
        <w:rPr>
          <w:szCs w:val="24"/>
        </w:rPr>
        <w:t xml:space="preserve"> </w:t>
      </w:r>
      <w:r>
        <w:rPr>
          <w:szCs w:val="24"/>
        </w:rPr>
        <w:t xml:space="preserve">sama </w:t>
      </w:r>
      <w:r w:rsidRPr="00DC44CA">
        <w:rPr>
          <w:szCs w:val="24"/>
        </w:rPr>
        <w:t>kompetencja sądu do sprowadzenia skazanego na posiedzenie</w:t>
      </w:r>
      <w:r>
        <w:rPr>
          <w:szCs w:val="24"/>
        </w:rPr>
        <w:t>,</w:t>
      </w:r>
      <w:r w:rsidRPr="00DC44CA">
        <w:rPr>
          <w:szCs w:val="24"/>
        </w:rPr>
        <w:t xml:space="preserve"> </w:t>
      </w:r>
      <w:r>
        <w:rPr>
          <w:szCs w:val="24"/>
        </w:rPr>
        <w:t>zastrzeżona w art. 23 § 1 k.k.w. ani nawet</w:t>
      </w:r>
      <w:r w:rsidRPr="00DC44CA">
        <w:rPr>
          <w:szCs w:val="24"/>
        </w:rPr>
        <w:t xml:space="preserve"> </w:t>
      </w:r>
      <w:r>
        <w:rPr>
          <w:szCs w:val="24"/>
        </w:rPr>
        <w:t xml:space="preserve">możliwość </w:t>
      </w:r>
      <w:r w:rsidRPr="00DC44CA">
        <w:rPr>
          <w:szCs w:val="24"/>
        </w:rPr>
        <w:t>zleceni</w:t>
      </w:r>
      <w:r>
        <w:rPr>
          <w:szCs w:val="24"/>
        </w:rPr>
        <w:t>a</w:t>
      </w:r>
      <w:r w:rsidRPr="00DC44CA">
        <w:rPr>
          <w:szCs w:val="24"/>
        </w:rPr>
        <w:t xml:space="preserve"> przesłuchania skazanego sądowi wezwanemu</w:t>
      </w:r>
      <w:r>
        <w:rPr>
          <w:szCs w:val="24"/>
        </w:rPr>
        <w:t xml:space="preserve"> na podstawie art. 23 § 2 k.k.w. nie są wystarczające</w:t>
      </w:r>
      <w:r w:rsidRPr="00DC44CA">
        <w:rPr>
          <w:szCs w:val="24"/>
        </w:rPr>
        <w:t xml:space="preserve">. </w:t>
      </w:r>
      <w:r>
        <w:rPr>
          <w:szCs w:val="24"/>
        </w:rPr>
        <w:t>„</w:t>
      </w:r>
      <w:r w:rsidRPr="00DC44CA">
        <w:rPr>
          <w:szCs w:val="24"/>
        </w:rPr>
        <w:t xml:space="preserve">Co prawda </w:t>
      </w:r>
      <w:r>
        <w:rPr>
          <w:szCs w:val="24"/>
        </w:rPr>
        <w:t xml:space="preserve">art. 23 </w:t>
      </w:r>
      <w:r w:rsidRPr="00DC44CA">
        <w:rPr>
          <w:szCs w:val="24"/>
        </w:rPr>
        <w:t>k.k.w. służy</w:t>
      </w:r>
      <w:r>
        <w:rPr>
          <w:szCs w:val="24"/>
        </w:rPr>
        <w:t xml:space="preserve"> w </w:t>
      </w:r>
      <w:r w:rsidRPr="00DC44CA">
        <w:rPr>
          <w:szCs w:val="24"/>
        </w:rPr>
        <w:t>toku postępowania karnego wykonawczego realizacji zasad bezpośredniości, kontradyktoryjności, ustności</w:t>
      </w:r>
      <w:r>
        <w:rPr>
          <w:szCs w:val="24"/>
        </w:rPr>
        <w:t xml:space="preserve"> i </w:t>
      </w:r>
      <w:r w:rsidRPr="00DC44CA">
        <w:rPr>
          <w:szCs w:val="24"/>
        </w:rPr>
        <w:t>prawdy materialnej, niemniej ma on jedynie fakultatywny charakter. Skorzystanie z przewidzianych</w:t>
      </w:r>
      <w:r>
        <w:rPr>
          <w:szCs w:val="24"/>
        </w:rPr>
        <w:t xml:space="preserve"> w </w:t>
      </w:r>
      <w:r w:rsidRPr="00DC44CA">
        <w:rPr>
          <w:szCs w:val="24"/>
        </w:rPr>
        <w:t>nim możliwości zależy wyłącznie od decyzji sądu. Skazany nie ma prawa do przedłożenia wiążącego sąd żądania sprowadzenia na</w:t>
      </w:r>
      <w:r>
        <w:rPr>
          <w:szCs w:val="24"/>
        </w:rPr>
        <w:t xml:space="preserve"> </w:t>
      </w:r>
      <w:r w:rsidRPr="00DC44CA">
        <w:rPr>
          <w:szCs w:val="24"/>
        </w:rPr>
        <w:t xml:space="preserve">posiedzenie. Zarządzenie sprowadzenia skazanego na posiedzenie ma zatem charakter </w:t>
      </w:r>
      <w:r w:rsidRPr="00DC44CA">
        <w:rPr>
          <w:i/>
          <w:szCs w:val="24"/>
        </w:rPr>
        <w:t>stricte</w:t>
      </w:r>
      <w:r w:rsidRPr="00DC44CA">
        <w:rPr>
          <w:szCs w:val="24"/>
        </w:rPr>
        <w:t xml:space="preserve"> ocenny</w:t>
      </w:r>
      <w:r>
        <w:rPr>
          <w:szCs w:val="24"/>
        </w:rPr>
        <w:t xml:space="preserve"> i </w:t>
      </w:r>
      <w:r w:rsidRPr="00DC44CA">
        <w:rPr>
          <w:szCs w:val="24"/>
        </w:rPr>
        <w:t>uzależnione jest od okoliczności kauzalnych danej sprawy”</w:t>
      </w:r>
      <w:r>
        <w:rPr>
          <w:szCs w:val="24"/>
        </w:rPr>
        <w:t>.</w:t>
      </w:r>
    </w:p>
    <w:p w:rsidR="00A34E81" w:rsidRDefault="00A34E81" w:rsidP="00EC7DAC">
      <w:pPr>
        <w:pStyle w:val="ARTartustawynprozporzdzenia"/>
        <w:rPr>
          <w:spacing w:val="-2"/>
          <w:szCs w:val="24"/>
        </w:rPr>
      </w:pPr>
      <w:r>
        <w:rPr>
          <w:szCs w:val="24"/>
        </w:rPr>
        <w:t>TK podzielił przy tym pogląd prezentowany w doktrynie, że „[</w:t>
      </w:r>
      <w:r w:rsidRPr="00DC44CA">
        <w:rPr>
          <w:szCs w:val="24"/>
        </w:rPr>
        <w:t xml:space="preserve">z]apewnienie skazanemu </w:t>
      </w:r>
      <w:r>
        <w:rPr>
          <w:szCs w:val="24"/>
        </w:rPr>
        <w:t xml:space="preserve">[sprawcy] </w:t>
      </w:r>
      <w:r w:rsidRPr="00DC44CA">
        <w:rPr>
          <w:szCs w:val="24"/>
        </w:rPr>
        <w:t>możliwości wzięcia udziału</w:t>
      </w:r>
      <w:r>
        <w:rPr>
          <w:szCs w:val="24"/>
        </w:rPr>
        <w:t xml:space="preserve"> w </w:t>
      </w:r>
      <w:r w:rsidRPr="00DC44CA">
        <w:rPr>
          <w:szCs w:val="24"/>
        </w:rPr>
        <w:t>posiedzeniu sądu</w:t>
      </w:r>
      <w:r>
        <w:rPr>
          <w:szCs w:val="24"/>
        </w:rPr>
        <w:t xml:space="preserve"> i </w:t>
      </w:r>
      <w:r w:rsidRPr="00DC44CA">
        <w:rPr>
          <w:szCs w:val="24"/>
        </w:rPr>
        <w:t>złożenia wyjaśnień to nie tylko wyraz pełnego upodmiotowienia jego pozycji</w:t>
      </w:r>
      <w:r>
        <w:rPr>
          <w:szCs w:val="24"/>
        </w:rPr>
        <w:t xml:space="preserve"> w </w:t>
      </w:r>
      <w:r w:rsidRPr="00DC44CA">
        <w:rPr>
          <w:szCs w:val="24"/>
        </w:rPr>
        <w:t>postępowaniu wykonawczym, ale też jeden z warunków dokonania przez sąd prawidłowych ustaleń faktycznych, a</w:t>
      </w:r>
      <w:r>
        <w:rPr>
          <w:szCs w:val="24"/>
        </w:rPr>
        <w:t xml:space="preserve"> w </w:t>
      </w:r>
      <w:r w:rsidRPr="00DC44CA">
        <w:rPr>
          <w:szCs w:val="24"/>
        </w:rPr>
        <w:t>efekcie – trafnego rozstrzygnięcia</w:t>
      </w:r>
      <w:r>
        <w:rPr>
          <w:szCs w:val="24"/>
        </w:rPr>
        <w:t xml:space="preserve">”. Z </w:t>
      </w:r>
      <w:r w:rsidRPr="00DC44CA">
        <w:rPr>
          <w:szCs w:val="24"/>
        </w:rPr>
        <w:t>konstytucyjnego nakazu zapewnienia każdemu prawa do</w:t>
      </w:r>
      <w:r>
        <w:rPr>
          <w:szCs w:val="24"/>
        </w:rPr>
        <w:t xml:space="preserve"> </w:t>
      </w:r>
      <w:r w:rsidRPr="00DC44CA">
        <w:rPr>
          <w:szCs w:val="24"/>
        </w:rPr>
        <w:t>sprawiedliwego</w:t>
      </w:r>
      <w:r>
        <w:rPr>
          <w:szCs w:val="24"/>
        </w:rPr>
        <w:t xml:space="preserve"> </w:t>
      </w:r>
      <w:r w:rsidRPr="00B01903">
        <w:rPr>
          <w:spacing w:val="-2"/>
          <w:szCs w:val="24"/>
        </w:rPr>
        <w:t xml:space="preserve">i jawnego rozpoznania sprawy bez nieuzasadnionej zwłoki przez sąd </w:t>
      </w:r>
      <w:r w:rsidRPr="00DC44CA">
        <w:rPr>
          <w:szCs w:val="24"/>
        </w:rPr>
        <w:t xml:space="preserve">wynika dyrektywa </w:t>
      </w:r>
      <w:r>
        <w:rPr>
          <w:szCs w:val="24"/>
        </w:rPr>
        <w:t>„</w:t>
      </w:r>
      <w:r w:rsidRPr="00DC44CA">
        <w:rPr>
          <w:szCs w:val="24"/>
        </w:rPr>
        <w:t>rozpoznawania spraw przez sąd</w:t>
      </w:r>
      <w:r>
        <w:rPr>
          <w:szCs w:val="24"/>
        </w:rPr>
        <w:t xml:space="preserve"> w </w:t>
      </w:r>
      <w:r w:rsidRPr="00DC44CA">
        <w:rPr>
          <w:szCs w:val="24"/>
        </w:rPr>
        <w:t>obecności osoby, o której prawach</w:t>
      </w:r>
      <w:r>
        <w:rPr>
          <w:szCs w:val="24"/>
        </w:rPr>
        <w:t xml:space="preserve"> i </w:t>
      </w:r>
      <w:r w:rsidRPr="00DC44CA">
        <w:rPr>
          <w:szCs w:val="24"/>
        </w:rPr>
        <w:t xml:space="preserve">obowiązkach sąd ma </w:t>
      </w:r>
      <w:r w:rsidRPr="000C5658">
        <w:rPr>
          <w:spacing w:val="-5"/>
          <w:szCs w:val="24"/>
        </w:rPr>
        <w:t>orzec, oraz po wysłuchaniu tej osoby co do okoliczności mających znaczenie dla wszechstronnego</w:t>
      </w:r>
      <w:r w:rsidRPr="00DC44CA">
        <w:rPr>
          <w:szCs w:val="24"/>
        </w:rPr>
        <w:t xml:space="preserve"> rozpatrzenia sprawy przez</w:t>
      </w:r>
      <w:r>
        <w:rPr>
          <w:szCs w:val="24"/>
        </w:rPr>
        <w:t xml:space="preserve"> </w:t>
      </w:r>
      <w:r w:rsidRPr="00DC44CA">
        <w:rPr>
          <w:szCs w:val="24"/>
        </w:rPr>
        <w:t>sąd. W szczególności, nie może być tak, że decyzja co do stosowania środka prawnego, którego istota polega na pozba</w:t>
      </w:r>
      <w:r>
        <w:rPr>
          <w:szCs w:val="24"/>
        </w:rPr>
        <w:t xml:space="preserve">wieniu możliwości korzystania </w:t>
      </w:r>
      <w:r w:rsidRPr="00431113">
        <w:rPr>
          <w:spacing w:val="-2"/>
          <w:szCs w:val="24"/>
        </w:rPr>
        <w:t>z konstytucyjnej wolności osobistej, zapada pod nieobecność osoby, której ta decyzja dotyczy”.</w:t>
      </w:r>
    </w:p>
    <w:p w:rsidR="00A34E81" w:rsidRDefault="00A34E81" w:rsidP="00EC7DAC">
      <w:pPr>
        <w:pStyle w:val="ARTartustawynprozporzdzenia"/>
        <w:rPr>
          <w:szCs w:val="24"/>
        </w:rPr>
      </w:pPr>
      <w:r>
        <w:rPr>
          <w:szCs w:val="24"/>
        </w:rPr>
        <w:t xml:space="preserve">Trybunał podtrzymał także swe dotychczasowe stanowisko co do tego, że korzystanie z  prawa do sądu może podlegać ograniczeniom, jednak niezbędne jest w takim wypadku </w:t>
      </w:r>
      <w:r w:rsidRPr="00B3308A">
        <w:rPr>
          <w:spacing w:val="-2"/>
          <w:szCs w:val="24"/>
        </w:rPr>
        <w:t>spełnienie warunków z art. 31 ust. 3 Konstytucji. Analizując zaś zakwestionowane rozwiązanie</w:t>
      </w:r>
      <w:r>
        <w:rPr>
          <w:szCs w:val="24"/>
        </w:rPr>
        <w:t xml:space="preserve"> z tego punktu widzenia, doszedł do wniosku, że „wynikające </w:t>
      </w:r>
      <w:r w:rsidRPr="00DC44CA">
        <w:rPr>
          <w:szCs w:val="24"/>
        </w:rPr>
        <w:t xml:space="preserve">z </w:t>
      </w:r>
      <w:r>
        <w:rPr>
          <w:szCs w:val="24"/>
        </w:rPr>
        <w:t xml:space="preserve">art. </w:t>
      </w:r>
      <w:r w:rsidRPr="00DC44CA">
        <w:rPr>
          <w:szCs w:val="24"/>
        </w:rPr>
        <w:t>204 § 1</w:t>
      </w:r>
      <w:r>
        <w:rPr>
          <w:szCs w:val="24"/>
        </w:rPr>
        <w:t xml:space="preserve"> i </w:t>
      </w:r>
      <w:r w:rsidRPr="00DC44CA">
        <w:rPr>
          <w:szCs w:val="24"/>
        </w:rPr>
        <w:t>2</w:t>
      </w:r>
      <w:r>
        <w:rPr>
          <w:szCs w:val="24"/>
        </w:rPr>
        <w:t xml:space="preserve"> w </w:t>
      </w:r>
      <w:r w:rsidRPr="00DC44CA">
        <w:rPr>
          <w:szCs w:val="24"/>
        </w:rPr>
        <w:t>zw</w:t>
      </w:r>
      <w:r>
        <w:rPr>
          <w:szCs w:val="24"/>
        </w:rPr>
        <w:t>iązku</w:t>
      </w:r>
      <w:r w:rsidRPr="00DC44CA">
        <w:rPr>
          <w:szCs w:val="24"/>
        </w:rPr>
        <w:t xml:space="preserve"> z</w:t>
      </w:r>
      <w:r>
        <w:rPr>
          <w:szCs w:val="24"/>
        </w:rPr>
        <w:t xml:space="preserve"> art. </w:t>
      </w:r>
      <w:r w:rsidRPr="00DC44CA">
        <w:rPr>
          <w:szCs w:val="24"/>
        </w:rPr>
        <w:t>22 § 1 k.k.w. ograniczenie korzystania z prawa do sądu, polegające na braku gwarancji udziału osoby umieszczonej</w:t>
      </w:r>
      <w:r>
        <w:rPr>
          <w:szCs w:val="24"/>
        </w:rPr>
        <w:t xml:space="preserve"> w </w:t>
      </w:r>
      <w:r w:rsidRPr="00DC44CA">
        <w:rPr>
          <w:szCs w:val="24"/>
        </w:rPr>
        <w:t>zakładzie psychiatrycznym tytułem środka zabezpieczającego</w:t>
      </w:r>
      <w:r>
        <w:rPr>
          <w:szCs w:val="24"/>
        </w:rPr>
        <w:t xml:space="preserve"> i </w:t>
      </w:r>
      <w:r w:rsidRPr="00DC44CA">
        <w:rPr>
          <w:szCs w:val="24"/>
        </w:rPr>
        <w:t xml:space="preserve">wysłuchania jej przez sąd co do okoliczności mających znaczenie dla wszechstronnej oceny kwestii dalszego stosowania internacji psychiatrycznej, nie było </w:t>
      </w:r>
      <w:r>
        <w:rPr>
          <w:rFonts w:cs="Times"/>
          <w:szCs w:val="24"/>
        </w:rPr>
        <w:t>«</w:t>
      </w:r>
      <w:r w:rsidRPr="00DC44CA">
        <w:rPr>
          <w:szCs w:val="24"/>
        </w:rPr>
        <w:t>konieczne</w:t>
      </w:r>
      <w:r>
        <w:rPr>
          <w:rFonts w:cs="Times"/>
          <w:szCs w:val="24"/>
        </w:rPr>
        <w:t>»</w:t>
      </w:r>
      <w:r>
        <w:rPr>
          <w:szCs w:val="24"/>
        </w:rPr>
        <w:t xml:space="preserve"> w </w:t>
      </w:r>
      <w:r w:rsidRPr="00DC44CA">
        <w:rPr>
          <w:szCs w:val="24"/>
        </w:rPr>
        <w:t xml:space="preserve">rozumieniu </w:t>
      </w:r>
      <w:r>
        <w:rPr>
          <w:szCs w:val="24"/>
        </w:rPr>
        <w:t>art.  </w:t>
      </w:r>
      <w:r w:rsidRPr="00DC44CA">
        <w:rPr>
          <w:szCs w:val="24"/>
        </w:rPr>
        <w:t>31 ust. 3 Kon</w:t>
      </w:r>
      <w:r>
        <w:rPr>
          <w:szCs w:val="24"/>
        </w:rPr>
        <w:t xml:space="preserve">stytucji (…). [Z]asadniczym </w:t>
      </w:r>
      <w:r w:rsidRPr="00DC44CA">
        <w:rPr>
          <w:szCs w:val="24"/>
        </w:rPr>
        <w:t>(i jedynym właśc</w:t>
      </w:r>
      <w:r>
        <w:rPr>
          <w:szCs w:val="24"/>
        </w:rPr>
        <w:t xml:space="preserve">iwie) celem mającym uzasadniać (…) </w:t>
      </w:r>
      <w:r w:rsidRPr="00DC44CA">
        <w:rPr>
          <w:szCs w:val="24"/>
        </w:rPr>
        <w:t>ograniczenie uprawnień stron postępowania wykonawczego –</w:t>
      </w:r>
      <w:r>
        <w:rPr>
          <w:szCs w:val="24"/>
        </w:rPr>
        <w:t xml:space="preserve"> w </w:t>
      </w:r>
      <w:r w:rsidRPr="00DC44CA">
        <w:rPr>
          <w:szCs w:val="24"/>
        </w:rPr>
        <w:t>tym postępowania kontrolnego, o którym mowa</w:t>
      </w:r>
      <w:r>
        <w:rPr>
          <w:szCs w:val="24"/>
        </w:rPr>
        <w:t xml:space="preserve"> w art. </w:t>
      </w:r>
      <w:r w:rsidRPr="00DC44CA">
        <w:rPr>
          <w:szCs w:val="24"/>
        </w:rPr>
        <w:t>204 § 1 k.k.w. – było przyspieszenie rozpoznania spraw</w:t>
      </w:r>
      <w:r>
        <w:rPr>
          <w:szCs w:val="24"/>
        </w:rPr>
        <w:t xml:space="preserve"> w </w:t>
      </w:r>
      <w:r w:rsidRPr="00DC44CA">
        <w:rPr>
          <w:szCs w:val="24"/>
        </w:rPr>
        <w:t xml:space="preserve">tym postępowaniu </w:t>
      </w:r>
      <w:r>
        <w:rPr>
          <w:szCs w:val="24"/>
        </w:rPr>
        <w:t>(…)</w:t>
      </w:r>
      <w:r w:rsidRPr="00DC44CA">
        <w:rPr>
          <w:szCs w:val="24"/>
        </w:rPr>
        <w:t xml:space="preserve">. </w:t>
      </w:r>
      <w:r>
        <w:rPr>
          <w:szCs w:val="24"/>
        </w:rPr>
        <w:t>[</w:t>
      </w:r>
      <w:r w:rsidRPr="00DC44CA">
        <w:rPr>
          <w:szCs w:val="24"/>
        </w:rPr>
        <w:t>P</w:t>
      </w:r>
      <w:r>
        <w:rPr>
          <w:szCs w:val="24"/>
        </w:rPr>
        <w:t>]</w:t>
      </w:r>
      <w:r w:rsidRPr="00DC44CA">
        <w:rPr>
          <w:szCs w:val="24"/>
        </w:rPr>
        <w:t xml:space="preserve">ostulat sprawności postępowań sądowych </w:t>
      </w:r>
      <w:r w:rsidRPr="00D63EB8">
        <w:rPr>
          <w:spacing w:val="-3"/>
          <w:szCs w:val="24"/>
        </w:rPr>
        <w:t>znajduje zakotwiczenie w zasadach i wartościach konstytucyjnych (…). [W]zgląd na ekonomikę</w:t>
      </w:r>
      <w:r w:rsidRPr="005B47DA">
        <w:rPr>
          <w:spacing w:val="-2"/>
          <w:szCs w:val="24"/>
        </w:rPr>
        <w:t xml:space="preserve"> postępowań</w:t>
      </w:r>
      <w:r w:rsidRPr="00DC44CA">
        <w:rPr>
          <w:szCs w:val="24"/>
        </w:rPr>
        <w:t xml:space="preserve"> sądowych nie może jednak stanowić samodzielnego uzasadn</w:t>
      </w:r>
      <w:r>
        <w:rPr>
          <w:szCs w:val="24"/>
        </w:rPr>
        <w:t xml:space="preserve">ienia wyłączenia wobec osoby, o </w:t>
      </w:r>
      <w:r w:rsidRPr="00DC44CA">
        <w:rPr>
          <w:szCs w:val="24"/>
        </w:rPr>
        <w:t>której prawach lub obowiązkach sąd ma orzekać, podstawowych środków prawnych służących realizacji</w:t>
      </w:r>
      <w:r>
        <w:rPr>
          <w:szCs w:val="24"/>
        </w:rPr>
        <w:t xml:space="preserve"> w </w:t>
      </w:r>
      <w:r w:rsidRPr="00DC44CA">
        <w:rPr>
          <w:szCs w:val="24"/>
        </w:rPr>
        <w:t>toku postępowania sądowego jej konstytucyjnych praw d</w:t>
      </w:r>
      <w:r>
        <w:rPr>
          <w:szCs w:val="24"/>
        </w:rPr>
        <w:t xml:space="preserve">o </w:t>
      </w:r>
      <w:r w:rsidRPr="00DC44CA">
        <w:rPr>
          <w:szCs w:val="24"/>
        </w:rPr>
        <w:t>rozpatrzenia sprawy przez sąd</w:t>
      </w:r>
      <w:r>
        <w:rPr>
          <w:szCs w:val="24"/>
        </w:rPr>
        <w:t xml:space="preserve"> w </w:t>
      </w:r>
      <w:r w:rsidRPr="00DC44CA">
        <w:rPr>
          <w:szCs w:val="24"/>
        </w:rPr>
        <w:t>sposób sprawiedliwy</w:t>
      </w:r>
      <w:r>
        <w:rPr>
          <w:szCs w:val="24"/>
        </w:rPr>
        <w:t xml:space="preserve"> i </w:t>
      </w:r>
      <w:r w:rsidRPr="00DC44CA">
        <w:rPr>
          <w:szCs w:val="24"/>
        </w:rPr>
        <w:t>jawny (</w:t>
      </w:r>
      <w:r>
        <w:rPr>
          <w:szCs w:val="24"/>
        </w:rPr>
        <w:t xml:space="preserve">art. </w:t>
      </w:r>
      <w:r w:rsidRPr="00DC44CA">
        <w:rPr>
          <w:szCs w:val="24"/>
        </w:rPr>
        <w:t>45 ust. 1 Konstytucji) oraz do obrony na każdym etapie postępowania karnego (</w:t>
      </w:r>
      <w:r>
        <w:rPr>
          <w:szCs w:val="24"/>
        </w:rPr>
        <w:t xml:space="preserve">art. </w:t>
      </w:r>
      <w:r w:rsidRPr="00DC44CA">
        <w:rPr>
          <w:szCs w:val="24"/>
        </w:rPr>
        <w:t>42 ust. 2 zdanie drugie Konstytucji)</w:t>
      </w:r>
      <w:r>
        <w:rPr>
          <w:szCs w:val="24"/>
        </w:rPr>
        <w:t>”</w:t>
      </w:r>
      <w:r w:rsidRPr="00DC44CA">
        <w:rPr>
          <w:szCs w:val="24"/>
        </w:rPr>
        <w:t>.</w:t>
      </w:r>
    </w:p>
    <w:p w:rsidR="00A34E81" w:rsidRPr="007E4E04" w:rsidRDefault="00A34E81" w:rsidP="00EC7DAC">
      <w:pPr>
        <w:pStyle w:val="ARTartustawynprozporzdzenia"/>
        <w:rPr>
          <w:rStyle w:val="IGindeksgrny"/>
        </w:rPr>
      </w:pPr>
      <w:r>
        <w:rPr>
          <w:szCs w:val="24"/>
        </w:rPr>
        <w:t xml:space="preserve">W ocenie TK, w przypadku normy prawnej dekodowanej z </w:t>
      </w:r>
      <w:r w:rsidRPr="00DC44CA">
        <w:rPr>
          <w:szCs w:val="24"/>
        </w:rPr>
        <w:t>204 § 1</w:t>
      </w:r>
      <w:r>
        <w:rPr>
          <w:szCs w:val="24"/>
        </w:rPr>
        <w:t xml:space="preserve"> i </w:t>
      </w:r>
      <w:r w:rsidRPr="00DC44CA">
        <w:rPr>
          <w:szCs w:val="24"/>
        </w:rPr>
        <w:t>2</w:t>
      </w:r>
      <w:r>
        <w:rPr>
          <w:szCs w:val="24"/>
        </w:rPr>
        <w:t xml:space="preserve"> w </w:t>
      </w:r>
      <w:r w:rsidRPr="00DC44CA">
        <w:rPr>
          <w:szCs w:val="24"/>
        </w:rPr>
        <w:t>zw</w:t>
      </w:r>
      <w:r>
        <w:rPr>
          <w:szCs w:val="24"/>
        </w:rPr>
        <w:t>.</w:t>
      </w:r>
      <w:r w:rsidRPr="00DC44CA">
        <w:rPr>
          <w:szCs w:val="24"/>
        </w:rPr>
        <w:t xml:space="preserve"> z</w:t>
      </w:r>
      <w:r>
        <w:rPr>
          <w:szCs w:val="24"/>
        </w:rPr>
        <w:t xml:space="preserve"> art. 22 § </w:t>
      </w:r>
      <w:r w:rsidRPr="00DC44CA">
        <w:rPr>
          <w:szCs w:val="24"/>
        </w:rPr>
        <w:t>1 k.k.w.</w:t>
      </w:r>
      <w:r>
        <w:rPr>
          <w:szCs w:val="24"/>
        </w:rPr>
        <w:t xml:space="preserve"> można mówić o niewłaściwym wyważeniu proporcji. „</w:t>
      </w:r>
      <w:r w:rsidRPr="00DC44CA">
        <w:rPr>
          <w:szCs w:val="24"/>
        </w:rPr>
        <w:t xml:space="preserve">Zadanie ustawodawcy </w:t>
      </w:r>
      <w:r w:rsidRPr="0031055B">
        <w:rPr>
          <w:spacing w:val="-4"/>
          <w:szCs w:val="24"/>
        </w:rPr>
        <w:t>powinno polegać raczej na kreowaniu mechanizmów zapobiegających blokowaniu postępowania</w:t>
      </w:r>
      <w:r w:rsidRPr="00DC44CA">
        <w:rPr>
          <w:szCs w:val="24"/>
        </w:rPr>
        <w:t xml:space="preserve"> sądowego wówczas, gdy osoba, której postępowanie dotyczy, podejmuje celowe działania </w:t>
      </w:r>
      <w:r w:rsidRPr="0031055B">
        <w:rPr>
          <w:spacing w:val="-3"/>
          <w:szCs w:val="24"/>
        </w:rPr>
        <w:t>zmierzające do nieuzasadnionego wydłużania postępowania albo nie może w tym postępowaniu</w:t>
      </w:r>
      <w:r w:rsidRPr="00DC44CA">
        <w:rPr>
          <w:szCs w:val="24"/>
        </w:rPr>
        <w:t xml:space="preserve"> wziąć udziału z przyczyn obiektywnych, </w:t>
      </w:r>
      <w:r>
        <w:rPr>
          <w:szCs w:val="24"/>
        </w:rPr>
        <w:t xml:space="preserve">a </w:t>
      </w:r>
      <w:r w:rsidRPr="00DC44CA">
        <w:rPr>
          <w:szCs w:val="24"/>
        </w:rPr>
        <w:t>nie na ograniczaniu katalogu uprawnień proceduralnych</w:t>
      </w:r>
      <w:r>
        <w:rPr>
          <w:szCs w:val="24"/>
        </w:rPr>
        <w:t xml:space="preserve"> w </w:t>
      </w:r>
      <w:r w:rsidRPr="00DC44CA">
        <w:rPr>
          <w:szCs w:val="24"/>
        </w:rPr>
        <w:t>celu maksymalnego przyspieszenia procedur</w:t>
      </w:r>
      <w:r>
        <w:rPr>
          <w:szCs w:val="24"/>
        </w:rPr>
        <w:t>”</w:t>
      </w:r>
      <w:r w:rsidRPr="00DC44CA">
        <w:rPr>
          <w:szCs w:val="24"/>
        </w:rPr>
        <w:t>.</w:t>
      </w:r>
      <w:r>
        <w:rPr>
          <w:szCs w:val="24"/>
        </w:rPr>
        <w:t xml:space="preserve"> W postępowaniu toczącym się w trybie art. 204 § 1 k.k.w. zasadnicze znaczenie powinno mieć „</w:t>
      </w:r>
      <w:r w:rsidRPr="00DC44CA">
        <w:rPr>
          <w:szCs w:val="24"/>
        </w:rPr>
        <w:t>wszechstronne ustalenie wszystkich okoliczności istotnych dla sprawy, czego nie należy sprowadzać do zapoznania się wyłącznie z pisemną opinią dyrektora szpitala i, ewentualnie, opiniami wezwanych przez sąd biegłych. Sprawiedliwe</w:t>
      </w:r>
      <w:r>
        <w:rPr>
          <w:szCs w:val="24"/>
        </w:rPr>
        <w:t xml:space="preserve"> i </w:t>
      </w:r>
      <w:r w:rsidRPr="00DC44CA">
        <w:rPr>
          <w:szCs w:val="24"/>
        </w:rPr>
        <w:t>jawne</w:t>
      </w:r>
      <w:r>
        <w:rPr>
          <w:szCs w:val="24"/>
        </w:rPr>
        <w:t xml:space="preserve"> w </w:t>
      </w:r>
      <w:r w:rsidRPr="00DC44CA">
        <w:rPr>
          <w:szCs w:val="24"/>
        </w:rPr>
        <w:t xml:space="preserve">rozumieniu </w:t>
      </w:r>
      <w:r>
        <w:rPr>
          <w:szCs w:val="24"/>
        </w:rPr>
        <w:t xml:space="preserve">art. </w:t>
      </w:r>
      <w:r w:rsidRPr="00DC44CA">
        <w:rPr>
          <w:szCs w:val="24"/>
        </w:rPr>
        <w:t xml:space="preserve">45 ust. 1 Konstytucji rozstrzygnięcie </w:t>
      </w:r>
      <w:r w:rsidRPr="00EF2C96">
        <w:rPr>
          <w:spacing w:val="-2"/>
          <w:szCs w:val="24"/>
        </w:rPr>
        <w:t>sprawy dalszego stosowania środka wyłączającego możliwość korzystania z wolności osobistej</w:t>
      </w:r>
      <w:r w:rsidRPr="00DC44CA">
        <w:rPr>
          <w:szCs w:val="24"/>
        </w:rPr>
        <w:t xml:space="preserve"> </w:t>
      </w:r>
      <w:r w:rsidRPr="00EF2C96">
        <w:rPr>
          <w:spacing w:val="-2"/>
          <w:szCs w:val="24"/>
        </w:rPr>
        <w:t>wymaga obecności oraz wysłuchania osoby, o której sytuacji faktyczno-prawnej sąd decyduje,</w:t>
      </w:r>
      <w:r w:rsidRPr="00DC44CA">
        <w:rPr>
          <w:szCs w:val="24"/>
        </w:rPr>
        <w:t xml:space="preserve"> chyba że z uwagi na stan zdrowia tej osoby udział</w:t>
      </w:r>
      <w:r>
        <w:rPr>
          <w:szCs w:val="24"/>
        </w:rPr>
        <w:t xml:space="preserve"> w </w:t>
      </w:r>
      <w:r w:rsidRPr="00DC44CA">
        <w:rPr>
          <w:szCs w:val="24"/>
        </w:rPr>
        <w:t>posiedzeniu byłby bezcelowy lub</w:t>
      </w:r>
      <w:r>
        <w:rPr>
          <w:szCs w:val="24"/>
        </w:rPr>
        <w:t xml:space="preserve"> </w:t>
      </w:r>
      <w:r w:rsidRPr="00DC44CA">
        <w:rPr>
          <w:szCs w:val="24"/>
        </w:rPr>
        <w:t>niewskazany, albo osoba ta odmawia udziału</w:t>
      </w:r>
      <w:r>
        <w:rPr>
          <w:szCs w:val="24"/>
        </w:rPr>
        <w:t xml:space="preserve"> w </w:t>
      </w:r>
      <w:r w:rsidRPr="00DC44CA">
        <w:rPr>
          <w:szCs w:val="24"/>
        </w:rPr>
        <w:t>posiedzeniu lub uchyla się od niego, a</w:t>
      </w:r>
      <w:r>
        <w:rPr>
          <w:szCs w:val="24"/>
        </w:rPr>
        <w:t xml:space="preserve"> </w:t>
      </w:r>
      <w:r w:rsidRPr="00DC44CA">
        <w:rPr>
          <w:szCs w:val="24"/>
        </w:rPr>
        <w:t>sąd nie uznaje jej sprowadzenia za konieczne</w:t>
      </w:r>
      <w:r>
        <w:rPr>
          <w:szCs w:val="24"/>
        </w:rPr>
        <w:t>”</w:t>
      </w:r>
      <w:r w:rsidRPr="00DC44CA">
        <w:rPr>
          <w:szCs w:val="24"/>
        </w:rPr>
        <w:t>.</w:t>
      </w:r>
    </w:p>
    <w:p w:rsidR="00A34E81" w:rsidRPr="0015321A" w:rsidRDefault="00A34E81" w:rsidP="0015321A"/>
    <w:p w:rsidR="00A34E81" w:rsidRPr="0015321A" w:rsidRDefault="00A34E81" w:rsidP="00C50587">
      <w:pPr>
        <w:rPr>
          <w:rStyle w:val="Ppogrubienie"/>
        </w:rPr>
      </w:pPr>
      <w:r w:rsidRPr="0015321A">
        <w:rPr>
          <w:rStyle w:val="Ppogrubienie"/>
        </w:rPr>
        <w:t>3. Różnice między dotychczasowym a projektowanym stanem prawnym</w:t>
      </w:r>
    </w:p>
    <w:p w:rsidR="00A34E81" w:rsidRDefault="00A34E81" w:rsidP="00284963">
      <w:pPr>
        <w:pStyle w:val="ARTartustawynprozporzdzenia"/>
        <w:rPr>
          <w:szCs w:val="24"/>
        </w:rPr>
      </w:pPr>
      <w:r>
        <w:rPr>
          <w:spacing w:val="-2"/>
        </w:rPr>
        <w:t xml:space="preserve">Mając na uwadze stanowisko Trybunału, a także </w:t>
      </w:r>
      <w:r>
        <w:t>sformułowane w uzasadnieniu wyroku sugestie odnośnie do kształtu rozwiązań prawnych, które powinny zostać wprowadzone przez ustawodawcę w celu właściwego wypełnienia standardów konstytucyjnych, proponuje się, by w art. 204 k.k.w. dodać § 2a statuujący po stronie sprawcy prawo udziału w posiedzeniu sądu w przedmiocie dalszego stosowania internacji psychiatrycznej (art. 1 pkt 3 projektu). Trzeba jednak pamiętać, że w swojej wypowiedzi TK nadmienił</w:t>
      </w:r>
      <w:r w:rsidRPr="00265963">
        <w:t xml:space="preserve"> </w:t>
      </w:r>
      <w:r>
        <w:t xml:space="preserve">również, że </w:t>
      </w:r>
      <w:r w:rsidRPr="00506221">
        <w:t>„[k]onstytucyjna dyrektywa rozpoznania sprawy przez sąd bez nieuzasadnionej zwłoki mogłaby uzasadniać przeprowadzenie postępowania, o którym mowa w art. 204 § 1 k.k.w., bez udziału osoby poddanej internacji psychiatrycznej, jeżeli stan zdrowia wskazywałby na to, że uczestnictwo tej osoby w posiedzeniu byłoby nieuzasadnione z perspektywy obowiązku ustalenia przez sąd wszelkich okoliczności sprawy lub szkodliwe ze względu na ryzyko pogorszenia się stanu zdrowia osoby poddanej terapii, wywołane podjęciem wobec niej czynności o stresogennym charakterze, albo jeśli osoba ta odmawiałaby lub uchyla</w:t>
      </w:r>
      <w:r>
        <w:t>ła się od udziału w posiedzeniu</w:t>
      </w:r>
      <w:r w:rsidRPr="00506221">
        <w:t>”</w:t>
      </w:r>
      <w:r>
        <w:t xml:space="preserve">. W związku z tym w projektowanym § 2a znalazło się zastrzeżenie wskazujące, że sprawca nie bierze udziału w posiedzeniu, jeżeli z opinii biegłych wynika, iż byłoby to niewskazane, chyba że mimo wszystko sąd uzna, że jego udział jest konieczny dla wydania prawidłowego </w:t>
      </w:r>
      <w:r w:rsidRPr="005856DE">
        <w:rPr>
          <w:spacing w:val="-2"/>
        </w:rPr>
        <w:t>rozstrzygnięcia. Warto podkreślić, że proponowana formuła znajduje systemowe uzasadnienie</w:t>
      </w:r>
      <w:r>
        <w:t xml:space="preserve"> w brzmieniu art. 354 pkt 2 k.p.k., a więc tego przepisu, do którego Trybunał odniósł się aprobująco.</w:t>
      </w:r>
    </w:p>
    <w:p w:rsidR="00A34E81" w:rsidRDefault="00A34E81" w:rsidP="00284963">
      <w:pPr>
        <w:pStyle w:val="ARTartustawynprozporzdzenia"/>
      </w:pPr>
      <w:r>
        <w:t xml:space="preserve">Jednocześnie, aby wyeliminować ryzyko stosowania obstrukcji, o którym wspomniał TK, w dodawanym § 2c (art. 1 pkt 3 projektu) zaproponowano zakreślenie sprawcy terminu </w:t>
      </w:r>
      <w:r w:rsidRPr="005F0FB3">
        <w:rPr>
          <w:spacing w:val="-2"/>
        </w:rPr>
        <w:t>7 dni od daty doręczenia zawiadomienia o posiedzeniu sądu, przed upływem którego powinien</w:t>
      </w:r>
      <w:r>
        <w:t xml:space="preserve"> </w:t>
      </w:r>
      <w:r w:rsidRPr="005F0FB3">
        <w:rPr>
          <w:spacing w:val="-4"/>
        </w:rPr>
        <w:t>zgłosić wniosek o doprowadzenie go na posiedzenie. Pozyskanie z odpowiednim wyprzedzeniem</w:t>
      </w:r>
      <w:r w:rsidRPr="00AE47D0">
        <w:rPr>
          <w:spacing w:val="-2"/>
        </w:rPr>
        <w:t xml:space="preserve"> informacji co do tego, czy sprawca umieszczony w zakładzie psychiatrycznym</w:t>
      </w:r>
      <w:r>
        <w:t xml:space="preserve"> chce skorzystać z prawa, jakie przyznaje mu nowy przepis art. 204 § 2a k.k.w., umożliwi przygotowanie konwoju oraz całego zaplecza niezbędnego do przeprowadzenia posiedzenia sądu z jego udziałem. </w:t>
      </w:r>
      <w:r w:rsidRPr="0099527B">
        <w:rPr>
          <w:spacing w:val="-2"/>
        </w:rPr>
        <w:t>Niemniej jeżeli mimo spóźnionego wniosku doprowadzenie sprawcy na posiedzenie</w:t>
      </w:r>
      <w:r>
        <w:t xml:space="preserve"> wciąż będzie możliwe bez odraczania posiedzenia, to – wobec gwarancyjnego charakteru projektowanych przepisów – celowe będzie pozostawienie takiej możliwości (</w:t>
      </w:r>
      <w:r w:rsidRPr="006E77EB">
        <w:rPr>
          <w:rStyle w:val="Kkursywa"/>
        </w:rPr>
        <w:t>notabene</w:t>
      </w:r>
      <w:r>
        <w:t xml:space="preserve"> </w:t>
      </w:r>
      <w:r w:rsidRPr="00F62D09">
        <w:rPr>
          <w:spacing w:val="-2"/>
        </w:rPr>
        <w:t>identyczną instytucję przewiduje art. 353 § 5 k.p.k. w stosunku do oskarżonego pozbawionego</w:t>
      </w:r>
      <w:r>
        <w:t xml:space="preserve"> wolności, którego obecność na rozprawie nie jest obowiązkowa).</w:t>
      </w:r>
    </w:p>
    <w:p w:rsidR="00A34E81" w:rsidRDefault="00A34E81" w:rsidP="00284963">
      <w:pPr>
        <w:pStyle w:val="ARTartustawynprozporzdzenia"/>
      </w:pPr>
      <w:r>
        <w:t xml:space="preserve">Zgodnie z projektowanym art. 204 § 2b k.k.w. sprawca będzie pouczany o możliwości złożenia wniosku o doprowadzenie go na rozprawę (art. 1 pkt 3 projektu). </w:t>
      </w:r>
      <w:r w:rsidRPr="008866E4">
        <w:rPr>
          <w:spacing w:val="-2"/>
        </w:rPr>
        <w:t>Zarazem w § 2</w:t>
      </w:r>
      <w:r>
        <w:rPr>
          <w:spacing w:val="-2"/>
        </w:rPr>
        <w:t>d, tj.</w:t>
      </w:r>
      <w:r w:rsidRPr="008866E4">
        <w:rPr>
          <w:spacing w:val="-2"/>
        </w:rPr>
        <w:t xml:space="preserve"> kolejnej jednostce redakcyjnej dodawanej </w:t>
      </w:r>
      <w:r>
        <w:rPr>
          <w:spacing w:val="-2"/>
        </w:rPr>
        <w:t xml:space="preserve">w </w:t>
      </w:r>
      <w:r w:rsidRPr="008866E4">
        <w:rPr>
          <w:spacing w:val="-2"/>
        </w:rPr>
        <w:t xml:space="preserve">art. </w:t>
      </w:r>
      <w:r>
        <w:rPr>
          <w:spacing w:val="-2"/>
        </w:rPr>
        <w:t>204,</w:t>
      </w:r>
      <w:r w:rsidRPr="008866E4">
        <w:rPr>
          <w:spacing w:val="-2"/>
        </w:rPr>
        <w:t xml:space="preserve"> przewidziano,</w:t>
      </w:r>
      <w:r>
        <w:t xml:space="preserve"> że sprawca może złożyć wniosek o doprowadzenie go na posiedzenie na ręce kierownika </w:t>
      </w:r>
      <w:r w:rsidRPr="00D33D4F">
        <w:rPr>
          <w:spacing w:val="-2"/>
        </w:rPr>
        <w:t>zakładu psychiatrycznego, a ten obowiązany będzie przekazać go niezwłocznie do właściwego</w:t>
      </w:r>
      <w:r>
        <w:t xml:space="preserve"> sądu. To rozwiązanie ma ułatwić osobom uprawnionym wyrażenie woli wzięcia udziału w posiedzeniu.</w:t>
      </w:r>
    </w:p>
    <w:p w:rsidR="00A34E81" w:rsidRDefault="00A34E81" w:rsidP="00284963">
      <w:pPr>
        <w:pStyle w:val="ARTartustawynprozporzdzenia"/>
      </w:pPr>
      <w:r>
        <w:t xml:space="preserve">Z proponowanym brzmieniem art. 204 § 2a k.k.w. harmonizuje zmiana objęta treścią art. 1 pkt 2 lit. b projektu. Sąd będzie miał bowiem możliwość poczynienia ustaleń w zakresie zdolności sprawcy do wzięcia udziału w posiedzeniu w sprawie dalszego stosowania środka zabezpieczającego w postaci pobytu w zakładzie psychiatrycznym dopiero wtedy, gdy biegli sporządzający opinię określoną w art. 203 § 1 k.k.w. zamieszczą w niej informację na temat tego, czy stan zdrowia sprawcy nie stanowi przeszkody w przeprowadzeniu czynności z jego udziałem. Dlatego też zasadne jest zobowiązanie biegłych do uwzględnienia opisywanego aspektu w opinii przesyłanej sądowi cyklicznie w ramach wykonania przez kierownika zakładu psychiatrycznego dyspozycji art. 203 § 1 k.k.w. Podobna wzmianka powinna się ponadto znaleźć w opinii, o którą sąd występuje z własnej inicjatywy stosownie do art. 203 § 2 k.k.w., jako że opinia ta może stanowić podstawę do wyznaczenia posiedzenia w celu wydania orzeczenia w przedmiocie dalszego pobytu sprawcy w zakładzie psychiatrycznym. W razie jakichś niejasności sąd będzie mógł zwrócić się do innych biegłych o sporządzenie dodatkowej opinii. Przedmiotowe rozwiązania będą zawarte w </w:t>
      </w:r>
      <w:r w:rsidRPr="001E5DEF">
        <w:t>art. 203 k.k.w.</w:t>
      </w:r>
      <w:r>
        <w:t>, w dodawanym</w:t>
      </w:r>
      <w:r w:rsidRPr="001E5DEF">
        <w:t xml:space="preserve"> §</w:t>
      </w:r>
      <w:r>
        <w:t> </w:t>
      </w:r>
      <w:r w:rsidRPr="001E5DEF">
        <w:t>2a.</w:t>
      </w:r>
    </w:p>
    <w:p w:rsidR="00A34E81" w:rsidRDefault="00A34E81" w:rsidP="00284963">
      <w:pPr>
        <w:pStyle w:val="ARTartustawynprozporzdzenia"/>
      </w:pPr>
      <w:r>
        <w:t xml:space="preserve">Propozycja nowelizacji samego art. 203 § 1 (art. 1 pkt 2 lit. a projektu) jest natomiast podyktowana </w:t>
      </w:r>
      <w:r w:rsidRPr="00431F8F">
        <w:rPr>
          <w:spacing w:val="-2"/>
        </w:rPr>
        <w:t>koniecznością uściślenia, że przepis ten znajduje zastosowanie wyłącznie w</w:t>
      </w:r>
      <w:r>
        <w:rPr>
          <w:spacing w:val="-2"/>
        </w:rPr>
        <w:t> </w:t>
      </w:r>
      <w:r w:rsidRPr="00431F8F">
        <w:rPr>
          <w:spacing w:val="-2"/>
        </w:rPr>
        <w:t>przypadku środka</w:t>
      </w:r>
      <w:r>
        <w:t xml:space="preserve"> zabezpieczającego w postaci pobytu w zakładzie psychiatrycznym.</w:t>
      </w:r>
    </w:p>
    <w:p w:rsidR="00A34E81" w:rsidRDefault="00A34E81" w:rsidP="00284963">
      <w:pPr>
        <w:pStyle w:val="ARTartustawynprozporzdzenia"/>
      </w:pPr>
      <w:r>
        <w:t>Wreszcie art. 1 pkt 1 projektu nadaje nowe brzmienie § 2 w art. 199a k.k.w. Przepis ten wskazuje właściwość miejscową sądu we wszystkich sprawach związanych z wykonaniem środków zabezpieczających, z wyjątkiem elektronicznej kontroli miejsca pobytu, której dotyczy postanowienie art. 43e § 3 k.k.w. („</w:t>
      </w:r>
      <w:r w:rsidRPr="003D43AA">
        <w:t>W sprawach wykonywania dozoru zbliżeniowego i mobilnego właściwy jest sąd, w którego okręgu skazany ma miejsce stałego pobytu, a jeżeli skazany ni</w:t>
      </w:r>
      <w:r>
        <w:t>e posiada takiego miejsca – sąd,</w:t>
      </w:r>
      <w:r w:rsidRPr="003D43AA">
        <w:t xml:space="preserve"> w którego okręgu orzeczono środek karny lub zabezpieczający wykonywany w systemie dozoru elektronicznego</w:t>
      </w:r>
      <w:r>
        <w:t>”)</w:t>
      </w:r>
      <w:r w:rsidRPr="003D43AA">
        <w:t>.</w:t>
      </w:r>
      <w:r>
        <w:t xml:space="preserve"> W piśmiennictwie zwrócono jednak uwagę na to, że art. 199a § 2 k.k.w. w obecnym brzmieniu stanowi </w:t>
      </w:r>
      <w:r w:rsidRPr="00241B92">
        <w:rPr>
          <w:spacing w:val="-2"/>
        </w:rPr>
        <w:t xml:space="preserve">jedynie powtórzenie </w:t>
      </w:r>
      <w:r>
        <w:rPr>
          <w:spacing w:val="-2"/>
        </w:rPr>
        <w:t>zasady</w:t>
      </w:r>
      <w:r w:rsidRPr="00241B92">
        <w:rPr>
          <w:spacing w:val="-2"/>
        </w:rPr>
        <w:t xml:space="preserve"> </w:t>
      </w:r>
      <w:r>
        <w:rPr>
          <w:spacing w:val="-2"/>
        </w:rPr>
        <w:t>wyrażonej</w:t>
      </w:r>
      <w:r w:rsidRPr="00241B92">
        <w:rPr>
          <w:spacing w:val="-2"/>
        </w:rPr>
        <w:t xml:space="preserve"> w art. 3 § 1 k.k.w., </w:t>
      </w:r>
      <w:r>
        <w:rPr>
          <w:spacing w:val="-2"/>
        </w:rPr>
        <w:t>zgodnie z którą</w:t>
      </w:r>
      <w:r>
        <w:t xml:space="preserve"> sąd, który wydał orzeczenie w pierwszej instancji, jest właściwy także w postępowaniu dotyczącym wykonania tego orzeczenia, chyba że ustawa stanowi inaczej – tak Kazimierz Postulski, „Kodeks karny wykonawczy. Komentarz”, Wolters Kluwer, 2017.</w:t>
      </w:r>
    </w:p>
    <w:p w:rsidR="00A34E81" w:rsidRDefault="00A34E81" w:rsidP="00284963">
      <w:pPr>
        <w:pStyle w:val="ARTartustawynprozporzdzenia"/>
      </w:pPr>
      <w:r>
        <w:t xml:space="preserve">Zdaniem wnioskodawców, zasadne będzie zastąpienie dotychczasowego postanowienia art. 199a § 2 k.k.w. regulacją, która w istocie ustanowi kolejny wyjątek w rozumieniu art. 3 § 1 </w:t>
      </w:r>
      <w:r w:rsidRPr="00D2106A">
        <w:rPr>
          <w:rStyle w:val="Kkursywa"/>
        </w:rPr>
        <w:t>in fine</w:t>
      </w:r>
      <w:r>
        <w:t xml:space="preserve"> k.k.w. (obok wyjątku z art. 43e § 3 k.k.w.), tzn. powierzy orzekanie w sprawach wykonania środka zabezpieczającego w postaci pobytu w zakładzie psychiatrycznym sądowi, w którego okręgu sprawca przebywa, będącemu jednak sądem tego samego rzędu co sąd, który wydał orzeczenie w pierwszej instancji. Intencją tej zmiany jest zminimalizowanie </w:t>
      </w:r>
      <w:r w:rsidRPr="000B6131">
        <w:rPr>
          <w:spacing w:val="-3"/>
        </w:rPr>
        <w:t>obciążeń oraz uciążliwości związanych z konwojowaniem sprawcy przebywającego w zakładzie</w:t>
      </w:r>
      <w:r w:rsidRPr="001D0FC3">
        <w:rPr>
          <w:spacing w:val="-2"/>
        </w:rPr>
        <w:t xml:space="preserve"> psychiatrycznym na posiedzenie sądu.</w:t>
      </w:r>
      <w:r>
        <w:t xml:space="preserve"> Utrzymanie aktualnie obowiązującej właściwości sądu </w:t>
      </w:r>
      <w:r w:rsidRPr="000B6131">
        <w:rPr>
          <w:spacing w:val="-3"/>
        </w:rPr>
        <w:t>w tego typu sprawach skutkowałoby niekiedy koniecznością przewożenia sprawcy do odległego</w:t>
      </w:r>
      <w:r>
        <w:t xml:space="preserve"> sądu, a długa podróż – pomijając związane z tym koszty – mogłaby być dla sprawcy dodatkowym i zarazem niepotrzebnym stresem.</w:t>
      </w:r>
    </w:p>
    <w:p w:rsidR="00A34E81" w:rsidRDefault="00A34E81" w:rsidP="00284963">
      <w:pPr>
        <w:pStyle w:val="ARTartustawynprozporzdzenia"/>
      </w:pPr>
      <w:r>
        <w:t>Niezależnie od tego, w celu zapobieżenia ewentualnym wątpliwościom co do tego, który sąd będzie właściwy w sprawach dotyczących zmiany środka zabezpieczającego w postaci pobytu w zakładzie psychiatrycznym (czy sąd właściwości ogólnej z art. 3 § 1 k.k.w., czy też sąd odpowiedniego rzędu, w którego okręgu sprawca przebywa), proponuje się jednoznaczne przesądzenie tej kwestii w zdaniu drugim nowelizowanego art. 199a § 2. Skądinąd za wyborem sądu „miejsca pobytu” jako właściwego w przedmiocie zmiany omawianego środka zabezpieczającego przemawiają dokładnie te same względy co przedstawione powyżej.</w:t>
      </w:r>
    </w:p>
    <w:p w:rsidR="00A34E81" w:rsidRPr="00BE2F85" w:rsidRDefault="00A34E81" w:rsidP="00284963">
      <w:pPr>
        <w:pStyle w:val="ARTartustawynprozporzdzenia"/>
      </w:pPr>
      <w:r>
        <w:t>Kierując się potrzebą jak najszybszego wykonania wyroku z dnia 22 marca 2017 r., w art. 2 ustawy zaproponowano zaledwie 14-dniowy okres spoczywania ustawy.</w:t>
      </w:r>
    </w:p>
    <w:p w:rsidR="00A34E81" w:rsidRDefault="00A34E81" w:rsidP="0015321A">
      <w:pPr>
        <w:rPr>
          <w:rStyle w:val="Ppogrubienie"/>
        </w:rPr>
      </w:pPr>
    </w:p>
    <w:p w:rsidR="00A34E81" w:rsidRPr="0094134D" w:rsidRDefault="00A34E81" w:rsidP="001D0FC3">
      <w:pPr>
        <w:keepNext/>
        <w:rPr>
          <w:rStyle w:val="Ppogrubienie"/>
        </w:rPr>
      </w:pPr>
      <w:r w:rsidRPr="0094134D">
        <w:rPr>
          <w:rStyle w:val="Ppogrubienie"/>
        </w:rPr>
        <w:t>4. Konsultacje</w:t>
      </w:r>
    </w:p>
    <w:p w:rsidR="00A34E81" w:rsidRDefault="00A34E81" w:rsidP="00EB3EC9">
      <w:pPr>
        <w:pStyle w:val="ARTartustawynprozporzdzenia"/>
        <w:rPr>
          <w:rStyle w:val="Ppogrubienie"/>
        </w:rPr>
      </w:pPr>
      <w:r>
        <w:t>Nadesłane w ramach konsultacji opinie i uwagi są zamieszczone na senackiej stronie internetowej. Wyniki konsultacji przedstawiono w Ocenie Skutków Regulacji.</w:t>
      </w:r>
    </w:p>
    <w:p w:rsidR="00A34E81" w:rsidRDefault="00A34E81" w:rsidP="0015321A">
      <w:pPr>
        <w:rPr>
          <w:rStyle w:val="Ppogrubienie"/>
        </w:rPr>
      </w:pPr>
    </w:p>
    <w:p w:rsidR="00A34E81" w:rsidRPr="0015321A" w:rsidRDefault="00A34E81" w:rsidP="0015321A">
      <w:pPr>
        <w:rPr>
          <w:rStyle w:val="Ppogrubienie"/>
        </w:rPr>
      </w:pPr>
      <w:r>
        <w:rPr>
          <w:rStyle w:val="Ppogrubienie"/>
        </w:rPr>
        <w:t xml:space="preserve">5. </w:t>
      </w:r>
      <w:r w:rsidRPr="0015321A">
        <w:rPr>
          <w:rStyle w:val="Ppogrubienie"/>
        </w:rPr>
        <w:t>Oświadczenie o zgodności z prawem Unii Europejskiej</w:t>
      </w:r>
    </w:p>
    <w:p w:rsidR="00A34E81" w:rsidRPr="00613011" w:rsidRDefault="00A34E81" w:rsidP="00730DA0">
      <w:pPr>
        <w:pStyle w:val="NIEARTTEKSTtekstnieartykuowanynppodstprawnarozplubpreambua"/>
      </w:pPr>
      <w:r w:rsidRPr="0015321A">
        <w:t>Zakres przedmiotowy projektowanej ustawy nie jest objęty prawem Unii Europejskiej.</w:t>
      </w:r>
    </w:p>
    <w:p w:rsidR="00A34E81" w:rsidRDefault="00A34E81" w:rsidP="00C70646">
      <w:pPr>
        <w:sectPr w:rsidR="00A34E81" w:rsidSect="00DD5FC9">
          <w:headerReference w:type="default" r:id="rId11"/>
          <w:pgSz w:w="11906" w:h="16838"/>
          <w:pgMar w:top="1560" w:right="1434" w:bottom="1560" w:left="1418" w:header="709" w:footer="709" w:gutter="0"/>
          <w:pgNumType w:start="1"/>
          <w:cols w:space="708"/>
          <w:titlePg/>
          <w:docGrid w:linePitch="254"/>
        </w:sectPr>
      </w:pP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683"/>
        <w:gridCol w:w="26"/>
        <w:gridCol w:w="425"/>
        <w:gridCol w:w="296"/>
        <w:gridCol w:w="722"/>
        <w:gridCol w:w="177"/>
        <w:gridCol w:w="544"/>
        <w:gridCol w:w="393"/>
        <w:gridCol w:w="329"/>
        <w:gridCol w:w="609"/>
        <w:gridCol w:w="113"/>
        <w:gridCol w:w="77"/>
        <w:gridCol w:w="644"/>
        <w:gridCol w:w="33"/>
        <w:gridCol w:w="71"/>
        <w:gridCol w:w="618"/>
        <w:gridCol w:w="319"/>
        <w:gridCol w:w="403"/>
        <w:gridCol w:w="464"/>
        <w:gridCol w:w="71"/>
        <w:gridCol w:w="186"/>
        <w:gridCol w:w="722"/>
        <w:gridCol w:w="30"/>
        <w:gridCol w:w="692"/>
        <w:gridCol w:w="992"/>
      </w:tblGrid>
      <w:tr w:rsidR="00A34E81" w:rsidRPr="00A34E81" w:rsidTr="009A237D">
        <w:trPr>
          <w:trHeight w:val="1611"/>
        </w:trPr>
        <w:tc>
          <w:tcPr>
            <w:tcW w:w="6631" w:type="dxa"/>
            <w:gridSpan w:val="15"/>
          </w:tcPr>
          <w:p w:rsidR="00A34E81" w:rsidRPr="00A34E81" w:rsidRDefault="00A34E81" w:rsidP="00A34E81">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A34E81">
              <w:rPr>
                <w:rFonts w:eastAsia="Calibri" w:cs="Times New Roman"/>
                <w:b/>
                <w:color w:val="000000"/>
                <w:sz w:val="22"/>
                <w:szCs w:val="22"/>
                <w:lang w:eastAsia="en-US"/>
              </w:rPr>
              <w:t>Tytuł projektu:</w:t>
            </w:r>
          </w:p>
          <w:p w:rsidR="00A34E81" w:rsidRPr="00A34E81" w:rsidRDefault="00A34E81" w:rsidP="00A34E81">
            <w:pPr>
              <w:widowControl/>
              <w:autoSpaceDE/>
              <w:autoSpaceDN/>
              <w:adjustRightInd/>
              <w:spacing w:line="276" w:lineRule="auto"/>
              <w:rPr>
                <w:rFonts w:eastAsia="Calibri" w:cs="Times New Roman"/>
                <w:sz w:val="22"/>
                <w:szCs w:val="22"/>
                <w:vertAlign w:val="superscript"/>
                <w:lang w:eastAsia="en-US"/>
              </w:rPr>
            </w:pPr>
            <w:r w:rsidRPr="00A34E81">
              <w:rPr>
                <w:rFonts w:eastAsia="Calibri" w:cs="Times New Roman"/>
                <w:sz w:val="22"/>
                <w:szCs w:val="22"/>
                <w:lang w:eastAsia="en-US"/>
              </w:rPr>
              <w:t>ustawa o zmianie ustawy – Kodeks karny wykonawczy</w:t>
            </w:r>
          </w:p>
          <w:bookmarkEnd w:id="1"/>
          <w:p w:rsidR="00A34E81" w:rsidRPr="00A34E81" w:rsidRDefault="00A34E81" w:rsidP="00A34E81">
            <w:pPr>
              <w:widowControl/>
              <w:autoSpaceDE/>
              <w:autoSpaceDN/>
              <w:adjustRightInd/>
              <w:spacing w:line="240" w:lineRule="auto"/>
              <w:ind w:hanging="34"/>
              <w:jc w:val="left"/>
              <w:rPr>
                <w:rFonts w:eastAsia="Calibri" w:cs="Times New Roman"/>
                <w:color w:val="000000"/>
                <w:sz w:val="22"/>
                <w:szCs w:val="22"/>
                <w:lang w:eastAsia="en-US"/>
              </w:rPr>
            </w:pPr>
          </w:p>
          <w:p w:rsidR="00A34E81" w:rsidRPr="00A34E81" w:rsidRDefault="00A34E81" w:rsidP="00A34E81">
            <w:pPr>
              <w:widowControl/>
              <w:autoSpaceDE/>
              <w:autoSpaceDN/>
              <w:adjustRightInd/>
              <w:spacing w:line="240" w:lineRule="auto"/>
              <w:jc w:val="left"/>
              <w:rPr>
                <w:rFonts w:eastAsia="Calibri" w:cs="Times New Roman"/>
                <w:b/>
                <w:sz w:val="21"/>
                <w:szCs w:val="24"/>
                <w:lang w:eastAsia="en-US"/>
              </w:rPr>
            </w:pPr>
            <w:r w:rsidRPr="00A34E81">
              <w:rPr>
                <w:rFonts w:eastAsia="Calibri" w:cs="Times New Roman"/>
                <w:b/>
                <w:sz w:val="22"/>
                <w:szCs w:val="24"/>
                <w:lang w:eastAsia="en-US"/>
              </w:rPr>
              <w:t>Przedstawiciel wnioskodawcy</w:t>
            </w:r>
            <w:r w:rsidRPr="00A34E81">
              <w:rPr>
                <w:rFonts w:eastAsia="Calibri" w:cs="Times New Roman"/>
                <w:b/>
                <w:sz w:val="21"/>
                <w:szCs w:val="24"/>
                <w:lang w:eastAsia="en-US"/>
              </w:rPr>
              <w:t xml:space="preserve">: </w:t>
            </w:r>
          </w:p>
          <w:p w:rsidR="00A34E81" w:rsidRPr="00A34E81" w:rsidRDefault="00A34E81" w:rsidP="00A34E81">
            <w:pPr>
              <w:widowControl/>
              <w:autoSpaceDE/>
              <w:autoSpaceDN/>
              <w:adjustRightInd/>
              <w:spacing w:line="240" w:lineRule="auto"/>
              <w:jc w:val="left"/>
              <w:rPr>
                <w:rFonts w:eastAsia="Calibri" w:cs="Times New Roman"/>
                <w:sz w:val="22"/>
                <w:szCs w:val="21"/>
                <w:lang w:eastAsia="en-US"/>
              </w:rPr>
            </w:pPr>
            <w:r w:rsidRPr="00A34E81">
              <w:rPr>
                <w:rFonts w:eastAsia="Calibri" w:cs="Times New Roman"/>
                <w:sz w:val="22"/>
                <w:szCs w:val="21"/>
                <w:lang w:eastAsia="en-US"/>
              </w:rPr>
              <w:t>senator Rafał Ambrozik</w:t>
            </w:r>
          </w:p>
          <w:p w:rsidR="00A34E81" w:rsidRPr="00A34E81" w:rsidRDefault="00A34E81" w:rsidP="00A34E81">
            <w:pPr>
              <w:widowControl/>
              <w:autoSpaceDE/>
              <w:autoSpaceDN/>
              <w:adjustRightInd/>
              <w:spacing w:line="240" w:lineRule="auto"/>
              <w:ind w:hanging="45"/>
              <w:jc w:val="left"/>
              <w:rPr>
                <w:rFonts w:eastAsia="Calibri" w:cs="Times New Roman"/>
                <w:b/>
                <w:color w:val="000000"/>
                <w:sz w:val="22"/>
                <w:szCs w:val="22"/>
                <w:lang w:eastAsia="en-US"/>
              </w:rPr>
            </w:pPr>
          </w:p>
          <w:p w:rsidR="00A34E81" w:rsidRPr="00A34E81" w:rsidRDefault="00A34E81" w:rsidP="00A34E81">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A34E81">
              <w:rPr>
                <w:rFonts w:eastAsia="Calibri" w:cs="Times New Roman"/>
                <w:b/>
                <w:color w:val="000000"/>
                <w:sz w:val="22"/>
                <w:szCs w:val="22"/>
                <w:lang w:eastAsia="en-US"/>
              </w:rPr>
              <w:t>Osoby odpowiedzialne za projekt w Biurze Legislacyjnym:</w:t>
            </w:r>
          </w:p>
          <w:p w:rsidR="00A34E81" w:rsidRPr="00A34E81" w:rsidRDefault="00A34E81" w:rsidP="00A34E81">
            <w:pPr>
              <w:widowControl/>
              <w:autoSpaceDE/>
              <w:autoSpaceDN/>
              <w:adjustRightInd/>
              <w:spacing w:line="240" w:lineRule="auto"/>
              <w:jc w:val="left"/>
              <w:rPr>
                <w:rFonts w:eastAsia="Calibri" w:cs="Times New Roman"/>
                <w:sz w:val="22"/>
                <w:szCs w:val="22"/>
                <w:lang w:eastAsia="en-US"/>
              </w:rPr>
            </w:pPr>
            <w:r w:rsidRPr="00A34E81">
              <w:rPr>
                <w:rFonts w:eastAsia="Calibri" w:cs="Times New Roman"/>
                <w:sz w:val="22"/>
                <w:szCs w:val="22"/>
                <w:lang w:eastAsia="en-US"/>
              </w:rPr>
              <w:t>Katarzyna Konieczko, ekspert ds. legislacji, tel. 22 694 9557</w:t>
            </w:r>
          </w:p>
          <w:p w:rsidR="00A34E81" w:rsidRPr="00A34E81" w:rsidRDefault="00A34E81" w:rsidP="00A34E81">
            <w:pPr>
              <w:widowControl/>
              <w:autoSpaceDE/>
              <w:autoSpaceDN/>
              <w:adjustRightInd/>
              <w:spacing w:line="240" w:lineRule="auto"/>
              <w:jc w:val="left"/>
              <w:rPr>
                <w:rFonts w:eastAsia="Calibri" w:cs="Times New Roman"/>
                <w:sz w:val="22"/>
                <w:szCs w:val="22"/>
                <w:lang w:eastAsia="en-US"/>
              </w:rPr>
            </w:pPr>
            <w:r w:rsidRPr="00A34E81">
              <w:rPr>
                <w:rFonts w:eastAsia="Calibri" w:cs="Times New Roman"/>
                <w:sz w:val="22"/>
                <w:szCs w:val="22"/>
                <w:lang w:eastAsia="en-US"/>
              </w:rPr>
              <w:t>Beata Mandylis, legislator, tel. 22 694 9340</w:t>
            </w:r>
          </w:p>
          <w:bookmarkEnd w:id="2"/>
          <w:p w:rsidR="00A34E81" w:rsidRPr="00A34E81" w:rsidRDefault="00A34E81" w:rsidP="00A34E81">
            <w:pPr>
              <w:widowControl/>
              <w:autoSpaceDE/>
              <w:autoSpaceDN/>
              <w:adjustRightInd/>
              <w:spacing w:after="120" w:line="240" w:lineRule="auto"/>
              <w:ind w:hanging="45"/>
              <w:jc w:val="left"/>
              <w:rPr>
                <w:rFonts w:eastAsia="Calibri" w:cs="Times New Roman"/>
                <w:color w:val="000000"/>
                <w:sz w:val="22"/>
                <w:szCs w:val="22"/>
                <w:lang w:eastAsia="en-US"/>
              </w:rPr>
            </w:pPr>
            <w:r w:rsidRPr="00A34E81">
              <w:rPr>
                <w:rFonts w:eastAsia="Calibri" w:cs="Times New Roman"/>
                <w:color w:val="000000"/>
                <w:sz w:val="22"/>
                <w:szCs w:val="22"/>
                <w:lang w:eastAsia="en-US"/>
              </w:rPr>
              <w:tab/>
              <w:t>Katarzyna Majewska, ekspert ds. OSR, tel. 22 694 9259</w:t>
            </w:r>
          </w:p>
        </w:tc>
        <w:tc>
          <w:tcPr>
            <w:tcW w:w="4568" w:type="dxa"/>
            <w:gridSpan w:val="11"/>
            <w:shd w:val="clear" w:color="auto" w:fill="FFFFFF"/>
          </w:tcPr>
          <w:p w:rsidR="00A34E81" w:rsidRPr="00A34E81" w:rsidRDefault="00A34E81" w:rsidP="00A34E81">
            <w:pPr>
              <w:widowControl/>
              <w:autoSpaceDE/>
              <w:autoSpaceDN/>
              <w:adjustRightInd/>
              <w:spacing w:before="120" w:line="240" w:lineRule="auto"/>
              <w:jc w:val="left"/>
              <w:rPr>
                <w:rFonts w:eastAsia="Calibri" w:cs="Times New Roman"/>
                <w:b/>
                <w:sz w:val="21"/>
                <w:szCs w:val="21"/>
                <w:lang w:eastAsia="en-US"/>
              </w:rPr>
            </w:pPr>
            <w:r w:rsidRPr="00A34E81">
              <w:rPr>
                <w:rFonts w:eastAsia="Calibri" w:cs="Times New Roman"/>
                <w:b/>
                <w:sz w:val="21"/>
                <w:szCs w:val="21"/>
                <w:lang w:eastAsia="en-US"/>
              </w:rPr>
              <w:t>Data sporządzenia:</w:t>
            </w:r>
            <w:r w:rsidRPr="00A34E81">
              <w:rPr>
                <w:rFonts w:eastAsia="Calibri" w:cs="Times New Roman"/>
                <w:b/>
                <w:sz w:val="21"/>
                <w:szCs w:val="21"/>
                <w:lang w:eastAsia="en-US"/>
              </w:rPr>
              <w:br/>
            </w:r>
            <w:r w:rsidRPr="00A34E81">
              <w:rPr>
                <w:rFonts w:eastAsia="Calibri" w:cs="Times New Roman"/>
                <w:sz w:val="21"/>
                <w:szCs w:val="21"/>
                <w:lang w:eastAsia="en-US"/>
              </w:rPr>
              <w:t>24 września 2018 r.</w:t>
            </w:r>
          </w:p>
          <w:p w:rsidR="00A34E81" w:rsidRPr="00A34E81" w:rsidRDefault="00A34E81" w:rsidP="00A34E81">
            <w:pPr>
              <w:widowControl/>
              <w:autoSpaceDE/>
              <w:autoSpaceDN/>
              <w:adjustRightInd/>
              <w:spacing w:line="240" w:lineRule="auto"/>
              <w:jc w:val="left"/>
              <w:rPr>
                <w:rFonts w:eastAsia="Calibri" w:cs="Times New Roman"/>
                <w:b/>
                <w:sz w:val="22"/>
                <w:szCs w:val="22"/>
                <w:lang w:eastAsia="en-US"/>
              </w:rPr>
            </w:pPr>
          </w:p>
          <w:p w:rsidR="00A34E81" w:rsidRPr="00A34E81" w:rsidRDefault="00A34E81" w:rsidP="00A34E81">
            <w:pPr>
              <w:widowControl/>
              <w:autoSpaceDE/>
              <w:autoSpaceDN/>
              <w:adjustRightInd/>
              <w:spacing w:line="240" w:lineRule="auto"/>
              <w:jc w:val="left"/>
              <w:rPr>
                <w:rFonts w:eastAsia="Calibri" w:cs="Times New Roman"/>
                <w:sz w:val="22"/>
                <w:szCs w:val="22"/>
                <w:lang w:eastAsia="en-US"/>
              </w:rPr>
            </w:pPr>
            <w:r w:rsidRPr="00A34E81">
              <w:rPr>
                <w:rFonts w:eastAsia="Calibri" w:cs="Times New Roman"/>
                <w:b/>
                <w:sz w:val="22"/>
                <w:szCs w:val="22"/>
                <w:lang w:eastAsia="en-US"/>
              </w:rPr>
              <w:t xml:space="preserve">Źródło: </w:t>
            </w:r>
            <w:r w:rsidRPr="00A34E81">
              <w:rPr>
                <w:rFonts w:eastAsia="Calibri" w:cs="Times New Roman"/>
                <w:sz w:val="22"/>
                <w:szCs w:val="22"/>
                <w:lang w:eastAsia="en-US"/>
              </w:rPr>
              <w:t>wyrok TK</w:t>
            </w:r>
          </w:p>
          <w:p w:rsidR="00A34E81" w:rsidRPr="00A34E81" w:rsidRDefault="00A34E81" w:rsidP="00A34E81">
            <w:pPr>
              <w:widowControl/>
              <w:autoSpaceDE/>
              <w:autoSpaceDN/>
              <w:adjustRightInd/>
              <w:spacing w:line="240" w:lineRule="auto"/>
              <w:jc w:val="left"/>
              <w:rPr>
                <w:rFonts w:eastAsia="Calibri" w:cs="Times New Roman"/>
                <w:b/>
                <w:color w:val="000000"/>
                <w:sz w:val="22"/>
                <w:szCs w:val="22"/>
                <w:lang w:eastAsia="en-US"/>
              </w:rPr>
            </w:pPr>
          </w:p>
          <w:p w:rsidR="00A34E81" w:rsidRPr="00A34E81" w:rsidRDefault="00A34E81" w:rsidP="00A34E81">
            <w:pPr>
              <w:widowControl/>
              <w:autoSpaceDE/>
              <w:autoSpaceDN/>
              <w:adjustRightInd/>
              <w:spacing w:line="240" w:lineRule="auto"/>
              <w:jc w:val="left"/>
              <w:rPr>
                <w:rFonts w:eastAsia="Calibri" w:cs="Times New Roman"/>
                <w:color w:val="000000"/>
                <w:sz w:val="22"/>
                <w:szCs w:val="22"/>
                <w:lang w:eastAsia="en-US"/>
              </w:rPr>
            </w:pPr>
            <w:r w:rsidRPr="00A34E81">
              <w:rPr>
                <w:rFonts w:eastAsia="Calibri" w:cs="Times New Roman"/>
                <w:b/>
                <w:color w:val="000000"/>
                <w:sz w:val="22"/>
                <w:szCs w:val="22"/>
                <w:lang w:eastAsia="en-US"/>
              </w:rPr>
              <w:t>Nr druku:</w:t>
            </w:r>
            <w:r w:rsidRPr="00A34E81">
              <w:rPr>
                <w:rFonts w:eastAsia="Calibri" w:cs="Times New Roman"/>
                <w:color w:val="000000"/>
                <w:sz w:val="22"/>
                <w:szCs w:val="22"/>
                <w:lang w:eastAsia="en-US"/>
              </w:rPr>
              <w:t xml:space="preserve"> 735, 735S</w:t>
            </w:r>
          </w:p>
          <w:p w:rsidR="00A34E81" w:rsidRPr="00A34E81" w:rsidRDefault="00A34E81" w:rsidP="00A34E81">
            <w:pPr>
              <w:widowControl/>
              <w:autoSpaceDE/>
              <w:autoSpaceDN/>
              <w:adjustRightInd/>
              <w:spacing w:line="240" w:lineRule="auto"/>
              <w:jc w:val="left"/>
              <w:rPr>
                <w:rFonts w:eastAsia="Calibri" w:cs="Times New Roman"/>
                <w:color w:val="000000"/>
                <w:sz w:val="28"/>
                <w:szCs w:val="28"/>
                <w:lang w:eastAsia="en-US"/>
              </w:rPr>
            </w:pPr>
          </w:p>
        </w:tc>
      </w:tr>
      <w:tr w:rsidR="00A34E81" w:rsidRPr="00A34E81" w:rsidTr="009A237D">
        <w:trPr>
          <w:trHeight w:val="142"/>
        </w:trPr>
        <w:tc>
          <w:tcPr>
            <w:tcW w:w="11199" w:type="dxa"/>
            <w:gridSpan w:val="26"/>
            <w:shd w:val="clear" w:color="auto" w:fill="99CCFF"/>
          </w:tcPr>
          <w:p w:rsidR="00A34E81" w:rsidRPr="00A34E81" w:rsidRDefault="00A34E81" w:rsidP="00A34E81">
            <w:pPr>
              <w:widowControl/>
              <w:autoSpaceDE/>
              <w:autoSpaceDN/>
              <w:adjustRightInd/>
              <w:spacing w:line="240" w:lineRule="auto"/>
              <w:ind w:left="57"/>
              <w:jc w:val="center"/>
              <w:rPr>
                <w:rFonts w:eastAsia="Calibri" w:cs="Times New Roman"/>
                <w:b/>
                <w:color w:val="FFFFFF"/>
                <w:sz w:val="32"/>
                <w:szCs w:val="32"/>
                <w:lang w:eastAsia="en-US"/>
              </w:rPr>
            </w:pPr>
            <w:r w:rsidRPr="00A34E81">
              <w:rPr>
                <w:rFonts w:eastAsia="Calibri" w:cs="Times New Roman"/>
                <w:b/>
                <w:color w:val="FFFFFF"/>
                <w:sz w:val="32"/>
                <w:szCs w:val="32"/>
                <w:lang w:eastAsia="en-US"/>
              </w:rPr>
              <w:t>OCENA SKUTKÓW REGULACJI</w:t>
            </w:r>
          </w:p>
        </w:tc>
      </w:tr>
      <w:tr w:rsidR="00A34E81" w:rsidRPr="00A34E81" w:rsidTr="009A237D">
        <w:trPr>
          <w:trHeight w:val="333"/>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sz w:val="22"/>
                <w:szCs w:val="22"/>
                <w:lang w:eastAsia="en-US"/>
              </w:rPr>
              <w:t>Jaki problem jest rozwiązywany?</w:t>
            </w:r>
            <w:bookmarkStart w:id="3" w:name="Wybór1"/>
            <w:bookmarkEnd w:id="3"/>
          </w:p>
        </w:tc>
      </w:tr>
      <w:tr w:rsidR="00A34E81" w:rsidRPr="00A34E81" w:rsidTr="009A237D">
        <w:tblPrEx>
          <w:tblCellMar>
            <w:left w:w="70" w:type="dxa"/>
            <w:right w:w="70" w:type="dxa"/>
          </w:tblCellMar>
        </w:tblPrEx>
        <w:trPr>
          <w:trHeight w:val="142"/>
        </w:trPr>
        <w:tc>
          <w:tcPr>
            <w:tcW w:w="11199" w:type="dxa"/>
            <w:gridSpan w:val="26"/>
            <w:shd w:val="clear" w:color="auto" w:fill="FFFFFF"/>
          </w:tcPr>
          <w:p w:rsidR="00A34E81" w:rsidRPr="00A34E81" w:rsidRDefault="00A34E81" w:rsidP="00A34E81">
            <w:pPr>
              <w:widowControl/>
              <w:autoSpaceDE/>
              <w:autoSpaceDN/>
              <w:adjustRightInd/>
              <w:spacing w:before="120" w:after="120" w:line="240" w:lineRule="auto"/>
              <w:rPr>
                <w:rFonts w:eastAsia="Calibri" w:cs="Times New Roman"/>
                <w:color w:val="000000"/>
                <w:sz w:val="22"/>
                <w:szCs w:val="22"/>
                <w:lang w:eastAsia="en-US"/>
              </w:rPr>
            </w:pPr>
            <w:r w:rsidRPr="00A34E81">
              <w:rPr>
                <w:rFonts w:eastAsia="Calibri" w:cs="Times New Roman"/>
                <w:color w:val="000000"/>
                <w:sz w:val="22"/>
                <w:szCs w:val="22"/>
                <w:lang w:eastAsia="en-US"/>
              </w:rPr>
              <w:t xml:space="preserve">Trybunał Konstytucyjny w wyroku z dnia 22 marca 2017 r. (sygn. akt SK 13/14) uznał za niezgodny z </w:t>
            </w:r>
            <w:r w:rsidRPr="00A34E81">
              <w:rPr>
                <w:rFonts w:eastAsia="Calibri" w:cs="Times New Roman"/>
                <w:i/>
                <w:color w:val="000000"/>
                <w:sz w:val="22"/>
                <w:szCs w:val="22"/>
                <w:lang w:eastAsia="en-US"/>
              </w:rPr>
              <w:t>Konstytucją RP</w:t>
            </w:r>
            <w:r w:rsidRPr="00A34E81">
              <w:rPr>
                <w:rFonts w:eastAsia="Calibri" w:cs="Times New Roman"/>
                <w:color w:val="000000"/>
                <w:sz w:val="22"/>
                <w:szCs w:val="22"/>
                <w:lang w:eastAsia="en-US"/>
              </w:rPr>
              <w:t xml:space="preserve"> przepis art. 204 § 1 i 2 w związku z art. 22 § 1 </w:t>
            </w:r>
            <w:r w:rsidRPr="00A34E81">
              <w:rPr>
                <w:rFonts w:eastAsia="Calibri" w:cs="Times New Roman"/>
                <w:i/>
                <w:color w:val="000000"/>
                <w:sz w:val="22"/>
                <w:szCs w:val="22"/>
                <w:lang w:eastAsia="en-US"/>
              </w:rPr>
              <w:t>Kodeksu karnego wykonawczego</w:t>
            </w:r>
            <w:r w:rsidRPr="00A34E81">
              <w:rPr>
                <w:rFonts w:eastAsia="Calibri" w:cs="Times New Roman"/>
                <w:color w:val="000000"/>
                <w:sz w:val="22"/>
                <w:szCs w:val="22"/>
                <w:lang w:eastAsia="en-US"/>
              </w:rPr>
              <w:t xml:space="preserve"> (zwanego dalej k.k.w.) w zakresie, w jakim nie przewiduje prawa do osobistego udziału sprawcy, wobec którego stosowany jest środek zabezpieczający polegający </w:t>
            </w:r>
            <w:r w:rsidRPr="00A34E81">
              <w:rPr>
                <w:rFonts w:eastAsia="Calibri" w:cs="Times New Roman"/>
                <w:color w:val="000000"/>
                <w:sz w:val="22"/>
                <w:szCs w:val="22"/>
                <w:lang w:eastAsia="en-US"/>
              </w:rPr>
              <w:br/>
              <w:t>na umieszczeniu w zamkniętym zakładzie psychiatrycznym, w posiedzeniu sądu w sprawie dalszego stosowania tego środka zabezpieczającego.</w:t>
            </w:r>
          </w:p>
          <w:p w:rsidR="00A34E81" w:rsidRPr="00A34E81" w:rsidRDefault="00A34E81" w:rsidP="00A34E81">
            <w:pPr>
              <w:widowControl/>
              <w:autoSpaceDE/>
              <w:autoSpaceDN/>
              <w:adjustRightInd/>
              <w:spacing w:before="120" w:after="120" w:line="240" w:lineRule="auto"/>
              <w:rPr>
                <w:rFonts w:eastAsia="Calibri" w:cs="Times New Roman"/>
                <w:color w:val="000000"/>
                <w:sz w:val="22"/>
                <w:szCs w:val="22"/>
                <w:lang w:eastAsia="en-US"/>
              </w:rPr>
            </w:pPr>
            <w:r w:rsidRPr="00A34E81">
              <w:rPr>
                <w:rFonts w:eastAsia="Calibri" w:cs="Times New Roman"/>
                <w:color w:val="000000"/>
                <w:sz w:val="22"/>
                <w:szCs w:val="22"/>
                <w:lang w:eastAsia="en-US"/>
              </w:rPr>
              <w:t>Zgodnie z postanowieniami k.k.w.</w:t>
            </w:r>
            <w:r w:rsidRPr="00A34E81">
              <w:rPr>
                <w:rFonts w:eastAsia="Calibri" w:cs="Times New Roman"/>
                <w:i/>
                <w:color w:val="000000"/>
                <w:sz w:val="22"/>
                <w:szCs w:val="22"/>
                <w:lang w:eastAsia="en-US"/>
              </w:rPr>
              <w:t xml:space="preserve"> </w:t>
            </w:r>
            <w:r w:rsidRPr="00A34E81">
              <w:rPr>
                <w:rFonts w:eastAsia="Calibri" w:cs="Times New Roman"/>
                <w:color w:val="000000"/>
                <w:sz w:val="22"/>
                <w:szCs w:val="22"/>
                <w:lang w:eastAsia="en-US"/>
              </w:rPr>
              <w:t>w przypadku, gdy wobec sprawcy orzeczono pobyt w zakładzie psychiatrycznym, sąd, nie rzadziej niż co 6 miesięcy, na podstawie opinii kierownika zakładu psychiatrycznego o stanie zdrowia sprawcy umieszczonego w tym zakładzie i o postępach w leczeniu lub terapii orzeka w przedmiocie dalszego stosowania tego środka, a w razie uzyskania opinii, że dalsze pozostawanie sprawcy w zakładzie nie jest konieczne – bezzwłocznie. W razie potrzeby sąd zasięga opinii innych biegłych.</w:t>
            </w:r>
          </w:p>
          <w:p w:rsidR="00A34E81" w:rsidRPr="00A34E81" w:rsidRDefault="00A34E81" w:rsidP="00A34E81">
            <w:pPr>
              <w:widowControl/>
              <w:autoSpaceDE/>
              <w:autoSpaceDN/>
              <w:adjustRightInd/>
              <w:spacing w:before="120" w:after="120" w:line="240" w:lineRule="auto"/>
              <w:rPr>
                <w:rFonts w:eastAsia="Calibri" w:cs="Times New Roman"/>
                <w:color w:val="000000"/>
                <w:sz w:val="22"/>
                <w:szCs w:val="22"/>
                <w:lang w:eastAsia="en-US"/>
              </w:rPr>
            </w:pPr>
            <w:r w:rsidRPr="00A34E81">
              <w:rPr>
                <w:rFonts w:eastAsia="Calibri" w:cs="Times New Roman"/>
                <w:b/>
                <w:color w:val="000000"/>
                <w:sz w:val="22"/>
                <w:szCs w:val="22"/>
                <w:lang w:eastAsia="en-US"/>
              </w:rPr>
              <w:t>W posiedzeniu w przedmiocie dalszego stosowania pobytu sprawcy w zakładzie psychiatrycznym obowiązkowy jest udział prokuratora oraz w określonych przypadkach obrońcy</w:t>
            </w:r>
            <w:r w:rsidRPr="00A34E81">
              <w:rPr>
                <w:rFonts w:eastAsia="Calibri" w:cs="Times New Roman"/>
                <w:color w:val="000000"/>
                <w:sz w:val="22"/>
                <w:szCs w:val="22"/>
                <w:lang w:eastAsia="en-US"/>
              </w:rPr>
              <w:t xml:space="preserve"> (gdy sprawca jest głuchy, niemy lub niewidomy, zachodzi uzasadniona wątpliwość co do jego poczytalności, nie ukończył 18 lat albo gdy sąd uzna, iż jest to niezbędne z powodu okoliczności utrudniających obronę). </w:t>
            </w:r>
            <w:r w:rsidRPr="00A34E81">
              <w:rPr>
                <w:rFonts w:eastAsia="Calibri" w:cs="Times New Roman"/>
                <w:b/>
                <w:color w:val="000000"/>
                <w:sz w:val="22"/>
                <w:szCs w:val="22"/>
                <w:lang w:eastAsia="en-US"/>
              </w:rPr>
              <w:t>Przepisy k.k.w. nie przewidują natomiast udziału sprawcy w takim posiedzeniu.</w:t>
            </w:r>
            <w:r w:rsidRPr="00A34E81">
              <w:rPr>
                <w:rFonts w:eastAsia="Calibri" w:cs="Times New Roman"/>
                <w:color w:val="000000"/>
                <w:sz w:val="22"/>
                <w:szCs w:val="22"/>
                <w:lang w:eastAsia="en-US"/>
              </w:rPr>
              <w:t xml:space="preserve"> Brak gwarancji osobistego uczestnictwa osoby umieszczonej w zakładzie psychiatrycznym w ww. posiedzeniu ma przy tym charakter generalny (bezwzględny), gdyż dotyczy wszystkich stanów faktycznych i nie jest uzależniony od stanu zdrowia ani zachowania sprawcy.</w:t>
            </w:r>
          </w:p>
          <w:p w:rsidR="00A34E81" w:rsidRPr="00A34E81" w:rsidRDefault="00A34E81" w:rsidP="00A34E81">
            <w:pPr>
              <w:widowControl/>
              <w:autoSpaceDE/>
              <w:autoSpaceDN/>
              <w:adjustRightInd/>
              <w:spacing w:before="120" w:after="120" w:line="240" w:lineRule="auto"/>
              <w:rPr>
                <w:rFonts w:eastAsia="Calibri" w:cs="Times New Roman"/>
                <w:color w:val="000000"/>
                <w:sz w:val="22"/>
                <w:szCs w:val="22"/>
                <w:lang w:eastAsia="en-US"/>
              </w:rPr>
            </w:pPr>
            <w:r w:rsidRPr="00A34E81">
              <w:rPr>
                <w:rFonts w:eastAsia="Calibri" w:cs="Times New Roman"/>
                <w:color w:val="000000"/>
                <w:sz w:val="22"/>
                <w:szCs w:val="22"/>
                <w:lang w:eastAsia="en-US"/>
              </w:rPr>
              <w:t>Odmiennie sytuacja wygląda w przypadku posiedzeń sądu w sprawie orzeczenia, zmiany lub uchylenia środka zabezpieczającego, w których – zgodnie z art. 199b § 3 k.k.w. – mają prawo wziąć udział prokurator, sprawca lub jego obrońca, a ponadto m.in. kierownik zakładu psychiatrycznego.</w:t>
            </w:r>
          </w:p>
          <w:p w:rsidR="00A34E81" w:rsidRPr="00A34E81" w:rsidRDefault="00A34E81" w:rsidP="00A34E81">
            <w:pPr>
              <w:widowControl/>
              <w:autoSpaceDE/>
              <w:autoSpaceDN/>
              <w:adjustRightInd/>
              <w:spacing w:before="120" w:after="120" w:line="240" w:lineRule="auto"/>
              <w:rPr>
                <w:rFonts w:eastAsia="Calibri" w:cs="Times New Roman"/>
                <w:color w:val="000000"/>
                <w:sz w:val="22"/>
                <w:szCs w:val="22"/>
                <w:lang w:eastAsia="en-US"/>
              </w:rPr>
            </w:pPr>
            <w:r w:rsidRPr="00A34E81">
              <w:rPr>
                <w:rFonts w:eastAsia="Calibri" w:cs="Times New Roman"/>
                <w:color w:val="000000"/>
                <w:sz w:val="22"/>
                <w:szCs w:val="22"/>
                <w:lang w:eastAsia="en-US"/>
              </w:rPr>
              <w:t xml:space="preserve">W opinii TK sprawiedliwe i jawne w rozumieniu art. 45 ust. 1 </w:t>
            </w:r>
            <w:r w:rsidRPr="00A34E81">
              <w:rPr>
                <w:rFonts w:eastAsia="Calibri" w:cs="Times New Roman"/>
                <w:i/>
                <w:color w:val="000000"/>
                <w:sz w:val="22"/>
                <w:szCs w:val="22"/>
                <w:lang w:eastAsia="en-US"/>
              </w:rPr>
              <w:t>Konstytucji</w:t>
            </w:r>
            <w:r w:rsidRPr="00A34E81">
              <w:rPr>
                <w:rFonts w:eastAsia="Calibri" w:cs="Times New Roman"/>
                <w:color w:val="000000"/>
                <w:sz w:val="22"/>
                <w:szCs w:val="22"/>
                <w:lang w:eastAsia="en-US"/>
              </w:rPr>
              <w:t xml:space="preserve"> rozstrzygnięcie sprawy dalszego stosowania środka zabezpieczającego polegającego na umieszczeniu w zamkniętym zakładzie psychiatrycznym wymaga obecności oraz wysłuchania osoby, o której sytuacji faktyczno-prawnej sąd decyduje, chyba że z uwagi na stan zdrowia tej osoby udział </w:t>
            </w:r>
            <w:r w:rsidRPr="00A34E81">
              <w:rPr>
                <w:rFonts w:eastAsia="Calibri" w:cs="Times New Roman"/>
                <w:color w:val="000000"/>
                <w:sz w:val="22"/>
                <w:szCs w:val="22"/>
                <w:lang w:eastAsia="en-US"/>
              </w:rPr>
              <w:br/>
              <w:t xml:space="preserve">w posiedzeniu byłby bezcelowy lub niewskazany, albo osoba ta odmawia udziału w posiedzeniu lub uchyla się od niego, </w:t>
            </w:r>
            <w:r w:rsidRPr="00A34E81">
              <w:rPr>
                <w:rFonts w:eastAsia="Calibri" w:cs="Times New Roman"/>
                <w:color w:val="000000"/>
                <w:sz w:val="22"/>
                <w:szCs w:val="22"/>
                <w:lang w:eastAsia="en-US"/>
              </w:rPr>
              <w:br/>
              <w:t>a sąd nie uznaje jej sprowadzenia za konieczne.</w:t>
            </w:r>
          </w:p>
          <w:p w:rsidR="00A34E81" w:rsidRPr="00A34E81" w:rsidRDefault="00A34E81" w:rsidP="00A34E81">
            <w:pPr>
              <w:widowControl/>
              <w:autoSpaceDE/>
              <w:autoSpaceDN/>
              <w:adjustRightInd/>
              <w:spacing w:before="120" w:after="120" w:line="240" w:lineRule="auto"/>
              <w:rPr>
                <w:rFonts w:eastAsia="Calibri" w:cs="Times New Roman"/>
                <w:color w:val="000000"/>
                <w:sz w:val="22"/>
                <w:szCs w:val="22"/>
                <w:lang w:eastAsia="en-US"/>
              </w:rPr>
            </w:pPr>
            <w:r w:rsidRPr="00A34E81">
              <w:rPr>
                <w:rFonts w:eastAsia="Calibri" w:cs="Times New Roman"/>
                <w:color w:val="000000"/>
                <w:sz w:val="22"/>
                <w:szCs w:val="22"/>
                <w:lang w:eastAsia="en-US"/>
              </w:rPr>
              <w:t xml:space="preserve">Informację na temat liczby sprawców, wobec których skierowano </w:t>
            </w:r>
            <w:r w:rsidRPr="00A34E81">
              <w:rPr>
                <w:rFonts w:eastAsia="Times New Roman" w:cs="Times New Roman"/>
                <w:color w:val="000000"/>
                <w:sz w:val="21"/>
                <w:szCs w:val="21"/>
              </w:rPr>
              <w:t xml:space="preserve">do wykonania środek zabezpieczający w postaci pobytu </w:t>
            </w:r>
            <w:r w:rsidRPr="00A34E81">
              <w:rPr>
                <w:rFonts w:eastAsia="Times New Roman" w:cs="Times New Roman"/>
                <w:color w:val="000000"/>
                <w:sz w:val="21"/>
                <w:szCs w:val="21"/>
              </w:rPr>
              <w:br/>
              <w:t xml:space="preserve">w zakładzie psychiatrycznym oraz, w stosunku do których środek zabezpieczający podlega wykonaniu, zaprezentowano </w:t>
            </w:r>
            <w:r w:rsidRPr="00A34E81">
              <w:rPr>
                <w:rFonts w:eastAsia="Times New Roman" w:cs="Times New Roman"/>
                <w:color w:val="000000"/>
                <w:sz w:val="21"/>
                <w:szCs w:val="21"/>
              </w:rPr>
              <w:br/>
              <w:t>w poniższej tabeli:</w:t>
            </w:r>
          </w:p>
          <w:tbl>
            <w:tblPr>
              <w:tblW w:w="10487" w:type="dxa"/>
              <w:jc w:val="center"/>
              <w:tblLayout w:type="fixed"/>
              <w:tblCellMar>
                <w:left w:w="70" w:type="dxa"/>
                <w:right w:w="70" w:type="dxa"/>
              </w:tblCellMar>
              <w:tblLook w:val="04A0" w:firstRow="1" w:lastRow="0" w:firstColumn="1" w:lastColumn="0" w:noHBand="0" w:noVBand="1"/>
            </w:tblPr>
            <w:tblGrid>
              <w:gridCol w:w="4145"/>
              <w:gridCol w:w="705"/>
              <w:gridCol w:w="705"/>
              <w:gridCol w:w="705"/>
              <w:gridCol w:w="705"/>
              <w:gridCol w:w="705"/>
              <w:gridCol w:w="705"/>
              <w:gridCol w:w="704"/>
              <w:gridCol w:w="704"/>
              <w:gridCol w:w="704"/>
            </w:tblGrid>
            <w:tr w:rsidR="00A34E81" w:rsidRPr="00A34E81" w:rsidTr="009A237D">
              <w:trPr>
                <w:trHeight w:val="615"/>
                <w:jc w:val="center"/>
              </w:trPr>
              <w:tc>
                <w:tcPr>
                  <w:tcW w:w="10487" w:type="dxa"/>
                  <w:gridSpan w:val="10"/>
                  <w:tcBorders>
                    <w:top w:val="nil"/>
                    <w:left w:val="nil"/>
                    <w:bottom w:val="nil"/>
                    <w:right w:val="nil"/>
                  </w:tcBorders>
                  <w:shd w:val="clear" w:color="auto" w:fill="auto"/>
                  <w:vAlign w:val="bottom"/>
                  <w:hideMark/>
                </w:tcPr>
                <w:p w:rsidR="00A34E81" w:rsidRPr="00A34E81" w:rsidRDefault="00A34E81" w:rsidP="00A34E81">
                  <w:pPr>
                    <w:widowControl/>
                    <w:autoSpaceDE/>
                    <w:autoSpaceDN/>
                    <w:adjustRightInd/>
                    <w:spacing w:line="240" w:lineRule="auto"/>
                    <w:jc w:val="center"/>
                    <w:rPr>
                      <w:rFonts w:eastAsia="Times New Roman" w:cs="Times New Roman"/>
                      <w:b/>
                      <w:bCs/>
                      <w:color w:val="000000"/>
                      <w:sz w:val="21"/>
                      <w:szCs w:val="21"/>
                    </w:rPr>
                  </w:pPr>
                  <w:r w:rsidRPr="00A34E81">
                    <w:rPr>
                      <w:rFonts w:eastAsia="Times New Roman" w:cs="Times New Roman"/>
                      <w:b/>
                      <w:bCs/>
                      <w:color w:val="000000"/>
                      <w:sz w:val="21"/>
                      <w:szCs w:val="21"/>
                    </w:rPr>
                    <w:t xml:space="preserve">Tabela 1. Wykonywanie środka zabezpieczającego w postaci pobytu w zakładzie psychiatrycznym </w:t>
                  </w:r>
                  <w:r w:rsidRPr="00A34E81">
                    <w:rPr>
                      <w:rFonts w:eastAsia="Times New Roman" w:cs="Times New Roman"/>
                      <w:b/>
                      <w:bCs/>
                      <w:color w:val="000000"/>
                      <w:sz w:val="21"/>
                      <w:szCs w:val="21"/>
                    </w:rPr>
                    <w:br/>
                    <w:t>(orzeczonego na podstawie art. 93a k.k.)</w:t>
                  </w:r>
                </w:p>
              </w:tc>
            </w:tr>
            <w:tr w:rsidR="00A34E81" w:rsidRPr="00A34E81" w:rsidTr="009A237D">
              <w:trPr>
                <w:trHeight w:val="300"/>
                <w:jc w:val="center"/>
              </w:trPr>
              <w:tc>
                <w:tcPr>
                  <w:tcW w:w="414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4"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4"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4" w:type="dxa"/>
                  <w:tcBorders>
                    <w:top w:val="nil"/>
                    <w:left w:val="nil"/>
                    <w:bottom w:val="nil"/>
                    <w:right w:val="nil"/>
                  </w:tcBorders>
                  <w:shd w:val="clear" w:color="auto" w:fill="auto"/>
                  <w:noWrap/>
                  <w:vAlign w:val="bottom"/>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r>
            <w:tr w:rsidR="00A34E81" w:rsidRPr="00A34E81" w:rsidTr="009A237D">
              <w:trPr>
                <w:trHeight w:val="300"/>
                <w:jc w:val="center"/>
              </w:trPr>
              <w:tc>
                <w:tcPr>
                  <w:tcW w:w="4145"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Wyszczególnienie</w:t>
                  </w:r>
                </w:p>
              </w:tc>
              <w:tc>
                <w:tcPr>
                  <w:tcW w:w="2115" w:type="dxa"/>
                  <w:gridSpan w:val="3"/>
                  <w:tcBorders>
                    <w:top w:val="single" w:sz="4" w:space="0" w:color="auto"/>
                    <w:left w:val="nil"/>
                    <w:bottom w:val="single" w:sz="4" w:space="0" w:color="auto"/>
                    <w:right w:val="single" w:sz="4" w:space="0" w:color="auto"/>
                  </w:tcBorders>
                  <w:shd w:val="clear" w:color="000000" w:fill="F2F2F2"/>
                  <w:noWrap/>
                  <w:vAlign w:val="bottom"/>
                  <w:hideMark/>
                </w:tcPr>
                <w:p w:rsidR="00A34E81" w:rsidRPr="00A34E81" w:rsidRDefault="00A34E81" w:rsidP="00A34E81">
                  <w:pPr>
                    <w:widowControl/>
                    <w:autoSpaceDE/>
                    <w:autoSpaceDN/>
                    <w:adjustRightInd/>
                    <w:spacing w:line="240" w:lineRule="auto"/>
                    <w:jc w:val="center"/>
                    <w:rPr>
                      <w:rFonts w:eastAsia="Times New Roman" w:cs="Times New Roman"/>
                      <w:b/>
                      <w:bCs/>
                      <w:color w:val="000000"/>
                      <w:sz w:val="21"/>
                      <w:szCs w:val="21"/>
                    </w:rPr>
                  </w:pPr>
                  <w:r w:rsidRPr="00A34E81">
                    <w:rPr>
                      <w:rFonts w:eastAsia="Times New Roman" w:cs="Times New Roman"/>
                      <w:b/>
                      <w:bCs/>
                      <w:color w:val="000000"/>
                      <w:sz w:val="21"/>
                      <w:szCs w:val="21"/>
                    </w:rPr>
                    <w:t>SĄDY REJONOWE</w:t>
                  </w:r>
                </w:p>
              </w:tc>
              <w:tc>
                <w:tcPr>
                  <w:tcW w:w="2115" w:type="dxa"/>
                  <w:gridSpan w:val="3"/>
                  <w:tcBorders>
                    <w:top w:val="single" w:sz="4" w:space="0" w:color="auto"/>
                    <w:left w:val="nil"/>
                    <w:bottom w:val="single" w:sz="4" w:space="0" w:color="auto"/>
                    <w:right w:val="single" w:sz="4" w:space="0" w:color="auto"/>
                  </w:tcBorders>
                  <w:shd w:val="clear" w:color="000000" w:fill="F2F2F2"/>
                  <w:noWrap/>
                  <w:vAlign w:val="bottom"/>
                  <w:hideMark/>
                </w:tcPr>
                <w:p w:rsidR="00A34E81" w:rsidRPr="00A34E81" w:rsidRDefault="00A34E81" w:rsidP="00A34E81">
                  <w:pPr>
                    <w:widowControl/>
                    <w:autoSpaceDE/>
                    <w:autoSpaceDN/>
                    <w:adjustRightInd/>
                    <w:spacing w:line="240" w:lineRule="auto"/>
                    <w:jc w:val="center"/>
                    <w:rPr>
                      <w:rFonts w:eastAsia="Times New Roman" w:cs="Times New Roman"/>
                      <w:b/>
                      <w:bCs/>
                      <w:color w:val="000000"/>
                      <w:sz w:val="21"/>
                      <w:szCs w:val="21"/>
                    </w:rPr>
                  </w:pPr>
                  <w:r w:rsidRPr="00A34E81">
                    <w:rPr>
                      <w:rFonts w:eastAsia="Times New Roman" w:cs="Times New Roman"/>
                      <w:b/>
                      <w:bCs/>
                      <w:color w:val="000000"/>
                      <w:sz w:val="21"/>
                      <w:szCs w:val="21"/>
                    </w:rPr>
                    <w:t>SĄDY OKRĘGOWE</w:t>
                  </w:r>
                </w:p>
              </w:tc>
              <w:tc>
                <w:tcPr>
                  <w:tcW w:w="2112" w:type="dxa"/>
                  <w:gridSpan w:val="3"/>
                  <w:tcBorders>
                    <w:top w:val="single" w:sz="4" w:space="0" w:color="auto"/>
                    <w:left w:val="nil"/>
                    <w:bottom w:val="single" w:sz="4" w:space="0" w:color="auto"/>
                    <w:right w:val="single" w:sz="4" w:space="0" w:color="auto"/>
                  </w:tcBorders>
                  <w:shd w:val="clear" w:color="000000" w:fill="F2F2F2"/>
                  <w:noWrap/>
                  <w:vAlign w:val="bottom"/>
                  <w:hideMark/>
                </w:tcPr>
                <w:p w:rsidR="00A34E81" w:rsidRPr="00A34E81" w:rsidRDefault="00A34E81" w:rsidP="00A34E81">
                  <w:pPr>
                    <w:widowControl/>
                    <w:autoSpaceDE/>
                    <w:autoSpaceDN/>
                    <w:adjustRightInd/>
                    <w:spacing w:line="240" w:lineRule="auto"/>
                    <w:jc w:val="center"/>
                    <w:rPr>
                      <w:rFonts w:eastAsia="Times New Roman" w:cs="Times New Roman"/>
                      <w:b/>
                      <w:bCs/>
                      <w:color w:val="000000"/>
                      <w:sz w:val="21"/>
                      <w:szCs w:val="21"/>
                    </w:rPr>
                  </w:pPr>
                  <w:r w:rsidRPr="00A34E81">
                    <w:rPr>
                      <w:rFonts w:eastAsia="Times New Roman" w:cs="Times New Roman"/>
                      <w:b/>
                      <w:bCs/>
                      <w:color w:val="000000"/>
                      <w:sz w:val="21"/>
                      <w:szCs w:val="21"/>
                    </w:rPr>
                    <w:t>RAZEM</w:t>
                  </w:r>
                </w:p>
              </w:tc>
            </w:tr>
            <w:tr w:rsidR="00A34E81" w:rsidRPr="00A34E81" w:rsidTr="009A237D">
              <w:trPr>
                <w:trHeight w:val="300"/>
                <w:jc w:val="center"/>
              </w:trPr>
              <w:tc>
                <w:tcPr>
                  <w:tcW w:w="4145" w:type="dxa"/>
                  <w:vMerge/>
                  <w:tcBorders>
                    <w:top w:val="single" w:sz="4" w:space="0" w:color="auto"/>
                    <w:left w:val="single" w:sz="4" w:space="0" w:color="auto"/>
                    <w:bottom w:val="single" w:sz="4" w:space="0" w:color="auto"/>
                    <w:right w:val="single" w:sz="4" w:space="0" w:color="auto"/>
                  </w:tcBorders>
                  <w:vAlign w:val="center"/>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p>
              </w:tc>
              <w:tc>
                <w:tcPr>
                  <w:tcW w:w="705"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2015</w:t>
                  </w:r>
                </w:p>
              </w:tc>
              <w:tc>
                <w:tcPr>
                  <w:tcW w:w="705"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2016</w:t>
                  </w:r>
                </w:p>
              </w:tc>
              <w:tc>
                <w:tcPr>
                  <w:tcW w:w="705"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2017</w:t>
                  </w:r>
                </w:p>
              </w:tc>
              <w:tc>
                <w:tcPr>
                  <w:tcW w:w="705"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2015</w:t>
                  </w:r>
                </w:p>
              </w:tc>
              <w:tc>
                <w:tcPr>
                  <w:tcW w:w="705"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2016</w:t>
                  </w:r>
                </w:p>
              </w:tc>
              <w:tc>
                <w:tcPr>
                  <w:tcW w:w="705"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2017</w:t>
                  </w:r>
                </w:p>
              </w:tc>
              <w:tc>
                <w:tcPr>
                  <w:tcW w:w="704"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2015</w:t>
                  </w:r>
                </w:p>
              </w:tc>
              <w:tc>
                <w:tcPr>
                  <w:tcW w:w="704"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2016</w:t>
                  </w:r>
                </w:p>
              </w:tc>
              <w:tc>
                <w:tcPr>
                  <w:tcW w:w="704" w:type="dxa"/>
                  <w:tcBorders>
                    <w:top w:val="nil"/>
                    <w:left w:val="nil"/>
                    <w:bottom w:val="single" w:sz="4" w:space="0" w:color="auto"/>
                    <w:right w:val="single" w:sz="4" w:space="0" w:color="auto"/>
                  </w:tcBorders>
                  <w:shd w:val="clear" w:color="000000" w:fill="F2F2F2"/>
                  <w:noWrap/>
                  <w:vAlign w:val="center"/>
                  <w:hideMark/>
                </w:tcPr>
                <w:p w:rsidR="00A34E81" w:rsidRPr="00A34E81" w:rsidRDefault="00A34E81" w:rsidP="00A34E81">
                  <w:pPr>
                    <w:widowControl/>
                    <w:autoSpaceDE/>
                    <w:autoSpaceDN/>
                    <w:adjustRightInd/>
                    <w:spacing w:line="240" w:lineRule="auto"/>
                    <w:jc w:val="center"/>
                    <w:rPr>
                      <w:rFonts w:eastAsia="Times New Roman" w:cs="Times New Roman"/>
                      <w:color w:val="000000"/>
                      <w:sz w:val="21"/>
                      <w:szCs w:val="21"/>
                    </w:rPr>
                  </w:pPr>
                  <w:r w:rsidRPr="00A34E81">
                    <w:rPr>
                      <w:rFonts w:eastAsia="Times New Roman" w:cs="Times New Roman"/>
                      <w:color w:val="000000"/>
                      <w:sz w:val="21"/>
                      <w:szCs w:val="21"/>
                    </w:rPr>
                    <w:t>2017</w:t>
                  </w:r>
                </w:p>
              </w:tc>
            </w:tr>
            <w:tr w:rsidR="00A34E81" w:rsidRPr="00A34E81" w:rsidTr="009A237D">
              <w:trPr>
                <w:trHeight w:val="600"/>
                <w:jc w:val="center"/>
              </w:trPr>
              <w:tc>
                <w:tcPr>
                  <w:tcW w:w="4145" w:type="dxa"/>
                  <w:tcBorders>
                    <w:top w:val="nil"/>
                    <w:left w:val="single" w:sz="4" w:space="0" w:color="auto"/>
                    <w:bottom w:val="single" w:sz="4" w:space="0" w:color="auto"/>
                    <w:right w:val="single" w:sz="4" w:space="0" w:color="auto"/>
                  </w:tcBorders>
                  <w:shd w:val="clear" w:color="auto" w:fill="auto"/>
                  <w:vAlign w:val="center"/>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r w:rsidRPr="00A34E81">
                    <w:rPr>
                      <w:rFonts w:eastAsia="Times New Roman" w:cs="Times New Roman"/>
                      <w:color w:val="000000"/>
                      <w:sz w:val="21"/>
                      <w:szCs w:val="21"/>
                    </w:rPr>
                    <w:t>Liczba sprawców, wobec których skierowano do wykonania środek zabezpieczający</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105</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465</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723</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21</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50</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110</w:t>
                  </w:r>
                </w:p>
              </w:tc>
              <w:tc>
                <w:tcPr>
                  <w:tcW w:w="704"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126</w:t>
                  </w:r>
                </w:p>
              </w:tc>
              <w:tc>
                <w:tcPr>
                  <w:tcW w:w="704"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515</w:t>
                  </w:r>
                </w:p>
              </w:tc>
              <w:tc>
                <w:tcPr>
                  <w:tcW w:w="704"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833</w:t>
                  </w:r>
                </w:p>
              </w:tc>
            </w:tr>
            <w:tr w:rsidR="00A34E81" w:rsidRPr="00A34E81" w:rsidTr="009A237D">
              <w:trPr>
                <w:trHeight w:val="900"/>
                <w:jc w:val="center"/>
              </w:trPr>
              <w:tc>
                <w:tcPr>
                  <w:tcW w:w="4145" w:type="dxa"/>
                  <w:tcBorders>
                    <w:top w:val="nil"/>
                    <w:left w:val="single" w:sz="4" w:space="0" w:color="auto"/>
                    <w:bottom w:val="single" w:sz="4" w:space="0" w:color="auto"/>
                    <w:right w:val="single" w:sz="4" w:space="0" w:color="auto"/>
                  </w:tcBorders>
                  <w:shd w:val="clear" w:color="auto" w:fill="auto"/>
                  <w:vAlign w:val="center"/>
                  <w:hideMark/>
                </w:tcPr>
                <w:p w:rsidR="00A34E81" w:rsidRPr="00A34E81" w:rsidRDefault="00A34E81" w:rsidP="00A34E81">
                  <w:pPr>
                    <w:widowControl/>
                    <w:autoSpaceDE/>
                    <w:autoSpaceDN/>
                    <w:adjustRightInd/>
                    <w:spacing w:line="240" w:lineRule="auto"/>
                    <w:jc w:val="left"/>
                    <w:rPr>
                      <w:rFonts w:eastAsia="Times New Roman" w:cs="Times New Roman"/>
                      <w:color w:val="000000"/>
                      <w:sz w:val="21"/>
                      <w:szCs w:val="21"/>
                    </w:rPr>
                  </w:pPr>
                  <w:r w:rsidRPr="00A34E81">
                    <w:rPr>
                      <w:rFonts w:eastAsia="Times New Roman" w:cs="Times New Roman"/>
                      <w:color w:val="000000"/>
                      <w:sz w:val="21"/>
                      <w:szCs w:val="21"/>
                    </w:rPr>
                    <w:t>Liczba sprawców, w stosunku do których środek zabezpieczający podlega wykonaniu (stan na koniec roku)</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104</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455</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906</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73</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89</w:t>
                  </w:r>
                </w:p>
              </w:tc>
              <w:tc>
                <w:tcPr>
                  <w:tcW w:w="705"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186</w:t>
                  </w:r>
                </w:p>
              </w:tc>
              <w:tc>
                <w:tcPr>
                  <w:tcW w:w="704"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177</w:t>
                  </w:r>
                </w:p>
              </w:tc>
              <w:tc>
                <w:tcPr>
                  <w:tcW w:w="704"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544</w:t>
                  </w:r>
                </w:p>
              </w:tc>
              <w:tc>
                <w:tcPr>
                  <w:tcW w:w="704" w:type="dxa"/>
                  <w:tcBorders>
                    <w:top w:val="nil"/>
                    <w:left w:val="nil"/>
                    <w:bottom w:val="single" w:sz="4" w:space="0" w:color="auto"/>
                    <w:right w:val="single" w:sz="4" w:space="0" w:color="auto"/>
                  </w:tcBorders>
                  <w:shd w:val="clear" w:color="auto" w:fill="auto"/>
                  <w:noWrap/>
                  <w:vAlign w:val="center"/>
                  <w:hideMark/>
                </w:tcPr>
                <w:p w:rsidR="00A34E81" w:rsidRPr="00A34E81" w:rsidRDefault="00A34E81" w:rsidP="00A34E81">
                  <w:pPr>
                    <w:widowControl/>
                    <w:autoSpaceDE/>
                    <w:autoSpaceDN/>
                    <w:adjustRightInd/>
                    <w:spacing w:line="240" w:lineRule="auto"/>
                    <w:jc w:val="right"/>
                    <w:rPr>
                      <w:rFonts w:eastAsia="Times New Roman" w:cs="Times New Roman"/>
                      <w:color w:val="000000"/>
                      <w:sz w:val="21"/>
                      <w:szCs w:val="21"/>
                    </w:rPr>
                  </w:pPr>
                  <w:r w:rsidRPr="00A34E81">
                    <w:rPr>
                      <w:rFonts w:eastAsia="Times New Roman" w:cs="Times New Roman"/>
                      <w:color w:val="000000"/>
                      <w:sz w:val="21"/>
                      <w:szCs w:val="21"/>
                    </w:rPr>
                    <w:t>1 092</w:t>
                  </w:r>
                </w:p>
              </w:tc>
            </w:tr>
          </w:tbl>
          <w:p w:rsidR="00A34E81" w:rsidRPr="00A34E81" w:rsidRDefault="00A34E81" w:rsidP="00A34E81">
            <w:pPr>
              <w:widowControl/>
              <w:tabs>
                <w:tab w:val="left" w:pos="318"/>
              </w:tabs>
              <w:autoSpaceDE/>
              <w:autoSpaceDN/>
              <w:adjustRightInd/>
              <w:spacing w:before="120" w:after="120" w:line="240" w:lineRule="auto"/>
              <w:jc w:val="center"/>
              <w:rPr>
                <w:rFonts w:eastAsia="Calibri" w:cs="Times New Roman"/>
                <w:i/>
                <w:color w:val="000000"/>
                <w:sz w:val="22"/>
                <w:szCs w:val="22"/>
                <w:lang w:eastAsia="en-US"/>
              </w:rPr>
            </w:pPr>
            <w:r w:rsidRPr="00A34E81">
              <w:rPr>
                <w:rFonts w:eastAsia="Calibri" w:cs="Times New Roman"/>
                <w:i/>
                <w:color w:val="000000"/>
                <w:sz w:val="22"/>
                <w:szCs w:val="22"/>
                <w:lang w:eastAsia="en-US"/>
              </w:rPr>
              <w:t>Źródło: Opracowanie własne na podstawie danych Ministerstwa Sprawiedliwości.</w:t>
            </w:r>
          </w:p>
          <w:p w:rsidR="00A34E81" w:rsidRPr="00A34E81" w:rsidRDefault="00A34E81" w:rsidP="00A34E81">
            <w:pPr>
              <w:widowControl/>
              <w:tabs>
                <w:tab w:val="left" w:pos="2199"/>
              </w:tabs>
              <w:autoSpaceDE/>
              <w:autoSpaceDN/>
              <w:adjustRightInd/>
              <w:spacing w:line="240" w:lineRule="auto"/>
              <w:rPr>
                <w:rFonts w:eastAsia="Calibri" w:cs="Times New Roman"/>
                <w:bCs/>
                <w:color w:val="000000"/>
                <w:sz w:val="22"/>
                <w:szCs w:val="22"/>
                <w:lang w:eastAsia="en-US"/>
              </w:rPr>
            </w:pPr>
          </w:p>
          <w:p w:rsidR="00A34E81" w:rsidRPr="00A34E81" w:rsidRDefault="00A34E81" w:rsidP="00A34E81">
            <w:pPr>
              <w:widowControl/>
              <w:tabs>
                <w:tab w:val="left" w:pos="2199"/>
              </w:tabs>
              <w:autoSpaceDE/>
              <w:autoSpaceDN/>
              <w:adjustRightInd/>
              <w:spacing w:before="120" w:after="120" w:line="240" w:lineRule="auto"/>
              <w:rPr>
                <w:rFonts w:eastAsia="Calibri" w:cs="Times New Roman"/>
                <w:b/>
                <w:bCs/>
                <w:color w:val="000000"/>
                <w:sz w:val="22"/>
                <w:szCs w:val="22"/>
                <w:lang w:eastAsia="en-US"/>
              </w:rPr>
            </w:pPr>
            <w:r w:rsidRPr="00A34E81">
              <w:rPr>
                <w:rFonts w:eastAsia="Calibri" w:cs="Times New Roman"/>
                <w:bCs/>
                <w:color w:val="000000"/>
                <w:sz w:val="22"/>
                <w:szCs w:val="22"/>
                <w:lang w:eastAsia="en-US"/>
              </w:rPr>
              <w:tab/>
            </w:r>
            <w:r w:rsidRPr="00A34E81">
              <w:rPr>
                <w:rFonts w:eastAsia="Calibri" w:cs="Times New Roman"/>
                <w:b/>
                <w:bCs/>
                <w:color w:val="000000"/>
                <w:sz w:val="22"/>
                <w:szCs w:val="22"/>
                <w:lang w:eastAsia="en-US"/>
              </w:rPr>
              <w:t>Wykres 1.</w:t>
            </w:r>
          </w:p>
          <w:p w:rsidR="00A34E81" w:rsidRPr="00A34E81" w:rsidRDefault="00A34E81" w:rsidP="00A34E81">
            <w:pPr>
              <w:widowControl/>
              <w:autoSpaceDE/>
              <w:autoSpaceDN/>
              <w:adjustRightInd/>
              <w:spacing w:before="120" w:after="120" w:line="240" w:lineRule="auto"/>
              <w:jc w:val="center"/>
              <w:rPr>
                <w:rFonts w:eastAsia="Calibri" w:cs="Times New Roman"/>
                <w:bCs/>
                <w:color w:val="000000"/>
                <w:sz w:val="22"/>
                <w:szCs w:val="22"/>
                <w:lang w:eastAsia="en-US"/>
              </w:rPr>
            </w:pPr>
            <w:r w:rsidRPr="00A34E81">
              <w:rPr>
                <w:rFonts w:ascii="Calibri" w:eastAsia="Calibri" w:hAnsi="Calibri" w:cs="Times New Roman"/>
                <w:noProof/>
                <w:sz w:val="22"/>
                <w:szCs w:val="22"/>
              </w:rPr>
              <w:drawing>
                <wp:inline distT="0" distB="0" distL="0" distR="0" wp14:anchorId="26711106" wp14:editId="5AA6CCCC">
                  <wp:extent cx="4627659" cy="3387256"/>
                  <wp:effectExtent l="0" t="0" r="20955" b="2286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34E81" w:rsidRPr="00A34E81" w:rsidRDefault="00A34E81" w:rsidP="00A34E81">
            <w:pPr>
              <w:widowControl/>
              <w:autoSpaceDE/>
              <w:autoSpaceDN/>
              <w:adjustRightInd/>
              <w:spacing w:before="120" w:after="120" w:line="240" w:lineRule="auto"/>
              <w:jc w:val="center"/>
              <w:rPr>
                <w:rFonts w:eastAsia="Calibri" w:cs="Times New Roman"/>
                <w:bCs/>
                <w:color w:val="000000"/>
                <w:sz w:val="22"/>
                <w:szCs w:val="22"/>
                <w:lang w:eastAsia="en-US"/>
              </w:rPr>
            </w:pPr>
            <w:r w:rsidRPr="00A34E81">
              <w:rPr>
                <w:rFonts w:eastAsia="Calibri" w:cs="Times New Roman"/>
                <w:i/>
                <w:color w:val="000000"/>
                <w:sz w:val="22"/>
                <w:szCs w:val="22"/>
                <w:lang w:eastAsia="en-US"/>
              </w:rPr>
              <w:t>Źródło: Opracowanie własne na podstawie danych Ministerstwa Sprawiedliwości.</w:t>
            </w:r>
          </w:p>
        </w:tc>
      </w:tr>
      <w:tr w:rsidR="00A34E81" w:rsidRPr="00A34E81" w:rsidTr="009A237D">
        <w:trPr>
          <w:trHeight w:val="142"/>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color w:val="000000"/>
                <w:spacing w:val="-2"/>
                <w:sz w:val="22"/>
                <w:szCs w:val="22"/>
                <w:lang w:eastAsia="en-US"/>
              </w:rPr>
              <w:t>Rekomendowane rozwiązanie, w tym planowane narzędzia interwencji, i oczekiwany efekt</w:t>
            </w:r>
          </w:p>
        </w:tc>
      </w:tr>
      <w:tr w:rsidR="00A34E81" w:rsidRPr="00A34E81" w:rsidTr="009A237D">
        <w:trPr>
          <w:trHeight w:val="142"/>
        </w:trPr>
        <w:tc>
          <w:tcPr>
            <w:tcW w:w="11199" w:type="dxa"/>
            <w:gridSpan w:val="26"/>
            <w:shd w:val="clear" w:color="auto" w:fill="auto"/>
          </w:tcPr>
          <w:p w:rsidR="00A34E81" w:rsidRPr="00A34E81" w:rsidRDefault="00A34E81" w:rsidP="00A34E81">
            <w:pPr>
              <w:widowControl/>
              <w:autoSpaceDE/>
              <w:autoSpaceDN/>
              <w:adjustRightInd/>
              <w:spacing w:before="120" w:after="120" w:line="240" w:lineRule="auto"/>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Projektowana regulacja przewiduje następujące rozwiązania: </w:t>
            </w:r>
          </w:p>
          <w:p w:rsidR="00A34E81" w:rsidRPr="00A34E81" w:rsidRDefault="00A34E81" w:rsidP="00C75423">
            <w:pPr>
              <w:widowControl/>
              <w:numPr>
                <w:ilvl w:val="0"/>
                <w:numId w:val="49"/>
              </w:numPr>
              <w:autoSpaceDE/>
              <w:autoSpaceDN/>
              <w:adjustRightInd/>
              <w:spacing w:before="120" w:after="120" w:line="240" w:lineRule="auto"/>
              <w:ind w:left="318" w:hanging="284"/>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prawo sprawcy do udziału w posiedzeniu dotyczącym jego dalszego pobytu w zakładzie psychiatrycznym (pod warunkiem, że z opinii biegłych nie wynika, że ze względu na stan zdrowia sprawcy jego udział w posiedzeniu byłby niewskazany oraz, że wniosek w tej sprawie zostanie złożony w terminie);</w:t>
            </w:r>
          </w:p>
          <w:p w:rsidR="00A34E81" w:rsidRPr="00A34E81" w:rsidRDefault="00A34E81" w:rsidP="00C75423">
            <w:pPr>
              <w:widowControl/>
              <w:numPr>
                <w:ilvl w:val="0"/>
                <w:numId w:val="49"/>
              </w:numPr>
              <w:autoSpaceDE/>
              <w:autoSpaceDN/>
              <w:adjustRightInd/>
              <w:spacing w:before="120" w:after="120" w:line="240" w:lineRule="auto"/>
              <w:ind w:left="318" w:hanging="284"/>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możliwość złożenia ww. wniosku kierownikowi zakładu psychiatrycznego, w którym sprawca przebywa;</w:t>
            </w:r>
          </w:p>
          <w:p w:rsidR="00A34E81" w:rsidRPr="00A34E81" w:rsidRDefault="00A34E81" w:rsidP="00C75423">
            <w:pPr>
              <w:widowControl/>
              <w:numPr>
                <w:ilvl w:val="0"/>
                <w:numId w:val="49"/>
              </w:numPr>
              <w:autoSpaceDE/>
              <w:autoSpaceDN/>
              <w:adjustRightInd/>
              <w:spacing w:before="120" w:after="120" w:line="240" w:lineRule="auto"/>
              <w:ind w:left="318" w:hanging="284"/>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zawieranie w opinii o stanie zdrowia sprawcy i postępach w leczeniu również informacji o tym, czy ze względu na stan zdrowia sprawcy jego udział w posiedzeniu sądu byłby niewskazany. </w:t>
            </w:r>
            <w:r w:rsidRPr="00A34E81">
              <w:rPr>
                <w:rFonts w:eastAsia="Calibri" w:cs="Times New Roman"/>
                <w:spacing w:val="-2"/>
                <w:sz w:val="22"/>
                <w:szCs w:val="22"/>
                <w:lang w:eastAsia="en-US"/>
              </w:rPr>
              <w:t>W razie wątpliwości sąd może zasięgnąć opinii innych biegłych</w:t>
            </w:r>
            <w:r w:rsidRPr="00A34E81">
              <w:rPr>
                <w:rFonts w:eastAsia="Calibri" w:cs="Times New Roman"/>
                <w:color w:val="000000"/>
                <w:spacing w:val="-2"/>
                <w:sz w:val="22"/>
                <w:szCs w:val="22"/>
                <w:lang w:eastAsia="en-US"/>
              </w:rPr>
              <w:t>;</w:t>
            </w:r>
          </w:p>
          <w:p w:rsidR="00A34E81" w:rsidRPr="00A34E81" w:rsidRDefault="00A34E81" w:rsidP="00C75423">
            <w:pPr>
              <w:widowControl/>
              <w:numPr>
                <w:ilvl w:val="0"/>
                <w:numId w:val="49"/>
              </w:numPr>
              <w:autoSpaceDE/>
              <w:autoSpaceDN/>
              <w:adjustRightInd/>
              <w:spacing w:before="120" w:after="120" w:line="240" w:lineRule="auto"/>
              <w:ind w:left="318" w:hanging="284"/>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zmianę właściwości miejscowej sądu orzekającego o dalszym pobycie sprawcy w zakładzie psychiatrycznym na sąd, </w:t>
            </w:r>
            <w:r w:rsidRPr="00A34E81">
              <w:rPr>
                <w:rFonts w:eastAsia="Calibri" w:cs="Times New Roman"/>
                <w:color w:val="000000"/>
                <w:spacing w:val="-2"/>
                <w:sz w:val="22"/>
                <w:szCs w:val="22"/>
                <w:lang w:eastAsia="en-US"/>
              </w:rPr>
              <w:br/>
              <w:t>w którego okręgu sprawca przebywa, będący sądem tego samego rzędu co sąd, który wydał orzeczenie w pierwszej instancji.</w:t>
            </w:r>
          </w:p>
          <w:p w:rsidR="00A34E81" w:rsidRPr="00A34E81" w:rsidRDefault="00A34E81" w:rsidP="00A34E81">
            <w:pPr>
              <w:widowControl/>
              <w:autoSpaceDE/>
              <w:autoSpaceDN/>
              <w:adjustRightInd/>
              <w:spacing w:before="120" w:after="120" w:line="240" w:lineRule="auto"/>
              <w:ind w:left="34"/>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Oczekiwanym efektem projektowanej regulacji będzie zagwarantowanie sprawcom wobec, których stosowany jest środek zabezpieczający polegający na umieszczeniu w zamkniętym zakładzie psychiatrycznym, konstytucyjnego prawa do bycia wysłuchanym przez sąd oraz prawa do sprawiedliwego i jawnego rozstrzygnięcia sprawy.</w:t>
            </w:r>
          </w:p>
        </w:tc>
      </w:tr>
      <w:tr w:rsidR="00A34E81" w:rsidRPr="00A34E81" w:rsidTr="009A237D">
        <w:trPr>
          <w:trHeight w:val="307"/>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spacing w:val="-2"/>
                <w:sz w:val="22"/>
                <w:szCs w:val="22"/>
                <w:lang w:eastAsia="en-US"/>
              </w:rPr>
              <w:t>Jak problem został rozwiązany w innych krajach, w szczególności krajach członkowskich OECD/UE</w:t>
            </w:r>
            <w:r w:rsidRPr="00A34E81">
              <w:rPr>
                <w:rFonts w:eastAsia="Calibri" w:cs="Times New Roman"/>
                <w:b/>
                <w:color w:val="000000"/>
                <w:sz w:val="22"/>
                <w:szCs w:val="22"/>
                <w:lang w:eastAsia="en-US"/>
              </w:rPr>
              <w:t>?</w:t>
            </w:r>
            <w:r w:rsidRPr="00A34E81">
              <w:rPr>
                <w:rFonts w:eastAsia="Calibri" w:cs="Times New Roman"/>
                <w:i/>
                <w:color w:val="000000"/>
                <w:sz w:val="22"/>
                <w:szCs w:val="22"/>
                <w:lang w:eastAsia="en-US"/>
              </w:rPr>
              <w:t xml:space="preserve"> </w:t>
            </w:r>
          </w:p>
        </w:tc>
      </w:tr>
      <w:tr w:rsidR="00A34E81" w:rsidRPr="00A34E81" w:rsidTr="009A237D">
        <w:trPr>
          <w:trHeight w:val="142"/>
        </w:trPr>
        <w:tc>
          <w:tcPr>
            <w:tcW w:w="11199" w:type="dxa"/>
            <w:gridSpan w:val="26"/>
            <w:shd w:val="clear" w:color="auto" w:fill="auto"/>
          </w:tcPr>
          <w:p w:rsidR="00A34E81" w:rsidRPr="00A34E81" w:rsidRDefault="00A34E81" w:rsidP="00A34E81">
            <w:pPr>
              <w:widowControl/>
              <w:autoSpaceDE/>
              <w:autoSpaceDN/>
              <w:adjustRightInd/>
              <w:spacing w:before="120" w:after="120" w:line="240" w:lineRule="auto"/>
              <w:rPr>
                <w:rFonts w:eastAsia="Calibri" w:cs="Times New Roman"/>
                <w:spacing w:val="-2"/>
                <w:sz w:val="22"/>
                <w:szCs w:val="22"/>
                <w:lang w:eastAsia="en-US"/>
              </w:rPr>
            </w:pPr>
            <w:r w:rsidRPr="00A34E81">
              <w:rPr>
                <w:rFonts w:eastAsia="Calibri" w:cs="Times New Roman"/>
                <w:spacing w:val="-2"/>
                <w:sz w:val="22"/>
                <w:szCs w:val="22"/>
                <w:lang w:eastAsia="en-US"/>
              </w:rPr>
              <w:t>Na podstawie analizy uregulowań w zakresie środków zabezpieczających w wybranych państwach europejskich (Austria, Szwajcaria, Niemcy, Czechy, Włochy, Słowenia, Czarnogóra, Serbia, Rumunia, Rosja, Białoruś) należy stwierdzić, że prawa karne poszczególnych państw z reguły znają środki zabezpieczające, jednak ich kształt wykazuje znaczne zróżnicowanie. Regulacje poszczególnych państw różnią się między sobą także pod względem redakcyjnym, wykazując znaczną rozpiętość od syntetycznego do wysoce kazuistycznego sposobu normowania.</w:t>
            </w:r>
          </w:p>
          <w:p w:rsidR="00A34E81" w:rsidRPr="00A34E81" w:rsidRDefault="00A34E81" w:rsidP="00A34E81">
            <w:pPr>
              <w:widowControl/>
              <w:autoSpaceDE/>
              <w:autoSpaceDN/>
              <w:adjustRightInd/>
              <w:spacing w:before="120" w:after="120" w:line="240" w:lineRule="auto"/>
              <w:rPr>
                <w:rFonts w:eastAsia="Calibri" w:cs="Times New Roman"/>
                <w:spacing w:val="-2"/>
                <w:sz w:val="22"/>
                <w:szCs w:val="22"/>
                <w:lang w:eastAsia="en-US"/>
              </w:rPr>
            </w:pPr>
            <w:r w:rsidRPr="00A34E81">
              <w:rPr>
                <w:rFonts w:eastAsia="Calibri" w:cs="Times New Roman"/>
                <w:spacing w:val="-2"/>
                <w:sz w:val="22"/>
                <w:szCs w:val="22"/>
                <w:lang w:eastAsia="en-US"/>
              </w:rPr>
              <w:t>Brak jest informacji na temat możliwości udziału sprawcy w posiedzeniu sądu w sprawie orzeczenia, podtrzymania, zmiany lub uchylenia środka zabezpieczającego w poszczególnych państwach.</w:t>
            </w:r>
          </w:p>
          <w:p w:rsidR="00A34E81" w:rsidRPr="00A34E81" w:rsidRDefault="00A34E81" w:rsidP="00A34E81">
            <w:pPr>
              <w:widowControl/>
              <w:autoSpaceDE/>
              <w:autoSpaceDN/>
              <w:adjustRightInd/>
              <w:spacing w:before="120" w:after="120" w:line="240" w:lineRule="auto"/>
              <w:rPr>
                <w:rFonts w:eastAsia="Calibri" w:cs="Times New Roman"/>
                <w:spacing w:val="-2"/>
                <w:sz w:val="22"/>
                <w:szCs w:val="22"/>
                <w:lang w:eastAsia="en-US"/>
              </w:rPr>
            </w:pPr>
            <w:r w:rsidRPr="00A34E81">
              <w:rPr>
                <w:rFonts w:eastAsia="Calibri" w:cs="Times New Roman"/>
                <w:spacing w:val="-2"/>
                <w:sz w:val="22"/>
                <w:szCs w:val="22"/>
                <w:lang w:eastAsia="en-US"/>
              </w:rPr>
              <w:t xml:space="preserve">We wszystkich analizowanych państwach </w:t>
            </w:r>
            <w:r w:rsidRPr="00A34E81">
              <w:rPr>
                <w:rFonts w:eastAsia="Calibri" w:cs="Times New Roman"/>
                <w:b/>
                <w:spacing w:val="-2"/>
                <w:sz w:val="22"/>
                <w:szCs w:val="22"/>
                <w:lang w:eastAsia="en-US"/>
              </w:rPr>
              <w:t>przesłanką zastosowania środka jest zagrożenie, jakie sprawca stanowi dla społeczeństwa</w:t>
            </w:r>
            <w:r w:rsidRPr="00A34E81">
              <w:rPr>
                <w:rFonts w:eastAsia="Calibri" w:cs="Times New Roman"/>
                <w:spacing w:val="-2"/>
                <w:sz w:val="22"/>
                <w:szCs w:val="22"/>
                <w:lang w:eastAsia="en-US"/>
              </w:rPr>
              <w:t xml:space="preserve">, przy czym w pojedynczych przypadkach (Włochy, Niemcy) jest ono określane jako stan niebezpieczeństwa sprawcy. W przypadku stanu niebezpieczeństwa sprawcy jako podstawy orzekania środka zabezpieczającego zawsze wskazuje się na jego niebezpieczeństwo dla otoczenia, niekiedy także na to, że sprawca jest niebezpieczny sam dla siebie (Holandia). Wszędzie też </w:t>
            </w:r>
            <w:r w:rsidRPr="00A34E81">
              <w:rPr>
                <w:rFonts w:eastAsia="Calibri" w:cs="Times New Roman"/>
                <w:b/>
                <w:spacing w:val="-2"/>
                <w:sz w:val="22"/>
                <w:szCs w:val="22"/>
                <w:lang w:eastAsia="en-US"/>
              </w:rPr>
              <w:t>podstawą zastosowania środka zabezpieczającego jest to, że sprawca dopuścił się czynu zabronionego lub przestępstwa</w:t>
            </w:r>
            <w:r w:rsidRPr="00A34E81">
              <w:rPr>
                <w:rFonts w:eastAsia="Calibri" w:cs="Times New Roman"/>
                <w:spacing w:val="-2"/>
                <w:sz w:val="22"/>
                <w:szCs w:val="22"/>
                <w:lang w:eastAsia="en-US"/>
              </w:rPr>
              <w:t>; jedynie prawo włoskie dopuszcza wyjątki pozwalające na zastosowanie środka wobec osoby, która nie dopuściła się czynu zabronionego, jednak wyjątki te każdorazowo muszą być wprowadzone ustawowo.</w:t>
            </w:r>
          </w:p>
          <w:p w:rsidR="00A34E81" w:rsidRPr="00A34E81" w:rsidRDefault="00A34E81" w:rsidP="00A34E81">
            <w:pPr>
              <w:widowControl/>
              <w:autoSpaceDE/>
              <w:autoSpaceDN/>
              <w:adjustRightInd/>
              <w:spacing w:before="120" w:after="120" w:line="240" w:lineRule="auto"/>
              <w:rPr>
                <w:rFonts w:eastAsia="Calibri" w:cs="Times New Roman"/>
                <w:spacing w:val="-2"/>
                <w:sz w:val="22"/>
                <w:szCs w:val="22"/>
                <w:lang w:eastAsia="en-US"/>
              </w:rPr>
            </w:pPr>
            <w:r w:rsidRPr="00A34E81">
              <w:rPr>
                <w:rFonts w:eastAsia="Calibri" w:cs="Times New Roman"/>
                <w:spacing w:val="-2"/>
                <w:sz w:val="22"/>
                <w:szCs w:val="22"/>
                <w:lang w:eastAsia="en-US"/>
              </w:rPr>
              <w:t xml:space="preserve">Zróżnicowanie między poszczególnymi państwami występuje natomiast w zakresie samego katalogu istniejących środków, </w:t>
            </w:r>
            <w:r w:rsidRPr="00A34E81">
              <w:rPr>
                <w:rFonts w:eastAsia="Calibri" w:cs="Times New Roman"/>
                <w:spacing w:val="-2"/>
                <w:sz w:val="22"/>
                <w:szCs w:val="22"/>
                <w:lang w:eastAsia="en-US"/>
              </w:rPr>
              <w:br/>
              <w:t xml:space="preserve">a także kolejności ich wykonywania. </w:t>
            </w:r>
            <w:r w:rsidRPr="00A34E81">
              <w:rPr>
                <w:rFonts w:eastAsia="Calibri" w:cs="Times New Roman"/>
                <w:b/>
                <w:spacing w:val="-2"/>
                <w:sz w:val="22"/>
                <w:szCs w:val="22"/>
                <w:lang w:eastAsia="en-US"/>
              </w:rPr>
              <w:t>We wszystkich analizowanych państwach istnieją jednak środki zabezpieczające związane z leczeniem chorób psychicznych</w:t>
            </w:r>
            <w:r w:rsidRPr="00A34E81">
              <w:rPr>
                <w:rFonts w:eastAsia="Calibri" w:cs="Times New Roman"/>
                <w:spacing w:val="-2"/>
                <w:sz w:val="22"/>
                <w:szCs w:val="22"/>
                <w:lang w:eastAsia="en-US"/>
              </w:rPr>
              <w:t>. Natomiast już nie we wszystkich istnieją możliwości zastosowania odpowiedniego trybu postępowania w stosunku do osób upośledzonych umysłowo. Niekiedy leczenie choroby psychicznej jest utożsamiane z postępowaniem stosowanym wobec osób upośledzonych umysłowo, niekiedy ustawa w ogóle nie przewiduje odrębnego postępowania w stosunku do osób upośledzonych umysłowo, co może oznaczać, że praktyka traktuje te osoby jako chore psychicznie.</w:t>
            </w:r>
          </w:p>
          <w:p w:rsidR="00A34E81" w:rsidRPr="00A34E81" w:rsidRDefault="00A34E81" w:rsidP="00A34E81">
            <w:pPr>
              <w:widowControl/>
              <w:autoSpaceDE/>
              <w:autoSpaceDN/>
              <w:adjustRightInd/>
              <w:spacing w:before="120" w:after="120" w:line="240" w:lineRule="auto"/>
              <w:rPr>
                <w:rFonts w:eastAsia="Calibri" w:cs="Times New Roman"/>
                <w:spacing w:val="-2"/>
                <w:sz w:val="22"/>
                <w:szCs w:val="22"/>
                <w:lang w:eastAsia="en-US"/>
              </w:rPr>
            </w:pPr>
            <w:r w:rsidRPr="00A34E81">
              <w:rPr>
                <w:rFonts w:eastAsia="Calibri" w:cs="Times New Roman"/>
                <w:b/>
                <w:spacing w:val="-2"/>
                <w:sz w:val="22"/>
                <w:szCs w:val="22"/>
                <w:lang w:eastAsia="en-US"/>
              </w:rPr>
              <w:t>Czasu pobytu w szpitalu psychiatrycznym</w:t>
            </w:r>
            <w:r w:rsidRPr="00A34E81">
              <w:rPr>
                <w:rFonts w:eastAsia="Calibri" w:cs="Times New Roman"/>
                <w:spacing w:val="-2"/>
                <w:sz w:val="22"/>
                <w:szCs w:val="22"/>
                <w:lang w:eastAsia="en-US"/>
              </w:rPr>
              <w:t xml:space="preserve"> czy w ośrodku, w którym prowadzone jest stosowne postępowanie wobec osób upośledzonych, co do zasady </w:t>
            </w:r>
            <w:r w:rsidRPr="00A34E81">
              <w:rPr>
                <w:rFonts w:eastAsia="Calibri" w:cs="Times New Roman"/>
                <w:b/>
                <w:spacing w:val="-2"/>
                <w:sz w:val="22"/>
                <w:szCs w:val="22"/>
                <w:lang w:eastAsia="en-US"/>
              </w:rPr>
              <w:t>nie określa się z góry, jednak w niektórych państwach istnieją regulacje odnoszące się do maksymalnego okresu pobytu w takim ośrodku</w:t>
            </w:r>
            <w:r w:rsidRPr="00A34E81">
              <w:rPr>
                <w:rFonts w:eastAsia="Calibri" w:cs="Times New Roman"/>
                <w:spacing w:val="-2"/>
                <w:sz w:val="22"/>
                <w:szCs w:val="22"/>
                <w:lang w:eastAsia="en-US"/>
              </w:rPr>
              <w:t xml:space="preserve"> (Szwajcaria – 5 lat z możliwością przedłużenia, Słowenia) </w:t>
            </w:r>
            <w:r w:rsidRPr="00A34E81">
              <w:rPr>
                <w:rFonts w:eastAsia="Calibri" w:cs="Times New Roman"/>
                <w:b/>
                <w:spacing w:val="-2"/>
                <w:sz w:val="22"/>
                <w:szCs w:val="22"/>
                <w:lang w:eastAsia="en-US"/>
              </w:rPr>
              <w:t>lub do uregulowanej już w samym przepisie kodeksu karnego konieczności przeprowadzania okresowych badań stanu sprawcy w celu rozstrzygnięcia, czy istnieje potrzeba dalszego stosowania środka</w:t>
            </w:r>
            <w:r w:rsidRPr="00A34E81">
              <w:rPr>
                <w:rFonts w:eastAsia="Calibri" w:cs="Times New Roman"/>
                <w:spacing w:val="-2"/>
                <w:sz w:val="22"/>
                <w:szCs w:val="22"/>
                <w:lang w:eastAsia="en-US"/>
              </w:rPr>
              <w:t xml:space="preserve"> (Słowenia, Rosja, Białoruś). </w:t>
            </w:r>
            <w:r w:rsidRPr="00A34E81">
              <w:rPr>
                <w:rFonts w:eastAsia="Calibri" w:cs="Times New Roman"/>
                <w:spacing w:val="-2"/>
                <w:sz w:val="22"/>
                <w:szCs w:val="22"/>
                <w:lang w:eastAsia="en-US"/>
              </w:rPr>
              <w:br/>
              <w:t>W przypadku środka orzekanego obok kary pozbawienia wolności spotykana jest reguła uniemożliwiająca przetrzymywanie sprawcy w zakładzie dłużej niż orzeczona kara (Austria, Czarnogóra, Serbia). Niekiedy istnieją ograniczenia odnoszące się do możliwości skierowania na leczenie w warunkach zamkniętych wyłącznie sprawców, którzy dopuścili się tylko najpoważniejszych przestępstw (Austria). Znana jest też możliwość wykonywania leczenia w zakładzie karnym w ramach samej kary (Szwajcaria). Pewien wyjątek stanowi prawo karne włoskie, które dla środków terapeutycznych w postaci umieszczenia w domu leczenia i opieki oraz umieszczenia w sądowym szpitalu psychiatrycznym tworzy minimalne okresy pobytu, nie odnosząc się do maksymalnych.</w:t>
            </w:r>
          </w:p>
          <w:p w:rsidR="00A34E81" w:rsidRPr="00A34E81" w:rsidRDefault="00A34E81" w:rsidP="00A34E81">
            <w:pPr>
              <w:widowControl/>
              <w:autoSpaceDE/>
              <w:autoSpaceDN/>
              <w:adjustRightInd/>
              <w:spacing w:before="200" w:line="240" w:lineRule="auto"/>
              <w:rPr>
                <w:rFonts w:eastAsia="Calibri" w:cs="Times New Roman"/>
                <w:i/>
                <w:color w:val="0000FF"/>
                <w:spacing w:val="-2"/>
                <w:sz w:val="22"/>
                <w:szCs w:val="22"/>
                <w:u w:val="single"/>
                <w:lang w:eastAsia="en-US"/>
              </w:rPr>
            </w:pPr>
            <w:r w:rsidRPr="00A34E81">
              <w:rPr>
                <w:rFonts w:eastAsia="Calibri" w:cs="Times New Roman"/>
                <w:i/>
                <w:spacing w:val="-2"/>
                <w:sz w:val="22"/>
                <w:szCs w:val="22"/>
                <w:u w:val="single"/>
                <w:lang w:eastAsia="en-US"/>
              </w:rPr>
              <w:t>Źródło</w:t>
            </w:r>
            <w:r w:rsidRPr="00A34E81">
              <w:rPr>
                <w:rFonts w:eastAsia="Calibri" w:cs="Times New Roman"/>
                <w:spacing w:val="-2"/>
                <w:sz w:val="22"/>
                <w:szCs w:val="22"/>
                <w:lang w:eastAsia="en-US"/>
              </w:rPr>
              <w:t xml:space="preserve">: dr Marek Kulik, </w:t>
            </w:r>
            <w:r w:rsidRPr="00A34E81">
              <w:rPr>
                <w:rFonts w:eastAsia="Calibri" w:cs="Times New Roman"/>
                <w:i/>
                <w:spacing w:val="-2"/>
                <w:sz w:val="22"/>
                <w:szCs w:val="22"/>
                <w:lang w:eastAsia="en-US"/>
              </w:rPr>
              <w:t>Stosowanie środków zabezpieczających w prawie karnym wybranych państw europejskich</w:t>
            </w:r>
            <w:r w:rsidRPr="00A34E81">
              <w:rPr>
                <w:rFonts w:eastAsia="Calibri" w:cs="Times New Roman"/>
                <w:spacing w:val="-2"/>
                <w:sz w:val="22"/>
                <w:szCs w:val="22"/>
                <w:lang w:eastAsia="en-US"/>
              </w:rPr>
              <w:t xml:space="preserve"> – </w:t>
            </w:r>
            <w:r w:rsidRPr="00A34E81">
              <w:rPr>
                <w:rFonts w:eastAsia="Calibri" w:cs="Times New Roman"/>
                <w:spacing w:val="-2"/>
                <w:sz w:val="22"/>
                <w:szCs w:val="22"/>
                <w:lang w:eastAsia="en-US"/>
              </w:rPr>
              <w:br/>
              <w:t>w „Prawo w działaniu. Sprawy karne”, 13/2013.</w:t>
            </w:r>
          </w:p>
        </w:tc>
      </w:tr>
      <w:tr w:rsidR="00A34E81" w:rsidRPr="00A34E81" w:rsidTr="009A237D">
        <w:trPr>
          <w:trHeight w:val="359"/>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color w:val="000000"/>
                <w:sz w:val="22"/>
                <w:szCs w:val="22"/>
                <w:lang w:eastAsia="en-US"/>
              </w:rPr>
              <w:t>Podmioty, na które oddziałuje projekt</w:t>
            </w:r>
          </w:p>
        </w:tc>
      </w:tr>
      <w:tr w:rsidR="00A34E81" w:rsidRPr="00A34E81" w:rsidTr="009A237D">
        <w:trPr>
          <w:trHeight w:val="142"/>
        </w:trPr>
        <w:tc>
          <w:tcPr>
            <w:tcW w:w="2694" w:type="dxa"/>
            <w:gridSpan w:val="4"/>
            <w:shd w:val="clear" w:color="auto" w:fill="auto"/>
          </w:tcPr>
          <w:p w:rsidR="00A34E81" w:rsidRPr="00A34E81" w:rsidRDefault="00A34E81" w:rsidP="00A34E81">
            <w:pPr>
              <w:widowControl/>
              <w:autoSpaceDE/>
              <w:autoSpaceDN/>
              <w:adjustRightInd/>
              <w:spacing w:before="40"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Grupa</w:t>
            </w:r>
          </w:p>
        </w:tc>
        <w:tc>
          <w:tcPr>
            <w:tcW w:w="3260" w:type="dxa"/>
            <w:gridSpan w:val="9"/>
            <w:shd w:val="clear" w:color="auto" w:fill="auto"/>
          </w:tcPr>
          <w:p w:rsidR="00A34E81" w:rsidRPr="00A34E81" w:rsidRDefault="00A34E81" w:rsidP="00A34E81">
            <w:pPr>
              <w:widowControl/>
              <w:autoSpaceDE/>
              <w:autoSpaceDN/>
              <w:adjustRightInd/>
              <w:spacing w:before="40"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Wielkość</w:t>
            </w:r>
          </w:p>
        </w:tc>
        <w:tc>
          <w:tcPr>
            <w:tcW w:w="2552" w:type="dxa"/>
            <w:gridSpan w:val="7"/>
            <w:shd w:val="clear" w:color="auto" w:fill="auto"/>
          </w:tcPr>
          <w:p w:rsidR="00A34E81" w:rsidRPr="00A34E81" w:rsidRDefault="00A34E81" w:rsidP="00A34E81">
            <w:pPr>
              <w:widowControl/>
              <w:autoSpaceDE/>
              <w:autoSpaceDN/>
              <w:adjustRightInd/>
              <w:spacing w:before="40"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Źródło danych</w:t>
            </w:r>
            <w:r w:rsidRPr="00A34E81" w:rsidDel="00260F33">
              <w:rPr>
                <w:rFonts w:eastAsia="Calibri" w:cs="Times New Roman"/>
                <w:color w:val="000000"/>
                <w:spacing w:val="-2"/>
                <w:sz w:val="22"/>
                <w:szCs w:val="22"/>
                <w:lang w:eastAsia="en-US"/>
              </w:rPr>
              <w:t xml:space="preserve"> </w:t>
            </w:r>
          </w:p>
        </w:tc>
        <w:tc>
          <w:tcPr>
            <w:tcW w:w="2693" w:type="dxa"/>
            <w:gridSpan w:val="6"/>
            <w:shd w:val="clear" w:color="auto" w:fill="auto"/>
          </w:tcPr>
          <w:p w:rsidR="00A34E81" w:rsidRPr="00A34E81" w:rsidRDefault="00A34E81" w:rsidP="00A34E81">
            <w:pPr>
              <w:widowControl/>
              <w:autoSpaceDE/>
              <w:autoSpaceDN/>
              <w:adjustRightInd/>
              <w:spacing w:before="40"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Oddziaływanie</w:t>
            </w:r>
          </w:p>
        </w:tc>
      </w:tr>
      <w:tr w:rsidR="00A34E81" w:rsidRPr="00A34E81" w:rsidTr="009A237D">
        <w:trPr>
          <w:trHeight w:val="142"/>
        </w:trPr>
        <w:tc>
          <w:tcPr>
            <w:tcW w:w="2694" w:type="dxa"/>
            <w:gridSpan w:val="4"/>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Sprawcy wobec, których zastosowano przymusowy środek zabezpieczający polegający </w:t>
            </w:r>
            <w:r w:rsidRPr="00A34E81">
              <w:rPr>
                <w:rFonts w:eastAsia="Calibri" w:cs="Times New Roman"/>
                <w:color w:val="000000"/>
                <w:spacing w:val="-2"/>
                <w:sz w:val="22"/>
                <w:szCs w:val="22"/>
                <w:lang w:eastAsia="en-US"/>
              </w:rPr>
              <w:br/>
              <w:t xml:space="preserve">na umieszczeniu </w:t>
            </w:r>
            <w:r w:rsidRPr="00A34E81">
              <w:rPr>
                <w:rFonts w:eastAsia="Calibri" w:cs="Times New Roman"/>
                <w:color w:val="000000"/>
                <w:spacing w:val="-2"/>
                <w:sz w:val="22"/>
                <w:szCs w:val="22"/>
                <w:lang w:eastAsia="en-US"/>
              </w:rPr>
              <w:br/>
              <w:t>w zamkniętym zakładzie psychiatrycznym</w:t>
            </w:r>
          </w:p>
        </w:tc>
        <w:tc>
          <w:tcPr>
            <w:tcW w:w="3260" w:type="dxa"/>
            <w:gridSpan w:val="9"/>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Liczba sprawców, </w:t>
            </w:r>
            <w:r w:rsidRPr="00A34E81">
              <w:rPr>
                <w:rFonts w:eastAsia="Calibri" w:cs="Times New Roman"/>
                <w:color w:val="000000"/>
                <w:spacing w:val="-2"/>
                <w:sz w:val="22"/>
                <w:szCs w:val="22"/>
                <w:lang w:eastAsia="en-US"/>
              </w:rPr>
              <w:br/>
              <w:t xml:space="preserve">wobec których skierowano </w:t>
            </w:r>
            <w:r w:rsidRPr="00A34E81">
              <w:rPr>
                <w:rFonts w:eastAsia="Calibri" w:cs="Times New Roman"/>
                <w:color w:val="000000"/>
                <w:spacing w:val="-2"/>
                <w:sz w:val="22"/>
                <w:szCs w:val="22"/>
                <w:lang w:eastAsia="en-US"/>
              </w:rPr>
              <w:br/>
              <w:t xml:space="preserve">do wykonania środek zabezpieczający w postaci pobytu w zakładzie psychiatrycznym </w:t>
            </w:r>
            <w:r w:rsidRPr="00A34E81">
              <w:rPr>
                <w:rFonts w:eastAsia="Calibri" w:cs="Times New Roman"/>
                <w:color w:val="000000"/>
                <w:spacing w:val="-2"/>
                <w:sz w:val="22"/>
                <w:szCs w:val="22"/>
                <w:lang w:eastAsia="en-US"/>
              </w:rPr>
              <w:br/>
              <w:t xml:space="preserve">w 2015 r. wynosiła 126, w 2016 – 515, natomiast </w:t>
            </w:r>
            <w:r w:rsidRPr="00A34E81">
              <w:rPr>
                <w:rFonts w:eastAsia="Calibri" w:cs="Times New Roman"/>
                <w:b/>
                <w:color w:val="000000"/>
                <w:spacing w:val="-2"/>
                <w:sz w:val="22"/>
                <w:szCs w:val="22"/>
                <w:lang w:eastAsia="en-US"/>
              </w:rPr>
              <w:t>w 2017 r.</w:t>
            </w:r>
            <w:r w:rsidRPr="00A34E81">
              <w:rPr>
                <w:rFonts w:eastAsia="Calibri" w:cs="Times New Roman"/>
                <w:color w:val="000000"/>
                <w:spacing w:val="-2"/>
                <w:sz w:val="22"/>
                <w:szCs w:val="22"/>
                <w:lang w:eastAsia="en-US"/>
              </w:rPr>
              <w:t xml:space="preserve"> –</w:t>
            </w:r>
            <w:r w:rsidRPr="00A34E81">
              <w:rPr>
                <w:rFonts w:eastAsia="Calibri" w:cs="Times New Roman"/>
                <w:b/>
                <w:color w:val="000000"/>
                <w:spacing w:val="-2"/>
                <w:sz w:val="22"/>
                <w:szCs w:val="22"/>
                <w:lang w:eastAsia="en-US"/>
              </w:rPr>
              <w:t xml:space="preserve"> 833</w:t>
            </w:r>
            <w:r w:rsidRPr="00A34E81">
              <w:rPr>
                <w:rFonts w:eastAsia="Calibri" w:cs="Times New Roman"/>
                <w:color w:val="000000"/>
                <w:spacing w:val="-2"/>
                <w:sz w:val="22"/>
                <w:szCs w:val="22"/>
                <w:lang w:eastAsia="en-US"/>
              </w:rPr>
              <w:t>.</w:t>
            </w:r>
          </w:p>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p>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Powyższy środek zabezpieczający w 2015 r. podlegał wykonaniu wobec 177 sprawców, w 2016 r. wobec 544 sprawców, natomiast </w:t>
            </w:r>
            <w:r w:rsidRPr="00A34E81">
              <w:rPr>
                <w:rFonts w:eastAsia="Calibri" w:cs="Times New Roman"/>
                <w:color w:val="000000"/>
                <w:spacing w:val="-2"/>
                <w:sz w:val="22"/>
                <w:szCs w:val="22"/>
                <w:lang w:eastAsia="en-US"/>
              </w:rPr>
              <w:br/>
            </w:r>
            <w:r w:rsidRPr="00A34E81">
              <w:rPr>
                <w:rFonts w:eastAsia="Calibri" w:cs="Times New Roman"/>
                <w:b/>
                <w:color w:val="000000"/>
                <w:spacing w:val="-2"/>
                <w:sz w:val="22"/>
                <w:szCs w:val="22"/>
                <w:lang w:eastAsia="en-US"/>
              </w:rPr>
              <w:t>w 2017 r.</w:t>
            </w:r>
            <w:r w:rsidRPr="00A34E81">
              <w:rPr>
                <w:rFonts w:eastAsia="Calibri" w:cs="Times New Roman"/>
                <w:color w:val="000000"/>
                <w:spacing w:val="-2"/>
                <w:sz w:val="22"/>
                <w:szCs w:val="22"/>
                <w:lang w:eastAsia="en-US"/>
              </w:rPr>
              <w:t xml:space="preserve"> wobec </w:t>
            </w:r>
            <w:r w:rsidRPr="00A34E81">
              <w:rPr>
                <w:rFonts w:eastAsia="Calibri" w:cs="Times New Roman"/>
                <w:b/>
                <w:color w:val="000000"/>
                <w:spacing w:val="-2"/>
                <w:sz w:val="22"/>
                <w:szCs w:val="22"/>
                <w:lang w:eastAsia="en-US"/>
              </w:rPr>
              <w:t>1 092 sprawców</w:t>
            </w:r>
            <w:r w:rsidRPr="00A34E81">
              <w:rPr>
                <w:rFonts w:eastAsia="Calibri" w:cs="Times New Roman"/>
                <w:color w:val="000000"/>
                <w:spacing w:val="-2"/>
                <w:sz w:val="22"/>
                <w:szCs w:val="22"/>
                <w:lang w:eastAsia="en-US"/>
              </w:rPr>
              <w:t>.</w:t>
            </w:r>
          </w:p>
        </w:tc>
        <w:tc>
          <w:tcPr>
            <w:tcW w:w="2552" w:type="dxa"/>
            <w:gridSpan w:val="7"/>
            <w:shd w:val="clear" w:color="auto" w:fill="auto"/>
          </w:tcPr>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r w:rsidRPr="00A34E81">
              <w:rPr>
                <w:rFonts w:eastAsia="Calibri" w:cs="Times New Roman"/>
                <w:spacing w:val="-2"/>
                <w:sz w:val="22"/>
                <w:szCs w:val="22"/>
                <w:lang w:eastAsia="en-US"/>
              </w:rPr>
              <w:t>Ministerstwo Sprawiedliwości</w:t>
            </w:r>
          </w:p>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p>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p>
        </w:tc>
        <w:tc>
          <w:tcPr>
            <w:tcW w:w="2693" w:type="dxa"/>
            <w:gridSpan w:val="6"/>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Uzyskanie prawa do udziału w posiedzeniu dotyczącym dalszego pobytu sprawcy </w:t>
            </w:r>
            <w:r w:rsidRPr="00A34E81">
              <w:rPr>
                <w:rFonts w:eastAsia="Calibri" w:cs="Times New Roman"/>
                <w:color w:val="000000"/>
                <w:spacing w:val="-2"/>
                <w:sz w:val="22"/>
                <w:szCs w:val="22"/>
                <w:lang w:eastAsia="en-US"/>
              </w:rPr>
              <w:br/>
              <w:t>w zakładzie psychiatrycznym (pod warunkiem, że ze względu na stan zdrowia jego udział w posiedzeniu sądu nie byłby niewskazany).</w:t>
            </w:r>
          </w:p>
        </w:tc>
      </w:tr>
      <w:tr w:rsidR="00A34E81" w:rsidRPr="00A34E81" w:rsidTr="009A237D">
        <w:trPr>
          <w:trHeight w:val="142"/>
        </w:trPr>
        <w:tc>
          <w:tcPr>
            <w:tcW w:w="2694" w:type="dxa"/>
            <w:gridSpan w:val="4"/>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Kierownicy zakładów psychiatrycznych, </w:t>
            </w:r>
            <w:r w:rsidRPr="00A34E81">
              <w:rPr>
                <w:rFonts w:eastAsia="Calibri" w:cs="Times New Roman"/>
                <w:color w:val="000000"/>
                <w:spacing w:val="-2"/>
                <w:sz w:val="22"/>
                <w:szCs w:val="22"/>
                <w:lang w:eastAsia="en-US"/>
              </w:rPr>
              <w:br/>
              <w:t xml:space="preserve">w których wykonuje </w:t>
            </w:r>
            <w:r w:rsidRPr="00A34E81">
              <w:rPr>
                <w:rFonts w:eastAsia="Calibri" w:cs="Times New Roman"/>
                <w:color w:val="000000"/>
                <w:spacing w:val="-2"/>
                <w:sz w:val="22"/>
                <w:szCs w:val="22"/>
                <w:lang w:eastAsia="en-US"/>
              </w:rPr>
              <w:br/>
              <w:t>się środek zabezpieczający</w:t>
            </w:r>
          </w:p>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p>
        </w:tc>
        <w:tc>
          <w:tcPr>
            <w:tcW w:w="3260" w:type="dxa"/>
            <w:gridSpan w:val="9"/>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b/>
                <w:color w:val="000000"/>
                <w:spacing w:val="-2"/>
                <w:sz w:val="22"/>
                <w:szCs w:val="22"/>
                <w:lang w:eastAsia="en-US"/>
              </w:rPr>
              <w:t xml:space="preserve">54 </w:t>
            </w:r>
            <w:r w:rsidRPr="00A34E81">
              <w:rPr>
                <w:rFonts w:eastAsia="Calibri" w:cs="Times New Roman"/>
                <w:color w:val="000000"/>
                <w:spacing w:val="-2"/>
                <w:sz w:val="22"/>
                <w:szCs w:val="22"/>
                <w:lang w:eastAsia="en-US"/>
              </w:rPr>
              <w:t xml:space="preserve">zakłady psychiatryczne przeznaczone do wykonywania środka zabezpieczającego, </w:t>
            </w:r>
            <w:r w:rsidRPr="00A34E81">
              <w:rPr>
                <w:rFonts w:eastAsia="Calibri" w:cs="Times New Roman"/>
                <w:color w:val="000000"/>
                <w:spacing w:val="-2"/>
                <w:sz w:val="22"/>
                <w:szCs w:val="22"/>
                <w:lang w:eastAsia="en-US"/>
              </w:rPr>
              <w:br/>
              <w:t>z tego:</w:t>
            </w:r>
          </w:p>
          <w:p w:rsidR="00A34E81" w:rsidRPr="00A34E81" w:rsidRDefault="00A34E81" w:rsidP="00A34E81">
            <w:pPr>
              <w:widowControl/>
              <w:tabs>
                <w:tab w:val="right" w:pos="317"/>
              </w:tabs>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ab/>
              <w:t>34 – w warunkach podstawowego zabezpieczenia,</w:t>
            </w:r>
          </w:p>
          <w:p w:rsidR="00A34E81" w:rsidRPr="00A34E81" w:rsidRDefault="00A34E81" w:rsidP="00A34E81">
            <w:pPr>
              <w:widowControl/>
              <w:tabs>
                <w:tab w:val="left" w:pos="176"/>
              </w:tabs>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17 – w warunkach wzmocnionego zabezpieczenia,</w:t>
            </w:r>
          </w:p>
          <w:p w:rsidR="00A34E81" w:rsidRPr="00A34E81" w:rsidRDefault="00A34E81" w:rsidP="00A34E81">
            <w:pPr>
              <w:widowControl/>
              <w:tabs>
                <w:tab w:val="left" w:pos="176"/>
              </w:tabs>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  3 – w warunkach maksymalnego zabezpieczenia.</w:t>
            </w:r>
          </w:p>
        </w:tc>
        <w:tc>
          <w:tcPr>
            <w:tcW w:w="2552" w:type="dxa"/>
            <w:gridSpan w:val="7"/>
            <w:shd w:val="clear" w:color="auto" w:fill="auto"/>
          </w:tcPr>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r w:rsidRPr="00A34E81">
              <w:rPr>
                <w:rFonts w:eastAsia="Calibri" w:cs="Times New Roman"/>
                <w:spacing w:val="-2"/>
                <w:sz w:val="22"/>
                <w:szCs w:val="22"/>
                <w:lang w:eastAsia="en-US"/>
              </w:rPr>
              <w:t xml:space="preserve">Obwieszczenie Ministra Zdrowia z dnia 4 grudnia 2017 r. </w:t>
            </w:r>
            <w:r w:rsidRPr="00A34E81">
              <w:rPr>
                <w:rFonts w:eastAsia="Calibri" w:cs="Times New Roman"/>
                <w:i/>
                <w:spacing w:val="-2"/>
                <w:sz w:val="22"/>
                <w:szCs w:val="22"/>
                <w:lang w:eastAsia="en-US"/>
              </w:rPr>
              <w:t>w sprawie wykazów zakładów psychiatrycznych przeznaczonych do wykonywania środka zabezpieczającego (…)</w:t>
            </w:r>
          </w:p>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r w:rsidRPr="00A34E81">
              <w:rPr>
                <w:rFonts w:eastAsia="Calibri" w:cs="Times New Roman"/>
                <w:spacing w:val="-2"/>
                <w:sz w:val="22"/>
                <w:szCs w:val="22"/>
                <w:lang w:eastAsia="en-US"/>
              </w:rPr>
              <w:t>(M.P. z 2017 r. poz. 1185)</w:t>
            </w:r>
          </w:p>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p>
        </w:tc>
        <w:tc>
          <w:tcPr>
            <w:tcW w:w="2693" w:type="dxa"/>
            <w:gridSpan w:val="6"/>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Przekazywanie opinii </w:t>
            </w:r>
            <w:r w:rsidRPr="00A34E81">
              <w:rPr>
                <w:rFonts w:eastAsia="Calibri" w:cs="Times New Roman"/>
                <w:color w:val="000000"/>
                <w:spacing w:val="-2"/>
                <w:sz w:val="22"/>
                <w:szCs w:val="22"/>
                <w:lang w:eastAsia="en-US"/>
              </w:rPr>
              <w:br/>
              <w:t xml:space="preserve">o stanie zdrowia i postępach </w:t>
            </w:r>
            <w:r w:rsidRPr="00A34E81">
              <w:rPr>
                <w:rFonts w:eastAsia="Calibri" w:cs="Times New Roman"/>
                <w:color w:val="000000"/>
                <w:spacing w:val="-2"/>
                <w:sz w:val="22"/>
                <w:szCs w:val="22"/>
                <w:lang w:eastAsia="en-US"/>
              </w:rPr>
              <w:br/>
              <w:t>w leczeniu sprawcy, która dodatkowo zawiera informację czy z uwagi na stan zdrowia sprawcy jego udział w posiedzeniu sądu byłby niewskazany.</w:t>
            </w:r>
          </w:p>
        </w:tc>
      </w:tr>
      <w:tr w:rsidR="00A34E81" w:rsidRPr="00A34E81" w:rsidTr="009A237D">
        <w:trPr>
          <w:trHeight w:val="142"/>
        </w:trPr>
        <w:tc>
          <w:tcPr>
            <w:tcW w:w="2694" w:type="dxa"/>
            <w:gridSpan w:val="4"/>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Sądy powszechne, </w:t>
            </w:r>
            <w:r w:rsidRPr="00A34E81">
              <w:rPr>
                <w:rFonts w:eastAsia="Calibri" w:cs="Times New Roman"/>
                <w:color w:val="000000"/>
                <w:spacing w:val="-2"/>
                <w:sz w:val="22"/>
                <w:szCs w:val="22"/>
                <w:lang w:eastAsia="en-US"/>
              </w:rPr>
              <w:br/>
              <w:t>w których okręgu sprawca przebywa</w:t>
            </w:r>
          </w:p>
        </w:tc>
        <w:tc>
          <w:tcPr>
            <w:tcW w:w="3260" w:type="dxa"/>
            <w:gridSpan w:val="9"/>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p>
        </w:tc>
        <w:tc>
          <w:tcPr>
            <w:tcW w:w="2552" w:type="dxa"/>
            <w:gridSpan w:val="7"/>
            <w:shd w:val="clear" w:color="auto" w:fill="auto"/>
          </w:tcPr>
          <w:p w:rsidR="00A34E81" w:rsidRPr="00A34E81" w:rsidRDefault="00A34E81" w:rsidP="00A34E81">
            <w:pPr>
              <w:widowControl/>
              <w:autoSpaceDE/>
              <w:autoSpaceDN/>
              <w:adjustRightInd/>
              <w:spacing w:line="240" w:lineRule="auto"/>
              <w:jc w:val="center"/>
              <w:rPr>
                <w:rFonts w:eastAsia="Calibri" w:cs="Times New Roman"/>
                <w:spacing w:val="-2"/>
                <w:sz w:val="22"/>
                <w:szCs w:val="22"/>
                <w:lang w:eastAsia="en-US"/>
              </w:rPr>
            </w:pPr>
          </w:p>
        </w:tc>
        <w:tc>
          <w:tcPr>
            <w:tcW w:w="2693" w:type="dxa"/>
            <w:gridSpan w:val="6"/>
            <w:shd w:val="clear" w:color="auto" w:fill="auto"/>
          </w:tcPr>
          <w:p w:rsidR="00A34E81" w:rsidRPr="00A34E81" w:rsidRDefault="00A34E81" w:rsidP="00A34E81">
            <w:pPr>
              <w:widowControl/>
              <w:autoSpaceDE/>
              <w:autoSpaceDN/>
              <w:adjustRightInd/>
              <w:spacing w:line="240" w:lineRule="auto"/>
              <w:jc w:val="center"/>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Dopuszczanie sprawców </w:t>
            </w:r>
            <w:r w:rsidRPr="00A34E81">
              <w:rPr>
                <w:rFonts w:eastAsia="Calibri" w:cs="Times New Roman"/>
                <w:color w:val="000000"/>
                <w:spacing w:val="-2"/>
                <w:sz w:val="22"/>
                <w:szCs w:val="22"/>
                <w:lang w:eastAsia="en-US"/>
              </w:rPr>
              <w:br/>
              <w:t xml:space="preserve">– na ich wniosek – do udziału w posiedzeniu </w:t>
            </w:r>
            <w:r w:rsidRPr="00A34E81">
              <w:rPr>
                <w:rFonts w:eastAsia="Calibri" w:cs="Times New Roman"/>
                <w:color w:val="000000"/>
                <w:spacing w:val="-2"/>
                <w:sz w:val="22"/>
                <w:szCs w:val="22"/>
                <w:lang w:eastAsia="en-US"/>
              </w:rPr>
              <w:br/>
              <w:t>dot. przedłużenia środka zabezpieczającego.</w:t>
            </w:r>
          </w:p>
        </w:tc>
      </w:tr>
      <w:tr w:rsidR="00A34E81" w:rsidRPr="00A34E81" w:rsidTr="009A237D">
        <w:trPr>
          <w:trHeight w:val="302"/>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color w:val="000000"/>
                <w:sz w:val="22"/>
                <w:szCs w:val="22"/>
                <w:lang w:eastAsia="en-US"/>
              </w:rPr>
              <w:t>Informacje na temat zakresu, czasu trwania i podsumowanie wyników konsultacji</w:t>
            </w:r>
          </w:p>
        </w:tc>
      </w:tr>
      <w:tr w:rsidR="00A34E81" w:rsidRPr="00A34E81" w:rsidTr="009A237D">
        <w:trPr>
          <w:trHeight w:val="342"/>
        </w:trPr>
        <w:tc>
          <w:tcPr>
            <w:tcW w:w="11199" w:type="dxa"/>
            <w:gridSpan w:val="26"/>
            <w:shd w:val="clear" w:color="auto" w:fill="FFFFFF"/>
          </w:tcPr>
          <w:p w:rsidR="00A34E81" w:rsidRPr="00A34E81" w:rsidRDefault="00A34E81" w:rsidP="00A34E81">
            <w:pPr>
              <w:widowControl/>
              <w:autoSpaceDE/>
              <w:autoSpaceDN/>
              <w:adjustRightInd/>
              <w:spacing w:before="120" w:after="120" w:line="300" w:lineRule="exact"/>
              <w:rPr>
                <w:rFonts w:eastAsia="Calibri" w:cs="Times New Roman"/>
                <w:bCs/>
                <w:color w:val="000000"/>
                <w:spacing w:val="-2"/>
                <w:sz w:val="22"/>
                <w:szCs w:val="22"/>
                <w:lang w:eastAsia="en-US"/>
              </w:rPr>
            </w:pPr>
            <w:r w:rsidRPr="00A34E81">
              <w:rPr>
                <w:rFonts w:eastAsia="Calibri" w:cs="Times New Roman"/>
                <w:bCs/>
                <w:color w:val="000000"/>
                <w:spacing w:val="-2"/>
                <w:sz w:val="22"/>
                <w:szCs w:val="22"/>
                <w:lang w:eastAsia="en-US"/>
              </w:rPr>
              <w:t xml:space="preserve">Projekt ustawy w dniu 21 marca 2018 r. został przesłany do zaopiniowania Helsińskiej Fundacji Praw Człowieka, Krajowej Radzie Kuratorów, Krajowej Radzie Radców Prawnych, Krajowej Radzie Sądownictwa, Naczelnej Radzie Adwokackiej, Ministrowi Sprawiedliwości, Ministrowi Zdrowia, Polskiemu Towarzystwu Psychiatrii Sądowej, Polskiemu Towarzystwu Psychiatrycznemu, Prokuratorii Generalnej RP, Rzecznikowi Praw Obywatelskich, Sądowi Najwyższemu, Stowarzyszeniu Sędziów Polskich IUSTITIA. Termin nadsyłania opinii ustalono na dzień 21 kwietnia 2018 r. </w:t>
            </w:r>
          </w:p>
          <w:p w:rsidR="00A34E81" w:rsidRPr="00A34E81" w:rsidRDefault="00A34E81" w:rsidP="00A34E81">
            <w:pPr>
              <w:widowControl/>
              <w:autoSpaceDE/>
              <w:autoSpaceDN/>
              <w:adjustRightInd/>
              <w:spacing w:before="120" w:after="120" w:line="300" w:lineRule="exact"/>
              <w:rPr>
                <w:rFonts w:eastAsia="Calibri" w:cs="Times New Roman"/>
                <w:bCs/>
                <w:color w:val="000000"/>
                <w:spacing w:val="-2"/>
                <w:sz w:val="22"/>
                <w:szCs w:val="22"/>
                <w:lang w:eastAsia="en-US"/>
              </w:rPr>
            </w:pPr>
            <w:r w:rsidRPr="00A34E81">
              <w:rPr>
                <w:rFonts w:eastAsia="Calibri" w:cs="Times New Roman"/>
                <w:bCs/>
                <w:color w:val="000000"/>
                <w:spacing w:val="-2"/>
                <w:sz w:val="22"/>
                <w:szCs w:val="22"/>
                <w:lang w:eastAsia="en-US"/>
              </w:rPr>
              <w:t>Minister Zdrowia oraz Sąd Najwyższy poinformowali o braku uwag do projektu.</w:t>
            </w:r>
          </w:p>
          <w:p w:rsidR="00A34E81" w:rsidRPr="00A34E81" w:rsidRDefault="00A34E81" w:rsidP="00A34E81">
            <w:pPr>
              <w:widowControl/>
              <w:autoSpaceDE/>
              <w:autoSpaceDN/>
              <w:adjustRightInd/>
              <w:spacing w:before="120" w:after="120" w:line="300" w:lineRule="exact"/>
              <w:rPr>
                <w:rFonts w:eastAsia="Calibri" w:cs="Times New Roman"/>
                <w:bCs/>
                <w:color w:val="000000"/>
                <w:spacing w:val="-2"/>
                <w:sz w:val="22"/>
                <w:szCs w:val="22"/>
                <w:lang w:eastAsia="en-US"/>
              </w:rPr>
            </w:pPr>
            <w:r w:rsidRPr="00A34E81">
              <w:rPr>
                <w:rFonts w:eastAsia="Calibri" w:cs="Times New Roman"/>
                <w:bCs/>
                <w:color w:val="000000"/>
                <w:spacing w:val="-2"/>
                <w:sz w:val="22"/>
                <w:szCs w:val="22"/>
                <w:lang w:eastAsia="en-US"/>
              </w:rPr>
              <w:t>Opinie o projekcie przesłali Krajowa Rada Sądownictwa, Minister Sprawiedliwości, Prokuratoria Generalna RP oraz Rzecznik Praw Obywatelskich.</w:t>
            </w:r>
          </w:p>
          <w:p w:rsidR="00A34E81" w:rsidRPr="00A34E81" w:rsidRDefault="00A34E81" w:rsidP="00A34E81">
            <w:pPr>
              <w:widowControl/>
              <w:autoSpaceDE/>
              <w:autoSpaceDN/>
              <w:adjustRightInd/>
              <w:spacing w:before="120" w:after="120" w:line="300" w:lineRule="exact"/>
              <w:rPr>
                <w:rFonts w:eastAsia="Calibri" w:cs="Times New Roman"/>
                <w:bCs/>
                <w:color w:val="000000"/>
                <w:spacing w:val="-2"/>
                <w:sz w:val="22"/>
                <w:szCs w:val="22"/>
                <w:lang w:eastAsia="en-US"/>
              </w:rPr>
            </w:pPr>
            <w:r w:rsidRPr="00A34E81">
              <w:rPr>
                <w:rFonts w:eastAsia="Calibri" w:cs="Times New Roman"/>
                <w:b/>
                <w:bCs/>
                <w:color w:val="000000"/>
                <w:spacing w:val="-2"/>
                <w:sz w:val="22"/>
                <w:szCs w:val="22"/>
                <w:lang w:eastAsia="en-US"/>
              </w:rPr>
              <w:t>Krajowa Rada Sądownictwa</w:t>
            </w:r>
            <w:r w:rsidRPr="00A34E81">
              <w:rPr>
                <w:rFonts w:eastAsia="Calibri" w:cs="Times New Roman"/>
                <w:bCs/>
                <w:color w:val="000000"/>
                <w:spacing w:val="-2"/>
                <w:sz w:val="22"/>
                <w:szCs w:val="22"/>
                <w:lang w:eastAsia="en-US"/>
              </w:rPr>
              <w:t xml:space="preserve"> zaopiniowała projekt pozytywnie, wyrażając jednak obawę, że projektowane rozwiązanie </w:t>
            </w:r>
            <w:r w:rsidRPr="00A34E81">
              <w:rPr>
                <w:rFonts w:eastAsia="Calibri" w:cs="Times New Roman"/>
                <w:bCs/>
                <w:color w:val="000000"/>
                <w:spacing w:val="-2"/>
                <w:sz w:val="22"/>
                <w:szCs w:val="22"/>
                <w:lang w:eastAsia="en-US"/>
              </w:rPr>
              <w:br/>
              <w:t>w zakresie zmiany właściwości miejscowej sądu w sprawach dotyczących przedłużenia środka zabezpieczającego w postaci pobytu skazanego w zakładzie psychiatrycznym wpłynie na obciążenie tego rodzaju sprawami mniejszych jednostek wymiaru sprawiedliwości, które mogą być nieprzygotowane kadrowo do wykonania tego zadania. Ponadto Krajowa Rada Sądownictwa zwróciła uwagę na konieczność pozyskania dodatkowych danych statystycznych dotyczące liczby spraw, których będzie dotyczyć projektowana regulacja.</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W opinii </w:t>
            </w:r>
            <w:r w:rsidRPr="00A34E81">
              <w:rPr>
                <w:rFonts w:eastAsia="Calibri" w:cs="Times New Roman"/>
                <w:b/>
                <w:color w:val="000000"/>
                <w:spacing w:val="-2"/>
                <w:sz w:val="22"/>
                <w:szCs w:val="22"/>
                <w:lang w:eastAsia="en-US"/>
              </w:rPr>
              <w:t>Ministra Sprawiedliwości</w:t>
            </w:r>
            <w:r w:rsidRPr="00A34E81">
              <w:rPr>
                <w:rFonts w:eastAsia="Calibri" w:cs="Times New Roman"/>
                <w:color w:val="000000"/>
                <w:spacing w:val="-2"/>
                <w:sz w:val="22"/>
                <w:szCs w:val="22"/>
                <w:lang w:eastAsia="en-US"/>
              </w:rPr>
              <w:t xml:space="preserve"> projektowana regulacja nie skoryguje obowiązujących dotychczas unormowań </w:t>
            </w:r>
            <w:r w:rsidRPr="00A34E81">
              <w:rPr>
                <w:rFonts w:eastAsia="Calibri" w:cs="Times New Roman"/>
                <w:color w:val="000000"/>
                <w:spacing w:val="-2"/>
                <w:sz w:val="22"/>
                <w:szCs w:val="22"/>
                <w:lang w:eastAsia="en-US"/>
              </w:rPr>
              <w:br/>
              <w:t xml:space="preserve">w pożądany i wskazany przez Trybunał Konstytucyjny sposób. Wprawdzie przyznano sprawcy prawo do udziału </w:t>
            </w:r>
            <w:r w:rsidRPr="00A34E81">
              <w:rPr>
                <w:rFonts w:eastAsia="Calibri" w:cs="Times New Roman"/>
                <w:color w:val="000000"/>
                <w:spacing w:val="-2"/>
                <w:sz w:val="22"/>
                <w:szCs w:val="22"/>
                <w:lang w:eastAsia="en-US"/>
              </w:rPr>
              <w:br/>
              <w:t>w posiedzeniu sądu w przedmiocie dalszego stosowania wobec niego środka zabezpieczającego w postaci pobytu w zakładzie psychiatrycznym, ale ograniczono to prawo do sytuacji, w której sprawca – zawiadomiony o terminie posiedzenia – złoży wniosek o doprowadzenie go na posiedzenie, co w praktyce często może być dla sprawców nierealne ze względu na ich ograniczenia psychiczne i intelektualne. Co więcej udział sprawcy w posiedzeniu zależeć będzie od opinii kierownika zakładu psychiatrycznego, w którym przebywa.</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Zdaniem Ministra Sprawiedliwości należałoby zastrzec, że uznanie za niewskazaną obecności sprawcy w posiedzeniu dotyczącym przedłużenia jego pobytu w zakładzie psychiatrycznym może następować tylko wyjątkowo – w razie konieczności powodowanej jego stanem zdrowia. Należałoby również wprowadzić przepis, który pozwalałby na zasięgnięcie przez sąd opinii biegłych w tym zakresie. Ponadto przedstawiono propozycję przeredagowania projektowanych przepisów art. 203 § 2a oraz art. 204 § 2a k.k.w. w taki sposób, aby przyjąć założenie o udziale sprawcy w posiedzeniu, zaś jego nieobecność uznać za absolutny wyjątek, wynikający z decyzji sądu opartej na szczegółowo umotywowanej opinii kierownika zakładu psychiatrycznego, a w razie potrzeby – opinii bezstronnych biegłych. W przypadku pozostawienia projektowanych przepisów w niezmienionej postaci, w opinii Ministra Sprawiedliwości, należy rozważyć dodanie przepisu sankcjonującego złożenie przez sprawcę wniosku o doprowadzenie go na posiedzenie po terminie.</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Ponadto Minister Sprawiedliwości podzielił stanowisko, że doprowadzenie sprawcy na posiedzenie sądu dotyczące przedłużenia wobec niego środka zabezpieczającego związane będzie z koniecznością zabezpieczenia niezbędnych sił </w:t>
            </w:r>
            <w:r w:rsidRPr="00A34E81">
              <w:rPr>
                <w:rFonts w:eastAsia="Calibri" w:cs="Times New Roman"/>
                <w:color w:val="000000"/>
                <w:spacing w:val="-2"/>
                <w:sz w:val="22"/>
                <w:szCs w:val="22"/>
                <w:lang w:eastAsia="en-US"/>
              </w:rPr>
              <w:br/>
              <w:t xml:space="preserve">i środków dla transportu osób internowanych, a także poniesieniem większych kosztów z tego tytułu. Przy czym brak jest podstaw do przyjęcia, że koszty takiego doprowadzenia ma ponosić zakład psychiatryczny wykonujący środek zabezpieczający, bowiem w tej sytuacji nie ma zastosowania przepis art. 201 § 2 k.k.w., z którego wynika, że zapewnienie odpowiedniego transportu sanitarnego należy do kierownika właściwego zakładu psychiatrycznego. W tej sytuacji podmiot realizujący transport sanitarny powinien zwrócić się o uregulowanie należności do sądu zlecającego tę czynność. </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W opinii </w:t>
            </w:r>
            <w:r w:rsidRPr="00A34E81">
              <w:rPr>
                <w:rFonts w:eastAsia="Calibri" w:cs="Times New Roman"/>
                <w:b/>
                <w:color w:val="000000"/>
                <w:spacing w:val="-2"/>
                <w:sz w:val="22"/>
                <w:szCs w:val="22"/>
                <w:lang w:eastAsia="en-US"/>
              </w:rPr>
              <w:t>Prokuratorii Generalnej RP</w:t>
            </w:r>
            <w:r w:rsidRPr="00A34E81">
              <w:rPr>
                <w:rFonts w:eastAsia="Calibri" w:cs="Times New Roman"/>
                <w:color w:val="000000"/>
                <w:spacing w:val="-2"/>
                <w:sz w:val="22"/>
                <w:szCs w:val="22"/>
                <w:lang w:eastAsia="en-US"/>
              </w:rPr>
              <w:t xml:space="preserve"> projektowaną zmianę art. 199a § 2 k.k.w. należy ocenić pozytywnie, zaś zmiany </w:t>
            </w:r>
            <w:r w:rsidRPr="00A34E81">
              <w:rPr>
                <w:rFonts w:eastAsia="Calibri" w:cs="Times New Roman"/>
                <w:color w:val="000000"/>
                <w:spacing w:val="-2"/>
                <w:sz w:val="22"/>
                <w:szCs w:val="22"/>
                <w:lang w:eastAsia="en-US"/>
              </w:rPr>
              <w:br/>
              <w:t>w art. 203 k.k.w. nie budzą zastrzeżeń. Natomiast zdaniem Prokuratorii Generalnej RP właściwszym miejscem uregulowania kwestii udziału sprawcy w posiedzeniach sądu w przedmiocie dalszego stosowania środka zabezpieczającego byłby art. 199b k.k.w. a nie art. 204 k.k.w.</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b/>
                <w:color w:val="000000"/>
                <w:spacing w:val="-2"/>
                <w:sz w:val="22"/>
                <w:szCs w:val="22"/>
                <w:lang w:eastAsia="en-US"/>
              </w:rPr>
              <w:t>Rzecznik Praw Obywatelskich</w:t>
            </w:r>
            <w:r w:rsidRPr="00A34E81">
              <w:rPr>
                <w:rFonts w:eastAsia="Calibri" w:cs="Times New Roman"/>
                <w:color w:val="000000"/>
                <w:spacing w:val="-2"/>
                <w:sz w:val="22"/>
                <w:szCs w:val="22"/>
                <w:lang w:eastAsia="en-US"/>
              </w:rPr>
              <w:t xml:space="preserve"> (RPO) zaproponował, aby wprowadzić do projektu rozwiązanie umożliwiające odbycie posiedzenia sądu w zakładzie psychiatrycznym. Takie rozwiązanie byłoby mniej kosztowne niż transport sprawcy do sądu, </w:t>
            </w:r>
            <w:r w:rsidRPr="00A34E81">
              <w:rPr>
                <w:rFonts w:eastAsia="Calibri" w:cs="Times New Roman"/>
                <w:color w:val="000000"/>
                <w:spacing w:val="-2"/>
                <w:sz w:val="22"/>
                <w:szCs w:val="22"/>
                <w:lang w:eastAsia="en-US"/>
              </w:rPr>
              <w:br/>
              <w:t xml:space="preserve">a także wyeliminowałoby konieczność zakładania pacjentom kajdanek jako środka prewencyjnego, który nie wpływa korzystnie na stan zdrowia i proces leczenia internowanych. </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 xml:space="preserve">Ponadto RPO zauważył, że analogiczna procedura polegająca na przedłużaniu przez sąd pobytu w ośrodku leczenia psychiatrycznego funkcjonuje w ustawie </w:t>
            </w:r>
            <w:r w:rsidRPr="00A34E81">
              <w:rPr>
                <w:rFonts w:eastAsia="Calibri" w:cs="Times New Roman"/>
                <w:i/>
                <w:color w:val="000000"/>
                <w:spacing w:val="-2"/>
                <w:sz w:val="22"/>
                <w:szCs w:val="22"/>
                <w:lang w:eastAsia="en-US"/>
              </w:rPr>
              <w:t>o postępowaniu wobec osób z zaburzeniami psychicznymi stwarzających zagrożenie życia, zdrowia lub wolności seksualnej innych osób</w:t>
            </w:r>
            <w:r w:rsidRPr="00A34E81">
              <w:rPr>
                <w:rFonts w:eastAsia="Calibri" w:cs="Times New Roman"/>
                <w:color w:val="000000"/>
                <w:spacing w:val="-2"/>
                <w:sz w:val="22"/>
                <w:szCs w:val="22"/>
                <w:lang w:eastAsia="en-US"/>
              </w:rPr>
              <w:t>. Wobec tego pacjentom Krajowego Ośrodka Zapobiegania Zachowaniom Dyssocjalnym (w Gostyninie) również należy zagwarantować prawo do bycia wysłuchanym przez sąd w procedurze przedłużania pobytu w Ośrodku.</w:t>
            </w:r>
          </w:p>
          <w:p w:rsidR="00A34E81" w:rsidRPr="00A34E81" w:rsidRDefault="00A34E81" w:rsidP="00A34E81">
            <w:pPr>
              <w:widowControl/>
              <w:autoSpaceDE/>
              <w:autoSpaceDN/>
              <w:adjustRightInd/>
              <w:spacing w:before="120" w:after="120" w:line="300" w:lineRule="exact"/>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W trakcie I czytania projektu przez komisje senackie</w:t>
            </w:r>
            <w:r w:rsidRPr="00A34E81">
              <w:rPr>
                <w:rFonts w:eastAsia="Calibri" w:cs="Times New Roman"/>
                <w:b/>
                <w:color w:val="000000"/>
                <w:spacing w:val="-2"/>
                <w:sz w:val="22"/>
                <w:szCs w:val="22"/>
                <w:lang w:eastAsia="en-US"/>
              </w:rPr>
              <w:t xml:space="preserve"> uwzględniono uwagi Ministra Sprawiedliwości</w:t>
            </w:r>
            <w:r w:rsidRPr="00A34E81">
              <w:rPr>
                <w:rFonts w:eastAsia="Calibri" w:cs="Times New Roman"/>
                <w:color w:val="000000"/>
                <w:spacing w:val="-2"/>
                <w:sz w:val="22"/>
                <w:szCs w:val="22"/>
                <w:lang w:eastAsia="en-US"/>
              </w:rPr>
              <w:t>. Pozostałe uwagi nie zostały uwzględnione.</w:t>
            </w:r>
          </w:p>
        </w:tc>
      </w:tr>
      <w:tr w:rsidR="00A34E81" w:rsidRPr="00A34E81" w:rsidTr="009A237D">
        <w:trPr>
          <w:trHeight w:val="363"/>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120" w:after="120" w:line="240" w:lineRule="auto"/>
              <w:ind w:left="318" w:hanging="284"/>
              <w:jc w:val="left"/>
              <w:rPr>
                <w:rFonts w:eastAsia="Calibri" w:cs="Times New Roman"/>
                <w:b/>
                <w:color w:val="000000"/>
                <w:sz w:val="22"/>
                <w:szCs w:val="22"/>
                <w:lang w:eastAsia="en-US"/>
              </w:rPr>
            </w:pPr>
            <w:r w:rsidRPr="00A34E81">
              <w:rPr>
                <w:rFonts w:eastAsia="Calibri" w:cs="Times New Roman"/>
                <w:b/>
                <w:color w:val="000000"/>
                <w:sz w:val="22"/>
                <w:szCs w:val="22"/>
                <w:lang w:eastAsia="en-US"/>
              </w:rPr>
              <w:t xml:space="preserve"> Wpływ na sektor finansów publicznych</w:t>
            </w:r>
          </w:p>
        </w:tc>
      </w:tr>
      <w:tr w:rsidR="00A34E81" w:rsidRPr="00A34E81" w:rsidTr="009A237D">
        <w:trPr>
          <w:trHeight w:val="142"/>
        </w:trPr>
        <w:tc>
          <w:tcPr>
            <w:tcW w:w="2269" w:type="dxa"/>
            <w:gridSpan w:val="3"/>
            <w:vMerge w:val="restart"/>
            <w:shd w:val="clear" w:color="auto" w:fill="FFFFFF"/>
          </w:tcPr>
          <w:p w:rsidR="00A34E81" w:rsidRPr="00A34E81" w:rsidRDefault="00A34E81" w:rsidP="00A34E81">
            <w:pPr>
              <w:widowControl/>
              <w:autoSpaceDE/>
              <w:autoSpaceDN/>
              <w:adjustRightInd/>
              <w:spacing w:before="40" w:after="40" w:line="276" w:lineRule="auto"/>
              <w:jc w:val="left"/>
              <w:rPr>
                <w:rFonts w:eastAsia="Calibri" w:cs="Times New Roman"/>
                <w:i/>
                <w:color w:val="000000"/>
                <w:sz w:val="21"/>
                <w:szCs w:val="21"/>
                <w:lang w:eastAsia="en-US"/>
              </w:rPr>
            </w:pPr>
            <w:r w:rsidRPr="00A34E81">
              <w:rPr>
                <w:rFonts w:eastAsia="Calibri" w:cs="Times New Roman"/>
                <w:color w:val="000000"/>
                <w:sz w:val="21"/>
                <w:szCs w:val="21"/>
                <w:lang w:eastAsia="en-US"/>
              </w:rPr>
              <w:t>(ceny stałe z 2018 r.)</w:t>
            </w:r>
          </w:p>
        </w:tc>
        <w:tc>
          <w:tcPr>
            <w:tcW w:w="8930" w:type="dxa"/>
            <w:gridSpan w:val="23"/>
            <w:shd w:val="clear" w:color="auto" w:fill="FFFFFF"/>
          </w:tcPr>
          <w:p w:rsidR="00A34E81" w:rsidRPr="00A34E81" w:rsidRDefault="00A34E81" w:rsidP="00A34E81">
            <w:pPr>
              <w:widowControl/>
              <w:autoSpaceDE/>
              <w:autoSpaceDN/>
              <w:adjustRightInd/>
              <w:spacing w:before="120" w:after="120" w:line="240" w:lineRule="auto"/>
              <w:jc w:val="center"/>
              <w:rPr>
                <w:rFonts w:eastAsia="Calibri" w:cs="Times New Roman"/>
                <w:i/>
                <w:color w:val="000000"/>
                <w:spacing w:val="-2"/>
                <w:sz w:val="21"/>
                <w:szCs w:val="21"/>
                <w:lang w:eastAsia="en-US"/>
              </w:rPr>
            </w:pPr>
            <w:r w:rsidRPr="00A34E81">
              <w:rPr>
                <w:rFonts w:eastAsia="Calibri" w:cs="Times New Roman"/>
                <w:color w:val="000000"/>
                <w:sz w:val="21"/>
                <w:szCs w:val="21"/>
                <w:lang w:eastAsia="en-US"/>
              </w:rPr>
              <w:t>Skutki w okresie 10 lat od wejścia w życie zmian [mln zł]</w:t>
            </w:r>
          </w:p>
        </w:tc>
      </w:tr>
      <w:tr w:rsidR="00A34E81" w:rsidRPr="00A34E81" w:rsidTr="009A237D">
        <w:trPr>
          <w:trHeight w:val="142"/>
        </w:trPr>
        <w:tc>
          <w:tcPr>
            <w:tcW w:w="2269" w:type="dxa"/>
            <w:gridSpan w:val="3"/>
            <w:vMerge/>
            <w:shd w:val="clear" w:color="auto" w:fill="FFFFFF"/>
          </w:tcPr>
          <w:p w:rsidR="00A34E81" w:rsidRPr="00A34E81" w:rsidRDefault="00A34E81" w:rsidP="00A34E81">
            <w:pPr>
              <w:widowControl/>
              <w:autoSpaceDE/>
              <w:autoSpaceDN/>
              <w:adjustRightInd/>
              <w:spacing w:before="40" w:after="40" w:line="240" w:lineRule="auto"/>
              <w:jc w:val="left"/>
              <w:rPr>
                <w:rFonts w:eastAsia="Calibri" w:cs="Times New Roman"/>
                <w:i/>
                <w:color w:val="000000"/>
                <w:sz w:val="21"/>
                <w:szCs w:val="21"/>
                <w:lang w:eastAsia="en-US"/>
              </w:rPr>
            </w:pPr>
          </w:p>
        </w:tc>
        <w:tc>
          <w:tcPr>
            <w:tcW w:w="721"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0</w:t>
            </w:r>
          </w:p>
        </w:tc>
        <w:tc>
          <w:tcPr>
            <w:tcW w:w="722" w:type="dxa"/>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1</w:t>
            </w:r>
          </w:p>
        </w:tc>
        <w:tc>
          <w:tcPr>
            <w:tcW w:w="721"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2</w:t>
            </w:r>
          </w:p>
        </w:tc>
        <w:tc>
          <w:tcPr>
            <w:tcW w:w="722"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3</w:t>
            </w:r>
          </w:p>
        </w:tc>
        <w:tc>
          <w:tcPr>
            <w:tcW w:w="722"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4</w:t>
            </w:r>
          </w:p>
        </w:tc>
        <w:tc>
          <w:tcPr>
            <w:tcW w:w="721" w:type="dxa"/>
            <w:gridSpan w:val="2"/>
            <w:shd w:val="clear" w:color="auto" w:fill="FFFFFF"/>
            <w:vAlign w:val="center"/>
          </w:tcPr>
          <w:p w:rsidR="00A34E81" w:rsidRPr="00A34E81" w:rsidRDefault="00A34E81" w:rsidP="00A34E81">
            <w:pPr>
              <w:widowControl/>
              <w:autoSpaceDE/>
              <w:autoSpaceDN/>
              <w:adjustRightInd/>
              <w:spacing w:before="120" w:after="120"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5</w:t>
            </w:r>
          </w:p>
        </w:tc>
        <w:tc>
          <w:tcPr>
            <w:tcW w:w="722" w:type="dxa"/>
            <w:gridSpan w:val="3"/>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6</w:t>
            </w:r>
          </w:p>
        </w:tc>
        <w:tc>
          <w:tcPr>
            <w:tcW w:w="722"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7</w:t>
            </w:r>
          </w:p>
        </w:tc>
        <w:tc>
          <w:tcPr>
            <w:tcW w:w="721" w:type="dxa"/>
            <w:gridSpan w:val="3"/>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8</w:t>
            </w:r>
          </w:p>
        </w:tc>
        <w:tc>
          <w:tcPr>
            <w:tcW w:w="722" w:type="dxa"/>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9</w:t>
            </w:r>
          </w:p>
        </w:tc>
        <w:tc>
          <w:tcPr>
            <w:tcW w:w="722"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10</w:t>
            </w:r>
          </w:p>
        </w:tc>
        <w:tc>
          <w:tcPr>
            <w:tcW w:w="992" w:type="dxa"/>
            <w:shd w:val="clear" w:color="auto" w:fill="FFFFFF"/>
          </w:tcPr>
          <w:p w:rsidR="00A34E81" w:rsidRPr="00A34E81" w:rsidRDefault="00A34E81" w:rsidP="00A34E81">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A34E81">
              <w:rPr>
                <w:rFonts w:eastAsia="Calibri" w:cs="Times New Roman"/>
                <w:i/>
                <w:color w:val="000000"/>
                <w:spacing w:val="-2"/>
                <w:sz w:val="21"/>
                <w:szCs w:val="21"/>
                <w:lang w:eastAsia="en-US"/>
              </w:rPr>
              <w:t>Łącznie (0-10)</w:t>
            </w:r>
          </w:p>
        </w:tc>
      </w:tr>
      <w:tr w:rsidR="00A34E81" w:rsidRPr="00A34E81" w:rsidTr="009A237D">
        <w:trPr>
          <w:trHeight w:val="321"/>
        </w:trPr>
        <w:tc>
          <w:tcPr>
            <w:tcW w:w="2269" w:type="dxa"/>
            <w:gridSpan w:val="3"/>
            <w:shd w:val="clear" w:color="auto" w:fill="FFFFFF"/>
            <w:vAlign w:val="center"/>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b/>
                <w:color w:val="000000"/>
                <w:sz w:val="21"/>
                <w:szCs w:val="21"/>
                <w:lang w:eastAsia="en-US"/>
              </w:rPr>
              <w:t>Dochody ogółem</w:t>
            </w:r>
          </w:p>
        </w:tc>
        <w:tc>
          <w:tcPr>
            <w:tcW w:w="721" w:type="dxa"/>
            <w:gridSpan w:val="2"/>
            <w:shd w:val="clear" w:color="auto" w:fill="FFFFFF"/>
            <w:vAlign w:val="center"/>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0,00</w:t>
            </w:r>
          </w:p>
        </w:tc>
        <w:tc>
          <w:tcPr>
            <w:tcW w:w="722" w:type="dxa"/>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1"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1"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2" w:type="dxa"/>
            <w:gridSpan w:val="3"/>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1" w:type="dxa"/>
            <w:gridSpan w:val="3"/>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2" w:type="dxa"/>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c>
          <w:tcPr>
            <w:tcW w:w="992" w:type="dxa"/>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0,00</w:t>
            </w:r>
          </w:p>
        </w:tc>
      </w:tr>
      <w:tr w:rsidR="00A34E81" w:rsidRPr="00A34E81" w:rsidTr="009A237D">
        <w:trPr>
          <w:trHeight w:val="330"/>
        </w:trPr>
        <w:tc>
          <w:tcPr>
            <w:tcW w:w="2269" w:type="dxa"/>
            <w:gridSpan w:val="3"/>
            <w:shd w:val="clear" w:color="auto" w:fill="FFFFFF"/>
            <w:vAlign w:val="center"/>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b/>
                <w:color w:val="000000"/>
                <w:sz w:val="21"/>
                <w:szCs w:val="21"/>
                <w:lang w:eastAsia="en-US"/>
              </w:rPr>
              <w:t>Wydatki ogółem</w:t>
            </w:r>
          </w:p>
        </w:tc>
        <w:tc>
          <w:tcPr>
            <w:tcW w:w="721" w:type="dxa"/>
            <w:gridSpan w:val="2"/>
            <w:shd w:val="clear" w:color="auto" w:fill="FFFFFF"/>
            <w:vAlign w:val="center"/>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0,54</w:t>
            </w:r>
          </w:p>
        </w:tc>
        <w:tc>
          <w:tcPr>
            <w:tcW w:w="722" w:type="dxa"/>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1"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1"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2" w:type="dxa"/>
            <w:gridSpan w:val="3"/>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1" w:type="dxa"/>
            <w:gridSpan w:val="3"/>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2" w:type="dxa"/>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eastAsia="Calibri" w:cs="Times New Roman"/>
                <w:sz w:val="21"/>
                <w:szCs w:val="21"/>
                <w:lang w:eastAsia="en-US"/>
              </w:rPr>
            </w:pPr>
            <w:r w:rsidRPr="00A34E81">
              <w:rPr>
                <w:rFonts w:eastAsia="Calibri" w:cs="Times New Roman"/>
                <w:sz w:val="21"/>
                <w:szCs w:val="21"/>
                <w:lang w:eastAsia="en-US"/>
              </w:rPr>
              <w:t>0,54</w:t>
            </w:r>
          </w:p>
        </w:tc>
        <w:tc>
          <w:tcPr>
            <w:tcW w:w="992" w:type="dxa"/>
            <w:shd w:val="clear" w:color="auto" w:fill="FFFFFF"/>
            <w:vAlign w:val="center"/>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5,94</w:t>
            </w:r>
          </w:p>
        </w:tc>
      </w:tr>
      <w:tr w:rsidR="00A34E81" w:rsidRPr="00A34E81" w:rsidTr="009A237D">
        <w:trPr>
          <w:trHeight w:val="360"/>
        </w:trPr>
        <w:tc>
          <w:tcPr>
            <w:tcW w:w="2269" w:type="dxa"/>
            <w:gridSpan w:val="3"/>
            <w:shd w:val="clear" w:color="auto" w:fill="FFFFFF"/>
            <w:vAlign w:val="center"/>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b/>
                <w:color w:val="000000"/>
                <w:sz w:val="21"/>
                <w:szCs w:val="21"/>
                <w:lang w:eastAsia="en-US"/>
              </w:rPr>
              <w:t>Saldo ogółem</w:t>
            </w:r>
          </w:p>
        </w:tc>
        <w:tc>
          <w:tcPr>
            <w:tcW w:w="721" w:type="dxa"/>
            <w:gridSpan w:val="2"/>
            <w:shd w:val="clear" w:color="auto" w:fill="FFFFFF"/>
            <w:vAlign w:val="center"/>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-0,54</w:t>
            </w:r>
          </w:p>
        </w:tc>
        <w:tc>
          <w:tcPr>
            <w:tcW w:w="722" w:type="dxa"/>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1"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1"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2" w:type="dxa"/>
            <w:gridSpan w:val="3"/>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1" w:type="dxa"/>
            <w:gridSpan w:val="3"/>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2" w:type="dxa"/>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722" w:type="dxa"/>
            <w:gridSpan w:val="2"/>
            <w:shd w:val="clear" w:color="auto" w:fill="FFFFFF"/>
            <w:vAlign w:val="center"/>
          </w:tcPr>
          <w:p w:rsidR="00A34E81" w:rsidRPr="00A34E81" w:rsidRDefault="00A34E81" w:rsidP="00A34E81">
            <w:pPr>
              <w:widowControl/>
              <w:autoSpaceDE/>
              <w:autoSpaceDN/>
              <w:adjustRightInd/>
              <w:spacing w:line="276" w:lineRule="auto"/>
              <w:jc w:val="right"/>
              <w:rPr>
                <w:rFonts w:ascii="Calibri" w:eastAsia="Calibri" w:hAnsi="Calibri" w:cs="Times New Roman"/>
                <w:sz w:val="22"/>
                <w:szCs w:val="22"/>
                <w:lang w:eastAsia="en-US"/>
              </w:rPr>
            </w:pPr>
            <w:r w:rsidRPr="00A34E81">
              <w:rPr>
                <w:rFonts w:eastAsia="Calibri" w:cs="Times New Roman"/>
                <w:color w:val="000000"/>
                <w:sz w:val="21"/>
                <w:szCs w:val="21"/>
                <w:lang w:eastAsia="en-US"/>
              </w:rPr>
              <w:t>-0,54</w:t>
            </w:r>
          </w:p>
        </w:tc>
        <w:tc>
          <w:tcPr>
            <w:tcW w:w="992" w:type="dxa"/>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-5,94</w:t>
            </w:r>
          </w:p>
        </w:tc>
      </w:tr>
      <w:tr w:rsidR="00A34E81" w:rsidRPr="00A34E81" w:rsidTr="009A237D">
        <w:trPr>
          <w:trHeight w:val="348"/>
        </w:trPr>
        <w:tc>
          <w:tcPr>
            <w:tcW w:w="2243" w:type="dxa"/>
            <w:gridSpan w:val="2"/>
            <w:shd w:val="clear" w:color="auto" w:fill="FFFFFF"/>
            <w:vAlign w:val="center"/>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 xml:space="preserve">Źródła finansowania: </w:t>
            </w:r>
          </w:p>
        </w:tc>
        <w:tc>
          <w:tcPr>
            <w:tcW w:w="8956" w:type="dxa"/>
            <w:gridSpan w:val="24"/>
            <w:shd w:val="clear" w:color="auto" w:fill="FFFFFF"/>
            <w:vAlign w:val="center"/>
          </w:tcPr>
          <w:p w:rsidR="00A34E81" w:rsidRPr="00A34E81" w:rsidRDefault="00A34E81" w:rsidP="00A34E81">
            <w:pPr>
              <w:widowControl/>
              <w:autoSpaceDE/>
              <w:autoSpaceDN/>
              <w:adjustRightInd/>
              <w:spacing w:before="120" w:after="120" w:line="240" w:lineRule="auto"/>
              <w:rPr>
                <w:rFonts w:eastAsia="Calibri" w:cs="Times New Roman"/>
                <w:color w:val="000000"/>
                <w:sz w:val="21"/>
                <w:szCs w:val="21"/>
                <w:lang w:eastAsia="en-US"/>
              </w:rPr>
            </w:pPr>
          </w:p>
        </w:tc>
      </w:tr>
      <w:tr w:rsidR="00A34E81" w:rsidRPr="00A34E81" w:rsidTr="009A237D">
        <w:trPr>
          <w:trHeight w:val="1258"/>
        </w:trPr>
        <w:tc>
          <w:tcPr>
            <w:tcW w:w="2243" w:type="dxa"/>
            <w:gridSpan w:val="2"/>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Dodatkowe informacje, w tym wskazanie źródeł danych i przyjętych do obliczeń założeń</w:t>
            </w:r>
          </w:p>
        </w:tc>
        <w:tc>
          <w:tcPr>
            <w:tcW w:w="8956" w:type="dxa"/>
            <w:gridSpan w:val="24"/>
            <w:shd w:val="clear" w:color="auto" w:fill="FFFFFF"/>
          </w:tcPr>
          <w:p w:rsidR="00A34E81" w:rsidRPr="00A34E81" w:rsidRDefault="00A34E81" w:rsidP="00A34E81">
            <w:pPr>
              <w:widowControl/>
              <w:autoSpaceDE/>
              <w:autoSpaceDN/>
              <w:adjustRightInd/>
              <w:spacing w:line="240" w:lineRule="auto"/>
              <w:rPr>
                <w:rFonts w:eastAsia="Calibri" w:cs="Times New Roman"/>
                <w:color w:val="000000"/>
                <w:sz w:val="22"/>
                <w:szCs w:val="21"/>
                <w:lang w:eastAsia="en-US"/>
              </w:rPr>
            </w:pPr>
            <w:r w:rsidRPr="00A34E81">
              <w:rPr>
                <w:rFonts w:eastAsia="Calibri" w:cs="Times New Roman"/>
                <w:color w:val="000000"/>
                <w:sz w:val="22"/>
                <w:szCs w:val="21"/>
                <w:lang w:eastAsia="en-US"/>
              </w:rPr>
              <w:t xml:space="preserve">Przyznanie sprawcy prawa do udziału w posiedzeniu sądu dot. przedłużenia wobec niego środka zabezpieczającego, nie wpłynie na wydłużenie postępowania z uwagi na wprowadzenie terminu </w:t>
            </w:r>
            <w:r w:rsidRPr="00A34E81">
              <w:rPr>
                <w:rFonts w:eastAsia="Calibri" w:cs="Times New Roman"/>
                <w:color w:val="000000"/>
                <w:sz w:val="22"/>
                <w:szCs w:val="21"/>
                <w:lang w:eastAsia="en-US"/>
              </w:rPr>
              <w:br/>
              <w:t>(7 dni od</w:t>
            </w:r>
            <w:r w:rsidRPr="00A34E81">
              <w:rPr>
                <w:rFonts w:eastAsia="Times New Roman"/>
              </w:rPr>
              <w:t xml:space="preserve"> </w:t>
            </w:r>
            <w:r w:rsidRPr="00A34E81">
              <w:rPr>
                <w:rFonts w:eastAsia="Calibri" w:cs="Times New Roman"/>
                <w:color w:val="000000"/>
                <w:sz w:val="22"/>
                <w:szCs w:val="21"/>
                <w:lang w:eastAsia="en-US"/>
              </w:rPr>
              <w:t xml:space="preserve">doręczenia zawiadomienia o rozprawie) na złożenie przez sprawcę wniosku </w:t>
            </w:r>
            <w:r w:rsidRPr="00A34E81">
              <w:rPr>
                <w:rFonts w:eastAsia="Calibri" w:cs="Times New Roman"/>
                <w:color w:val="000000"/>
                <w:sz w:val="22"/>
                <w:szCs w:val="21"/>
                <w:lang w:eastAsia="en-US"/>
              </w:rPr>
              <w:br/>
              <w:t xml:space="preserve">o doprowadzenie go na rozprawę. Spowoduje to jednak konieczność poniesienia dodatkowych wydatków związanych z doprowadzeniem sprawcy z zakładu psychiatrycznego do sądu. </w:t>
            </w:r>
          </w:p>
          <w:p w:rsidR="00A34E81" w:rsidRPr="00A34E81" w:rsidRDefault="00A34E81" w:rsidP="00A34E81">
            <w:pPr>
              <w:widowControl/>
              <w:autoSpaceDE/>
              <w:autoSpaceDN/>
              <w:adjustRightInd/>
              <w:spacing w:before="120" w:line="240" w:lineRule="auto"/>
              <w:rPr>
                <w:rFonts w:eastAsia="Calibri" w:cs="Times New Roman"/>
                <w:color w:val="000000"/>
                <w:sz w:val="22"/>
                <w:szCs w:val="21"/>
                <w:lang w:eastAsia="en-US"/>
              </w:rPr>
            </w:pPr>
            <w:r w:rsidRPr="00A34E81">
              <w:rPr>
                <w:rFonts w:eastAsia="Calibri" w:cs="Times New Roman"/>
                <w:color w:val="000000"/>
                <w:sz w:val="22"/>
                <w:szCs w:val="21"/>
                <w:lang w:eastAsia="en-US"/>
              </w:rPr>
              <w:t xml:space="preserve">W celu ograniczenia powyższych wydatków do projektu wprowadzono rozwiązanie polegające </w:t>
            </w:r>
            <w:r w:rsidRPr="00A34E81">
              <w:rPr>
                <w:rFonts w:eastAsia="Calibri" w:cs="Times New Roman"/>
                <w:color w:val="000000"/>
                <w:sz w:val="22"/>
                <w:szCs w:val="21"/>
                <w:lang w:eastAsia="en-US"/>
              </w:rPr>
              <w:br/>
              <w:t xml:space="preserve">na zmianie właściwości miejscowej sądu orzekającego o dalszym pobycie sprawcy w zakładzie. </w:t>
            </w:r>
          </w:p>
          <w:p w:rsidR="00A34E81" w:rsidRPr="00A34E81" w:rsidRDefault="00A34E81" w:rsidP="00A34E81">
            <w:pPr>
              <w:widowControl/>
              <w:autoSpaceDE/>
              <w:autoSpaceDN/>
              <w:adjustRightInd/>
              <w:spacing w:before="120" w:line="240" w:lineRule="auto"/>
              <w:rPr>
                <w:rFonts w:eastAsia="Calibri" w:cs="Times New Roman"/>
                <w:color w:val="000000"/>
                <w:sz w:val="22"/>
                <w:szCs w:val="21"/>
                <w:lang w:eastAsia="en-US"/>
              </w:rPr>
            </w:pPr>
            <w:r w:rsidRPr="00A34E81">
              <w:rPr>
                <w:rFonts w:eastAsia="Calibri" w:cs="Times New Roman"/>
                <w:color w:val="000000"/>
                <w:sz w:val="22"/>
                <w:szCs w:val="21"/>
                <w:lang w:eastAsia="en-US"/>
              </w:rPr>
              <w:t>Przyjmując założenia, że:</w:t>
            </w:r>
          </w:p>
          <w:p w:rsidR="00A34E81" w:rsidRPr="00A34E81" w:rsidRDefault="00A34E81" w:rsidP="00513C2A">
            <w:pPr>
              <w:widowControl/>
              <w:numPr>
                <w:ilvl w:val="0"/>
                <w:numId w:val="50"/>
              </w:numPr>
              <w:autoSpaceDE/>
              <w:autoSpaceDN/>
              <w:adjustRightInd/>
              <w:spacing w:before="120" w:line="240" w:lineRule="auto"/>
              <w:ind w:left="714" w:hanging="357"/>
              <w:rPr>
                <w:rFonts w:eastAsia="Calibri" w:cs="Times New Roman"/>
                <w:color w:val="000000"/>
                <w:sz w:val="22"/>
                <w:szCs w:val="21"/>
                <w:lang w:eastAsia="en-US"/>
              </w:rPr>
            </w:pPr>
            <w:r w:rsidRPr="00A34E81">
              <w:rPr>
                <w:rFonts w:eastAsia="Calibri" w:cs="Times New Roman"/>
                <w:color w:val="000000"/>
                <w:sz w:val="22"/>
                <w:szCs w:val="21"/>
                <w:lang w:eastAsia="en-US"/>
              </w:rPr>
              <w:t>sąd orzeka</w:t>
            </w:r>
            <w:r w:rsidRPr="00A34E81">
              <w:rPr>
                <w:rFonts w:ascii="Calibri" w:eastAsia="Calibri" w:hAnsi="Calibri" w:cs="Times New Roman"/>
                <w:sz w:val="22"/>
                <w:szCs w:val="22"/>
                <w:lang w:eastAsia="en-US"/>
              </w:rPr>
              <w:t xml:space="preserve"> </w:t>
            </w:r>
            <w:r w:rsidRPr="00A34E81">
              <w:rPr>
                <w:rFonts w:eastAsia="Calibri" w:cs="Times New Roman"/>
                <w:color w:val="000000"/>
                <w:sz w:val="22"/>
                <w:szCs w:val="21"/>
                <w:lang w:eastAsia="en-US"/>
              </w:rPr>
              <w:t xml:space="preserve">w przedmiocie dalszego stosowania środka zabezpieczającego wobec każdego ze sprawców, a ich liczba wynosi 1 092 (na poziomie 2017 r.), </w:t>
            </w:r>
          </w:p>
          <w:p w:rsidR="00A34E81" w:rsidRPr="00A34E81" w:rsidRDefault="00A34E81" w:rsidP="00513C2A">
            <w:pPr>
              <w:widowControl/>
              <w:numPr>
                <w:ilvl w:val="0"/>
                <w:numId w:val="50"/>
              </w:numPr>
              <w:autoSpaceDE/>
              <w:autoSpaceDN/>
              <w:adjustRightInd/>
              <w:spacing w:before="120" w:line="240" w:lineRule="auto"/>
              <w:ind w:left="714" w:hanging="357"/>
              <w:rPr>
                <w:rFonts w:eastAsia="Calibri" w:cs="Times New Roman"/>
                <w:color w:val="000000"/>
                <w:sz w:val="22"/>
                <w:szCs w:val="21"/>
                <w:lang w:eastAsia="en-US"/>
              </w:rPr>
            </w:pPr>
            <w:r w:rsidRPr="00A34E81">
              <w:rPr>
                <w:rFonts w:eastAsia="Calibri" w:cs="Times New Roman"/>
                <w:color w:val="000000"/>
                <w:sz w:val="22"/>
                <w:szCs w:val="21"/>
                <w:lang w:eastAsia="en-US"/>
              </w:rPr>
              <w:t xml:space="preserve">koszt transportu wynosi 150 zł za każdą rozpoczętą godzinę oraz dodatkowo 3,5 zł za km – przyjęto przeciętną stawkę najmu karetek </w:t>
            </w:r>
            <w:r w:rsidRPr="00A34E81">
              <w:rPr>
                <w:rFonts w:eastAsia="Calibri" w:cs="Times New Roman"/>
                <w:color w:val="000000"/>
                <w:sz w:val="22"/>
                <w:szCs w:val="21"/>
                <w:u w:val="single"/>
                <w:lang w:eastAsia="en-US"/>
              </w:rPr>
              <w:t>transportu sanitarnego</w:t>
            </w:r>
            <w:r w:rsidRPr="00A34E81">
              <w:rPr>
                <w:rFonts w:eastAsia="Calibri" w:cs="Times New Roman"/>
                <w:color w:val="000000"/>
                <w:sz w:val="22"/>
                <w:szCs w:val="21"/>
                <w:lang w:eastAsia="en-US"/>
              </w:rPr>
              <w:t xml:space="preserve"> dla pojazdu z kierowcą, sanitariuszem i lekarzem, </w:t>
            </w:r>
          </w:p>
          <w:p w:rsidR="00A34E81" w:rsidRPr="00A34E81" w:rsidRDefault="00A34E81" w:rsidP="00513C2A">
            <w:pPr>
              <w:widowControl/>
              <w:numPr>
                <w:ilvl w:val="0"/>
                <w:numId w:val="50"/>
              </w:numPr>
              <w:autoSpaceDE/>
              <w:autoSpaceDN/>
              <w:adjustRightInd/>
              <w:spacing w:before="120" w:line="240" w:lineRule="auto"/>
              <w:ind w:left="714" w:hanging="357"/>
              <w:rPr>
                <w:rFonts w:eastAsia="Calibri" w:cs="Times New Roman"/>
                <w:color w:val="000000"/>
                <w:sz w:val="22"/>
                <w:szCs w:val="21"/>
                <w:lang w:eastAsia="en-US"/>
              </w:rPr>
            </w:pPr>
            <w:r w:rsidRPr="00A34E81">
              <w:rPr>
                <w:rFonts w:eastAsia="Calibri" w:cs="Times New Roman"/>
                <w:color w:val="000000"/>
                <w:sz w:val="22"/>
                <w:szCs w:val="21"/>
                <w:lang w:eastAsia="en-US"/>
              </w:rPr>
              <w:t>średni przejazd między zakładem a sądem rejonowym wynosi 15 km i trwa do 1 godziny, natomiast między zakładem a sądem okręgowym – 50 km i trwa do 2 godzin,</w:t>
            </w:r>
          </w:p>
          <w:p w:rsidR="00A34E81" w:rsidRPr="00A34E81" w:rsidRDefault="00A34E81" w:rsidP="00513C2A">
            <w:pPr>
              <w:widowControl/>
              <w:numPr>
                <w:ilvl w:val="0"/>
                <w:numId w:val="50"/>
              </w:numPr>
              <w:autoSpaceDE/>
              <w:autoSpaceDN/>
              <w:adjustRightInd/>
              <w:spacing w:before="120" w:line="240" w:lineRule="auto"/>
              <w:ind w:left="714" w:hanging="357"/>
              <w:rPr>
                <w:rFonts w:eastAsia="Calibri" w:cs="Times New Roman"/>
                <w:color w:val="000000"/>
                <w:sz w:val="22"/>
                <w:szCs w:val="21"/>
                <w:lang w:eastAsia="en-US"/>
              </w:rPr>
            </w:pPr>
            <w:r w:rsidRPr="00A34E81">
              <w:rPr>
                <w:rFonts w:eastAsia="Calibri" w:cs="Times New Roman"/>
                <w:color w:val="000000"/>
                <w:sz w:val="22"/>
                <w:szCs w:val="21"/>
                <w:lang w:eastAsia="en-US"/>
              </w:rPr>
              <w:t>83% posiedzeń będzie odbywać się w sądach rejonowych, a 17% w sądach okręgowych,</w:t>
            </w:r>
          </w:p>
          <w:p w:rsidR="00A34E81" w:rsidRPr="00A34E81" w:rsidRDefault="00A34E81" w:rsidP="00513C2A">
            <w:pPr>
              <w:widowControl/>
              <w:numPr>
                <w:ilvl w:val="0"/>
                <w:numId w:val="50"/>
              </w:numPr>
              <w:autoSpaceDE/>
              <w:autoSpaceDN/>
              <w:adjustRightInd/>
              <w:spacing w:before="120" w:line="240" w:lineRule="auto"/>
              <w:ind w:left="714" w:hanging="357"/>
              <w:rPr>
                <w:rFonts w:eastAsia="Calibri" w:cs="Times New Roman"/>
                <w:color w:val="000000"/>
                <w:sz w:val="22"/>
                <w:szCs w:val="21"/>
                <w:lang w:eastAsia="en-US"/>
              </w:rPr>
            </w:pPr>
            <w:r w:rsidRPr="00A34E81">
              <w:rPr>
                <w:rFonts w:eastAsia="Calibri" w:cs="Times New Roman"/>
                <w:color w:val="000000"/>
                <w:sz w:val="22"/>
                <w:szCs w:val="21"/>
                <w:lang w:eastAsia="en-US"/>
              </w:rPr>
              <w:t>każdy sprawca będzie dowożony na posiedzenie sądu 2 razy w roku,</w:t>
            </w:r>
          </w:p>
          <w:p w:rsidR="00A34E81" w:rsidRPr="00A34E81" w:rsidRDefault="00A34E81" w:rsidP="00A34E81">
            <w:pPr>
              <w:widowControl/>
              <w:autoSpaceDE/>
              <w:autoSpaceDN/>
              <w:adjustRightInd/>
              <w:spacing w:before="120" w:line="240" w:lineRule="auto"/>
              <w:rPr>
                <w:rFonts w:eastAsia="Calibri" w:cs="Times New Roman"/>
                <w:color w:val="000000"/>
                <w:sz w:val="22"/>
                <w:szCs w:val="21"/>
                <w:lang w:eastAsia="en-US"/>
              </w:rPr>
            </w:pPr>
            <w:r w:rsidRPr="00A34E81">
              <w:rPr>
                <w:rFonts w:eastAsia="Calibri" w:cs="Times New Roman"/>
                <w:color w:val="000000"/>
                <w:sz w:val="22"/>
                <w:szCs w:val="21"/>
                <w:lang w:eastAsia="en-US"/>
              </w:rPr>
              <w:t xml:space="preserve">można oszacować, że wydatki związane z doprowadzeniem sprawcy z zakładu psychiatrycznego na posiedzenie sądu </w:t>
            </w:r>
            <w:r w:rsidRPr="00A34E81">
              <w:rPr>
                <w:rFonts w:eastAsia="Calibri" w:cs="Times New Roman"/>
                <w:b/>
                <w:color w:val="000000"/>
                <w:sz w:val="22"/>
                <w:szCs w:val="21"/>
                <w:lang w:eastAsia="en-US"/>
              </w:rPr>
              <w:t>w skali roku</w:t>
            </w:r>
            <w:r w:rsidRPr="00A34E81">
              <w:rPr>
                <w:rFonts w:eastAsia="Calibri" w:cs="Times New Roman"/>
                <w:color w:val="000000"/>
                <w:sz w:val="22"/>
                <w:szCs w:val="21"/>
                <w:lang w:eastAsia="en-US"/>
              </w:rPr>
              <w:t xml:space="preserve"> wyniosą około </w:t>
            </w:r>
            <w:r w:rsidRPr="00A34E81">
              <w:rPr>
                <w:rFonts w:eastAsia="Calibri" w:cs="Times New Roman"/>
                <w:b/>
                <w:color w:val="000000"/>
                <w:sz w:val="22"/>
                <w:szCs w:val="21"/>
                <w:lang w:eastAsia="en-US"/>
              </w:rPr>
              <w:t>540 tys. zł</w:t>
            </w:r>
            <w:r w:rsidRPr="00A34E81">
              <w:rPr>
                <w:rFonts w:eastAsia="Calibri" w:cs="Times New Roman"/>
                <w:color w:val="000000"/>
                <w:sz w:val="22"/>
                <w:szCs w:val="21"/>
                <w:lang w:eastAsia="en-US"/>
              </w:rPr>
              <w:t xml:space="preserve">. </w:t>
            </w:r>
          </w:p>
          <w:p w:rsidR="00A34E81" w:rsidRPr="00A34E81" w:rsidRDefault="00A34E81" w:rsidP="00A34E81">
            <w:pPr>
              <w:widowControl/>
              <w:autoSpaceDE/>
              <w:autoSpaceDN/>
              <w:adjustRightInd/>
              <w:spacing w:before="120" w:line="240" w:lineRule="auto"/>
              <w:rPr>
                <w:rFonts w:eastAsia="Calibri" w:cs="Times New Roman"/>
                <w:color w:val="000000"/>
                <w:sz w:val="22"/>
                <w:szCs w:val="21"/>
                <w:lang w:eastAsia="en-US"/>
              </w:rPr>
            </w:pPr>
            <w:r w:rsidRPr="00A34E81">
              <w:rPr>
                <w:rFonts w:eastAsia="Calibri" w:cs="Times New Roman"/>
                <w:color w:val="000000"/>
                <w:sz w:val="22"/>
                <w:szCs w:val="21"/>
                <w:lang w:eastAsia="en-US"/>
              </w:rPr>
              <w:t xml:space="preserve">Powyższe szacunki </w:t>
            </w:r>
            <w:r w:rsidRPr="00A34E81">
              <w:rPr>
                <w:rFonts w:eastAsia="Calibri" w:cs="Times New Roman"/>
                <w:color w:val="000000"/>
                <w:sz w:val="22"/>
                <w:szCs w:val="21"/>
                <w:u w:val="single"/>
                <w:lang w:eastAsia="en-US"/>
              </w:rPr>
              <w:t>nie uwzględniają kosztów konwojowania skazanego przez Policję</w:t>
            </w:r>
            <w:r w:rsidRPr="00A34E81">
              <w:rPr>
                <w:rFonts w:eastAsia="Calibri" w:cs="Times New Roman"/>
                <w:color w:val="000000"/>
                <w:sz w:val="22"/>
                <w:szCs w:val="21"/>
                <w:lang w:eastAsia="en-US"/>
              </w:rPr>
              <w:t xml:space="preserve">, na które składają się m.in. dodatkowe obciążenie pracą Policji oraz koszty paliwa. Można przypuszczać, że </w:t>
            </w:r>
            <w:r w:rsidRPr="00A34E81">
              <w:rPr>
                <w:rFonts w:eastAsia="Calibri" w:cs="Times New Roman"/>
                <w:color w:val="000000"/>
                <w:sz w:val="22"/>
                <w:szCs w:val="21"/>
                <w:lang w:eastAsia="en-US"/>
              </w:rPr>
              <w:br/>
              <w:t>w porównaniu do kosztów transportu sanitarnego koszty konwojowania przez Policję będą nieznaczne. Z uwagi na zasadę proporcjonalności uwzględnianą przy sporządzaniu OSR odstąpiono od oszacowania skutków w tym zakresie.</w:t>
            </w:r>
          </w:p>
          <w:p w:rsidR="00A34E81" w:rsidRPr="00A34E81" w:rsidRDefault="00A34E81" w:rsidP="00A34E81">
            <w:pPr>
              <w:widowControl/>
              <w:autoSpaceDE/>
              <w:autoSpaceDN/>
              <w:adjustRightInd/>
              <w:spacing w:before="120" w:line="240" w:lineRule="auto"/>
              <w:rPr>
                <w:rFonts w:eastAsia="Calibri" w:cs="Times New Roman"/>
                <w:bCs/>
                <w:color w:val="000000"/>
                <w:sz w:val="22"/>
                <w:szCs w:val="21"/>
                <w:lang w:eastAsia="en-US"/>
              </w:rPr>
            </w:pPr>
            <w:r w:rsidRPr="00A34E81">
              <w:rPr>
                <w:rFonts w:eastAsia="Calibri" w:cs="Times New Roman"/>
                <w:color w:val="000000"/>
                <w:sz w:val="22"/>
                <w:szCs w:val="21"/>
                <w:lang w:eastAsia="en-US"/>
              </w:rPr>
              <w:t xml:space="preserve">Ponadto </w:t>
            </w:r>
            <w:r w:rsidRPr="00A34E81">
              <w:rPr>
                <w:rFonts w:eastAsia="Calibri" w:cs="Times New Roman"/>
                <w:bCs/>
                <w:color w:val="000000"/>
                <w:sz w:val="22"/>
                <w:szCs w:val="21"/>
                <w:lang w:eastAsia="en-US"/>
              </w:rPr>
              <w:t>zmiana właściwości miejscowej sądu w sprawach dotyczących przedłużenia środka zabezpieczającego w postaci pobytu skazanego w zakładzie psychiatrycznym może wpłynąć na większe obciążenie tego rodzaju sprawami niektórych sądów.</w:t>
            </w:r>
          </w:p>
          <w:p w:rsidR="00A34E81" w:rsidRPr="00A34E81" w:rsidRDefault="00A34E81" w:rsidP="00A34E81">
            <w:pPr>
              <w:widowControl/>
              <w:autoSpaceDE/>
              <w:autoSpaceDN/>
              <w:adjustRightInd/>
              <w:spacing w:before="120" w:after="120" w:line="240" w:lineRule="auto"/>
              <w:rPr>
                <w:rFonts w:eastAsia="Calibri" w:cs="Times New Roman"/>
                <w:bCs/>
                <w:color w:val="000000"/>
                <w:sz w:val="22"/>
                <w:szCs w:val="21"/>
                <w:lang w:eastAsia="en-US"/>
              </w:rPr>
            </w:pPr>
            <w:r w:rsidRPr="00A34E81">
              <w:rPr>
                <w:rFonts w:eastAsia="Calibri" w:cs="Times New Roman"/>
                <w:bCs/>
                <w:color w:val="000000"/>
                <w:sz w:val="22"/>
                <w:szCs w:val="21"/>
                <w:lang w:eastAsia="en-US"/>
              </w:rPr>
              <w:t xml:space="preserve">Projektowana regulacja nakłada również obowiązek zawierania w opinii o stanie zdrowia </w:t>
            </w:r>
            <w:r w:rsidRPr="00A34E81">
              <w:rPr>
                <w:rFonts w:eastAsia="Calibri" w:cs="Times New Roman"/>
                <w:bCs/>
                <w:color w:val="000000"/>
                <w:sz w:val="22"/>
                <w:szCs w:val="21"/>
                <w:lang w:eastAsia="en-US"/>
              </w:rPr>
              <w:br/>
              <w:t xml:space="preserve">i postępach w leczeniu sprawcy dodatkowo informacji o tym, czy ze względu na stan zdrowia sprawcy jego udział w posiedzeniu sądu byłby niewskazany. Zgodnie z art. 203 § 3 k.k.w. </w:t>
            </w:r>
            <w:r w:rsidRPr="00A34E81">
              <w:rPr>
                <w:rFonts w:eastAsia="Calibri" w:cs="Times New Roman"/>
                <w:bCs/>
                <w:color w:val="000000"/>
                <w:sz w:val="22"/>
                <w:szCs w:val="21"/>
                <w:lang w:eastAsia="en-US"/>
              </w:rPr>
              <w:br/>
              <w:t xml:space="preserve">za sporządzenie opinii o stanie zdrowia sprawcy umieszczonego w zakładzie psychiatrycznym </w:t>
            </w:r>
            <w:r w:rsidRPr="00A34E81">
              <w:rPr>
                <w:rFonts w:eastAsia="Calibri" w:cs="Times New Roman"/>
                <w:bCs/>
                <w:color w:val="000000"/>
                <w:sz w:val="22"/>
                <w:szCs w:val="21"/>
                <w:lang w:eastAsia="en-US"/>
              </w:rPr>
              <w:br/>
              <w:t>i o postępach w leczeniu lub terapii zakładowi, w którym wykonywany jest środek zabezpieczający, nie przysługuje wynagrodzenie, przyjmuje się, że powyższe rozwiązanie nie będzie generowało dodatkowych kosztów.</w:t>
            </w:r>
          </w:p>
        </w:tc>
      </w:tr>
      <w:tr w:rsidR="00A34E81" w:rsidRPr="00A34E81" w:rsidTr="009A237D">
        <w:trPr>
          <w:trHeight w:val="345"/>
        </w:trPr>
        <w:tc>
          <w:tcPr>
            <w:tcW w:w="11199" w:type="dxa"/>
            <w:gridSpan w:val="26"/>
            <w:shd w:val="clear" w:color="auto" w:fill="99CCFF"/>
          </w:tcPr>
          <w:p w:rsidR="00A34E81" w:rsidRPr="00A34E81" w:rsidRDefault="00A34E81" w:rsidP="00A34E81">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A34E81">
              <w:rPr>
                <w:rFonts w:eastAsia="Calibri" w:cs="Times New Roman"/>
                <w:b/>
                <w:color w:val="000000"/>
                <w:spacing w:val="-2"/>
                <w:sz w:val="22"/>
                <w:szCs w:val="22"/>
                <w:lang w:eastAsia="en-US"/>
              </w:rPr>
              <w:t xml:space="preserve">Wpływ na </w:t>
            </w:r>
            <w:r w:rsidRPr="00A34E81">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A34E81" w:rsidRPr="00A34E81" w:rsidTr="009A237D">
        <w:trPr>
          <w:trHeight w:val="142"/>
        </w:trPr>
        <w:tc>
          <w:tcPr>
            <w:tcW w:w="11199" w:type="dxa"/>
            <w:gridSpan w:val="26"/>
            <w:shd w:val="clear" w:color="auto" w:fill="FFFFFF"/>
          </w:tcPr>
          <w:p w:rsidR="00A34E81" w:rsidRPr="00A34E81" w:rsidRDefault="00A34E81" w:rsidP="00A34E81">
            <w:pPr>
              <w:widowControl/>
              <w:autoSpaceDE/>
              <w:autoSpaceDN/>
              <w:adjustRightInd/>
              <w:spacing w:line="240" w:lineRule="auto"/>
              <w:jc w:val="center"/>
              <w:rPr>
                <w:rFonts w:eastAsia="Calibri" w:cs="Times New Roman"/>
                <w:color w:val="000000"/>
                <w:spacing w:val="-2"/>
                <w:sz w:val="21"/>
                <w:szCs w:val="21"/>
                <w:lang w:eastAsia="en-US"/>
              </w:rPr>
            </w:pPr>
            <w:r w:rsidRPr="00A34E81">
              <w:rPr>
                <w:rFonts w:eastAsia="Calibri" w:cs="Times New Roman"/>
                <w:color w:val="000000"/>
                <w:spacing w:val="-2"/>
                <w:sz w:val="21"/>
                <w:szCs w:val="21"/>
                <w:lang w:eastAsia="en-US"/>
              </w:rPr>
              <w:t>Skutki</w:t>
            </w:r>
          </w:p>
        </w:tc>
      </w:tr>
      <w:tr w:rsidR="00A34E81" w:rsidRPr="00A34E81" w:rsidTr="009A237D">
        <w:trPr>
          <w:trHeight w:val="142"/>
        </w:trPr>
        <w:tc>
          <w:tcPr>
            <w:tcW w:w="3889" w:type="dxa"/>
            <w:gridSpan w:val="7"/>
            <w:shd w:val="clear" w:color="auto" w:fill="FFFFFF"/>
          </w:tcPr>
          <w:p w:rsidR="00A34E81" w:rsidRPr="00A34E81" w:rsidRDefault="00A34E81" w:rsidP="00A34E81">
            <w:pPr>
              <w:widowControl/>
              <w:autoSpaceDE/>
              <w:autoSpaceDN/>
              <w:adjustRightInd/>
              <w:spacing w:before="120" w:after="120" w:line="240"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Czas w latach od wejścia w życie zmian</w:t>
            </w:r>
          </w:p>
        </w:tc>
        <w:tc>
          <w:tcPr>
            <w:tcW w:w="937"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0</w:t>
            </w:r>
          </w:p>
        </w:tc>
        <w:tc>
          <w:tcPr>
            <w:tcW w:w="938"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1</w:t>
            </w:r>
          </w:p>
        </w:tc>
        <w:tc>
          <w:tcPr>
            <w:tcW w:w="938" w:type="dxa"/>
            <w:gridSpan w:val="5"/>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2</w:t>
            </w:r>
          </w:p>
        </w:tc>
        <w:tc>
          <w:tcPr>
            <w:tcW w:w="937"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3</w:t>
            </w:r>
          </w:p>
        </w:tc>
        <w:tc>
          <w:tcPr>
            <w:tcW w:w="938" w:type="dxa"/>
            <w:gridSpan w:val="3"/>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5</w:t>
            </w:r>
          </w:p>
        </w:tc>
        <w:tc>
          <w:tcPr>
            <w:tcW w:w="938" w:type="dxa"/>
            <w:gridSpan w:val="3"/>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color w:val="000000"/>
                <w:sz w:val="21"/>
                <w:szCs w:val="21"/>
                <w:lang w:eastAsia="en-US"/>
              </w:rPr>
              <w:t>10</w:t>
            </w:r>
          </w:p>
        </w:tc>
        <w:tc>
          <w:tcPr>
            <w:tcW w:w="1684" w:type="dxa"/>
            <w:gridSpan w:val="2"/>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i/>
                <w:color w:val="000000"/>
                <w:spacing w:val="-2"/>
                <w:sz w:val="21"/>
                <w:szCs w:val="21"/>
                <w:lang w:eastAsia="en-US"/>
              </w:rPr>
            </w:pPr>
            <w:r w:rsidRPr="00A34E81">
              <w:rPr>
                <w:rFonts w:eastAsia="Calibri" w:cs="Times New Roman"/>
                <w:i/>
                <w:color w:val="000000"/>
                <w:spacing w:val="-2"/>
                <w:sz w:val="21"/>
                <w:szCs w:val="21"/>
                <w:lang w:eastAsia="en-US"/>
              </w:rPr>
              <w:t>Łącznie</w:t>
            </w:r>
            <w:r w:rsidRPr="00A34E81" w:rsidDel="0073273A">
              <w:rPr>
                <w:rFonts w:eastAsia="Calibri" w:cs="Times New Roman"/>
                <w:i/>
                <w:color w:val="000000"/>
                <w:spacing w:val="-2"/>
                <w:sz w:val="21"/>
                <w:szCs w:val="21"/>
                <w:lang w:eastAsia="en-US"/>
              </w:rPr>
              <w:t xml:space="preserve"> </w:t>
            </w:r>
            <w:r w:rsidRPr="00A34E81">
              <w:rPr>
                <w:rFonts w:eastAsia="Calibri" w:cs="Times New Roman"/>
                <w:i/>
                <w:color w:val="000000"/>
                <w:spacing w:val="-2"/>
                <w:sz w:val="21"/>
                <w:szCs w:val="21"/>
                <w:lang w:eastAsia="en-US"/>
              </w:rPr>
              <w:t>(0-10)</w:t>
            </w:r>
          </w:p>
        </w:tc>
      </w:tr>
      <w:tr w:rsidR="00A34E81" w:rsidRPr="00A34E81" w:rsidTr="009A237D">
        <w:trPr>
          <w:trHeight w:val="300"/>
        </w:trPr>
        <w:tc>
          <w:tcPr>
            <w:tcW w:w="1560" w:type="dxa"/>
            <w:vMerge w:val="restart"/>
            <w:shd w:val="clear" w:color="auto" w:fill="FFFFFF"/>
          </w:tcPr>
          <w:p w:rsidR="00A34E81" w:rsidRPr="00A34E81" w:rsidRDefault="00A34E81" w:rsidP="00A34E81">
            <w:pPr>
              <w:widowControl/>
              <w:autoSpaceDE/>
              <w:autoSpaceDN/>
              <w:adjustRightInd/>
              <w:spacing w:line="276"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W ujęciu pieniężnym</w:t>
            </w:r>
          </w:p>
          <w:p w:rsidR="00A34E81" w:rsidRPr="00A34E81" w:rsidRDefault="00A34E81" w:rsidP="00A34E81">
            <w:pPr>
              <w:widowControl/>
              <w:autoSpaceDE/>
              <w:autoSpaceDN/>
              <w:adjustRightInd/>
              <w:spacing w:line="276" w:lineRule="auto"/>
              <w:jc w:val="left"/>
              <w:rPr>
                <w:rFonts w:eastAsia="Calibri" w:cs="Times New Roman"/>
                <w:spacing w:val="-2"/>
                <w:sz w:val="21"/>
                <w:szCs w:val="21"/>
                <w:lang w:eastAsia="en-US"/>
              </w:rPr>
            </w:pPr>
            <w:r w:rsidRPr="00A34E81">
              <w:rPr>
                <w:rFonts w:eastAsia="Calibri" w:cs="Times New Roman"/>
                <w:spacing w:val="-2"/>
                <w:sz w:val="21"/>
                <w:szCs w:val="21"/>
                <w:lang w:eastAsia="en-US"/>
              </w:rPr>
              <w:t xml:space="preserve">(w mln zł, </w:t>
            </w:r>
          </w:p>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spacing w:val="-2"/>
                <w:sz w:val="21"/>
                <w:szCs w:val="21"/>
                <w:lang w:eastAsia="en-US"/>
              </w:rPr>
              <w:t>ceny stałe z … r.)</w:t>
            </w:r>
          </w:p>
        </w:tc>
        <w:tc>
          <w:tcPr>
            <w:tcW w:w="2329" w:type="dxa"/>
            <w:gridSpan w:val="6"/>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duże przedsiębiorstwa</w:t>
            </w:r>
          </w:p>
        </w:tc>
        <w:tc>
          <w:tcPr>
            <w:tcW w:w="937"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5"/>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7"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3"/>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3"/>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1684"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r>
      <w:tr w:rsidR="00A34E81" w:rsidRPr="00A34E81" w:rsidTr="009A237D">
        <w:trPr>
          <w:trHeight w:val="404"/>
        </w:trPr>
        <w:tc>
          <w:tcPr>
            <w:tcW w:w="1560" w:type="dxa"/>
            <w:vMerge/>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6"/>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sektor mikro-, małych i średnich przedsiębiorstw</w:t>
            </w:r>
          </w:p>
        </w:tc>
        <w:tc>
          <w:tcPr>
            <w:tcW w:w="937"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5"/>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7"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3"/>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3"/>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1684"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r>
      <w:tr w:rsidR="00A34E81" w:rsidRPr="00A34E81" w:rsidTr="009A237D">
        <w:trPr>
          <w:trHeight w:val="514"/>
        </w:trPr>
        <w:tc>
          <w:tcPr>
            <w:tcW w:w="1560" w:type="dxa"/>
            <w:vMerge/>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6"/>
            <w:shd w:val="clear" w:color="auto" w:fill="FFFFFF"/>
            <w:vAlign w:val="center"/>
          </w:tcPr>
          <w:p w:rsidR="00A34E81" w:rsidRPr="00A34E81" w:rsidRDefault="00A34E81" w:rsidP="00A34E81">
            <w:pPr>
              <w:widowControl/>
              <w:autoSpaceDE/>
              <w:autoSpaceDN/>
              <w:adjustRightInd/>
              <w:spacing w:line="240" w:lineRule="auto"/>
              <w:jc w:val="center"/>
              <w:rPr>
                <w:rFonts w:eastAsia="Calibri" w:cs="Times New Roman"/>
                <w:color w:val="000000"/>
                <w:sz w:val="21"/>
                <w:szCs w:val="21"/>
                <w:lang w:eastAsia="en-US"/>
              </w:rPr>
            </w:pPr>
            <w:r w:rsidRPr="00A34E81">
              <w:rPr>
                <w:rFonts w:eastAsia="Calibri" w:cs="Times New Roman"/>
                <w:sz w:val="21"/>
                <w:szCs w:val="21"/>
                <w:lang w:eastAsia="en-US"/>
              </w:rPr>
              <w:t>obywatele, gospodarstwa domowe</w:t>
            </w:r>
          </w:p>
        </w:tc>
        <w:tc>
          <w:tcPr>
            <w:tcW w:w="937"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5"/>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7"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3"/>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938" w:type="dxa"/>
            <w:gridSpan w:val="3"/>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c>
          <w:tcPr>
            <w:tcW w:w="1684" w:type="dxa"/>
            <w:gridSpan w:val="2"/>
            <w:shd w:val="clear" w:color="auto" w:fill="FFFFFF"/>
          </w:tcPr>
          <w:p w:rsidR="00A34E81" w:rsidRPr="00A34E81" w:rsidRDefault="00A34E81" w:rsidP="00A34E81">
            <w:pPr>
              <w:widowControl/>
              <w:autoSpaceDE/>
              <w:autoSpaceDN/>
              <w:adjustRightInd/>
              <w:spacing w:line="240" w:lineRule="auto"/>
              <w:jc w:val="right"/>
              <w:rPr>
                <w:rFonts w:eastAsia="Calibri" w:cs="Times New Roman"/>
                <w:color w:val="000000"/>
                <w:sz w:val="21"/>
                <w:szCs w:val="21"/>
                <w:lang w:eastAsia="en-US"/>
              </w:rPr>
            </w:pPr>
            <w:r w:rsidRPr="00A34E81">
              <w:rPr>
                <w:rFonts w:eastAsia="Calibri" w:cs="Times New Roman"/>
                <w:color w:val="000000"/>
                <w:sz w:val="21"/>
                <w:szCs w:val="21"/>
                <w:lang w:eastAsia="en-US"/>
              </w:rPr>
              <w:t>–</w:t>
            </w:r>
          </w:p>
        </w:tc>
      </w:tr>
      <w:tr w:rsidR="00A34E81" w:rsidRPr="00A34E81" w:rsidTr="009A237D">
        <w:trPr>
          <w:trHeight w:val="846"/>
        </w:trPr>
        <w:tc>
          <w:tcPr>
            <w:tcW w:w="2243" w:type="dxa"/>
            <w:gridSpan w:val="2"/>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1"/>
                <w:szCs w:val="21"/>
                <w:lang w:eastAsia="en-US"/>
              </w:rPr>
            </w:pPr>
            <w:r w:rsidRPr="00A34E81">
              <w:rPr>
                <w:rFonts w:eastAsia="Calibri" w:cs="Times New Roman"/>
                <w:color w:val="000000"/>
                <w:sz w:val="21"/>
                <w:szCs w:val="21"/>
                <w:lang w:eastAsia="en-US"/>
              </w:rPr>
              <w:t xml:space="preserve">Dodatkowe informacje, w tym wskazanie źródeł danych i przyjętych do obliczeń założeń </w:t>
            </w:r>
          </w:p>
        </w:tc>
        <w:tc>
          <w:tcPr>
            <w:tcW w:w="8956" w:type="dxa"/>
            <w:gridSpan w:val="24"/>
            <w:shd w:val="clear" w:color="auto" w:fill="FFFFFF"/>
            <w:vAlign w:val="center"/>
          </w:tcPr>
          <w:p w:rsidR="00A34E81" w:rsidRPr="00A34E81" w:rsidRDefault="00A34E81" w:rsidP="00A34E81">
            <w:pPr>
              <w:widowControl/>
              <w:autoSpaceDE/>
              <w:autoSpaceDN/>
              <w:adjustRightInd/>
              <w:spacing w:line="240" w:lineRule="auto"/>
              <w:ind w:left="60"/>
              <w:rPr>
                <w:rFonts w:eastAsia="Calibri" w:cs="Times New Roman"/>
                <w:color w:val="000000"/>
                <w:sz w:val="21"/>
                <w:szCs w:val="21"/>
                <w:lang w:eastAsia="en-US"/>
              </w:rPr>
            </w:pPr>
            <w:r w:rsidRPr="00A34E81">
              <w:rPr>
                <w:rFonts w:eastAsia="Calibri" w:cs="Times New Roman"/>
                <w:color w:val="000000"/>
                <w:sz w:val="22"/>
                <w:szCs w:val="22"/>
                <w:lang w:eastAsia="en-US"/>
              </w:rPr>
              <w:t xml:space="preserve">Projektowana regulacja umożliwi skazanym, wobec których orzeczono środek zabezpieczający </w:t>
            </w:r>
            <w:r w:rsidRPr="00A34E81">
              <w:rPr>
                <w:rFonts w:eastAsia="Calibri" w:cs="Times New Roman"/>
                <w:color w:val="000000"/>
                <w:sz w:val="22"/>
                <w:szCs w:val="22"/>
                <w:lang w:eastAsia="en-US"/>
              </w:rPr>
              <w:br/>
              <w:t xml:space="preserve">w postaci umieszczenia w zakładzie psychiatrycznym, udział w posiedzeniu sądu </w:t>
            </w:r>
            <w:r w:rsidRPr="00A34E81">
              <w:rPr>
                <w:rFonts w:eastAsia="Calibri" w:cs="Times New Roman"/>
                <w:color w:val="000000"/>
                <w:sz w:val="22"/>
                <w:szCs w:val="22"/>
                <w:lang w:eastAsia="en-US"/>
              </w:rPr>
              <w:br/>
              <w:t xml:space="preserve">dot. przedłużenia ww. środka, zapewniając im tym samym prawo do przedstawienia swoich racji przed sądem. </w:t>
            </w:r>
          </w:p>
        </w:tc>
      </w:tr>
      <w:tr w:rsidR="00A34E81" w:rsidRPr="00A34E81" w:rsidTr="009A237D">
        <w:trPr>
          <w:trHeight w:val="342"/>
        </w:trPr>
        <w:tc>
          <w:tcPr>
            <w:tcW w:w="11199" w:type="dxa"/>
            <w:gridSpan w:val="26"/>
            <w:shd w:val="clear" w:color="auto" w:fill="99CCFF"/>
            <w:vAlign w:val="center"/>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color w:val="000000"/>
                <w:sz w:val="22"/>
                <w:szCs w:val="22"/>
                <w:lang w:eastAsia="en-US"/>
              </w:rPr>
              <w:t xml:space="preserve"> Zmiana obciążeń regulacyjnych (w tym obowiązków informacyjnych) wynikających z projektu</w:t>
            </w:r>
          </w:p>
        </w:tc>
      </w:tr>
      <w:tr w:rsidR="00A34E81" w:rsidRPr="00A34E81" w:rsidTr="009A237D">
        <w:trPr>
          <w:trHeight w:val="151"/>
        </w:trPr>
        <w:tc>
          <w:tcPr>
            <w:tcW w:w="11199" w:type="dxa"/>
            <w:gridSpan w:val="26"/>
            <w:shd w:val="clear" w:color="auto" w:fill="FFFFFF"/>
          </w:tcPr>
          <w:p w:rsidR="00A34E81" w:rsidRPr="00A34E81" w:rsidRDefault="00A34E81" w:rsidP="00A34E81">
            <w:pPr>
              <w:widowControl/>
              <w:autoSpaceDE/>
              <w:autoSpaceDN/>
              <w:adjustRightInd/>
              <w:spacing w:line="240" w:lineRule="auto"/>
              <w:jc w:val="left"/>
              <w:rPr>
                <w:rFonts w:eastAsia="Calibri" w:cs="Times New Roman"/>
                <w:color w:val="000000"/>
                <w:sz w:val="22"/>
                <w:szCs w:val="22"/>
                <w:lang w:eastAsia="en-US"/>
              </w:rPr>
            </w:pPr>
            <w:r w:rsidRPr="00A34E81">
              <w:rPr>
                <w:rFonts w:eastAsia="Calibri" w:cs="Times New Roman"/>
                <w:color w:val="000000"/>
                <w:sz w:val="22"/>
                <w:szCs w:val="22"/>
                <w:lang w:eastAsia="en-US"/>
              </w:rPr>
              <w:fldChar w:fldCharType="begin">
                <w:ffData>
                  <w:name w:val=""/>
                  <w:enabled/>
                  <w:calcOnExit w:val="0"/>
                  <w:checkBox>
                    <w:sizeAuto/>
                    <w:default w:val="1"/>
                  </w:checkBox>
                </w:ffData>
              </w:fldChar>
            </w:r>
            <w:r w:rsidRPr="00A34E81">
              <w:rPr>
                <w:rFonts w:eastAsia="Calibri" w:cs="Times New Roman"/>
                <w:color w:val="000000"/>
                <w:sz w:val="22"/>
                <w:szCs w:val="22"/>
                <w:lang w:eastAsia="en-US"/>
              </w:rPr>
              <w:instrText xml:space="preserve"> FORMCHECKBOX </w:instrText>
            </w:r>
            <w:r w:rsidR="00C75747">
              <w:rPr>
                <w:rFonts w:eastAsia="Calibri" w:cs="Times New Roman"/>
                <w:color w:val="000000"/>
                <w:sz w:val="22"/>
                <w:szCs w:val="22"/>
                <w:lang w:eastAsia="en-US"/>
              </w:rPr>
            </w:r>
            <w:r w:rsidR="00C75747">
              <w:rPr>
                <w:rFonts w:eastAsia="Calibri" w:cs="Times New Roman"/>
                <w:color w:val="000000"/>
                <w:sz w:val="22"/>
                <w:szCs w:val="22"/>
                <w:lang w:eastAsia="en-US"/>
              </w:rPr>
              <w:fldChar w:fldCharType="separate"/>
            </w:r>
            <w:r w:rsidRPr="00A34E81">
              <w:rPr>
                <w:rFonts w:eastAsia="Calibri" w:cs="Times New Roman"/>
                <w:color w:val="000000"/>
                <w:sz w:val="22"/>
                <w:szCs w:val="22"/>
                <w:lang w:eastAsia="en-US"/>
              </w:rPr>
              <w:fldChar w:fldCharType="end"/>
            </w:r>
            <w:r w:rsidRPr="00A34E81">
              <w:rPr>
                <w:rFonts w:eastAsia="Calibri" w:cs="Times New Roman"/>
                <w:color w:val="000000"/>
                <w:sz w:val="22"/>
                <w:szCs w:val="22"/>
                <w:lang w:eastAsia="en-US"/>
              </w:rPr>
              <w:t xml:space="preserve"> </w:t>
            </w:r>
            <w:r w:rsidRPr="00A34E81">
              <w:rPr>
                <w:rFonts w:eastAsia="Calibri" w:cs="Times New Roman"/>
                <w:color w:val="000000"/>
                <w:spacing w:val="-2"/>
                <w:sz w:val="22"/>
                <w:szCs w:val="22"/>
                <w:lang w:eastAsia="en-US"/>
              </w:rPr>
              <w:t>nie dotyczy</w:t>
            </w:r>
          </w:p>
        </w:tc>
      </w:tr>
      <w:tr w:rsidR="00A34E81" w:rsidRPr="00A34E81" w:rsidTr="009A237D">
        <w:trPr>
          <w:trHeight w:val="142"/>
        </w:trPr>
        <w:tc>
          <w:tcPr>
            <w:tcW w:w="11199" w:type="dxa"/>
            <w:gridSpan w:val="26"/>
            <w:shd w:val="clear" w:color="auto" w:fill="99CCFF"/>
          </w:tcPr>
          <w:p w:rsidR="00A34E81" w:rsidRPr="00A34E81" w:rsidRDefault="00A34E81" w:rsidP="00A34E81">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A34E81">
              <w:rPr>
                <w:rFonts w:eastAsia="Calibri" w:cs="Times New Roman"/>
                <w:b/>
                <w:color w:val="000000"/>
                <w:sz w:val="22"/>
                <w:szCs w:val="22"/>
                <w:lang w:eastAsia="en-US"/>
              </w:rPr>
              <w:t xml:space="preserve">Wpływ na rynek pracy </w:t>
            </w:r>
          </w:p>
        </w:tc>
      </w:tr>
      <w:tr w:rsidR="00A34E81" w:rsidRPr="00A34E81" w:rsidTr="009A237D">
        <w:trPr>
          <w:trHeight w:val="142"/>
        </w:trPr>
        <w:tc>
          <w:tcPr>
            <w:tcW w:w="11199" w:type="dxa"/>
            <w:gridSpan w:val="26"/>
            <w:shd w:val="clear" w:color="auto" w:fill="auto"/>
          </w:tcPr>
          <w:p w:rsidR="00A34E81" w:rsidRPr="00A34E81" w:rsidRDefault="00A34E81" w:rsidP="00A34E81">
            <w:pPr>
              <w:widowControl/>
              <w:autoSpaceDE/>
              <w:autoSpaceDN/>
              <w:adjustRightInd/>
              <w:spacing w:line="240" w:lineRule="auto"/>
              <w:rPr>
                <w:rFonts w:eastAsia="Calibri" w:cs="Times New Roman"/>
                <w:color w:val="000000"/>
                <w:sz w:val="22"/>
                <w:szCs w:val="22"/>
                <w:lang w:eastAsia="en-US"/>
              </w:rPr>
            </w:pPr>
            <w:r w:rsidRPr="00A34E81">
              <w:rPr>
                <w:rFonts w:eastAsia="Calibri" w:cs="Times New Roman"/>
                <w:color w:val="000000"/>
                <w:sz w:val="22"/>
                <w:szCs w:val="22"/>
                <w:lang w:eastAsia="en-US"/>
              </w:rPr>
              <w:t>Nie dotyczy.</w:t>
            </w:r>
          </w:p>
        </w:tc>
      </w:tr>
      <w:tr w:rsidR="00A34E81" w:rsidRPr="00A34E81" w:rsidTr="009A237D">
        <w:trPr>
          <w:trHeight w:val="142"/>
        </w:trPr>
        <w:tc>
          <w:tcPr>
            <w:tcW w:w="11199" w:type="dxa"/>
            <w:gridSpan w:val="26"/>
            <w:shd w:val="clear" w:color="auto" w:fill="99CCFF"/>
          </w:tcPr>
          <w:p w:rsidR="00A34E81" w:rsidRPr="00A34E81" w:rsidRDefault="00A34E81" w:rsidP="00A34E81">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A34E81">
              <w:rPr>
                <w:rFonts w:eastAsia="Calibri" w:cs="Times New Roman"/>
                <w:b/>
                <w:color w:val="000000"/>
                <w:sz w:val="22"/>
                <w:szCs w:val="22"/>
                <w:lang w:eastAsia="en-US"/>
              </w:rPr>
              <w:t>Wpływ na pozostałe obszary</w:t>
            </w:r>
          </w:p>
        </w:tc>
      </w:tr>
      <w:tr w:rsidR="00A34E81" w:rsidRPr="00A34E81" w:rsidTr="009A237D">
        <w:trPr>
          <w:trHeight w:val="189"/>
        </w:trPr>
        <w:tc>
          <w:tcPr>
            <w:tcW w:w="2243" w:type="dxa"/>
            <w:gridSpan w:val="2"/>
            <w:shd w:val="clear" w:color="auto" w:fill="FFFFFF"/>
            <w:vAlign w:val="center"/>
          </w:tcPr>
          <w:p w:rsidR="00A34E81" w:rsidRPr="00A34E81" w:rsidRDefault="00A34E81" w:rsidP="00A34E81">
            <w:pPr>
              <w:widowControl/>
              <w:autoSpaceDE/>
              <w:autoSpaceDN/>
              <w:adjustRightInd/>
              <w:spacing w:line="240" w:lineRule="auto"/>
              <w:jc w:val="left"/>
              <w:rPr>
                <w:rFonts w:eastAsia="Calibri" w:cs="Times New Roman"/>
                <w:color w:val="000000"/>
                <w:sz w:val="22"/>
                <w:szCs w:val="22"/>
                <w:lang w:eastAsia="en-US"/>
              </w:rPr>
            </w:pPr>
            <w:r w:rsidRPr="00A34E81">
              <w:rPr>
                <w:rFonts w:eastAsia="Calibri" w:cs="Times New Roman"/>
                <w:color w:val="000000"/>
                <w:sz w:val="22"/>
                <w:szCs w:val="22"/>
                <w:lang w:eastAsia="en-US"/>
              </w:rPr>
              <w:t>Omówienie wpływu</w:t>
            </w:r>
          </w:p>
        </w:tc>
        <w:tc>
          <w:tcPr>
            <w:tcW w:w="8956" w:type="dxa"/>
            <w:gridSpan w:val="24"/>
            <w:shd w:val="clear" w:color="auto" w:fill="FFFFFF"/>
            <w:vAlign w:val="center"/>
          </w:tcPr>
          <w:p w:rsidR="00A34E81" w:rsidRPr="00A34E81" w:rsidRDefault="00A34E81" w:rsidP="00A34E81">
            <w:pPr>
              <w:widowControl/>
              <w:autoSpaceDE/>
              <w:autoSpaceDN/>
              <w:adjustRightInd/>
              <w:spacing w:line="240" w:lineRule="auto"/>
              <w:rPr>
                <w:rFonts w:eastAsia="Calibri" w:cs="Times New Roman"/>
                <w:color w:val="000000"/>
                <w:spacing w:val="-2"/>
                <w:sz w:val="22"/>
                <w:szCs w:val="22"/>
                <w:lang w:eastAsia="en-US"/>
              </w:rPr>
            </w:pPr>
            <w:r w:rsidRPr="00A34E81">
              <w:rPr>
                <w:rFonts w:eastAsia="Calibri" w:cs="Times New Roman"/>
                <w:color w:val="000000"/>
                <w:spacing w:val="-2"/>
                <w:sz w:val="22"/>
                <w:szCs w:val="22"/>
                <w:lang w:eastAsia="en-US"/>
              </w:rPr>
              <w:t>Nie dotyczy.</w:t>
            </w:r>
          </w:p>
        </w:tc>
      </w:tr>
      <w:tr w:rsidR="00A34E81" w:rsidRPr="00A34E81" w:rsidTr="009A237D">
        <w:trPr>
          <w:trHeight w:val="142"/>
        </w:trPr>
        <w:tc>
          <w:tcPr>
            <w:tcW w:w="11199" w:type="dxa"/>
            <w:gridSpan w:val="26"/>
            <w:shd w:val="clear" w:color="auto" w:fill="99CCFF"/>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A34E81">
              <w:rPr>
                <w:rFonts w:eastAsia="Calibri" w:cs="Times New Roman"/>
                <w:b/>
                <w:spacing w:val="-2"/>
                <w:sz w:val="21"/>
                <w:szCs w:val="21"/>
                <w:lang w:eastAsia="en-US"/>
              </w:rPr>
              <w:t>Planowane wykonanie przepisów aktu prawnego</w:t>
            </w:r>
          </w:p>
        </w:tc>
      </w:tr>
      <w:tr w:rsidR="00A34E81" w:rsidRPr="00A34E81" w:rsidTr="009A237D">
        <w:trPr>
          <w:trHeight w:val="142"/>
        </w:trPr>
        <w:tc>
          <w:tcPr>
            <w:tcW w:w="11199" w:type="dxa"/>
            <w:gridSpan w:val="26"/>
            <w:shd w:val="clear" w:color="auto" w:fill="FFFFFF"/>
          </w:tcPr>
          <w:p w:rsidR="00A34E81" w:rsidRPr="00A34E81" w:rsidRDefault="00A34E81" w:rsidP="00A34E81">
            <w:pPr>
              <w:widowControl/>
              <w:autoSpaceDE/>
              <w:autoSpaceDN/>
              <w:adjustRightInd/>
              <w:spacing w:line="240" w:lineRule="auto"/>
              <w:rPr>
                <w:rFonts w:eastAsia="Calibri" w:cs="Times New Roman"/>
                <w:spacing w:val="-2"/>
                <w:sz w:val="22"/>
                <w:szCs w:val="22"/>
                <w:lang w:eastAsia="en-US"/>
              </w:rPr>
            </w:pPr>
            <w:r w:rsidRPr="00A34E81">
              <w:rPr>
                <w:rFonts w:eastAsia="Calibri" w:cs="Times New Roman"/>
                <w:spacing w:val="-2"/>
                <w:sz w:val="22"/>
                <w:szCs w:val="22"/>
                <w:lang w:eastAsia="en-US"/>
              </w:rPr>
              <w:t>Przepisy projektu będą miały zastosowanie od dnia jego wejścia w życie.</w:t>
            </w:r>
          </w:p>
        </w:tc>
      </w:tr>
      <w:tr w:rsidR="00A34E81" w:rsidRPr="00A34E81" w:rsidTr="009A237D">
        <w:trPr>
          <w:trHeight w:val="142"/>
        </w:trPr>
        <w:tc>
          <w:tcPr>
            <w:tcW w:w="11199" w:type="dxa"/>
            <w:gridSpan w:val="26"/>
            <w:shd w:val="clear" w:color="auto" w:fill="99CCFF"/>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A34E81">
              <w:rPr>
                <w:rFonts w:eastAsia="Calibri" w:cs="Times New Roman"/>
                <w:b/>
                <w:color w:val="000000"/>
                <w:sz w:val="22"/>
                <w:szCs w:val="22"/>
                <w:lang w:eastAsia="en-US"/>
              </w:rPr>
              <w:t xml:space="preserve"> </w:t>
            </w:r>
            <w:r w:rsidRPr="00A34E81">
              <w:rPr>
                <w:rFonts w:eastAsia="Calibri" w:cs="Times New Roman"/>
                <w:b/>
                <w:spacing w:val="-2"/>
                <w:sz w:val="21"/>
                <w:szCs w:val="21"/>
                <w:lang w:eastAsia="en-US"/>
              </w:rPr>
              <w:t>W jaki sposób i kiedy nastąpi ewaluacja efektów projektu oraz jakie mierniki zostaną zastosowane?</w:t>
            </w:r>
          </w:p>
        </w:tc>
      </w:tr>
      <w:tr w:rsidR="00A34E81" w:rsidRPr="00A34E81" w:rsidTr="009A237D">
        <w:trPr>
          <w:trHeight w:val="142"/>
        </w:trPr>
        <w:tc>
          <w:tcPr>
            <w:tcW w:w="11199" w:type="dxa"/>
            <w:gridSpan w:val="26"/>
            <w:shd w:val="clear" w:color="auto" w:fill="FFFFFF"/>
          </w:tcPr>
          <w:p w:rsidR="00A34E81" w:rsidRPr="00A34E81" w:rsidRDefault="00A34E81" w:rsidP="00A34E81">
            <w:pPr>
              <w:widowControl/>
              <w:autoSpaceDE/>
              <w:autoSpaceDN/>
              <w:adjustRightInd/>
              <w:spacing w:line="240" w:lineRule="auto"/>
              <w:rPr>
                <w:rFonts w:eastAsia="Calibri" w:cs="Times New Roman"/>
                <w:color w:val="000000"/>
                <w:spacing w:val="-2"/>
                <w:sz w:val="22"/>
                <w:szCs w:val="22"/>
                <w:lang w:eastAsia="en-US"/>
              </w:rPr>
            </w:pPr>
            <w:r w:rsidRPr="00A34E81">
              <w:rPr>
                <w:rFonts w:eastAsia="Calibri" w:cs="Times New Roman"/>
                <w:spacing w:val="-2"/>
                <w:sz w:val="22"/>
                <w:szCs w:val="22"/>
                <w:lang w:eastAsia="en-US"/>
              </w:rPr>
              <w:t>Ustawa powinna podlegać ewaluacji po upływie 1 roku od przyjęcia proponowanych rozwiązań w zakresie kosztów transportu sprawców na posiedzenie sądu oraz wzrostu obciążenia sądów pracą.</w:t>
            </w:r>
          </w:p>
        </w:tc>
      </w:tr>
      <w:tr w:rsidR="00A34E81" w:rsidRPr="00A34E81" w:rsidTr="009A237D">
        <w:trPr>
          <w:trHeight w:val="142"/>
        </w:trPr>
        <w:tc>
          <w:tcPr>
            <w:tcW w:w="11199" w:type="dxa"/>
            <w:gridSpan w:val="26"/>
            <w:shd w:val="clear" w:color="auto" w:fill="99CCFF"/>
          </w:tcPr>
          <w:p w:rsidR="00A34E81" w:rsidRPr="00A34E81" w:rsidRDefault="00A34E81" w:rsidP="00A34E81">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A34E81">
              <w:rPr>
                <w:rFonts w:eastAsia="Calibri" w:cs="Times New Roman"/>
                <w:b/>
                <w:color w:val="000000"/>
                <w:spacing w:val="-2"/>
                <w:sz w:val="22"/>
                <w:szCs w:val="22"/>
                <w:lang w:eastAsia="en-US"/>
              </w:rPr>
              <w:t xml:space="preserve">Załączniki </w:t>
            </w:r>
            <w:r w:rsidRPr="00A34E81">
              <w:rPr>
                <w:rFonts w:eastAsia="Calibri" w:cs="Times New Roman"/>
                <w:b/>
                <w:spacing w:val="-2"/>
                <w:sz w:val="21"/>
                <w:szCs w:val="21"/>
                <w:lang w:eastAsia="en-US"/>
              </w:rPr>
              <w:t>(istotne dokumenty źródłowe, badania, analizy itp.</w:t>
            </w:r>
            <w:r w:rsidRPr="00A34E81">
              <w:rPr>
                <w:rFonts w:eastAsia="Calibri" w:cs="Times New Roman"/>
                <w:b/>
                <w:color w:val="000000"/>
                <w:spacing w:val="-2"/>
                <w:sz w:val="22"/>
                <w:szCs w:val="22"/>
                <w:lang w:eastAsia="en-US"/>
              </w:rPr>
              <w:t xml:space="preserve">) </w:t>
            </w:r>
          </w:p>
        </w:tc>
      </w:tr>
      <w:tr w:rsidR="00A34E81" w:rsidRPr="00A34E81" w:rsidTr="009A237D">
        <w:trPr>
          <w:trHeight w:val="142"/>
        </w:trPr>
        <w:tc>
          <w:tcPr>
            <w:tcW w:w="11199" w:type="dxa"/>
            <w:gridSpan w:val="26"/>
            <w:shd w:val="clear" w:color="auto" w:fill="FFFFFF"/>
          </w:tcPr>
          <w:p w:rsidR="00A34E81" w:rsidRPr="00A34E81" w:rsidRDefault="00A34E81" w:rsidP="00A34E81">
            <w:pPr>
              <w:widowControl/>
              <w:autoSpaceDE/>
              <w:autoSpaceDN/>
              <w:adjustRightInd/>
              <w:spacing w:line="240" w:lineRule="auto"/>
              <w:rPr>
                <w:rFonts w:eastAsia="Calibri" w:cs="Times New Roman"/>
                <w:color w:val="000000"/>
                <w:spacing w:val="-2"/>
                <w:sz w:val="22"/>
                <w:szCs w:val="22"/>
                <w:lang w:eastAsia="en-US"/>
              </w:rPr>
            </w:pPr>
            <w:r w:rsidRPr="00A34E81">
              <w:rPr>
                <w:rFonts w:eastAsia="Calibri" w:cs="Times New Roman"/>
                <w:color w:val="000000"/>
                <w:spacing w:val="-2"/>
                <w:sz w:val="22"/>
                <w:szCs w:val="18"/>
                <w:lang w:eastAsia="en-US"/>
              </w:rPr>
              <w:t>Brak.</w:t>
            </w:r>
          </w:p>
        </w:tc>
      </w:tr>
    </w:tbl>
    <w:p w:rsidR="00A34E81" w:rsidRPr="00A34E81" w:rsidRDefault="00A34E81" w:rsidP="0089116C">
      <w:pPr>
        <w:keepNext/>
        <w:widowControl/>
        <w:autoSpaceDE/>
        <w:autoSpaceDN/>
        <w:adjustRightInd/>
        <w:spacing w:before="240" w:after="60" w:line="240" w:lineRule="auto"/>
        <w:jc w:val="left"/>
        <w:outlineLvl w:val="0"/>
        <w:rPr>
          <w:rFonts w:eastAsia="Times New Roman"/>
          <w:b/>
          <w:bCs/>
          <w:kern w:val="32"/>
          <w:sz w:val="20"/>
        </w:rPr>
      </w:pPr>
    </w:p>
    <w:p w:rsidR="00A34E81" w:rsidRPr="001B342E" w:rsidRDefault="00A34E81" w:rsidP="00C70646"/>
    <w:sectPr w:rsidR="00A34E81" w:rsidRPr="001B342E" w:rsidSect="00F55630">
      <w:headerReference w:type="default" r:id="rId13"/>
      <w:headerReference w:type="first" r:id="rId14"/>
      <w:pgSz w:w="11906" w:h="16838"/>
      <w:pgMar w:top="568" w:right="707" w:bottom="568" w:left="720" w:header="142"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B99" w:rsidRDefault="00D22B99">
      <w:r>
        <w:separator/>
      </w:r>
    </w:p>
  </w:endnote>
  <w:endnote w:type="continuationSeparator" w:id="0">
    <w:p w:rsidR="00D22B99" w:rsidRDefault="00D22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B99" w:rsidRDefault="00D22B99">
      <w:r>
        <w:separator/>
      </w:r>
    </w:p>
  </w:footnote>
  <w:footnote w:type="continuationSeparator" w:id="0">
    <w:p w:rsidR="00D22B99" w:rsidRDefault="00D22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89116C" w:rsidP="00B371CC">
    <w:pPr>
      <w:pStyle w:val="Nagwek"/>
      <w:jc w:val="center"/>
    </w:pPr>
    <w:r>
      <w:t xml:space="preserve">– </w:t>
    </w:r>
    <w:r>
      <w:fldChar w:fldCharType="begin"/>
    </w:r>
    <w:r>
      <w:instrText xml:space="preserve"> PAGE  \* MERGEFORMAT </w:instrText>
    </w:r>
    <w:r>
      <w:fldChar w:fldCharType="separate"/>
    </w:r>
    <w:r w:rsidR="00C75747">
      <w:rPr>
        <w:noProof/>
      </w:rPr>
      <w:t>2</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89116C" w:rsidP="00B371CC">
    <w:pPr>
      <w:pStyle w:val="Nagwek"/>
      <w:jc w:val="center"/>
    </w:pPr>
    <w:r>
      <w:t xml:space="preserve">– </w:t>
    </w:r>
    <w:r>
      <w:fldChar w:fldCharType="begin"/>
    </w:r>
    <w:r>
      <w:instrText xml:space="preserve"> PAGE  \* MERGEFORMAT </w:instrText>
    </w:r>
    <w:r>
      <w:fldChar w:fldCharType="separate"/>
    </w:r>
    <w:r w:rsidR="00C75747">
      <w:rPr>
        <w:noProof/>
      </w:rPr>
      <w:t>8</w:t>
    </w:r>
    <w:r>
      <w:rPr>
        <w:noProof/>
      </w:rPr>
      <w:fldChar w:fldCharType="end"/>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81" w:rsidRPr="00C75423" w:rsidRDefault="00A34E81" w:rsidP="00B510D2">
    <w:pPr>
      <w:pStyle w:val="Nagwek"/>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81" w:rsidRPr="00C75423" w:rsidRDefault="00A34E81">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57B5452"/>
    <w:multiLevelType w:val="hybridMultilevel"/>
    <w:tmpl w:val="32AC65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0C2A41"/>
    <w:multiLevelType w:val="hybridMultilevel"/>
    <w:tmpl w:val="67CEA5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92C7C5B"/>
    <w:multiLevelType w:val="hybridMultilevel"/>
    <w:tmpl w:val="1EF868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0"/>
  </w:num>
  <w:num w:numId="4">
    <w:abstractNumId w:val="20"/>
  </w:num>
  <w:num w:numId="5">
    <w:abstractNumId w:val="41"/>
  </w:num>
  <w:num w:numId="6">
    <w:abstractNumId w:val="36"/>
  </w:num>
  <w:num w:numId="7">
    <w:abstractNumId w:val="41"/>
  </w:num>
  <w:num w:numId="8">
    <w:abstractNumId w:val="36"/>
  </w:num>
  <w:num w:numId="9">
    <w:abstractNumId w:val="41"/>
  </w:num>
  <w:num w:numId="10">
    <w:abstractNumId w:val="36"/>
  </w:num>
  <w:num w:numId="11">
    <w:abstractNumId w:val="16"/>
  </w:num>
  <w:num w:numId="12">
    <w:abstractNumId w:val="11"/>
  </w:num>
  <w:num w:numId="13">
    <w:abstractNumId w:val="17"/>
  </w:num>
  <w:num w:numId="14">
    <w:abstractNumId w:val="30"/>
  </w:num>
  <w:num w:numId="15">
    <w:abstractNumId w:val="16"/>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29"/>
  </w:num>
  <w:num w:numId="29">
    <w:abstractNumId w:val="42"/>
  </w:num>
  <w:num w:numId="30">
    <w:abstractNumId w:val="38"/>
  </w:num>
  <w:num w:numId="31">
    <w:abstractNumId w:val="21"/>
  </w:num>
  <w:num w:numId="32">
    <w:abstractNumId w:val="12"/>
  </w:num>
  <w:num w:numId="33">
    <w:abstractNumId w:val="35"/>
  </w:num>
  <w:num w:numId="34">
    <w:abstractNumId w:val="23"/>
  </w:num>
  <w:num w:numId="35">
    <w:abstractNumId w:val="19"/>
  </w:num>
  <w:num w:numId="36">
    <w:abstractNumId w:val="25"/>
  </w:num>
  <w:num w:numId="37">
    <w:abstractNumId w:val="31"/>
  </w:num>
  <w:num w:numId="38">
    <w:abstractNumId w:val="28"/>
  </w:num>
  <w:num w:numId="39">
    <w:abstractNumId w:val="14"/>
  </w:num>
  <w:num w:numId="40">
    <w:abstractNumId w:val="34"/>
  </w:num>
  <w:num w:numId="41">
    <w:abstractNumId w:val="32"/>
  </w:num>
  <w:num w:numId="42">
    <w:abstractNumId w:val="24"/>
  </w:num>
  <w:num w:numId="43">
    <w:abstractNumId w:val="40"/>
  </w:num>
  <w:num w:numId="44">
    <w:abstractNumId w:val="13"/>
  </w:num>
  <w:num w:numId="45">
    <w:abstractNumId w:val="33"/>
  </w:num>
  <w:num w:numId="46">
    <w:abstractNumId w:val="10"/>
  </w:num>
  <w:num w:numId="47">
    <w:abstractNumId w:val="27"/>
  </w:num>
  <w:num w:numId="48">
    <w:abstractNumId w:val="37"/>
  </w:num>
  <w:num w:numId="49">
    <w:abstractNumId w:val="15"/>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B99"/>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3C2A"/>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116C"/>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4E81"/>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550E"/>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0D2"/>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5423"/>
    <w:rsid w:val="00C75747"/>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22B99"/>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0A75"/>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630"/>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6CA191E-99E8-4FD4-A44F-86C58E87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8550E"/>
    <w:rPr>
      <w:bCs/>
    </w:rPr>
  </w:style>
  <w:style w:type="character" w:customStyle="1" w:styleId="IGindeksgrny">
    <w:name w:val="_IG_ – indeks górny"/>
    <w:basedOn w:val="Domylnaczcionkaakapitu"/>
    <w:uiPriority w:val="2"/>
    <w:qFormat/>
    <w:rsid w:val="00A8550E"/>
    <w:rPr>
      <w:b w:val="0"/>
      <w:i w:val="0"/>
      <w:vanish w:val="0"/>
      <w:spacing w:val="0"/>
      <w:vertAlign w:val="superscript"/>
    </w:rPr>
  </w:style>
  <w:style w:type="character" w:customStyle="1" w:styleId="Ppogrubienie">
    <w:name w:val="_P_ – pogrubienie"/>
    <w:basedOn w:val="Domylnaczcionkaakapitu"/>
    <w:uiPriority w:val="1"/>
    <w:qFormat/>
    <w:rsid w:val="00A8550E"/>
    <w:rPr>
      <w:b/>
    </w:rPr>
  </w:style>
  <w:style w:type="character" w:customStyle="1" w:styleId="Kkursywa">
    <w:name w:val="_K_ – kursywa"/>
    <w:basedOn w:val="Domylnaczcionkaakapitu"/>
    <w:uiPriority w:val="1"/>
    <w:qFormat/>
    <w:rsid w:val="00A8550E"/>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lament2015.pkw.gov.pl/351_Wyniki_Senat/0/0/29"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Arkusz_programu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pl-PL" sz="1050"/>
              <a:t>Liczba sprawców, wobec których środek zabezpieczający </a:t>
            </a:r>
            <a:br>
              <a:rPr lang="pl-PL" sz="1050"/>
            </a:br>
            <a:r>
              <a:rPr lang="pl-PL" sz="1050"/>
              <a:t>w postaci pobytu w zakładzie psychiatrycznym </a:t>
            </a:r>
            <a:r>
              <a:rPr lang="pl-PL" sz="1050" u="sng"/>
              <a:t>podlega</a:t>
            </a:r>
            <a:r>
              <a:rPr lang="pl-PL" sz="1050" u="sng" baseline="0"/>
              <a:t> wykonaniu</a:t>
            </a:r>
            <a:endParaRPr lang="pl-PL" sz="1050" u="sng"/>
          </a:p>
        </c:rich>
      </c:tx>
      <c:layout/>
      <c:overlay val="0"/>
    </c:title>
    <c:autoTitleDeleted val="0"/>
    <c:plotArea>
      <c:layout/>
      <c:barChart>
        <c:barDir val="col"/>
        <c:grouping val="clustered"/>
        <c:varyColors val="0"/>
        <c:ser>
          <c:idx val="0"/>
          <c:order val="0"/>
          <c:tx>
            <c:v>sądy rejonowe</c:v>
          </c:tx>
          <c:spPr>
            <a:solidFill>
              <a:schemeClr val="accent1">
                <a:lumMod val="60000"/>
                <a:lumOff val="4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'liczba sprawców'!$B$4:$D$4</c:f>
              <c:numCache>
                <c:formatCode>General</c:formatCode>
                <c:ptCount val="3"/>
                <c:pt idx="0">
                  <c:v>2015</c:v>
                </c:pt>
                <c:pt idx="1">
                  <c:v>2016</c:v>
                </c:pt>
                <c:pt idx="2">
                  <c:v>2017</c:v>
                </c:pt>
              </c:numCache>
            </c:numRef>
          </c:cat>
          <c:val>
            <c:numRef>
              <c:f>'liczba sprawców'!$B$6:$D$6</c:f>
              <c:numCache>
                <c:formatCode>General</c:formatCode>
                <c:ptCount val="3"/>
                <c:pt idx="0">
                  <c:v>104</c:v>
                </c:pt>
                <c:pt idx="1">
                  <c:v>455</c:v>
                </c:pt>
                <c:pt idx="2">
                  <c:v>906</c:v>
                </c:pt>
              </c:numCache>
            </c:numRef>
          </c:val>
          <c:extLst>
            <c:ext xmlns:c16="http://schemas.microsoft.com/office/drawing/2014/chart" uri="{C3380CC4-5D6E-409C-BE32-E72D297353CC}">
              <c16:uniqueId val="{00000000-317F-4C31-A2B4-497DA7AE8596}"/>
            </c:ext>
          </c:extLst>
        </c:ser>
        <c:ser>
          <c:idx val="1"/>
          <c:order val="1"/>
          <c:tx>
            <c:v>sądy okręgowe</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'liczba sprawców'!$B$4:$D$4</c:f>
              <c:numCache>
                <c:formatCode>General</c:formatCode>
                <c:ptCount val="3"/>
                <c:pt idx="0">
                  <c:v>2015</c:v>
                </c:pt>
                <c:pt idx="1">
                  <c:v>2016</c:v>
                </c:pt>
                <c:pt idx="2">
                  <c:v>2017</c:v>
                </c:pt>
              </c:numCache>
            </c:numRef>
          </c:cat>
          <c:val>
            <c:numRef>
              <c:f>'liczba sprawców'!$E$6:$G$6</c:f>
              <c:numCache>
                <c:formatCode>General</c:formatCode>
                <c:ptCount val="3"/>
                <c:pt idx="0">
                  <c:v>73</c:v>
                </c:pt>
                <c:pt idx="1">
                  <c:v>89</c:v>
                </c:pt>
                <c:pt idx="2">
                  <c:v>186</c:v>
                </c:pt>
              </c:numCache>
            </c:numRef>
          </c:val>
          <c:extLst>
            <c:ext xmlns:c16="http://schemas.microsoft.com/office/drawing/2014/chart" uri="{C3380CC4-5D6E-409C-BE32-E72D297353CC}">
              <c16:uniqueId val="{00000001-317F-4C31-A2B4-497DA7AE8596}"/>
            </c:ext>
          </c:extLst>
        </c:ser>
        <c:dLbls>
          <c:showLegendKey val="0"/>
          <c:showVal val="0"/>
          <c:showCatName val="0"/>
          <c:showSerName val="0"/>
          <c:showPercent val="0"/>
          <c:showBubbleSize val="0"/>
        </c:dLbls>
        <c:gapWidth val="150"/>
        <c:axId val="240822912"/>
        <c:axId val="240824704"/>
      </c:barChart>
      <c:catAx>
        <c:axId val="240822912"/>
        <c:scaling>
          <c:orientation val="minMax"/>
        </c:scaling>
        <c:delete val="0"/>
        <c:axPos val="b"/>
        <c:numFmt formatCode="General" sourceLinked="1"/>
        <c:majorTickMark val="out"/>
        <c:minorTickMark val="none"/>
        <c:tickLblPos val="nextTo"/>
        <c:crossAx val="240824704"/>
        <c:crosses val="autoZero"/>
        <c:auto val="1"/>
        <c:lblAlgn val="ctr"/>
        <c:lblOffset val="100"/>
        <c:noMultiLvlLbl val="0"/>
      </c:catAx>
      <c:valAx>
        <c:axId val="240824704"/>
        <c:scaling>
          <c:orientation val="minMax"/>
        </c:scaling>
        <c:delete val="0"/>
        <c:axPos val="l"/>
        <c:majorGridlines/>
        <c:numFmt formatCode="General" sourceLinked="1"/>
        <c:majorTickMark val="out"/>
        <c:minorTickMark val="none"/>
        <c:tickLblPos val="nextTo"/>
        <c:crossAx val="240822912"/>
        <c:crosses val="autoZero"/>
        <c:crossBetween val="between"/>
      </c:valAx>
    </c:plotArea>
    <c:legend>
      <c:legendPos val="b"/>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B20EA-26B4-4A9C-9125-0C12B5733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wniesienie.dotm</Template>
  <TotalTime>1</TotalTime>
  <Pages>17</Pages>
  <Words>6175</Words>
  <Characters>37050</Characters>
  <Application>Microsoft Office Word</Application>
  <DocSecurity>0</DocSecurity>
  <Lines>308</Lines>
  <Paragraphs>86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43139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Adam O.</dc:creator>
  <cp:lastModifiedBy>Grażyna D. Grabowska</cp:lastModifiedBy>
  <cp:revision>2</cp:revision>
  <cp:lastPrinted>2012-07-23T08:40:00Z</cp:lastPrinted>
  <dcterms:created xsi:type="dcterms:W3CDTF">2018-11-21T11:19:00Z</dcterms:created>
  <dcterms:modified xsi:type="dcterms:W3CDTF">2018-11-21T11:19:00Z</dcterms:modified>
</cp:coreProperties>
</file>